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E3" w:rsidRDefault="00330690" w:rsidP="00DB69E3">
      <w:pPr>
        <w:ind w:left="4080"/>
        <w:jc w:val="right"/>
        <w:rPr>
          <w:rFonts w:cs="Arial"/>
          <w:color w:val="808080" w:themeColor="background1" w:themeShade="80"/>
        </w:rPr>
      </w:pPr>
      <w:r w:rsidRPr="00960722">
        <w:rPr>
          <w:b/>
          <w:noProof/>
          <w:sz w:val="32"/>
          <w:lang w:eastAsia="en-AU"/>
        </w:rPr>
        <w:drawing>
          <wp:anchor distT="0" distB="0" distL="114300" distR="114300" simplePos="0" relativeHeight="251659264" behindDoc="0" locked="1" layoutInCell="1" allowOverlap="1" wp14:anchorId="254EA6E7" wp14:editId="5565AAEF">
            <wp:simplePos x="0" y="0"/>
            <wp:positionH relativeFrom="column">
              <wp:posOffset>3392805</wp:posOffset>
            </wp:positionH>
            <wp:positionV relativeFrom="paragraph">
              <wp:posOffset>-171450</wp:posOffset>
            </wp:positionV>
            <wp:extent cx="2375535" cy="55753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LetterheadLogo20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5535" cy="557530"/>
                    </a:xfrm>
                    <a:prstGeom prst="rect">
                      <a:avLst/>
                    </a:prstGeom>
                  </pic:spPr>
                </pic:pic>
              </a:graphicData>
            </a:graphic>
            <wp14:sizeRelH relativeFrom="margin">
              <wp14:pctWidth>0</wp14:pctWidth>
            </wp14:sizeRelH>
            <wp14:sizeRelV relativeFrom="margin">
              <wp14:pctHeight>0</wp14:pctHeight>
            </wp14:sizeRelV>
          </wp:anchor>
        </w:drawing>
      </w:r>
      <w:r w:rsidR="00960722" w:rsidRPr="00960722">
        <w:rPr>
          <w:rFonts w:cs="Arial"/>
          <w:b/>
          <w:sz w:val="32"/>
        </w:rPr>
        <w:t xml:space="preserve"> </w:t>
      </w:r>
      <w:r>
        <w:br/>
      </w:r>
      <w:bookmarkStart w:id="0" w:name="OurRef"/>
      <w:bookmarkEnd w:id="0"/>
      <w:r w:rsidR="00DB69E3">
        <w:rPr>
          <w:rFonts w:cs="Arial"/>
        </w:rPr>
        <w:br/>
      </w:r>
      <w:r w:rsidR="00DB69E3">
        <w:rPr>
          <w:rFonts w:cs="Arial"/>
        </w:rPr>
        <w:br/>
      </w:r>
      <w:r w:rsidR="00D24E1D" w:rsidRPr="00C33F3B">
        <w:rPr>
          <w:rFonts w:cs="Arial"/>
          <w:color w:val="808080" w:themeColor="background1" w:themeShade="80"/>
        </w:rPr>
        <w:tab/>
      </w:r>
      <w:r w:rsidR="00D24E1D" w:rsidRPr="00C33F3B">
        <w:rPr>
          <w:rFonts w:cs="Arial"/>
          <w:color w:val="808080" w:themeColor="background1" w:themeShade="80"/>
        </w:rPr>
        <w:tab/>
      </w:r>
      <w:r w:rsidR="00D24E1D" w:rsidRPr="00C33F3B">
        <w:rPr>
          <w:rFonts w:cs="Arial"/>
          <w:color w:val="808080" w:themeColor="background1" w:themeShade="80"/>
        </w:rPr>
        <w:tab/>
      </w:r>
      <w:r w:rsidR="00D24E1D" w:rsidRPr="00C33F3B">
        <w:rPr>
          <w:rFonts w:cs="Arial"/>
          <w:color w:val="808080" w:themeColor="background1" w:themeShade="80"/>
        </w:rPr>
        <w:tab/>
      </w:r>
      <w:r w:rsidR="00D24E1D" w:rsidRPr="00C33F3B">
        <w:rPr>
          <w:rFonts w:cs="Arial"/>
          <w:color w:val="808080" w:themeColor="background1" w:themeShade="80"/>
        </w:rPr>
        <w:tab/>
      </w:r>
      <w:r w:rsidR="00D24E1D" w:rsidRPr="00C33F3B">
        <w:rPr>
          <w:rFonts w:cs="Arial"/>
          <w:color w:val="808080" w:themeColor="background1" w:themeShade="80"/>
        </w:rPr>
        <w:tab/>
      </w:r>
      <w:r w:rsidR="00D24E1D" w:rsidRPr="00C33F3B">
        <w:rPr>
          <w:rFonts w:cs="Arial"/>
          <w:color w:val="808080" w:themeColor="background1" w:themeShade="80"/>
        </w:rPr>
        <w:tab/>
        <w:t>23 Marcus Clarke Street</w:t>
      </w:r>
      <w:r w:rsidR="00D24E1D" w:rsidRPr="00C33F3B">
        <w:rPr>
          <w:rFonts w:cs="Arial"/>
          <w:color w:val="808080" w:themeColor="background1" w:themeShade="80"/>
        </w:rPr>
        <w:br/>
        <w:t>Canberra ACT 2601</w:t>
      </w:r>
      <w:r w:rsidR="00D24E1D" w:rsidRPr="00C33F3B">
        <w:rPr>
          <w:rFonts w:cs="Arial"/>
          <w:color w:val="808080" w:themeColor="background1" w:themeShade="80"/>
        </w:rPr>
        <w:br/>
      </w:r>
      <w:r w:rsidR="00D24E1D" w:rsidRPr="00C33F3B">
        <w:rPr>
          <w:rFonts w:cs="Arial"/>
          <w:color w:val="808080" w:themeColor="background1" w:themeShade="80"/>
        </w:rPr>
        <w:br/>
        <w:t>GPO Box 3131</w:t>
      </w:r>
      <w:r w:rsidR="00D24E1D" w:rsidRPr="00C33F3B">
        <w:rPr>
          <w:rFonts w:cs="Arial"/>
          <w:color w:val="808080" w:themeColor="background1" w:themeShade="80"/>
        </w:rPr>
        <w:br/>
        <w:t>Canberra ACT 2601</w:t>
      </w:r>
      <w:r w:rsidR="00D24E1D" w:rsidRPr="00C33F3B">
        <w:rPr>
          <w:rFonts w:cs="Arial"/>
          <w:color w:val="808080" w:themeColor="background1" w:themeShade="80"/>
        </w:rPr>
        <w:br/>
      </w:r>
      <w:r w:rsidR="00D24E1D" w:rsidRPr="00C33F3B">
        <w:rPr>
          <w:rFonts w:cs="Arial"/>
          <w:color w:val="808080" w:themeColor="background1" w:themeShade="80"/>
        </w:rPr>
        <w:br/>
      </w:r>
      <w:proofErr w:type="spellStart"/>
      <w:r w:rsidR="00D24E1D" w:rsidRPr="00C33F3B">
        <w:rPr>
          <w:rFonts w:cs="Arial"/>
          <w:color w:val="808080" w:themeColor="background1" w:themeShade="80"/>
        </w:rPr>
        <w:t>tel</w:t>
      </w:r>
      <w:proofErr w:type="spellEnd"/>
      <w:r w:rsidR="00D24E1D" w:rsidRPr="00C33F3B">
        <w:rPr>
          <w:rFonts w:cs="Arial"/>
          <w:color w:val="808080" w:themeColor="background1" w:themeShade="80"/>
        </w:rPr>
        <w:t>: (02) 6243 1111</w:t>
      </w:r>
      <w:r w:rsidR="00D24E1D" w:rsidRPr="00C33F3B">
        <w:rPr>
          <w:rFonts w:cs="Arial"/>
          <w:color w:val="808080" w:themeColor="background1" w:themeShade="80"/>
        </w:rPr>
        <w:br/>
        <w:t>fax: (02) 6243 1199</w:t>
      </w:r>
      <w:r w:rsidR="00D24E1D" w:rsidRPr="00C33F3B">
        <w:rPr>
          <w:rFonts w:cs="Arial"/>
          <w:color w:val="808080" w:themeColor="background1" w:themeShade="80"/>
        </w:rPr>
        <w:br/>
      </w:r>
      <w:r w:rsidR="00D24E1D" w:rsidRPr="00C33F3B">
        <w:rPr>
          <w:rFonts w:cs="Arial"/>
          <w:color w:val="808080" w:themeColor="background1" w:themeShade="80"/>
        </w:rPr>
        <w:br/>
      </w:r>
      <w:hyperlink r:id="rId11" w:history="1">
        <w:r w:rsidR="00DB69E3" w:rsidRPr="00DB69E3">
          <w:rPr>
            <w:rStyle w:val="Hyperlink"/>
            <w:rFonts w:cs="Arial"/>
            <w:color w:val="808080" w:themeColor="background1" w:themeShade="80"/>
            <w:u w:val="none"/>
          </w:rPr>
          <w:t>www.accc.gov.au</w:t>
        </w:r>
      </w:hyperlink>
      <w:bookmarkStart w:id="1" w:name="ContactPhone"/>
      <w:bookmarkStart w:id="2" w:name="Date"/>
      <w:bookmarkStart w:id="3" w:name="Recipient"/>
      <w:bookmarkStart w:id="4" w:name="Subject"/>
      <w:bookmarkStart w:id="5" w:name="OCEO"/>
      <w:bookmarkEnd w:id="1"/>
      <w:bookmarkEnd w:id="2"/>
      <w:bookmarkEnd w:id="3"/>
      <w:bookmarkEnd w:id="4"/>
      <w:bookmarkEnd w:id="5"/>
    </w:p>
    <w:p w:rsidR="00DA2684" w:rsidRPr="00DB69E3" w:rsidRDefault="00DA2684" w:rsidP="00DB69E3">
      <w:pPr>
        <w:rPr>
          <w:rFonts w:cs="Arial"/>
          <w:color w:val="808080" w:themeColor="background1" w:themeShade="80"/>
        </w:rPr>
      </w:pPr>
      <w:r w:rsidRPr="009E4274">
        <w:t>Our ref:</w:t>
      </w:r>
      <w:r w:rsidRPr="009E4274">
        <w:tab/>
      </w:r>
      <w:r>
        <w:t>61865</w:t>
      </w:r>
      <w:bookmarkStart w:id="6" w:name="YourRef"/>
      <w:bookmarkEnd w:id="6"/>
      <w:r w:rsidR="00DB69E3">
        <w:br/>
      </w:r>
      <w:r w:rsidRPr="009E4274">
        <w:t>Contact officer:</w:t>
      </w:r>
      <w:r w:rsidRPr="009E4274">
        <w:tab/>
      </w:r>
      <w:bookmarkStart w:id="7" w:name="ContactOfficer"/>
      <w:bookmarkEnd w:id="7"/>
      <w:r w:rsidR="00DB69E3">
        <w:t>Nicole Ross</w:t>
      </w:r>
      <w:r w:rsidR="00DB69E3">
        <w:br/>
      </w:r>
      <w:r w:rsidRPr="00D74D11">
        <w:t>Contact phone:</w:t>
      </w:r>
      <w:r w:rsidRPr="00D74D11">
        <w:tab/>
      </w:r>
      <w:r>
        <w:t>(03) 9290 1957</w:t>
      </w:r>
    </w:p>
    <w:p w:rsidR="00DA2684" w:rsidRDefault="00DA2684" w:rsidP="00DA2684">
      <w:pPr>
        <w:pStyle w:val="Letterdate"/>
      </w:pPr>
    </w:p>
    <w:p w:rsidR="00DA2684" w:rsidRPr="00946D58" w:rsidRDefault="00DA2684" w:rsidP="00DA2684">
      <w:pPr>
        <w:pStyle w:val="Letterdate"/>
      </w:pPr>
      <w:r>
        <w:t>13 April 2017</w:t>
      </w:r>
      <w:bookmarkStart w:id="8" w:name="Signature"/>
      <w:bookmarkEnd w:id="8"/>
      <w:r>
        <w:br/>
      </w:r>
      <w:r>
        <w:br/>
      </w:r>
      <w:r>
        <w:rPr>
          <w:rFonts w:eastAsia="Cambria" w:cs="Arial"/>
          <w:lang w:val="en-GB"/>
        </w:rPr>
        <w:br/>
        <w:t>Dr Michael Vertigan</w:t>
      </w:r>
      <w:r>
        <w:rPr>
          <w:rFonts w:eastAsia="Cambria" w:cs="Arial"/>
          <w:lang w:val="en-GB"/>
        </w:rPr>
        <w:br/>
        <w:t>Gas Market Reform Group</w:t>
      </w:r>
      <w:r>
        <w:rPr>
          <w:rFonts w:eastAsia="Cambria" w:cs="Arial"/>
          <w:lang w:val="en-GB"/>
        </w:rPr>
        <w:br/>
        <w:t>c/o Australian Energy Market Commission</w:t>
      </w:r>
      <w:r>
        <w:rPr>
          <w:rFonts w:eastAsia="Cambria" w:cs="Arial"/>
          <w:lang w:val="en-GB"/>
        </w:rPr>
        <w:br/>
        <w:t>PO Box A2449</w:t>
      </w:r>
      <w:r>
        <w:rPr>
          <w:rFonts w:eastAsia="Cambria" w:cs="Arial"/>
          <w:lang w:val="en-GB"/>
        </w:rPr>
        <w:br/>
        <w:t>Sydney South NSW 1235</w:t>
      </w:r>
    </w:p>
    <w:p w:rsidR="00DA2684" w:rsidRDefault="00196112" w:rsidP="00DA2684">
      <w:pPr>
        <w:jc w:val="both"/>
        <w:rPr>
          <w:rFonts w:cs="Arial"/>
        </w:rPr>
      </w:pPr>
      <w:r>
        <w:rPr>
          <w:rFonts w:cs="Arial"/>
        </w:rPr>
        <w:t xml:space="preserve">Email: </w:t>
      </w:r>
      <w:hyperlink r:id="rId12" w:history="1">
        <w:r w:rsidRPr="00582F8F">
          <w:rPr>
            <w:rStyle w:val="Hyperlink"/>
            <w:rFonts w:cs="Arial"/>
          </w:rPr>
          <w:t>gas@environment.gov.au</w:t>
        </w:r>
      </w:hyperlink>
      <w:r>
        <w:rPr>
          <w:rFonts w:cs="Arial"/>
        </w:rPr>
        <w:t xml:space="preserve"> </w:t>
      </w:r>
    </w:p>
    <w:p w:rsidR="00DA2684" w:rsidRPr="00707042" w:rsidRDefault="00DA2684" w:rsidP="00DA2684">
      <w:pPr>
        <w:jc w:val="both"/>
        <w:rPr>
          <w:rFonts w:cs="Arial"/>
        </w:rPr>
      </w:pPr>
      <w:r w:rsidRPr="00707042">
        <w:rPr>
          <w:rFonts w:cs="Arial"/>
        </w:rPr>
        <w:t xml:space="preserve">Dear </w:t>
      </w:r>
      <w:r>
        <w:rPr>
          <w:rFonts w:cs="Arial"/>
        </w:rPr>
        <w:t>Dr Vertigan</w:t>
      </w:r>
      <w:r w:rsidRPr="00707042">
        <w:rPr>
          <w:rFonts w:cs="Arial"/>
        </w:rPr>
        <w:t xml:space="preserve">, </w:t>
      </w:r>
    </w:p>
    <w:p w:rsidR="00DA2684" w:rsidRPr="00707042" w:rsidRDefault="00DA2684" w:rsidP="00DA2684">
      <w:pPr>
        <w:rPr>
          <w:rFonts w:cs="Arial"/>
          <w:b/>
          <w:szCs w:val="24"/>
        </w:rPr>
      </w:pPr>
      <w:r>
        <w:rPr>
          <w:rFonts w:cs="Arial"/>
          <w:b/>
          <w:szCs w:val="24"/>
        </w:rPr>
        <w:br/>
      </w:r>
      <w:r w:rsidRPr="00707042">
        <w:rPr>
          <w:rFonts w:cs="Arial"/>
          <w:b/>
          <w:szCs w:val="24"/>
        </w:rPr>
        <w:t>ACCC submission o</w:t>
      </w:r>
      <w:bookmarkStart w:id="9" w:name="_GoBack"/>
      <w:bookmarkEnd w:id="9"/>
      <w:r w:rsidRPr="00707042">
        <w:rPr>
          <w:rFonts w:cs="Arial"/>
          <w:b/>
          <w:szCs w:val="24"/>
        </w:rPr>
        <w:t>n Gas Pipeline Information Disclosure and Arbitration Framework Implementation Options Paper</w:t>
      </w:r>
    </w:p>
    <w:p w:rsidR="00DA2684" w:rsidRDefault="00DA2684" w:rsidP="00DA2684">
      <w:pPr>
        <w:spacing w:after="200"/>
        <w:rPr>
          <w:rFonts w:cs="Arial"/>
          <w:szCs w:val="24"/>
        </w:rPr>
      </w:pPr>
      <w:r w:rsidRPr="00707042">
        <w:rPr>
          <w:rFonts w:cs="Arial"/>
          <w:szCs w:val="24"/>
        </w:rPr>
        <w:t xml:space="preserve">The Australian Competition and Consumer Commission (ACCC) </w:t>
      </w:r>
      <w:proofErr w:type="gramStart"/>
      <w:r>
        <w:rPr>
          <w:rFonts w:cs="Arial"/>
          <w:szCs w:val="24"/>
        </w:rPr>
        <w:t>appreciates</w:t>
      </w:r>
      <w:proofErr w:type="gramEnd"/>
      <w:r w:rsidRPr="00707042">
        <w:rPr>
          <w:rFonts w:cs="Arial"/>
          <w:szCs w:val="24"/>
        </w:rPr>
        <w:t xml:space="preserve"> the opportunity to comment on the Gas Pipeline </w:t>
      </w:r>
      <w:r w:rsidRPr="00EA2596">
        <w:rPr>
          <w:rFonts w:cs="Arial"/>
          <w:szCs w:val="24"/>
        </w:rPr>
        <w:t xml:space="preserve">Information Disclosure and Arbitration Framework Implementation Options Paper (the Options Paper). </w:t>
      </w:r>
      <w:r w:rsidRPr="00EA2596">
        <w:rPr>
          <w:rFonts w:cs="Arial"/>
          <w:szCs w:val="24"/>
        </w:rPr>
        <w:br/>
      </w:r>
      <w:r w:rsidRPr="00EA2596">
        <w:rPr>
          <w:rFonts w:cs="Arial"/>
          <w:szCs w:val="24"/>
        </w:rPr>
        <w:br/>
        <w:t xml:space="preserve">The ACCC strongly supports the Gas Market Reform Group’s (GMRG’s) proposed information disclosure and commercial arbitration framework. </w:t>
      </w:r>
      <w:r>
        <w:rPr>
          <w:rFonts w:cs="Arial"/>
          <w:szCs w:val="24"/>
        </w:rPr>
        <w:t>We believe a critical element of the framework will be providing an appropriate fact base for commercial negotiation and arbitration, rather than prescribing any outcome for such arbitrations. The framework should not dictate the decision of an arbitrator (which could be higher or lower than actual costs) but rather, should focus on ensuring useful information is available and accessible to shippers to strengthen their bargaining position and improve commercial negotiations.</w:t>
      </w:r>
    </w:p>
    <w:p w:rsidR="00DA2684" w:rsidRDefault="00DA2684" w:rsidP="00DA2684">
      <w:pPr>
        <w:spacing w:after="200"/>
        <w:rPr>
          <w:rFonts w:cs="Arial"/>
          <w:szCs w:val="24"/>
        </w:rPr>
      </w:pPr>
      <w:r>
        <w:rPr>
          <w:rFonts w:cs="Arial"/>
          <w:szCs w:val="24"/>
        </w:rPr>
        <w:t>W</w:t>
      </w:r>
      <w:r w:rsidRPr="00EA2596">
        <w:rPr>
          <w:rFonts w:cs="Arial"/>
          <w:szCs w:val="24"/>
        </w:rPr>
        <w:t>e</w:t>
      </w:r>
      <w:r>
        <w:rPr>
          <w:rFonts w:cs="Arial"/>
          <w:szCs w:val="24"/>
        </w:rPr>
        <w:t xml:space="preserve"> </w:t>
      </w:r>
      <w:r w:rsidRPr="00EA2596">
        <w:rPr>
          <w:rFonts w:cs="Arial"/>
          <w:szCs w:val="24"/>
        </w:rPr>
        <w:t xml:space="preserve">consider a number of changes are necessary in order to ensure the framework works as intended and addresses the underlying market power concerns that initially led to the GMRG’s review of the gas pipelines coverage test. </w:t>
      </w:r>
    </w:p>
    <w:p w:rsidR="00DA2684" w:rsidRPr="00EA2596" w:rsidRDefault="00DA2684" w:rsidP="00DA2684">
      <w:pPr>
        <w:spacing w:after="200"/>
        <w:rPr>
          <w:rFonts w:cs="Arial"/>
          <w:szCs w:val="24"/>
        </w:rPr>
      </w:pPr>
      <w:r w:rsidRPr="00EA2596">
        <w:rPr>
          <w:rFonts w:cs="Arial"/>
          <w:szCs w:val="24"/>
        </w:rPr>
        <w:t>These changes relate to:</w:t>
      </w:r>
    </w:p>
    <w:p w:rsidR="00DA2684" w:rsidRDefault="00DA2684" w:rsidP="00DA2684">
      <w:pPr>
        <w:pStyle w:val="ListParagraph"/>
      </w:pPr>
      <w:r w:rsidRPr="00EA2596">
        <w:t xml:space="preserve">Ensuring the information disclosure obligations and arbitration mechanism </w:t>
      </w:r>
      <w:r>
        <w:t>apply</w:t>
      </w:r>
      <w:r w:rsidRPr="00EA2596">
        <w:t xml:space="preserve"> consistent</w:t>
      </w:r>
      <w:r>
        <w:t>ly.</w:t>
      </w:r>
    </w:p>
    <w:p w:rsidR="00DA2684" w:rsidRDefault="00DA2684" w:rsidP="00DA2684">
      <w:pPr>
        <w:pStyle w:val="ListParagraph"/>
      </w:pPr>
      <w:r>
        <w:lastRenderedPageBreak/>
        <w:t xml:space="preserve">Reviewing exemptions in the framework to ensure the information disclosure obligations and arbitration mechanism properly address the findings of the East Coast Gas Inquiry that a large number of pipeline operators exercise market power. </w:t>
      </w:r>
    </w:p>
    <w:p w:rsidR="00DA2684" w:rsidRDefault="00DA2684" w:rsidP="00DA2684">
      <w:pPr>
        <w:pStyle w:val="ListParagraph"/>
      </w:pPr>
      <w:r w:rsidRPr="00EA2596">
        <w:t>The development of guidance in either the National Gas Rules (NGR) or in guidelines to the NGR and National Gas Law (NGL) that clearly explain</w:t>
      </w:r>
      <w:r>
        <w:t>s</w:t>
      </w:r>
      <w:r w:rsidRPr="00EA2596">
        <w:t xml:space="preserve"> how the information published under information disclosure obligations relate</w:t>
      </w:r>
      <w:r>
        <w:t>s</w:t>
      </w:r>
      <w:r w:rsidRPr="00EA2596">
        <w:t xml:space="preserve"> to the costs of providing gas transportation services and link</w:t>
      </w:r>
      <w:r>
        <w:t>s</w:t>
      </w:r>
      <w:r w:rsidRPr="00EA2596">
        <w:t xml:space="preserve"> the costs information to the application of costs-based pricing principles</w:t>
      </w:r>
      <w:r>
        <w:t xml:space="preserve">. </w:t>
      </w:r>
    </w:p>
    <w:p w:rsidR="00DA2684" w:rsidRPr="00EA2596" w:rsidRDefault="00DA2684" w:rsidP="00DA2684">
      <w:pPr>
        <w:ind w:left="340"/>
      </w:pPr>
      <w:r>
        <w:t>The ACCC’s experience is that standard accounting financial statements provide little guidance on the costs of supply, particularly in relation to the valuation of pipelines. This is because standard financial statements typically rely on a pipeline operator’s own valuation of its asset, which will be based on the prices being charged, irrespective of what prices may emerge from a commercial negotiation or arbitration. Providing guidance on asset valuation methodology will therefore better inform a commercial negotiation, and also ensure asset valuations and other key inputs are not used by pipeline operators to maintain monopoly prices.</w:t>
      </w:r>
    </w:p>
    <w:p w:rsidR="00DA2684" w:rsidRDefault="00DA2684" w:rsidP="00DA2684">
      <w:pPr>
        <w:pStyle w:val="ListParagraph"/>
        <w:spacing w:after="400"/>
        <w:rPr>
          <w:rFonts w:cs="Arial"/>
          <w:szCs w:val="24"/>
        </w:rPr>
      </w:pPr>
      <w:r w:rsidRPr="00EA2596">
        <w:t>A range of adjustments to specific elements of the arbitration mechanism to minimise the scope for gaming arbitral processes and to strengthen incentives for parties to reach commercial agreement.</w:t>
      </w:r>
      <w:r>
        <w:t xml:space="preserve"> </w:t>
      </w:r>
      <w:r w:rsidRPr="00FA1C4A">
        <w:rPr>
          <w:rFonts w:cs="Arial"/>
          <w:szCs w:val="24"/>
        </w:rPr>
        <w:t xml:space="preserve">In </w:t>
      </w:r>
      <w:r>
        <w:rPr>
          <w:rFonts w:cs="Arial"/>
          <w:szCs w:val="24"/>
        </w:rPr>
        <w:t xml:space="preserve">particular, we consider it important that the threshold for triggering the arbitration mechanism is relatively </w:t>
      </w:r>
      <w:proofErr w:type="gramStart"/>
      <w:r>
        <w:rPr>
          <w:rFonts w:cs="Arial"/>
          <w:szCs w:val="24"/>
        </w:rPr>
        <w:t>low,</w:t>
      </w:r>
      <w:proofErr w:type="gramEnd"/>
      <w:r>
        <w:rPr>
          <w:rFonts w:cs="Arial"/>
          <w:szCs w:val="24"/>
        </w:rPr>
        <w:t xml:space="preserve"> recognising that</w:t>
      </w:r>
      <w:r w:rsidRPr="00FA1C4A">
        <w:rPr>
          <w:rFonts w:cs="Arial"/>
          <w:szCs w:val="24"/>
        </w:rPr>
        <w:t xml:space="preserve"> </w:t>
      </w:r>
      <w:r>
        <w:rPr>
          <w:rFonts w:cs="Arial"/>
          <w:szCs w:val="24"/>
        </w:rPr>
        <w:t xml:space="preserve">in </w:t>
      </w:r>
      <w:r w:rsidRPr="00FA1C4A">
        <w:rPr>
          <w:rFonts w:cs="Arial"/>
          <w:szCs w:val="24"/>
        </w:rPr>
        <w:t xml:space="preserve">commercial arbitrations </w:t>
      </w:r>
      <w:r>
        <w:rPr>
          <w:rFonts w:cs="Arial"/>
          <w:szCs w:val="24"/>
        </w:rPr>
        <w:t xml:space="preserve">in the private sector there is </w:t>
      </w:r>
      <w:r w:rsidRPr="00FA1C4A">
        <w:rPr>
          <w:rFonts w:cs="Arial"/>
          <w:szCs w:val="24"/>
        </w:rPr>
        <w:t>typically no threshold</w:t>
      </w:r>
      <w:r>
        <w:rPr>
          <w:rFonts w:cs="Arial"/>
          <w:szCs w:val="24"/>
        </w:rPr>
        <w:t xml:space="preserve"> requirement</w:t>
      </w:r>
      <w:r w:rsidRPr="00FA1C4A">
        <w:rPr>
          <w:rFonts w:cs="Arial"/>
          <w:szCs w:val="24"/>
        </w:rPr>
        <w:t>.</w:t>
      </w:r>
    </w:p>
    <w:p w:rsidR="00DA2684" w:rsidRPr="00101561" w:rsidRDefault="00DA2684" w:rsidP="00DA2684">
      <w:pPr>
        <w:spacing w:after="400"/>
        <w:rPr>
          <w:rFonts w:cs="Arial"/>
          <w:szCs w:val="24"/>
        </w:rPr>
      </w:pPr>
      <w:r w:rsidRPr="00101561">
        <w:rPr>
          <w:rFonts w:cs="Arial"/>
          <w:szCs w:val="24"/>
        </w:rPr>
        <w:t xml:space="preserve">Attached is the ACCC’s submission to the Options Paper outlining our recommendations in more </w:t>
      </w:r>
      <w:proofErr w:type="gramStart"/>
      <w:r w:rsidRPr="00101561">
        <w:rPr>
          <w:rFonts w:cs="Arial"/>
          <w:szCs w:val="24"/>
        </w:rPr>
        <w:t>detail.</w:t>
      </w:r>
      <w:proofErr w:type="gramEnd"/>
      <w:r w:rsidRPr="00101561">
        <w:rPr>
          <w:rFonts w:cs="Arial"/>
          <w:szCs w:val="24"/>
        </w:rPr>
        <w:t xml:space="preserve"> </w:t>
      </w:r>
    </w:p>
    <w:p w:rsidR="00DA2684" w:rsidRPr="00EA2596" w:rsidRDefault="00DA2684" w:rsidP="00DA2684">
      <w:pPr>
        <w:jc w:val="both"/>
        <w:rPr>
          <w:rFonts w:cs="Arial"/>
        </w:rPr>
      </w:pPr>
      <w:r w:rsidRPr="00EA2596">
        <w:rPr>
          <w:rFonts w:cs="Arial"/>
        </w:rPr>
        <w:t>Yours sincerely</w:t>
      </w:r>
    </w:p>
    <w:p w:rsidR="00DA2684" w:rsidRPr="00EA2596" w:rsidRDefault="00DA2684" w:rsidP="00DA2684">
      <w:pPr>
        <w:jc w:val="both"/>
        <w:rPr>
          <w:rFonts w:cs="Arial"/>
        </w:rPr>
      </w:pPr>
    </w:p>
    <w:p w:rsidR="00DA2684" w:rsidRPr="00EA2596" w:rsidRDefault="00DA2684" w:rsidP="00DA2684">
      <w:pPr>
        <w:jc w:val="both"/>
        <w:rPr>
          <w:rFonts w:cs="Arial"/>
        </w:rPr>
      </w:pPr>
    </w:p>
    <w:p w:rsidR="00DA2684" w:rsidRPr="00EA2596" w:rsidRDefault="00DA2684" w:rsidP="00DA2684">
      <w:pPr>
        <w:spacing w:before="60"/>
        <w:jc w:val="both"/>
        <w:rPr>
          <w:rFonts w:cs="Arial"/>
        </w:rPr>
      </w:pPr>
      <w:r w:rsidRPr="00EA2596">
        <w:rPr>
          <w:rFonts w:cs="Arial"/>
        </w:rPr>
        <w:t>Rod Sims</w:t>
      </w:r>
    </w:p>
    <w:p w:rsidR="00DA2684" w:rsidRPr="004F50B3" w:rsidRDefault="00DA2684" w:rsidP="00DA2684">
      <w:pPr>
        <w:spacing w:before="60"/>
        <w:jc w:val="both"/>
        <w:rPr>
          <w:rFonts w:cs="Arial"/>
        </w:rPr>
      </w:pPr>
      <w:r w:rsidRPr="00EA2596">
        <w:rPr>
          <w:rFonts w:cs="Arial"/>
        </w:rPr>
        <w:t>Chairman</w:t>
      </w:r>
    </w:p>
    <w:p w:rsidR="000564E5" w:rsidRDefault="000564E5" w:rsidP="00330690">
      <w:pPr>
        <w:spacing w:before="60"/>
        <w:jc w:val="both"/>
        <w:rPr>
          <w:rFonts w:cs="Arial"/>
        </w:rPr>
      </w:pPr>
      <w:r>
        <w:rPr>
          <w:rFonts w:cs="Arial"/>
        </w:rPr>
        <w:br w:type="page"/>
      </w:r>
    </w:p>
    <w:p w:rsidR="00330690" w:rsidRPr="00707042" w:rsidRDefault="004D419A" w:rsidP="00330690">
      <w:pPr>
        <w:spacing w:before="60"/>
        <w:jc w:val="both"/>
        <w:rPr>
          <w:rFonts w:cs="Arial"/>
        </w:rPr>
      </w:pPr>
      <w:r>
        <w:rPr>
          <w:noProof/>
          <w:lang w:eastAsia="en-AU"/>
        </w:rPr>
        <w:lastRenderedPageBreak/>
        <mc:AlternateContent>
          <mc:Choice Requires="wps">
            <w:drawing>
              <wp:anchor distT="0" distB="0" distL="114300" distR="114300" simplePos="0" relativeHeight="251660288" behindDoc="1" locked="0" layoutInCell="1" allowOverlap="1" wp14:anchorId="768ABA53" wp14:editId="431AF5FE">
                <wp:simplePos x="0" y="0"/>
                <wp:positionH relativeFrom="column">
                  <wp:posOffset>-678815</wp:posOffset>
                </wp:positionH>
                <wp:positionV relativeFrom="paragraph">
                  <wp:posOffset>-397510</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3.45pt;margin-top:-31.3pt;width:555.75pt;height:800.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" fillcolor="#d5d6d2 [3214]" stroked="f" strokeweight="2pt"/>
            </w:pict>
          </mc:Fallback>
        </mc:AlternateContent>
      </w:r>
    </w:p>
    <w:p w:rsidR="00330690" w:rsidRDefault="00330690" w:rsidP="00330690">
      <w:pPr>
        <w:pStyle w:val="Re"/>
      </w:pPr>
    </w:p>
    <w:p w:rsidR="00330690" w:rsidRDefault="00330690" w:rsidP="00330690"/>
    <w:p w:rsidR="00330690" w:rsidRDefault="00330690" w:rsidP="00330690">
      <w:r>
        <w:rPr>
          <w:noProof/>
          <w:lang w:eastAsia="en-AU"/>
        </w:rPr>
        <w:drawing>
          <wp:inline distT="0" distB="0" distL="0" distR="0" wp14:anchorId="7C5BE411" wp14:editId="6C49555C">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bookmarkStart w:id="10" w:name="_Toc414270383"/>
      <w:bookmarkStart w:id="11" w:name="_Toc428267552"/>
      <w:bookmarkStart w:id="12" w:name="_Toc428279036"/>
      <w:bookmarkStart w:id="13" w:name="_Toc428881402"/>
      <w:bookmarkStart w:id="14" w:name="_Toc429049963"/>
      <w:bookmarkStart w:id="15" w:name="_Toc429052691"/>
      <w:r w:rsidRPr="00EA3B3D">
        <w:t xml:space="preserve"> </w:t>
      </w:r>
    </w:p>
    <w:p w:rsidR="00330690" w:rsidRDefault="00330690" w:rsidP="00330690"/>
    <w:p w:rsidR="00330690" w:rsidRDefault="00330690" w:rsidP="00330690"/>
    <w:p w:rsidR="00330690" w:rsidRDefault="00330690" w:rsidP="00330690"/>
    <w:p w:rsidR="00330690" w:rsidRDefault="00330690" w:rsidP="00330690"/>
    <w:p w:rsidR="00330690" w:rsidRDefault="00330690" w:rsidP="00330690"/>
    <w:p w:rsidR="00330690" w:rsidRDefault="00330690" w:rsidP="00330690"/>
    <w:bookmarkEnd w:id="10"/>
    <w:bookmarkEnd w:id="11"/>
    <w:bookmarkEnd w:id="12"/>
    <w:bookmarkEnd w:id="13"/>
    <w:bookmarkEnd w:id="14"/>
    <w:bookmarkEnd w:id="15"/>
    <w:p w:rsidR="00330690" w:rsidRDefault="00330690" w:rsidP="00330690"/>
    <w:p w:rsidR="00330690" w:rsidRDefault="00330690" w:rsidP="00330690">
      <w:r>
        <w:rPr>
          <w:noProof/>
          <w:lang w:eastAsia="en-AU"/>
        </w:rPr>
        <mc:AlternateContent>
          <mc:Choice Requires="wps">
            <w:drawing>
              <wp:anchor distT="0" distB="0" distL="114300" distR="114300" simplePos="0" relativeHeight="251661312" behindDoc="0" locked="0" layoutInCell="1" allowOverlap="1" wp14:anchorId="545CADEC" wp14:editId="0289082F">
                <wp:simplePos x="0" y="0"/>
                <wp:positionH relativeFrom="column">
                  <wp:posOffset>-276225</wp:posOffset>
                </wp:positionH>
                <wp:positionV relativeFrom="paragraph">
                  <wp:posOffset>139064</wp:posOffset>
                </wp:positionV>
                <wp:extent cx="6334125" cy="3419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419475"/>
                        </a:xfrm>
                        <a:prstGeom prst="rect">
                          <a:avLst/>
                        </a:prstGeom>
                        <a:noFill/>
                        <a:ln w="9525">
                          <a:noFill/>
                          <a:miter lim="800000"/>
                          <a:headEnd/>
                          <a:tailEnd/>
                        </a:ln>
                      </wps:spPr>
                      <wps:txbx>
                        <w:txbxContent>
                          <w:p w:rsidR="00604D64" w:rsidRPr="0047390B" w:rsidRDefault="00604D64" w:rsidP="00330690">
                            <w:pPr>
                              <w:rPr>
                                <w:rFonts w:ascii="Lucida Fax" w:hAnsi="Lucida Fax"/>
                                <w:sz w:val="72"/>
                                <w:szCs w:val="72"/>
                              </w:rPr>
                            </w:pPr>
                            <w:r w:rsidRPr="0047390B">
                              <w:rPr>
                                <w:rFonts w:ascii="Lucida Fax" w:hAnsi="Lucida Fax"/>
                                <w:color w:val="7030A0"/>
                                <w:sz w:val="72"/>
                                <w:szCs w:val="72"/>
                              </w:rPr>
                              <w:t xml:space="preserve">ACCC submission on Gas Pipeline Information Disclosure and Arbitration Framework Implementation Options </w:t>
                            </w:r>
                            <w:r>
                              <w:rPr>
                                <w:rFonts w:ascii="Lucida Fax" w:hAnsi="Lucida Fax"/>
                                <w:color w:val="7030A0"/>
                                <w:sz w:val="72"/>
                                <w:szCs w:val="72"/>
                              </w:rPr>
                              <w:t xml:space="preserve">Paper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10.95pt;width:498.75pt;height:26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" filled="f" stroked="f">
                <v:textbox>
                  <w:txbxContent>
                    <w:p w:rsidR="00604D64" w:rsidRPr="0047390B" w:rsidRDefault="00604D64" w:rsidP="00330690">
                      <w:pPr>
                        <w:rPr>
                          <w:rFonts w:ascii="Lucida Fax" w:hAnsi="Lucida Fax"/>
                          <w:sz w:val="72"/>
                          <w:szCs w:val="72"/>
                        </w:rPr>
                      </w:pPr>
                      <w:r w:rsidRPr="0047390B">
                        <w:rPr>
                          <w:rFonts w:ascii="Lucida Fax" w:hAnsi="Lucida Fax"/>
                          <w:color w:val="7030A0"/>
                          <w:sz w:val="72"/>
                          <w:szCs w:val="72"/>
                        </w:rPr>
                        <w:t xml:space="preserve">ACCC submission on Gas Pipeline Information Disclosure and Arbitration Framework Implementation Options </w:t>
                      </w:r>
                      <w:r>
                        <w:rPr>
                          <w:rFonts w:ascii="Lucida Fax" w:hAnsi="Lucida Fax"/>
                          <w:color w:val="7030A0"/>
                          <w:sz w:val="72"/>
                          <w:szCs w:val="72"/>
                        </w:rPr>
                        <w:t xml:space="preserve">Paper </w:t>
                      </w:r>
                    </w:p>
                  </w:txbxContent>
                </v:textbox>
              </v:shape>
            </w:pict>
          </mc:Fallback>
        </mc:AlternateContent>
      </w:r>
    </w:p>
    <w:p w:rsidR="00330690" w:rsidRDefault="00330690" w:rsidP="00330690"/>
    <w:p w:rsidR="00330690" w:rsidRDefault="00330690" w:rsidP="00330690"/>
    <w:p w:rsidR="00330690" w:rsidRDefault="00330690" w:rsidP="00330690"/>
    <w:p w:rsidR="00330690" w:rsidRDefault="00330690" w:rsidP="00330690"/>
    <w:p w:rsidR="00330690" w:rsidRDefault="00330690" w:rsidP="00330690"/>
    <w:p w:rsidR="00330690" w:rsidRDefault="00330690" w:rsidP="00330690"/>
    <w:p w:rsidR="00330690" w:rsidRDefault="00330690" w:rsidP="00330690"/>
    <w:p w:rsidR="00330690" w:rsidRDefault="00330690" w:rsidP="00330690"/>
    <w:p w:rsidR="00330690" w:rsidRDefault="00330690" w:rsidP="00330690"/>
    <w:p w:rsidR="00330690" w:rsidRDefault="00330690" w:rsidP="00330690"/>
    <w:p w:rsidR="00330690" w:rsidRDefault="00330690" w:rsidP="00330690"/>
    <w:p w:rsidR="00330690" w:rsidRDefault="00330690" w:rsidP="00330690">
      <w:r>
        <w:rPr>
          <w:noProof/>
          <w:lang w:eastAsia="en-AU"/>
        </w:rPr>
        <mc:AlternateContent>
          <mc:Choice Requires="wps">
            <w:drawing>
              <wp:anchor distT="0" distB="0" distL="114300" distR="114300" simplePos="0" relativeHeight="251662336" behindDoc="0" locked="0" layoutInCell="1" allowOverlap="1" wp14:anchorId="5E0BB78F" wp14:editId="028DC38B">
                <wp:simplePos x="0" y="0"/>
                <wp:positionH relativeFrom="column">
                  <wp:posOffset>-200025</wp:posOffset>
                </wp:positionH>
                <wp:positionV relativeFrom="paragraph">
                  <wp:posOffset>220345</wp:posOffset>
                </wp:positionV>
                <wp:extent cx="2657475" cy="4476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574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4D64" w:rsidRPr="0047390B" w:rsidRDefault="00604D64" w:rsidP="00330690">
                            <w:pPr>
                              <w:rPr>
                                <w:rFonts w:ascii="Lucida Fax" w:hAnsi="Lucida Fax"/>
                                <w:color w:val="FF0000"/>
                                <w:sz w:val="24"/>
                              </w:rPr>
                            </w:pPr>
                            <w:r w:rsidRPr="0047390B">
                              <w:rPr>
                                <w:rFonts w:ascii="Lucida Fax" w:hAnsi="Lucida Fax"/>
                                <w:color w:val="FF0000"/>
                                <w:sz w:val="24"/>
                              </w:rPr>
                              <w:t>April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15.75pt;margin-top:17.35pt;width:209.25pt;height:3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" filled="f" stroked="f" strokeweight=".5pt">
                <v:textbox>
                  <w:txbxContent>
                    <w:p w:rsidR="00604D64" w:rsidRPr="0047390B" w:rsidRDefault="00604D64" w:rsidP="00330690">
                      <w:pPr>
                        <w:rPr>
                          <w:rFonts w:ascii="Lucida Fax" w:hAnsi="Lucida Fax"/>
                          <w:color w:val="FF0000"/>
                          <w:sz w:val="24"/>
                        </w:rPr>
                      </w:pPr>
                      <w:r w:rsidRPr="0047390B">
                        <w:rPr>
                          <w:rFonts w:ascii="Lucida Fax" w:hAnsi="Lucida Fax"/>
                          <w:color w:val="FF0000"/>
                          <w:sz w:val="24"/>
                        </w:rPr>
                        <w:t>April 2017</w:t>
                      </w:r>
                    </w:p>
                  </w:txbxContent>
                </v:textbox>
              </v:shape>
            </w:pict>
          </mc:Fallback>
        </mc:AlternateContent>
      </w:r>
    </w:p>
    <w:p w:rsidR="00330690" w:rsidRDefault="00330690" w:rsidP="00330690"/>
    <w:p w:rsidR="00330690" w:rsidRDefault="00330690" w:rsidP="00330690"/>
    <w:p w:rsidR="00330690" w:rsidRDefault="00330690" w:rsidP="00330690"/>
    <w:p w:rsidR="00330690" w:rsidRDefault="00330690" w:rsidP="00330690"/>
    <w:p w:rsidR="00330690" w:rsidRDefault="00330690" w:rsidP="00330690"/>
    <w:sdt>
      <w:sdtPr>
        <w:rPr>
          <w:rFonts w:ascii="Arial" w:eastAsiaTheme="minorHAnsi" w:hAnsi="Arial" w:cstheme="minorBidi"/>
          <w:bCs w:val="0"/>
          <w:noProof/>
          <w:color w:val="auto"/>
          <w:sz w:val="22"/>
          <w:szCs w:val="22"/>
          <w:lang w:val="en-AU" w:eastAsia="en-US"/>
        </w:rPr>
        <w:id w:val="-1222284543"/>
        <w:docPartObj>
          <w:docPartGallery w:val="Table of Contents"/>
          <w:docPartUnique/>
        </w:docPartObj>
      </w:sdtPr>
      <w:sdtEndPr>
        <w:rPr>
          <w:highlight w:val="yellow"/>
          <w:lang w:val="en-US" w:eastAsia="ja-JP"/>
        </w:rPr>
      </w:sdtEndPr>
      <w:sdtContent>
        <w:p w:rsidR="004D419A" w:rsidRPr="00330690" w:rsidRDefault="004D419A" w:rsidP="004D419A">
          <w:pPr>
            <w:pStyle w:val="TOCHeading"/>
          </w:pPr>
          <w:r w:rsidRPr="00330690">
            <w:t>Contents</w:t>
          </w:r>
        </w:p>
        <w:p w:rsidR="00AD2968" w:rsidRDefault="004D419A">
          <w:pPr>
            <w:pStyle w:val="TOC1"/>
            <w:rPr>
              <w:rFonts w:asciiTheme="minorHAnsi" w:eastAsiaTheme="minorEastAsia" w:hAnsiTheme="minorHAnsi"/>
              <w:lang w:val="en-AU" w:eastAsia="en-AU"/>
            </w:rPr>
          </w:pPr>
          <w:r w:rsidRPr="00316632">
            <w:rPr>
              <w:rFonts w:cs="Arial"/>
              <w:noProof w:val="0"/>
              <w:highlight w:val="yellow"/>
            </w:rPr>
            <w:fldChar w:fldCharType="begin"/>
          </w:r>
          <w:r w:rsidRPr="00316632">
            <w:rPr>
              <w:rFonts w:cs="Arial"/>
              <w:highlight w:val="yellow"/>
            </w:rPr>
            <w:instrText xml:space="preserve"> TOC \o "1-3" \h \z \u </w:instrText>
          </w:r>
          <w:r w:rsidRPr="00316632">
            <w:rPr>
              <w:rFonts w:cs="Arial"/>
              <w:noProof w:val="0"/>
              <w:highlight w:val="yellow"/>
            </w:rPr>
            <w:fldChar w:fldCharType="separate"/>
          </w:r>
          <w:hyperlink w:anchor="_Toc479781914" w:history="1">
            <w:r w:rsidR="00AD2968" w:rsidRPr="00FC3B9B">
              <w:rPr>
                <w:rStyle w:val="Hyperlink"/>
              </w:rPr>
              <w:t>1.</w:t>
            </w:r>
            <w:r w:rsidR="00AD2968">
              <w:rPr>
                <w:rFonts w:asciiTheme="minorHAnsi" w:eastAsiaTheme="minorEastAsia" w:hAnsiTheme="minorHAnsi"/>
                <w:lang w:val="en-AU" w:eastAsia="en-AU"/>
              </w:rPr>
              <w:tab/>
            </w:r>
            <w:r w:rsidR="00AD2968" w:rsidRPr="00FC3B9B">
              <w:rPr>
                <w:rStyle w:val="Hyperlink"/>
              </w:rPr>
              <w:t>Executive Summary</w:t>
            </w:r>
            <w:r w:rsidR="00AD2968">
              <w:rPr>
                <w:webHidden/>
              </w:rPr>
              <w:tab/>
            </w:r>
            <w:r w:rsidR="00AD2968">
              <w:rPr>
                <w:webHidden/>
              </w:rPr>
              <w:fldChar w:fldCharType="begin"/>
            </w:r>
            <w:r w:rsidR="00AD2968">
              <w:rPr>
                <w:webHidden/>
              </w:rPr>
              <w:instrText xml:space="preserve"> PAGEREF _Toc479781914 \h </w:instrText>
            </w:r>
            <w:r w:rsidR="00AD2968">
              <w:rPr>
                <w:webHidden/>
              </w:rPr>
            </w:r>
            <w:r w:rsidR="00AD2968">
              <w:rPr>
                <w:webHidden/>
              </w:rPr>
              <w:fldChar w:fldCharType="separate"/>
            </w:r>
            <w:r w:rsidR="000F5776">
              <w:rPr>
                <w:webHidden/>
              </w:rPr>
              <w:t>3</w:t>
            </w:r>
            <w:r w:rsidR="00AD2968">
              <w:rPr>
                <w:webHidden/>
              </w:rPr>
              <w:fldChar w:fldCharType="end"/>
            </w:r>
          </w:hyperlink>
        </w:p>
        <w:p w:rsidR="00AD2968" w:rsidRDefault="00E731FD">
          <w:pPr>
            <w:pStyle w:val="TOC1"/>
            <w:rPr>
              <w:rFonts w:asciiTheme="minorHAnsi" w:eastAsiaTheme="minorEastAsia" w:hAnsiTheme="minorHAnsi"/>
              <w:lang w:val="en-AU" w:eastAsia="en-AU"/>
            </w:rPr>
          </w:pPr>
          <w:hyperlink w:anchor="_Toc479781915" w:history="1">
            <w:r w:rsidR="00AD2968" w:rsidRPr="00FC3B9B">
              <w:rPr>
                <w:rStyle w:val="Hyperlink"/>
              </w:rPr>
              <w:t>2.</w:t>
            </w:r>
            <w:r w:rsidR="00AD2968">
              <w:rPr>
                <w:rFonts w:asciiTheme="minorHAnsi" w:eastAsiaTheme="minorEastAsia" w:hAnsiTheme="minorHAnsi"/>
                <w:lang w:val="en-AU" w:eastAsia="en-AU"/>
              </w:rPr>
              <w:tab/>
            </w:r>
            <w:r w:rsidR="00AD2968" w:rsidRPr="00FC3B9B">
              <w:rPr>
                <w:rStyle w:val="Hyperlink"/>
              </w:rPr>
              <w:t>Background</w:t>
            </w:r>
            <w:r w:rsidR="00AD2968">
              <w:rPr>
                <w:webHidden/>
              </w:rPr>
              <w:tab/>
            </w:r>
            <w:r w:rsidR="00AD2968">
              <w:rPr>
                <w:webHidden/>
              </w:rPr>
              <w:fldChar w:fldCharType="begin"/>
            </w:r>
            <w:r w:rsidR="00AD2968">
              <w:rPr>
                <w:webHidden/>
              </w:rPr>
              <w:instrText xml:space="preserve"> PAGEREF _Toc479781915 \h </w:instrText>
            </w:r>
            <w:r w:rsidR="00AD2968">
              <w:rPr>
                <w:webHidden/>
              </w:rPr>
            </w:r>
            <w:r w:rsidR="00AD2968">
              <w:rPr>
                <w:webHidden/>
              </w:rPr>
              <w:fldChar w:fldCharType="separate"/>
            </w:r>
            <w:r w:rsidR="000F5776">
              <w:rPr>
                <w:webHidden/>
              </w:rPr>
              <w:t>7</w:t>
            </w:r>
            <w:r w:rsidR="00AD2968">
              <w:rPr>
                <w:webHidden/>
              </w:rPr>
              <w:fldChar w:fldCharType="end"/>
            </w:r>
          </w:hyperlink>
        </w:p>
        <w:p w:rsidR="00AD2968" w:rsidRDefault="00E731FD">
          <w:pPr>
            <w:pStyle w:val="TOC3"/>
            <w:rPr>
              <w:rFonts w:asciiTheme="minorHAnsi" w:eastAsiaTheme="minorEastAsia" w:hAnsiTheme="minorHAnsi"/>
              <w:lang w:eastAsia="en-AU"/>
            </w:rPr>
          </w:pPr>
          <w:hyperlink w:anchor="_Toc479781916" w:history="1">
            <w:r w:rsidR="00AD2968" w:rsidRPr="00FC3B9B">
              <w:rPr>
                <w:rStyle w:val="Hyperlink"/>
              </w:rPr>
              <w:t>ACCC East Coast Gas Inquiry</w:t>
            </w:r>
            <w:r w:rsidR="00AD2968">
              <w:rPr>
                <w:webHidden/>
              </w:rPr>
              <w:tab/>
            </w:r>
            <w:r w:rsidR="00AD2968">
              <w:rPr>
                <w:webHidden/>
              </w:rPr>
              <w:fldChar w:fldCharType="begin"/>
            </w:r>
            <w:r w:rsidR="00AD2968">
              <w:rPr>
                <w:webHidden/>
              </w:rPr>
              <w:instrText xml:space="preserve"> PAGEREF _Toc479781916 \h </w:instrText>
            </w:r>
            <w:r w:rsidR="00AD2968">
              <w:rPr>
                <w:webHidden/>
              </w:rPr>
            </w:r>
            <w:r w:rsidR="00AD2968">
              <w:rPr>
                <w:webHidden/>
              </w:rPr>
              <w:fldChar w:fldCharType="separate"/>
            </w:r>
            <w:r w:rsidR="000F5776">
              <w:rPr>
                <w:webHidden/>
              </w:rPr>
              <w:t>7</w:t>
            </w:r>
            <w:r w:rsidR="00AD2968">
              <w:rPr>
                <w:webHidden/>
              </w:rPr>
              <w:fldChar w:fldCharType="end"/>
            </w:r>
          </w:hyperlink>
        </w:p>
        <w:p w:rsidR="00AD2968" w:rsidRDefault="00E731FD">
          <w:pPr>
            <w:pStyle w:val="TOC3"/>
            <w:rPr>
              <w:rFonts w:asciiTheme="minorHAnsi" w:eastAsiaTheme="minorEastAsia" w:hAnsiTheme="minorHAnsi"/>
              <w:lang w:eastAsia="en-AU"/>
            </w:rPr>
          </w:pPr>
          <w:hyperlink w:anchor="_Toc479781917" w:history="1">
            <w:r w:rsidR="00AD2968" w:rsidRPr="00FC3B9B">
              <w:rPr>
                <w:rStyle w:val="Hyperlink"/>
              </w:rPr>
              <w:t>Dr Vertigan’s Examination</w:t>
            </w:r>
            <w:r w:rsidR="00AD2968">
              <w:rPr>
                <w:webHidden/>
              </w:rPr>
              <w:tab/>
            </w:r>
            <w:r w:rsidR="00AD2968">
              <w:rPr>
                <w:webHidden/>
              </w:rPr>
              <w:fldChar w:fldCharType="begin"/>
            </w:r>
            <w:r w:rsidR="00AD2968">
              <w:rPr>
                <w:webHidden/>
              </w:rPr>
              <w:instrText xml:space="preserve"> PAGEREF _Toc479781917 \h </w:instrText>
            </w:r>
            <w:r w:rsidR="00AD2968">
              <w:rPr>
                <w:webHidden/>
              </w:rPr>
            </w:r>
            <w:r w:rsidR="00AD2968">
              <w:rPr>
                <w:webHidden/>
              </w:rPr>
              <w:fldChar w:fldCharType="separate"/>
            </w:r>
            <w:r w:rsidR="000F5776">
              <w:rPr>
                <w:webHidden/>
              </w:rPr>
              <w:t>8</w:t>
            </w:r>
            <w:r w:rsidR="00AD2968">
              <w:rPr>
                <w:webHidden/>
              </w:rPr>
              <w:fldChar w:fldCharType="end"/>
            </w:r>
          </w:hyperlink>
        </w:p>
        <w:p w:rsidR="00AD2968" w:rsidRDefault="00E731FD">
          <w:pPr>
            <w:pStyle w:val="TOC1"/>
            <w:rPr>
              <w:rFonts w:asciiTheme="minorHAnsi" w:eastAsiaTheme="minorEastAsia" w:hAnsiTheme="minorHAnsi"/>
              <w:lang w:val="en-AU" w:eastAsia="en-AU"/>
            </w:rPr>
          </w:pPr>
          <w:hyperlink w:anchor="_Toc479781918" w:history="1">
            <w:r w:rsidR="00AD2968" w:rsidRPr="00FC3B9B">
              <w:rPr>
                <w:rStyle w:val="Hyperlink"/>
              </w:rPr>
              <w:t>3.</w:t>
            </w:r>
            <w:r w:rsidR="00AD2968">
              <w:rPr>
                <w:rFonts w:asciiTheme="minorHAnsi" w:eastAsiaTheme="minorEastAsia" w:hAnsiTheme="minorHAnsi"/>
                <w:lang w:val="en-AU" w:eastAsia="en-AU"/>
              </w:rPr>
              <w:tab/>
            </w:r>
            <w:r w:rsidR="00AD2968" w:rsidRPr="00FC3B9B">
              <w:rPr>
                <w:rStyle w:val="Hyperlink"/>
              </w:rPr>
              <w:t>Objective of the Framework</w:t>
            </w:r>
            <w:r w:rsidR="00AD2968">
              <w:rPr>
                <w:webHidden/>
              </w:rPr>
              <w:tab/>
            </w:r>
            <w:r w:rsidR="00AD2968">
              <w:rPr>
                <w:webHidden/>
              </w:rPr>
              <w:fldChar w:fldCharType="begin"/>
            </w:r>
            <w:r w:rsidR="00AD2968">
              <w:rPr>
                <w:webHidden/>
              </w:rPr>
              <w:instrText xml:space="preserve"> PAGEREF _Toc479781918 \h </w:instrText>
            </w:r>
            <w:r w:rsidR="00AD2968">
              <w:rPr>
                <w:webHidden/>
              </w:rPr>
            </w:r>
            <w:r w:rsidR="00AD2968">
              <w:rPr>
                <w:webHidden/>
              </w:rPr>
              <w:fldChar w:fldCharType="separate"/>
            </w:r>
            <w:r w:rsidR="000F5776">
              <w:rPr>
                <w:webHidden/>
              </w:rPr>
              <w:t>8</w:t>
            </w:r>
            <w:r w:rsidR="00AD2968">
              <w:rPr>
                <w:webHidden/>
              </w:rPr>
              <w:fldChar w:fldCharType="end"/>
            </w:r>
          </w:hyperlink>
        </w:p>
        <w:p w:rsidR="00AD2968" w:rsidRDefault="00E731FD">
          <w:pPr>
            <w:pStyle w:val="TOC1"/>
            <w:rPr>
              <w:rFonts w:asciiTheme="minorHAnsi" w:eastAsiaTheme="minorEastAsia" w:hAnsiTheme="minorHAnsi"/>
              <w:lang w:val="en-AU" w:eastAsia="en-AU"/>
            </w:rPr>
          </w:pPr>
          <w:hyperlink w:anchor="_Toc479781919" w:history="1">
            <w:r w:rsidR="00AD2968" w:rsidRPr="00FC3B9B">
              <w:rPr>
                <w:rStyle w:val="Hyperlink"/>
              </w:rPr>
              <w:t>4.</w:t>
            </w:r>
            <w:r w:rsidR="00AD2968">
              <w:rPr>
                <w:rFonts w:asciiTheme="minorHAnsi" w:eastAsiaTheme="minorEastAsia" w:hAnsiTheme="minorHAnsi"/>
                <w:lang w:val="en-AU" w:eastAsia="en-AU"/>
              </w:rPr>
              <w:tab/>
            </w:r>
            <w:r w:rsidR="00AD2968" w:rsidRPr="00FC3B9B">
              <w:rPr>
                <w:rStyle w:val="Hyperlink"/>
              </w:rPr>
              <w:t>Information Disclosure</w:t>
            </w:r>
            <w:r w:rsidR="00AD2968">
              <w:rPr>
                <w:webHidden/>
              </w:rPr>
              <w:tab/>
            </w:r>
            <w:r w:rsidR="00AD2968">
              <w:rPr>
                <w:webHidden/>
              </w:rPr>
              <w:fldChar w:fldCharType="begin"/>
            </w:r>
            <w:r w:rsidR="00AD2968">
              <w:rPr>
                <w:webHidden/>
              </w:rPr>
              <w:instrText xml:space="preserve"> PAGEREF _Toc479781919 \h </w:instrText>
            </w:r>
            <w:r w:rsidR="00AD2968">
              <w:rPr>
                <w:webHidden/>
              </w:rPr>
            </w:r>
            <w:r w:rsidR="00AD2968">
              <w:rPr>
                <w:webHidden/>
              </w:rPr>
              <w:fldChar w:fldCharType="separate"/>
            </w:r>
            <w:r w:rsidR="000F5776">
              <w:rPr>
                <w:webHidden/>
              </w:rPr>
              <w:t>9</w:t>
            </w:r>
            <w:r w:rsidR="00AD2968">
              <w:rPr>
                <w:webHidden/>
              </w:rPr>
              <w:fldChar w:fldCharType="end"/>
            </w:r>
          </w:hyperlink>
        </w:p>
        <w:p w:rsidR="00AD2968" w:rsidRDefault="00E731FD">
          <w:pPr>
            <w:pStyle w:val="TOC2"/>
            <w:rPr>
              <w:rFonts w:asciiTheme="minorHAnsi" w:eastAsiaTheme="minorEastAsia" w:hAnsiTheme="minorHAnsi"/>
              <w:lang w:eastAsia="en-AU"/>
            </w:rPr>
          </w:pPr>
          <w:hyperlink w:anchor="_Toc479781920" w:history="1">
            <w:r w:rsidR="00AD2968" w:rsidRPr="00FC3B9B">
              <w:rPr>
                <w:rStyle w:val="Hyperlink"/>
              </w:rPr>
              <w:t>4.1.</w:t>
            </w:r>
            <w:r w:rsidR="00AD2968">
              <w:rPr>
                <w:rFonts w:asciiTheme="minorHAnsi" w:eastAsiaTheme="minorEastAsia" w:hAnsiTheme="minorHAnsi"/>
                <w:lang w:eastAsia="en-AU"/>
              </w:rPr>
              <w:tab/>
            </w:r>
            <w:r w:rsidR="00AD2968" w:rsidRPr="00FC3B9B">
              <w:rPr>
                <w:rStyle w:val="Hyperlink"/>
              </w:rPr>
              <w:t>Disclosure of cost information</w:t>
            </w:r>
            <w:r w:rsidR="00AD2968">
              <w:rPr>
                <w:webHidden/>
              </w:rPr>
              <w:tab/>
            </w:r>
            <w:r w:rsidR="00AD2968">
              <w:rPr>
                <w:webHidden/>
              </w:rPr>
              <w:fldChar w:fldCharType="begin"/>
            </w:r>
            <w:r w:rsidR="00AD2968">
              <w:rPr>
                <w:webHidden/>
              </w:rPr>
              <w:instrText xml:space="preserve"> PAGEREF _Toc479781920 \h </w:instrText>
            </w:r>
            <w:r w:rsidR="00AD2968">
              <w:rPr>
                <w:webHidden/>
              </w:rPr>
            </w:r>
            <w:r w:rsidR="00AD2968">
              <w:rPr>
                <w:webHidden/>
              </w:rPr>
              <w:fldChar w:fldCharType="separate"/>
            </w:r>
            <w:r w:rsidR="000F5776">
              <w:rPr>
                <w:webHidden/>
              </w:rPr>
              <w:t>10</w:t>
            </w:r>
            <w:r w:rsidR="00AD2968">
              <w:rPr>
                <w:webHidden/>
              </w:rPr>
              <w:fldChar w:fldCharType="end"/>
            </w:r>
          </w:hyperlink>
        </w:p>
        <w:p w:rsidR="00AD2968" w:rsidRDefault="00E731FD">
          <w:pPr>
            <w:pStyle w:val="TOC2"/>
            <w:rPr>
              <w:rFonts w:asciiTheme="minorHAnsi" w:eastAsiaTheme="minorEastAsia" w:hAnsiTheme="minorHAnsi"/>
              <w:lang w:eastAsia="en-AU"/>
            </w:rPr>
          </w:pPr>
          <w:hyperlink w:anchor="_Toc479781921" w:history="1">
            <w:r w:rsidR="00AD2968" w:rsidRPr="00FC3B9B">
              <w:rPr>
                <w:rStyle w:val="Hyperlink"/>
              </w:rPr>
              <w:t>4.2.</w:t>
            </w:r>
            <w:r w:rsidR="00AD2968">
              <w:rPr>
                <w:rFonts w:asciiTheme="minorHAnsi" w:eastAsiaTheme="minorEastAsia" w:hAnsiTheme="minorHAnsi"/>
                <w:lang w:eastAsia="en-AU"/>
              </w:rPr>
              <w:tab/>
            </w:r>
            <w:r w:rsidR="00AD2968" w:rsidRPr="00FC3B9B">
              <w:rPr>
                <w:rStyle w:val="Hyperlink"/>
              </w:rPr>
              <w:t>Level of cost information</w:t>
            </w:r>
            <w:r w:rsidR="00AD2968">
              <w:rPr>
                <w:webHidden/>
              </w:rPr>
              <w:tab/>
            </w:r>
            <w:r w:rsidR="00AD2968">
              <w:rPr>
                <w:webHidden/>
              </w:rPr>
              <w:fldChar w:fldCharType="begin"/>
            </w:r>
            <w:r w:rsidR="00AD2968">
              <w:rPr>
                <w:webHidden/>
              </w:rPr>
              <w:instrText xml:space="preserve"> PAGEREF _Toc479781921 \h </w:instrText>
            </w:r>
            <w:r w:rsidR="00AD2968">
              <w:rPr>
                <w:webHidden/>
              </w:rPr>
            </w:r>
            <w:r w:rsidR="00AD2968">
              <w:rPr>
                <w:webHidden/>
              </w:rPr>
              <w:fldChar w:fldCharType="separate"/>
            </w:r>
            <w:r w:rsidR="000F5776">
              <w:rPr>
                <w:webHidden/>
              </w:rPr>
              <w:t>10</w:t>
            </w:r>
            <w:r w:rsidR="00AD2968">
              <w:rPr>
                <w:webHidden/>
              </w:rPr>
              <w:fldChar w:fldCharType="end"/>
            </w:r>
          </w:hyperlink>
        </w:p>
        <w:p w:rsidR="00AD2968" w:rsidRDefault="00E731FD">
          <w:pPr>
            <w:pStyle w:val="TOC2"/>
            <w:rPr>
              <w:rFonts w:asciiTheme="minorHAnsi" w:eastAsiaTheme="minorEastAsia" w:hAnsiTheme="minorHAnsi"/>
              <w:lang w:eastAsia="en-AU"/>
            </w:rPr>
          </w:pPr>
          <w:hyperlink w:anchor="_Toc479781924" w:history="1">
            <w:r w:rsidR="00AD2968" w:rsidRPr="00FC3B9B">
              <w:rPr>
                <w:rStyle w:val="Hyperlink"/>
              </w:rPr>
              <w:t>4.3.</w:t>
            </w:r>
            <w:r w:rsidR="00AD2968">
              <w:rPr>
                <w:rFonts w:asciiTheme="minorHAnsi" w:eastAsiaTheme="minorEastAsia" w:hAnsiTheme="minorHAnsi"/>
                <w:lang w:eastAsia="en-AU"/>
              </w:rPr>
              <w:tab/>
            </w:r>
            <w:r w:rsidR="00AD2968" w:rsidRPr="00FC3B9B">
              <w:rPr>
                <w:rStyle w:val="Hyperlink"/>
              </w:rPr>
              <w:t>Exemptions</w:t>
            </w:r>
            <w:r w:rsidR="00AD2968">
              <w:rPr>
                <w:webHidden/>
              </w:rPr>
              <w:tab/>
            </w:r>
            <w:r w:rsidR="00AD2968">
              <w:rPr>
                <w:webHidden/>
              </w:rPr>
              <w:fldChar w:fldCharType="begin"/>
            </w:r>
            <w:r w:rsidR="00AD2968">
              <w:rPr>
                <w:webHidden/>
              </w:rPr>
              <w:instrText xml:space="preserve"> PAGEREF _Toc479781924 \h </w:instrText>
            </w:r>
            <w:r w:rsidR="00AD2968">
              <w:rPr>
                <w:webHidden/>
              </w:rPr>
            </w:r>
            <w:r w:rsidR="00AD2968">
              <w:rPr>
                <w:webHidden/>
              </w:rPr>
              <w:fldChar w:fldCharType="separate"/>
            </w:r>
            <w:r w:rsidR="000F5776">
              <w:rPr>
                <w:webHidden/>
              </w:rPr>
              <w:t>12</w:t>
            </w:r>
            <w:r w:rsidR="00AD2968">
              <w:rPr>
                <w:webHidden/>
              </w:rPr>
              <w:fldChar w:fldCharType="end"/>
            </w:r>
          </w:hyperlink>
        </w:p>
        <w:p w:rsidR="00AD2968" w:rsidRDefault="00E731FD">
          <w:pPr>
            <w:pStyle w:val="TOC2"/>
            <w:rPr>
              <w:rFonts w:asciiTheme="minorHAnsi" w:eastAsiaTheme="minorEastAsia" w:hAnsiTheme="minorHAnsi"/>
              <w:lang w:eastAsia="en-AU"/>
            </w:rPr>
          </w:pPr>
          <w:hyperlink w:anchor="_Toc479781925" w:history="1">
            <w:r w:rsidR="00AD2968" w:rsidRPr="00FC3B9B">
              <w:rPr>
                <w:rStyle w:val="Hyperlink"/>
              </w:rPr>
              <w:t>4.4.</w:t>
            </w:r>
            <w:r w:rsidR="00AD2968">
              <w:rPr>
                <w:rFonts w:asciiTheme="minorHAnsi" w:eastAsiaTheme="minorEastAsia" w:hAnsiTheme="minorHAnsi"/>
                <w:lang w:eastAsia="en-AU"/>
              </w:rPr>
              <w:tab/>
            </w:r>
            <w:r w:rsidR="00AD2968" w:rsidRPr="00FC3B9B">
              <w:rPr>
                <w:rStyle w:val="Hyperlink"/>
              </w:rPr>
              <w:t>Compliance</w:t>
            </w:r>
            <w:r w:rsidR="00AD2968">
              <w:rPr>
                <w:webHidden/>
              </w:rPr>
              <w:tab/>
            </w:r>
            <w:r w:rsidR="00AD2968">
              <w:rPr>
                <w:webHidden/>
              </w:rPr>
              <w:fldChar w:fldCharType="begin"/>
            </w:r>
            <w:r w:rsidR="00AD2968">
              <w:rPr>
                <w:webHidden/>
              </w:rPr>
              <w:instrText xml:space="preserve"> PAGEREF _Toc479781925 \h </w:instrText>
            </w:r>
            <w:r w:rsidR="00AD2968">
              <w:rPr>
                <w:webHidden/>
              </w:rPr>
            </w:r>
            <w:r w:rsidR="00AD2968">
              <w:rPr>
                <w:webHidden/>
              </w:rPr>
              <w:fldChar w:fldCharType="separate"/>
            </w:r>
            <w:r w:rsidR="000F5776">
              <w:rPr>
                <w:webHidden/>
              </w:rPr>
              <w:t>14</w:t>
            </w:r>
            <w:r w:rsidR="00AD2968">
              <w:rPr>
                <w:webHidden/>
              </w:rPr>
              <w:fldChar w:fldCharType="end"/>
            </w:r>
          </w:hyperlink>
        </w:p>
        <w:p w:rsidR="00AD2968" w:rsidRDefault="00E731FD">
          <w:pPr>
            <w:pStyle w:val="TOC3"/>
            <w:rPr>
              <w:rFonts w:asciiTheme="minorHAnsi" w:eastAsiaTheme="minorEastAsia" w:hAnsiTheme="minorHAnsi"/>
              <w:lang w:eastAsia="en-AU"/>
            </w:rPr>
          </w:pPr>
          <w:hyperlink w:anchor="_Toc479781926" w:history="1">
            <w:r w:rsidR="00AD2968" w:rsidRPr="00FC3B9B">
              <w:rPr>
                <w:rStyle w:val="Hyperlink"/>
              </w:rPr>
              <w:t>Civil penalty provisions</w:t>
            </w:r>
            <w:r w:rsidR="00AD2968">
              <w:rPr>
                <w:webHidden/>
              </w:rPr>
              <w:tab/>
            </w:r>
            <w:r w:rsidR="00AD2968">
              <w:rPr>
                <w:webHidden/>
              </w:rPr>
              <w:fldChar w:fldCharType="begin"/>
            </w:r>
            <w:r w:rsidR="00AD2968">
              <w:rPr>
                <w:webHidden/>
              </w:rPr>
              <w:instrText xml:space="preserve"> PAGEREF _Toc479781926 \h </w:instrText>
            </w:r>
            <w:r w:rsidR="00AD2968">
              <w:rPr>
                <w:webHidden/>
              </w:rPr>
            </w:r>
            <w:r w:rsidR="00AD2968">
              <w:rPr>
                <w:webHidden/>
              </w:rPr>
              <w:fldChar w:fldCharType="separate"/>
            </w:r>
            <w:r w:rsidR="000F5776">
              <w:rPr>
                <w:webHidden/>
              </w:rPr>
              <w:t>14</w:t>
            </w:r>
            <w:r w:rsidR="00AD2968">
              <w:rPr>
                <w:webHidden/>
              </w:rPr>
              <w:fldChar w:fldCharType="end"/>
            </w:r>
          </w:hyperlink>
        </w:p>
        <w:p w:rsidR="00AD2968" w:rsidRDefault="00E731FD">
          <w:pPr>
            <w:pStyle w:val="TOC3"/>
            <w:rPr>
              <w:rFonts w:asciiTheme="minorHAnsi" w:eastAsiaTheme="minorEastAsia" w:hAnsiTheme="minorHAnsi"/>
              <w:lang w:eastAsia="en-AU"/>
            </w:rPr>
          </w:pPr>
          <w:hyperlink w:anchor="_Toc479781927" w:history="1">
            <w:r w:rsidR="00AD2968" w:rsidRPr="00FC3B9B">
              <w:rPr>
                <w:rStyle w:val="Hyperlink"/>
              </w:rPr>
              <w:t>Conduct provisions</w:t>
            </w:r>
            <w:r w:rsidR="00AD2968">
              <w:rPr>
                <w:webHidden/>
              </w:rPr>
              <w:tab/>
            </w:r>
            <w:r w:rsidR="00AD2968">
              <w:rPr>
                <w:webHidden/>
              </w:rPr>
              <w:fldChar w:fldCharType="begin"/>
            </w:r>
            <w:r w:rsidR="00AD2968">
              <w:rPr>
                <w:webHidden/>
              </w:rPr>
              <w:instrText xml:space="preserve"> PAGEREF _Toc479781927 \h </w:instrText>
            </w:r>
            <w:r w:rsidR="00AD2968">
              <w:rPr>
                <w:webHidden/>
              </w:rPr>
            </w:r>
            <w:r w:rsidR="00AD2968">
              <w:rPr>
                <w:webHidden/>
              </w:rPr>
              <w:fldChar w:fldCharType="separate"/>
            </w:r>
            <w:r w:rsidR="000F5776">
              <w:rPr>
                <w:webHidden/>
              </w:rPr>
              <w:t>14</w:t>
            </w:r>
            <w:r w:rsidR="00AD2968">
              <w:rPr>
                <w:webHidden/>
              </w:rPr>
              <w:fldChar w:fldCharType="end"/>
            </w:r>
          </w:hyperlink>
        </w:p>
        <w:p w:rsidR="00AD2968" w:rsidRDefault="00E731FD">
          <w:pPr>
            <w:pStyle w:val="TOC3"/>
            <w:rPr>
              <w:rFonts w:asciiTheme="minorHAnsi" w:eastAsiaTheme="minorEastAsia" w:hAnsiTheme="minorHAnsi"/>
              <w:lang w:eastAsia="en-AU"/>
            </w:rPr>
          </w:pPr>
          <w:hyperlink w:anchor="_Toc479781928" w:history="1">
            <w:r w:rsidR="00AD2968" w:rsidRPr="00FC3B9B">
              <w:rPr>
                <w:rStyle w:val="Hyperlink"/>
                <w:iCs/>
              </w:rPr>
              <w:t>Reporting standard</w:t>
            </w:r>
            <w:r w:rsidR="00AD2968">
              <w:rPr>
                <w:webHidden/>
              </w:rPr>
              <w:tab/>
            </w:r>
            <w:r w:rsidR="00AD2968">
              <w:rPr>
                <w:webHidden/>
              </w:rPr>
              <w:fldChar w:fldCharType="begin"/>
            </w:r>
            <w:r w:rsidR="00AD2968">
              <w:rPr>
                <w:webHidden/>
              </w:rPr>
              <w:instrText xml:space="preserve"> PAGEREF _Toc479781928 \h </w:instrText>
            </w:r>
            <w:r w:rsidR="00AD2968">
              <w:rPr>
                <w:webHidden/>
              </w:rPr>
            </w:r>
            <w:r w:rsidR="00AD2968">
              <w:rPr>
                <w:webHidden/>
              </w:rPr>
              <w:fldChar w:fldCharType="separate"/>
            </w:r>
            <w:r w:rsidR="000F5776">
              <w:rPr>
                <w:webHidden/>
              </w:rPr>
              <w:t>14</w:t>
            </w:r>
            <w:r w:rsidR="00AD2968">
              <w:rPr>
                <w:webHidden/>
              </w:rPr>
              <w:fldChar w:fldCharType="end"/>
            </w:r>
          </w:hyperlink>
        </w:p>
        <w:p w:rsidR="00AD2968" w:rsidRDefault="00E731FD">
          <w:pPr>
            <w:pStyle w:val="TOC2"/>
            <w:rPr>
              <w:rFonts w:asciiTheme="minorHAnsi" w:eastAsiaTheme="minorEastAsia" w:hAnsiTheme="minorHAnsi"/>
              <w:lang w:eastAsia="en-AU"/>
            </w:rPr>
          </w:pPr>
          <w:hyperlink w:anchor="_Toc479781929" w:history="1">
            <w:r w:rsidR="00AD2968" w:rsidRPr="00FC3B9B">
              <w:rPr>
                <w:rStyle w:val="Hyperlink"/>
              </w:rPr>
              <w:t>4.5.</w:t>
            </w:r>
            <w:r w:rsidR="00AD2968">
              <w:rPr>
                <w:rFonts w:asciiTheme="minorHAnsi" w:eastAsiaTheme="minorEastAsia" w:hAnsiTheme="minorHAnsi"/>
                <w:lang w:eastAsia="en-AU"/>
              </w:rPr>
              <w:tab/>
            </w:r>
            <w:r w:rsidR="00AD2968" w:rsidRPr="00FC3B9B">
              <w:rPr>
                <w:rStyle w:val="Hyperlink"/>
              </w:rPr>
              <w:t>Other implementation issues</w:t>
            </w:r>
            <w:r w:rsidR="00AD2968">
              <w:rPr>
                <w:webHidden/>
              </w:rPr>
              <w:tab/>
            </w:r>
            <w:r w:rsidR="00AD2968">
              <w:rPr>
                <w:webHidden/>
              </w:rPr>
              <w:fldChar w:fldCharType="begin"/>
            </w:r>
            <w:r w:rsidR="00AD2968">
              <w:rPr>
                <w:webHidden/>
              </w:rPr>
              <w:instrText xml:space="preserve"> PAGEREF _Toc479781929 \h </w:instrText>
            </w:r>
            <w:r w:rsidR="00AD2968">
              <w:rPr>
                <w:webHidden/>
              </w:rPr>
            </w:r>
            <w:r w:rsidR="00AD2968">
              <w:rPr>
                <w:webHidden/>
              </w:rPr>
              <w:fldChar w:fldCharType="separate"/>
            </w:r>
            <w:r w:rsidR="000F5776">
              <w:rPr>
                <w:webHidden/>
              </w:rPr>
              <w:t>14</w:t>
            </w:r>
            <w:r w:rsidR="00AD2968">
              <w:rPr>
                <w:webHidden/>
              </w:rPr>
              <w:fldChar w:fldCharType="end"/>
            </w:r>
          </w:hyperlink>
        </w:p>
        <w:p w:rsidR="00AD2968" w:rsidRDefault="00E731FD">
          <w:pPr>
            <w:pStyle w:val="TOC3"/>
            <w:rPr>
              <w:rFonts w:asciiTheme="minorHAnsi" w:eastAsiaTheme="minorEastAsia" w:hAnsiTheme="minorHAnsi"/>
              <w:lang w:eastAsia="en-AU"/>
            </w:rPr>
          </w:pPr>
          <w:hyperlink w:anchor="_Toc479781930" w:history="1">
            <w:r w:rsidR="00AD2968" w:rsidRPr="00FC3B9B">
              <w:rPr>
                <w:rStyle w:val="Hyperlink"/>
              </w:rPr>
              <w:t>Publication of information</w:t>
            </w:r>
            <w:r w:rsidR="00AD2968">
              <w:rPr>
                <w:webHidden/>
              </w:rPr>
              <w:tab/>
            </w:r>
            <w:r w:rsidR="00AD2968">
              <w:rPr>
                <w:webHidden/>
              </w:rPr>
              <w:fldChar w:fldCharType="begin"/>
            </w:r>
            <w:r w:rsidR="00AD2968">
              <w:rPr>
                <w:webHidden/>
              </w:rPr>
              <w:instrText xml:space="preserve"> PAGEREF _Toc479781930 \h </w:instrText>
            </w:r>
            <w:r w:rsidR="00AD2968">
              <w:rPr>
                <w:webHidden/>
              </w:rPr>
            </w:r>
            <w:r w:rsidR="00AD2968">
              <w:rPr>
                <w:webHidden/>
              </w:rPr>
              <w:fldChar w:fldCharType="separate"/>
            </w:r>
            <w:r w:rsidR="000F5776">
              <w:rPr>
                <w:webHidden/>
              </w:rPr>
              <w:t>14</w:t>
            </w:r>
            <w:r w:rsidR="00AD2968">
              <w:rPr>
                <w:webHidden/>
              </w:rPr>
              <w:fldChar w:fldCharType="end"/>
            </w:r>
          </w:hyperlink>
        </w:p>
        <w:p w:rsidR="00AD2968" w:rsidRDefault="00E731FD">
          <w:pPr>
            <w:pStyle w:val="TOC3"/>
            <w:rPr>
              <w:rFonts w:asciiTheme="minorHAnsi" w:eastAsiaTheme="minorEastAsia" w:hAnsiTheme="minorHAnsi"/>
              <w:lang w:eastAsia="en-AU"/>
            </w:rPr>
          </w:pPr>
          <w:hyperlink w:anchor="_Toc479781931" w:history="1">
            <w:r w:rsidR="00AD2968" w:rsidRPr="00FC3B9B">
              <w:rPr>
                <w:rStyle w:val="Hyperlink"/>
              </w:rPr>
              <w:t>Timing</w:t>
            </w:r>
            <w:r w:rsidR="000B7023">
              <w:rPr>
                <w:rStyle w:val="Hyperlink"/>
              </w:rPr>
              <w:t>…..</w:t>
            </w:r>
            <w:r w:rsidR="00AD2968">
              <w:rPr>
                <w:webHidden/>
              </w:rPr>
              <w:tab/>
            </w:r>
            <w:r w:rsidR="00AD2968">
              <w:rPr>
                <w:webHidden/>
              </w:rPr>
              <w:fldChar w:fldCharType="begin"/>
            </w:r>
            <w:r w:rsidR="00AD2968">
              <w:rPr>
                <w:webHidden/>
              </w:rPr>
              <w:instrText xml:space="preserve"> PAGEREF _Toc479781931 \h </w:instrText>
            </w:r>
            <w:r w:rsidR="00AD2968">
              <w:rPr>
                <w:webHidden/>
              </w:rPr>
            </w:r>
            <w:r w:rsidR="00AD2968">
              <w:rPr>
                <w:webHidden/>
              </w:rPr>
              <w:fldChar w:fldCharType="separate"/>
            </w:r>
            <w:r w:rsidR="000F5776">
              <w:rPr>
                <w:webHidden/>
              </w:rPr>
              <w:t>14</w:t>
            </w:r>
            <w:r w:rsidR="00AD2968">
              <w:rPr>
                <w:webHidden/>
              </w:rPr>
              <w:fldChar w:fldCharType="end"/>
            </w:r>
          </w:hyperlink>
        </w:p>
        <w:p w:rsidR="00AD2968" w:rsidRDefault="00E731FD">
          <w:pPr>
            <w:pStyle w:val="TOC3"/>
            <w:rPr>
              <w:rFonts w:asciiTheme="minorHAnsi" w:eastAsiaTheme="minorEastAsia" w:hAnsiTheme="minorHAnsi"/>
              <w:lang w:eastAsia="en-AU"/>
            </w:rPr>
          </w:pPr>
          <w:hyperlink w:anchor="_Toc479781932" w:history="1">
            <w:r w:rsidR="00AD2968" w:rsidRPr="00FC3B9B">
              <w:rPr>
                <w:rStyle w:val="Hyperlink"/>
              </w:rPr>
              <w:t>Costs of investigations</w:t>
            </w:r>
            <w:r w:rsidR="00AD2968">
              <w:rPr>
                <w:webHidden/>
              </w:rPr>
              <w:tab/>
            </w:r>
            <w:r w:rsidR="00AD2968">
              <w:rPr>
                <w:webHidden/>
              </w:rPr>
              <w:fldChar w:fldCharType="begin"/>
            </w:r>
            <w:r w:rsidR="00AD2968">
              <w:rPr>
                <w:webHidden/>
              </w:rPr>
              <w:instrText xml:space="preserve"> PAGEREF _Toc479781932 \h </w:instrText>
            </w:r>
            <w:r w:rsidR="00AD2968">
              <w:rPr>
                <w:webHidden/>
              </w:rPr>
            </w:r>
            <w:r w:rsidR="00AD2968">
              <w:rPr>
                <w:webHidden/>
              </w:rPr>
              <w:fldChar w:fldCharType="separate"/>
            </w:r>
            <w:r w:rsidR="000F5776">
              <w:rPr>
                <w:webHidden/>
              </w:rPr>
              <w:t>15</w:t>
            </w:r>
            <w:r w:rsidR="00AD2968">
              <w:rPr>
                <w:webHidden/>
              </w:rPr>
              <w:fldChar w:fldCharType="end"/>
            </w:r>
          </w:hyperlink>
        </w:p>
        <w:p w:rsidR="00AD2968" w:rsidRDefault="00E731FD">
          <w:pPr>
            <w:pStyle w:val="TOC1"/>
            <w:rPr>
              <w:rFonts w:asciiTheme="minorHAnsi" w:eastAsiaTheme="minorEastAsia" w:hAnsiTheme="minorHAnsi"/>
              <w:lang w:val="en-AU" w:eastAsia="en-AU"/>
            </w:rPr>
          </w:pPr>
          <w:hyperlink w:anchor="_Toc479781933" w:history="1">
            <w:r w:rsidR="00AD2968" w:rsidRPr="00FC3B9B">
              <w:rPr>
                <w:rStyle w:val="Hyperlink"/>
              </w:rPr>
              <w:t>5.</w:t>
            </w:r>
            <w:r w:rsidR="00AD2968">
              <w:rPr>
                <w:rFonts w:asciiTheme="minorHAnsi" w:eastAsiaTheme="minorEastAsia" w:hAnsiTheme="minorHAnsi"/>
                <w:lang w:val="en-AU" w:eastAsia="en-AU"/>
              </w:rPr>
              <w:tab/>
            </w:r>
            <w:r w:rsidR="00AD2968" w:rsidRPr="00FC3B9B">
              <w:rPr>
                <w:rStyle w:val="Hyperlink"/>
              </w:rPr>
              <w:t>Arbitration Mechanism</w:t>
            </w:r>
            <w:r w:rsidR="00AD2968">
              <w:rPr>
                <w:webHidden/>
              </w:rPr>
              <w:tab/>
            </w:r>
            <w:r w:rsidR="00AD2968">
              <w:rPr>
                <w:webHidden/>
              </w:rPr>
              <w:fldChar w:fldCharType="begin"/>
            </w:r>
            <w:r w:rsidR="00AD2968">
              <w:rPr>
                <w:webHidden/>
              </w:rPr>
              <w:instrText xml:space="preserve"> PAGEREF _Toc479781933 \h </w:instrText>
            </w:r>
            <w:r w:rsidR="00AD2968">
              <w:rPr>
                <w:webHidden/>
              </w:rPr>
            </w:r>
            <w:r w:rsidR="00AD2968">
              <w:rPr>
                <w:webHidden/>
              </w:rPr>
              <w:fldChar w:fldCharType="separate"/>
            </w:r>
            <w:r w:rsidR="000F5776">
              <w:rPr>
                <w:webHidden/>
              </w:rPr>
              <w:t>15</w:t>
            </w:r>
            <w:r w:rsidR="00AD2968">
              <w:rPr>
                <w:webHidden/>
              </w:rPr>
              <w:fldChar w:fldCharType="end"/>
            </w:r>
          </w:hyperlink>
        </w:p>
        <w:p w:rsidR="00AD2968" w:rsidRDefault="00E731FD">
          <w:pPr>
            <w:pStyle w:val="TOC2"/>
            <w:rPr>
              <w:rFonts w:asciiTheme="minorHAnsi" w:eastAsiaTheme="minorEastAsia" w:hAnsiTheme="minorHAnsi"/>
              <w:lang w:eastAsia="en-AU"/>
            </w:rPr>
          </w:pPr>
          <w:hyperlink w:anchor="_Toc479781934" w:history="1">
            <w:r w:rsidR="00AD2968" w:rsidRPr="00FC3B9B">
              <w:rPr>
                <w:rStyle w:val="Hyperlink"/>
              </w:rPr>
              <w:t>5.1.</w:t>
            </w:r>
            <w:r w:rsidR="00AD2968">
              <w:rPr>
                <w:rFonts w:asciiTheme="minorHAnsi" w:eastAsiaTheme="minorEastAsia" w:hAnsiTheme="minorHAnsi"/>
                <w:lang w:eastAsia="en-AU"/>
              </w:rPr>
              <w:tab/>
            </w:r>
            <w:r w:rsidR="00AD2968" w:rsidRPr="00FC3B9B">
              <w:rPr>
                <w:rStyle w:val="Hyperlink"/>
              </w:rPr>
              <w:t>Arbitration options</w:t>
            </w:r>
            <w:r w:rsidR="00AD2968">
              <w:rPr>
                <w:webHidden/>
              </w:rPr>
              <w:tab/>
            </w:r>
            <w:r w:rsidR="00AD2968">
              <w:rPr>
                <w:webHidden/>
              </w:rPr>
              <w:fldChar w:fldCharType="begin"/>
            </w:r>
            <w:r w:rsidR="00AD2968">
              <w:rPr>
                <w:webHidden/>
              </w:rPr>
              <w:instrText xml:space="preserve"> PAGEREF _Toc479781934 \h </w:instrText>
            </w:r>
            <w:r w:rsidR="00AD2968">
              <w:rPr>
                <w:webHidden/>
              </w:rPr>
            </w:r>
            <w:r w:rsidR="00AD2968">
              <w:rPr>
                <w:webHidden/>
              </w:rPr>
              <w:fldChar w:fldCharType="separate"/>
            </w:r>
            <w:r w:rsidR="000F5776">
              <w:rPr>
                <w:webHidden/>
              </w:rPr>
              <w:t>15</w:t>
            </w:r>
            <w:r w:rsidR="00AD2968">
              <w:rPr>
                <w:webHidden/>
              </w:rPr>
              <w:fldChar w:fldCharType="end"/>
            </w:r>
          </w:hyperlink>
        </w:p>
        <w:p w:rsidR="00AD2968" w:rsidRDefault="00E731FD" w:rsidP="00AD2968">
          <w:pPr>
            <w:pStyle w:val="TOC2"/>
            <w:rPr>
              <w:rFonts w:asciiTheme="minorHAnsi" w:eastAsiaTheme="minorEastAsia" w:hAnsiTheme="minorHAnsi"/>
              <w:lang w:eastAsia="en-AU"/>
            </w:rPr>
          </w:pPr>
          <w:hyperlink w:anchor="_Toc479781935" w:history="1">
            <w:r w:rsidR="00AD2968" w:rsidRPr="00FC3B9B">
              <w:rPr>
                <w:rStyle w:val="Hyperlink"/>
              </w:rPr>
              <w:t>5.2.</w:t>
            </w:r>
            <w:r w:rsidR="00AD2968">
              <w:rPr>
                <w:rFonts w:asciiTheme="minorHAnsi" w:eastAsiaTheme="minorEastAsia" w:hAnsiTheme="minorHAnsi"/>
                <w:lang w:eastAsia="en-AU"/>
              </w:rPr>
              <w:tab/>
            </w:r>
            <w:r w:rsidR="00AD2968" w:rsidRPr="00FC3B9B">
              <w:rPr>
                <w:rStyle w:val="Hyperlink"/>
              </w:rPr>
              <w:t>Access to arbitration</w:t>
            </w:r>
            <w:r w:rsidR="00AD2968">
              <w:rPr>
                <w:webHidden/>
              </w:rPr>
              <w:tab/>
            </w:r>
            <w:r w:rsidR="00AD2968">
              <w:rPr>
                <w:webHidden/>
              </w:rPr>
              <w:fldChar w:fldCharType="begin"/>
            </w:r>
            <w:r w:rsidR="00AD2968">
              <w:rPr>
                <w:webHidden/>
              </w:rPr>
              <w:instrText xml:space="preserve"> PAGEREF _Toc479781935 \h </w:instrText>
            </w:r>
            <w:r w:rsidR="00AD2968">
              <w:rPr>
                <w:webHidden/>
              </w:rPr>
            </w:r>
            <w:r w:rsidR="00AD2968">
              <w:rPr>
                <w:webHidden/>
              </w:rPr>
              <w:fldChar w:fldCharType="separate"/>
            </w:r>
            <w:r w:rsidR="000F5776">
              <w:rPr>
                <w:webHidden/>
              </w:rPr>
              <w:t>16</w:t>
            </w:r>
            <w:r w:rsidR="00AD2968">
              <w:rPr>
                <w:webHidden/>
              </w:rPr>
              <w:fldChar w:fldCharType="end"/>
            </w:r>
          </w:hyperlink>
        </w:p>
        <w:p w:rsidR="00AD2968" w:rsidRDefault="00E731FD">
          <w:pPr>
            <w:pStyle w:val="TOC2"/>
            <w:rPr>
              <w:rFonts w:asciiTheme="minorHAnsi" w:eastAsiaTheme="minorEastAsia" w:hAnsiTheme="minorHAnsi"/>
              <w:lang w:eastAsia="en-AU"/>
            </w:rPr>
          </w:pPr>
          <w:hyperlink w:anchor="_Toc479781937" w:history="1">
            <w:r w:rsidR="00AD2968" w:rsidRPr="00FC3B9B">
              <w:rPr>
                <w:rStyle w:val="Hyperlink"/>
              </w:rPr>
              <w:t>5.3.</w:t>
            </w:r>
            <w:r w:rsidR="00AD2968">
              <w:rPr>
                <w:rFonts w:asciiTheme="minorHAnsi" w:eastAsiaTheme="minorEastAsia" w:hAnsiTheme="minorHAnsi"/>
                <w:lang w:eastAsia="en-AU"/>
              </w:rPr>
              <w:tab/>
            </w:r>
            <w:r w:rsidR="00AD2968" w:rsidRPr="00FC3B9B">
              <w:rPr>
                <w:rStyle w:val="Hyperlink"/>
              </w:rPr>
              <w:t>Exemptions</w:t>
            </w:r>
            <w:r w:rsidR="00AD2968">
              <w:rPr>
                <w:webHidden/>
              </w:rPr>
              <w:tab/>
            </w:r>
            <w:r w:rsidR="00AD2968">
              <w:rPr>
                <w:webHidden/>
              </w:rPr>
              <w:fldChar w:fldCharType="begin"/>
            </w:r>
            <w:r w:rsidR="00AD2968">
              <w:rPr>
                <w:webHidden/>
              </w:rPr>
              <w:instrText xml:space="preserve"> PAGEREF _Toc479781937 \h </w:instrText>
            </w:r>
            <w:r w:rsidR="00AD2968">
              <w:rPr>
                <w:webHidden/>
              </w:rPr>
            </w:r>
            <w:r w:rsidR="00AD2968">
              <w:rPr>
                <w:webHidden/>
              </w:rPr>
              <w:fldChar w:fldCharType="separate"/>
            </w:r>
            <w:r w:rsidR="000F5776">
              <w:rPr>
                <w:webHidden/>
              </w:rPr>
              <w:t>16</w:t>
            </w:r>
            <w:r w:rsidR="00AD2968">
              <w:rPr>
                <w:webHidden/>
              </w:rPr>
              <w:fldChar w:fldCharType="end"/>
            </w:r>
          </w:hyperlink>
        </w:p>
        <w:p w:rsidR="00AD2968" w:rsidRDefault="00E731FD">
          <w:pPr>
            <w:pStyle w:val="TOC2"/>
            <w:rPr>
              <w:rFonts w:asciiTheme="minorHAnsi" w:eastAsiaTheme="minorEastAsia" w:hAnsiTheme="minorHAnsi"/>
              <w:lang w:eastAsia="en-AU"/>
            </w:rPr>
          </w:pPr>
          <w:hyperlink w:anchor="_Toc479781938" w:history="1">
            <w:r w:rsidR="00AD2968" w:rsidRPr="00FC3B9B">
              <w:rPr>
                <w:rStyle w:val="Hyperlink"/>
              </w:rPr>
              <w:t>5.4.</w:t>
            </w:r>
            <w:r w:rsidR="00AD2968">
              <w:rPr>
                <w:rFonts w:asciiTheme="minorHAnsi" w:eastAsiaTheme="minorEastAsia" w:hAnsiTheme="minorHAnsi"/>
                <w:lang w:eastAsia="en-AU"/>
              </w:rPr>
              <w:tab/>
            </w:r>
            <w:r w:rsidR="00AD2968" w:rsidRPr="00FC3B9B">
              <w:rPr>
                <w:rStyle w:val="Hyperlink"/>
              </w:rPr>
              <w:t>Information gathering powers</w:t>
            </w:r>
            <w:r w:rsidR="00AD2968">
              <w:rPr>
                <w:webHidden/>
              </w:rPr>
              <w:tab/>
            </w:r>
            <w:r w:rsidR="00AD2968">
              <w:rPr>
                <w:webHidden/>
              </w:rPr>
              <w:fldChar w:fldCharType="begin"/>
            </w:r>
            <w:r w:rsidR="00AD2968">
              <w:rPr>
                <w:webHidden/>
              </w:rPr>
              <w:instrText xml:space="preserve"> PAGEREF _Toc479781938 \h </w:instrText>
            </w:r>
            <w:r w:rsidR="00AD2968">
              <w:rPr>
                <w:webHidden/>
              </w:rPr>
            </w:r>
            <w:r w:rsidR="00AD2968">
              <w:rPr>
                <w:webHidden/>
              </w:rPr>
              <w:fldChar w:fldCharType="separate"/>
            </w:r>
            <w:r w:rsidR="000F5776">
              <w:rPr>
                <w:webHidden/>
              </w:rPr>
              <w:t>17</w:t>
            </w:r>
            <w:r w:rsidR="00AD2968">
              <w:rPr>
                <w:webHidden/>
              </w:rPr>
              <w:fldChar w:fldCharType="end"/>
            </w:r>
          </w:hyperlink>
        </w:p>
        <w:p w:rsidR="00AD2968" w:rsidRDefault="00E731FD">
          <w:pPr>
            <w:pStyle w:val="TOC2"/>
            <w:rPr>
              <w:rFonts w:asciiTheme="minorHAnsi" w:eastAsiaTheme="minorEastAsia" w:hAnsiTheme="minorHAnsi"/>
              <w:lang w:eastAsia="en-AU"/>
            </w:rPr>
          </w:pPr>
          <w:hyperlink w:anchor="_Toc479781939" w:history="1">
            <w:r w:rsidR="00AD2968" w:rsidRPr="00FC3B9B">
              <w:rPr>
                <w:rStyle w:val="Hyperlink"/>
              </w:rPr>
              <w:t>5.5.</w:t>
            </w:r>
            <w:r w:rsidR="00AD2968">
              <w:rPr>
                <w:rFonts w:asciiTheme="minorHAnsi" w:eastAsiaTheme="minorEastAsia" w:hAnsiTheme="minorHAnsi"/>
                <w:lang w:eastAsia="en-AU"/>
              </w:rPr>
              <w:tab/>
            </w:r>
            <w:r w:rsidR="00AD2968" w:rsidRPr="00FC3B9B">
              <w:rPr>
                <w:rStyle w:val="Hyperlink"/>
              </w:rPr>
              <w:t>Arbitration guidelines</w:t>
            </w:r>
            <w:r w:rsidR="00AD2968">
              <w:rPr>
                <w:webHidden/>
              </w:rPr>
              <w:tab/>
            </w:r>
            <w:r w:rsidR="00AD2968">
              <w:rPr>
                <w:webHidden/>
              </w:rPr>
              <w:fldChar w:fldCharType="begin"/>
            </w:r>
            <w:r w:rsidR="00AD2968">
              <w:rPr>
                <w:webHidden/>
              </w:rPr>
              <w:instrText xml:space="preserve"> PAGEREF _Toc479781939 \h </w:instrText>
            </w:r>
            <w:r w:rsidR="00AD2968">
              <w:rPr>
                <w:webHidden/>
              </w:rPr>
            </w:r>
            <w:r w:rsidR="00AD2968">
              <w:rPr>
                <w:webHidden/>
              </w:rPr>
              <w:fldChar w:fldCharType="separate"/>
            </w:r>
            <w:r w:rsidR="000F5776">
              <w:rPr>
                <w:webHidden/>
              </w:rPr>
              <w:t>17</w:t>
            </w:r>
            <w:r w:rsidR="00AD2968">
              <w:rPr>
                <w:webHidden/>
              </w:rPr>
              <w:fldChar w:fldCharType="end"/>
            </w:r>
          </w:hyperlink>
        </w:p>
        <w:p w:rsidR="00AD2968" w:rsidRDefault="00E731FD">
          <w:pPr>
            <w:pStyle w:val="TOC2"/>
            <w:rPr>
              <w:rFonts w:asciiTheme="minorHAnsi" w:eastAsiaTheme="minorEastAsia" w:hAnsiTheme="minorHAnsi"/>
              <w:lang w:eastAsia="en-AU"/>
            </w:rPr>
          </w:pPr>
          <w:hyperlink w:anchor="_Toc479781940" w:history="1">
            <w:r w:rsidR="00AD2968" w:rsidRPr="00FC3B9B">
              <w:rPr>
                <w:rStyle w:val="Hyperlink"/>
              </w:rPr>
              <w:t>5.6.</w:t>
            </w:r>
            <w:r w:rsidR="00AD2968">
              <w:rPr>
                <w:rFonts w:asciiTheme="minorHAnsi" w:eastAsiaTheme="minorEastAsia" w:hAnsiTheme="minorHAnsi"/>
                <w:lang w:eastAsia="en-AU"/>
              </w:rPr>
              <w:tab/>
            </w:r>
            <w:r w:rsidR="00AD2968" w:rsidRPr="00FC3B9B">
              <w:rPr>
                <w:rStyle w:val="Hyperlink"/>
              </w:rPr>
              <w:t>Outcomes of proceedings</w:t>
            </w:r>
            <w:r w:rsidR="00AD2968">
              <w:rPr>
                <w:webHidden/>
              </w:rPr>
              <w:tab/>
            </w:r>
            <w:r w:rsidR="00AD2968">
              <w:rPr>
                <w:webHidden/>
              </w:rPr>
              <w:fldChar w:fldCharType="begin"/>
            </w:r>
            <w:r w:rsidR="00AD2968">
              <w:rPr>
                <w:webHidden/>
              </w:rPr>
              <w:instrText xml:space="preserve"> PAGEREF _Toc479781940 \h </w:instrText>
            </w:r>
            <w:r w:rsidR="00AD2968">
              <w:rPr>
                <w:webHidden/>
              </w:rPr>
            </w:r>
            <w:r w:rsidR="00AD2968">
              <w:rPr>
                <w:webHidden/>
              </w:rPr>
              <w:fldChar w:fldCharType="separate"/>
            </w:r>
            <w:r w:rsidR="000F5776">
              <w:rPr>
                <w:webHidden/>
              </w:rPr>
              <w:t>17</w:t>
            </w:r>
            <w:r w:rsidR="00AD2968">
              <w:rPr>
                <w:webHidden/>
              </w:rPr>
              <w:fldChar w:fldCharType="end"/>
            </w:r>
          </w:hyperlink>
        </w:p>
        <w:p w:rsidR="00AD2968" w:rsidRDefault="00E731FD">
          <w:pPr>
            <w:pStyle w:val="TOC2"/>
            <w:rPr>
              <w:rFonts w:asciiTheme="minorHAnsi" w:eastAsiaTheme="minorEastAsia" w:hAnsiTheme="minorHAnsi"/>
              <w:lang w:eastAsia="en-AU"/>
            </w:rPr>
          </w:pPr>
          <w:hyperlink w:anchor="_Toc479781941" w:history="1">
            <w:r w:rsidR="00AD2968" w:rsidRPr="00FC3B9B">
              <w:rPr>
                <w:rStyle w:val="Hyperlink"/>
              </w:rPr>
              <w:t>5.7.</w:t>
            </w:r>
            <w:r w:rsidR="00AD2968">
              <w:rPr>
                <w:rFonts w:asciiTheme="minorHAnsi" w:eastAsiaTheme="minorEastAsia" w:hAnsiTheme="minorHAnsi"/>
                <w:lang w:eastAsia="en-AU"/>
              </w:rPr>
              <w:tab/>
            </w:r>
            <w:r w:rsidR="00AD2968" w:rsidRPr="00FC3B9B">
              <w:rPr>
                <w:rStyle w:val="Hyperlink"/>
              </w:rPr>
              <w:t>Key design components</w:t>
            </w:r>
            <w:r w:rsidR="00AD2968">
              <w:rPr>
                <w:webHidden/>
              </w:rPr>
              <w:tab/>
            </w:r>
            <w:r w:rsidR="00AD2968">
              <w:rPr>
                <w:webHidden/>
              </w:rPr>
              <w:fldChar w:fldCharType="begin"/>
            </w:r>
            <w:r w:rsidR="00AD2968">
              <w:rPr>
                <w:webHidden/>
              </w:rPr>
              <w:instrText xml:space="preserve"> PAGEREF _Toc479781941 \h </w:instrText>
            </w:r>
            <w:r w:rsidR="00AD2968">
              <w:rPr>
                <w:webHidden/>
              </w:rPr>
            </w:r>
            <w:r w:rsidR="00AD2968">
              <w:rPr>
                <w:webHidden/>
              </w:rPr>
              <w:fldChar w:fldCharType="separate"/>
            </w:r>
            <w:r w:rsidR="000F5776">
              <w:rPr>
                <w:webHidden/>
              </w:rPr>
              <w:t>18</w:t>
            </w:r>
            <w:r w:rsidR="00AD2968">
              <w:rPr>
                <w:webHidden/>
              </w:rPr>
              <w:fldChar w:fldCharType="end"/>
            </w:r>
          </w:hyperlink>
        </w:p>
        <w:p w:rsidR="00AD2968" w:rsidRDefault="00E731FD">
          <w:pPr>
            <w:pStyle w:val="TOC1"/>
            <w:rPr>
              <w:rFonts w:asciiTheme="minorHAnsi" w:eastAsiaTheme="minorEastAsia" w:hAnsiTheme="minorHAnsi"/>
              <w:lang w:val="en-AU" w:eastAsia="en-AU"/>
            </w:rPr>
          </w:pPr>
          <w:hyperlink w:anchor="_Toc479781942" w:history="1">
            <w:r w:rsidR="00AD2968" w:rsidRPr="00FC3B9B">
              <w:rPr>
                <w:rStyle w:val="Hyperlink"/>
              </w:rPr>
              <w:t>6.</w:t>
            </w:r>
            <w:r w:rsidR="00AD2968">
              <w:rPr>
                <w:rFonts w:asciiTheme="minorHAnsi" w:eastAsiaTheme="minorEastAsia" w:hAnsiTheme="minorHAnsi"/>
                <w:lang w:val="en-AU" w:eastAsia="en-AU"/>
              </w:rPr>
              <w:tab/>
            </w:r>
            <w:r w:rsidR="00AD2968" w:rsidRPr="00FC3B9B">
              <w:rPr>
                <w:rStyle w:val="Hyperlink"/>
              </w:rPr>
              <w:t>Arbitration Principles</w:t>
            </w:r>
            <w:r w:rsidR="00AD2968">
              <w:rPr>
                <w:webHidden/>
              </w:rPr>
              <w:tab/>
            </w:r>
            <w:r w:rsidR="00AD2968">
              <w:rPr>
                <w:webHidden/>
              </w:rPr>
              <w:fldChar w:fldCharType="begin"/>
            </w:r>
            <w:r w:rsidR="00AD2968">
              <w:rPr>
                <w:webHidden/>
              </w:rPr>
              <w:instrText xml:space="preserve"> PAGEREF _Toc479781942 \h </w:instrText>
            </w:r>
            <w:r w:rsidR="00AD2968">
              <w:rPr>
                <w:webHidden/>
              </w:rPr>
            </w:r>
            <w:r w:rsidR="00AD2968">
              <w:rPr>
                <w:webHidden/>
              </w:rPr>
              <w:fldChar w:fldCharType="separate"/>
            </w:r>
            <w:r w:rsidR="000F5776">
              <w:rPr>
                <w:webHidden/>
              </w:rPr>
              <w:t>20</w:t>
            </w:r>
            <w:r w:rsidR="00AD2968">
              <w:rPr>
                <w:webHidden/>
              </w:rPr>
              <w:fldChar w:fldCharType="end"/>
            </w:r>
          </w:hyperlink>
        </w:p>
        <w:p w:rsidR="00AD2968" w:rsidRDefault="00E731FD">
          <w:pPr>
            <w:pStyle w:val="TOC2"/>
            <w:rPr>
              <w:rFonts w:asciiTheme="minorHAnsi" w:eastAsiaTheme="minorEastAsia" w:hAnsiTheme="minorHAnsi"/>
              <w:lang w:eastAsia="en-AU"/>
            </w:rPr>
          </w:pPr>
          <w:hyperlink w:anchor="_Toc479781943" w:history="1">
            <w:r w:rsidR="00AD2968" w:rsidRPr="00FC3B9B">
              <w:rPr>
                <w:rStyle w:val="Hyperlink"/>
              </w:rPr>
              <w:t>6.1.</w:t>
            </w:r>
            <w:r w:rsidR="00AD2968">
              <w:rPr>
                <w:rFonts w:asciiTheme="minorHAnsi" w:eastAsiaTheme="minorEastAsia" w:hAnsiTheme="minorHAnsi"/>
                <w:lang w:eastAsia="en-AU"/>
              </w:rPr>
              <w:tab/>
            </w:r>
            <w:r w:rsidR="00AD2968" w:rsidRPr="00FC3B9B">
              <w:rPr>
                <w:rStyle w:val="Hyperlink"/>
              </w:rPr>
              <w:t>Matters to be taken into account</w:t>
            </w:r>
            <w:r w:rsidR="00AD2968">
              <w:rPr>
                <w:webHidden/>
              </w:rPr>
              <w:tab/>
            </w:r>
            <w:r w:rsidR="00AD2968">
              <w:rPr>
                <w:webHidden/>
              </w:rPr>
              <w:fldChar w:fldCharType="begin"/>
            </w:r>
            <w:r w:rsidR="00AD2968">
              <w:rPr>
                <w:webHidden/>
              </w:rPr>
              <w:instrText xml:space="preserve"> PAGEREF _Toc479781943 \h </w:instrText>
            </w:r>
            <w:r w:rsidR="00AD2968">
              <w:rPr>
                <w:webHidden/>
              </w:rPr>
            </w:r>
            <w:r w:rsidR="00AD2968">
              <w:rPr>
                <w:webHidden/>
              </w:rPr>
              <w:fldChar w:fldCharType="separate"/>
            </w:r>
            <w:r w:rsidR="000F5776">
              <w:rPr>
                <w:webHidden/>
              </w:rPr>
              <w:t>20</w:t>
            </w:r>
            <w:r w:rsidR="00AD2968">
              <w:rPr>
                <w:webHidden/>
              </w:rPr>
              <w:fldChar w:fldCharType="end"/>
            </w:r>
          </w:hyperlink>
        </w:p>
        <w:p w:rsidR="00AD2968" w:rsidRDefault="00E731FD">
          <w:pPr>
            <w:pStyle w:val="TOC2"/>
            <w:rPr>
              <w:rFonts w:asciiTheme="minorHAnsi" w:eastAsiaTheme="minorEastAsia" w:hAnsiTheme="minorHAnsi"/>
              <w:lang w:eastAsia="en-AU"/>
            </w:rPr>
          </w:pPr>
          <w:hyperlink w:anchor="_Toc479781944" w:history="1">
            <w:r w:rsidR="00AD2968" w:rsidRPr="00FC3B9B">
              <w:rPr>
                <w:rStyle w:val="Hyperlink"/>
              </w:rPr>
              <w:t>6.2.</w:t>
            </w:r>
            <w:r w:rsidR="00AD2968">
              <w:rPr>
                <w:rFonts w:asciiTheme="minorHAnsi" w:eastAsiaTheme="minorEastAsia" w:hAnsiTheme="minorHAnsi"/>
                <w:lang w:eastAsia="en-AU"/>
              </w:rPr>
              <w:tab/>
            </w:r>
            <w:r w:rsidR="00AD2968" w:rsidRPr="00FC3B9B">
              <w:rPr>
                <w:rStyle w:val="Hyperlink"/>
              </w:rPr>
              <w:t>Determining the reasonableness of an offer</w:t>
            </w:r>
            <w:r w:rsidR="00AD2968">
              <w:rPr>
                <w:webHidden/>
              </w:rPr>
              <w:tab/>
            </w:r>
            <w:r w:rsidR="00AD2968">
              <w:rPr>
                <w:webHidden/>
              </w:rPr>
              <w:fldChar w:fldCharType="begin"/>
            </w:r>
            <w:r w:rsidR="00AD2968">
              <w:rPr>
                <w:webHidden/>
              </w:rPr>
              <w:instrText xml:space="preserve"> PAGEREF _Toc479781944 \h </w:instrText>
            </w:r>
            <w:r w:rsidR="00AD2968">
              <w:rPr>
                <w:webHidden/>
              </w:rPr>
            </w:r>
            <w:r w:rsidR="00AD2968">
              <w:rPr>
                <w:webHidden/>
              </w:rPr>
              <w:fldChar w:fldCharType="separate"/>
            </w:r>
            <w:r w:rsidR="000F5776">
              <w:rPr>
                <w:webHidden/>
              </w:rPr>
              <w:t>20</w:t>
            </w:r>
            <w:r w:rsidR="00AD2968">
              <w:rPr>
                <w:webHidden/>
              </w:rPr>
              <w:fldChar w:fldCharType="end"/>
            </w:r>
          </w:hyperlink>
        </w:p>
        <w:p w:rsidR="00C1126A" w:rsidRDefault="00E731FD" w:rsidP="00BC58DA">
          <w:pPr>
            <w:pStyle w:val="TOC1"/>
            <w:rPr>
              <w:highlight w:val="yellow"/>
            </w:rPr>
          </w:pPr>
          <w:hyperlink w:anchor="_Toc479781945" w:history="1">
            <w:r w:rsidR="00AD2968" w:rsidRPr="00FC3B9B">
              <w:rPr>
                <w:rStyle w:val="Hyperlink"/>
              </w:rPr>
              <w:t>7.</w:t>
            </w:r>
            <w:r w:rsidR="00AD2968">
              <w:rPr>
                <w:rFonts w:asciiTheme="minorHAnsi" w:eastAsiaTheme="minorEastAsia" w:hAnsiTheme="minorHAnsi"/>
                <w:lang w:val="en-AU" w:eastAsia="en-AU"/>
              </w:rPr>
              <w:tab/>
            </w:r>
            <w:r w:rsidR="00AD2968" w:rsidRPr="00FC3B9B">
              <w:rPr>
                <w:rStyle w:val="Hyperlink"/>
              </w:rPr>
              <w:t>Transitional arrangements</w:t>
            </w:r>
            <w:r w:rsidR="00AD2968">
              <w:rPr>
                <w:webHidden/>
              </w:rPr>
              <w:tab/>
            </w:r>
            <w:r w:rsidR="00AD2968">
              <w:rPr>
                <w:webHidden/>
              </w:rPr>
              <w:fldChar w:fldCharType="begin"/>
            </w:r>
            <w:r w:rsidR="00AD2968">
              <w:rPr>
                <w:webHidden/>
              </w:rPr>
              <w:instrText xml:space="preserve"> PAGEREF _Toc479781945 \h </w:instrText>
            </w:r>
            <w:r w:rsidR="00AD2968">
              <w:rPr>
                <w:webHidden/>
              </w:rPr>
            </w:r>
            <w:r w:rsidR="00AD2968">
              <w:rPr>
                <w:webHidden/>
              </w:rPr>
              <w:fldChar w:fldCharType="separate"/>
            </w:r>
            <w:r w:rsidR="000F5776">
              <w:rPr>
                <w:webHidden/>
              </w:rPr>
              <w:t>21</w:t>
            </w:r>
            <w:r w:rsidR="00AD2968">
              <w:rPr>
                <w:webHidden/>
              </w:rPr>
              <w:fldChar w:fldCharType="end"/>
            </w:r>
          </w:hyperlink>
          <w:r w:rsidR="004D419A" w:rsidRPr="00316632">
            <w:rPr>
              <w:highlight w:val="yellow"/>
            </w:rPr>
            <w:fldChar w:fldCharType="end"/>
          </w:r>
        </w:p>
      </w:sdtContent>
    </w:sdt>
    <w:bookmarkStart w:id="16" w:name="_Toc479781914" w:displacedByCustomXml="prev"/>
    <w:bookmarkEnd w:id="16"/>
    <w:p w:rsidR="00C1126A" w:rsidRPr="00F70957" w:rsidRDefault="00C1126A" w:rsidP="00F70957">
      <w:pPr>
        <w:pStyle w:val="Numbered1"/>
      </w:pPr>
      <w:r w:rsidRPr="00F70957">
        <w:lastRenderedPageBreak/>
        <w:t>Executive Summary</w:t>
      </w:r>
    </w:p>
    <w:p w:rsidR="00F26303" w:rsidRDefault="00F26303" w:rsidP="009B1EC8">
      <w:pPr>
        <w:spacing w:line="276" w:lineRule="auto"/>
      </w:pPr>
      <w:r>
        <w:t xml:space="preserve">The ACCC strongly supports the Gas Market Reform Group’s </w:t>
      </w:r>
      <w:r w:rsidR="00FB19EA">
        <w:t xml:space="preserve">(GMRG’s) </w:t>
      </w:r>
      <w:r>
        <w:t xml:space="preserve">proposed Gas Pipeline Information Disclosure and Arbitration Framework </w:t>
      </w:r>
      <w:r w:rsidR="002D59E0">
        <w:t xml:space="preserve">(the ‘Framework’) </w:t>
      </w:r>
      <w:r>
        <w:t xml:space="preserve">and </w:t>
      </w:r>
      <w:r w:rsidR="001A4478">
        <w:t>its</w:t>
      </w:r>
      <w:r>
        <w:t xml:space="preserve"> preferred approach to implementing the regime.</w:t>
      </w:r>
    </w:p>
    <w:p w:rsidR="00734E21" w:rsidRDefault="00F26303" w:rsidP="009B1EC8">
      <w:pPr>
        <w:spacing w:line="276" w:lineRule="auto"/>
      </w:pPr>
      <w:r>
        <w:t>The ACCC supports the</w:t>
      </w:r>
      <w:r w:rsidR="00582FD1">
        <w:t xml:space="preserve"> overall objective of the </w:t>
      </w:r>
      <w:r w:rsidR="0096215D">
        <w:t xml:space="preserve">information disclosure and arbitration </w:t>
      </w:r>
      <w:r w:rsidR="00582FD1">
        <w:t>regime to</w:t>
      </w:r>
      <w:r w:rsidR="00734E21">
        <w:t>:</w:t>
      </w:r>
      <w:r w:rsidR="00582FD1">
        <w:t xml:space="preserve"> </w:t>
      </w:r>
    </w:p>
    <w:p w:rsidR="00734E21" w:rsidRDefault="00582FD1" w:rsidP="00B16010">
      <w:pPr>
        <w:pStyle w:val="Quote"/>
        <w:ind w:left="340"/>
      </w:pPr>
      <w:proofErr w:type="gramStart"/>
      <w:r>
        <w:t>facilitate</w:t>
      </w:r>
      <w:proofErr w:type="gramEnd"/>
      <w:r>
        <w:t xml:space="preserve"> timely and effective commercial negotiations between shippers and the operators of non-scheme pipelines by: </w:t>
      </w:r>
    </w:p>
    <w:p w:rsidR="00734E21" w:rsidRDefault="00582FD1" w:rsidP="00B16010">
      <w:pPr>
        <w:pStyle w:val="Quote"/>
        <w:ind w:left="340"/>
      </w:pPr>
      <w:r>
        <w:t xml:space="preserve">(a) </w:t>
      </w:r>
      <w:proofErr w:type="gramStart"/>
      <w:r>
        <w:t>reducing</w:t>
      </w:r>
      <w:proofErr w:type="gramEnd"/>
      <w:r>
        <w:t xml:space="preserve"> the imbalance in bargaini</w:t>
      </w:r>
      <w:r w:rsidR="001A4478">
        <w:t>ng power that shippers can face,</w:t>
      </w:r>
      <w:r>
        <w:t xml:space="preserve"> and </w:t>
      </w:r>
    </w:p>
    <w:p w:rsidR="00734E21" w:rsidRDefault="00582FD1" w:rsidP="00B16010">
      <w:pPr>
        <w:pStyle w:val="Quote"/>
        <w:ind w:left="340"/>
      </w:pPr>
      <w:r>
        <w:t xml:space="preserve">(b) </w:t>
      </w:r>
      <w:proofErr w:type="gramStart"/>
      <w:r>
        <w:t>posing</w:t>
      </w:r>
      <w:proofErr w:type="gramEnd"/>
      <w:r>
        <w:t xml:space="preserve"> a constraint on the exercise of market power by pipeline operators</w:t>
      </w:r>
      <w:r w:rsidR="00734E21">
        <w:t>.</w:t>
      </w:r>
    </w:p>
    <w:p w:rsidR="00734E21" w:rsidRPr="00EA2596" w:rsidRDefault="00B16BB4" w:rsidP="009B1EC8">
      <w:pPr>
        <w:spacing w:line="276" w:lineRule="auto"/>
      </w:pPr>
      <w:r>
        <w:t>T</w:t>
      </w:r>
      <w:r w:rsidR="00F26303">
        <w:t xml:space="preserve">he ACCC </w:t>
      </w:r>
      <w:r>
        <w:t xml:space="preserve">considers that measures to achieve these objectives should </w:t>
      </w:r>
      <w:r w:rsidR="004F4149">
        <w:t xml:space="preserve">be </w:t>
      </w:r>
      <w:r w:rsidR="004F4149" w:rsidRPr="00EA2596">
        <w:t xml:space="preserve">directed to </w:t>
      </w:r>
      <w:r w:rsidRPr="00EA2596">
        <w:t>address</w:t>
      </w:r>
      <w:r w:rsidR="004F4149" w:rsidRPr="00EA2596">
        <w:t>ing</w:t>
      </w:r>
      <w:r w:rsidRPr="00EA2596">
        <w:t xml:space="preserve"> the concerns the ACCC identified in </w:t>
      </w:r>
      <w:r w:rsidR="00056FFF" w:rsidRPr="00EA2596">
        <w:t>its inquiry in</w:t>
      </w:r>
      <w:r w:rsidR="00F26303" w:rsidRPr="00EA2596">
        <w:t xml:space="preserve">to the east coast gas market (the </w:t>
      </w:r>
      <w:r w:rsidR="002D59E0" w:rsidRPr="00EA2596">
        <w:t>‘</w:t>
      </w:r>
      <w:r w:rsidR="00F26303" w:rsidRPr="00EA2596">
        <w:t>Inquiry’</w:t>
      </w:r>
      <w:r w:rsidRPr="00EA2596">
        <w:t>)</w:t>
      </w:r>
      <w:r w:rsidR="00056FFF" w:rsidRPr="00EA2596">
        <w:rPr>
          <w:rStyle w:val="FootnoteReference"/>
        </w:rPr>
        <w:footnoteReference w:id="1"/>
      </w:r>
      <w:r w:rsidRPr="00EA2596">
        <w:t xml:space="preserve"> </w:t>
      </w:r>
      <w:r w:rsidR="00AD0802" w:rsidRPr="00EA2596">
        <w:t>that a</w:t>
      </w:r>
      <w:r w:rsidR="004F4149" w:rsidRPr="00EA2596">
        <w:t xml:space="preserve"> large number of gas pipelines </w:t>
      </w:r>
      <w:r w:rsidR="003841B2" w:rsidRPr="00EA2596">
        <w:t>are</w:t>
      </w:r>
      <w:r w:rsidR="004F4149" w:rsidRPr="00EA2596">
        <w:t xml:space="preserve"> engaging in monopoly pricing, which </w:t>
      </w:r>
      <w:r w:rsidR="003841B2" w:rsidRPr="00EA2596">
        <w:t>is</w:t>
      </w:r>
      <w:r w:rsidR="004F4149" w:rsidRPr="00EA2596">
        <w:t xml:space="preserve"> adversely impacting the economic efficiency of </w:t>
      </w:r>
      <w:r w:rsidR="001F27BC" w:rsidRPr="00EA2596">
        <w:t xml:space="preserve">the </w:t>
      </w:r>
      <w:r w:rsidR="004F4149" w:rsidRPr="00EA2596">
        <w:t>east coast gas market.</w:t>
      </w:r>
      <w:r w:rsidR="004F4149" w:rsidRPr="00EA2596">
        <w:rPr>
          <w:rStyle w:val="FootnoteReference"/>
        </w:rPr>
        <w:footnoteReference w:id="2"/>
      </w:r>
    </w:p>
    <w:p w:rsidR="00CB5B7E" w:rsidRPr="00EA2596" w:rsidRDefault="00CB5B7E" w:rsidP="009B1EC8">
      <w:pPr>
        <w:spacing w:line="276" w:lineRule="auto"/>
      </w:pPr>
      <w:r w:rsidRPr="00EA2596">
        <w:t xml:space="preserve">The ACCC supports the following aspects of </w:t>
      </w:r>
      <w:r w:rsidR="00FC5886" w:rsidRPr="00EA2596">
        <w:t xml:space="preserve">the </w:t>
      </w:r>
      <w:r w:rsidRPr="00EA2596">
        <w:t>GMRG’s preferred approach:</w:t>
      </w:r>
    </w:p>
    <w:p w:rsidR="00CB5B7E" w:rsidRPr="00EA2596" w:rsidRDefault="00FC5886" w:rsidP="00960722">
      <w:pPr>
        <w:pStyle w:val="ListParagraph"/>
        <w:numPr>
          <w:ilvl w:val="0"/>
          <w:numId w:val="42"/>
        </w:numPr>
        <w:spacing w:line="276" w:lineRule="auto"/>
      </w:pPr>
      <w:r w:rsidRPr="00EA2596">
        <w:t>i</w:t>
      </w:r>
      <w:r w:rsidR="005A6123" w:rsidRPr="00EA2596">
        <w:t xml:space="preserve">nformation disclosure relating to baseline information required by shippers and </w:t>
      </w:r>
      <w:r w:rsidR="000564E5" w:rsidRPr="00EA2596">
        <w:t>costs information of pipeline operators</w:t>
      </w:r>
      <w:r w:rsidR="005A6123" w:rsidRPr="00EA2596">
        <w:t>, including details related to asset valuation, depreciation, costs and cost allocation methodology</w:t>
      </w:r>
    </w:p>
    <w:p w:rsidR="005A6123" w:rsidRPr="00EA2596" w:rsidRDefault="00FC5886" w:rsidP="00960722">
      <w:pPr>
        <w:pStyle w:val="ListParagraph"/>
        <w:numPr>
          <w:ilvl w:val="0"/>
          <w:numId w:val="42"/>
        </w:numPr>
        <w:spacing w:line="276" w:lineRule="auto"/>
      </w:pPr>
      <w:r w:rsidRPr="00EA2596">
        <w:t>a</w:t>
      </w:r>
      <w:r w:rsidR="005A6123" w:rsidRPr="00EA2596">
        <w:t xml:space="preserve"> conventional arbitration framework</w:t>
      </w:r>
      <w:r w:rsidRPr="00EA2596">
        <w:t>, and</w:t>
      </w:r>
    </w:p>
    <w:p w:rsidR="00CB5B7E" w:rsidRPr="00EA2596" w:rsidRDefault="00FC5886" w:rsidP="00960722">
      <w:pPr>
        <w:pStyle w:val="ListParagraph"/>
        <w:numPr>
          <w:ilvl w:val="0"/>
          <w:numId w:val="42"/>
        </w:numPr>
        <w:spacing w:line="276" w:lineRule="auto"/>
      </w:pPr>
      <w:proofErr w:type="gramStart"/>
      <w:r w:rsidRPr="00EA2596">
        <w:t>p</w:t>
      </w:r>
      <w:r w:rsidR="005A6123" w:rsidRPr="00EA2596">
        <w:t>ricing</w:t>
      </w:r>
      <w:proofErr w:type="gramEnd"/>
      <w:r w:rsidR="005A6123" w:rsidRPr="00EA2596">
        <w:t xml:space="preserve"> principles that are based on the actual cost of service provision supplemented by other principles.</w:t>
      </w:r>
    </w:p>
    <w:p w:rsidR="00400E9E" w:rsidRPr="00EA2596" w:rsidRDefault="006F4AD7" w:rsidP="009B1EC8">
      <w:pPr>
        <w:spacing w:line="276" w:lineRule="auto"/>
      </w:pPr>
      <w:r w:rsidRPr="00EA2596">
        <w:t>However, t</w:t>
      </w:r>
      <w:r w:rsidR="00734E21" w:rsidRPr="00EA2596">
        <w:t xml:space="preserve">he ACCC </w:t>
      </w:r>
      <w:r w:rsidR="000564E5" w:rsidRPr="00EA2596">
        <w:t>considers that there are</w:t>
      </w:r>
      <w:r w:rsidRPr="00EA2596">
        <w:t xml:space="preserve"> a number of changes</w:t>
      </w:r>
      <w:r w:rsidR="00734E21" w:rsidRPr="00EA2596">
        <w:t xml:space="preserve"> </w:t>
      </w:r>
      <w:r w:rsidR="000564E5" w:rsidRPr="00EA2596">
        <w:t xml:space="preserve">that are necessary </w:t>
      </w:r>
      <w:r w:rsidRPr="00EA2596">
        <w:t>to strengthen the Framework and</w:t>
      </w:r>
      <w:r w:rsidR="00734E21" w:rsidRPr="00EA2596">
        <w:t xml:space="preserve"> ensure that the </w:t>
      </w:r>
      <w:r w:rsidR="000564E5" w:rsidRPr="00EA2596">
        <w:t xml:space="preserve">market power </w:t>
      </w:r>
      <w:r w:rsidR="00734E21" w:rsidRPr="00EA2596">
        <w:t xml:space="preserve">concerns identified in </w:t>
      </w:r>
      <w:r w:rsidR="000564E5" w:rsidRPr="00EA2596">
        <w:t xml:space="preserve">the East Coast Gas </w:t>
      </w:r>
      <w:r w:rsidR="00697D32" w:rsidRPr="00EA2596">
        <w:t>Inquiry</w:t>
      </w:r>
      <w:r w:rsidR="00734E21" w:rsidRPr="00EA2596">
        <w:t xml:space="preserve"> </w:t>
      </w:r>
      <w:r w:rsidR="005A6123" w:rsidRPr="00EA2596">
        <w:t>are addressed</w:t>
      </w:r>
      <w:r w:rsidR="000564E5" w:rsidRPr="00EA2596">
        <w:t>. This will ensure that</w:t>
      </w:r>
      <w:r w:rsidR="00734E21" w:rsidRPr="00EA2596">
        <w:t xml:space="preserve"> </w:t>
      </w:r>
      <w:r w:rsidR="005A3120" w:rsidRPr="00EA2596">
        <w:t xml:space="preserve">the </w:t>
      </w:r>
      <w:r w:rsidR="00400E9E" w:rsidRPr="00EA2596">
        <w:t xml:space="preserve">commercial negotiation framework </w:t>
      </w:r>
      <w:r w:rsidR="00E83BBD">
        <w:t>has an appropriate fact base from which to occur</w:t>
      </w:r>
      <w:r w:rsidR="00400E9E" w:rsidRPr="00EA2596">
        <w:t>.</w:t>
      </w:r>
      <w:r w:rsidR="000564E5" w:rsidRPr="00EA2596">
        <w:t xml:space="preserve"> </w:t>
      </w:r>
      <w:r w:rsidR="00400E9E" w:rsidRPr="00EA2596">
        <w:t xml:space="preserve">These </w:t>
      </w:r>
      <w:r w:rsidR="000564E5" w:rsidRPr="00EA2596">
        <w:t xml:space="preserve">recommended changes </w:t>
      </w:r>
      <w:r w:rsidR="000357CA" w:rsidRPr="00EA2596">
        <w:t xml:space="preserve">are listed in </w:t>
      </w:r>
      <w:r w:rsidR="000564E5" w:rsidRPr="00EA2596">
        <w:t>the below table</w:t>
      </w:r>
      <w:r w:rsidR="000357CA" w:rsidRPr="00EA2596">
        <w:t xml:space="preserve"> and </w:t>
      </w:r>
      <w:r w:rsidR="00400E9E" w:rsidRPr="00EA2596">
        <w:t>relate to:</w:t>
      </w:r>
    </w:p>
    <w:p w:rsidR="007C6687" w:rsidRDefault="007C6687" w:rsidP="00BA6FE1">
      <w:pPr>
        <w:pStyle w:val="ListParagraph"/>
        <w:numPr>
          <w:ilvl w:val="0"/>
          <w:numId w:val="54"/>
        </w:numPr>
        <w:spacing w:line="276" w:lineRule="auto"/>
      </w:pPr>
      <w:r w:rsidRPr="00EA2596">
        <w:t xml:space="preserve">Ensuring the information disclosure obligations and arbitration mechanism </w:t>
      </w:r>
      <w:r>
        <w:t>apply</w:t>
      </w:r>
      <w:r w:rsidRPr="00EA2596">
        <w:t xml:space="preserve"> consistent</w:t>
      </w:r>
      <w:r>
        <w:t>ly.</w:t>
      </w:r>
    </w:p>
    <w:p w:rsidR="007C6687" w:rsidRDefault="007C6687" w:rsidP="00BA6FE1">
      <w:pPr>
        <w:pStyle w:val="ListParagraph"/>
        <w:spacing w:line="276" w:lineRule="auto"/>
      </w:pPr>
      <w:r>
        <w:t xml:space="preserve">Reviewing exemptions in the framework to ensure the information disclosure obligations and arbitration mechanism properly address the findings of the East Coast Gas Inquiry that a large number of pipeline operators exercise market power. </w:t>
      </w:r>
    </w:p>
    <w:p w:rsidR="007C6687" w:rsidRDefault="007C6687" w:rsidP="00BA6FE1">
      <w:pPr>
        <w:pStyle w:val="ListParagraph"/>
        <w:spacing w:line="276" w:lineRule="auto"/>
      </w:pPr>
      <w:r w:rsidRPr="00EA2596">
        <w:t>The development of guidance in either the National Gas Rules (NGR) or in guidelines to the NGR and National Gas Law (NGL) that clearly explain</w:t>
      </w:r>
      <w:r>
        <w:t>s</w:t>
      </w:r>
      <w:r w:rsidRPr="00EA2596">
        <w:t xml:space="preserve"> how the information published under information disclosure obligations relate</w:t>
      </w:r>
      <w:r>
        <w:t>s</w:t>
      </w:r>
      <w:r w:rsidRPr="00EA2596">
        <w:t xml:space="preserve"> to the costs of providing gas transportation services and link</w:t>
      </w:r>
      <w:r>
        <w:t>s</w:t>
      </w:r>
      <w:r w:rsidRPr="00EA2596">
        <w:t xml:space="preserve"> the costs information to the application of costs-based pricing principles</w:t>
      </w:r>
      <w:r>
        <w:t xml:space="preserve">. </w:t>
      </w:r>
    </w:p>
    <w:p w:rsidR="007C6687" w:rsidRPr="00EA2596" w:rsidRDefault="007C6687" w:rsidP="00BA6FE1">
      <w:pPr>
        <w:spacing w:line="276" w:lineRule="auto"/>
        <w:ind w:left="340"/>
      </w:pPr>
      <w:r>
        <w:lastRenderedPageBreak/>
        <w:t>The ACCC’s experience is that standard accounting financial statements provide little guidance on the costs of supply, particularly in relation to the valuation of pipelines. This is because standard financial statements typically rely on a pipeline operator’s own valuation of its asset, which will be based on the prices being charged, irrespective of what prices may emerge from a commercial negotiation or arbitration. Providing guidance on asset valuation methodology will therefore better inform a commercial negotiation, and also ensure asset valuations and other key inputs are not used by pipeline operators to maintain monopoly prices.</w:t>
      </w:r>
    </w:p>
    <w:p w:rsidR="007C6687" w:rsidRDefault="007C6687" w:rsidP="00BA6FE1">
      <w:pPr>
        <w:pStyle w:val="ListParagraph"/>
        <w:spacing w:after="400" w:line="276" w:lineRule="auto"/>
        <w:rPr>
          <w:rFonts w:cs="Arial"/>
          <w:szCs w:val="24"/>
        </w:rPr>
      </w:pPr>
      <w:r w:rsidRPr="00EA2596">
        <w:t>A range of adjustments to specific elements of the arbitration mechanism to minimise the scope for gaming arbitral processes and to strengthen incentives for parties to reach commercial agreement.</w:t>
      </w:r>
      <w:r>
        <w:t xml:space="preserve"> </w:t>
      </w:r>
      <w:r w:rsidRPr="00FA1C4A">
        <w:rPr>
          <w:rFonts w:cs="Arial"/>
          <w:szCs w:val="24"/>
        </w:rPr>
        <w:t xml:space="preserve">In </w:t>
      </w:r>
      <w:r>
        <w:rPr>
          <w:rFonts w:cs="Arial"/>
          <w:szCs w:val="24"/>
        </w:rPr>
        <w:t xml:space="preserve">particular, </w:t>
      </w:r>
      <w:r w:rsidR="005B7812">
        <w:rPr>
          <w:rFonts w:cs="Arial"/>
          <w:szCs w:val="24"/>
        </w:rPr>
        <w:t>the ACCC</w:t>
      </w:r>
      <w:r>
        <w:rPr>
          <w:rFonts w:cs="Arial"/>
          <w:szCs w:val="24"/>
        </w:rPr>
        <w:t xml:space="preserve"> consider</w:t>
      </w:r>
      <w:r w:rsidR="005B7812">
        <w:rPr>
          <w:rFonts w:cs="Arial"/>
          <w:szCs w:val="24"/>
        </w:rPr>
        <w:t>s</w:t>
      </w:r>
      <w:r>
        <w:rPr>
          <w:rFonts w:cs="Arial"/>
          <w:szCs w:val="24"/>
        </w:rPr>
        <w:t xml:space="preserve"> it important that the threshold for triggering the arbitration mechanism is relatively </w:t>
      </w:r>
      <w:proofErr w:type="gramStart"/>
      <w:r>
        <w:rPr>
          <w:rFonts w:cs="Arial"/>
          <w:szCs w:val="24"/>
        </w:rPr>
        <w:t>low,</w:t>
      </w:r>
      <w:proofErr w:type="gramEnd"/>
      <w:r>
        <w:rPr>
          <w:rFonts w:cs="Arial"/>
          <w:szCs w:val="24"/>
        </w:rPr>
        <w:t xml:space="preserve"> recognising that</w:t>
      </w:r>
      <w:r w:rsidRPr="00FA1C4A">
        <w:rPr>
          <w:rFonts w:cs="Arial"/>
          <w:szCs w:val="24"/>
        </w:rPr>
        <w:t xml:space="preserve"> </w:t>
      </w:r>
      <w:r>
        <w:rPr>
          <w:rFonts w:cs="Arial"/>
          <w:szCs w:val="24"/>
        </w:rPr>
        <w:t xml:space="preserve">in </w:t>
      </w:r>
      <w:r w:rsidRPr="00FA1C4A">
        <w:rPr>
          <w:rFonts w:cs="Arial"/>
          <w:szCs w:val="24"/>
        </w:rPr>
        <w:t xml:space="preserve">commercial arbitrations </w:t>
      </w:r>
      <w:r>
        <w:rPr>
          <w:rFonts w:cs="Arial"/>
          <w:szCs w:val="24"/>
        </w:rPr>
        <w:t xml:space="preserve">in the private sector there is </w:t>
      </w:r>
      <w:r w:rsidRPr="00FA1C4A">
        <w:rPr>
          <w:rFonts w:cs="Arial"/>
          <w:szCs w:val="24"/>
        </w:rPr>
        <w:t>typically no threshold</w:t>
      </w:r>
      <w:r>
        <w:rPr>
          <w:rFonts w:cs="Arial"/>
          <w:szCs w:val="24"/>
        </w:rPr>
        <w:t xml:space="preserve"> requirement</w:t>
      </w:r>
      <w:r w:rsidRPr="00FA1C4A">
        <w:rPr>
          <w:rFonts w:cs="Arial"/>
          <w:szCs w:val="24"/>
        </w:rPr>
        <w:t>.</w:t>
      </w:r>
    </w:p>
    <w:p w:rsidR="004D419A" w:rsidRPr="00EA2596" w:rsidRDefault="00710CB7" w:rsidP="004D419A">
      <w:proofErr w:type="gramStart"/>
      <w:r w:rsidRPr="00EA2596">
        <w:rPr>
          <w:b/>
        </w:rPr>
        <w:t xml:space="preserve">Table  </w:t>
      </w:r>
      <w:r w:rsidR="004D419A" w:rsidRPr="00EA2596">
        <w:rPr>
          <w:b/>
        </w:rPr>
        <w:t>–</w:t>
      </w:r>
      <w:proofErr w:type="gramEnd"/>
      <w:r w:rsidR="004D419A" w:rsidRPr="00EA2596">
        <w:rPr>
          <w:b/>
        </w:rPr>
        <w:t xml:space="preserve"> Changes recommended by the ACCC for the GMRG’s consideration</w:t>
      </w:r>
      <w:r w:rsidRPr="00EA2596">
        <w:rPr>
          <w:b/>
        </w:rPr>
        <w:br/>
      </w:r>
    </w:p>
    <w:tbl>
      <w:tblPr>
        <w:tblStyle w:val="LightShading"/>
        <w:tblW w:w="0" w:type="auto"/>
        <w:tblLook w:val="04A0" w:firstRow="1" w:lastRow="0" w:firstColumn="1" w:lastColumn="0" w:noHBand="0" w:noVBand="1"/>
      </w:tblPr>
      <w:tblGrid>
        <w:gridCol w:w="9242"/>
      </w:tblGrid>
      <w:tr w:rsidR="004D419A" w:rsidRPr="00EA2596" w:rsidTr="00873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B7C2C9"/>
          </w:tcPr>
          <w:p w:rsidR="004D419A" w:rsidRPr="00EA2596" w:rsidRDefault="004D419A" w:rsidP="00873FA5">
            <w:pPr>
              <w:spacing w:line="276" w:lineRule="auto"/>
            </w:pPr>
            <w:r w:rsidRPr="00EA2596">
              <w:t>Information disclosure framework</w:t>
            </w:r>
          </w:p>
        </w:tc>
      </w:tr>
      <w:tr w:rsidR="004D419A" w:rsidRPr="00EA2596" w:rsidTr="00873FA5">
        <w:tc>
          <w:tcPr>
            <w:cnfStyle w:val="001000000000" w:firstRow="0" w:lastRow="0" w:firstColumn="1" w:lastColumn="0" w:oddVBand="0" w:evenVBand="0" w:oddHBand="0" w:evenHBand="0" w:firstRowFirstColumn="0" w:firstRowLastColumn="0" w:lastRowFirstColumn="0" w:lastRowLastColumn="0"/>
            <w:tcW w:w="9242" w:type="dxa"/>
          </w:tcPr>
          <w:p w:rsidR="004D419A" w:rsidRPr="00EA2596" w:rsidRDefault="004D419A" w:rsidP="00873FA5">
            <w:pPr>
              <w:spacing w:line="276" w:lineRule="auto"/>
              <w:rPr>
                <w:b w:val="0"/>
              </w:rPr>
            </w:pPr>
            <w:r w:rsidRPr="00EA2596">
              <w:rPr>
                <w:b w:val="0"/>
              </w:rPr>
              <w:t>In relation to information disclosure, the ACCC recommends the GMRG:</w:t>
            </w:r>
          </w:p>
          <w:p w:rsidR="004D419A" w:rsidRPr="00EA2596" w:rsidRDefault="004D419A" w:rsidP="004D419A">
            <w:pPr>
              <w:pStyle w:val="ListParagraph"/>
              <w:numPr>
                <w:ilvl w:val="0"/>
                <w:numId w:val="51"/>
              </w:numPr>
              <w:spacing w:before="60" w:after="60" w:line="276" w:lineRule="auto"/>
              <w:rPr>
                <w:b w:val="0"/>
              </w:rPr>
            </w:pPr>
            <w:r w:rsidRPr="00EA2596">
              <w:rPr>
                <w:b w:val="0"/>
              </w:rPr>
              <w:t>ensure that the information disclosed by pipeline operators clearly relates to the cost of supply</w:t>
            </w:r>
            <w:r w:rsidR="00870887">
              <w:rPr>
                <w:b w:val="0"/>
              </w:rPr>
              <w:t xml:space="preserve"> of</w:t>
            </w:r>
            <w:r w:rsidRPr="00EA2596">
              <w:rPr>
                <w:b w:val="0"/>
              </w:rPr>
              <w:t xml:space="preserve"> transportation services, including asset valuation, rates of return and costs information</w:t>
            </w:r>
          </w:p>
          <w:p w:rsidR="004D419A" w:rsidRPr="00EA2596" w:rsidRDefault="004D419A" w:rsidP="004D419A">
            <w:pPr>
              <w:pStyle w:val="ListParagraph"/>
              <w:numPr>
                <w:ilvl w:val="0"/>
                <w:numId w:val="51"/>
              </w:numPr>
              <w:spacing w:line="276" w:lineRule="auto"/>
              <w:rPr>
                <w:b w:val="0"/>
              </w:rPr>
            </w:pPr>
            <w:r w:rsidRPr="00EA2596">
              <w:rPr>
                <w:b w:val="0"/>
              </w:rPr>
              <w:t>provide for guidance material on how disclosed information is to be used to calculate actual costs of transportation services</w:t>
            </w:r>
            <w:r w:rsidR="00D9748C" w:rsidRPr="00EA2596">
              <w:rPr>
                <w:b w:val="0"/>
              </w:rPr>
              <w:t>, and</w:t>
            </w:r>
            <w:r w:rsidRPr="00EA2596">
              <w:rPr>
                <w:b w:val="0"/>
              </w:rPr>
              <w:t xml:space="preserve"> how financial statements are to be prepared</w:t>
            </w:r>
          </w:p>
          <w:p w:rsidR="004D419A" w:rsidRPr="00EA2596" w:rsidRDefault="004D419A" w:rsidP="004D419A">
            <w:pPr>
              <w:pStyle w:val="ListParagraph"/>
              <w:numPr>
                <w:ilvl w:val="0"/>
                <w:numId w:val="51"/>
              </w:numPr>
              <w:spacing w:line="276" w:lineRule="auto"/>
              <w:rPr>
                <w:b w:val="0"/>
              </w:rPr>
            </w:pPr>
            <w:r w:rsidRPr="00EA2596">
              <w:rPr>
                <w:b w:val="0"/>
              </w:rPr>
              <w:t>set out a clear nexus between cost disclosure information and the pricing principles and how these will apply in arbitration</w:t>
            </w:r>
          </w:p>
          <w:p w:rsidR="004D419A" w:rsidRPr="00EA2596" w:rsidRDefault="004D419A" w:rsidP="004D419A">
            <w:pPr>
              <w:pStyle w:val="ListParagraph"/>
              <w:numPr>
                <w:ilvl w:val="0"/>
                <w:numId w:val="51"/>
              </w:numPr>
              <w:spacing w:line="276" w:lineRule="auto"/>
              <w:rPr>
                <w:b w:val="0"/>
              </w:rPr>
            </w:pPr>
            <w:r w:rsidRPr="00EA2596">
              <w:rPr>
                <w:b w:val="0"/>
              </w:rPr>
              <w:t xml:space="preserve">ensure consistency of the exemptions from the information disclosure requirements and the arbitrations framework </w:t>
            </w:r>
          </w:p>
          <w:p w:rsidR="004D419A" w:rsidRPr="00EA2596" w:rsidRDefault="004D419A" w:rsidP="004D419A">
            <w:pPr>
              <w:pStyle w:val="ListParagraph"/>
              <w:numPr>
                <w:ilvl w:val="0"/>
                <w:numId w:val="51"/>
              </w:numPr>
              <w:spacing w:line="276" w:lineRule="auto"/>
              <w:rPr>
                <w:b w:val="0"/>
              </w:rPr>
            </w:pPr>
            <w:proofErr w:type="gramStart"/>
            <w:r w:rsidRPr="00EA2596">
              <w:rPr>
                <w:b w:val="0"/>
              </w:rPr>
              <w:t>reconsider</w:t>
            </w:r>
            <w:proofErr w:type="gramEnd"/>
            <w:r w:rsidRPr="00EA2596">
              <w:rPr>
                <w:b w:val="0"/>
              </w:rPr>
              <w:t xml:space="preserve"> the current scope of exemptions from the information disclosure framework, which currently exempts a possible 27 out of 45 </w:t>
            </w:r>
            <w:r w:rsidR="005F64BB" w:rsidRPr="00EA2596">
              <w:rPr>
                <w:b w:val="0"/>
              </w:rPr>
              <w:t xml:space="preserve">non-scheme </w:t>
            </w:r>
            <w:r w:rsidRPr="00EA2596">
              <w:rPr>
                <w:b w:val="0"/>
              </w:rPr>
              <w:t>pipelines.</w:t>
            </w:r>
          </w:p>
          <w:p w:rsidR="004D419A" w:rsidRPr="00EA2596" w:rsidRDefault="004D419A" w:rsidP="004D419A">
            <w:pPr>
              <w:pStyle w:val="ListParagraph"/>
              <w:numPr>
                <w:ilvl w:val="1"/>
                <w:numId w:val="51"/>
              </w:numPr>
              <w:spacing w:line="276" w:lineRule="auto"/>
              <w:rPr>
                <w:b w:val="0"/>
              </w:rPr>
            </w:pPr>
            <w:r w:rsidRPr="00EA2596">
              <w:rPr>
                <w:b w:val="0"/>
              </w:rPr>
              <w:t>The ACCC recommends exemption only for non-scheme pipelines that service a single shipper or do not provide third party access, where there is no capacity for third parties or for those with capacity less than 10 TJ/day.</w:t>
            </w:r>
          </w:p>
          <w:p w:rsidR="004D419A" w:rsidRPr="00EA2596" w:rsidRDefault="004D419A" w:rsidP="004D419A">
            <w:pPr>
              <w:pStyle w:val="ListParagraph"/>
              <w:numPr>
                <w:ilvl w:val="0"/>
                <w:numId w:val="51"/>
              </w:numPr>
              <w:spacing w:line="276" w:lineRule="auto"/>
              <w:rPr>
                <w:b w:val="0"/>
              </w:rPr>
            </w:pPr>
            <w:proofErr w:type="gramStart"/>
            <w:r w:rsidRPr="00EA2596">
              <w:rPr>
                <w:b w:val="0"/>
              </w:rPr>
              <w:t>consider</w:t>
            </w:r>
            <w:proofErr w:type="gramEnd"/>
            <w:r w:rsidRPr="00EA2596">
              <w:rPr>
                <w:b w:val="0"/>
              </w:rPr>
              <w:t xml:space="preserve"> a ‘review of exemptions’ mechanism to be administered by the AER.</w:t>
            </w:r>
          </w:p>
          <w:p w:rsidR="004D419A" w:rsidRPr="00EA2596" w:rsidRDefault="004D419A" w:rsidP="004D419A">
            <w:pPr>
              <w:pStyle w:val="ListParagraph"/>
              <w:numPr>
                <w:ilvl w:val="0"/>
                <w:numId w:val="51"/>
              </w:numPr>
              <w:spacing w:before="60" w:line="276" w:lineRule="auto"/>
              <w:rPr>
                <w:b w:val="0"/>
              </w:rPr>
            </w:pPr>
            <w:r w:rsidRPr="00EA2596">
              <w:rPr>
                <w:b w:val="0"/>
              </w:rPr>
              <w:t>make the information disclosure requirements a civil penalty provision, include a reporting standard in the information disclosure framework and  consider specifying the form in which information should be presented and published on a pipeline operator’s website</w:t>
            </w:r>
          </w:p>
          <w:p w:rsidR="004D419A" w:rsidRPr="00EA2596" w:rsidRDefault="004D419A" w:rsidP="004D419A">
            <w:pPr>
              <w:pStyle w:val="ListParagraph"/>
              <w:numPr>
                <w:ilvl w:val="0"/>
                <w:numId w:val="51"/>
              </w:numPr>
              <w:spacing w:before="60" w:after="60" w:line="276" w:lineRule="auto"/>
              <w:rPr>
                <w:b w:val="0"/>
              </w:rPr>
            </w:pPr>
            <w:proofErr w:type="gramStart"/>
            <w:r w:rsidRPr="00EA2596">
              <w:rPr>
                <w:b w:val="0"/>
              </w:rPr>
              <w:t>immediately</w:t>
            </w:r>
            <w:proofErr w:type="gramEnd"/>
            <w:r w:rsidRPr="00EA2596">
              <w:rPr>
                <w:b w:val="0"/>
              </w:rPr>
              <w:t xml:space="preserve"> start developing measures to prevent regulatory gaming between arbitration under light handed regulation for covered pipelines and arbitration under the proposed commercial arbitration framework.</w:t>
            </w:r>
          </w:p>
        </w:tc>
      </w:tr>
      <w:tr w:rsidR="004D419A" w:rsidRPr="00EA2596" w:rsidTr="00873FA5">
        <w:tc>
          <w:tcPr>
            <w:cnfStyle w:val="001000000000" w:firstRow="0" w:lastRow="0" w:firstColumn="1" w:lastColumn="0" w:oddVBand="0" w:evenVBand="0" w:oddHBand="0" w:evenHBand="0" w:firstRowFirstColumn="0" w:firstRowLastColumn="0" w:lastRowFirstColumn="0" w:lastRowLastColumn="0"/>
            <w:tcW w:w="9242" w:type="dxa"/>
            <w:shd w:val="clear" w:color="auto" w:fill="B7C2C9"/>
          </w:tcPr>
          <w:p w:rsidR="004D419A" w:rsidRPr="00EA2596" w:rsidRDefault="004D419A" w:rsidP="00873FA5">
            <w:pPr>
              <w:spacing w:line="276" w:lineRule="auto"/>
            </w:pPr>
            <w:r w:rsidRPr="00EA2596">
              <w:t>Arbitration mechanism</w:t>
            </w:r>
          </w:p>
        </w:tc>
      </w:tr>
      <w:tr w:rsidR="004D419A" w:rsidRPr="00EA2596" w:rsidTr="00873FA5">
        <w:tc>
          <w:tcPr>
            <w:cnfStyle w:val="001000000000" w:firstRow="0" w:lastRow="0" w:firstColumn="1" w:lastColumn="0" w:oddVBand="0" w:evenVBand="0" w:oddHBand="0" w:evenHBand="0" w:firstRowFirstColumn="0" w:firstRowLastColumn="0" w:lastRowFirstColumn="0" w:lastRowLastColumn="0"/>
            <w:tcW w:w="9242" w:type="dxa"/>
          </w:tcPr>
          <w:p w:rsidR="004D419A" w:rsidRPr="00EA2596" w:rsidRDefault="004D419A" w:rsidP="00873FA5">
            <w:pPr>
              <w:spacing w:line="276" w:lineRule="auto"/>
              <w:rPr>
                <w:b w:val="0"/>
              </w:rPr>
            </w:pPr>
            <w:r w:rsidRPr="00EA2596">
              <w:rPr>
                <w:b w:val="0"/>
              </w:rPr>
              <w:t>In relation to the arbitration mechanism, the ACCC strongly supports a conventional arbitration model. However, the ACCC considers that the GMRG should:</w:t>
            </w:r>
          </w:p>
          <w:p w:rsidR="004D419A" w:rsidRPr="00EA2596" w:rsidRDefault="004D419A" w:rsidP="004D419A">
            <w:pPr>
              <w:pStyle w:val="ListParagraph"/>
              <w:numPr>
                <w:ilvl w:val="0"/>
                <w:numId w:val="36"/>
              </w:numPr>
              <w:spacing w:line="276" w:lineRule="auto"/>
              <w:rPr>
                <w:b w:val="0"/>
              </w:rPr>
            </w:pPr>
            <w:proofErr w:type="gramStart"/>
            <w:r w:rsidRPr="00EA2596">
              <w:rPr>
                <w:b w:val="0"/>
              </w:rPr>
              <w:t>broaden</w:t>
            </w:r>
            <w:proofErr w:type="gramEnd"/>
            <w:r w:rsidRPr="00EA2596">
              <w:rPr>
                <w:b w:val="0"/>
              </w:rPr>
              <w:t xml:space="preserve"> the proposed scope of the arbitration mechanism to include services that require the use of existing capacity or further augmentation (including extensions) of existing pipelines, to </w:t>
            </w:r>
            <w:r w:rsidRPr="00EA2596">
              <w:rPr>
                <w:b w:val="0"/>
              </w:rPr>
              <w:lastRenderedPageBreak/>
              <w:t>ensure market power concerns identified in the East Coast Gas Inquiry are addressed.</w:t>
            </w:r>
          </w:p>
          <w:p w:rsidR="004D419A" w:rsidRPr="00EA2596" w:rsidRDefault="004D419A" w:rsidP="004D419A">
            <w:pPr>
              <w:pStyle w:val="ListParagraph"/>
              <w:numPr>
                <w:ilvl w:val="1"/>
                <w:numId w:val="36"/>
              </w:numPr>
              <w:spacing w:line="276" w:lineRule="auto"/>
              <w:rPr>
                <w:b w:val="0"/>
              </w:rPr>
            </w:pPr>
            <w:r w:rsidRPr="00EA2596">
              <w:rPr>
                <w:b w:val="0"/>
              </w:rPr>
              <w:t>The ACCC supports exemptions of services supplied under foundation contracts for Greenfields pipelines.</w:t>
            </w:r>
          </w:p>
          <w:p w:rsidR="004D419A" w:rsidRPr="00EA2596" w:rsidRDefault="004D419A" w:rsidP="004D419A">
            <w:pPr>
              <w:pStyle w:val="ListParagraph"/>
              <w:numPr>
                <w:ilvl w:val="0"/>
                <w:numId w:val="36"/>
              </w:numPr>
              <w:spacing w:line="276" w:lineRule="auto"/>
              <w:rPr>
                <w:b w:val="0"/>
              </w:rPr>
            </w:pPr>
            <w:proofErr w:type="gramStart"/>
            <w:r w:rsidRPr="00EA2596">
              <w:rPr>
                <w:b w:val="0"/>
              </w:rPr>
              <w:t>ensure</w:t>
            </w:r>
            <w:proofErr w:type="gramEnd"/>
            <w:r w:rsidRPr="00EA2596">
              <w:rPr>
                <w:b w:val="0"/>
              </w:rPr>
              <w:t xml:space="preserve"> exemptions from the scope of the arbitrations mechanism align with the information disclosure obligations. This is to encourage commercial agreement and limit the scope for delay in arbitrations.</w:t>
            </w:r>
          </w:p>
          <w:p w:rsidR="004D419A" w:rsidRPr="00EA2596" w:rsidRDefault="004D419A" w:rsidP="004D419A">
            <w:pPr>
              <w:pStyle w:val="ListParagraph"/>
              <w:numPr>
                <w:ilvl w:val="0"/>
                <w:numId w:val="36"/>
              </w:numPr>
              <w:spacing w:line="276" w:lineRule="auto"/>
              <w:rPr>
                <w:b w:val="0"/>
              </w:rPr>
            </w:pPr>
            <w:proofErr w:type="gramStart"/>
            <w:r w:rsidRPr="00EA2596">
              <w:rPr>
                <w:b w:val="0"/>
              </w:rPr>
              <w:t>limit</w:t>
            </w:r>
            <w:proofErr w:type="gramEnd"/>
            <w:r w:rsidRPr="00EA2596">
              <w:rPr>
                <w:b w:val="0"/>
              </w:rPr>
              <w:t xml:space="preserve"> the need for information gathering by an arbitrator</w:t>
            </w:r>
            <w:r w:rsidR="005B7764">
              <w:rPr>
                <w:b w:val="0"/>
              </w:rPr>
              <w:t>,</w:t>
            </w:r>
            <w:r w:rsidRPr="00EA2596">
              <w:rPr>
                <w:b w:val="0"/>
              </w:rPr>
              <w:t xml:space="preserve"> providing for most information to be available under the information disclosure obligations. This will limit the scope for delay in reaching an arbitral determination.</w:t>
            </w:r>
          </w:p>
          <w:p w:rsidR="004D419A" w:rsidRPr="00EA2596" w:rsidRDefault="004D419A" w:rsidP="004D419A">
            <w:pPr>
              <w:pStyle w:val="ListParagraph"/>
              <w:numPr>
                <w:ilvl w:val="0"/>
                <w:numId w:val="36"/>
              </w:numPr>
              <w:spacing w:line="276" w:lineRule="auto"/>
              <w:rPr>
                <w:b w:val="0"/>
              </w:rPr>
            </w:pPr>
            <w:r w:rsidRPr="00EA2596">
              <w:rPr>
                <w:b w:val="0"/>
              </w:rPr>
              <w:t>recommend the AER develop arbitration process guidelines for the arbitrator and disputing parties</w:t>
            </w:r>
          </w:p>
          <w:p w:rsidR="004D419A" w:rsidRPr="00EA2596" w:rsidRDefault="004D419A" w:rsidP="004D419A">
            <w:pPr>
              <w:pStyle w:val="ListParagraph"/>
              <w:numPr>
                <w:ilvl w:val="0"/>
                <w:numId w:val="36"/>
              </w:numPr>
              <w:spacing w:line="276" w:lineRule="auto"/>
              <w:rPr>
                <w:b w:val="0"/>
              </w:rPr>
            </w:pPr>
            <w:r w:rsidRPr="00EA2596">
              <w:rPr>
                <w:b w:val="0"/>
              </w:rPr>
              <w:t>recommend the outcomes of arbitration determi</w:t>
            </w:r>
            <w:r w:rsidR="00710CB7" w:rsidRPr="00EA2596">
              <w:rPr>
                <w:b w:val="0"/>
              </w:rPr>
              <w:t xml:space="preserve">nations be provided to the AER </w:t>
            </w:r>
          </w:p>
          <w:p w:rsidR="004D419A" w:rsidRPr="00EA2596" w:rsidRDefault="004D419A" w:rsidP="004D419A">
            <w:pPr>
              <w:pStyle w:val="ListParagraph"/>
              <w:numPr>
                <w:ilvl w:val="0"/>
                <w:numId w:val="36"/>
              </w:numPr>
              <w:spacing w:line="276" w:lineRule="auto"/>
              <w:rPr>
                <w:b w:val="0"/>
              </w:rPr>
            </w:pPr>
            <w:r w:rsidRPr="00EA2596">
              <w:rPr>
                <w:b w:val="0"/>
              </w:rPr>
              <w:t>GMRG or the AER develop a minimum set of requirements that must be included in any private arbitration framework</w:t>
            </w:r>
          </w:p>
          <w:p w:rsidR="004D419A" w:rsidRPr="00EA2596" w:rsidRDefault="004D419A" w:rsidP="004D419A">
            <w:pPr>
              <w:pStyle w:val="ListParagraph"/>
              <w:numPr>
                <w:ilvl w:val="0"/>
                <w:numId w:val="36"/>
              </w:numPr>
              <w:spacing w:line="276" w:lineRule="auto"/>
              <w:rPr>
                <w:b w:val="0"/>
              </w:rPr>
            </w:pPr>
            <w:r w:rsidRPr="00EA2596">
              <w:rPr>
                <w:b w:val="0"/>
              </w:rPr>
              <w:t>clarify that existing c</w:t>
            </w:r>
            <w:r w:rsidR="00083894" w:rsidRPr="00EA2596">
              <w:rPr>
                <w:b w:val="0"/>
              </w:rPr>
              <w:t>ontracts and terms of access are</w:t>
            </w:r>
            <w:r w:rsidRPr="00EA2596">
              <w:rPr>
                <w:b w:val="0"/>
              </w:rPr>
              <w:t xml:space="preserve"> protected under the proposed framework and that pipeline operators should be prevented from locking up capacity by contracting it to related body corporates (for example)</w:t>
            </w:r>
          </w:p>
          <w:p w:rsidR="004D419A" w:rsidRPr="00EA2596" w:rsidRDefault="004D419A" w:rsidP="004D419A">
            <w:pPr>
              <w:pStyle w:val="ListParagraph"/>
              <w:numPr>
                <w:ilvl w:val="0"/>
                <w:numId w:val="36"/>
              </w:numPr>
              <w:spacing w:line="276" w:lineRule="auto"/>
              <w:rPr>
                <w:b w:val="0"/>
              </w:rPr>
            </w:pPr>
            <w:proofErr w:type="gramStart"/>
            <w:r w:rsidRPr="00EA2596">
              <w:rPr>
                <w:b w:val="0"/>
              </w:rPr>
              <w:t>review</w:t>
            </w:r>
            <w:proofErr w:type="gramEnd"/>
            <w:r w:rsidRPr="00EA2596">
              <w:rPr>
                <w:b w:val="0"/>
              </w:rPr>
              <w:t xml:space="preserve"> the need for parties to have a right to have a hearing on request.</w:t>
            </w:r>
          </w:p>
          <w:p w:rsidR="004D419A" w:rsidRPr="00EA2596" w:rsidRDefault="004D419A" w:rsidP="004D419A">
            <w:pPr>
              <w:pStyle w:val="ListParagraph"/>
              <w:numPr>
                <w:ilvl w:val="0"/>
                <w:numId w:val="36"/>
              </w:numPr>
              <w:spacing w:line="276" w:lineRule="auto"/>
              <w:rPr>
                <w:b w:val="0"/>
              </w:rPr>
            </w:pPr>
            <w:r w:rsidRPr="00EA2596">
              <w:rPr>
                <w:b w:val="0"/>
              </w:rPr>
              <w:t>provide the arbitrator with the right to conclusively determine what is relevant material</w:t>
            </w:r>
          </w:p>
          <w:p w:rsidR="004D419A" w:rsidRPr="00EA2596" w:rsidRDefault="004D419A" w:rsidP="004D419A">
            <w:pPr>
              <w:pStyle w:val="ListParagraph"/>
              <w:numPr>
                <w:ilvl w:val="0"/>
                <w:numId w:val="36"/>
              </w:numPr>
              <w:spacing w:line="276" w:lineRule="auto"/>
              <w:rPr>
                <w:b w:val="0"/>
              </w:rPr>
            </w:pPr>
            <w:proofErr w:type="gramStart"/>
            <w:r w:rsidRPr="00EA2596">
              <w:rPr>
                <w:b w:val="0"/>
              </w:rPr>
              <w:t>allow</w:t>
            </w:r>
            <w:proofErr w:type="gramEnd"/>
            <w:r w:rsidRPr="00EA2596">
              <w:rPr>
                <w:b w:val="0"/>
              </w:rPr>
              <w:t xml:space="preserve"> for variation of an arbitration by agreement, and if agreement cannot be reached, by further arbitral determination provided it relates to a new matter or a significant change in circumstances.</w:t>
            </w:r>
          </w:p>
          <w:p w:rsidR="004D419A" w:rsidRPr="00EA2596" w:rsidRDefault="004D419A" w:rsidP="004D419A">
            <w:pPr>
              <w:pStyle w:val="ListParagraph"/>
              <w:numPr>
                <w:ilvl w:val="0"/>
                <w:numId w:val="36"/>
              </w:numPr>
              <w:spacing w:line="276" w:lineRule="auto"/>
              <w:rPr>
                <w:b w:val="0"/>
              </w:rPr>
            </w:pPr>
            <w:proofErr w:type="gramStart"/>
            <w:r w:rsidRPr="00EA2596">
              <w:rPr>
                <w:b w:val="0"/>
              </w:rPr>
              <w:t>allow</w:t>
            </w:r>
            <w:proofErr w:type="gramEnd"/>
            <w:r w:rsidRPr="00EA2596">
              <w:rPr>
                <w:b w:val="0"/>
              </w:rPr>
              <w:t xml:space="preserve"> for the arbitrator to determine the costs of arbitration if parties cannot agree.</w:t>
            </w:r>
          </w:p>
          <w:p w:rsidR="004D419A" w:rsidRPr="00EA2596" w:rsidRDefault="004D419A" w:rsidP="004D419A">
            <w:pPr>
              <w:pStyle w:val="ListParagraph"/>
              <w:numPr>
                <w:ilvl w:val="0"/>
                <w:numId w:val="36"/>
              </w:numPr>
              <w:spacing w:line="276" w:lineRule="auto"/>
              <w:rPr>
                <w:b w:val="0"/>
              </w:rPr>
            </w:pPr>
            <w:proofErr w:type="gramStart"/>
            <w:r w:rsidRPr="00EA2596">
              <w:rPr>
                <w:b w:val="0"/>
              </w:rPr>
              <w:t>allow</w:t>
            </w:r>
            <w:proofErr w:type="gramEnd"/>
            <w:r w:rsidRPr="00EA2596">
              <w:rPr>
                <w:b w:val="0"/>
              </w:rPr>
              <w:t xml:space="preserve"> the arbitrator to terminate proceedings provided that the threshold for seeking arbitration is not set unnecessarily high.</w:t>
            </w:r>
          </w:p>
        </w:tc>
      </w:tr>
      <w:tr w:rsidR="004D419A" w:rsidRPr="00EA2596" w:rsidTr="00873FA5">
        <w:tc>
          <w:tcPr>
            <w:cnfStyle w:val="001000000000" w:firstRow="0" w:lastRow="0" w:firstColumn="1" w:lastColumn="0" w:oddVBand="0" w:evenVBand="0" w:oddHBand="0" w:evenHBand="0" w:firstRowFirstColumn="0" w:firstRowLastColumn="0" w:lastRowFirstColumn="0" w:lastRowLastColumn="0"/>
            <w:tcW w:w="9242" w:type="dxa"/>
            <w:shd w:val="clear" w:color="auto" w:fill="B7C2C9"/>
          </w:tcPr>
          <w:p w:rsidR="004D419A" w:rsidRPr="00EA2596" w:rsidRDefault="004D419A" w:rsidP="00873FA5">
            <w:pPr>
              <w:pStyle w:val="ListParagraph"/>
              <w:numPr>
                <w:ilvl w:val="0"/>
                <w:numId w:val="0"/>
              </w:numPr>
              <w:spacing w:line="276" w:lineRule="auto"/>
            </w:pPr>
            <w:r w:rsidRPr="00EA2596">
              <w:lastRenderedPageBreak/>
              <w:t>Arbitration principles</w:t>
            </w:r>
          </w:p>
        </w:tc>
      </w:tr>
      <w:tr w:rsidR="004D419A" w:rsidTr="00873FA5">
        <w:tc>
          <w:tcPr>
            <w:cnfStyle w:val="001000000000" w:firstRow="0" w:lastRow="0" w:firstColumn="1" w:lastColumn="0" w:oddVBand="0" w:evenVBand="0" w:oddHBand="0" w:evenHBand="0" w:firstRowFirstColumn="0" w:firstRowLastColumn="0" w:lastRowFirstColumn="0" w:lastRowLastColumn="0"/>
            <w:tcW w:w="9242" w:type="dxa"/>
          </w:tcPr>
          <w:p w:rsidR="004D419A" w:rsidRPr="00EA2596" w:rsidRDefault="004D419A" w:rsidP="00873FA5">
            <w:pPr>
              <w:spacing w:line="276" w:lineRule="auto"/>
              <w:rPr>
                <w:b w:val="0"/>
              </w:rPr>
            </w:pPr>
            <w:r w:rsidRPr="00EA2596">
              <w:rPr>
                <w:b w:val="0"/>
              </w:rPr>
              <w:t xml:space="preserve">In relation to the arbitration principles, the ACCC supports the GMRG’s preferred principles based upon actual costs of service provision. The ACCC considers the overall framework will be strengthened if parties can identify </w:t>
            </w:r>
            <w:r w:rsidR="005B7764">
              <w:rPr>
                <w:b w:val="0"/>
              </w:rPr>
              <w:t xml:space="preserve">a range of </w:t>
            </w:r>
            <w:r w:rsidRPr="00EA2596">
              <w:rPr>
                <w:b w:val="0"/>
              </w:rPr>
              <w:t xml:space="preserve">likely arbitral outcomes.  Accordingly, the ACCC recommends that the GMRG: </w:t>
            </w:r>
          </w:p>
          <w:p w:rsidR="004D419A" w:rsidRPr="00EA2596" w:rsidRDefault="004D419A" w:rsidP="004D419A">
            <w:pPr>
              <w:pStyle w:val="ListParagraph"/>
              <w:numPr>
                <w:ilvl w:val="0"/>
                <w:numId w:val="37"/>
              </w:numPr>
              <w:spacing w:line="276" w:lineRule="auto"/>
              <w:rPr>
                <w:b w:val="0"/>
              </w:rPr>
            </w:pPr>
            <w:proofErr w:type="gramStart"/>
            <w:r w:rsidRPr="00EA2596">
              <w:rPr>
                <w:b w:val="0"/>
              </w:rPr>
              <w:t>specify</w:t>
            </w:r>
            <w:proofErr w:type="gramEnd"/>
            <w:r w:rsidRPr="00EA2596">
              <w:rPr>
                <w:b w:val="0"/>
              </w:rPr>
              <w:t xml:space="preserve"> and provide guidance </w:t>
            </w:r>
            <w:r w:rsidR="006E314F">
              <w:rPr>
                <w:b w:val="0"/>
              </w:rPr>
              <w:t>on how to calculate</w:t>
            </w:r>
            <w:r w:rsidRPr="00EA2596">
              <w:rPr>
                <w:b w:val="0"/>
              </w:rPr>
              <w:t xml:space="preserve"> actual costs. The ACCC considers the pricing approach in the NGL represents a good starting point and supports the AER developing a guideline that sets out how to calculate the actual cost of service provision, including how to value assets and determine other key inputs.</w:t>
            </w:r>
          </w:p>
          <w:p w:rsidR="004D419A" w:rsidRPr="00EA2596" w:rsidRDefault="004D419A" w:rsidP="004D419A">
            <w:pPr>
              <w:pStyle w:val="ListParagraph"/>
              <w:numPr>
                <w:ilvl w:val="0"/>
                <w:numId w:val="37"/>
              </w:numPr>
              <w:spacing w:line="276" w:lineRule="auto"/>
              <w:rPr>
                <w:b w:val="0"/>
              </w:rPr>
            </w:pPr>
            <w:proofErr w:type="gramStart"/>
            <w:r w:rsidRPr="00EA2596">
              <w:rPr>
                <w:b w:val="0"/>
              </w:rPr>
              <w:t>include</w:t>
            </w:r>
            <w:proofErr w:type="gramEnd"/>
            <w:r w:rsidRPr="00EA2596">
              <w:rPr>
                <w:b w:val="0"/>
              </w:rPr>
              <w:t xml:space="preserve"> a consideration that the arbitrator should have regard to the value to a party of a timely decision on the pricing of the relevant service for a particular period of time, to properly recognise the commercial nature of the arbitration.</w:t>
            </w:r>
          </w:p>
        </w:tc>
      </w:tr>
    </w:tbl>
    <w:p w:rsidR="000465EE" w:rsidRDefault="000465EE" w:rsidP="000465EE">
      <w:pPr>
        <w:pStyle w:val="Numbered1"/>
        <w:numPr>
          <w:ilvl w:val="0"/>
          <w:numId w:val="0"/>
        </w:numPr>
        <w:ind w:left="360"/>
      </w:pPr>
      <w:bookmarkStart w:id="17" w:name="_Toc479781915"/>
    </w:p>
    <w:p w:rsidR="000465EE" w:rsidRDefault="000465EE" w:rsidP="000465EE"/>
    <w:p w:rsidR="000465EE" w:rsidRPr="000465EE" w:rsidRDefault="000465EE" w:rsidP="000465EE"/>
    <w:p w:rsidR="004B0813" w:rsidRPr="00F70957" w:rsidRDefault="0023799C" w:rsidP="00F70957">
      <w:pPr>
        <w:pStyle w:val="Numbered1"/>
      </w:pPr>
      <w:r w:rsidRPr="00F70957">
        <w:lastRenderedPageBreak/>
        <w:t>Background</w:t>
      </w:r>
      <w:bookmarkStart w:id="18" w:name="_Toc478724489"/>
      <w:bookmarkEnd w:id="17"/>
      <w:bookmarkEnd w:id="18"/>
    </w:p>
    <w:p w:rsidR="00992823" w:rsidRDefault="00EB63D5" w:rsidP="00EB63D5">
      <w:pPr>
        <w:pStyle w:val="Heading3"/>
      </w:pPr>
      <w:bookmarkStart w:id="19" w:name="_Toc479781916"/>
      <w:r>
        <w:t>ACCC East Coast Gas I</w:t>
      </w:r>
      <w:r w:rsidR="00992823">
        <w:t>nquiry</w:t>
      </w:r>
      <w:bookmarkEnd w:id="19"/>
    </w:p>
    <w:p w:rsidR="005E39B8" w:rsidRDefault="005E39B8" w:rsidP="00483D2D">
      <w:pPr>
        <w:spacing w:line="276" w:lineRule="auto"/>
        <w:rPr>
          <w:rFonts w:cs="Arial"/>
          <w:lang w:val="en"/>
        </w:rPr>
      </w:pPr>
      <w:r w:rsidRPr="005E39B8">
        <w:rPr>
          <w:rFonts w:cs="Arial"/>
          <w:lang w:val="en"/>
        </w:rPr>
        <w:t>On 13 April 2015</w:t>
      </w:r>
      <w:r>
        <w:rPr>
          <w:rFonts w:cs="Arial"/>
          <w:lang w:val="en"/>
        </w:rPr>
        <w:t>,</w:t>
      </w:r>
      <w:r w:rsidRPr="005E39B8">
        <w:rPr>
          <w:rFonts w:cs="Arial"/>
          <w:lang w:val="en"/>
        </w:rPr>
        <w:t xml:space="preserve"> the Minister for Small Business directed the ACCC to hold an inquiry into the competitiveness of the wholesale gas industry.</w:t>
      </w:r>
      <w:r w:rsidR="00806F97">
        <w:rPr>
          <w:rStyle w:val="FootnoteReference"/>
          <w:rFonts w:cs="Arial"/>
          <w:lang w:val="en"/>
        </w:rPr>
        <w:footnoteReference w:id="3"/>
      </w:r>
      <w:r w:rsidRPr="005E39B8">
        <w:rPr>
          <w:rFonts w:cs="Arial"/>
          <w:lang w:val="en"/>
        </w:rPr>
        <w:t xml:space="preserve"> The ACCC’s inquiry found that </w:t>
      </w:r>
      <w:r w:rsidR="00F92E9D">
        <w:rPr>
          <w:rFonts w:cs="Arial"/>
          <w:lang w:val="en"/>
        </w:rPr>
        <w:t>unprecedented chang</w:t>
      </w:r>
      <w:r w:rsidR="00EB2E1C">
        <w:rPr>
          <w:rFonts w:cs="Arial"/>
          <w:lang w:val="en"/>
        </w:rPr>
        <w:t>es in the east coast gas m</w:t>
      </w:r>
      <w:r w:rsidR="00DC0BA9">
        <w:rPr>
          <w:rFonts w:cs="Arial"/>
          <w:lang w:val="en"/>
        </w:rPr>
        <w:t>arket since 2012 c</w:t>
      </w:r>
      <w:r w:rsidR="00815658">
        <w:rPr>
          <w:rFonts w:cs="Arial"/>
          <w:lang w:val="en"/>
        </w:rPr>
        <w:t>an</w:t>
      </w:r>
      <w:r w:rsidR="00DC0BA9">
        <w:rPr>
          <w:rFonts w:cs="Arial"/>
          <w:lang w:val="en"/>
        </w:rPr>
        <w:t xml:space="preserve"> be attributed to </w:t>
      </w:r>
      <w:r w:rsidR="00EB63D5">
        <w:rPr>
          <w:rFonts w:cs="Arial"/>
          <w:lang w:val="en"/>
        </w:rPr>
        <w:t>three key factors:</w:t>
      </w:r>
    </w:p>
    <w:p w:rsidR="009B4353" w:rsidRDefault="001037AD" w:rsidP="00EB1E3E">
      <w:pPr>
        <w:pStyle w:val="ListParagraph"/>
        <w:numPr>
          <w:ilvl w:val="0"/>
          <w:numId w:val="28"/>
        </w:numPr>
        <w:spacing w:line="276" w:lineRule="auto"/>
        <w:rPr>
          <w:rFonts w:cs="Arial"/>
          <w:lang w:val="en"/>
        </w:rPr>
      </w:pPr>
      <w:r>
        <w:rPr>
          <w:rFonts w:cs="Arial"/>
          <w:lang w:val="en"/>
        </w:rPr>
        <w:t>t</w:t>
      </w:r>
      <w:r w:rsidR="009B4353">
        <w:rPr>
          <w:rFonts w:cs="Arial"/>
          <w:lang w:val="en"/>
        </w:rPr>
        <w:t>he magnitude of gas flows to the liquefied natural gas (LNG) projects in Queensland, which are removing gas from the domestic market</w:t>
      </w:r>
    </w:p>
    <w:p w:rsidR="009B4353" w:rsidRDefault="001037AD" w:rsidP="00EB1E3E">
      <w:pPr>
        <w:pStyle w:val="ListParagraph"/>
        <w:numPr>
          <w:ilvl w:val="0"/>
          <w:numId w:val="28"/>
        </w:numPr>
        <w:spacing w:line="276" w:lineRule="auto"/>
        <w:rPr>
          <w:rFonts w:cs="Arial"/>
          <w:lang w:val="en"/>
        </w:rPr>
      </w:pPr>
      <w:r>
        <w:rPr>
          <w:rFonts w:cs="Arial"/>
          <w:lang w:val="en"/>
        </w:rPr>
        <w:t>l</w:t>
      </w:r>
      <w:r w:rsidR="009B4353">
        <w:rPr>
          <w:rFonts w:cs="Arial"/>
          <w:lang w:val="en"/>
        </w:rPr>
        <w:t>ow oil prices, which are resulting in declining investment in gas exploration and lower production forecasts for both domestic and LNG projects, and</w:t>
      </w:r>
    </w:p>
    <w:p w:rsidR="00EB63D5" w:rsidRDefault="001037AD" w:rsidP="00EB1E3E">
      <w:pPr>
        <w:pStyle w:val="ListParagraph"/>
        <w:numPr>
          <w:ilvl w:val="0"/>
          <w:numId w:val="28"/>
        </w:numPr>
        <w:spacing w:line="276" w:lineRule="auto"/>
        <w:rPr>
          <w:rFonts w:cs="Arial"/>
          <w:lang w:val="en"/>
        </w:rPr>
      </w:pPr>
      <w:proofErr w:type="gramStart"/>
      <w:r>
        <w:rPr>
          <w:rFonts w:cs="Arial"/>
          <w:lang w:val="en"/>
        </w:rPr>
        <w:t>m</w:t>
      </w:r>
      <w:r w:rsidR="00496AF3">
        <w:rPr>
          <w:rFonts w:cs="Arial"/>
          <w:lang w:val="en"/>
        </w:rPr>
        <w:t>oratoria</w:t>
      </w:r>
      <w:proofErr w:type="gramEnd"/>
      <w:r w:rsidR="00496AF3">
        <w:rPr>
          <w:rFonts w:cs="Arial"/>
          <w:lang w:val="en"/>
        </w:rPr>
        <w:t xml:space="preserve"> and regulatory restrictions, which are affecting onshore gas exploration and development.</w:t>
      </w:r>
    </w:p>
    <w:p w:rsidR="00E16295" w:rsidRDefault="006B3B7E" w:rsidP="00483D2D">
      <w:pPr>
        <w:spacing w:line="276" w:lineRule="auto"/>
        <w:rPr>
          <w:rFonts w:cs="Gotham Light"/>
          <w:color w:val="000000"/>
        </w:rPr>
      </w:pPr>
      <w:r>
        <w:rPr>
          <w:rFonts w:cs="Arial"/>
          <w:lang w:val="en"/>
        </w:rPr>
        <w:t>T</w:t>
      </w:r>
      <w:r w:rsidR="004F599F">
        <w:rPr>
          <w:rFonts w:cs="Arial"/>
          <w:lang w:val="en"/>
        </w:rPr>
        <w:t>he Inquiry</w:t>
      </w:r>
      <w:r w:rsidR="007670BC">
        <w:rPr>
          <w:rFonts w:cs="Arial"/>
          <w:lang w:val="en"/>
        </w:rPr>
        <w:t xml:space="preserve"> </w:t>
      </w:r>
      <w:r>
        <w:rPr>
          <w:rFonts w:cs="Arial"/>
          <w:lang w:val="en"/>
        </w:rPr>
        <w:t xml:space="preserve">also </w:t>
      </w:r>
      <w:r w:rsidR="00815658" w:rsidRPr="00444583">
        <w:rPr>
          <w:rFonts w:cs="Arial"/>
          <w:lang w:val="en"/>
        </w:rPr>
        <w:t>found that pipeline sector problems exacerbate gas supply and pricing issues in the domestic market</w:t>
      </w:r>
      <w:r w:rsidR="00D83554">
        <w:rPr>
          <w:rFonts w:cs="Arial"/>
          <w:lang w:val="en"/>
        </w:rPr>
        <w:t>.</w:t>
      </w:r>
      <w:r w:rsidR="00806F97">
        <w:rPr>
          <w:rStyle w:val="FootnoteReference"/>
          <w:rFonts w:cs="Arial"/>
          <w:lang w:val="en"/>
        </w:rPr>
        <w:footnoteReference w:id="4"/>
      </w:r>
      <w:r w:rsidR="00EB2E1C">
        <w:rPr>
          <w:rFonts w:cs="Arial"/>
          <w:lang w:val="en"/>
        </w:rPr>
        <w:t xml:space="preserve"> </w:t>
      </w:r>
      <w:r w:rsidR="0076370B">
        <w:rPr>
          <w:rFonts w:cs="Arial"/>
          <w:lang w:val="en"/>
        </w:rPr>
        <w:t>During</w:t>
      </w:r>
      <w:r w:rsidR="001037AD">
        <w:rPr>
          <w:rFonts w:cs="Arial"/>
          <w:lang w:val="en"/>
        </w:rPr>
        <w:t xml:space="preserve"> the Inquiry, the ACCC was provided with</w:t>
      </w:r>
      <w:r w:rsidR="00EB2E1C">
        <w:rPr>
          <w:rFonts w:cs="Arial"/>
          <w:lang w:val="en"/>
        </w:rPr>
        <w:t xml:space="preserve"> </w:t>
      </w:r>
      <w:r w:rsidR="00444583" w:rsidRPr="00444583">
        <w:rPr>
          <w:rFonts w:cs="Gotham Light"/>
          <w:color w:val="000000"/>
        </w:rPr>
        <w:t>evidence that a large number of existing pipelines have been engaging in monopoly pricing</w:t>
      </w:r>
      <w:r w:rsidR="00C666DC">
        <w:rPr>
          <w:rFonts w:cs="Gotham Light"/>
          <w:color w:val="000000"/>
        </w:rPr>
        <w:t>, giving rise</w:t>
      </w:r>
      <w:r w:rsidR="00D83554">
        <w:rPr>
          <w:rFonts w:cs="Gotham Light"/>
          <w:color w:val="000000"/>
        </w:rPr>
        <w:t xml:space="preserve"> to</w:t>
      </w:r>
      <w:r w:rsidR="00444583" w:rsidRPr="00444583">
        <w:rPr>
          <w:rFonts w:cs="Gotham Light"/>
          <w:color w:val="000000"/>
        </w:rPr>
        <w:t xml:space="preserve"> higher delivered gas prices for users and</w:t>
      </w:r>
      <w:r w:rsidR="00CF735A">
        <w:rPr>
          <w:rFonts w:cs="Gotham Light"/>
          <w:color w:val="000000"/>
        </w:rPr>
        <w:t xml:space="preserve"> </w:t>
      </w:r>
      <w:r w:rsidR="00444583" w:rsidRPr="00444583">
        <w:rPr>
          <w:rFonts w:cs="Gotham Light"/>
          <w:color w:val="000000"/>
        </w:rPr>
        <w:t>in some cases</w:t>
      </w:r>
      <w:r w:rsidR="00CF735A">
        <w:rPr>
          <w:rFonts w:cs="Gotham Light"/>
          <w:color w:val="000000"/>
        </w:rPr>
        <w:t>,</w:t>
      </w:r>
      <w:r w:rsidR="00444583" w:rsidRPr="00444583">
        <w:rPr>
          <w:rFonts w:cs="Gotham Light"/>
          <w:color w:val="000000"/>
        </w:rPr>
        <w:t xml:space="preserve"> lower ex-plant prices for producers.</w:t>
      </w:r>
      <w:r w:rsidR="00B46DBF">
        <w:rPr>
          <w:rFonts w:cs="Gotham Light"/>
          <w:color w:val="000000"/>
        </w:rPr>
        <w:t xml:space="preserve"> </w:t>
      </w:r>
    </w:p>
    <w:p w:rsidR="00B46DBF" w:rsidRDefault="00B46DBF" w:rsidP="00483D2D">
      <w:pPr>
        <w:pStyle w:val="Default"/>
        <w:spacing w:line="276" w:lineRule="auto"/>
      </w:pPr>
    </w:p>
    <w:p w:rsidR="001E3694" w:rsidRDefault="00A0119F" w:rsidP="00483D2D">
      <w:pPr>
        <w:pStyle w:val="Default"/>
        <w:spacing w:line="276" w:lineRule="auto"/>
        <w:rPr>
          <w:sz w:val="20"/>
          <w:szCs w:val="20"/>
        </w:rPr>
      </w:pPr>
      <w:r>
        <w:rPr>
          <w:rFonts w:asciiTheme="minorHAnsi" w:hAnsiTheme="minorHAnsi" w:cstheme="minorHAnsi"/>
          <w:sz w:val="22"/>
          <w:szCs w:val="22"/>
        </w:rPr>
        <w:t xml:space="preserve">The Inquiry </w:t>
      </w:r>
      <w:r w:rsidR="008D7C03">
        <w:rPr>
          <w:rFonts w:asciiTheme="minorHAnsi" w:hAnsiTheme="minorHAnsi" w:cstheme="minorHAnsi"/>
          <w:sz w:val="22"/>
          <w:szCs w:val="22"/>
        </w:rPr>
        <w:t>found</w:t>
      </w:r>
      <w:r w:rsidR="00B46DBF" w:rsidRPr="005F08A8">
        <w:rPr>
          <w:rFonts w:asciiTheme="minorHAnsi" w:hAnsiTheme="minorHAnsi" w:cstheme="minorHAnsi"/>
          <w:sz w:val="22"/>
          <w:szCs w:val="22"/>
        </w:rPr>
        <w:t xml:space="preserve"> that </w:t>
      </w:r>
      <w:r w:rsidR="002B7FD9">
        <w:rPr>
          <w:rFonts w:asciiTheme="minorHAnsi" w:hAnsiTheme="minorHAnsi" w:cstheme="minorHAnsi"/>
          <w:sz w:val="22"/>
          <w:szCs w:val="22"/>
        </w:rPr>
        <w:t>p</w:t>
      </w:r>
      <w:r w:rsidR="00D332A0">
        <w:rPr>
          <w:rFonts w:asciiTheme="minorHAnsi" w:hAnsiTheme="minorHAnsi" w:cstheme="minorHAnsi"/>
          <w:sz w:val="22"/>
          <w:szCs w:val="22"/>
        </w:rPr>
        <w:t xml:space="preserve">ipeline operators </w:t>
      </w:r>
      <w:r w:rsidR="0044672F">
        <w:rPr>
          <w:rFonts w:asciiTheme="minorHAnsi" w:hAnsiTheme="minorHAnsi" w:cstheme="minorHAnsi"/>
          <w:sz w:val="22"/>
          <w:szCs w:val="22"/>
        </w:rPr>
        <w:t xml:space="preserve">are </w:t>
      </w:r>
      <w:r w:rsidR="00D332A0">
        <w:rPr>
          <w:rFonts w:asciiTheme="minorHAnsi" w:hAnsiTheme="minorHAnsi" w:cstheme="minorHAnsi"/>
          <w:sz w:val="22"/>
          <w:szCs w:val="22"/>
        </w:rPr>
        <w:t>usi</w:t>
      </w:r>
      <w:r w:rsidR="0015416D">
        <w:rPr>
          <w:rFonts w:asciiTheme="minorHAnsi" w:hAnsiTheme="minorHAnsi" w:cstheme="minorHAnsi"/>
          <w:sz w:val="22"/>
          <w:szCs w:val="22"/>
        </w:rPr>
        <w:t>ng market power to obtain above-</w:t>
      </w:r>
      <w:r w:rsidR="00D332A0">
        <w:rPr>
          <w:rFonts w:asciiTheme="minorHAnsi" w:hAnsiTheme="minorHAnsi" w:cstheme="minorHAnsi"/>
          <w:sz w:val="22"/>
          <w:szCs w:val="22"/>
        </w:rPr>
        <w:t>efficient costs</w:t>
      </w:r>
      <w:r w:rsidR="004E5FC9">
        <w:rPr>
          <w:rFonts w:asciiTheme="minorHAnsi" w:hAnsiTheme="minorHAnsi" w:cstheme="minorHAnsi"/>
          <w:sz w:val="22"/>
          <w:szCs w:val="22"/>
        </w:rPr>
        <w:t>,</w:t>
      </w:r>
      <w:r w:rsidR="0044672F">
        <w:rPr>
          <w:rFonts w:asciiTheme="minorHAnsi" w:hAnsiTheme="minorHAnsi" w:cstheme="minorHAnsi"/>
          <w:sz w:val="22"/>
          <w:szCs w:val="22"/>
        </w:rPr>
        <w:t xml:space="preserve"> and this monopoly pricing behaviour is affecting </w:t>
      </w:r>
      <w:r w:rsidR="0015416D">
        <w:rPr>
          <w:rFonts w:asciiTheme="minorHAnsi" w:hAnsiTheme="minorHAnsi" w:cstheme="minorHAnsi"/>
          <w:sz w:val="22"/>
          <w:szCs w:val="22"/>
        </w:rPr>
        <w:t>the achieve</w:t>
      </w:r>
      <w:r w:rsidR="005B7764">
        <w:rPr>
          <w:rFonts w:asciiTheme="minorHAnsi" w:hAnsiTheme="minorHAnsi" w:cstheme="minorHAnsi"/>
          <w:sz w:val="22"/>
          <w:szCs w:val="22"/>
        </w:rPr>
        <w:t>ment of</w:t>
      </w:r>
      <w:r w:rsidR="0015416D">
        <w:rPr>
          <w:rFonts w:asciiTheme="minorHAnsi" w:hAnsiTheme="minorHAnsi" w:cstheme="minorHAnsi"/>
          <w:sz w:val="22"/>
          <w:szCs w:val="22"/>
        </w:rPr>
        <w:t xml:space="preserve"> </w:t>
      </w:r>
      <w:r w:rsidR="0044672F">
        <w:rPr>
          <w:rFonts w:asciiTheme="minorHAnsi" w:hAnsiTheme="minorHAnsi" w:cstheme="minorHAnsi"/>
          <w:sz w:val="22"/>
          <w:szCs w:val="22"/>
        </w:rPr>
        <w:t xml:space="preserve">economically </w:t>
      </w:r>
      <w:r w:rsidR="0044672F" w:rsidRPr="00AE271E">
        <w:rPr>
          <w:rFonts w:ascii="Arial" w:hAnsi="Arial" w:cs="Arial"/>
          <w:sz w:val="22"/>
          <w:szCs w:val="22"/>
        </w:rPr>
        <w:t xml:space="preserve">efficient outcomes. </w:t>
      </w:r>
      <w:r w:rsidR="007670BC" w:rsidRPr="00AE271E">
        <w:rPr>
          <w:rFonts w:ascii="Arial" w:hAnsi="Arial" w:cs="Arial"/>
          <w:sz w:val="22"/>
          <w:szCs w:val="22"/>
        </w:rPr>
        <w:t xml:space="preserve">Information asymmetries </w:t>
      </w:r>
      <w:r w:rsidR="004F599F" w:rsidRPr="00AE271E">
        <w:rPr>
          <w:rFonts w:ascii="Arial" w:hAnsi="Arial" w:cs="Arial"/>
          <w:sz w:val="22"/>
          <w:szCs w:val="22"/>
        </w:rPr>
        <w:t>add to the issue, limiting</w:t>
      </w:r>
      <w:r w:rsidR="00B46DBF" w:rsidRPr="00AE271E">
        <w:rPr>
          <w:rFonts w:ascii="Arial" w:hAnsi="Arial" w:cs="Arial"/>
          <w:sz w:val="22"/>
          <w:szCs w:val="22"/>
        </w:rPr>
        <w:t xml:space="preserve"> the ability of shippers to identify any exercise of market power and to negotiate effectively with pipeline operators.</w:t>
      </w:r>
      <w:r w:rsidR="00806F97" w:rsidRPr="00AE271E">
        <w:rPr>
          <w:rStyle w:val="FootnoteReference"/>
          <w:rFonts w:ascii="Arial" w:hAnsi="Arial" w:cs="Arial"/>
          <w:sz w:val="22"/>
          <w:szCs w:val="22"/>
        </w:rPr>
        <w:footnoteReference w:id="5"/>
      </w:r>
      <w:r w:rsidR="00337D03" w:rsidRPr="00AE271E">
        <w:rPr>
          <w:rFonts w:ascii="Arial" w:hAnsi="Arial" w:cs="Arial"/>
          <w:sz w:val="22"/>
          <w:szCs w:val="22"/>
        </w:rPr>
        <w:t xml:space="preserve"> </w:t>
      </w:r>
      <w:r w:rsidR="00AE271E">
        <w:rPr>
          <w:rFonts w:ascii="Arial" w:hAnsi="Arial" w:cs="Arial"/>
          <w:sz w:val="22"/>
          <w:szCs w:val="22"/>
        </w:rPr>
        <w:br/>
      </w:r>
      <w:r w:rsidR="00AE271E" w:rsidRPr="00AE271E">
        <w:rPr>
          <w:rFonts w:ascii="Arial" w:hAnsi="Arial" w:cs="Arial"/>
          <w:sz w:val="22"/>
          <w:szCs w:val="22"/>
        </w:rPr>
        <w:t>In this regard, the Inquiry considered that ‘if a similar obligation was imposed requiring the reporting of information on an individual pipeline basis for each gas transmission pipeline that operates on an open access basis (that is, both regulated and unregulated pipelines)</w:t>
      </w:r>
      <w:r w:rsidR="00AE271E" w:rsidRPr="00AE271E">
        <w:rPr>
          <w:rStyle w:val="A8"/>
          <w:rFonts w:ascii="Arial" w:hAnsi="Arial" w:cs="Arial"/>
          <w:sz w:val="22"/>
          <w:szCs w:val="22"/>
        </w:rPr>
        <w:t xml:space="preserve"> </w:t>
      </w:r>
      <w:r w:rsidR="00AE271E" w:rsidRPr="00AE271E">
        <w:rPr>
          <w:rFonts w:ascii="Arial" w:hAnsi="Arial" w:cs="Arial"/>
          <w:sz w:val="22"/>
          <w:szCs w:val="22"/>
        </w:rPr>
        <w:t>then shippers would have more information to determine whether or not the prices they are offered on individual pipelines are cost reflective.’</w:t>
      </w:r>
      <w:r w:rsidR="00AE271E">
        <w:rPr>
          <w:sz w:val="20"/>
          <w:szCs w:val="20"/>
        </w:rPr>
        <w:t xml:space="preserve"> </w:t>
      </w:r>
    </w:p>
    <w:p w:rsidR="00AE271E" w:rsidRDefault="00AE271E" w:rsidP="00483D2D">
      <w:pPr>
        <w:pStyle w:val="Default"/>
        <w:spacing w:line="276" w:lineRule="auto"/>
        <w:rPr>
          <w:rFonts w:asciiTheme="minorHAnsi" w:hAnsiTheme="minorHAnsi" w:cstheme="minorHAnsi"/>
          <w:sz w:val="22"/>
          <w:szCs w:val="22"/>
        </w:rPr>
      </w:pPr>
    </w:p>
    <w:p w:rsidR="005C3666" w:rsidRPr="005C3666" w:rsidRDefault="005C3666" w:rsidP="005C3666">
      <w:pPr>
        <w:pStyle w:val="Default"/>
        <w:rPr>
          <w:rFonts w:ascii="Arial" w:hAnsi="Arial" w:cs="Arial"/>
          <w:color w:val="auto"/>
          <w:sz w:val="22"/>
          <w:szCs w:val="22"/>
        </w:rPr>
      </w:pPr>
      <w:r w:rsidRPr="005C3666">
        <w:rPr>
          <w:rFonts w:ascii="Arial" w:hAnsi="Arial" w:cs="Arial"/>
          <w:color w:val="auto"/>
          <w:sz w:val="22"/>
          <w:szCs w:val="22"/>
        </w:rPr>
        <w:t>The Inquiry therefore recommended the COAG Energy Council review:</w:t>
      </w:r>
    </w:p>
    <w:p w:rsidR="005C3666" w:rsidRPr="005C3666" w:rsidRDefault="005C3666" w:rsidP="005C3666">
      <w:pPr>
        <w:pStyle w:val="Default"/>
        <w:rPr>
          <w:rFonts w:ascii="Arial" w:hAnsi="Arial" w:cs="Arial"/>
          <w:color w:val="auto"/>
          <w:sz w:val="22"/>
          <w:szCs w:val="22"/>
        </w:rPr>
      </w:pPr>
    </w:p>
    <w:p w:rsidR="005C3666" w:rsidRPr="005C3666" w:rsidRDefault="005C3666" w:rsidP="009A4833">
      <w:pPr>
        <w:pStyle w:val="Default"/>
        <w:numPr>
          <w:ilvl w:val="0"/>
          <w:numId w:val="43"/>
        </w:numPr>
        <w:spacing w:line="276" w:lineRule="auto"/>
        <w:rPr>
          <w:rFonts w:ascii="Arial" w:hAnsi="Arial" w:cs="Arial"/>
          <w:sz w:val="22"/>
          <w:szCs w:val="22"/>
        </w:rPr>
      </w:pPr>
      <w:r w:rsidRPr="005C3666">
        <w:rPr>
          <w:rFonts w:ascii="Arial" w:hAnsi="Arial" w:cs="Arial"/>
          <w:sz w:val="22"/>
          <w:szCs w:val="22"/>
        </w:rPr>
        <w:t xml:space="preserve">how the scope of the information disclosure provisions in the NGL should be expanded to allow the </w:t>
      </w:r>
      <w:r w:rsidR="00F021A5">
        <w:rPr>
          <w:rFonts w:ascii="Arial" w:hAnsi="Arial" w:cs="Arial"/>
          <w:sz w:val="22"/>
          <w:szCs w:val="22"/>
        </w:rPr>
        <w:t>Australian Energy Regulator (AER)</w:t>
      </w:r>
      <w:r w:rsidRPr="005C3666">
        <w:rPr>
          <w:rFonts w:ascii="Arial" w:hAnsi="Arial" w:cs="Arial"/>
          <w:sz w:val="22"/>
          <w:szCs w:val="22"/>
        </w:rPr>
        <w:t xml:space="preserve"> to obtain and publish information from unregulated pipelines operating on an open access basis </w:t>
      </w:r>
    </w:p>
    <w:p w:rsidR="005C3666" w:rsidRPr="005C3666" w:rsidRDefault="005C3666" w:rsidP="009A4833">
      <w:pPr>
        <w:pStyle w:val="Default"/>
        <w:numPr>
          <w:ilvl w:val="0"/>
          <w:numId w:val="43"/>
        </w:numPr>
        <w:spacing w:line="276" w:lineRule="auto"/>
        <w:rPr>
          <w:rFonts w:ascii="Arial" w:hAnsi="Arial" w:cs="Arial"/>
          <w:sz w:val="22"/>
          <w:szCs w:val="22"/>
        </w:rPr>
      </w:pPr>
      <w:r w:rsidRPr="005C3666">
        <w:rPr>
          <w:rFonts w:ascii="Arial" w:hAnsi="Arial" w:cs="Arial"/>
          <w:sz w:val="22"/>
          <w:szCs w:val="22"/>
        </w:rPr>
        <w:t>the type of financial and operational information that pipeline operators should be required to disclose and the frequency with which it should be disclosed, noting that the purpose of this disclosure is to enable shippers to negotiate effectively with pipeline operators and to determine whether proposed prices are cost reflective, and</w:t>
      </w:r>
    </w:p>
    <w:p w:rsidR="009A4833" w:rsidRPr="00BD764D" w:rsidRDefault="001E3694" w:rsidP="00DF79FA">
      <w:pPr>
        <w:pStyle w:val="Default"/>
        <w:numPr>
          <w:ilvl w:val="0"/>
          <w:numId w:val="43"/>
        </w:numPr>
        <w:spacing w:line="276" w:lineRule="auto"/>
        <w:rPr>
          <w:rFonts w:ascii="Arial" w:hAnsi="Arial" w:cs="Arial"/>
          <w:sz w:val="22"/>
          <w:szCs w:val="22"/>
        </w:rPr>
      </w:pPr>
      <w:proofErr w:type="gramStart"/>
      <w:r w:rsidRPr="005C3666">
        <w:rPr>
          <w:rFonts w:ascii="Arial" w:hAnsi="Arial" w:cs="Arial"/>
          <w:color w:val="auto"/>
          <w:sz w:val="22"/>
          <w:szCs w:val="22"/>
        </w:rPr>
        <w:t>the</w:t>
      </w:r>
      <w:proofErr w:type="gramEnd"/>
      <w:r w:rsidRPr="005C3666">
        <w:rPr>
          <w:rFonts w:ascii="Arial" w:hAnsi="Arial" w:cs="Arial"/>
          <w:color w:val="auto"/>
          <w:sz w:val="22"/>
          <w:szCs w:val="22"/>
        </w:rPr>
        <w:t xml:space="preserve"> current test for regulation, </w:t>
      </w:r>
      <w:r w:rsidR="009A4833">
        <w:rPr>
          <w:rFonts w:ascii="Arial" w:hAnsi="Arial" w:cs="Arial"/>
          <w:color w:val="auto"/>
          <w:sz w:val="22"/>
          <w:szCs w:val="22"/>
        </w:rPr>
        <w:t>with the recommendation that</w:t>
      </w:r>
      <w:r w:rsidR="005C3666" w:rsidRPr="005C3666">
        <w:rPr>
          <w:rFonts w:ascii="Arial" w:hAnsi="Arial" w:cs="Arial"/>
          <w:color w:val="auto"/>
          <w:sz w:val="22"/>
          <w:szCs w:val="22"/>
        </w:rPr>
        <w:t xml:space="preserve"> a new test around market power be implemented.</w:t>
      </w:r>
      <w:r w:rsidR="009A4833">
        <w:rPr>
          <w:rStyle w:val="FootnoteReference"/>
          <w:rFonts w:ascii="Arial" w:hAnsi="Arial" w:cs="Arial"/>
          <w:color w:val="auto"/>
          <w:sz w:val="22"/>
          <w:szCs w:val="22"/>
        </w:rPr>
        <w:footnoteReference w:id="6"/>
      </w:r>
      <w:r w:rsidRPr="005C3666">
        <w:rPr>
          <w:rFonts w:ascii="Arial" w:hAnsi="Arial" w:cs="Arial"/>
          <w:color w:val="auto"/>
          <w:sz w:val="22"/>
          <w:szCs w:val="22"/>
        </w:rPr>
        <w:t xml:space="preserve"> </w:t>
      </w:r>
    </w:p>
    <w:p w:rsidR="00992823" w:rsidRDefault="00A22125" w:rsidP="009B4353">
      <w:pPr>
        <w:pStyle w:val="Heading3"/>
      </w:pPr>
      <w:bookmarkStart w:id="20" w:name="_Toc479781917"/>
      <w:r>
        <w:lastRenderedPageBreak/>
        <w:t>Dr Vertigan’s E</w:t>
      </w:r>
      <w:r w:rsidR="00992823">
        <w:t>xamination</w:t>
      </w:r>
      <w:bookmarkEnd w:id="20"/>
      <w:r w:rsidR="00992823">
        <w:t xml:space="preserve"> </w:t>
      </w:r>
    </w:p>
    <w:p w:rsidR="009B4353" w:rsidRDefault="00085A7B" w:rsidP="00483D2D">
      <w:pPr>
        <w:spacing w:line="276" w:lineRule="auto"/>
        <w:rPr>
          <w:rFonts w:cs="Arial"/>
        </w:rPr>
      </w:pPr>
      <w:r>
        <w:t xml:space="preserve">In August </w:t>
      </w:r>
      <w:r w:rsidR="00337D03">
        <w:t xml:space="preserve">2016, </w:t>
      </w:r>
      <w:r>
        <w:t xml:space="preserve">the COAG Energy Council directed </w:t>
      </w:r>
      <w:r w:rsidR="00337D03">
        <w:t xml:space="preserve">Dr Michael Vertigan </w:t>
      </w:r>
      <w:r>
        <w:t xml:space="preserve">to conduct </w:t>
      </w:r>
      <w:r w:rsidR="00337D03">
        <w:t>an ‘</w:t>
      </w:r>
      <w:r w:rsidR="00337D03" w:rsidRPr="00337D03">
        <w:rPr>
          <w:rFonts w:cs="Arial"/>
        </w:rPr>
        <w:t>Examination of the current test for the regulation of gas pipelines</w:t>
      </w:r>
      <w:r w:rsidR="00337D03">
        <w:rPr>
          <w:rFonts w:cs="Arial"/>
        </w:rPr>
        <w:t>’</w:t>
      </w:r>
      <w:r w:rsidR="00337D03" w:rsidRPr="00337D03">
        <w:rPr>
          <w:rFonts w:cs="Arial"/>
        </w:rPr>
        <w:t xml:space="preserve"> (the Examination)</w:t>
      </w:r>
      <w:r w:rsidR="00337D03">
        <w:rPr>
          <w:rFonts w:cs="Arial"/>
        </w:rPr>
        <w:t>.</w:t>
      </w:r>
      <w:r w:rsidR="00C45649">
        <w:rPr>
          <w:rStyle w:val="FootnoteReference"/>
          <w:rFonts w:cs="Arial"/>
        </w:rPr>
        <w:footnoteReference w:id="7"/>
      </w:r>
      <w:r>
        <w:rPr>
          <w:rFonts w:cs="Arial"/>
        </w:rPr>
        <w:t xml:space="preserve"> </w:t>
      </w:r>
    </w:p>
    <w:p w:rsidR="00AA792C" w:rsidRDefault="00085A7B" w:rsidP="00483D2D">
      <w:pPr>
        <w:spacing w:line="276" w:lineRule="auto"/>
        <w:rPr>
          <w:rFonts w:cs="Arial"/>
        </w:rPr>
      </w:pPr>
      <w:r>
        <w:rPr>
          <w:rFonts w:cs="Arial"/>
        </w:rPr>
        <w:t xml:space="preserve">The Examination found that an uneven bargaining relationship exists in relation to </w:t>
      </w:r>
      <w:r w:rsidRPr="00680C5B">
        <w:rPr>
          <w:rFonts w:cs="Arial"/>
        </w:rPr>
        <w:t xml:space="preserve">the </w:t>
      </w:r>
      <w:r>
        <w:rPr>
          <w:rFonts w:cs="Arial"/>
        </w:rPr>
        <w:t>transport of gas</w:t>
      </w:r>
      <w:r w:rsidR="00AF6777">
        <w:rPr>
          <w:rFonts w:cs="Arial"/>
        </w:rPr>
        <w:t>,</w:t>
      </w:r>
      <w:r>
        <w:rPr>
          <w:rFonts w:cs="Arial"/>
        </w:rPr>
        <w:t xml:space="preserve"> and </w:t>
      </w:r>
      <w:r w:rsidR="00B7236E">
        <w:rPr>
          <w:rFonts w:cs="Arial"/>
        </w:rPr>
        <w:t xml:space="preserve">that </w:t>
      </w:r>
      <w:r>
        <w:rPr>
          <w:rFonts w:cs="Arial"/>
        </w:rPr>
        <w:t xml:space="preserve">this is the </w:t>
      </w:r>
      <w:r w:rsidR="004C5881" w:rsidRPr="00680C5B">
        <w:rPr>
          <w:rFonts w:cs="Arial"/>
        </w:rPr>
        <w:t>major</w:t>
      </w:r>
      <w:r w:rsidRPr="00680C5B">
        <w:rPr>
          <w:rFonts w:cs="Arial"/>
        </w:rPr>
        <w:t xml:space="preserve"> problem </w:t>
      </w:r>
      <w:proofErr w:type="gramStart"/>
      <w:r>
        <w:rPr>
          <w:rFonts w:cs="Arial"/>
        </w:rPr>
        <w:t>shippers</w:t>
      </w:r>
      <w:proofErr w:type="gramEnd"/>
      <w:r>
        <w:rPr>
          <w:rFonts w:cs="Arial"/>
        </w:rPr>
        <w:t xml:space="preserve"> face when seeking access to pipeline services.</w:t>
      </w:r>
      <w:r w:rsidR="00504731">
        <w:rPr>
          <w:rStyle w:val="FootnoteReference"/>
          <w:rFonts w:cs="Arial"/>
        </w:rPr>
        <w:footnoteReference w:id="8"/>
      </w:r>
      <w:r>
        <w:rPr>
          <w:rFonts w:cs="Arial"/>
        </w:rPr>
        <w:t xml:space="preserve"> </w:t>
      </w:r>
      <w:r w:rsidR="00DC79FD">
        <w:rPr>
          <w:rFonts w:cs="Arial"/>
        </w:rPr>
        <w:t xml:space="preserve">To address this </w:t>
      </w:r>
      <w:r w:rsidR="0093339E">
        <w:rPr>
          <w:rFonts w:cs="Arial"/>
        </w:rPr>
        <w:t xml:space="preserve">power </w:t>
      </w:r>
      <w:r w:rsidR="00DC79FD">
        <w:rPr>
          <w:rFonts w:cs="Arial"/>
        </w:rPr>
        <w:t xml:space="preserve">imbalance, the Examination recommended steps be taken to strengthen the negotiating position of shippers. </w:t>
      </w:r>
    </w:p>
    <w:p w:rsidR="00AA792C" w:rsidRPr="00F718D6" w:rsidRDefault="00B132E3" w:rsidP="00483D2D">
      <w:pPr>
        <w:spacing w:line="276" w:lineRule="auto"/>
        <w:rPr>
          <w:rFonts w:cs="Arial"/>
        </w:rPr>
      </w:pPr>
      <w:r w:rsidRPr="00AA792C">
        <w:rPr>
          <w:rFonts w:asciiTheme="minorHAnsi" w:hAnsiTheme="minorHAnsi" w:cstheme="minorHAnsi"/>
        </w:rPr>
        <w:t xml:space="preserve">The Examination considered the most effective way to </w:t>
      </w:r>
      <w:r w:rsidR="00B65215" w:rsidRPr="00AA792C">
        <w:rPr>
          <w:rFonts w:asciiTheme="minorHAnsi" w:hAnsiTheme="minorHAnsi" w:cstheme="minorHAnsi"/>
        </w:rPr>
        <w:t>achieve</w:t>
      </w:r>
      <w:r w:rsidRPr="00AA792C">
        <w:rPr>
          <w:rFonts w:asciiTheme="minorHAnsi" w:hAnsiTheme="minorHAnsi" w:cstheme="minorHAnsi"/>
        </w:rPr>
        <w:t xml:space="preserve"> this would be to </w:t>
      </w:r>
      <w:r w:rsidR="00B65215" w:rsidRPr="00AA792C">
        <w:rPr>
          <w:rFonts w:asciiTheme="minorHAnsi" w:hAnsiTheme="minorHAnsi" w:cstheme="minorHAnsi"/>
        </w:rPr>
        <w:t>enhance information transparency</w:t>
      </w:r>
      <w:r w:rsidR="0072362D" w:rsidRPr="00AA792C">
        <w:rPr>
          <w:rFonts w:asciiTheme="minorHAnsi" w:hAnsiTheme="minorHAnsi" w:cstheme="minorHAnsi"/>
        </w:rPr>
        <w:t xml:space="preserve"> </w:t>
      </w:r>
      <w:r w:rsidR="00A85566" w:rsidRPr="00AA792C">
        <w:rPr>
          <w:rFonts w:asciiTheme="minorHAnsi" w:hAnsiTheme="minorHAnsi" w:cstheme="minorHAnsi"/>
        </w:rPr>
        <w:t xml:space="preserve">by introducing an information disclosure framework, </w:t>
      </w:r>
      <w:r w:rsidR="0072362D" w:rsidRPr="00AA792C">
        <w:rPr>
          <w:rFonts w:asciiTheme="minorHAnsi" w:hAnsiTheme="minorHAnsi" w:cstheme="minorHAnsi"/>
        </w:rPr>
        <w:t xml:space="preserve">and </w:t>
      </w:r>
      <w:r w:rsidR="00A85566" w:rsidRPr="00AA792C">
        <w:rPr>
          <w:rFonts w:asciiTheme="minorHAnsi" w:hAnsiTheme="minorHAnsi" w:cstheme="minorHAnsi"/>
        </w:rPr>
        <w:t xml:space="preserve">provide a more credible threat of </w:t>
      </w:r>
      <w:r w:rsidR="00FB02E0">
        <w:rPr>
          <w:rFonts w:asciiTheme="minorHAnsi" w:hAnsiTheme="minorHAnsi" w:cstheme="minorHAnsi"/>
        </w:rPr>
        <w:t>intervention</w:t>
      </w:r>
      <w:r w:rsidR="00A85566" w:rsidRPr="00AA792C">
        <w:rPr>
          <w:rFonts w:asciiTheme="minorHAnsi" w:hAnsiTheme="minorHAnsi" w:cstheme="minorHAnsi"/>
        </w:rPr>
        <w:t xml:space="preserve"> by </w:t>
      </w:r>
      <w:r w:rsidRPr="00AA792C">
        <w:rPr>
          <w:rFonts w:asciiTheme="minorHAnsi" w:hAnsiTheme="minorHAnsi" w:cstheme="minorHAnsi"/>
        </w:rPr>
        <w:t>implement</w:t>
      </w:r>
      <w:r w:rsidR="00A85566" w:rsidRPr="00AA792C">
        <w:rPr>
          <w:rFonts w:asciiTheme="minorHAnsi" w:hAnsiTheme="minorHAnsi" w:cstheme="minorHAnsi"/>
        </w:rPr>
        <w:t>ing</w:t>
      </w:r>
      <w:r w:rsidRPr="00AA792C">
        <w:rPr>
          <w:rFonts w:asciiTheme="minorHAnsi" w:hAnsiTheme="minorHAnsi" w:cstheme="minorHAnsi"/>
        </w:rPr>
        <w:t xml:space="preserve"> </w:t>
      </w:r>
      <w:r w:rsidR="00B65215" w:rsidRPr="00AA792C">
        <w:rPr>
          <w:rFonts w:asciiTheme="minorHAnsi" w:hAnsiTheme="minorHAnsi" w:cstheme="minorHAnsi"/>
        </w:rPr>
        <w:t xml:space="preserve">a </w:t>
      </w:r>
      <w:r w:rsidRPr="00AA792C">
        <w:rPr>
          <w:rFonts w:asciiTheme="minorHAnsi" w:hAnsiTheme="minorHAnsi" w:cstheme="minorHAnsi"/>
        </w:rPr>
        <w:t xml:space="preserve">binding arbitration </w:t>
      </w:r>
      <w:r w:rsidR="00B65215" w:rsidRPr="00AA792C">
        <w:rPr>
          <w:rFonts w:asciiTheme="minorHAnsi" w:hAnsiTheme="minorHAnsi" w:cstheme="minorHAnsi"/>
        </w:rPr>
        <w:t>mechanism</w:t>
      </w:r>
      <w:r w:rsidR="008C75C0" w:rsidRPr="00AA792C">
        <w:rPr>
          <w:rFonts w:asciiTheme="minorHAnsi" w:hAnsiTheme="minorHAnsi" w:cstheme="minorHAnsi"/>
        </w:rPr>
        <w:t xml:space="preserve"> where commercial negotiations fail</w:t>
      </w:r>
      <w:r w:rsidRPr="00AA792C">
        <w:rPr>
          <w:rFonts w:asciiTheme="minorHAnsi" w:hAnsiTheme="minorHAnsi" w:cstheme="minorHAnsi"/>
        </w:rPr>
        <w:t xml:space="preserve">. </w:t>
      </w:r>
      <w:r w:rsidR="00DB188A">
        <w:rPr>
          <w:rFonts w:cs="Arial"/>
        </w:rPr>
        <w:t xml:space="preserve">It was envisaged that any arbitration mechanism would retain commercial negotiation between parties as the primary focus, rather than regulatory solutions. </w:t>
      </w:r>
      <w:r w:rsidR="00AA792C">
        <w:rPr>
          <w:rFonts w:asciiTheme="minorHAnsi" w:hAnsiTheme="minorHAnsi" w:cstheme="minorHAnsi"/>
        </w:rPr>
        <w:t>In this regard</w:t>
      </w:r>
      <w:r w:rsidR="00AA792C" w:rsidRPr="00AA792C">
        <w:rPr>
          <w:rFonts w:asciiTheme="minorHAnsi" w:hAnsiTheme="minorHAnsi" w:cstheme="minorHAnsi"/>
        </w:rPr>
        <w:t xml:space="preserve">, the Examination recommended that the disclosure and transparency of pipeline service costs, pricing and contract terms and conditions be enhanced, and a </w:t>
      </w:r>
      <w:r w:rsidR="00413097">
        <w:rPr>
          <w:rFonts w:asciiTheme="minorHAnsi" w:hAnsiTheme="minorHAnsi" w:cstheme="minorHAnsi"/>
        </w:rPr>
        <w:t xml:space="preserve">commercially-focused </w:t>
      </w:r>
      <w:r w:rsidR="00AA792C" w:rsidRPr="00AA792C">
        <w:rPr>
          <w:rFonts w:asciiTheme="minorHAnsi" w:hAnsiTheme="minorHAnsi" w:cstheme="minorHAnsi"/>
        </w:rPr>
        <w:t>framework for binding arbitration be introduced into the National Gas Law (NGL).</w:t>
      </w:r>
      <w:r w:rsidR="00504731">
        <w:rPr>
          <w:rStyle w:val="FootnoteReference"/>
          <w:rFonts w:asciiTheme="minorHAnsi" w:hAnsiTheme="minorHAnsi" w:cstheme="minorHAnsi"/>
        </w:rPr>
        <w:footnoteReference w:id="9"/>
      </w:r>
      <w:r w:rsidR="00AA792C" w:rsidRPr="00AA792C">
        <w:rPr>
          <w:rFonts w:asciiTheme="minorHAnsi" w:hAnsiTheme="minorHAnsi" w:cstheme="minorHAnsi"/>
        </w:rPr>
        <w:t xml:space="preserve"> </w:t>
      </w:r>
    </w:p>
    <w:p w:rsidR="0093339E" w:rsidRDefault="0093339E" w:rsidP="00483D2D">
      <w:pPr>
        <w:pStyle w:val="Default"/>
        <w:spacing w:line="276" w:lineRule="auto"/>
        <w:rPr>
          <w:sz w:val="22"/>
          <w:szCs w:val="22"/>
        </w:rPr>
      </w:pPr>
    </w:p>
    <w:p w:rsidR="00F22D9C" w:rsidRPr="00742AB0" w:rsidRDefault="0093339E" w:rsidP="00483D2D">
      <w:pPr>
        <w:pStyle w:val="Default"/>
        <w:spacing w:line="276" w:lineRule="auto"/>
        <w:rPr>
          <w:rFonts w:asciiTheme="minorHAnsi" w:hAnsiTheme="minorHAnsi" w:cstheme="minorHAnsi"/>
          <w:sz w:val="22"/>
          <w:szCs w:val="22"/>
        </w:rPr>
      </w:pPr>
      <w:r w:rsidRPr="00742AB0">
        <w:rPr>
          <w:rFonts w:asciiTheme="minorHAnsi" w:hAnsiTheme="minorHAnsi" w:cstheme="minorHAnsi"/>
          <w:sz w:val="22"/>
          <w:szCs w:val="22"/>
        </w:rPr>
        <w:t xml:space="preserve">In order to </w:t>
      </w:r>
      <w:r w:rsidR="00E03F30" w:rsidRPr="00742AB0">
        <w:rPr>
          <w:rFonts w:asciiTheme="minorHAnsi" w:hAnsiTheme="minorHAnsi" w:cstheme="minorHAnsi"/>
          <w:sz w:val="22"/>
          <w:szCs w:val="22"/>
        </w:rPr>
        <w:t>give effect to</w:t>
      </w:r>
      <w:r w:rsidRPr="00742AB0">
        <w:rPr>
          <w:rFonts w:asciiTheme="minorHAnsi" w:hAnsiTheme="minorHAnsi" w:cstheme="minorHAnsi"/>
          <w:sz w:val="22"/>
          <w:szCs w:val="22"/>
        </w:rPr>
        <w:t xml:space="preserve"> Dr Vertigan’s recommendations, </w:t>
      </w:r>
      <w:r w:rsidR="00E03F30" w:rsidRPr="00742AB0">
        <w:rPr>
          <w:rFonts w:asciiTheme="minorHAnsi" w:hAnsiTheme="minorHAnsi" w:cstheme="minorHAnsi"/>
          <w:sz w:val="22"/>
          <w:szCs w:val="22"/>
        </w:rPr>
        <w:t>options for the information disclosure and arbitration framework have</w:t>
      </w:r>
      <w:r w:rsidR="00CA33B5" w:rsidRPr="00742AB0">
        <w:rPr>
          <w:rFonts w:asciiTheme="minorHAnsi" w:hAnsiTheme="minorHAnsi" w:cstheme="minorHAnsi"/>
          <w:sz w:val="22"/>
          <w:szCs w:val="22"/>
        </w:rPr>
        <w:t xml:space="preserve"> been released for comment</w:t>
      </w:r>
      <w:r w:rsidR="00CA7E1F">
        <w:rPr>
          <w:rFonts w:asciiTheme="minorHAnsi" w:hAnsiTheme="minorHAnsi" w:cstheme="minorHAnsi"/>
          <w:sz w:val="22"/>
          <w:szCs w:val="22"/>
        </w:rPr>
        <w:t xml:space="preserve">. </w:t>
      </w:r>
    </w:p>
    <w:p w:rsidR="00B613E5" w:rsidRPr="00F70957" w:rsidRDefault="00E050FB" w:rsidP="00F70957">
      <w:pPr>
        <w:pStyle w:val="Numbered1"/>
      </w:pPr>
      <w:r w:rsidRPr="00F70957">
        <w:t xml:space="preserve"> </w:t>
      </w:r>
      <w:bookmarkStart w:id="21" w:name="_Toc479781918"/>
      <w:r w:rsidR="00B613E5" w:rsidRPr="00F70957">
        <w:t>Objective of the Framework</w:t>
      </w:r>
      <w:bookmarkEnd w:id="21"/>
    </w:p>
    <w:p w:rsidR="00114F93" w:rsidRDefault="00915644" w:rsidP="00A92B58">
      <w:pPr>
        <w:spacing w:line="276" w:lineRule="auto"/>
      </w:pPr>
      <w:r>
        <w:t>It is the ACCC’s understanding that t</w:t>
      </w:r>
      <w:r w:rsidR="00114F93">
        <w:t xml:space="preserve">he primary objective of the information disclosure and arbitration regime </w:t>
      </w:r>
      <w:r w:rsidR="005B6F45">
        <w:t xml:space="preserve">is </w:t>
      </w:r>
      <w:r w:rsidR="00114F93">
        <w:t>to facilitate timely and effective commercial negotiations between shippers and operators of non-scheme pipelines by ‘re-balancing’ the difference in bargaining power between shippers and pipeline operators</w:t>
      </w:r>
      <w:r w:rsidR="002A7245">
        <w:t>,</w:t>
      </w:r>
      <w:r w:rsidR="00114F93">
        <w:t xml:space="preserve"> and by </w:t>
      </w:r>
      <w:r w:rsidR="002A7245">
        <w:t>imposing</w:t>
      </w:r>
      <w:r w:rsidR="00114F93">
        <w:t xml:space="preserve"> a credible threat of intervention to act as a constraint on </w:t>
      </w:r>
      <w:r w:rsidR="0043790B">
        <w:t xml:space="preserve">the exercise of </w:t>
      </w:r>
      <w:r w:rsidR="00114F93">
        <w:t xml:space="preserve">market power. </w:t>
      </w:r>
    </w:p>
    <w:p w:rsidR="00696C34" w:rsidRDefault="00696C34" w:rsidP="00A92B58">
      <w:pPr>
        <w:spacing w:line="276" w:lineRule="auto"/>
      </w:pPr>
      <w:r>
        <w:t xml:space="preserve">The information </w:t>
      </w:r>
      <w:proofErr w:type="gramStart"/>
      <w:r>
        <w:t>disclosure</w:t>
      </w:r>
      <w:proofErr w:type="gramEnd"/>
      <w:r>
        <w:t xml:space="preserve"> requirements are intended to provide greater transparency, and reduce information gaps that otherwise create an uneven bargaining relationship between shippers and pipeline operators and which inhibit the ability of shippers to negotiate effectively.</w:t>
      </w:r>
      <w:r w:rsidR="00AA5127">
        <w:rPr>
          <w:rStyle w:val="FootnoteReference"/>
        </w:rPr>
        <w:footnoteReference w:id="10"/>
      </w:r>
      <w:r>
        <w:t xml:space="preserve"> </w:t>
      </w:r>
    </w:p>
    <w:p w:rsidR="00AA5127" w:rsidRDefault="00696C34" w:rsidP="00A92B58">
      <w:pPr>
        <w:spacing w:line="276" w:lineRule="auto"/>
      </w:pPr>
      <w:r>
        <w:t xml:space="preserve">The threat of the arbitration mechanism is intended to encourage pipeline operators to behave appropriately during negotiations and parties to reach commercial agreement without having to resort to arbitration. However, where a pipeline operator is not acting appropriately, the arbitration mechanism </w:t>
      </w:r>
      <w:r w:rsidR="00AA5127">
        <w:t>should</w:t>
      </w:r>
      <w:r>
        <w:t xml:space="preserve"> encourage shippers to utilise the dispute resolution mechanism. </w:t>
      </w:r>
    </w:p>
    <w:p w:rsidR="00696C34" w:rsidRDefault="00696C34" w:rsidP="00A92B58">
      <w:pPr>
        <w:spacing w:line="276" w:lineRule="auto"/>
      </w:pPr>
      <w:r>
        <w:t>The arbitration principles are designed to help parties identify the likely range of arbitral outcomes so that they are incentivised to reach agreement, and can be confident in negotiated outcomes.</w:t>
      </w:r>
    </w:p>
    <w:p w:rsidR="00677ED8" w:rsidRPr="00EA2596" w:rsidRDefault="00677ED8" w:rsidP="00A92B58">
      <w:pPr>
        <w:spacing w:line="276" w:lineRule="auto"/>
      </w:pPr>
      <w:r>
        <w:lastRenderedPageBreak/>
        <w:t xml:space="preserve">As identified in the ACCC’s Inquiry, a </w:t>
      </w:r>
      <w:r w:rsidRPr="00EA2596">
        <w:t>large number of pipelines have market power and as evidence suggests, have been engaging in monopoly pricing behaviour, setting above-efficient prices.</w:t>
      </w:r>
      <w:r w:rsidRPr="00EA2596">
        <w:rPr>
          <w:rStyle w:val="FootnoteReference"/>
        </w:rPr>
        <w:footnoteReference w:id="11"/>
      </w:r>
      <w:r w:rsidRPr="00EA2596">
        <w:t xml:space="preserve">  In order to achieve the above objectives, the information disclosure and arbitration regime</w:t>
      </w:r>
      <w:r w:rsidRPr="00EA2596">
        <w:rPr>
          <w:rFonts w:asciiTheme="minorHAnsi" w:hAnsiTheme="minorHAnsi" w:cstheme="minorHAnsi"/>
        </w:rPr>
        <w:t xml:space="preserve"> must go to addressing these underlying economic efficiency concerns</w:t>
      </w:r>
      <w:r w:rsidR="005B6F45" w:rsidRPr="00EA2596">
        <w:rPr>
          <w:rFonts w:asciiTheme="minorHAnsi" w:hAnsiTheme="minorHAnsi" w:cstheme="minorHAnsi"/>
        </w:rPr>
        <w:t>.</w:t>
      </w:r>
    </w:p>
    <w:p w:rsidR="00114F93" w:rsidRPr="00EA2596" w:rsidRDefault="00677ED8" w:rsidP="00A92B58">
      <w:pPr>
        <w:spacing w:line="276" w:lineRule="auto"/>
      </w:pPr>
      <w:r w:rsidRPr="00EA2596">
        <w:t>In addition, the</w:t>
      </w:r>
      <w:r w:rsidR="00EE3D40" w:rsidRPr="00EA2596">
        <w:t xml:space="preserve"> ACCC recommends that the GMRG immediately start developing</w:t>
      </w:r>
      <w:r w:rsidRPr="00EA2596">
        <w:t xml:space="preserve"> measures</w:t>
      </w:r>
      <w:r w:rsidR="00AA5127" w:rsidRPr="00EA2596">
        <w:t xml:space="preserve"> </w:t>
      </w:r>
      <w:r w:rsidR="00EE3D40" w:rsidRPr="00EA2596">
        <w:t>to address the likely inconsistency of treatment of covered pipeline</w:t>
      </w:r>
      <w:r w:rsidR="00190D5C">
        <w:t>s</w:t>
      </w:r>
      <w:r w:rsidR="00EE3D40" w:rsidRPr="00EA2596">
        <w:t xml:space="preserve"> subject to light regulation and non-scheme pipelines that will be governed by the framework proposed under this Options paper. </w:t>
      </w:r>
      <w:r w:rsidR="00190D5C">
        <w:t xml:space="preserve">For example, arbitration for covered pipelines under light </w:t>
      </w:r>
      <w:r w:rsidR="005B7764">
        <w:t xml:space="preserve">handed </w:t>
      </w:r>
      <w:r w:rsidR="00190D5C">
        <w:t xml:space="preserve">regulation will potentially have a higher threshold </w:t>
      </w:r>
      <w:r w:rsidR="005B7764">
        <w:t xml:space="preserve">for triggering the arbitral process </w:t>
      </w:r>
      <w:r w:rsidR="00190D5C">
        <w:t xml:space="preserve">than </w:t>
      </w:r>
      <w:r w:rsidR="005B7764">
        <w:t>will operate for</w:t>
      </w:r>
      <w:r w:rsidR="00190D5C">
        <w:t xml:space="preserve"> non-scheme pipelines</w:t>
      </w:r>
      <w:r w:rsidR="005B7764">
        <w:t xml:space="preserve"> under the commercial arbitration framework</w:t>
      </w:r>
      <w:r w:rsidR="00190D5C">
        <w:t xml:space="preserve">. </w:t>
      </w:r>
      <w:r w:rsidR="00EE3D40" w:rsidRPr="00EA2596">
        <w:t>The ACCC notes that once this framework is in place there will be scope for pipeline operators to ‘forum shop’ to find the least onerous framework and the one which most favours their commercial positions. The ACCC considers that measures should be identified to</w:t>
      </w:r>
      <w:r w:rsidR="00AA5127" w:rsidRPr="00EA2596">
        <w:t xml:space="preserve"> address the issues </w:t>
      </w:r>
      <w:r w:rsidR="00EE3D40" w:rsidRPr="00EA2596">
        <w:t>around the</w:t>
      </w:r>
      <w:r w:rsidR="00AA5127" w:rsidRPr="00EA2596">
        <w:t xml:space="preserve"> </w:t>
      </w:r>
      <w:r w:rsidR="00AA5127" w:rsidRPr="00EA2596">
        <w:rPr>
          <w:rStyle w:val="A7"/>
          <w:sz w:val="22"/>
          <w:szCs w:val="22"/>
        </w:rPr>
        <w:t>uncertainty surrounding how the AER would approach certain issues</w:t>
      </w:r>
      <w:r w:rsidR="00AA5127" w:rsidRPr="00EA2596">
        <w:rPr>
          <w:rStyle w:val="A8"/>
          <w:sz w:val="22"/>
          <w:szCs w:val="22"/>
        </w:rPr>
        <w:t xml:space="preserve"> </w:t>
      </w:r>
      <w:r w:rsidR="00AA5127" w:rsidRPr="00EA2596">
        <w:rPr>
          <w:rStyle w:val="A7"/>
          <w:sz w:val="22"/>
          <w:szCs w:val="22"/>
        </w:rPr>
        <w:t>and the final outcome</w:t>
      </w:r>
      <w:r w:rsidR="00EE3D40" w:rsidRPr="00EA2596">
        <w:rPr>
          <w:rStyle w:val="A7"/>
          <w:sz w:val="22"/>
          <w:szCs w:val="22"/>
        </w:rPr>
        <w:t xml:space="preserve"> in light handed regulation, which </w:t>
      </w:r>
      <w:r w:rsidR="005B7764">
        <w:rPr>
          <w:rStyle w:val="A7"/>
          <w:sz w:val="22"/>
          <w:szCs w:val="22"/>
        </w:rPr>
        <w:t>h</w:t>
      </w:r>
      <w:r w:rsidR="005B7764" w:rsidRPr="00EA2596">
        <w:rPr>
          <w:rStyle w:val="A7"/>
          <w:sz w:val="22"/>
          <w:szCs w:val="22"/>
        </w:rPr>
        <w:t xml:space="preserve">as </w:t>
      </w:r>
      <w:r w:rsidR="00EE3D40" w:rsidRPr="00EA2596">
        <w:rPr>
          <w:rStyle w:val="A7"/>
          <w:sz w:val="22"/>
          <w:szCs w:val="22"/>
        </w:rPr>
        <w:t>discourag</w:t>
      </w:r>
      <w:r w:rsidR="005B7764">
        <w:rPr>
          <w:rStyle w:val="A7"/>
          <w:sz w:val="22"/>
          <w:szCs w:val="22"/>
        </w:rPr>
        <w:t>ed</w:t>
      </w:r>
      <w:r w:rsidR="00EE3D40" w:rsidRPr="00EA2596">
        <w:rPr>
          <w:rStyle w:val="A7"/>
          <w:sz w:val="22"/>
          <w:szCs w:val="22"/>
        </w:rPr>
        <w:t xml:space="preserve"> </w:t>
      </w:r>
      <w:r w:rsidR="00AA5127" w:rsidRPr="00EA2596">
        <w:rPr>
          <w:rStyle w:val="A7"/>
          <w:sz w:val="22"/>
          <w:szCs w:val="22"/>
        </w:rPr>
        <w:t xml:space="preserve">shippers from triggering </w:t>
      </w:r>
      <w:r w:rsidR="00EE3D40" w:rsidRPr="00EA2596">
        <w:rPr>
          <w:rStyle w:val="A7"/>
          <w:sz w:val="22"/>
          <w:szCs w:val="22"/>
        </w:rPr>
        <w:t xml:space="preserve">the relevant NGL/NGR </w:t>
      </w:r>
      <w:r w:rsidR="00AA5127" w:rsidRPr="00EA2596">
        <w:rPr>
          <w:rStyle w:val="A7"/>
          <w:sz w:val="22"/>
          <w:szCs w:val="22"/>
        </w:rPr>
        <w:t>provisions.</w:t>
      </w:r>
      <w:r w:rsidR="00AA5127" w:rsidRPr="00EA2596">
        <w:rPr>
          <w:rStyle w:val="FootnoteReference"/>
          <w:rFonts w:cs="Gotham Light"/>
          <w:color w:val="000000"/>
        </w:rPr>
        <w:footnoteReference w:id="12"/>
      </w:r>
      <w:r w:rsidR="00AA5127" w:rsidRPr="00EA2596">
        <w:rPr>
          <w:rStyle w:val="A7"/>
          <w:sz w:val="22"/>
          <w:szCs w:val="22"/>
        </w:rPr>
        <w:t xml:space="preserve"> </w:t>
      </w:r>
    </w:p>
    <w:p w:rsidR="00AB59D7" w:rsidRPr="00F70957" w:rsidRDefault="00AB59D7" w:rsidP="00F70957">
      <w:pPr>
        <w:pStyle w:val="Numbered1"/>
      </w:pPr>
      <w:bookmarkStart w:id="22" w:name="_Toc479781919"/>
      <w:r w:rsidRPr="00F70957">
        <w:t>Information Disclosure</w:t>
      </w:r>
      <w:bookmarkEnd w:id="22"/>
    </w:p>
    <w:p w:rsidR="001A653D" w:rsidRPr="00EA2596" w:rsidRDefault="007A77B9" w:rsidP="00645A95">
      <w:pPr>
        <w:spacing w:before="0" w:line="276" w:lineRule="auto"/>
      </w:pPr>
      <w:r w:rsidRPr="00EA2596">
        <w:br/>
      </w:r>
      <w:r w:rsidR="00695661" w:rsidRPr="00EA2596">
        <w:t>Overall, t</w:t>
      </w:r>
      <w:r w:rsidR="00BD21AC" w:rsidRPr="00EA2596">
        <w:t xml:space="preserve">he </w:t>
      </w:r>
      <w:r w:rsidR="005576AC" w:rsidRPr="00EA2596">
        <w:t xml:space="preserve">ACCC </w:t>
      </w:r>
      <w:r w:rsidR="00695661" w:rsidRPr="00EA2596">
        <w:t xml:space="preserve">considers the GMRG’s proposed approach to the information disclosure requirements </w:t>
      </w:r>
      <w:r w:rsidR="00A92B58" w:rsidRPr="00EA2596">
        <w:t>is likely to achieve</w:t>
      </w:r>
      <w:r w:rsidR="00695661" w:rsidRPr="00EA2596">
        <w:t xml:space="preserve"> the </w:t>
      </w:r>
      <w:r w:rsidR="00BD21AC" w:rsidRPr="00EA2596">
        <w:t xml:space="preserve">objective of the information disclosure framework to reduce information asymmetries, </w:t>
      </w:r>
      <w:r w:rsidR="00695661" w:rsidRPr="00EA2596">
        <w:t>in order to</w:t>
      </w:r>
      <w:r w:rsidR="00BD21AC" w:rsidRPr="00EA2596">
        <w:t xml:space="preserve"> </w:t>
      </w:r>
      <w:r w:rsidR="00695661" w:rsidRPr="00EA2596">
        <w:t xml:space="preserve">enable </w:t>
      </w:r>
      <w:r w:rsidR="00BD21AC" w:rsidRPr="00EA2596">
        <w:t xml:space="preserve">shippers to </w:t>
      </w:r>
      <w:r w:rsidR="00363623" w:rsidRPr="00EA2596">
        <w:t xml:space="preserve">identify the exercise of market power and </w:t>
      </w:r>
      <w:r w:rsidR="00BD21AC" w:rsidRPr="00EA2596">
        <w:t xml:space="preserve">negotiate more effectively with pipeline operators. </w:t>
      </w:r>
      <w:r w:rsidR="00695661" w:rsidRPr="00EA2596">
        <w:t>It also</w:t>
      </w:r>
      <w:r w:rsidR="00BD21AC" w:rsidRPr="00EA2596">
        <w:t xml:space="preserve"> limit</w:t>
      </w:r>
      <w:r w:rsidR="00695661" w:rsidRPr="00EA2596">
        <w:t>s</w:t>
      </w:r>
      <w:r w:rsidR="00BD21AC" w:rsidRPr="00EA2596">
        <w:t xml:space="preserve"> the reliance to be placed on the </w:t>
      </w:r>
      <w:r w:rsidR="002807F1" w:rsidRPr="00EA2596">
        <w:t xml:space="preserve">proposed </w:t>
      </w:r>
      <w:r w:rsidR="00BD21AC" w:rsidRPr="00EA2596">
        <w:t>arbitration mechanism</w:t>
      </w:r>
      <w:r w:rsidR="001F3B11" w:rsidRPr="00EA2596">
        <w:t xml:space="preserve"> </w:t>
      </w:r>
      <w:r w:rsidR="00363623" w:rsidRPr="00EA2596">
        <w:t>through improved</w:t>
      </w:r>
      <w:r w:rsidR="00990901" w:rsidRPr="00EA2596">
        <w:t xml:space="preserve"> </w:t>
      </w:r>
      <w:r w:rsidR="001F3B11" w:rsidRPr="00EA2596">
        <w:t>commercial negotiations</w:t>
      </w:r>
      <w:r w:rsidR="00695661" w:rsidRPr="00EA2596">
        <w:t xml:space="preserve"> which</w:t>
      </w:r>
      <w:r w:rsidR="00800BD1" w:rsidRPr="00EA2596">
        <w:t xml:space="preserve"> reinforces the position that arbitration should be used as a last resort and only where negotiations fail. </w:t>
      </w:r>
      <w:r w:rsidR="00BD21AC" w:rsidRPr="00EA2596">
        <w:t xml:space="preserve"> </w:t>
      </w:r>
    </w:p>
    <w:p w:rsidR="001F3B11" w:rsidRPr="00EA2596" w:rsidRDefault="001F3B11" w:rsidP="00645A95">
      <w:pPr>
        <w:spacing w:before="0" w:line="276" w:lineRule="auto"/>
      </w:pPr>
    </w:p>
    <w:p w:rsidR="00D25E3D" w:rsidRPr="00EA2596" w:rsidRDefault="001F3B11" w:rsidP="00645A95">
      <w:pPr>
        <w:pStyle w:val="CommentText"/>
        <w:spacing w:line="276" w:lineRule="auto"/>
        <w:rPr>
          <w:sz w:val="22"/>
        </w:rPr>
      </w:pPr>
      <w:r w:rsidRPr="00EA2596">
        <w:rPr>
          <w:sz w:val="22"/>
        </w:rPr>
        <w:t xml:space="preserve">The ACCC </w:t>
      </w:r>
      <w:r w:rsidR="00695661" w:rsidRPr="00EA2596">
        <w:rPr>
          <w:sz w:val="22"/>
        </w:rPr>
        <w:t>agrees</w:t>
      </w:r>
      <w:r w:rsidRPr="00EA2596">
        <w:rPr>
          <w:sz w:val="22"/>
        </w:rPr>
        <w:t xml:space="preserve"> </w:t>
      </w:r>
      <w:r w:rsidR="00FE00A8" w:rsidRPr="00EA2596">
        <w:rPr>
          <w:sz w:val="22"/>
        </w:rPr>
        <w:t>that</w:t>
      </w:r>
      <w:r w:rsidRPr="00EA2596">
        <w:rPr>
          <w:sz w:val="22"/>
        </w:rPr>
        <w:t xml:space="preserve"> </w:t>
      </w:r>
      <w:r w:rsidR="00742AB0" w:rsidRPr="00EA2596">
        <w:rPr>
          <w:sz w:val="22"/>
        </w:rPr>
        <w:t>pipeline operators</w:t>
      </w:r>
      <w:r w:rsidR="00FE00A8" w:rsidRPr="00EA2596">
        <w:rPr>
          <w:sz w:val="22"/>
        </w:rPr>
        <w:t xml:space="preserve"> </w:t>
      </w:r>
      <w:r w:rsidR="00695661" w:rsidRPr="00EA2596">
        <w:rPr>
          <w:sz w:val="22"/>
        </w:rPr>
        <w:t xml:space="preserve">should </w:t>
      </w:r>
      <w:r w:rsidR="00FE00A8" w:rsidRPr="00EA2596">
        <w:rPr>
          <w:sz w:val="22"/>
        </w:rPr>
        <w:t>be required</w:t>
      </w:r>
      <w:r w:rsidR="00742AB0" w:rsidRPr="00EA2596">
        <w:rPr>
          <w:sz w:val="22"/>
        </w:rPr>
        <w:t xml:space="preserve"> to disclose the</w:t>
      </w:r>
      <w:r w:rsidRPr="00EA2596">
        <w:rPr>
          <w:sz w:val="22"/>
        </w:rPr>
        <w:t xml:space="preserve"> base level information shippers require when considering whether to seek access (as specified in the Options paper)</w:t>
      </w:r>
      <w:r w:rsidR="00710CB7" w:rsidRPr="00EA2596">
        <w:rPr>
          <w:sz w:val="22"/>
        </w:rPr>
        <w:t xml:space="preserve">. </w:t>
      </w:r>
      <w:r w:rsidR="00206170" w:rsidRPr="00EA2596">
        <w:rPr>
          <w:sz w:val="22"/>
        </w:rPr>
        <w:t xml:space="preserve">However, the ACCC </w:t>
      </w:r>
      <w:r w:rsidR="0026636A">
        <w:rPr>
          <w:sz w:val="22"/>
        </w:rPr>
        <w:t>believes that</w:t>
      </w:r>
      <w:r w:rsidR="00206170" w:rsidRPr="00EA2596">
        <w:rPr>
          <w:sz w:val="22"/>
        </w:rPr>
        <w:t xml:space="preserve"> standard accounting </w:t>
      </w:r>
      <w:r w:rsidRPr="00EA2596">
        <w:rPr>
          <w:sz w:val="22"/>
        </w:rPr>
        <w:t>financial statements</w:t>
      </w:r>
      <w:r w:rsidR="00206170" w:rsidRPr="00EA2596">
        <w:rPr>
          <w:sz w:val="22"/>
        </w:rPr>
        <w:t xml:space="preserve"> </w:t>
      </w:r>
      <w:r w:rsidR="0026636A">
        <w:rPr>
          <w:sz w:val="22"/>
        </w:rPr>
        <w:t>usually provide little</w:t>
      </w:r>
      <w:r w:rsidR="00206170" w:rsidRPr="00EA2596">
        <w:rPr>
          <w:sz w:val="22"/>
        </w:rPr>
        <w:t xml:space="preserve"> guidance on the costs of supply</w:t>
      </w:r>
      <w:r w:rsidR="0026636A">
        <w:rPr>
          <w:sz w:val="22"/>
        </w:rPr>
        <w:t>, particularly in relation to the cost of building infrastructure</w:t>
      </w:r>
      <w:r w:rsidR="00206170" w:rsidRPr="00EA2596">
        <w:rPr>
          <w:sz w:val="22"/>
        </w:rPr>
        <w:t xml:space="preserve">. </w:t>
      </w:r>
      <w:r w:rsidR="00AE7E85" w:rsidRPr="00EA2596">
        <w:rPr>
          <w:sz w:val="22"/>
        </w:rPr>
        <w:t xml:space="preserve"> </w:t>
      </w:r>
    </w:p>
    <w:p w:rsidR="00380CAB" w:rsidRPr="00EA2596" w:rsidRDefault="00206170" w:rsidP="00645A95">
      <w:pPr>
        <w:pStyle w:val="CommentText"/>
        <w:spacing w:line="276" w:lineRule="auto"/>
        <w:rPr>
          <w:sz w:val="22"/>
        </w:rPr>
      </w:pPr>
      <w:r w:rsidRPr="00EA2596">
        <w:rPr>
          <w:sz w:val="22"/>
        </w:rPr>
        <w:t>T</w:t>
      </w:r>
      <w:r w:rsidR="00AE7E85" w:rsidRPr="00EA2596">
        <w:rPr>
          <w:sz w:val="22"/>
        </w:rPr>
        <w:t xml:space="preserve">he ACCC supports </w:t>
      </w:r>
      <w:r w:rsidRPr="00EA2596">
        <w:rPr>
          <w:sz w:val="22"/>
        </w:rPr>
        <w:t xml:space="preserve">an </w:t>
      </w:r>
      <w:r w:rsidR="00AE7E85" w:rsidRPr="00EA2596">
        <w:rPr>
          <w:sz w:val="22"/>
        </w:rPr>
        <w:t>approach</w:t>
      </w:r>
      <w:r w:rsidRPr="00EA2596">
        <w:rPr>
          <w:sz w:val="22"/>
        </w:rPr>
        <w:t xml:space="preserve"> that</w:t>
      </w:r>
      <w:r w:rsidR="001F3B11" w:rsidRPr="00EA2596">
        <w:rPr>
          <w:sz w:val="22"/>
        </w:rPr>
        <w:t xml:space="preserve"> </w:t>
      </w:r>
      <w:r w:rsidRPr="00EA2596">
        <w:rPr>
          <w:sz w:val="22"/>
        </w:rPr>
        <w:t xml:space="preserve">provides </w:t>
      </w:r>
      <w:r w:rsidR="001F3B11" w:rsidRPr="00EA2596">
        <w:rPr>
          <w:sz w:val="22"/>
        </w:rPr>
        <w:t xml:space="preserve">clear guidance to shippers – either in the pricing principles, or in a guideline prepared by the Australian Energy Regulator (AER) – </w:t>
      </w:r>
      <w:r w:rsidRPr="00EA2596">
        <w:rPr>
          <w:sz w:val="22"/>
        </w:rPr>
        <w:t xml:space="preserve">on </w:t>
      </w:r>
      <w:r w:rsidR="001F3B11" w:rsidRPr="00EA2596">
        <w:rPr>
          <w:sz w:val="22"/>
        </w:rPr>
        <w:t xml:space="preserve">how </w:t>
      </w:r>
      <w:r w:rsidRPr="00EA2596">
        <w:rPr>
          <w:sz w:val="22"/>
        </w:rPr>
        <w:t xml:space="preserve">cost </w:t>
      </w:r>
      <w:r w:rsidR="001F3B11" w:rsidRPr="00EA2596">
        <w:rPr>
          <w:sz w:val="22"/>
        </w:rPr>
        <w:t>information can be used to estimate the efficient cost of transportation services so as to be effective in empowering shippers in their negotiations with pipeline operators.</w:t>
      </w:r>
    </w:p>
    <w:p w:rsidR="00FE2486" w:rsidRPr="00EA2596" w:rsidRDefault="00A136E7" w:rsidP="00645A95">
      <w:pPr>
        <w:spacing w:before="0" w:line="276" w:lineRule="auto"/>
      </w:pPr>
      <w:r w:rsidRPr="00EA2596">
        <w:t>T</w:t>
      </w:r>
      <w:r w:rsidR="00350C89" w:rsidRPr="00EA2596">
        <w:t xml:space="preserve">he </w:t>
      </w:r>
      <w:r w:rsidR="0082583A" w:rsidRPr="00EA2596">
        <w:t xml:space="preserve">ACCC considers the </w:t>
      </w:r>
      <w:r w:rsidR="00350C89" w:rsidRPr="00EA2596">
        <w:t xml:space="preserve">effectiveness of </w:t>
      </w:r>
      <w:r w:rsidR="0082583A" w:rsidRPr="00EA2596">
        <w:t>any information disclosure</w:t>
      </w:r>
      <w:r w:rsidR="00350C89" w:rsidRPr="00EA2596">
        <w:t xml:space="preserve"> arrangements </w:t>
      </w:r>
      <w:r w:rsidR="00A7662E" w:rsidRPr="00EA2596">
        <w:t xml:space="preserve">will </w:t>
      </w:r>
      <w:r w:rsidR="005B7764">
        <w:t>directly affect parties’</w:t>
      </w:r>
      <w:r w:rsidR="00380CAB" w:rsidRPr="00EA2596">
        <w:t xml:space="preserve"> incentiv</w:t>
      </w:r>
      <w:r w:rsidR="005B7764">
        <w:t>es</w:t>
      </w:r>
      <w:r w:rsidR="00380CAB" w:rsidRPr="00EA2596">
        <w:t xml:space="preserve"> to reach commercial agreement</w:t>
      </w:r>
      <w:r w:rsidR="00D9146A" w:rsidRPr="00EA2596">
        <w:t xml:space="preserve"> – </w:t>
      </w:r>
      <w:r w:rsidR="00AB79FA" w:rsidRPr="00EA2596">
        <w:t xml:space="preserve">or where commercial negotiations </w:t>
      </w:r>
      <w:r w:rsidR="00150F34" w:rsidRPr="00EA2596">
        <w:t>break down</w:t>
      </w:r>
      <w:r w:rsidR="00AB79FA" w:rsidRPr="00EA2596">
        <w:t>, to utilise the access dispute regime</w:t>
      </w:r>
      <w:r w:rsidR="00380CAB" w:rsidRPr="00EA2596">
        <w:t>.</w:t>
      </w:r>
      <w:r w:rsidR="0082583A" w:rsidRPr="00EA2596">
        <w:t xml:space="preserve"> </w:t>
      </w:r>
      <w:r w:rsidR="001F144F" w:rsidRPr="00EA2596">
        <w:t xml:space="preserve">In this </w:t>
      </w:r>
      <w:r w:rsidR="0053587B" w:rsidRPr="00EA2596">
        <w:t>respect</w:t>
      </w:r>
      <w:r w:rsidR="001F144F" w:rsidRPr="00EA2596">
        <w:t xml:space="preserve">, the ACCC considers a clear link </w:t>
      </w:r>
      <w:r w:rsidR="004C5069" w:rsidRPr="00EA2596">
        <w:t xml:space="preserve">should </w:t>
      </w:r>
      <w:r w:rsidR="001F144F" w:rsidRPr="00EA2596">
        <w:t>be made</w:t>
      </w:r>
      <w:r w:rsidR="007135FB" w:rsidRPr="00EA2596">
        <w:t xml:space="preserve"> between</w:t>
      </w:r>
      <w:r w:rsidR="001F144F" w:rsidRPr="00EA2596">
        <w:t xml:space="preserve"> how </w:t>
      </w:r>
      <w:r w:rsidR="00A07B0E" w:rsidRPr="00EA2596">
        <w:t xml:space="preserve">any </w:t>
      </w:r>
      <w:r w:rsidR="001F144F" w:rsidRPr="00EA2596">
        <w:t xml:space="preserve">disclosed information </w:t>
      </w:r>
      <w:r w:rsidR="00A07B0E" w:rsidRPr="00EA2596">
        <w:t xml:space="preserve">will </w:t>
      </w:r>
      <w:r w:rsidR="00E24309" w:rsidRPr="00EA2596">
        <w:t>interact with the proposed pricing principles</w:t>
      </w:r>
      <w:r w:rsidR="00AE10E7" w:rsidRPr="00EA2596">
        <w:t>,</w:t>
      </w:r>
      <w:r w:rsidR="00E24309" w:rsidRPr="00EA2596">
        <w:t xml:space="preserve"> </w:t>
      </w:r>
      <w:r w:rsidR="009105FD" w:rsidRPr="00EA2596">
        <w:t xml:space="preserve">and </w:t>
      </w:r>
      <w:r w:rsidR="00B25AE6" w:rsidRPr="00EA2596">
        <w:t>how</w:t>
      </w:r>
      <w:r w:rsidR="009105FD" w:rsidRPr="00EA2596">
        <w:t xml:space="preserve"> an arbitrator </w:t>
      </w:r>
      <w:r w:rsidR="006522BA" w:rsidRPr="00EA2596">
        <w:t>w</w:t>
      </w:r>
      <w:r w:rsidR="00B25AE6" w:rsidRPr="00EA2596">
        <w:t>ill</w:t>
      </w:r>
      <w:r w:rsidR="009105FD" w:rsidRPr="00EA2596">
        <w:t xml:space="preserve"> determin</w:t>
      </w:r>
      <w:r w:rsidR="00B25AE6" w:rsidRPr="00EA2596">
        <w:t>e</w:t>
      </w:r>
      <w:r w:rsidR="009105FD" w:rsidRPr="00EA2596">
        <w:t xml:space="preserve"> prices</w:t>
      </w:r>
      <w:r w:rsidR="00E24309" w:rsidRPr="00EA2596">
        <w:t>.</w:t>
      </w:r>
      <w:r w:rsidR="001F144F" w:rsidRPr="00EA2596">
        <w:t xml:space="preserve"> </w:t>
      </w:r>
      <w:r w:rsidR="00781A78" w:rsidRPr="00EA2596">
        <w:t xml:space="preserve">That is, the information disclosure regime should match the information required by the </w:t>
      </w:r>
      <w:r w:rsidR="00AE7E85" w:rsidRPr="00EA2596">
        <w:t xml:space="preserve">arbitrator </w:t>
      </w:r>
      <w:r w:rsidR="00781A78" w:rsidRPr="00EA2596">
        <w:t>in the arbitration process.</w:t>
      </w:r>
    </w:p>
    <w:p w:rsidR="009E018C" w:rsidRPr="00026140" w:rsidRDefault="00EB6A38" w:rsidP="00026140">
      <w:pPr>
        <w:pStyle w:val="Numbered11"/>
      </w:pPr>
      <w:bookmarkStart w:id="23" w:name="_Toc479781920"/>
      <w:r w:rsidRPr="00026140">
        <w:lastRenderedPageBreak/>
        <w:t>Disclosure of cost information</w:t>
      </w:r>
      <w:bookmarkEnd w:id="23"/>
      <w:r w:rsidR="009E018C" w:rsidRPr="00026140">
        <w:br/>
      </w:r>
    </w:p>
    <w:p w:rsidR="00340AD0" w:rsidRPr="00340AD0" w:rsidRDefault="006E7923" w:rsidP="00EB6A38">
      <w:pPr>
        <w:spacing w:before="0" w:line="276" w:lineRule="auto"/>
        <w:rPr>
          <w:rFonts w:cs="Arial"/>
          <w:sz w:val="20"/>
          <w:lang w:val="en"/>
        </w:rPr>
      </w:pPr>
      <w:r w:rsidRPr="00EA2596">
        <w:rPr>
          <w:rFonts w:cs="Arial"/>
        </w:rPr>
        <w:t xml:space="preserve">The ACCC </w:t>
      </w:r>
      <w:r w:rsidR="00280107" w:rsidRPr="00EA2596">
        <w:rPr>
          <w:rFonts w:cs="Arial"/>
        </w:rPr>
        <w:t>supports</w:t>
      </w:r>
      <w:r w:rsidRPr="00EA2596">
        <w:rPr>
          <w:rFonts w:cs="Arial"/>
        </w:rPr>
        <w:t xml:space="preserve"> </w:t>
      </w:r>
      <w:r w:rsidR="00DB3E4E" w:rsidRPr="00EA2596">
        <w:rPr>
          <w:rFonts w:cs="Arial"/>
        </w:rPr>
        <w:t>the disclosure of cost information</w:t>
      </w:r>
      <w:r w:rsidRPr="00EA2596">
        <w:rPr>
          <w:rFonts w:cs="Arial"/>
        </w:rPr>
        <w:t xml:space="preserve"> that will </w:t>
      </w:r>
      <w:r w:rsidR="00DB3E4E" w:rsidRPr="00EA2596">
        <w:rPr>
          <w:rFonts w:cs="Arial"/>
        </w:rPr>
        <w:t xml:space="preserve">enable shippers to determine </w:t>
      </w:r>
      <w:r w:rsidRPr="00EA2596">
        <w:rPr>
          <w:rFonts w:cs="Arial"/>
        </w:rPr>
        <w:t xml:space="preserve">the cost-reflective price </w:t>
      </w:r>
      <w:r w:rsidR="00280107" w:rsidRPr="00EA2596">
        <w:rPr>
          <w:rFonts w:cs="Arial"/>
        </w:rPr>
        <w:t>of</w:t>
      </w:r>
      <w:r w:rsidRPr="00EA2596">
        <w:rPr>
          <w:rFonts w:cs="Arial"/>
        </w:rPr>
        <w:t xml:space="preserve"> transportation services. As emphasised in t</w:t>
      </w:r>
      <w:r>
        <w:rPr>
          <w:rFonts w:cs="Arial"/>
        </w:rPr>
        <w:t>he</w:t>
      </w:r>
      <w:r w:rsidR="00340AD0" w:rsidRPr="00340AD0">
        <w:rPr>
          <w:rFonts w:cs="Arial"/>
        </w:rPr>
        <w:t xml:space="preserve"> Inquiry, </w:t>
      </w:r>
      <w:r w:rsidR="00340AD0" w:rsidRPr="00340AD0">
        <w:rPr>
          <w:rFonts w:cs="Arial"/>
          <w:lang w:val="en"/>
        </w:rPr>
        <w:t xml:space="preserve">there is limited publicly available information on the costs incurred by pipeline operators in </w:t>
      </w:r>
      <w:r w:rsidR="00340AD0" w:rsidRPr="00643450">
        <w:rPr>
          <w:rFonts w:cs="Arial"/>
          <w:lang w:val="en"/>
        </w:rPr>
        <w:t>providing services, and the relationship between these costs and the prices charged for services.</w:t>
      </w:r>
      <w:r w:rsidR="00AA5127">
        <w:rPr>
          <w:rStyle w:val="FootnoteReference"/>
          <w:rFonts w:cs="Arial"/>
          <w:lang w:val="en"/>
        </w:rPr>
        <w:footnoteReference w:id="13"/>
      </w:r>
      <w:r w:rsidR="00340AD0" w:rsidRPr="00643450">
        <w:rPr>
          <w:rFonts w:cs="Arial"/>
          <w:lang w:val="en"/>
        </w:rPr>
        <w:t xml:space="preserve"> </w:t>
      </w:r>
      <w:r>
        <w:rPr>
          <w:rFonts w:cs="Arial"/>
        </w:rPr>
        <w:t xml:space="preserve">This affects </w:t>
      </w:r>
      <w:r w:rsidR="00483CA9">
        <w:rPr>
          <w:rFonts w:cs="Arial"/>
        </w:rPr>
        <w:t>the ability of shippers</w:t>
      </w:r>
      <w:r w:rsidR="00643450" w:rsidRPr="00643450">
        <w:rPr>
          <w:rFonts w:cs="Arial"/>
        </w:rPr>
        <w:t xml:space="preserve"> to identify monopoly pricing and negotiate effectively. </w:t>
      </w:r>
      <w:r w:rsidR="007D16E1">
        <w:rPr>
          <w:rFonts w:cs="Arial"/>
          <w:lang w:val="en"/>
        </w:rPr>
        <w:t>R</w:t>
      </w:r>
      <w:r w:rsidR="00C13050" w:rsidRPr="00643450">
        <w:rPr>
          <w:rFonts w:cs="Arial"/>
          <w:lang w:val="en"/>
        </w:rPr>
        <w:t>equir</w:t>
      </w:r>
      <w:r w:rsidR="00280107">
        <w:rPr>
          <w:rFonts w:cs="Arial"/>
          <w:lang w:val="en"/>
        </w:rPr>
        <w:t>ing pipeline operators</w:t>
      </w:r>
      <w:r w:rsidR="00340AD0" w:rsidRPr="00643450">
        <w:rPr>
          <w:rFonts w:cs="Arial"/>
          <w:lang w:val="en"/>
        </w:rPr>
        <w:t xml:space="preserve"> </w:t>
      </w:r>
      <w:r w:rsidR="00C13050" w:rsidRPr="00643450">
        <w:rPr>
          <w:rFonts w:cs="Arial"/>
          <w:lang w:val="en"/>
        </w:rPr>
        <w:t xml:space="preserve">to </w:t>
      </w:r>
      <w:r w:rsidR="00340AD0" w:rsidRPr="00643450">
        <w:rPr>
          <w:rFonts w:cs="Arial"/>
          <w:lang w:val="en"/>
        </w:rPr>
        <w:t xml:space="preserve">publish </w:t>
      </w:r>
      <w:r w:rsidR="00280107">
        <w:rPr>
          <w:rFonts w:cs="Arial"/>
          <w:lang w:val="en"/>
        </w:rPr>
        <w:t>cost</w:t>
      </w:r>
      <w:r w:rsidR="00340AD0" w:rsidRPr="00643450">
        <w:rPr>
          <w:rFonts w:cs="Arial"/>
          <w:lang w:val="en"/>
        </w:rPr>
        <w:t xml:space="preserve"> information</w:t>
      </w:r>
      <w:r w:rsidR="00280107">
        <w:rPr>
          <w:rFonts w:cs="Arial"/>
          <w:lang w:val="en"/>
        </w:rPr>
        <w:t xml:space="preserve"> will assist shippers in </w:t>
      </w:r>
      <w:r w:rsidR="007D16E1">
        <w:rPr>
          <w:rFonts w:cs="Arial"/>
          <w:lang w:val="en"/>
        </w:rPr>
        <w:t>assessing</w:t>
      </w:r>
      <w:r w:rsidR="00280107">
        <w:rPr>
          <w:rFonts w:cs="Arial"/>
          <w:lang w:val="en"/>
        </w:rPr>
        <w:t xml:space="preserve"> the reasonableness of an offer and </w:t>
      </w:r>
      <w:r w:rsidR="007D16E1">
        <w:rPr>
          <w:rFonts w:cs="Arial"/>
          <w:lang w:val="en"/>
        </w:rPr>
        <w:t>provide all parties with more confidence in negotiated outcomes</w:t>
      </w:r>
      <w:r w:rsidR="00340AD0" w:rsidRPr="00643450">
        <w:rPr>
          <w:rFonts w:cs="Arial"/>
          <w:lang w:val="en"/>
        </w:rPr>
        <w:t xml:space="preserve">. </w:t>
      </w:r>
      <w:r w:rsidR="00412E1C">
        <w:t>The ACCC</w:t>
      </w:r>
      <w:r w:rsidR="00D25E3D">
        <w:t>’s view is</w:t>
      </w:r>
      <w:r w:rsidR="00412E1C">
        <w:t xml:space="preserve"> that anything less than cost information is unlikely to create an arbitral environment that sufficiently redresses the bargaining power imbalance that is resulting from the identified monopoly power.</w:t>
      </w:r>
      <w:r w:rsidR="00340AD0" w:rsidRPr="00643450">
        <w:rPr>
          <w:rFonts w:cs="Arial"/>
          <w:lang w:val="en"/>
        </w:rPr>
        <w:br/>
      </w:r>
    </w:p>
    <w:p w:rsidR="007A77B9" w:rsidRPr="00B33CF2" w:rsidRDefault="0050791F" w:rsidP="009B1EC8">
      <w:pPr>
        <w:pStyle w:val="CommentText"/>
        <w:spacing w:line="276" w:lineRule="auto"/>
      </w:pPr>
      <w:r w:rsidRPr="0050791F">
        <w:rPr>
          <w:rFonts w:cstheme="minorHAnsi"/>
          <w:sz w:val="22"/>
        </w:rPr>
        <w:t>The ACCC considers</w:t>
      </w:r>
      <w:r w:rsidR="00D30F51" w:rsidRPr="0050791F">
        <w:rPr>
          <w:rFonts w:cstheme="minorHAnsi"/>
          <w:sz w:val="22"/>
        </w:rPr>
        <w:t xml:space="preserve"> that to the extent publication of gas transportation prices can aid in calculations of netback prices for individual gas shippers</w:t>
      </w:r>
      <w:r w:rsidRPr="0050791F">
        <w:rPr>
          <w:rFonts w:cstheme="minorHAnsi"/>
          <w:sz w:val="22"/>
        </w:rPr>
        <w:t>,</w:t>
      </w:r>
      <w:r w:rsidR="00D30F51" w:rsidRPr="0050791F">
        <w:rPr>
          <w:rFonts w:cstheme="minorHAnsi"/>
          <w:sz w:val="22"/>
        </w:rPr>
        <w:t xml:space="preserve"> this is likely to promote efficiency.</w:t>
      </w:r>
      <w:r w:rsidR="00D30F51" w:rsidRPr="0050791F">
        <w:rPr>
          <w:sz w:val="22"/>
        </w:rPr>
        <w:t xml:space="preserve"> </w:t>
      </w:r>
      <w:r w:rsidR="00D30F51" w:rsidRPr="0043293A">
        <w:rPr>
          <w:sz w:val="22"/>
        </w:rPr>
        <w:t xml:space="preserve">That said, the ACCC </w:t>
      </w:r>
      <w:r w:rsidR="002C7C98">
        <w:rPr>
          <w:sz w:val="22"/>
        </w:rPr>
        <w:t>a</w:t>
      </w:r>
      <w:r w:rsidR="004609FB">
        <w:rPr>
          <w:sz w:val="22"/>
        </w:rPr>
        <w:t>cknowledges</w:t>
      </w:r>
      <w:r w:rsidR="00D30F51" w:rsidRPr="0043293A">
        <w:rPr>
          <w:sz w:val="22"/>
        </w:rPr>
        <w:t xml:space="preserve"> that on its own pricing information </w:t>
      </w:r>
      <w:r w:rsidR="004C75FF">
        <w:rPr>
          <w:sz w:val="22"/>
        </w:rPr>
        <w:t xml:space="preserve">is unlikely to provide a sufficient </w:t>
      </w:r>
      <w:r w:rsidR="00D30F51" w:rsidRPr="0043293A">
        <w:rPr>
          <w:sz w:val="22"/>
        </w:rPr>
        <w:t>indication of costs that</w:t>
      </w:r>
      <w:r w:rsidR="0043293A">
        <w:rPr>
          <w:sz w:val="22"/>
        </w:rPr>
        <w:t xml:space="preserve"> would</w:t>
      </w:r>
      <w:r w:rsidR="00D30F51" w:rsidRPr="0043293A">
        <w:rPr>
          <w:sz w:val="22"/>
        </w:rPr>
        <w:t xml:space="preserve"> help </w:t>
      </w:r>
      <w:r w:rsidR="00214363">
        <w:rPr>
          <w:sz w:val="22"/>
        </w:rPr>
        <w:t>shippers assess the reasonableness of an offer</w:t>
      </w:r>
      <w:r w:rsidR="0043293A">
        <w:rPr>
          <w:sz w:val="22"/>
        </w:rPr>
        <w:t>.</w:t>
      </w:r>
      <w:r w:rsidR="00B613E5">
        <w:rPr>
          <w:rStyle w:val="FootnoteReference"/>
          <w:sz w:val="22"/>
        </w:rPr>
        <w:footnoteReference w:id="14"/>
      </w:r>
      <w:r w:rsidR="006B74AE">
        <w:rPr>
          <w:sz w:val="22"/>
        </w:rPr>
        <w:t xml:space="preserve"> </w:t>
      </w:r>
      <w:r w:rsidR="00FB0017">
        <w:rPr>
          <w:sz w:val="22"/>
        </w:rPr>
        <w:t>This is because</w:t>
      </w:r>
      <w:r w:rsidR="006F6D6F">
        <w:rPr>
          <w:sz w:val="22"/>
        </w:rPr>
        <w:t xml:space="preserve">, </w:t>
      </w:r>
      <w:r w:rsidR="00214363">
        <w:rPr>
          <w:sz w:val="22"/>
        </w:rPr>
        <w:t>without taking into account the customised nature of contracts in Australia</w:t>
      </w:r>
      <w:r w:rsidR="006F6D6F">
        <w:rPr>
          <w:sz w:val="22"/>
        </w:rPr>
        <w:t>,</w:t>
      </w:r>
      <w:r w:rsidR="00FB0017">
        <w:rPr>
          <w:sz w:val="22"/>
        </w:rPr>
        <w:t xml:space="preserve"> </w:t>
      </w:r>
      <w:r w:rsidR="00214363">
        <w:rPr>
          <w:sz w:val="22"/>
        </w:rPr>
        <w:t>prices on their own may be misleading to shippers trying to determine whether a price payable by another shipper is for a comparable service</w:t>
      </w:r>
      <w:r w:rsidR="008256DB">
        <w:rPr>
          <w:sz w:val="22"/>
        </w:rPr>
        <w:t xml:space="preserve">. </w:t>
      </w:r>
      <w:r w:rsidR="00E51485">
        <w:rPr>
          <w:sz w:val="22"/>
        </w:rPr>
        <w:t xml:space="preserve">In addition, it is likely shippers would be using monopoly prices set above efficient costs as a comparison to determine what is reasonable. In this respect, pricing information alone is unlikely to address the underlying market power concerns. </w:t>
      </w:r>
      <w:r w:rsidR="00C4703D">
        <w:br/>
      </w:r>
      <w:r w:rsidR="00E97D01">
        <w:rPr>
          <w:sz w:val="22"/>
        </w:rPr>
        <w:br/>
      </w:r>
      <w:r w:rsidR="005001B0">
        <w:rPr>
          <w:sz w:val="22"/>
        </w:rPr>
        <w:t>Further, t</w:t>
      </w:r>
      <w:r w:rsidR="005001B0" w:rsidRPr="006B74AE">
        <w:rPr>
          <w:sz w:val="22"/>
        </w:rPr>
        <w:t xml:space="preserve">he </w:t>
      </w:r>
      <w:r w:rsidR="006B74AE" w:rsidRPr="006B74AE">
        <w:rPr>
          <w:sz w:val="22"/>
        </w:rPr>
        <w:t xml:space="preserve">ACCC notes that publication of gas transportation prices is likely to fall within </w:t>
      </w:r>
      <w:r w:rsidR="007869B3">
        <w:rPr>
          <w:sz w:val="22"/>
        </w:rPr>
        <w:t>the</w:t>
      </w:r>
      <w:r w:rsidR="006B74AE" w:rsidRPr="006B74AE">
        <w:rPr>
          <w:sz w:val="22"/>
        </w:rPr>
        <w:t xml:space="preserve"> </w:t>
      </w:r>
      <w:r w:rsidR="009F34D0">
        <w:rPr>
          <w:sz w:val="22"/>
        </w:rPr>
        <w:t xml:space="preserve">ambit of the </w:t>
      </w:r>
      <w:r w:rsidR="006B74AE" w:rsidRPr="006B74AE">
        <w:rPr>
          <w:sz w:val="22"/>
        </w:rPr>
        <w:t xml:space="preserve">gas market </w:t>
      </w:r>
      <w:r w:rsidR="005001B0">
        <w:rPr>
          <w:sz w:val="22"/>
        </w:rPr>
        <w:t>transparency measures</w:t>
      </w:r>
      <w:r w:rsidR="00CA3051">
        <w:rPr>
          <w:sz w:val="22"/>
        </w:rPr>
        <w:t xml:space="preserve"> </w:t>
      </w:r>
      <w:r w:rsidR="006B74AE" w:rsidRPr="006B74AE">
        <w:rPr>
          <w:sz w:val="22"/>
        </w:rPr>
        <w:t xml:space="preserve">announced by the </w:t>
      </w:r>
      <w:r w:rsidR="006B74AE" w:rsidRPr="00D55216">
        <w:rPr>
          <w:sz w:val="22"/>
        </w:rPr>
        <w:t xml:space="preserve">Prime Minister on 15 March 2017. </w:t>
      </w:r>
      <w:r w:rsidR="00B05679" w:rsidRPr="00D55216">
        <w:rPr>
          <w:sz w:val="22"/>
        </w:rPr>
        <w:t>Accordingly</w:t>
      </w:r>
      <w:r w:rsidR="00842F43" w:rsidRPr="00D55216">
        <w:rPr>
          <w:sz w:val="22"/>
        </w:rPr>
        <w:t>,</w:t>
      </w:r>
      <w:r w:rsidR="00B05679" w:rsidRPr="00D55216">
        <w:rPr>
          <w:sz w:val="22"/>
        </w:rPr>
        <w:t xml:space="preserve"> disclosure of pricing information</w:t>
      </w:r>
      <w:r w:rsidR="00842F43" w:rsidRPr="00D55216">
        <w:rPr>
          <w:sz w:val="22"/>
        </w:rPr>
        <w:t xml:space="preserve"> </w:t>
      </w:r>
      <w:r w:rsidR="00B05679" w:rsidRPr="00D55216">
        <w:rPr>
          <w:sz w:val="22"/>
        </w:rPr>
        <w:t>(</w:t>
      </w:r>
      <w:r w:rsidR="00842F43" w:rsidRPr="00D55216">
        <w:rPr>
          <w:sz w:val="22"/>
        </w:rPr>
        <w:t xml:space="preserve">including </w:t>
      </w:r>
      <w:r w:rsidR="009545B1" w:rsidRPr="00D55216">
        <w:rPr>
          <w:sz w:val="22"/>
          <w:szCs w:val="22"/>
        </w:rPr>
        <w:t>appropriate levels of aggregation to protect commercial confidentiality</w:t>
      </w:r>
      <w:r w:rsidR="00B05679" w:rsidRPr="00D55216">
        <w:rPr>
          <w:sz w:val="22"/>
          <w:szCs w:val="22"/>
        </w:rPr>
        <w:t>)</w:t>
      </w:r>
      <w:r w:rsidR="00842F43" w:rsidRPr="00D55216">
        <w:rPr>
          <w:sz w:val="22"/>
          <w:szCs w:val="22"/>
        </w:rPr>
        <w:t>,</w:t>
      </w:r>
      <w:r w:rsidR="009545B1" w:rsidRPr="00D55216">
        <w:rPr>
          <w:sz w:val="22"/>
          <w:szCs w:val="22"/>
        </w:rPr>
        <w:t xml:space="preserve"> </w:t>
      </w:r>
      <w:r w:rsidR="00EA74C3" w:rsidRPr="00D55216">
        <w:rPr>
          <w:sz w:val="22"/>
          <w:szCs w:val="22"/>
        </w:rPr>
        <w:t>is</w:t>
      </w:r>
      <w:r w:rsidR="00CA3051" w:rsidRPr="00D55216">
        <w:rPr>
          <w:sz w:val="22"/>
          <w:szCs w:val="22"/>
        </w:rPr>
        <w:t xml:space="preserve"> likely </w:t>
      </w:r>
      <w:r w:rsidR="001A41A3">
        <w:rPr>
          <w:sz w:val="22"/>
          <w:szCs w:val="22"/>
        </w:rPr>
        <w:t xml:space="preserve">to </w:t>
      </w:r>
      <w:r w:rsidR="00CA3051" w:rsidRPr="00D55216">
        <w:rPr>
          <w:sz w:val="22"/>
          <w:szCs w:val="22"/>
        </w:rPr>
        <w:t>be further explored and developed by the</w:t>
      </w:r>
      <w:r w:rsidR="006B74AE" w:rsidRPr="00D55216">
        <w:rPr>
          <w:sz w:val="22"/>
          <w:szCs w:val="22"/>
        </w:rPr>
        <w:t xml:space="preserve"> </w:t>
      </w:r>
      <w:r w:rsidR="00D30F51" w:rsidRPr="00D55216">
        <w:rPr>
          <w:sz w:val="22"/>
          <w:szCs w:val="22"/>
        </w:rPr>
        <w:t>ACCC</w:t>
      </w:r>
      <w:r w:rsidR="00EC4A63" w:rsidRPr="00D55216">
        <w:rPr>
          <w:sz w:val="22"/>
          <w:szCs w:val="22"/>
        </w:rPr>
        <w:t xml:space="preserve"> </w:t>
      </w:r>
      <w:r w:rsidR="00CA3051" w:rsidRPr="00D55216">
        <w:rPr>
          <w:sz w:val="22"/>
          <w:szCs w:val="22"/>
        </w:rPr>
        <w:t>and GMRG in th</w:t>
      </w:r>
      <w:r w:rsidR="00D55216">
        <w:rPr>
          <w:sz w:val="22"/>
          <w:szCs w:val="22"/>
        </w:rPr>
        <w:t>eir</w:t>
      </w:r>
      <w:r w:rsidR="00D30F51" w:rsidRPr="00D55216">
        <w:rPr>
          <w:sz w:val="22"/>
          <w:szCs w:val="22"/>
        </w:rPr>
        <w:t xml:space="preserve"> broader review of mechanisms to promote transparency and orderly market processes</w:t>
      </w:r>
      <w:r w:rsidR="0035341C" w:rsidRPr="00D55216">
        <w:rPr>
          <w:sz w:val="22"/>
          <w:szCs w:val="22"/>
        </w:rPr>
        <w:t xml:space="preserve"> in the gas industry</w:t>
      </w:r>
      <w:r w:rsidR="00D30F51" w:rsidRPr="00D55216">
        <w:rPr>
          <w:sz w:val="22"/>
          <w:szCs w:val="22"/>
        </w:rPr>
        <w:t>.</w:t>
      </w:r>
      <w:r w:rsidR="004849AB">
        <w:rPr>
          <w:sz w:val="22"/>
        </w:rPr>
        <w:t xml:space="preserve"> </w:t>
      </w:r>
      <w:r w:rsidR="006D0067">
        <w:rPr>
          <w:sz w:val="22"/>
        </w:rPr>
        <w:t xml:space="preserve"> </w:t>
      </w:r>
    </w:p>
    <w:p w:rsidR="002763D1" w:rsidRPr="00026140" w:rsidRDefault="00300DB4" w:rsidP="00026140">
      <w:pPr>
        <w:pStyle w:val="Numbered11"/>
      </w:pPr>
      <w:bookmarkStart w:id="24" w:name="_Toc479781921"/>
      <w:r w:rsidRPr="00026140">
        <w:t>Level of cost information</w:t>
      </w:r>
      <w:bookmarkEnd w:id="24"/>
    </w:p>
    <w:p w:rsidR="00F92C63" w:rsidRPr="00EA2596" w:rsidRDefault="00F92C63" w:rsidP="00645A95">
      <w:pPr>
        <w:pStyle w:val="Heading3"/>
        <w:spacing w:line="276" w:lineRule="auto"/>
        <w:rPr>
          <w:b w:val="0"/>
          <w:sz w:val="22"/>
        </w:rPr>
      </w:pPr>
      <w:bookmarkStart w:id="25" w:name="_Toc479230915"/>
      <w:bookmarkStart w:id="26" w:name="_Toc479781922"/>
      <w:bookmarkStart w:id="27" w:name="_Toc478724496"/>
      <w:r>
        <w:rPr>
          <w:b w:val="0"/>
          <w:sz w:val="22"/>
        </w:rPr>
        <w:t>The ACCC supports the proposed disclosure of</w:t>
      </w:r>
      <w:r w:rsidR="008D6A95">
        <w:rPr>
          <w:b w:val="0"/>
          <w:sz w:val="22"/>
        </w:rPr>
        <w:t>, and agrees with,</w:t>
      </w:r>
      <w:r>
        <w:rPr>
          <w:b w:val="0"/>
          <w:sz w:val="22"/>
        </w:rPr>
        <w:t xml:space="preserve"> </w:t>
      </w:r>
      <w:r w:rsidR="008D6A95">
        <w:rPr>
          <w:b w:val="0"/>
          <w:sz w:val="22"/>
        </w:rPr>
        <w:t xml:space="preserve">the </w:t>
      </w:r>
      <w:r>
        <w:rPr>
          <w:b w:val="0"/>
          <w:sz w:val="22"/>
        </w:rPr>
        <w:t xml:space="preserve">base level information required by shippers when considering whether to seek access. The </w:t>
      </w:r>
      <w:r w:rsidR="008D6A95">
        <w:rPr>
          <w:b w:val="0"/>
          <w:sz w:val="22"/>
        </w:rPr>
        <w:t xml:space="preserve">ACCC considers the </w:t>
      </w:r>
      <w:r w:rsidR="00452DF8">
        <w:rPr>
          <w:b w:val="0"/>
          <w:sz w:val="22"/>
        </w:rPr>
        <w:t xml:space="preserve">base level </w:t>
      </w:r>
      <w:r w:rsidR="008D6A95">
        <w:rPr>
          <w:b w:val="0"/>
          <w:sz w:val="22"/>
        </w:rPr>
        <w:t xml:space="preserve">information listed on pages </w:t>
      </w:r>
      <w:r w:rsidR="00D83FEA">
        <w:rPr>
          <w:b w:val="0"/>
          <w:sz w:val="22"/>
        </w:rPr>
        <w:t>39-40</w:t>
      </w:r>
      <w:r w:rsidR="008D6A95">
        <w:rPr>
          <w:b w:val="0"/>
          <w:sz w:val="22"/>
        </w:rPr>
        <w:t xml:space="preserve"> of the </w:t>
      </w:r>
      <w:r w:rsidR="008D6A95" w:rsidRPr="00EA2596">
        <w:rPr>
          <w:b w:val="0"/>
          <w:sz w:val="22"/>
        </w:rPr>
        <w:t xml:space="preserve">Options paper </w:t>
      </w:r>
      <w:r w:rsidR="00FC2635" w:rsidRPr="00EA2596">
        <w:rPr>
          <w:b w:val="0"/>
          <w:sz w:val="22"/>
        </w:rPr>
        <w:t>is sufficient to</w:t>
      </w:r>
      <w:r w:rsidR="008D6A95" w:rsidRPr="00EA2596">
        <w:rPr>
          <w:b w:val="0"/>
          <w:sz w:val="22"/>
        </w:rPr>
        <w:t xml:space="preserve"> enable shippers to identify the services they can obtain, and the standing offers that are available.</w:t>
      </w:r>
      <w:bookmarkEnd w:id="25"/>
      <w:bookmarkEnd w:id="26"/>
    </w:p>
    <w:p w:rsidR="00300DB4" w:rsidRPr="00EA2596" w:rsidRDefault="00B77D07" w:rsidP="00645A95">
      <w:pPr>
        <w:pStyle w:val="Heading3"/>
        <w:spacing w:line="276" w:lineRule="auto"/>
        <w:rPr>
          <w:b w:val="0"/>
          <w:sz w:val="22"/>
        </w:rPr>
      </w:pPr>
      <w:bookmarkStart w:id="28" w:name="_Toc479230916"/>
      <w:bookmarkStart w:id="29" w:name="_Toc479781923"/>
      <w:r w:rsidRPr="00EA2596">
        <w:rPr>
          <w:b w:val="0"/>
          <w:sz w:val="22"/>
        </w:rPr>
        <w:t xml:space="preserve">The ACCC </w:t>
      </w:r>
      <w:r w:rsidR="00226953" w:rsidRPr="00EA2596">
        <w:rPr>
          <w:b w:val="0"/>
          <w:sz w:val="22"/>
        </w:rPr>
        <w:t xml:space="preserve">would </w:t>
      </w:r>
      <w:r w:rsidR="006F6CC0" w:rsidRPr="00EA2596">
        <w:rPr>
          <w:b w:val="0"/>
          <w:sz w:val="22"/>
        </w:rPr>
        <w:t>support</w:t>
      </w:r>
      <w:r w:rsidR="00356AE1" w:rsidRPr="00EA2596">
        <w:rPr>
          <w:b w:val="0"/>
          <w:sz w:val="22"/>
        </w:rPr>
        <w:t xml:space="preserve"> the </w:t>
      </w:r>
      <w:r w:rsidR="006A119E" w:rsidRPr="00EA2596">
        <w:rPr>
          <w:b w:val="0"/>
          <w:sz w:val="22"/>
        </w:rPr>
        <w:t xml:space="preserve">GMRG’s </w:t>
      </w:r>
      <w:r w:rsidR="005D6ABF" w:rsidRPr="00EA2596">
        <w:rPr>
          <w:b w:val="0"/>
          <w:sz w:val="22"/>
        </w:rPr>
        <w:t>proposed level of cost information (</w:t>
      </w:r>
      <w:r w:rsidR="006A119E" w:rsidRPr="00EA2596">
        <w:rPr>
          <w:b w:val="0"/>
          <w:sz w:val="22"/>
        </w:rPr>
        <w:t xml:space="preserve">that is, </w:t>
      </w:r>
      <w:r w:rsidR="005D6ABF" w:rsidRPr="00EA2596">
        <w:rPr>
          <w:b w:val="0"/>
          <w:sz w:val="22"/>
        </w:rPr>
        <w:t>financial statements and demand information)</w:t>
      </w:r>
      <w:r w:rsidR="003A3ACF" w:rsidRPr="00EA2596">
        <w:rPr>
          <w:b w:val="0"/>
          <w:sz w:val="22"/>
        </w:rPr>
        <w:t>,</w:t>
      </w:r>
      <w:r w:rsidR="005D6ABF" w:rsidRPr="00EA2596">
        <w:rPr>
          <w:b w:val="0"/>
          <w:sz w:val="22"/>
        </w:rPr>
        <w:t xml:space="preserve"> </w:t>
      </w:r>
      <w:r w:rsidR="00356AE1" w:rsidRPr="00EA2596">
        <w:rPr>
          <w:b w:val="0"/>
          <w:sz w:val="22"/>
        </w:rPr>
        <w:t>subject to</w:t>
      </w:r>
      <w:r w:rsidR="005001B0" w:rsidRPr="00EA2596">
        <w:rPr>
          <w:b w:val="0"/>
          <w:sz w:val="22"/>
        </w:rPr>
        <w:t xml:space="preserve"> further</w:t>
      </w:r>
      <w:r w:rsidR="00356AE1" w:rsidRPr="00EA2596">
        <w:rPr>
          <w:b w:val="0"/>
          <w:sz w:val="22"/>
        </w:rPr>
        <w:t xml:space="preserve"> guidance being provided on how this information can be used to determine </w:t>
      </w:r>
      <w:r w:rsidR="000B18AE" w:rsidRPr="00EA2596">
        <w:rPr>
          <w:b w:val="0"/>
          <w:sz w:val="22"/>
        </w:rPr>
        <w:t xml:space="preserve">the </w:t>
      </w:r>
      <w:r w:rsidR="00356AE1" w:rsidRPr="00EA2596">
        <w:rPr>
          <w:b w:val="0"/>
          <w:sz w:val="22"/>
        </w:rPr>
        <w:t xml:space="preserve">actual costs </w:t>
      </w:r>
      <w:r w:rsidR="000B18AE" w:rsidRPr="00EA2596">
        <w:rPr>
          <w:b w:val="0"/>
          <w:sz w:val="22"/>
        </w:rPr>
        <w:t>of</w:t>
      </w:r>
      <w:r w:rsidR="00356AE1" w:rsidRPr="00EA2596">
        <w:rPr>
          <w:b w:val="0"/>
          <w:sz w:val="22"/>
        </w:rPr>
        <w:t xml:space="preserve"> providing transportation services.</w:t>
      </w:r>
      <w:bookmarkEnd w:id="27"/>
      <w:bookmarkEnd w:id="28"/>
      <w:bookmarkEnd w:id="29"/>
      <w:r w:rsidR="00356AE1" w:rsidRPr="00EA2596">
        <w:rPr>
          <w:b w:val="0"/>
          <w:sz w:val="22"/>
        </w:rPr>
        <w:t xml:space="preserve"> </w:t>
      </w:r>
    </w:p>
    <w:p w:rsidR="00A92B58" w:rsidRPr="00EA2596" w:rsidRDefault="006304F4" w:rsidP="00645A95">
      <w:pPr>
        <w:pStyle w:val="CommentText"/>
        <w:spacing w:line="276" w:lineRule="auto"/>
        <w:rPr>
          <w:sz w:val="22"/>
        </w:rPr>
      </w:pPr>
      <w:r w:rsidRPr="00EA2596">
        <w:rPr>
          <w:sz w:val="22"/>
        </w:rPr>
        <w:br/>
      </w:r>
      <w:r w:rsidR="007016A0" w:rsidRPr="00EA2596">
        <w:rPr>
          <w:sz w:val="22"/>
        </w:rPr>
        <w:t>I</w:t>
      </w:r>
      <w:r w:rsidR="00226953" w:rsidRPr="00EA2596">
        <w:rPr>
          <w:sz w:val="22"/>
        </w:rPr>
        <w:t>t is unclear</w:t>
      </w:r>
      <w:r w:rsidR="007016A0" w:rsidRPr="00EA2596">
        <w:rPr>
          <w:sz w:val="22"/>
        </w:rPr>
        <w:t xml:space="preserve"> to the ACCC</w:t>
      </w:r>
      <w:r w:rsidR="00226953" w:rsidRPr="00EA2596">
        <w:rPr>
          <w:sz w:val="22"/>
        </w:rPr>
        <w:t xml:space="preserve"> </w:t>
      </w:r>
      <w:r w:rsidR="007016A0" w:rsidRPr="00EA2596">
        <w:rPr>
          <w:sz w:val="22"/>
        </w:rPr>
        <w:t>how</w:t>
      </w:r>
      <w:r w:rsidR="00226953" w:rsidRPr="00EA2596">
        <w:rPr>
          <w:sz w:val="22"/>
        </w:rPr>
        <w:t xml:space="preserve"> information </w:t>
      </w:r>
      <w:r w:rsidR="007016A0" w:rsidRPr="00EA2596">
        <w:rPr>
          <w:sz w:val="22"/>
        </w:rPr>
        <w:t xml:space="preserve">in financial statements </w:t>
      </w:r>
      <w:r w:rsidR="00226953" w:rsidRPr="00EA2596">
        <w:rPr>
          <w:sz w:val="22"/>
        </w:rPr>
        <w:t>would</w:t>
      </w:r>
      <w:r w:rsidR="005001B0" w:rsidRPr="00EA2596">
        <w:rPr>
          <w:sz w:val="22"/>
        </w:rPr>
        <w:t xml:space="preserve"> </w:t>
      </w:r>
      <w:r w:rsidRPr="00EA2596">
        <w:rPr>
          <w:sz w:val="22"/>
        </w:rPr>
        <w:t xml:space="preserve">be used </w:t>
      </w:r>
      <w:r w:rsidR="00873B57" w:rsidRPr="00EA2596">
        <w:rPr>
          <w:sz w:val="22"/>
        </w:rPr>
        <w:t xml:space="preserve">by shippers </w:t>
      </w:r>
      <w:r w:rsidRPr="00EA2596">
        <w:rPr>
          <w:sz w:val="22"/>
        </w:rPr>
        <w:t>to estimate the efficient cost of supplying transportation</w:t>
      </w:r>
      <w:r w:rsidR="006B6B99" w:rsidRPr="00EA2596">
        <w:rPr>
          <w:sz w:val="22"/>
        </w:rPr>
        <w:t xml:space="preserve"> services</w:t>
      </w:r>
      <w:r w:rsidRPr="00EA2596">
        <w:rPr>
          <w:sz w:val="22"/>
        </w:rPr>
        <w:t xml:space="preserve">. </w:t>
      </w:r>
      <w:r w:rsidR="00106695" w:rsidRPr="00EA2596">
        <w:rPr>
          <w:sz w:val="22"/>
        </w:rPr>
        <w:t xml:space="preserve">The ability of shippers to be able to </w:t>
      </w:r>
      <w:r w:rsidR="007373BB" w:rsidRPr="00EA2596">
        <w:rPr>
          <w:sz w:val="22"/>
        </w:rPr>
        <w:t xml:space="preserve">practically use </w:t>
      </w:r>
      <w:r w:rsidR="00106695" w:rsidRPr="00EA2596">
        <w:rPr>
          <w:sz w:val="22"/>
        </w:rPr>
        <w:t xml:space="preserve">information </w:t>
      </w:r>
      <w:r w:rsidR="00645A95" w:rsidRPr="00EA2596">
        <w:rPr>
          <w:sz w:val="22"/>
        </w:rPr>
        <w:t xml:space="preserve">required to be disclosed </w:t>
      </w:r>
      <w:r w:rsidR="00106695" w:rsidRPr="00EA2596">
        <w:rPr>
          <w:sz w:val="22"/>
        </w:rPr>
        <w:t xml:space="preserve">will </w:t>
      </w:r>
      <w:r w:rsidR="004026BB" w:rsidRPr="00EA2596">
        <w:rPr>
          <w:sz w:val="22"/>
        </w:rPr>
        <w:t>determine</w:t>
      </w:r>
      <w:r w:rsidR="00106695" w:rsidRPr="00EA2596">
        <w:rPr>
          <w:sz w:val="22"/>
        </w:rPr>
        <w:t xml:space="preserve"> the </w:t>
      </w:r>
      <w:r w:rsidR="001C0F1E" w:rsidRPr="00EA2596">
        <w:rPr>
          <w:sz w:val="22"/>
        </w:rPr>
        <w:t>value</w:t>
      </w:r>
      <w:r w:rsidR="00106695" w:rsidRPr="00EA2596">
        <w:rPr>
          <w:sz w:val="22"/>
        </w:rPr>
        <w:t xml:space="preserve"> </w:t>
      </w:r>
      <w:r w:rsidR="00645A95" w:rsidRPr="00EA2596">
        <w:rPr>
          <w:sz w:val="22"/>
        </w:rPr>
        <w:t xml:space="preserve">in having the </w:t>
      </w:r>
      <w:r w:rsidR="003B671F" w:rsidRPr="00EA2596">
        <w:rPr>
          <w:sz w:val="22"/>
        </w:rPr>
        <w:t xml:space="preserve">information disclosure </w:t>
      </w:r>
      <w:r w:rsidR="00645A95" w:rsidRPr="00EA2596">
        <w:rPr>
          <w:sz w:val="22"/>
        </w:rPr>
        <w:t>framework in place</w:t>
      </w:r>
      <w:r w:rsidR="00106695" w:rsidRPr="00EA2596">
        <w:rPr>
          <w:sz w:val="22"/>
        </w:rPr>
        <w:t>.</w:t>
      </w:r>
      <w:r w:rsidR="004026BB" w:rsidRPr="00EA2596">
        <w:rPr>
          <w:sz w:val="22"/>
        </w:rPr>
        <w:t xml:space="preserve"> Shippers need to be able to </w:t>
      </w:r>
      <w:r w:rsidR="005001B0" w:rsidRPr="00EA2596">
        <w:rPr>
          <w:sz w:val="22"/>
        </w:rPr>
        <w:t xml:space="preserve">develop </w:t>
      </w:r>
      <w:r w:rsidR="005001B0" w:rsidRPr="00EA2596">
        <w:rPr>
          <w:sz w:val="22"/>
        </w:rPr>
        <w:lastRenderedPageBreak/>
        <w:t xml:space="preserve">some estimate of </w:t>
      </w:r>
      <w:r w:rsidR="004026BB" w:rsidRPr="00EA2596">
        <w:rPr>
          <w:sz w:val="22"/>
        </w:rPr>
        <w:t xml:space="preserve">cost-reflective prices using the </w:t>
      </w:r>
      <w:r w:rsidR="00360949" w:rsidRPr="00EA2596">
        <w:rPr>
          <w:sz w:val="22"/>
        </w:rPr>
        <w:t>disclosed</w:t>
      </w:r>
      <w:r w:rsidR="004026BB" w:rsidRPr="00EA2596">
        <w:rPr>
          <w:sz w:val="22"/>
        </w:rPr>
        <w:t xml:space="preserve"> information</w:t>
      </w:r>
      <w:r w:rsidR="00513940" w:rsidRPr="00EA2596">
        <w:rPr>
          <w:sz w:val="22"/>
        </w:rPr>
        <w:t>,</w:t>
      </w:r>
      <w:r w:rsidR="004026BB" w:rsidRPr="00EA2596">
        <w:rPr>
          <w:sz w:val="22"/>
        </w:rPr>
        <w:t xml:space="preserve"> in order to </w:t>
      </w:r>
      <w:r w:rsidR="00360949" w:rsidRPr="00EA2596">
        <w:rPr>
          <w:sz w:val="22"/>
        </w:rPr>
        <w:t xml:space="preserve">effectively </w:t>
      </w:r>
      <w:r w:rsidR="00E54DB7" w:rsidRPr="00EA2596">
        <w:rPr>
          <w:sz w:val="22"/>
        </w:rPr>
        <w:t xml:space="preserve">adjust </w:t>
      </w:r>
      <w:r w:rsidR="004026BB" w:rsidRPr="00EA2596">
        <w:rPr>
          <w:sz w:val="22"/>
        </w:rPr>
        <w:t xml:space="preserve">the </w:t>
      </w:r>
      <w:r w:rsidR="00E54DB7" w:rsidRPr="00EA2596">
        <w:rPr>
          <w:sz w:val="22"/>
        </w:rPr>
        <w:t xml:space="preserve">relative </w:t>
      </w:r>
      <w:r w:rsidR="004026BB" w:rsidRPr="00EA2596">
        <w:rPr>
          <w:sz w:val="22"/>
        </w:rPr>
        <w:t>bargaining power of parties</w:t>
      </w:r>
      <w:r w:rsidR="009C5569" w:rsidRPr="00EA2596">
        <w:rPr>
          <w:sz w:val="22"/>
        </w:rPr>
        <w:t xml:space="preserve"> and </w:t>
      </w:r>
      <w:r w:rsidR="001F2D73" w:rsidRPr="00EA2596">
        <w:rPr>
          <w:sz w:val="22"/>
        </w:rPr>
        <w:t>make informed decisions about</w:t>
      </w:r>
      <w:r w:rsidR="009C5569" w:rsidRPr="00EA2596">
        <w:rPr>
          <w:sz w:val="22"/>
        </w:rPr>
        <w:t xml:space="preserve"> whether to enter into</w:t>
      </w:r>
      <w:r w:rsidR="00E54DB7" w:rsidRPr="00EA2596">
        <w:rPr>
          <w:sz w:val="22"/>
        </w:rPr>
        <w:t xml:space="preserve"> commercially negotiated</w:t>
      </w:r>
      <w:r w:rsidR="009C5569" w:rsidRPr="00EA2596">
        <w:rPr>
          <w:sz w:val="22"/>
        </w:rPr>
        <w:t xml:space="preserve"> contracts</w:t>
      </w:r>
      <w:r w:rsidR="00E54DB7" w:rsidRPr="00EA2596">
        <w:rPr>
          <w:sz w:val="22"/>
        </w:rPr>
        <w:t xml:space="preserve"> or seek arbitration</w:t>
      </w:r>
      <w:r w:rsidR="004026BB" w:rsidRPr="00EA2596">
        <w:rPr>
          <w:sz w:val="22"/>
        </w:rPr>
        <w:t xml:space="preserve">. </w:t>
      </w:r>
      <w:r w:rsidR="00E75974" w:rsidRPr="00EA2596">
        <w:rPr>
          <w:sz w:val="22"/>
        </w:rPr>
        <w:t xml:space="preserve"> </w:t>
      </w:r>
    </w:p>
    <w:p w:rsidR="00A237DC" w:rsidRDefault="006C6E6F" w:rsidP="00965746">
      <w:pPr>
        <w:pStyle w:val="TableBodyText"/>
        <w:spacing w:before="53" w:after="240"/>
        <w:ind w:left="0" w:right="75"/>
        <w:rPr>
          <w:rFonts w:asciiTheme="minorHAnsi" w:hAnsiTheme="minorHAnsi" w:cstheme="minorHAnsi"/>
          <w:sz w:val="22"/>
          <w:szCs w:val="22"/>
        </w:rPr>
      </w:pPr>
      <w:r w:rsidRPr="00EA2596">
        <w:rPr>
          <w:rFonts w:asciiTheme="minorHAnsi" w:hAnsiTheme="minorHAnsi" w:cstheme="minorHAnsi"/>
          <w:sz w:val="22"/>
          <w:szCs w:val="22"/>
        </w:rPr>
        <w:t>In this regard, t</w:t>
      </w:r>
      <w:r w:rsidR="00100B0F" w:rsidRPr="00EA2596">
        <w:rPr>
          <w:rFonts w:asciiTheme="minorHAnsi" w:hAnsiTheme="minorHAnsi" w:cstheme="minorHAnsi"/>
          <w:sz w:val="22"/>
          <w:szCs w:val="22"/>
        </w:rPr>
        <w:t xml:space="preserve">he ACCC </w:t>
      </w:r>
      <w:r w:rsidR="007016A0" w:rsidRPr="00EA2596">
        <w:rPr>
          <w:rFonts w:asciiTheme="minorHAnsi" w:hAnsiTheme="minorHAnsi" w:cstheme="minorHAnsi"/>
          <w:sz w:val="22"/>
          <w:szCs w:val="22"/>
        </w:rPr>
        <w:t>has serious concerns about financial reporting that allows for</w:t>
      </w:r>
      <w:r w:rsidR="006501BD" w:rsidRPr="00EA2596">
        <w:rPr>
          <w:rFonts w:asciiTheme="minorHAnsi" w:hAnsiTheme="minorHAnsi" w:cstheme="minorHAnsi"/>
          <w:sz w:val="22"/>
          <w:szCs w:val="22"/>
        </w:rPr>
        <w:t xml:space="preserve"> </w:t>
      </w:r>
      <w:r w:rsidR="00447703" w:rsidRPr="00EA2596">
        <w:rPr>
          <w:rFonts w:asciiTheme="minorHAnsi" w:hAnsiTheme="minorHAnsi" w:cstheme="minorHAnsi"/>
          <w:sz w:val="22"/>
          <w:szCs w:val="22"/>
        </w:rPr>
        <w:t xml:space="preserve">asset valuations </w:t>
      </w:r>
      <w:r w:rsidR="001D128F" w:rsidRPr="00EA2596">
        <w:rPr>
          <w:rFonts w:asciiTheme="minorHAnsi" w:hAnsiTheme="minorHAnsi" w:cstheme="minorHAnsi"/>
          <w:sz w:val="22"/>
          <w:szCs w:val="22"/>
        </w:rPr>
        <w:t>to be</w:t>
      </w:r>
      <w:r w:rsidR="006501BD" w:rsidRPr="00EA2596">
        <w:rPr>
          <w:rFonts w:asciiTheme="minorHAnsi" w:hAnsiTheme="minorHAnsi" w:cstheme="minorHAnsi"/>
          <w:sz w:val="22"/>
          <w:szCs w:val="22"/>
        </w:rPr>
        <w:t xml:space="preserve"> undertaken at a pipeline operator’s</w:t>
      </w:r>
      <w:r w:rsidR="003B3DE8" w:rsidRPr="00EA2596">
        <w:rPr>
          <w:rFonts w:asciiTheme="minorHAnsi" w:hAnsiTheme="minorHAnsi" w:cstheme="minorHAnsi"/>
          <w:sz w:val="22"/>
          <w:szCs w:val="22"/>
        </w:rPr>
        <w:t xml:space="preserve"> own</w:t>
      </w:r>
      <w:r w:rsidR="00100B0F" w:rsidRPr="00EA2596">
        <w:rPr>
          <w:rFonts w:asciiTheme="minorHAnsi" w:hAnsiTheme="minorHAnsi" w:cstheme="minorHAnsi"/>
          <w:sz w:val="22"/>
          <w:szCs w:val="22"/>
        </w:rPr>
        <w:t xml:space="preserve"> discretion. </w:t>
      </w:r>
      <w:r w:rsidR="0026636A">
        <w:rPr>
          <w:rFonts w:asciiTheme="minorHAnsi" w:hAnsiTheme="minorHAnsi" w:cstheme="minorHAnsi"/>
          <w:sz w:val="22"/>
          <w:szCs w:val="22"/>
        </w:rPr>
        <w:t xml:space="preserve">Often such valuations are based on the expected returns from current pricing, and so contradict the point of commercial arbitration. </w:t>
      </w:r>
    </w:p>
    <w:p w:rsidR="0026636A" w:rsidRDefault="00A92B58" w:rsidP="00965746">
      <w:pPr>
        <w:pStyle w:val="TableBodyText"/>
        <w:spacing w:before="53" w:after="240"/>
        <w:ind w:left="0" w:right="75"/>
        <w:rPr>
          <w:rFonts w:asciiTheme="minorHAnsi" w:hAnsiTheme="minorHAnsi" w:cstheme="minorHAnsi"/>
          <w:sz w:val="22"/>
          <w:szCs w:val="22"/>
        </w:rPr>
      </w:pPr>
      <w:r w:rsidRPr="00EA2596">
        <w:rPr>
          <w:rFonts w:asciiTheme="minorHAnsi" w:hAnsiTheme="minorHAnsi" w:cstheme="minorHAnsi"/>
          <w:sz w:val="22"/>
          <w:szCs w:val="22"/>
        </w:rPr>
        <w:t>The approach suggested by the GMRG is that financial reports be developed and disclosed publicly by pipeline operators. While these may be limited to standard accounting financial reports, it appears that the GMRG may be contemplating a broader set of financial statements than what would be developed in accordance with normal accounting standards.</w:t>
      </w:r>
      <w:r w:rsidRPr="00EA2596">
        <w:rPr>
          <w:rStyle w:val="FootnoteReference"/>
          <w:rFonts w:asciiTheme="minorHAnsi" w:hAnsiTheme="minorHAnsi" w:cstheme="minorHAnsi"/>
          <w:sz w:val="22"/>
          <w:szCs w:val="22"/>
        </w:rPr>
        <w:footnoteReference w:id="15"/>
      </w:r>
      <w:r w:rsidRPr="00EA2596">
        <w:rPr>
          <w:rFonts w:asciiTheme="minorHAnsi" w:hAnsiTheme="minorHAnsi" w:cstheme="minorHAnsi"/>
          <w:sz w:val="22"/>
          <w:szCs w:val="22"/>
        </w:rPr>
        <w:t xml:space="preserve"> However, the ACCC notes that even in this situation, such reporting may be heavily reliant upon a pipeline operator’s own valuation of its asset. The ACCC’s experience with airports, where airport operators provide annual regulatory statements including an income statement, balance sheet and statement of cash flows, has been that accounting values have included asset revaluations undertaken at the airport’s discretion. With regard to measures such as return on assets, an upward revaluation of an asset will subsequently provide a lower return on assets – and if asset values were used to set prices using an approach that provides for a particular rate of return, then an upward asset revaluation would result in an increase in access prices. </w:t>
      </w:r>
    </w:p>
    <w:p w:rsidR="0026636A" w:rsidRDefault="00A92B58" w:rsidP="00965746">
      <w:pPr>
        <w:pStyle w:val="TableBodyText"/>
        <w:spacing w:before="53" w:after="240"/>
        <w:ind w:left="0" w:right="75"/>
        <w:rPr>
          <w:rFonts w:asciiTheme="minorHAnsi" w:hAnsiTheme="minorHAnsi" w:cstheme="minorHAnsi"/>
          <w:sz w:val="22"/>
          <w:szCs w:val="22"/>
        </w:rPr>
      </w:pPr>
      <w:r w:rsidRPr="00EA2596">
        <w:rPr>
          <w:rFonts w:asciiTheme="minorHAnsi" w:hAnsiTheme="minorHAnsi" w:cstheme="minorHAnsi"/>
          <w:sz w:val="22"/>
          <w:szCs w:val="22"/>
        </w:rPr>
        <w:t>The ACCC notes that in its 2006 Review of Airport Regulation,</w:t>
      </w:r>
      <w:r w:rsidRPr="00EA2596">
        <w:rPr>
          <w:rStyle w:val="FootnoteReference"/>
          <w:rFonts w:asciiTheme="minorHAnsi" w:hAnsiTheme="minorHAnsi" w:cstheme="minorHAnsi"/>
          <w:sz w:val="22"/>
          <w:szCs w:val="22"/>
        </w:rPr>
        <w:footnoteReference w:id="16"/>
      </w:r>
      <w:r w:rsidRPr="00EA2596">
        <w:rPr>
          <w:rFonts w:asciiTheme="minorHAnsi" w:hAnsiTheme="minorHAnsi" w:cstheme="minorHAnsi"/>
          <w:sz w:val="22"/>
          <w:szCs w:val="22"/>
        </w:rPr>
        <w:t xml:space="preserve"> the Productivity Commission concluded that airports had revalued assets for a range of non-price reasons and the intention of these revaluations was to provide a jus</w:t>
      </w:r>
      <w:r w:rsidR="00446ED5" w:rsidRPr="00EA2596">
        <w:rPr>
          <w:rFonts w:asciiTheme="minorHAnsi" w:hAnsiTheme="minorHAnsi" w:cstheme="minorHAnsi"/>
          <w:sz w:val="22"/>
          <w:szCs w:val="22"/>
        </w:rPr>
        <w:t>tification for higher charges at</w:t>
      </w:r>
      <w:r w:rsidRPr="00EA2596">
        <w:rPr>
          <w:rFonts w:asciiTheme="minorHAnsi" w:hAnsiTheme="minorHAnsi" w:cstheme="minorHAnsi"/>
          <w:sz w:val="22"/>
          <w:szCs w:val="22"/>
        </w:rPr>
        <w:t xml:space="preserve"> some stage in the future. The Productivity Commission considered that it was inappropriate to base increases in aeronautical charges on asset revaluations. </w:t>
      </w:r>
      <w:r w:rsidR="00373EB1" w:rsidRPr="00EA2596">
        <w:rPr>
          <w:rFonts w:asciiTheme="minorHAnsi" w:hAnsiTheme="minorHAnsi" w:cstheme="minorHAnsi"/>
          <w:sz w:val="22"/>
          <w:szCs w:val="22"/>
        </w:rPr>
        <w:t>The ACCC has expressed similar concerns about the pricing practice of the Port of Newcastle since its privatisation.</w:t>
      </w:r>
      <w:r w:rsidR="0062064F">
        <w:rPr>
          <w:rStyle w:val="FootnoteReference"/>
          <w:rFonts w:asciiTheme="minorHAnsi" w:hAnsiTheme="minorHAnsi" w:cstheme="minorHAnsi"/>
          <w:sz w:val="22"/>
          <w:szCs w:val="22"/>
        </w:rPr>
        <w:footnoteReference w:id="17"/>
      </w:r>
      <w:r w:rsidR="00373EB1" w:rsidRPr="00EA2596">
        <w:rPr>
          <w:rFonts w:asciiTheme="minorHAnsi" w:hAnsiTheme="minorHAnsi" w:cstheme="minorHAnsi"/>
          <w:sz w:val="22"/>
          <w:szCs w:val="22"/>
        </w:rPr>
        <w:t xml:space="preserve"> </w:t>
      </w:r>
      <w:r w:rsidR="00636FE3" w:rsidRPr="00EA2596">
        <w:rPr>
          <w:rFonts w:asciiTheme="minorHAnsi" w:hAnsiTheme="minorHAnsi" w:cstheme="minorHAnsi"/>
          <w:sz w:val="22"/>
          <w:szCs w:val="22"/>
        </w:rPr>
        <w:t xml:space="preserve">Valuations left at the discretion of pipeline operators therefore </w:t>
      </w:r>
      <w:r w:rsidR="000651F6" w:rsidRPr="00EA2596">
        <w:rPr>
          <w:rFonts w:asciiTheme="minorHAnsi" w:hAnsiTheme="minorHAnsi" w:cstheme="minorHAnsi"/>
          <w:sz w:val="22"/>
          <w:szCs w:val="22"/>
        </w:rPr>
        <w:t>have the potential</w:t>
      </w:r>
      <w:r w:rsidR="00636FE3" w:rsidRPr="00EA2596">
        <w:rPr>
          <w:rFonts w:asciiTheme="minorHAnsi" w:hAnsiTheme="minorHAnsi" w:cstheme="minorHAnsi"/>
          <w:sz w:val="22"/>
          <w:szCs w:val="22"/>
        </w:rPr>
        <w:t xml:space="preserve"> to </w:t>
      </w:r>
      <w:r w:rsidR="000651F6" w:rsidRPr="00EA2596">
        <w:rPr>
          <w:rFonts w:asciiTheme="minorHAnsi" w:hAnsiTheme="minorHAnsi" w:cstheme="minorHAnsi"/>
          <w:sz w:val="22"/>
          <w:szCs w:val="22"/>
        </w:rPr>
        <w:t>operate</w:t>
      </w:r>
      <w:r w:rsidR="00636FE3" w:rsidRPr="00EA2596">
        <w:rPr>
          <w:rFonts w:asciiTheme="minorHAnsi" w:hAnsiTheme="minorHAnsi" w:cstheme="minorHAnsi"/>
          <w:sz w:val="22"/>
          <w:szCs w:val="22"/>
        </w:rPr>
        <w:t xml:space="preserve"> circular</w:t>
      </w:r>
      <w:r w:rsidR="000651F6" w:rsidRPr="00EA2596">
        <w:rPr>
          <w:rFonts w:asciiTheme="minorHAnsi" w:hAnsiTheme="minorHAnsi" w:cstheme="minorHAnsi"/>
          <w:sz w:val="22"/>
          <w:szCs w:val="22"/>
        </w:rPr>
        <w:t>ly</w:t>
      </w:r>
      <w:r w:rsidR="00636FE3" w:rsidRPr="00EA2596">
        <w:rPr>
          <w:rFonts w:asciiTheme="minorHAnsi" w:hAnsiTheme="minorHAnsi" w:cstheme="minorHAnsi"/>
          <w:sz w:val="22"/>
          <w:szCs w:val="22"/>
        </w:rPr>
        <w:t xml:space="preserve"> – the higher the asset valuation, the higher the prices charged</w:t>
      </w:r>
      <w:r w:rsidR="00390269" w:rsidRPr="00EA2596">
        <w:rPr>
          <w:rFonts w:asciiTheme="minorHAnsi" w:hAnsiTheme="minorHAnsi" w:cstheme="minorHAnsi"/>
          <w:sz w:val="22"/>
          <w:szCs w:val="22"/>
        </w:rPr>
        <w:t>,</w:t>
      </w:r>
      <w:r w:rsidR="00B56D99" w:rsidRPr="00EA2596">
        <w:rPr>
          <w:rFonts w:asciiTheme="minorHAnsi" w:hAnsiTheme="minorHAnsi" w:cstheme="minorHAnsi"/>
          <w:sz w:val="22"/>
          <w:szCs w:val="22"/>
        </w:rPr>
        <w:t xml:space="preserve"> which means</w:t>
      </w:r>
      <w:r w:rsidR="000651F6" w:rsidRPr="00EA2596">
        <w:rPr>
          <w:rFonts w:asciiTheme="minorHAnsi" w:hAnsiTheme="minorHAnsi" w:cstheme="minorHAnsi"/>
          <w:sz w:val="22"/>
          <w:szCs w:val="22"/>
        </w:rPr>
        <w:t xml:space="preserve"> </w:t>
      </w:r>
      <w:r w:rsidR="00636FE3" w:rsidRPr="00EA2596">
        <w:rPr>
          <w:rFonts w:asciiTheme="minorHAnsi" w:hAnsiTheme="minorHAnsi" w:cstheme="minorHAnsi"/>
          <w:sz w:val="22"/>
          <w:szCs w:val="22"/>
        </w:rPr>
        <w:t xml:space="preserve">rates of return will </w:t>
      </w:r>
      <w:r w:rsidR="00B56D99" w:rsidRPr="00EA2596">
        <w:rPr>
          <w:rFonts w:asciiTheme="minorHAnsi" w:hAnsiTheme="minorHAnsi" w:cstheme="minorHAnsi"/>
          <w:sz w:val="22"/>
          <w:szCs w:val="22"/>
        </w:rPr>
        <w:t xml:space="preserve">appear </w:t>
      </w:r>
      <w:r w:rsidR="00636FE3" w:rsidRPr="00EA2596">
        <w:rPr>
          <w:rFonts w:asciiTheme="minorHAnsi" w:hAnsiTheme="minorHAnsi" w:cstheme="minorHAnsi"/>
          <w:sz w:val="22"/>
          <w:szCs w:val="22"/>
        </w:rPr>
        <w:t xml:space="preserve">‘normal’ at any pricing level. </w:t>
      </w:r>
    </w:p>
    <w:p w:rsidR="00A92B58" w:rsidRPr="00EA2596" w:rsidRDefault="00A92B58" w:rsidP="00965746">
      <w:pPr>
        <w:pStyle w:val="TableBodyText"/>
        <w:spacing w:before="53" w:after="240"/>
        <w:ind w:left="0" w:right="75"/>
        <w:rPr>
          <w:rFonts w:asciiTheme="minorHAnsi" w:hAnsiTheme="minorHAnsi" w:cstheme="minorHAnsi"/>
          <w:sz w:val="22"/>
          <w:szCs w:val="22"/>
        </w:rPr>
      </w:pPr>
      <w:r w:rsidRPr="00EA2596">
        <w:rPr>
          <w:rFonts w:asciiTheme="minorHAnsi" w:hAnsiTheme="minorHAnsi" w:cstheme="minorHAnsi"/>
          <w:sz w:val="22"/>
          <w:szCs w:val="22"/>
        </w:rPr>
        <w:t xml:space="preserve">In light of this, while the ACCC considers </w:t>
      </w:r>
      <w:r w:rsidR="00965746" w:rsidRPr="00EA2596">
        <w:rPr>
          <w:rFonts w:asciiTheme="minorHAnsi" w:hAnsiTheme="minorHAnsi" w:cstheme="minorHAnsi"/>
          <w:sz w:val="22"/>
          <w:szCs w:val="22"/>
        </w:rPr>
        <w:t xml:space="preserve">the information disclosure obligations could </w:t>
      </w:r>
      <w:r w:rsidR="00446ED5" w:rsidRPr="00EA2596">
        <w:rPr>
          <w:rFonts w:asciiTheme="minorHAnsi" w:hAnsiTheme="minorHAnsi" w:cstheme="minorHAnsi"/>
          <w:sz w:val="22"/>
          <w:szCs w:val="22"/>
        </w:rPr>
        <w:t>only</w:t>
      </w:r>
      <w:r w:rsidR="00965746" w:rsidRPr="00EA2596">
        <w:rPr>
          <w:rFonts w:asciiTheme="minorHAnsi" w:hAnsiTheme="minorHAnsi" w:cstheme="minorHAnsi"/>
          <w:sz w:val="22"/>
          <w:szCs w:val="22"/>
        </w:rPr>
        <w:t xml:space="preserve"> require disclosure of </w:t>
      </w:r>
      <w:r w:rsidRPr="00EA2596">
        <w:rPr>
          <w:rFonts w:asciiTheme="minorHAnsi" w:hAnsiTheme="minorHAnsi" w:cstheme="minorHAnsi"/>
          <w:sz w:val="22"/>
          <w:szCs w:val="22"/>
        </w:rPr>
        <w:t>financial statements</w:t>
      </w:r>
      <w:r w:rsidR="00446ED5" w:rsidRPr="00EA2596">
        <w:rPr>
          <w:rFonts w:asciiTheme="minorHAnsi" w:hAnsiTheme="minorHAnsi" w:cstheme="minorHAnsi"/>
          <w:sz w:val="22"/>
          <w:szCs w:val="22"/>
        </w:rPr>
        <w:t>,</w:t>
      </w:r>
      <w:r w:rsidRPr="00EA2596">
        <w:rPr>
          <w:rFonts w:asciiTheme="minorHAnsi" w:hAnsiTheme="minorHAnsi" w:cstheme="minorHAnsi"/>
          <w:sz w:val="22"/>
          <w:szCs w:val="22"/>
        </w:rPr>
        <w:t xml:space="preserve"> it will be</w:t>
      </w:r>
      <w:r w:rsidR="00BE5735" w:rsidRPr="00EA2596">
        <w:rPr>
          <w:rFonts w:asciiTheme="minorHAnsi" w:hAnsiTheme="minorHAnsi" w:cstheme="minorHAnsi"/>
          <w:sz w:val="22"/>
          <w:szCs w:val="22"/>
        </w:rPr>
        <w:t xml:space="preserve"> critically</w:t>
      </w:r>
      <w:r w:rsidRPr="00EA2596">
        <w:rPr>
          <w:rFonts w:asciiTheme="minorHAnsi" w:hAnsiTheme="minorHAnsi" w:cstheme="minorHAnsi"/>
          <w:sz w:val="22"/>
          <w:szCs w:val="22"/>
        </w:rPr>
        <w:t xml:space="preserve"> important </w:t>
      </w:r>
      <w:r w:rsidR="00BE5735" w:rsidRPr="00EA2596">
        <w:rPr>
          <w:rFonts w:asciiTheme="minorHAnsi" w:hAnsiTheme="minorHAnsi" w:cstheme="minorHAnsi"/>
          <w:sz w:val="22"/>
          <w:szCs w:val="22"/>
        </w:rPr>
        <w:t xml:space="preserve">that they provide sufficient information to calculate cost-reflective prices and </w:t>
      </w:r>
      <w:proofErr w:type="gramStart"/>
      <w:r w:rsidR="00BE5735" w:rsidRPr="00EA2596">
        <w:rPr>
          <w:rFonts w:asciiTheme="minorHAnsi" w:hAnsiTheme="minorHAnsi" w:cstheme="minorHAnsi"/>
          <w:sz w:val="22"/>
          <w:szCs w:val="22"/>
        </w:rPr>
        <w:t>that</w:t>
      </w:r>
      <w:proofErr w:type="gramEnd"/>
      <w:r w:rsidR="00BE5735" w:rsidRPr="00EA2596">
        <w:rPr>
          <w:rFonts w:asciiTheme="minorHAnsi" w:hAnsiTheme="minorHAnsi" w:cstheme="minorHAnsi"/>
          <w:sz w:val="22"/>
          <w:szCs w:val="22"/>
        </w:rPr>
        <w:t xml:space="preserve"> they are </w:t>
      </w:r>
      <w:r w:rsidRPr="00EA2596">
        <w:rPr>
          <w:rFonts w:asciiTheme="minorHAnsi" w:hAnsiTheme="minorHAnsi" w:cstheme="minorHAnsi"/>
          <w:sz w:val="22"/>
          <w:szCs w:val="22"/>
        </w:rPr>
        <w:t>link</w:t>
      </w:r>
      <w:r w:rsidR="00BE5735" w:rsidRPr="00EA2596">
        <w:rPr>
          <w:rFonts w:asciiTheme="minorHAnsi" w:hAnsiTheme="minorHAnsi" w:cstheme="minorHAnsi"/>
          <w:sz w:val="22"/>
          <w:szCs w:val="22"/>
        </w:rPr>
        <w:t>ed</w:t>
      </w:r>
      <w:r w:rsidRPr="00EA2596">
        <w:rPr>
          <w:rFonts w:asciiTheme="minorHAnsi" w:hAnsiTheme="minorHAnsi" w:cstheme="minorHAnsi"/>
          <w:sz w:val="22"/>
          <w:szCs w:val="22"/>
        </w:rPr>
        <w:t xml:space="preserve"> to the application of the pricing principles</w:t>
      </w:r>
      <w:r w:rsidR="00BE5735" w:rsidRPr="00EA2596">
        <w:rPr>
          <w:rFonts w:asciiTheme="minorHAnsi" w:hAnsiTheme="minorHAnsi" w:cstheme="minorHAnsi"/>
          <w:sz w:val="22"/>
          <w:szCs w:val="22"/>
        </w:rPr>
        <w:t xml:space="preserve">. The ACCC strongly recommends that </w:t>
      </w:r>
      <w:r w:rsidRPr="00EA2596">
        <w:rPr>
          <w:rFonts w:asciiTheme="minorHAnsi" w:hAnsiTheme="minorHAnsi" w:cstheme="minorHAnsi"/>
          <w:sz w:val="22"/>
          <w:szCs w:val="22"/>
        </w:rPr>
        <w:t>guidance</w:t>
      </w:r>
      <w:r w:rsidR="003B3DE8" w:rsidRPr="00EA2596">
        <w:rPr>
          <w:rFonts w:asciiTheme="minorHAnsi" w:hAnsiTheme="minorHAnsi" w:cstheme="minorHAnsi"/>
          <w:sz w:val="22"/>
          <w:szCs w:val="22"/>
        </w:rPr>
        <w:t xml:space="preserve"> be provided</w:t>
      </w:r>
      <w:r w:rsidRPr="00EA2596">
        <w:rPr>
          <w:rFonts w:asciiTheme="minorHAnsi" w:hAnsiTheme="minorHAnsi" w:cstheme="minorHAnsi"/>
          <w:sz w:val="22"/>
          <w:szCs w:val="22"/>
        </w:rPr>
        <w:t xml:space="preserve"> in order to ensure that asset revaluations and other assumptions are not used by pipeline operators in a manner to </w:t>
      </w:r>
      <w:r w:rsidR="0026636A">
        <w:rPr>
          <w:rFonts w:asciiTheme="minorHAnsi" w:hAnsiTheme="minorHAnsi" w:cstheme="minorHAnsi"/>
          <w:sz w:val="22"/>
          <w:szCs w:val="22"/>
        </w:rPr>
        <w:t>reinforce</w:t>
      </w:r>
      <w:r w:rsidRPr="00EA2596">
        <w:rPr>
          <w:rFonts w:asciiTheme="minorHAnsi" w:hAnsiTheme="minorHAnsi" w:cstheme="minorHAnsi"/>
          <w:sz w:val="22"/>
          <w:szCs w:val="22"/>
        </w:rPr>
        <w:t xml:space="preserve"> monopoly prices.</w:t>
      </w:r>
    </w:p>
    <w:p w:rsidR="006304F4" w:rsidRDefault="003B3DE8" w:rsidP="00645A95">
      <w:pPr>
        <w:pStyle w:val="CommentText"/>
        <w:spacing w:line="276" w:lineRule="auto"/>
        <w:rPr>
          <w:sz w:val="22"/>
        </w:rPr>
      </w:pPr>
      <w:r w:rsidRPr="00EA2596">
        <w:rPr>
          <w:sz w:val="22"/>
        </w:rPr>
        <w:t>Specifically</w:t>
      </w:r>
      <w:r w:rsidR="000377B4" w:rsidRPr="00EA2596">
        <w:rPr>
          <w:sz w:val="22"/>
        </w:rPr>
        <w:t>, t</w:t>
      </w:r>
      <w:r w:rsidR="00FD55EF" w:rsidRPr="00EA2596">
        <w:rPr>
          <w:sz w:val="22"/>
        </w:rPr>
        <w:t xml:space="preserve">he ACCC </w:t>
      </w:r>
      <w:r w:rsidR="0072098F" w:rsidRPr="00EA2596">
        <w:rPr>
          <w:sz w:val="22"/>
        </w:rPr>
        <w:t>recommends</w:t>
      </w:r>
      <w:r w:rsidR="00FD55EF" w:rsidRPr="00EA2596">
        <w:rPr>
          <w:sz w:val="22"/>
        </w:rPr>
        <w:t xml:space="preserve"> </w:t>
      </w:r>
      <w:r w:rsidR="006154D1" w:rsidRPr="00EA2596">
        <w:rPr>
          <w:sz w:val="22"/>
        </w:rPr>
        <w:t>guiding principles</w:t>
      </w:r>
      <w:r w:rsidR="009B6C03" w:rsidRPr="00EA2596">
        <w:rPr>
          <w:sz w:val="22"/>
        </w:rPr>
        <w:t xml:space="preserve"> be included in the </w:t>
      </w:r>
      <w:r w:rsidR="000377B4" w:rsidRPr="00EA2596">
        <w:rPr>
          <w:sz w:val="22"/>
        </w:rPr>
        <w:t>NGR</w:t>
      </w:r>
      <w:r w:rsidR="0072098F" w:rsidRPr="00EA2596">
        <w:rPr>
          <w:sz w:val="22"/>
        </w:rPr>
        <w:t>, or a guideline be developed by the AER</w:t>
      </w:r>
      <w:r w:rsidR="006404E8" w:rsidRPr="00EA2596">
        <w:rPr>
          <w:sz w:val="22"/>
        </w:rPr>
        <w:t>,</w:t>
      </w:r>
      <w:r w:rsidR="006154D1" w:rsidRPr="00EA2596">
        <w:rPr>
          <w:sz w:val="22"/>
        </w:rPr>
        <w:t xml:space="preserve"> </w:t>
      </w:r>
      <w:r w:rsidR="009B6C03" w:rsidRPr="00EA2596">
        <w:rPr>
          <w:sz w:val="22"/>
        </w:rPr>
        <w:t>that demonstrate</w:t>
      </w:r>
      <w:r w:rsidR="009877A4" w:rsidRPr="00EA2596">
        <w:rPr>
          <w:sz w:val="22"/>
        </w:rPr>
        <w:t>s</w:t>
      </w:r>
      <w:r w:rsidR="009B6C03" w:rsidRPr="00EA2596">
        <w:rPr>
          <w:sz w:val="22"/>
        </w:rPr>
        <w:t xml:space="preserve"> how calculations </w:t>
      </w:r>
      <w:r w:rsidR="00E54DB7" w:rsidRPr="00EA2596">
        <w:rPr>
          <w:sz w:val="22"/>
        </w:rPr>
        <w:t xml:space="preserve">could </w:t>
      </w:r>
      <w:r w:rsidR="009B6C03" w:rsidRPr="00EA2596">
        <w:rPr>
          <w:sz w:val="22"/>
        </w:rPr>
        <w:t>occur</w:t>
      </w:r>
      <w:r w:rsidR="00906A48" w:rsidRPr="00EA2596">
        <w:rPr>
          <w:sz w:val="22"/>
        </w:rPr>
        <w:t xml:space="preserve">. </w:t>
      </w:r>
      <w:r w:rsidRPr="00EA2596">
        <w:rPr>
          <w:sz w:val="22"/>
        </w:rPr>
        <w:t>T</w:t>
      </w:r>
      <w:r w:rsidR="00906A48" w:rsidRPr="00EA2596">
        <w:rPr>
          <w:sz w:val="22"/>
        </w:rPr>
        <w:t xml:space="preserve">he NGR or guideline should detail appropriate methodologies </w:t>
      </w:r>
      <w:r w:rsidR="00846D6C" w:rsidRPr="00EA2596">
        <w:rPr>
          <w:sz w:val="22"/>
        </w:rPr>
        <w:t xml:space="preserve">for asset valuation </w:t>
      </w:r>
      <w:r w:rsidR="00906A48" w:rsidRPr="00EA2596">
        <w:rPr>
          <w:sz w:val="22"/>
        </w:rPr>
        <w:t xml:space="preserve">and </w:t>
      </w:r>
      <w:r w:rsidR="009C61E3" w:rsidRPr="00EA2596">
        <w:rPr>
          <w:sz w:val="22"/>
        </w:rPr>
        <w:t xml:space="preserve">explain </w:t>
      </w:r>
      <w:r w:rsidR="00906A48" w:rsidRPr="00EA2596">
        <w:rPr>
          <w:sz w:val="22"/>
        </w:rPr>
        <w:t xml:space="preserve">how </w:t>
      </w:r>
      <w:r w:rsidR="00A96C69" w:rsidRPr="00EA2596">
        <w:rPr>
          <w:sz w:val="22"/>
        </w:rPr>
        <w:t xml:space="preserve">the </w:t>
      </w:r>
      <w:r w:rsidR="00906A48" w:rsidRPr="00EA2596">
        <w:rPr>
          <w:sz w:val="22"/>
        </w:rPr>
        <w:t>cost disclosure information can be used to apply the</w:t>
      </w:r>
      <w:r w:rsidR="00C233B5" w:rsidRPr="00EA2596">
        <w:rPr>
          <w:sz w:val="22"/>
        </w:rPr>
        <w:t>se</w:t>
      </w:r>
      <w:r w:rsidR="00906A48" w:rsidRPr="00EA2596">
        <w:rPr>
          <w:sz w:val="22"/>
        </w:rPr>
        <w:t xml:space="preserve"> methodologies</w:t>
      </w:r>
      <w:r w:rsidR="009B6C03" w:rsidRPr="00EA2596">
        <w:rPr>
          <w:sz w:val="22"/>
        </w:rPr>
        <w:t>.</w:t>
      </w:r>
      <w:r w:rsidR="00B536C9" w:rsidRPr="00EA2596">
        <w:rPr>
          <w:sz w:val="22"/>
        </w:rPr>
        <w:t xml:space="preserve"> </w:t>
      </w:r>
      <w:r w:rsidR="00333F32" w:rsidRPr="00EA2596">
        <w:rPr>
          <w:sz w:val="22"/>
        </w:rPr>
        <w:t xml:space="preserve">As discussed in section </w:t>
      </w:r>
      <w:r w:rsidR="000377B4" w:rsidRPr="00EA2596">
        <w:rPr>
          <w:sz w:val="22"/>
        </w:rPr>
        <w:t>6 of this submission</w:t>
      </w:r>
      <w:r w:rsidR="00333F32" w:rsidRPr="00EA2596">
        <w:rPr>
          <w:sz w:val="22"/>
        </w:rPr>
        <w:t xml:space="preserve">, the ACCC </w:t>
      </w:r>
      <w:r w:rsidR="006A001E" w:rsidRPr="00EA2596">
        <w:rPr>
          <w:sz w:val="22"/>
        </w:rPr>
        <w:t xml:space="preserve">strongly </w:t>
      </w:r>
      <w:r w:rsidR="00E54DB7" w:rsidRPr="00EA2596">
        <w:rPr>
          <w:sz w:val="22"/>
        </w:rPr>
        <w:t xml:space="preserve">supports the </w:t>
      </w:r>
      <w:r w:rsidR="00333F32" w:rsidRPr="00EA2596">
        <w:rPr>
          <w:sz w:val="22"/>
        </w:rPr>
        <w:t>adoption of an actual cost</w:t>
      </w:r>
      <w:r w:rsidR="00E54DB7" w:rsidRPr="00EA2596">
        <w:rPr>
          <w:sz w:val="22"/>
        </w:rPr>
        <w:t>s-</w:t>
      </w:r>
      <w:r w:rsidR="00333F32" w:rsidRPr="00EA2596">
        <w:rPr>
          <w:sz w:val="22"/>
        </w:rPr>
        <w:t>based approach to pricing.</w:t>
      </w:r>
      <w:r w:rsidR="001E16D9" w:rsidRPr="00EA2596">
        <w:rPr>
          <w:sz w:val="22"/>
        </w:rPr>
        <w:t xml:space="preserve"> While this is a broader scope for the </w:t>
      </w:r>
      <w:r w:rsidR="00965746" w:rsidRPr="00EA2596">
        <w:rPr>
          <w:sz w:val="22"/>
        </w:rPr>
        <w:t xml:space="preserve">NGR or </w:t>
      </w:r>
      <w:r w:rsidR="001E16D9" w:rsidRPr="00EA2596">
        <w:rPr>
          <w:sz w:val="22"/>
        </w:rPr>
        <w:lastRenderedPageBreak/>
        <w:t>guidelines than envisaged</w:t>
      </w:r>
      <w:r w:rsidR="00B20524" w:rsidRPr="00EA2596">
        <w:rPr>
          <w:sz w:val="22"/>
        </w:rPr>
        <w:t xml:space="preserve"> by the GMRG</w:t>
      </w:r>
      <w:r w:rsidR="001E16D9" w:rsidRPr="00EA2596">
        <w:rPr>
          <w:sz w:val="22"/>
        </w:rPr>
        <w:t xml:space="preserve"> in</w:t>
      </w:r>
      <w:r w:rsidR="000377B4" w:rsidRPr="00EA2596">
        <w:rPr>
          <w:sz w:val="22"/>
        </w:rPr>
        <w:t xml:space="preserve"> section</w:t>
      </w:r>
      <w:r w:rsidR="001E16D9" w:rsidRPr="00EA2596">
        <w:rPr>
          <w:sz w:val="22"/>
        </w:rPr>
        <w:t xml:space="preserve"> 3.4.2</w:t>
      </w:r>
      <w:r w:rsidR="000377B4" w:rsidRPr="00EA2596">
        <w:rPr>
          <w:sz w:val="22"/>
        </w:rPr>
        <w:t xml:space="preserve"> of the Options paper</w:t>
      </w:r>
      <w:r w:rsidR="001E16D9" w:rsidRPr="00EA2596">
        <w:rPr>
          <w:sz w:val="22"/>
        </w:rPr>
        <w:t>, the ACCC considers that leaving scope for pipeline operators to use different methodologies for calculating asset valuation</w:t>
      </w:r>
      <w:r w:rsidR="00F27D61" w:rsidRPr="00EA2596">
        <w:rPr>
          <w:sz w:val="22"/>
        </w:rPr>
        <w:t xml:space="preserve"> and other key inputs</w:t>
      </w:r>
      <w:r w:rsidR="001E16D9" w:rsidRPr="00EA2596">
        <w:rPr>
          <w:sz w:val="22"/>
        </w:rPr>
        <w:t xml:space="preserve"> too broad, runs the risk of continual asset revaluation and changes in methodologies in order to either create uncertainty about arbitral outcomes (such that shippers may agree to prices substantially above reasonable costs) and/or continued recovery of monopoly prices for use of gas pipelines, which would leave the underlying issue of economic inefficiency unaddressed</w:t>
      </w:r>
      <w:r w:rsidR="001E16D9">
        <w:rPr>
          <w:sz w:val="22"/>
        </w:rPr>
        <w:t xml:space="preserve">. </w:t>
      </w:r>
    </w:p>
    <w:p w:rsidR="00ED0D85" w:rsidRDefault="00BE5735" w:rsidP="00D769D1">
      <w:pPr>
        <w:pStyle w:val="CommentText"/>
        <w:spacing w:line="276" w:lineRule="auto"/>
        <w:rPr>
          <w:sz w:val="22"/>
        </w:rPr>
      </w:pPr>
      <w:r>
        <w:rPr>
          <w:sz w:val="22"/>
        </w:rPr>
        <w:t>C</w:t>
      </w:r>
      <w:r w:rsidR="00ED0D85">
        <w:rPr>
          <w:sz w:val="22"/>
        </w:rPr>
        <w:t xml:space="preserve">ost disclosure information </w:t>
      </w:r>
      <w:r w:rsidR="004C6253">
        <w:rPr>
          <w:sz w:val="22"/>
        </w:rPr>
        <w:t xml:space="preserve">should </w:t>
      </w:r>
      <w:r w:rsidR="00ED0D85">
        <w:rPr>
          <w:sz w:val="22"/>
        </w:rPr>
        <w:t xml:space="preserve">be clearly linked to the pricing principles. </w:t>
      </w:r>
      <w:r w:rsidR="00ED0D85" w:rsidRPr="00F20143">
        <w:rPr>
          <w:sz w:val="22"/>
          <w:szCs w:val="22"/>
        </w:rPr>
        <w:t xml:space="preserve">That is, cost disclosure information should be capable of being used as an input into the calculation or determining of prices under the pricing principles that will be used by an arbitrator </w:t>
      </w:r>
      <w:r w:rsidR="00ED0D85" w:rsidRPr="00F20143">
        <w:rPr>
          <w:rFonts w:cs="Arial"/>
          <w:sz w:val="22"/>
          <w:szCs w:val="22"/>
        </w:rPr>
        <w:t>to determine the reasonableness of an offer</w:t>
      </w:r>
      <w:r w:rsidR="00ED0D85" w:rsidRPr="00F20143">
        <w:rPr>
          <w:sz w:val="22"/>
          <w:szCs w:val="22"/>
        </w:rPr>
        <w:t>.</w:t>
      </w:r>
      <w:r w:rsidR="00ED0D85">
        <w:rPr>
          <w:sz w:val="22"/>
          <w:szCs w:val="22"/>
        </w:rPr>
        <w:t xml:space="preserve"> </w:t>
      </w:r>
      <w:r w:rsidR="00ED0D85" w:rsidRPr="00F20143">
        <w:rPr>
          <w:sz w:val="22"/>
          <w:szCs w:val="22"/>
        </w:rPr>
        <w:t xml:space="preserve">This will provide </w:t>
      </w:r>
      <w:r w:rsidR="00A237DC">
        <w:rPr>
          <w:sz w:val="22"/>
          <w:szCs w:val="22"/>
        </w:rPr>
        <w:t>guidance to the parties on likely</w:t>
      </w:r>
      <w:r w:rsidR="00ED0D85" w:rsidRPr="00F20143">
        <w:rPr>
          <w:sz w:val="22"/>
          <w:szCs w:val="22"/>
        </w:rPr>
        <w:t xml:space="preserve"> arbitral outcomes</w:t>
      </w:r>
      <w:r w:rsidR="00FA20B3">
        <w:rPr>
          <w:sz w:val="22"/>
          <w:szCs w:val="22"/>
        </w:rPr>
        <w:t xml:space="preserve"> and </w:t>
      </w:r>
      <w:r w:rsidR="005B154D">
        <w:rPr>
          <w:sz w:val="22"/>
          <w:szCs w:val="22"/>
        </w:rPr>
        <w:t>therefore</w:t>
      </w:r>
      <w:r w:rsidR="00A237DC">
        <w:rPr>
          <w:sz w:val="22"/>
          <w:szCs w:val="22"/>
        </w:rPr>
        <w:t xml:space="preserve"> create</w:t>
      </w:r>
      <w:r w:rsidR="00FA20B3">
        <w:rPr>
          <w:sz w:val="22"/>
          <w:szCs w:val="22"/>
        </w:rPr>
        <w:t xml:space="preserve"> the desired credible threat of arbitration</w:t>
      </w:r>
      <w:r w:rsidR="00A237DC">
        <w:rPr>
          <w:sz w:val="22"/>
          <w:szCs w:val="22"/>
        </w:rPr>
        <w:t>.</w:t>
      </w:r>
      <w:r w:rsidR="00ED0D85" w:rsidRPr="00F20143">
        <w:rPr>
          <w:sz w:val="22"/>
          <w:szCs w:val="22"/>
        </w:rPr>
        <w:t xml:space="preserve"> </w:t>
      </w:r>
      <w:r w:rsidR="00A237DC">
        <w:rPr>
          <w:sz w:val="22"/>
          <w:szCs w:val="22"/>
        </w:rPr>
        <w:t xml:space="preserve">This </w:t>
      </w:r>
      <w:r w:rsidR="001813C4">
        <w:rPr>
          <w:sz w:val="22"/>
          <w:szCs w:val="22"/>
        </w:rPr>
        <w:t>will encourage</w:t>
      </w:r>
      <w:r w:rsidR="00ED0D85" w:rsidRPr="00F20143">
        <w:rPr>
          <w:sz w:val="22"/>
          <w:szCs w:val="22"/>
        </w:rPr>
        <w:t xml:space="preserve"> shippers and pipeline operators </w:t>
      </w:r>
      <w:r w:rsidR="006B1C12">
        <w:rPr>
          <w:sz w:val="22"/>
          <w:szCs w:val="22"/>
        </w:rPr>
        <w:t xml:space="preserve">to </w:t>
      </w:r>
      <w:r w:rsidR="00ED0D85" w:rsidRPr="00F20143">
        <w:rPr>
          <w:sz w:val="22"/>
          <w:szCs w:val="22"/>
        </w:rPr>
        <w:t xml:space="preserve">reach </w:t>
      </w:r>
      <w:r w:rsidR="00FA20B3">
        <w:rPr>
          <w:sz w:val="22"/>
          <w:szCs w:val="22"/>
        </w:rPr>
        <w:t xml:space="preserve">commercial </w:t>
      </w:r>
      <w:r w:rsidR="00ED0D85" w:rsidRPr="00F20143">
        <w:rPr>
          <w:sz w:val="22"/>
          <w:szCs w:val="22"/>
        </w:rPr>
        <w:t xml:space="preserve">agreement </w:t>
      </w:r>
      <w:r w:rsidR="00210DC0">
        <w:rPr>
          <w:sz w:val="22"/>
          <w:szCs w:val="22"/>
        </w:rPr>
        <w:t>and,</w:t>
      </w:r>
      <w:r w:rsidR="00210DC0" w:rsidRPr="00210DC0">
        <w:rPr>
          <w:sz w:val="22"/>
          <w:szCs w:val="22"/>
        </w:rPr>
        <w:t xml:space="preserve"> </w:t>
      </w:r>
      <w:r w:rsidR="00210DC0">
        <w:rPr>
          <w:sz w:val="22"/>
          <w:szCs w:val="22"/>
        </w:rPr>
        <w:t>in doing so, limit the exercise of market power by pipeline operators</w:t>
      </w:r>
      <w:r w:rsidR="00CD590D">
        <w:rPr>
          <w:sz w:val="22"/>
          <w:szCs w:val="22"/>
        </w:rPr>
        <w:t xml:space="preserve"> in being able to charge excessive prices</w:t>
      </w:r>
      <w:r w:rsidR="00B536C9">
        <w:rPr>
          <w:sz w:val="22"/>
          <w:szCs w:val="22"/>
        </w:rPr>
        <w:t>.</w:t>
      </w:r>
      <w:r w:rsidR="00333F32">
        <w:rPr>
          <w:sz w:val="22"/>
          <w:szCs w:val="22"/>
        </w:rPr>
        <w:t xml:space="preserve"> </w:t>
      </w:r>
      <w:r w:rsidR="001E16D9">
        <w:rPr>
          <w:sz w:val="22"/>
          <w:szCs w:val="22"/>
        </w:rPr>
        <w:t>This is also likely to contribute to the timeliness of arbitral determinations, by reducing the need for the arbitrator to obtain additional information or advice on how to determine access prices according to the pricing principles.</w:t>
      </w:r>
    </w:p>
    <w:p w:rsidR="00C53A4C" w:rsidRPr="00EA2596" w:rsidRDefault="0053631A" w:rsidP="00645A95">
      <w:pPr>
        <w:pStyle w:val="Heading4"/>
        <w:spacing w:line="276" w:lineRule="auto"/>
        <w:rPr>
          <w:b w:val="0"/>
          <w:i w:val="0"/>
          <w:color w:val="auto"/>
          <w:sz w:val="22"/>
        </w:rPr>
      </w:pPr>
      <w:r>
        <w:rPr>
          <w:b w:val="0"/>
          <w:i w:val="0"/>
          <w:color w:val="auto"/>
          <w:sz w:val="22"/>
        </w:rPr>
        <w:t>T</w:t>
      </w:r>
      <w:r w:rsidR="00DE1E97" w:rsidRPr="00DE1E97">
        <w:rPr>
          <w:b w:val="0"/>
          <w:i w:val="0"/>
          <w:color w:val="auto"/>
          <w:sz w:val="22"/>
        </w:rPr>
        <w:t>o ensure consistency</w:t>
      </w:r>
      <w:r w:rsidR="00A27C84">
        <w:rPr>
          <w:b w:val="0"/>
          <w:i w:val="0"/>
          <w:color w:val="auto"/>
          <w:sz w:val="22"/>
        </w:rPr>
        <w:t xml:space="preserve"> and </w:t>
      </w:r>
      <w:r w:rsidR="00F24617">
        <w:rPr>
          <w:b w:val="0"/>
          <w:i w:val="0"/>
          <w:color w:val="auto"/>
          <w:sz w:val="22"/>
        </w:rPr>
        <w:t xml:space="preserve">that </w:t>
      </w:r>
      <w:r w:rsidR="00255677">
        <w:rPr>
          <w:b w:val="0"/>
          <w:i w:val="0"/>
          <w:color w:val="auto"/>
          <w:sz w:val="22"/>
        </w:rPr>
        <w:t xml:space="preserve">disclosed </w:t>
      </w:r>
      <w:r w:rsidR="00DE1E97" w:rsidRPr="00DE1E97">
        <w:rPr>
          <w:b w:val="0"/>
          <w:i w:val="0"/>
          <w:color w:val="auto"/>
          <w:sz w:val="22"/>
        </w:rPr>
        <w:t xml:space="preserve">cost information </w:t>
      </w:r>
      <w:r w:rsidR="00F25A31">
        <w:rPr>
          <w:b w:val="0"/>
          <w:i w:val="0"/>
          <w:color w:val="auto"/>
          <w:sz w:val="22"/>
        </w:rPr>
        <w:t>is</w:t>
      </w:r>
      <w:r w:rsidR="00DE1E97" w:rsidRPr="00DE1E97">
        <w:rPr>
          <w:b w:val="0"/>
          <w:i w:val="0"/>
          <w:color w:val="auto"/>
          <w:sz w:val="22"/>
        </w:rPr>
        <w:t xml:space="preserve"> useful to shippers, the ACCC agrees that a </w:t>
      </w:r>
      <w:r w:rsidR="00DE1E97" w:rsidRPr="008229BA">
        <w:rPr>
          <w:b w:val="0"/>
          <w:i w:val="0"/>
          <w:color w:val="auto"/>
          <w:sz w:val="22"/>
        </w:rPr>
        <w:t xml:space="preserve">guideline </w:t>
      </w:r>
      <w:r w:rsidR="00233DFC">
        <w:rPr>
          <w:b w:val="0"/>
          <w:i w:val="0"/>
          <w:color w:val="auto"/>
          <w:sz w:val="22"/>
        </w:rPr>
        <w:t xml:space="preserve">should </w:t>
      </w:r>
      <w:r w:rsidR="00BD5BE8">
        <w:rPr>
          <w:b w:val="0"/>
          <w:i w:val="0"/>
          <w:color w:val="auto"/>
          <w:sz w:val="22"/>
        </w:rPr>
        <w:t xml:space="preserve">be developed under the NGR </w:t>
      </w:r>
      <w:r w:rsidR="00DE1E97" w:rsidRPr="008229BA">
        <w:rPr>
          <w:b w:val="0"/>
          <w:i w:val="0"/>
          <w:color w:val="auto"/>
          <w:sz w:val="22"/>
        </w:rPr>
        <w:t xml:space="preserve">on how financial statements are to be prepared. </w:t>
      </w:r>
      <w:r w:rsidR="00C53A4C">
        <w:rPr>
          <w:b w:val="0"/>
          <w:i w:val="0"/>
          <w:color w:val="auto"/>
          <w:sz w:val="22"/>
        </w:rPr>
        <w:t xml:space="preserve">This </w:t>
      </w:r>
      <w:r w:rsidR="00233DFC">
        <w:rPr>
          <w:b w:val="0"/>
          <w:i w:val="0"/>
          <w:color w:val="auto"/>
          <w:sz w:val="22"/>
        </w:rPr>
        <w:t>w</w:t>
      </w:r>
      <w:r w:rsidR="00A02A5C">
        <w:rPr>
          <w:b w:val="0"/>
          <w:i w:val="0"/>
          <w:color w:val="auto"/>
          <w:sz w:val="22"/>
        </w:rPr>
        <w:t>ould</w:t>
      </w:r>
      <w:r w:rsidR="00C53A4C">
        <w:rPr>
          <w:b w:val="0"/>
          <w:i w:val="0"/>
          <w:color w:val="auto"/>
          <w:sz w:val="22"/>
        </w:rPr>
        <w:t xml:space="preserve"> </w:t>
      </w:r>
      <w:r w:rsidR="00C53A4C" w:rsidRPr="00EA2596">
        <w:rPr>
          <w:b w:val="0"/>
          <w:i w:val="0"/>
          <w:color w:val="auto"/>
          <w:sz w:val="22"/>
        </w:rPr>
        <w:t xml:space="preserve">enable shippers to readily identify inputs </w:t>
      </w:r>
      <w:r w:rsidR="00365576" w:rsidRPr="00EA2596">
        <w:rPr>
          <w:b w:val="0"/>
          <w:i w:val="0"/>
          <w:color w:val="auto"/>
          <w:sz w:val="22"/>
        </w:rPr>
        <w:t>that will be used in</w:t>
      </w:r>
      <w:r w:rsidR="00C53A4C" w:rsidRPr="00EA2596">
        <w:rPr>
          <w:b w:val="0"/>
          <w:i w:val="0"/>
          <w:color w:val="auto"/>
          <w:sz w:val="22"/>
        </w:rPr>
        <w:t xml:space="preserve"> the </w:t>
      </w:r>
      <w:r w:rsidR="008E3BBD" w:rsidRPr="00EA2596">
        <w:rPr>
          <w:b w:val="0"/>
          <w:i w:val="0"/>
          <w:color w:val="auto"/>
          <w:sz w:val="22"/>
        </w:rPr>
        <w:t xml:space="preserve">estimation </w:t>
      </w:r>
      <w:r w:rsidR="00C53A4C" w:rsidRPr="00EA2596">
        <w:rPr>
          <w:b w:val="0"/>
          <w:i w:val="0"/>
          <w:color w:val="auto"/>
          <w:sz w:val="22"/>
        </w:rPr>
        <w:t xml:space="preserve">of </w:t>
      </w:r>
      <w:r w:rsidR="008E3BBD" w:rsidRPr="00EA2596">
        <w:rPr>
          <w:b w:val="0"/>
          <w:i w:val="0"/>
          <w:color w:val="auto"/>
          <w:sz w:val="22"/>
        </w:rPr>
        <w:t xml:space="preserve">likely </w:t>
      </w:r>
      <w:r w:rsidR="00136E8A" w:rsidRPr="00EA2596">
        <w:rPr>
          <w:b w:val="0"/>
          <w:i w:val="0"/>
          <w:color w:val="auto"/>
          <w:sz w:val="22"/>
        </w:rPr>
        <w:t xml:space="preserve">arbitrated </w:t>
      </w:r>
      <w:r w:rsidR="00C53A4C" w:rsidRPr="00EA2596">
        <w:rPr>
          <w:b w:val="0"/>
          <w:i w:val="0"/>
          <w:color w:val="auto"/>
          <w:sz w:val="22"/>
        </w:rPr>
        <w:t>prices</w:t>
      </w:r>
      <w:r w:rsidR="008E3BBD" w:rsidRPr="00EA2596">
        <w:rPr>
          <w:b w:val="0"/>
          <w:i w:val="0"/>
          <w:color w:val="auto"/>
          <w:sz w:val="22"/>
        </w:rPr>
        <w:t xml:space="preserve"> and promote predictable and consistent arbitral outcomes</w:t>
      </w:r>
      <w:r w:rsidR="00D1212E" w:rsidRPr="00EA2596">
        <w:rPr>
          <w:b w:val="0"/>
          <w:i w:val="0"/>
          <w:color w:val="auto"/>
          <w:sz w:val="22"/>
        </w:rPr>
        <w:t xml:space="preserve">. </w:t>
      </w:r>
      <w:r w:rsidR="00C53A4C" w:rsidRPr="00EA2596">
        <w:rPr>
          <w:b w:val="0"/>
          <w:i w:val="0"/>
          <w:color w:val="auto"/>
          <w:sz w:val="22"/>
        </w:rPr>
        <w:t xml:space="preserve"> </w:t>
      </w:r>
      <w:r w:rsidR="00BE5735" w:rsidRPr="00EA2596">
        <w:rPr>
          <w:b w:val="0"/>
          <w:i w:val="0"/>
          <w:color w:val="auto"/>
          <w:sz w:val="22"/>
        </w:rPr>
        <w:t>The ACCC supports the AER developing the guideline</w:t>
      </w:r>
      <w:r w:rsidR="003C11E3" w:rsidRPr="00EA2596">
        <w:rPr>
          <w:b w:val="0"/>
          <w:i w:val="0"/>
          <w:color w:val="auto"/>
          <w:sz w:val="22"/>
        </w:rPr>
        <w:t xml:space="preserve"> and considers the pricing principles and valuation guidelines in the NGR are a good starting point</w:t>
      </w:r>
      <w:r w:rsidR="00BE5735" w:rsidRPr="00EA2596">
        <w:rPr>
          <w:b w:val="0"/>
          <w:i w:val="0"/>
          <w:color w:val="auto"/>
          <w:sz w:val="22"/>
        </w:rPr>
        <w:t>.</w:t>
      </w:r>
    </w:p>
    <w:p w:rsidR="000377B4" w:rsidRPr="00EA2596" w:rsidRDefault="008229BA" w:rsidP="001532CF">
      <w:pPr>
        <w:pStyle w:val="Heading4"/>
        <w:spacing w:line="276" w:lineRule="auto"/>
        <w:rPr>
          <w:b w:val="0"/>
          <w:i w:val="0"/>
          <w:color w:val="auto"/>
          <w:sz w:val="22"/>
        </w:rPr>
      </w:pPr>
      <w:r w:rsidRPr="00EA2596">
        <w:rPr>
          <w:b w:val="0"/>
          <w:i w:val="0"/>
          <w:color w:val="auto"/>
          <w:sz w:val="22"/>
        </w:rPr>
        <w:t xml:space="preserve">The </w:t>
      </w:r>
      <w:r w:rsidR="00F34004" w:rsidRPr="00EA2596">
        <w:rPr>
          <w:b w:val="0"/>
          <w:i w:val="0"/>
          <w:color w:val="auto"/>
          <w:sz w:val="22"/>
        </w:rPr>
        <w:t xml:space="preserve">ACCC notes </w:t>
      </w:r>
      <w:r w:rsidR="009D67D8" w:rsidRPr="00EA2596">
        <w:rPr>
          <w:b w:val="0"/>
          <w:i w:val="0"/>
          <w:color w:val="auto"/>
          <w:sz w:val="22"/>
        </w:rPr>
        <w:t xml:space="preserve">that the </w:t>
      </w:r>
      <w:r w:rsidRPr="00EA2596">
        <w:rPr>
          <w:b w:val="0"/>
          <w:i w:val="0"/>
          <w:color w:val="auto"/>
          <w:sz w:val="22"/>
        </w:rPr>
        <w:t xml:space="preserve">intention </w:t>
      </w:r>
      <w:r w:rsidR="009D67D8" w:rsidRPr="00EA2596">
        <w:rPr>
          <w:b w:val="0"/>
          <w:i w:val="0"/>
          <w:color w:val="auto"/>
          <w:sz w:val="22"/>
        </w:rPr>
        <w:t xml:space="preserve">of whether any </w:t>
      </w:r>
      <w:r w:rsidR="00BD5BE8" w:rsidRPr="00EA2596">
        <w:rPr>
          <w:b w:val="0"/>
          <w:i w:val="0"/>
          <w:color w:val="auto"/>
          <w:sz w:val="22"/>
        </w:rPr>
        <w:t xml:space="preserve">developed </w:t>
      </w:r>
      <w:r w:rsidR="00DE1E97" w:rsidRPr="00EA2596">
        <w:rPr>
          <w:b w:val="0"/>
          <w:i w:val="0"/>
          <w:color w:val="auto"/>
          <w:sz w:val="22"/>
        </w:rPr>
        <w:t xml:space="preserve">guidelines </w:t>
      </w:r>
      <w:r w:rsidR="009D67D8" w:rsidRPr="00EA2596">
        <w:rPr>
          <w:b w:val="0"/>
          <w:i w:val="0"/>
          <w:color w:val="auto"/>
          <w:sz w:val="22"/>
        </w:rPr>
        <w:t>will</w:t>
      </w:r>
      <w:r w:rsidRPr="00EA2596">
        <w:rPr>
          <w:b w:val="0"/>
          <w:i w:val="0"/>
          <w:color w:val="auto"/>
          <w:sz w:val="22"/>
        </w:rPr>
        <w:t xml:space="preserve"> be</w:t>
      </w:r>
      <w:r w:rsidR="00DE1E97" w:rsidRPr="00EA2596">
        <w:rPr>
          <w:b w:val="0"/>
          <w:i w:val="0"/>
          <w:color w:val="auto"/>
          <w:sz w:val="22"/>
        </w:rPr>
        <w:t xml:space="preserve"> binding</w:t>
      </w:r>
      <w:r w:rsidR="009D67D8" w:rsidRPr="00EA2596">
        <w:rPr>
          <w:b w:val="0"/>
          <w:i w:val="0"/>
          <w:color w:val="auto"/>
          <w:sz w:val="22"/>
        </w:rPr>
        <w:t xml:space="preserve"> should be made clear</w:t>
      </w:r>
      <w:r w:rsidR="00DE1E97" w:rsidRPr="00EA2596">
        <w:rPr>
          <w:b w:val="0"/>
          <w:i w:val="0"/>
          <w:color w:val="auto"/>
          <w:sz w:val="22"/>
        </w:rPr>
        <w:t xml:space="preserve">. If </w:t>
      </w:r>
      <w:r w:rsidRPr="00EA2596">
        <w:rPr>
          <w:b w:val="0"/>
          <w:i w:val="0"/>
          <w:color w:val="auto"/>
          <w:sz w:val="22"/>
        </w:rPr>
        <w:t>the guidelines are</w:t>
      </w:r>
      <w:r w:rsidR="00DE1E97" w:rsidRPr="00EA2596">
        <w:rPr>
          <w:b w:val="0"/>
          <w:i w:val="0"/>
          <w:color w:val="auto"/>
          <w:sz w:val="22"/>
        </w:rPr>
        <w:t xml:space="preserve"> voluntary</w:t>
      </w:r>
      <w:r w:rsidRPr="00EA2596">
        <w:rPr>
          <w:b w:val="0"/>
          <w:i w:val="0"/>
          <w:color w:val="auto"/>
          <w:sz w:val="22"/>
        </w:rPr>
        <w:t>,</w:t>
      </w:r>
      <w:r w:rsidR="00DE1E97" w:rsidRPr="00EA2596">
        <w:rPr>
          <w:b w:val="0"/>
          <w:i w:val="0"/>
          <w:color w:val="auto"/>
          <w:sz w:val="22"/>
        </w:rPr>
        <w:t xml:space="preserve"> then </w:t>
      </w:r>
      <w:r w:rsidRPr="00EA2596">
        <w:rPr>
          <w:b w:val="0"/>
          <w:i w:val="0"/>
          <w:color w:val="auto"/>
          <w:sz w:val="22"/>
        </w:rPr>
        <w:t xml:space="preserve">they </w:t>
      </w:r>
      <w:r w:rsidR="00DE1E97" w:rsidRPr="00EA2596">
        <w:rPr>
          <w:b w:val="0"/>
          <w:i w:val="0"/>
          <w:color w:val="auto"/>
          <w:sz w:val="22"/>
        </w:rPr>
        <w:t xml:space="preserve">may </w:t>
      </w:r>
      <w:r w:rsidRPr="00EA2596">
        <w:rPr>
          <w:b w:val="0"/>
          <w:i w:val="0"/>
          <w:color w:val="auto"/>
          <w:sz w:val="22"/>
        </w:rPr>
        <w:t>provide limited</w:t>
      </w:r>
      <w:r w:rsidR="00DE1E97" w:rsidRPr="00EA2596">
        <w:rPr>
          <w:b w:val="0"/>
          <w:i w:val="0"/>
          <w:color w:val="auto"/>
          <w:sz w:val="22"/>
        </w:rPr>
        <w:t xml:space="preserve"> benefit </w:t>
      </w:r>
      <w:r w:rsidRPr="00EA2596">
        <w:rPr>
          <w:b w:val="0"/>
          <w:i w:val="0"/>
          <w:color w:val="auto"/>
          <w:sz w:val="22"/>
        </w:rPr>
        <w:t>to</w:t>
      </w:r>
      <w:r w:rsidR="00DE1E97" w:rsidRPr="00EA2596">
        <w:rPr>
          <w:b w:val="0"/>
          <w:i w:val="0"/>
          <w:color w:val="auto"/>
          <w:sz w:val="22"/>
        </w:rPr>
        <w:t xml:space="preserve"> shippers</w:t>
      </w:r>
      <w:r w:rsidR="00255677" w:rsidRPr="00EA2596">
        <w:rPr>
          <w:b w:val="0"/>
          <w:i w:val="0"/>
          <w:color w:val="auto"/>
          <w:sz w:val="22"/>
        </w:rPr>
        <w:t xml:space="preserve">, given </w:t>
      </w:r>
      <w:r w:rsidRPr="00EA2596">
        <w:rPr>
          <w:b w:val="0"/>
          <w:i w:val="0"/>
          <w:color w:val="auto"/>
          <w:sz w:val="22"/>
        </w:rPr>
        <w:t>pipeline operators would not be obliged to follow them</w:t>
      </w:r>
      <w:r w:rsidR="00DE1E97" w:rsidRPr="00EA2596">
        <w:rPr>
          <w:b w:val="0"/>
          <w:i w:val="0"/>
          <w:color w:val="auto"/>
          <w:sz w:val="22"/>
        </w:rPr>
        <w:t xml:space="preserve">. </w:t>
      </w:r>
      <w:proofErr w:type="gramStart"/>
      <w:r w:rsidR="003C11E3" w:rsidRPr="00EA2596">
        <w:rPr>
          <w:b w:val="0"/>
          <w:i w:val="0"/>
          <w:color w:val="auto"/>
          <w:sz w:val="22"/>
        </w:rPr>
        <w:t>The ACCC favours binding guidelines.</w:t>
      </w:r>
      <w:proofErr w:type="gramEnd"/>
    </w:p>
    <w:p w:rsidR="00F41FF4" w:rsidRPr="00026140" w:rsidRDefault="00F41FF4" w:rsidP="00026140">
      <w:pPr>
        <w:pStyle w:val="Numbered11"/>
      </w:pPr>
      <w:bookmarkStart w:id="30" w:name="_Toc479781924"/>
      <w:r w:rsidRPr="00026140">
        <w:t>Exemptions</w:t>
      </w:r>
      <w:bookmarkEnd w:id="30"/>
    </w:p>
    <w:p w:rsidR="000377B4" w:rsidRPr="00EA2596" w:rsidRDefault="00042327" w:rsidP="00A010E7">
      <w:pPr>
        <w:spacing w:line="276" w:lineRule="auto"/>
      </w:pPr>
      <w:r w:rsidRPr="00EA2596">
        <w:t>During</w:t>
      </w:r>
      <w:r w:rsidR="007B37A8" w:rsidRPr="00EA2596">
        <w:t xml:space="preserve"> </w:t>
      </w:r>
      <w:r w:rsidR="00772BC9" w:rsidRPr="00EA2596">
        <w:t>the</w:t>
      </w:r>
      <w:r w:rsidR="007B37A8" w:rsidRPr="00EA2596">
        <w:t xml:space="preserve"> Inquiry, the ACCC found that </w:t>
      </w:r>
      <w:r w:rsidR="0025679B" w:rsidRPr="00EA2596">
        <w:t>the ‘</w:t>
      </w:r>
      <w:r w:rsidR="007B37A8" w:rsidRPr="00EA2596">
        <w:t>majority of existing transmission pipelines’ have market power and face limited constraints, with a large number of major arterial pipelines using market power to engage in monopoly pricing</w:t>
      </w:r>
      <w:r w:rsidR="00BD1ADE" w:rsidRPr="00EA2596">
        <w:t>.</w:t>
      </w:r>
      <w:r w:rsidR="007B37A8" w:rsidRPr="00EA2596">
        <w:rPr>
          <w:rStyle w:val="FootnoteReference"/>
        </w:rPr>
        <w:footnoteReference w:id="18"/>
      </w:r>
      <w:r w:rsidR="006F53C2" w:rsidRPr="00EA2596">
        <w:t xml:space="preserve"> There </w:t>
      </w:r>
      <w:r w:rsidR="00965746" w:rsidRPr="00EA2596">
        <w:t xml:space="preserve">was </w:t>
      </w:r>
      <w:r w:rsidR="006F53C2" w:rsidRPr="00EA2596">
        <w:t xml:space="preserve">also evidence that suggests that even where another pipeline (or route) could represent a competitive constraint, </w:t>
      </w:r>
      <w:r w:rsidR="001037AD" w:rsidRPr="00EA2596">
        <w:t xml:space="preserve">the theoretical option of an alternative pipeline (or route) </w:t>
      </w:r>
      <w:r w:rsidR="00965746" w:rsidRPr="00EA2596">
        <w:t xml:space="preserve">was </w:t>
      </w:r>
      <w:r w:rsidR="001037AD" w:rsidRPr="00EA2596">
        <w:t>not constraining prices in practice</w:t>
      </w:r>
      <w:r w:rsidR="006F53C2" w:rsidRPr="00EA2596">
        <w:t>.</w:t>
      </w:r>
      <w:r w:rsidR="00152DEF" w:rsidRPr="00EA2596">
        <w:rPr>
          <w:rStyle w:val="FootnoteReference"/>
        </w:rPr>
        <w:footnoteReference w:id="19"/>
      </w:r>
      <w:r w:rsidR="00D44F99" w:rsidRPr="00EA2596">
        <w:t xml:space="preserve"> </w:t>
      </w:r>
      <w:r w:rsidR="00912A37" w:rsidRPr="00EA2596">
        <w:t>In this regard</w:t>
      </w:r>
      <w:r w:rsidR="00D44F99" w:rsidRPr="00EA2596">
        <w:t>,</w:t>
      </w:r>
      <w:r w:rsidR="00912A37" w:rsidRPr="00EA2596">
        <w:t xml:space="preserve"> the ACCC </w:t>
      </w:r>
      <w:r w:rsidR="00152DEF" w:rsidRPr="00EA2596">
        <w:t>suggests</w:t>
      </w:r>
      <w:r w:rsidR="00912A37" w:rsidRPr="00EA2596">
        <w:t xml:space="preserve"> </w:t>
      </w:r>
      <w:r w:rsidR="000377B4" w:rsidRPr="00EA2596">
        <w:t xml:space="preserve">the </w:t>
      </w:r>
      <w:r w:rsidR="006404E8" w:rsidRPr="00EA2596">
        <w:t>GMRG consider limiting t</w:t>
      </w:r>
      <w:r w:rsidR="00965746" w:rsidRPr="00EA2596">
        <w:t>he</w:t>
      </w:r>
      <w:r w:rsidR="0065208C" w:rsidRPr="00EA2596">
        <w:t xml:space="preserve"> exclu</w:t>
      </w:r>
      <w:r w:rsidR="00965746" w:rsidRPr="00EA2596">
        <w:t>sion</w:t>
      </w:r>
      <w:r w:rsidR="00BA5037" w:rsidRPr="00EA2596">
        <w:t xml:space="preserve"> </w:t>
      </w:r>
      <w:r w:rsidR="006404E8" w:rsidRPr="00EA2596">
        <w:t xml:space="preserve">of </w:t>
      </w:r>
      <w:r w:rsidR="00BA5037" w:rsidRPr="00EA2596">
        <w:t>pipelines from the info</w:t>
      </w:r>
      <w:r w:rsidR="0088375E" w:rsidRPr="00EA2596">
        <w:t>rmation disclosure requirements and/or application of the arbitration</w:t>
      </w:r>
      <w:r w:rsidR="00BA5037" w:rsidRPr="00EA2596">
        <w:t xml:space="preserve"> </w:t>
      </w:r>
      <w:r w:rsidR="0088375E" w:rsidRPr="00EA2596">
        <w:t>mechanism</w:t>
      </w:r>
      <w:r w:rsidR="00BA5037" w:rsidRPr="00EA2596">
        <w:t>.</w:t>
      </w:r>
      <w:r w:rsidR="00645166" w:rsidRPr="00EA2596">
        <w:t xml:space="preserve"> </w:t>
      </w:r>
    </w:p>
    <w:p w:rsidR="00BA5037" w:rsidRPr="00EA2596" w:rsidRDefault="00645166" w:rsidP="00A010E7">
      <w:pPr>
        <w:spacing w:line="276" w:lineRule="auto"/>
      </w:pPr>
      <w:r w:rsidRPr="00EA2596">
        <w:t>The ACCC is concerned that</w:t>
      </w:r>
      <w:r w:rsidR="000377B4" w:rsidRPr="00EA2596">
        <w:t>, under the GMRG’s proposed approach,</w:t>
      </w:r>
      <w:r w:rsidRPr="00EA2596">
        <w:t xml:space="preserve"> a possible 27 of 45 pipelines identified in the </w:t>
      </w:r>
      <w:r w:rsidR="00965746" w:rsidRPr="00EA2596">
        <w:t>Options</w:t>
      </w:r>
      <w:r w:rsidRPr="00EA2596">
        <w:t xml:space="preserve"> paper could be exempt from the information disclosure requirements while only 11 </w:t>
      </w:r>
      <w:r w:rsidR="006501BD" w:rsidRPr="00EA2596">
        <w:t xml:space="preserve">are </w:t>
      </w:r>
      <w:r w:rsidRPr="00EA2596">
        <w:t xml:space="preserve">exempt from the arbitration mechanism. A lack of alignment between the information disclosure arrangements and the arbitration mechanism in this way has the potential to significantly </w:t>
      </w:r>
      <w:r w:rsidR="000377B4" w:rsidRPr="00EA2596">
        <w:t>delay</w:t>
      </w:r>
      <w:r w:rsidRPr="00EA2596">
        <w:t xml:space="preserve"> arbitrated determinations for a significant number of </w:t>
      </w:r>
      <w:r w:rsidRPr="00EA2596">
        <w:lastRenderedPageBreak/>
        <w:t>pipelines (as time will be needed for information to be prepared and disseminated to the arbitrator and parties)</w:t>
      </w:r>
      <w:r w:rsidR="00965746" w:rsidRPr="00EA2596">
        <w:t xml:space="preserve">. </w:t>
      </w:r>
      <w:r w:rsidR="0071020B" w:rsidRPr="00EA2596">
        <w:t>It may</w:t>
      </w:r>
      <w:r w:rsidR="00965746" w:rsidRPr="00EA2596">
        <w:t xml:space="preserve"> also operate to</w:t>
      </w:r>
      <w:r w:rsidRPr="00EA2596">
        <w:t xml:space="preserve"> diminish the potential for commercial negotiation to </w:t>
      </w:r>
      <w:r w:rsidR="00965746" w:rsidRPr="00EA2596">
        <w:t>deliver</w:t>
      </w:r>
      <w:r w:rsidRPr="00EA2596">
        <w:t xml:space="preserve"> workably competitive outcomes. This is because if parties do not have the information to ascertain the likely outcome of arbitration then there is likely to be greater incentive, particularly for the pipeline operator who will hold more information, to either rely more heavily on delayed arbitral outcome or </w:t>
      </w:r>
      <w:r w:rsidR="00965746" w:rsidRPr="00EA2596">
        <w:t xml:space="preserve">to </w:t>
      </w:r>
      <w:r w:rsidRPr="00EA2596">
        <w:t>seek shipper agreement to prices substantially above underlying costs.</w:t>
      </w:r>
    </w:p>
    <w:p w:rsidR="007232E9" w:rsidRPr="00EA2596" w:rsidRDefault="007232E9" w:rsidP="007232E9">
      <w:pPr>
        <w:spacing w:line="276" w:lineRule="auto"/>
      </w:pPr>
      <w:r w:rsidRPr="00EA2596">
        <w:t xml:space="preserve">The ACCC recognises there are costs associated with information </w:t>
      </w:r>
      <w:proofErr w:type="gramStart"/>
      <w:r w:rsidRPr="00EA2596">
        <w:t>disclosure,</w:t>
      </w:r>
      <w:proofErr w:type="gramEnd"/>
      <w:r w:rsidRPr="00EA2596">
        <w:t xml:space="preserve"> however ownership of gas pipelines is limited, with many operators owning multiple pipelines.</w:t>
      </w:r>
      <w:r w:rsidRPr="00EA2596">
        <w:rPr>
          <w:rStyle w:val="FootnoteReference"/>
        </w:rPr>
        <w:footnoteReference w:id="20"/>
      </w:r>
      <w:r w:rsidRPr="00EA2596">
        <w:t xml:space="preserve"> The availability of the proposed gas information is likely to significantly improve market</w:t>
      </w:r>
      <w:r w:rsidR="00965746" w:rsidRPr="00EA2596">
        <w:t xml:space="preserve"> competitiveness by providing a more</w:t>
      </w:r>
      <w:r w:rsidRPr="00EA2596">
        <w:t xml:space="preserve"> equal </w:t>
      </w:r>
      <w:r w:rsidR="00965746" w:rsidRPr="00EA2596">
        <w:t>footing</w:t>
      </w:r>
      <w:r w:rsidRPr="00EA2596">
        <w:t xml:space="preserve"> in contract negotiations, and limiting the ability of pipeline operators to use their significant market power to set unreasonably high prices. This, in turn, will lead to more economically efficient outcomes and benefits for gas market participants across all levels of the supply chain. </w:t>
      </w:r>
    </w:p>
    <w:p w:rsidR="007232E9" w:rsidRPr="00EA2596" w:rsidRDefault="007232E9" w:rsidP="007232E9">
      <w:pPr>
        <w:spacing w:line="276" w:lineRule="auto"/>
      </w:pPr>
      <w:r w:rsidRPr="00EA2596">
        <w:t xml:space="preserve">In light of the benefits information disclosure is likely to provide, the GMRG </w:t>
      </w:r>
      <w:r w:rsidR="00F27D61" w:rsidRPr="00EA2596">
        <w:t xml:space="preserve">could </w:t>
      </w:r>
      <w:r w:rsidRPr="00EA2596">
        <w:t xml:space="preserve">consider imposing information disclosure rules, that if a pipeline operator is required to publish information on at least one pipeline – or some other specified number of pipelines – it owns or has an interest in, the pipeline operator should be required to report on all of its pipelines (regardless of whether an exemption applies). </w:t>
      </w:r>
      <w:r w:rsidR="00DD06CA" w:rsidRPr="00EA2596">
        <w:t>T</w:t>
      </w:r>
      <w:r w:rsidR="00851894" w:rsidRPr="00EA2596">
        <w:t xml:space="preserve">here is a risk that if some pipelines are regulated </w:t>
      </w:r>
      <w:r w:rsidR="00E2538A" w:rsidRPr="00EA2596">
        <w:t>and</w:t>
      </w:r>
      <w:r w:rsidR="00851894" w:rsidRPr="00EA2596">
        <w:t xml:space="preserve"> some are</w:t>
      </w:r>
      <w:r w:rsidR="00DD06CA" w:rsidRPr="00EA2596">
        <w:t xml:space="preserve"> not, this could see pipeline operators shifting costs </w:t>
      </w:r>
      <w:r w:rsidR="00061A8B" w:rsidRPr="00EA2596">
        <w:t>between regulated and non-regulated pipelines</w:t>
      </w:r>
      <w:r w:rsidR="00DD06CA" w:rsidRPr="00EA2596">
        <w:t xml:space="preserve"> in order to recover more </w:t>
      </w:r>
      <w:r w:rsidR="00061A8B" w:rsidRPr="00EA2596">
        <w:t>than efficient costs</w:t>
      </w:r>
      <w:r w:rsidR="00DD06CA" w:rsidRPr="00EA2596">
        <w:t xml:space="preserve">. </w:t>
      </w:r>
    </w:p>
    <w:p w:rsidR="00D96EA7" w:rsidRDefault="00645166" w:rsidP="00A010E7">
      <w:pPr>
        <w:spacing w:line="276" w:lineRule="auto"/>
      </w:pPr>
      <w:r w:rsidRPr="00EA2596">
        <w:rPr>
          <w:rFonts w:cs="Arial"/>
          <w:lang w:val="en"/>
        </w:rPr>
        <w:t>T</w:t>
      </w:r>
      <w:r w:rsidR="007232E9" w:rsidRPr="00EA2596">
        <w:rPr>
          <w:rFonts w:cs="Arial"/>
          <w:lang w:val="en"/>
        </w:rPr>
        <w:t>hat said</w:t>
      </w:r>
      <w:proofErr w:type="gramStart"/>
      <w:r w:rsidR="007232E9" w:rsidRPr="00EA2596">
        <w:rPr>
          <w:rFonts w:cs="Arial"/>
          <w:lang w:val="en"/>
        </w:rPr>
        <w:t>,</w:t>
      </w:r>
      <w:proofErr w:type="gramEnd"/>
      <w:r w:rsidR="007232E9" w:rsidRPr="00EA2596">
        <w:rPr>
          <w:rFonts w:cs="Arial"/>
          <w:lang w:val="en"/>
        </w:rPr>
        <w:t xml:space="preserve"> t</w:t>
      </w:r>
      <w:r w:rsidR="002D3AE3" w:rsidRPr="00EA2596">
        <w:rPr>
          <w:rFonts w:cs="Arial"/>
          <w:lang w:val="en"/>
        </w:rPr>
        <w:t>he ACCC supports exemptio</w:t>
      </w:r>
      <w:r w:rsidR="002D3AE3" w:rsidRPr="002D3AE3">
        <w:rPr>
          <w:rFonts w:cs="Arial"/>
          <w:lang w:val="en"/>
        </w:rPr>
        <w:t xml:space="preserve">n from all information disclosure requirements </w:t>
      </w:r>
      <w:r w:rsidR="00443F24" w:rsidRPr="002D3AE3">
        <w:rPr>
          <w:rFonts w:cs="Arial"/>
          <w:lang w:val="en"/>
        </w:rPr>
        <w:t>for non-scheme pipelines that service a single shipper or do not provide third party</w:t>
      </w:r>
      <w:r w:rsidR="006404E8">
        <w:rPr>
          <w:rFonts w:cs="Arial"/>
          <w:lang w:val="en"/>
        </w:rPr>
        <w:t>.</w:t>
      </w:r>
      <w:r w:rsidR="00443F24" w:rsidRPr="002D3AE3">
        <w:rPr>
          <w:rFonts w:cs="Arial"/>
          <w:lang w:val="en"/>
        </w:rPr>
        <w:t xml:space="preserve"> </w:t>
      </w:r>
      <w:r w:rsidR="00163E16">
        <w:rPr>
          <w:rFonts w:cs="Arial"/>
          <w:lang w:val="en"/>
        </w:rPr>
        <w:t>T</w:t>
      </w:r>
      <w:r w:rsidR="00443F24" w:rsidRPr="002D3AE3">
        <w:rPr>
          <w:rFonts w:cs="Arial"/>
          <w:lang w:val="en"/>
        </w:rPr>
        <w:t xml:space="preserve">his would align with </w:t>
      </w:r>
      <w:r w:rsidR="002D3AE3" w:rsidRPr="002D3AE3">
        <w:rPr>
          <w:rFonts w:cs="Arial"/>
          <w:lang w:val="en"/>
        </w:rPr>
        <w:t xml:space="preserve">the regime for </w:t>
      </w:r>
      <w:r w:rsidR="00443F24" w:rsidRPr="002D3AE3">
        <w:rPr>
          <w:rFonts w:cs="Arial"/>
          <w:lang w:val="en"/>
        </w:rPr>
        <w:t>covered pipelines</w:t>
      </w:r>
      <w:r w:rsidR="002D3AE3" w:rsidRPr="002D3AE3">
        <w:rPr>
          <w:rFonts w:cs="Arial"/>
          <w:lang w:val="en"/>
        </w:rPr>
        <w:t xml:space="preserve"> under the NGL</w:t>
      </w:r>
      <w:r w:rsidR="00443F24" w:rsidRPr="002D3AE3">
        <w:rPr>
          <w:rFonts w:cs="Arial"/>
          <w:lang w:val="en"/>
        </w:rPr>
        <w:t>. H</w:t>
      </w:r>
      <w:r w:rsidR="002D3AE3" w:rsidRPr="002D3AE3">
        <w:rPr>
          <w:rFonts w:cs="Arial"/>
          <w:lang w:val="en"/>
        </w:rPr>
        <w:t>owever, such an</w:t>
      </w:r>
      <w:r w:rsidR="00443F24" w:rsidRPr="002D3AE3">
        <w:rPr>
          <w:rFonts w:cs="Arial"/>
          <w:lang w:val="en"/>
        </w:rPr>
        <w:t xml:space="preserve"> exemption should be confined to pipelines that do not have capacity </w:t>
      </w:r>
      <w:r w:rsidR="007232E9">
        <w:rPr>
          <w:rFonts w:cs="Arial"/>
          <w:lang w:val="en"/>
        </w:rPr>
        <w:t>to provide any services to</w:t>
      </w:r>
      <w:r w:rsidR="007232E9" w:rsidRPr="002D3AE3">
        <w:rPr>
          <w:rFonts w:cs="Arial"/>
          <w:lang w:val="en"/>
        </w:rPr>
        <w:t xml:space="preserve"> </w:t>
      </w:r>
      <w:r w:rsidR="00443F24" w:rsidRPr="002D3AE3">
        <w:rPr>
          <w:rFonts w:cs="Arial"/>
          <w:lang w:val="en"/>
        </w:rPr>
        <w:t>third parties.</w:t>
      </w:r>
      <w:r w:rsidR="002D3AE3" w:rsidRPr="002D3AE3">
        <w:rPr>
          <w:rFonts w:cs="Arial"/>
          <w:lang w:val="en"/>
        </w:rPr>
        <w:t xml:space="preserve"> This will ensure </w:t>
      </w:r>
      <w:r w:rsidR="002D3AE3" w:rsidRPr="002D3AE3">
        <w:t xml:space="preserve">that where the capacity of a pipeline is not fully contracted, arbitration will be available </w:t>
      </w:r>
      <w:r w:rsidR="00B33FCE">
        <w:t xml:space="preserve">to shippers </w:t>
      </w:r>
      <w:r w:rsidR="007232E9">
        <w:t>to promote efficient use of</w:t>
      </w:r>
      <w:r w:rsidR="00992C3A">
        <w:t xml:space="preserve"> </w:t>
      </w:r>
      <w:r w:rsidR="0023514D">
        <w:t xml:space="preserve">any </w:t>
      </w:r>
      <w:r w:rsidR="00992C3A">
        <w:t>spare capacity</w:t>
      </w:r>
      <w:r w:rsidR="007232E9">
        <w:t xml:space="preserve"> and pipelines more broadly</w:t>
      </w:r>
      <w:r w:rsidR="002D3AE3" w:rsidRPr="002D3AE3">
        <w:t>.</w:t>
      </w:r>
      <w:r w:rsidR="008B429F">
        <w:t xml:space="preserve"> </w:t>
      </w:r>
    </w:p>
    <w:p w:rsidR="000438C8" w:rsidRPr="00D76967" w:rsidRDefault="00502470" w:rsidP="00A010E7">
      <w:pPr>
        <w:spacing w:line="276" w:lineRule="auto"/>
      </w:pPr>
      <w:r w:rsidRPr="00EA15D3">
        <w:rPr>
          <w:rFonts w:cs="Arial"/>
          <w:lang w:val="en"/>
        </w:rPr>
        <w:t>Consistent with the GMRG’s recommendation, t</w:t>
      </w:r>
      <w:r w:rsidR="00D96EA7" w:rsidRPr="00EA15D3">
        <w:rPr>
          <w:rFonts w:cs="Arial"/>
          <w:lang w:val="en"/>
        </w:rPr>
        <w:t>he ACCC also supports exemption of non-scheme pipelines from the financial statements and demand information publishing requirements if they fall below 10</w:t>
      </w:r>
      <w:r w:rsidR="000647D3" w:rsidRPr="00EA15D3">
        <w:rPr>
          <w:rFonts w:cs="Arial"/>
          <w:lang w:val="en"/>
        </w:rPr>
        <w:t xml:space="preserve"> </w:t>
      </w:r>
      <w:r w:rsidR="00D96EA7" w:rsidRPr="00EA15D3">
        <w:rPr>
          <w:rFonts w:cs="Arial"/>
          <w:lang w:val="en"/>
        </w:rPr>
        <w:t xml:space="preserve">TJ/day. </w:t>
      </w:r>
      <w:r w:rsidR="00D06D64" w:rsidRPr="00EA15D3">
        <w:rPr>
          <w:rFonts w:cs="Arial"/>
          <w:lang w:val="en"/>
        </w:rPr>
        <w:t>This is in line with</w:t>
      </w:r>
      <w:r w:rsidR="00884DE7" w:rsidRPr="00EA15D3">
        <w:rPr>
          <w:rFonts w:cs="Arial"/>
          <w:lang w:val="en"/>
        </w:rPr>
        <w:t xml:space="preserve"> the Bulletin Board reporting thresholds</w:t>
      </w:r>
      <w:r w:rsidR="00D04F5F" w:rsidRPr="00EA15D3">
        <w:rPr>
          <w:rFonts w:cs="Arial"/>
          <w:lang w:val="en"/>
        </w:rPr>
        <w:t xml:space="preserve"> (</w:t>
      </w:r>
      <w:r w:rsidR="001368A8" w:rsidRPr="00EA15D3">
        <w:rPr>
          <w:rFonts w:cs="Arial"/>
          <w:lang w:val="en"/>
        </w:rPr>
        <w:t xml:space="preserve">once the </w:t>
      </w:r>
      <w:r w:rsidR="00D04F5F" w:rsidRPr="00EA15D3">
        <w:rPr>
          <w:rFonts w:cs="Arial"/>
          <w:lang w:val="en"/>
        </w:rPr>
        <w:t>proposed rule change</w:t>
      </w:r>
      <w:r w:rsidR="001368A8" w:rsidRPr="00EA15D3">
        <w:rPr>
          <w:rFonts w:cs="Arial"/>
          <w:lang w:val="en"/>
        </w:rPr>
        <w:t xml:space="preserve"> is implemented</w:t>
      </w:r>
      <w:r w:rsidR="00D04F5F" w:rsidRPr="00EA15D3">
        <w:rPr>
          <w:rFonts w:cs="Arial"/>
          <w:lang w:val="en"/>
        </w:rPr>
        <w:t>)</w:t>
      </w:r>
      <w:r w:rsidR="00884DE7" w:rsidRPr="00EA15D3">
        <w:rPr>
          <w:rFonts w:cs="Arial"/>
          <w:lang w:val="en"/>
        </w:rPr>
        <w:t>.</w:t>
      </w:r>
      <w:r w:rsidR="00D83FEA" w:rsidRPr="00EA15D3">
        <w:rPr>
          <w:rStyle w:val="FootnoteReference"/>
          <w:rFonts w:cs="Arial"/>
          <w:lang w:val="en"/>
        </w:rPr>
        <w:footnoteReference w:id="21"/>
      </w:r>
      <w:r w:rsidR="00D76967" w:rsidRPr="00D76967">
        <w:t xml:space="preserve"> </w:t>
      </w:r>
    </w:p>
    <w:p w:rsidR="00F80EB1" w:rsidRDefault="00D60561" w:rsidP="00A010E7">
      <w:pPr>
        <w:spacing w:line="276" w:lineRule="auto"/>
        <w:rPr>
          <w:rFonts w:cs="Arial"/>
          <w:szCs w:val="20"/>
          <w:lang w:val="en"/>
        </w:rPr>
      </w:pPr>
      <w:r>
        <w:rPr>
          <w:rFonts w:cs="Arial"/>
          <w:szCs w:val="20"/>
          <w:lang w:val="en"/>
        </w:rPr>
        <w:t>T</w:t>
      </w:r>
      <w:r w:rsidR="005D043F" w:rsidRPr="005D043F">
        <w:rPr>
          <w:rFonts w:cs="Arial"/>
          <w:szCs w:val="20"/>
          <w:lang w:val="en"/>
        </w:rPr>
        <w:t xml:space="preserve">he ACCC </w:t>
      </w:r>
      <w:r>
        <w:rPr>
          <w:rFonts w:cs="Arial"/>
          <w:szCs w:val="20"/>
          <w:lang w:val="en"/>
        </w:rPr>
        <w:t xml:space="preserve">also </w:t>
      </w:r>
      <w:r w:rsidR="00E808F6">
        <w:rPr>
          <w:rFonts w:cs="Arial"/>
          <w:szCs w:val="20"/>
          <w:lang w:val="en"/>
        </w:rPr>
        <w:t>supports the</w:t>
      </w:r>
      <w:r w:rsidR="00443F24" w:rsidRPr="005D043F">
        <w:rPr>
          <w:rFonts w:cs="Arial"/>
          <w:szCs w:val="20"/>
          <w:lang w:val="en"/>
        </w:rPr>
        <w:t xml:space="preserve"> </w:t>
      </w:r>
      <w:r w:rsidR="00E808F6">
        <w:rPr>
          <w:rFonts w:cs="Arial"/>
          <w:szCs w:val="20"/>
          <w:lang w:val="en"/>
        </w:rPr>
        <w:t xml:space="preserve">GMRG’s view that </w:t>
      </w:r>
      <w:r w:rsidR="00443F24" w:rsidRPr="005D043F">
        <w:rPr>
          <w:rFonts w:cs="Arial"/>
          <w:szCs w:val="20"/>
          <w:lang w:val="en"/>
        </w:rPr>
        <w:t xml:space="preserve">the AER </w:t>
      </w:r>
      <w:r w:rsidR="00E808F6">
        <w:rPr>
          <w:rFonts w:cs="Arial"/>
          <w:szCs w:val="20"/>
          <w:lang w:val="en"/>
        </w:rPr>
        <w:t xml:space="preserve">is </w:t>
      </w:r>
      <w:r w:rsidR="00792E4E">
        <w:rPr>
          <w:rFonts w:cs="Arial"/>
          <w:szCs w:val="20"/>
          <w:lang w:val="en"/>
        </w:rPr>
        <w:t xml:space="preserve">an </w:t>
      </w:r>
      <w:r w:rsidR="00443F24" w:rsidRPr="005D043F">
        <w:rPr>
          <w:rFonts w:cs="Arial"/>
          <w:szCs w:val="20"/>
          <w:lang w:val="en"/>
        </w:rPr>
        <w:t>appropriate</w:t>
      </w:r>
      <w:r w:rsidR="00E808F6">
        <w:rPr>
          <w:rFonts w:cs="Arial"/>
          <w:szCs w:val="20"/>
          <w:lang w:val="en"/>
        </w:rPr>
        <w:t xml:space="preserve"> body</w:t>
      </w:r>
      <w:r w:rsidR="00443F24" w:rsidRPr="005D043F">
        <w:rPr>
          <w:rFonts w:cs="Arial"/>
          <w:szCs w:val="20"/>
          <w:lang w:val="en"/>
        </w:rPr>
        <w:t xml:space="preserve"> to oversee the exemption mechanism</w:t>
      </w:r>
      <w:r>
        <w:rPr>
          <w:rFonts w:cs="Arial"/>
          <w:szCs w:val="20"/>
          <w:lang w:val="en"/>
        </w:rPr>
        <w:t xml:space="preserve"> and</w:t>
      </w:r>
      <w:r w:rsidR="00730CBB">
        <w:rPr>
          <w:rFonts w:cs="Arial"/>
          <w:szCs w:val="20"/>
          <w:lang w:val="en"/>
        </w:rPr>
        <w:t xml:space="preserve"> recommends consideration be had to a ‘review of exemptions’ mechanism where, for example an access seeker could request the AER to review the legitimacy of a pipeline operator’s claimed exemption. </w:t>
      </w:r>
    </w:p>
    <w:p w:rsidR="00F70957" w:rsidRDefault="00F70957" w:rsidP="00A010E7">
      <w:pPr>
        <w:spacing w:line="276" w:lineRule="auto"/>
        <w:rPr>
          <w:rFonts w:cs="Arial"/>
          <w:szCs w:val="20"/>
          <w:lang w:val="en"/>
        </w:rPr>
      </w:pPr>
    </w:p>
    <w:p w:rsidR="00F70957" w:rsidRDefault="00F70957" w:rsidP="00A010E7">
      <w:pPr>
        <w:spacing w:line="276" w:lineRule="auto"/>
        <w:rPr>
          <w:rFonts w:cs="Arial"/>
          <w:szCs w:val="20"/>
          <w:lang w:val="en"/>
        </w:rPr>
      </w:pPr>
    </w:p>
    <w:p w:rsidR="00F41FF4" w:rsidRPr="00026140" w:rsidRDefault="00F41FF4" w:rsidP="00026140">
      <w:pPr>
        <w:pStyle w:val="Numbered11"/>
      </w:pPr>
      <w:bookmarkStart w:id="31" w:name="_Toc478724501"/>
      <w:bookmarkStart w:id="32" w:name="_Toc478724502"/>
      <w:bookmarkStart w:id="33" w:name="_Toc478724503"/>
      <w:bookmarkStart w:id="34" w:name="_Toc478724504"/>
      <w:bookmarkStart w:id="35" w:name="_Toc478724505"/>
      <w:bookmarkStart w:id="36" w:name="_Toc479781925"/>
      <w:bookmarkEnd w:id="31"/>
      <w:bookmarkEnd w:id="32"/>
      <w:bookmarkEnd w:id="33"/>
      <w:bookmarkEnd w:id="34"/>
      <w:bookmarkEnd w:id="35"/>
      <w:r w:rsidRPr="00026140">
        <w:lastRenderedPageBreak/>
        <w:t>Compliance</w:t>
      </w:r>
      <w:bookmarkEnd w:id="36"/>
    </w:p>
    <w:p w:rsidR="00F41FF4" w:rsidRDefault="00F41FF4" w:rsidP="00CD0CDB">
      <w:pPr>
        <w:pStyle w:val="Heading3"/>
      </w:pPr>
      <w:bookmarkStart w:id="37" w:name="_Toc479781926"/>
      <w:r w:rsidRPr="008C4B9D">
        <w:t>Civil penalty provisions</w:t>
      </w:r>
      <w:bookmarkEnd w:id="37"/>
      <w:r w:rsidRPr="008C4B9D">
        <w:t xml:space="preserve"> </w:t>
      </w:r>
    </w:p>
    <w:p w:rsidR="002E63B2" w:rsidRPr="006B5E1D" w:rsidRDefault="006B5E1D" w:rsidP="006E7E70">
      <w:pPr>
        <w:spacing w:line="276" w:lineRule="auto"/>
        <w:rPr>
          <w:sz w:val="24"/>
        </w:rPr>
      </w:pPr>
      <w:r w:rsidRPr="006B5E1D">
        <w:rPr>
          <w:rFonts w:cs="Arial"/>
          <w:szCs w:val="20"/>
        </w:rPr>
        <w:t>The ACCC</w:t>
      </w:r>
      <w:r w:rsidR="003C10C3" w:rsidRPr="006B5E1D">
        <w:rPr>
          <w:rFonts w:cs="Arial"/>
          <w:szCs w:val="20"/>
        </w:rPr>
        <w:t xml:space="preserve"> support</w:t>
      </w:r>
      <w:r w:rsidRPr="006B5E1D">
        <w:rPr>
          <w:rFonts w:cs="Arial"/>
          <w:szCs w:val="20"/>
        </w:rPr>
        <w:t>s</w:t>
      </w:r>
      <w:r w:rsidR="003C10C3" w:rsidRPr="006B5E1D">
        <w:rPr>
          <w:rFonts w:cs="Arial"/>
          <w:szCs w:val="20"/>
        </w:rPr>
        <w:t xml:space="preserve"> the GMR</w:t>
      </w:r>
      <w:r w:rsidR="0072560D">
        <w:rPr>
          <w:rFonts w:cs="Arial"/>
          <w:szCs w:val="20"/>
        </w:rPr>
        <w:t>G</w:t>
      </w:r>
      <w:r w:rsidR="003C10C3" w:rsidRPr="006B5E1D">
        <w:rPr>
          <w:rFonts w:cs="Arial"/>
          <w:szCs w:val="20"/>
        </w:rPr>
        <w:t xml:space="preserve">’s view that the information disclosure requirements should be classified as </w:t>
      </w:r>
      <w:r w:rsidRPr="006B5E1D">
        <w:rPr>
          <w:rFonts w:cs="Arial"/>
          <w:szCs w:val="20"/>
        </w:rPr>
        <w:t xml:space="preserve">a </w:t>
      </w:r>
      <w:r w:rsidR="003C10C3" w:rsidRPr="006B5E1D">
        <w:rPr>
          <w:rFonts w:cs="Arial"/>
          <w:szCs w:val="20"/>
        </w:rPr>
        <w:t>civil penalty provision</w:t>
      </w:r>
      <w:r w:rsidRPr="006B5E1D">
        <w:rPr>
          <w:rFonts w:cs="Arial"/>
          <w:szCs w:val="20"/>
        </w:rPr>
        <w:t xml:space="preserve"> that would allow the AER to issue an infringement notice for non-compliance</w:t>
      </w:r>
      <w:r w:rsidR="003C10C3" w:rsidRPr="006B5E1D">
        <w:rPr>
          <w:rFonts w:cs="Arial"/>
          <w:szCs w:val="20"/>
        </w:rPr>
        <w:t xml:space="preserve">. </w:t>
      </w:r>
      <w:r w:rsidRPr="006B5E1D">
        <w:rPr>
          <w:rFonts w:cs="Arial"/>
          <w:szCs w:val="20"/>
        </w:rPr>
        <w:t>The ACCC</w:t>
      </w:r>
      <w:r w:rsidR="003C10C3" w:rsidRPr="006B5E1D">
        <w:rPr>
          <w:rFonts w:cs="Arial"/>
          <w:szCs w:val="20"/>
        </w:rPr>
        <w:t xml:space="preserve"> consider</w:t>
      </w:r>
      <w:r w:rsidRPr="006B5E1D">
        <w:rPr>
          <w:rFonts w:cs="Arial"/>
          <w:szCs w:val="20"/>
        </w:rPr>
        <w:t>s</w:t>
      </w:r>
      <w:r w:rsidR="003C10C3" w:rsidRPr="006B5E1D">
        <w:rPr>
          <w:rFonts w:cs="Arial"/>
          <w:szCs w:val="20"/>
        </w:rPr>
        <w:t xml:space="preserve"> th</w:t>
      </w:r>
      <w:r w:rsidRPr="006B5E1D">
        <w:rPr>
          <w:rFonts w:cs="Arial"/>
          <w:szCs w:val="20"/>
        </w:rPr>
        <w:t>is the</w:t>
      </w:r>
      <w:r w:rsidR="003C10C3" w:rsidRPr="006B5E1D">
        <w:rPr>
          <w:rFonts w:cs="Arial"/>
          <w:szCs w:val="20"/>
        </w:rPr>
        <w:t xml:space="preserve"> most effective way to ensure pipeline operators </w:t>
      </w:r>
      <w:r w:rsidRPr="006B5E1D">
        <w:rPr>
          <w:rFonts w:cs="Arial"/>
          <w:szCs w:val="20"/>
        </w:rPr>
        <w:t>comply with the requirements, with an appropriate</w:t>
      </w:r>
      <w:r w:rsidR="00784638">
        <w:rPr>
          <w:rFonts w:cs="Arial"/>
          <w:szCs w:val="20"/>
        </w:rPr>
        <w:t>, proportionate</w:t>
      </w:r>
      <w:r w:rsidRPr="006B5E1D">
        <w:rPr>
          <w:rFonts w:cs="Arial"/>
          <w:szCs w:val="20"/>
        </w:rPr>
        <w:t xml:space="preserve"> and timely </w:t>
      </w:r>
      <w:r w:rsidR="003C10C3" w:rsidRPr="006B5E1D">
        <w:rPr>
          <w:rFonts w:cs="Arial"/>
          <w:szCs w:val="20"/>
        </w:rPr>
        <w:t xml:space="preserve">consequence </w:t>
      </w:r>
      <w:r w:rsidR="006E7E70">
        <w:rPr>
          <w:rFonts w:cs="Arial"/>
          <w:szCs w:val="20"/>
        </w:rPr>
        <w:t>where there is failure</w:t>
      </w:r>
      <w:r w:rsidRPr="006B5E1D">
        <w:rPr>
          <w:rFonts w:cs="Arial"/>
          <w:szCs w:val="20"/>
        </w:rPr>
        <w:t xml:space="preserve"> to comply</w:t>
      </w:r>
      <w:r w:rsidR="003C10C3" w:rsidRPr="006B5E1D">
        <w:rPr>
          <w:rFonts w:cs="Arial"/>
          <w:szCs w:val="20"/>
        </w:rPr>
        <w:t xml:space="preserve">. </w:t>
      </w:r>
    </w:p>
    <w:p w:rsidR="00F41FF4" w:rsidRDefault="00F41FF4" w:rsidP="00CD0CDB">
      <w:pPr>
        <w:pStyle w:val="Heading3"/>
      </w:pPr>
      <w:bookmarkStart w:id="38" w:name="_Toc479781927"/>
      <w:r w:rsidRPr="008C4B9D">
        <w:t>Conduct provisions</w:t>
      </w:r>
      <w:bookmarkEnd w:id="38"/>
    </w:p>
    <w:p w:rsidR="00697CA9" w:rsidRDefault="00770FBD" w:rsidP="006E7E70">
      <w:pPr>
        <w:spacing w:line="276" w:lineRule="auto"/>
      </w:pPr>
      <w:r w:rsidRPr="00770FBD">
        <w:rPr>
          <w:rFonts w:cs="Arial"/>
        </w:rPr>
        <w:t>The ACCC does</w:t>
      </w:r>
      <w:r w:rsidR="003C10C3" w:rsidRPr="00770FBD">
        <w:rPr>
          <w:rFonts w:cs="Arial"/>
        </w:rPr>
        <w:t xml:space="preserve"> not consider classifying the information disclosure requi</w:t>
      </w:r>
      <w:r w:rsidR="00D51BD2">
        <w:rPr>
          <w:rFonts w:cs="Arial"/>
        </w:rPr>
        <w:t xml:space="preserve">rements as a conduct provision </w:t>
      </w:r>
      <w:r w:rsidR="006C400D">
        <w:rPr>
          <w:rFonts w:cs="Arial"/>
        </w:rPr>
        <w:t xml:space="preserve">is </w:t>
      </w:r>
      <w:r w:rsidR="00D51BD2">
        <w:rPr>
          <w:rFonts w:cs="Arial"/>
        </w:rPr>
        <w:t>appropriate</w:t>
      </w:r>
      <w:r w:rsidR="003C10C3" w:rsidRPr="00770FBD">
        <w:rPr>
          <w:rFonts w:cs="Arial"/>
        </w:rPr>
        <w:t xml:space="preserve">. While it may provide additional incentive for pipeline operators to ensure information is up-to-date and </w:t>
      </w:r>
      <w:r w:rsidRPr="00770FBD">
        <w:rPr>
          <w:rFonts w:cs="Arial"/>
        </w:rPr>
        <w:t>pipeline operators</w:t>
      </w:r>
      <w:r w:rsidR="003C10C3" w:rsidRPr="00770FBD">
        <w:rPr>
          <w:rFonts w:cs="Arial"/>
        </w:rPr>
        <w:t xml:space="preserve"> are complying with the </w:t>
      </w:r>
      <w:r w:rsidRPr="00770FBD">
        <w:rPr>
          <w:rFonts w:cs="Arial"/>
        </w:rPr>
        <w:t xml:space="preserve">information </w:t>
      </w:r>
      <w:r w:rsidR="003C10C3" w:rsidRPr="00770FBD">
        <w:rPr>
          <w:rFonts w:cs="Arial"/>
        </w:rPr>
        <w:t xml:space="preserve">disclosure requirements, the </w:t>
      </w:r>
      <w:r w:rsidRPr="00770FBD">
        <w:rPr>
          <w:rFonts w:cs="Arial"/>
        </w:rPr>
        <w:t>disclosure</w:t>
      </w:r>
      <w:r w:rsidR="003C10C3" w:rsidRPr="00770FBD">
        <w:rPr>
          <w:rFonts w:cs="Arial"/>
        </w:rPr>
        <w:t xml:space="preserve"> requirements do not directly affect a shipper’s ability to access a pipeline</w:t>
      </w:r>
      <w:r w:rsidR="00FE469C">
        <w:rPr>
          <w:rFonts w:cs="Arial"/>
        </w:rPr>
        <w:t>.</w:t>
      </w:r>
      <w:r w:rsidR="003C10C3" w:rsidRPr="00770FBD">
        <w:rPr>
          <w:rFonts w:cs="Arial"/>
        </w:rPr>
        <w:t xml:space="preserve"> </w:t>
      </w:r>
      <w:r w:rsidR="00FE469C">
        <w:rPr>
          <w:rFonts w:cs="Arial"/>
        </w:rPr>
        <w:t xml:space="preserve">As such, </w:t>
      </w:r>
      <w:r w:rsidRPr="00770FBD">
        <w:rPr>
          <w:rFonts w:cs="Arial"/>
        </w:rPr>
        <w:t>there is u</w:t>
      </w:r>
      <w:r w:rsidR="00697CA9" w:rsidRPr="00770FBD">
        <w:t>nlikely to be sufficient nexus between non-disclosure and any</w:t>
      </w:r>
      <w:r w:rsidRPr="00770FBD">
        <w:t xml:space="preserve"> potential</w:t>
      </w:r>
      <w:r w:rsidR="00697CA9" w:rsidRPr="00770FBD">
        <w:t xml:space="preserve"> loss</w:t>
      </w:r>
      <w:r w:rsidRPr="00770FBD">
        <w:t xml:space="preserve"> </w:t>
      </w:r>
      <w:r w:rsidR="00FE469C">
        <w:t xml:space="preserve">or damage </w:t>
      </w:r>
      <w:r w:rsidRPr="00770FBD">
        <w:t>so as to warrant recovery of any amount of loss or damage by action against a person in court.</w:t>
      </w:r>
    </w:p>
    <w:p w:rsidR="007A77B9" w:rsidRPr="007A77B9" w:rsidRDefault="00194660" w:rsidP="007A77B9">
      <w:pPr>
        <w:pStyle w:val="Heading4"/>
        <w:spacing w:line="276" w:lineRule="auto"/>
        <w:rPr>
          <w:b w:val="0"/>
          <w:i w:val="0"/>
          <w:color w:val="auto"/>
          <w:sz w:val="22"/>
        </w:rPr>
      </w:pPr>
      <w:bookmarkStart w:id="39" w:name="_Toc479781928"/>
      <w:r w:rsidRPr="00CD0CDB">
        <w:rPr>
          <w:rStyle w:val="Heading3Char"/>
          <w:b/>
          <w:i w:val="0"/>
        </w:rPr>
        <w:t>Reporting standard</w:t>
      </w:r>
      <w:bookmarkEnd w:id="39"/>
      <w:r w:rsidR="00E51FD0">
        <w:br/>
      </w:r>
      <w:r w:rsidR="00961D1D">
        <w:rPr>
          <w:b w:val="0"/>
          <w:i w:val="0"/>
          <w:color w:val="auto"/>
          <w:sz w:val="22"/>
        </w:rPr>
        <w:br/>
      </w:r>
      <w:r w:rsidR="00DC09DB" w:rsidRPr="00DC09DB">
        <w:rPr>
          <w:b w:val="0"/>
          <w:i w:val="0"/>
          <w:color w:val="auto"/>
          <w:sz w:val="22"/>
        </w:rPr>
        <w:t>The GM</w:t>
      </w:r>
      <w:r w:rsidR="00AA4D9E">
        <w:rPr>
          <w:b w:val="0"/>
          <w:i w:val="0"/>
          <w:color w:val="auto"/>
          <w:sz w:val="22"/>
        </w:rPr>
        <w:t xml:space="preserve">RG </w:t>
      </w:r>
      <w:r w:rsidR="00E832F3">
        <w:rPr>
          <w:b w:val="0"/>
          <w:i w:val="0"/>
          <w:color w:val="auto"/>
          <w:sz w:val="22"/>
        </w:rPr>
        <w:t>sought views on</w:t>
      </w:r>
      <w:r w:rsidR="00E832F3" w:rsidRPr="00DC09DB">
        <w:rPr>
          <w:b w:val="0"/>
          <w:i w:val="0"/>
          <w:color w:val="auto"/>
          <w:sz w:val="22"/>
        </w:rPr>
        <w:t xml:space="preserve"> </w:t>
      </w:r>
      <w:r w:rsidR="00DC09DB" w:rsidRPr="00DC09DB">
        <w:rPr>
          <w:b w:val="0"/>
          <w:i w:val="0"/>
          <w:color w:val="auto"/>
          <w:sz w:val="22"/>
        </w:rPr>
        <w:t>whether a reporting standard should be included in the new disclosure framework, which, amongst other things, could state that information provided by the pipeline operator must not be knowingly false or misleading.</w:t>
      </w:r>
      <w:r w:rsidR="00961D1D">
        <w:rPr>
          <w:b w:val="0"/>
          <w:i w:val="0"/>
          <w:color w:val="auto"/>
          <w:sz w:val="22"/>
        </w:rPr>
        <w:br/>
      </w:r>
      <w:r w:rsidR="00961D1D">
        <w:rPr>
          <w:b w:val="0"/>
          <w:i w:val="0"/>
          <w:color w:val="auto"/>
          <w:sz w:val="22"/>
        </w:rPr>
        <w:br/>
      </w:r>
      <w:r w:rsidR="00961D1D" w:rsidRPr="00961D1D">
        <w:rPr>
          <w:b w:val="0"/>
          <w:i w:val="0"/>
          <w:color w:val="auto"/>
          <w:sz w:val="22"/>
        </w:rPr>
        <w:t xml:space="preserve">The ACCC considers that if this includes a requirement that an </w:t>
      </w:r>
      <w:r w:rsidR="00DA5433">
        <w:rPr>
          <w:b w:val="0"/>
          <w:i w:val="0"/>
          <w:color w:val="auto"/>
          <w:sz w:val="22"/>
        </w:rPr>
        <w:t xml:space="preserve">independent </w:t>
      </w:r>
      <w:r w:rsidR="00961D1D" w:rsidRPr="00961D1D">
        <w:rPr>
          <w:b w:val="0"/>
          <w:i w:val="0"/>
          <w:color w:val="auto"/>
          <w:sz w:val="22"/>
        </w:rPr>
        <w:t xml:space="preserve">auditor </w:t>
      </w:r>
      <w:r w:rsidR="00DA5433">
        <w:rPr>
          <w:b w:val="0"/>
          <w:i w:val="0"/>
          <w:color w:val="auto"/>
          <w:sz w:val="22"/>
        </w:rPr>
        <w:t xml:space="preserve">provide a declaration that the </w:t>
      </w:r>
      <w:r w:rsidR="00961D1D" w:rsidRPr="00961D1D">
        <w:rPr>
          <w:b w:val="0"/>
          <w:i w:val="0"/>
          <w:color w:val="auto"/>
          <w:sz w:val="22"/>
        </w:rPr>
        <w:t>disclosed information</w:t>
      </w:r>
      <w:r w:rsidR="00DA5433">
        <w:rPr>
          <w:b w:val="0"/>
          <w:i w:val="0"/>
          <w:color w:val="auto"/>
          <w:sz w:val="22"/>
        </w:rPr>
        <w:t xml:space="preserve"> is true and correct</w:t>
      </w:r>
      <w:r w:rsidR="00961D1D" w:rsidRPr="00961D1D">
        <w:rPr>
          <w:b w:val="0"/>
          <w:i w:val="0"/>
          <w:color w:val="auto"/>
          <w:sz w:val="22"/>
        </w:rPr>
        <w:t xml:space="preserve">, the ACCC supports the inclusion of such a standard. </w:t>
      </w:r>
      <w:r w:rsidR="00183BC3" w:rsidRPr="00183BC3">
        <w:rPr>
          <w:b w:val="0"/>
          <w:i w:val="0"/>
          <w:color w:val="auto"/>
          <w:sz w:val="22"/>
        </w:rPr>
        <w:t>T</w:t>
      </w:r>
      <w:r w:rsidR="00961D1D" w:rsidRPr="00183BC3">
        <w:rPr>
          <w:b w:val="0"/>
          <w:i w:val="0"/>
          <w:color w:val="auto"/>
          <w:sz w:val="22"/>
        </w:rPr>
        <w:t>he</w:t>
      </w:r>
      <w:r w:rsidR="00F80EB1">
        <w:rPr>
          <w:b w:val="0"/>
          <w:i w:val="0"/>
          <w:color w:val="auto"/>
          <w:sz w:val="22"/>
        </w:rPr>
        <w:t xml:space="preserve"> financial</w:t>
      </w:r>
      <w:r w:rsidR="00961D1D" w:rsidRPr="00183BC3">
        <w:rPr>
          <w:b w:val="0"/>
          <w:i w:val="0"/>
          <w:color w:val="auto"/>
          <w:sz w:val="22"/>
        </w:rPr>
        <w:t xml:space="preserve"> benefits</w:t>
      </w:r>
      <w:r w:rsidR="00F80EB1">
        <w:rPr>
          <w:b w:val="0"/>
          <w:i w:val="0"/>
          <w:color w:val="auto"/>
          <w:sz w:val="22"/>
        </w:rPr>
        <w:t xml:space="preserve"> to </w:t>
      </w:r>
      <w:r w:rsidR="009B25EA">
        <w:rPr>
          <w:b w:val="0"/>
          <w:i w:val="0"/>
          <w:color w:val="auto"/>
          <w:sz w:val="22"/>
        </w:rPr>
        <w:t>a</w:t>
      </w:r>
      <w:r w:rsidR="00F80EB1">
        <w:rPr>
          <w:b w:val="0"/>
          <w:i w:val="0"/>
          <w:color w:val="auto"/>
          <w:sz w:val="22"/>
        </w:rPr>
        <w:t xml:space="preserve"> pipeline operator</w:t>
      </w:r>
      <w:r w:rsidR="00961D1D" w:rsidRPr="00183BC3">
        <w:rPr>
          <w:b w:val="0"/>
          <w:i w:val="0"/>
          <w:color w:val="auto"/>
          <w:sz w:val="22"/>
        </w:rPr>
        <w:t xml:space="preserve"> of slightly erroneous disclosure may </w:t>
      </w:r>
      <w:r w:rsidR="00E832F3">
        <w:rPr>
          <w:b w:val="0"/>
          <w:i w:val="0"/>
          <w:color w:val="auto"/>
          <w:sz w:val="22"/>
        </w:rPr>
        <w:t>number in the</w:t>
      </w:r>
      <w:r w:rsidR="00E832F3" w:rsidRPr="00183BC3">
        <w:rPr>
          <w:b w:val="0"/>
          <w:i w:val="0"/>
          <w:color w:val="auto"/>
          <w:sz w:val="22"/>
        </w:rPr>
        <w:t xml:space="preserve"> </w:t>
      </w:r>
      <w:r w:rsidR="00961D1D" w:rsidRPr="00183BC3">
        <w:rPr>
          <w:b w:val="0"/>
          <w:i w:val="0"/>
          <w:color w:val="auto"/>
          <w:sz w:val="22"/>
        </w:rPr>
        <w:t xml:space="preserve">tens of millions </w:t>
      </w:r>
      <w:r w:rsidR="00DA5433">
        <w:rPr>
          <w:b w:val="0"/>
          <w:i w:val="0"/>
          <w:color w:val="auto"/>
          <w:sz w:val="22"/>
        </w:rPr>
        <w:t xml:space="preserve">of dollars </w:t>
      </w:r>
      <w:r w:rsidR="00961D1D" w:rsidRPr="00183BC3">
        <w:rPr>
          <w:b w:val="0"/>
          <w:i w:val="0"/>
          <w:color w:val="auto"/>
          <w:sz w:val="22"/>
        </w:rPr>
        <w:t xml:space="preserve">and to avoid </w:t>
      </w:r>
      <w:r w:rsidR="00E832F3">
        <w:rPr>
          <w:b w:val="0"/>
          <w:i w:val="0"/>
          <w:color w:val="auto"/>
          <w:sz w:val="22"/>
        </w:rPr>
        <w:t>creat</w:t>
      </w:r>
      <w:r w:rsidR="0071020B">
        <w:rPr>
          <w:b w:val="0"/>
          <w:i w:val="0"/>
          <w:color w:val="auto"/>
          <w:sz w:val="22"/>
        </w:rPr>
        <w:t>ing</w:t>
      </w:r>
      <w:r w:rsidR="00E832F3">
        <w:rPr>
          <w:b w:val="0"/>
          <w:i w:val="0"/>
          <w:color w:val="auto"/>
          <w:sz w:val="22"/>
        </w:rPr>
        <w:t xml:space="preserve"> an environment which could reward </w:t>
      </w:r>
      <w:r w:rsidR="00961D1D" w:rsidRPr="00183BC3">
        <w:rPr>
          <w:b w:val="0"/>
          <w:i w:val="0"/>
          <w:color w:val="auto"/>
          <w:sz w:val="22"/>
        </w:rPr>
        <w:t>errors, a reporting standard with significant consequences should be included.</w:t>
      </w:r>
    </w:p>
    <w:p w:rsidR="005A61D0" w:rsidRPr="00026140" w:rsidRDefault="005A61D0" w:rsidP="00026140">
      <w:pPr>
        <w:pStyle w:val="Numbered11"/>
      </w:pPr>
      <w:bookmarkStart w:id="40" w:name="_Toc478724510"/>
      <w:bookmarkStart w:id="41" w:name="_Toc478724511"/>
      <w:bookmarkStart w:id="42" w:name="_Toc478724512"/>
      <w:bookmarkStart w:id="43" w:name="_Toc479781929"/>
      <w:bookmarkEnd w:id="40"/>
      <w:bookmarkEnd w:id="41"/>
      <w:bookmarkEnd w:id="42"/>
      <w:r w:rsidRPr="00026140">
        <w:t>Other implementation issues</w:t>
      </w:r>
      <w:bookmarkEnd w:id="43"/>
    </w:p>
    <w:p w:rsidR="000A308A" w:rsidRDefault="000A308A" w:rsidP="00230B94">
      <w:pPr>
        <w:pStyle w:val="Heading3"/>
      </w:pPr>
      <w:bookmarkStart w:id="44" w:name="_Toc479781930"/>
      <w:r w:rsidRPr="000A308A">
        <w:t>Publication of information</w:t>
      </w:r>
      <w:bookmarkEnd w:id="44"/>
      <w:r w:rsidRPr="000A308A">
        <w:t xml:space="preserve"> </w:t>
      </w:r>
    </w:p>
    <w:p w:rsidR="009565CA" w:rsidRDefault="005D069C" w:rsidP="00230B94">
      <w:pPr>
        <w:spacing w:line="276" w:lineRule="auto"/>
        <w:rPr>
          <w:rFonts w:cs="Arial"/>
          <w:szCs w:val="20"/>
        </w:rPr>
      </w:pPr>
      <w:r w:rsidRPr="0046377F">
        <w:rPr>
          <w:rFonts w:cs="Arial"/>
          <w:szCs w:val="20"/>
        </w:rPr>
        <w:t xml:space="preserve">The ACCC </w:t>
      </w:r>
      <w:r w:rsidR="009565CA" w:rsidRPr="0046377F">
        <w:rPr>
          <w:rFonts w:cs="Arial"/>
          <w:szCs w:val="20"/>
        </w:rPr>
        <w:t>agree</w:t>
      </w:r>
      <w:r w:rsidRPr="0046377F">
        <w:rPr>
          <w:rFonts w:cs="Arial"/>
          <w:szCs w:val="20"/>
        </w:rPr>
        <w:t>s</w:t>
      </w:r>
      <w:r w:rsidR="009565CA" w:rsidRPr="0046377F">
        <w:rPr>
          <w:rFonts w:cs="Arial"/>
          <w:szCs w:val="20"/>
        </w:rPr>
        <w:t xml:space="preserve"> that the information to be </w:t>
      </w:r>
      <w:r w:rsidR="00230B94">
        <w:rPr>
          <w:rFonts w:cs="Arial"/>
          <w:szCs w:val="20"/>
        </w:rPr>
        <w:t>disclosed</w:t>
      </w:r>
      <w:r w:rsidR="009565CA" w:rsidRPr="0046377F">
        <w:rPr>
          <w:rFonts w:cs="Arial"/>
          <w:szCs w:val="20"/>
        </w:rPr>
        <w:t xml:space="preserve"> should be published by pipeline operators on their website, in order to align with the covered pipelines regime.</w:t>
      </w:r>
      <w:r w:rsidR="003E0BEE">
        <w:rPr>
          <w:rFonts w:cs="Arial"/>
          <w:szCs w:val="20"/>
        </w:rPr>
        <w:t xml:space="preserve"> </w:t>
      </w:r>
      <w:r w:rsidR="002B223E">
        <w:rPr>
          <w:rFonts w:cs="Arial"/>
          <w:szCs w:val="20"/>
        </w:rPr>
        <w:t>T</w:t>
      </w:r>
      <w:r w:rsidRPr="0046377F">
        <w:rPr>
          <w:rFonts w:cs="Arial"/>
          <w:szCs w:val="20"/>
        </w:rPr>
        <w:t xml:space="preserve">he ACCC </w:t>
      </w:r>
      <w:r w:rsidR="002B223E">
        <w:rPr>
          <w:rFonts w:cs="Arial"/>
          <w:szCs w:val="20"/>
        </w:rPr>
        <w:t>notes that</w:t>
      </w:r>
      <w:r w:rsidR="002B223E" w:rsidRPr="0046377F">
        <w:rPr>
          <w:rFonts w:cs="Arial"/>
          <w:szCs w:val="20"/>
        </w:rPr>
        <w:t xml:space="preserve"> </w:t>
      </w:r>
      <w:r w:rsidR="009565CA" w:rsidRPr="0046377F">
        <w:rPr>
          <w:rFonts w:cs="Arial"/>
          <w:szCs w:val="20"/>
        </w:rPr>
        <w:t xml:space="preserve">there may </w:t>
      </w:r>
      <w:r w:rsidR="002B223E">
        <w:rPr>
          <w:rFonts w:cs="Arial"/>
          <w:szCs w:val="20"/>
        </w:rPr>
        <w:t xml:space="preserve">also </w:t>
      </w:r>
      <w:r w:rsidR="009565CA" w:rsidRPr="0046377F">
        <w:rPr>
          <w:rFonts w:cs="Arial"/>
          <w:szCs w:val="20"/>
        </w:rPr>
        <w:t xml:space="preserve">be value in publishing this information in a single, neutral location to make it easier for shippers to compare data and offers. </w:t>
      </w:r>
      <w:r w:rsidRPr="0046377F">
        <w:rPr>
          <w:rFonts w:cs="Arial"/>
          <w:szCs w:val="20"/>
        </w:rPr>
        <w:t>S</w:t>
      </w:r>
      <w:r w:rsidR="009565CA" w:rsidRPr="0046377F">
        <w:rPr>
          <w:rFonts w:cs="Arial"/>
          <w:szCs w:val="20"/>
        </w:rPr>
        <w:t>pecifying the form in whi</w:t>
      </w:r>
      <w:r w:rsidRPr="0046377F">
        <w:rPr>
          <w:rFonts w:cs="Arial"/>
          <w:szCs w:val="20"/>
        </w:rPr>
        <w:t xml:space="preserve">ch information should be </w:t>
      </w:r>
      <w:r w:rsidR="00670841">
        <w:rPr>
          <w:rFonts w:cs="Arial"/>
          <w:szCs w:val="20"/>
        </w:rPr>
        <w:t>listed</w:t>
      </w:r>
      <w:r w:rsidRPr="0046377F">
        <w:rPr>
          <w:rFonts w:cs="Arial"/>
          <w:szCs w:val="20"/>
        </w:rPr>
        <w:t xml:space="preserve"> is also likely to</w:t>
      </w:r>
      <w:r w:rsidR="009565CA" w:rsidRPr="0046377F">
        <w:rPr>
          <w:rFonts w:cs="Arial"/>
          <w:szCs w:val="20"/>
        </w:rPr>
        <w:t xml:space="preserve"> assist with this.    </w:t>
      </w:r>
    </w:p>
    <w:p w:rsidR="00381148" w:rsidRPr="006F4359" w:rsidRDefault="00381148" w:rsidP="00140506">
      <w:pPr>
        <w:pStyle w:val="Heading3"/>
      </w:pPr>
      <w:bookmarkStart w:id="45" w:name="_Toc479781931"/>
      <w:r w:rsidRPr="006F4359">
        <w:t>Timing</w:t>
      </w:r>
      <w:bookmarkEnd w:id="45"/>
    </w:p>
    <w:p w:rsidR="00381148" w:rsidRDefault="003C3EB6" w:rsidP="00F236F4">
      <w:pPr>
        <w:spacing w:line="276" w:lineRule="auto"/>
        <w:rPr>
          <w:rFonts w:cs="Arial"/>
          <w:szCs w:val="20"/>
        </w:rPr>
      </w:pPr>
      <w:r w:rsidRPr="003C3EB6">
        <w:rPr>
          <w:rFonts w:cs="Arial"/>
        </w:rPr>
        <w:t>The ACCC supports the GMRG’s expectations as</w:t>
      </w:r>
      <w:r w:rsidR="00381148" w:rsidRPr="003C3EB6">
        <w:rPr>
          <w:rFonts w:cs="Arial"/>
        </w:rPr>
        <w:t xml:space="preserve"> </w:t>
      </w:r>
      <w:r w:rsidRPr="003C3EB6">
        <w:rPr>
          <w:rFonts w:cs="Arial"/>
        </w:rPr>
        <w:t>to</w:t>
      </w:r>
      <w:r w:rsidR="00381148" w:rsidRPr="003C3EB6">
        <w:rPr>
          <w:rFonts w:cs="Arial"/>
        </w:rPr>
        <w:t xml:space="preserve"> the frequency with which information should be published by pipeline operators</w:t>
      </w:r>
      <w:r w:rsidRPr="003C3EB6">
        <w:rPr>
          <w:rFonts w:cs="Arial"/>
        </w:rPr>
        <w:t>.</w:t>
      </w:r>
      <w:r w:rsidR="00381148" w:rsidRPr="00B63892">
        <w:rPr>
          <w:rFonts w:cs="Arial"/>
          <w:szCs w:val="20"/>
        </w:rPr>
        <w:t xml:space="preserve"> </w:t>
      </w:r>
    </w:p>
    <w:p w:rsidR="00F70957" w:rsidRDefault="00F70957" w:rsidP="00F236F4">
      <w:pPr>
        <w:spacing w:line="276" w:lineRule="auto"/>
        <w:rPr>
          <w:rFonts w:cs="Arial"/>
          <w:szCs w:val="20"/>
        </w:rPr>
      </w:pPr>
    </w:p>
    <w:p w:rsidR="00F70957" w:rsidRPr="00381148" w:rsidRDefault="00F70957" w:rsidP="00F236F4">
      <w:pPr>
        <w:spacing w:line="276" w:lineRule="auto"/>
        <w:rPr>
          <w:sz w:val="24"/>
        </w:rPr>
      </w:pPr>
    </w:p>
    <w:p w:rsidR="008C4B9D" w:rsidRDefault="000A308A" w:rsidP="00F236F4">
      <w:pPr>
        <w:pStyle w:val="Heading3"/>
      </w:pPr>
      <w:bookmarkStart w:id="46" w:name="_Toc479781932"/>
      <w:r>
        <w:lastRenderedPageBreak/>
        <w:t xml:space="preserve">Costs </w:t>
      </w:r>
      <w:r w:rsidR="0080228B">
        <w:t>of investigations</w:t>
      </w:r>
      <w:bookmarkEnd w:id="46"/>
    </w:p>
    <w:p w:rsidR="00FE2486" w:rsidRDefault="007914EE" w:rsidP="00F236F4">
      <w:pPr>
        <w:spacing w:line="276" w:lineRule="auto"/>
      </w:pPr>
      <w:r>
        <w:t xml:space="preserve">The ACCC </w:t>
      </w:r>
      <w:r w:rsidR="003E0BEE">
        <w:t xml:space="preserve">notes </w:t>
      </w:r>
      <w:r>
        <w:t xml:space="preserve">the GMRG’s approach to costs associated with investigation work. </w:t>
      </w:r>
      <w:r w:rsidR="003E0BEE">
        <w:t>I</w:t>
      </w:r>
      <w:r>
        <w:t xml:space="preserve">t may be worth </w:t>
      </w:r>
      <w:r w:rsidRPr="007914EE">
        <w:t xml:space="preserve">requiring a pipeline operator to provide an indicative range of </w:t>
      </w:r>
      <w:r w:rsidR="00A11F12">
        <w:t xml:space="preserve">likely </w:t>
      </w:r>
      <w:r w:rsidRPr="007914EE">
        <w:t xml:space="preserve">costs to </w:t>
      </w:r>
      <w:r w:rsidR="001255A2">
        <w:t>a</w:t>
      </w:r>
      <w:r w:rsidR="001255A2" w:rsidRPr="007914EE">
        <w:t xml:space="preserve"> </w:t>
      </w:r>
      <w:r w:rsidRPr="007914EE">
        <w:t xml:space="preserve">shipper </w:t>
      </w:r>
      <w:r w:rsidR="00A11F12">
        <w:t xml:space="preserve">prior to </w:t>
      </w:r>
      <w:r w:rsidRPr="007914EE">
        <w:t>undertak</w:t>
      </w:r>
      <w:r w:rsidR="00A11F12">
        <w:t>ing</w:t>
      </w:r>
      <w:r w:rsidRPr="007914EE">
        <w:t xml:space="preserve"> </w:t>
      </w:r>
      <w:r w:rsidR="00A11F12">
        <w:t>any required investigative</w:t>
      </w:r>
      <w:r w:rsidRPr="007914EE">
        <w:t xml:space="preserve"> activity</w:t>
      </w:r>
      <w:r w:rsidR="00392922">
        <w:t xml:space="preserve"> (similar to the scheme for covered pipelines)</w:t>
      </w:r>
      <w:r w:rsidRPr="007914EE">
        <w:t>.</w:t>
      </w:r>
      <w:r w:rsidR="00392922">
        <w:rPr>
          <w:rStyle w:val="FootnoteReference"/>
        </w:rPr>
        <w:footnoteReference w:id="22"/>
      </w:r>
      <w:r w:rsidRPr="007914EE">
        <w:t xml:space="preserve"> </w:t>
      </w:r>
      <w:r w:rsidR="001255A2">
        <w:t xml:space="preserve">Alternatively, it may be appropriate to </w:t>
      </w:r>
      <w:r w:rsidR="00D3547F">
        <w:t>allow a shipper to dispute</w:t>
      </w:r>
      <w:r w:rsidR="001255A2">
        <w:t xml:space="preserve"> the costs of an investigation</w:t>
      </w:r>
      <w:r w:rsidR="003E0BEE">
        <w:t xml:space="preserve"> within an arbitration</w:t>
      </w:r>
      <w:r w:rsidR="001255A2">
        <w:t>.</w:t>
      </w:r>
      <w:r w:rsidR="007107DA" w:rsidDel="007107DA">
        <w:t xml:space="preserve"> </w:t>
      </w:r>
    </w:p>
    <w:p w:rsidR="00AB59D7" w:rsidRPr="00026140" w:rsidRDefault="00E6144D" w:rsidP="00026140">
      <w:pPr>
        <w:pStyle w:val="Numbered1"/>
      </w:pPr>
      <w:bookmarkStart w:id="47" w:name="_Toc479781933"/>
      <w:r w:rsidRPr="00026140">
        <w:t>Arbitration M</w:t>
      </w:r>
      <w:r w:rsidR="00B043FD" w:rsidRPr="00026140">
        <w:t>echanism</w:t>
      </w:r>
      <w:bookmarkEnd w:id="47"/>
    </w:p>
    <w:p w:rsidR="00DC1CA5" w:rsidRDefault="00EA1923" w:rsidP="009B1EC8">
      <w:pPr>
        <w:spacing w:line="276" w:lineRule="auto"/>
      </w:pPr>
      <w:r>
        <w:t>Overall, t</w:t>
      </w:r>
      <w:r w:rsidRPr="000C5758">
        <w:t xml:space="preserve">he ACCC </w:t>
      </w:r>
      <w:r w:rsidRPr="00AF7E5F">
        <w:t xml:space="preserve">supports the GMRG’s </w:t>
      </w:r>
      <w:r w:rsidR="00AC421F">
        <w:t>proposal</w:t>
      </w:r>
      <w:r w:rsidRPr="00BA08F9">
        <w:t xml:space="preserve"> </w:t>
      </w:r>
      <w:r w:rsidRPr="00071CC6">
        <w:t xml:space="preserve">to adopt </w:t>
      </w:r>
      <w:r w:rsidRPr="000C5758">
        <w:t>conventional arbitration with enhanced procedural protections and partial transparency.</w:t>
      </w:r>
      <w:r>
        <w:t xml:space="preserve"> </w:t>
      </w:r>
      <w:r w:rsidR="00DC1CA5" w:rsidRPr="00BA08F9">
        <w:t xml:space="preserve">The </w:t>
      </w:r>
      <w:r w:rsidR="00DC1CA5">
        <w:t xml:space="preserve">ACCC considers the </w:t>
      </w:r>
      <w:r w:rsidR="00DC1CA5" w:rsidRPr="00BA08F9">
        <w:t xml:space="preserve">arbitration mechanism is </w:t>
      </w:r>
      <w:r w:rsidR="00DC1CA5">
        <w:t xml:space="preserve">likely to achieve its </w:t>
      </w:r>
      <w:r w:rsidR="00DC1CA5" w:rsidRPr="00BA08F9">
        <w:t xml:space="preserve">intended </w:t>
      </w:r>
      <w:r w:rsidR="00DC1CA5">
        <w:t xml:space="preserve">objective </w:t>
      </w:r>
      <w:r w:rsidR="00DC1CA5" w:rsidRPr="00BA08F9">
        <w:t xml:space="preserve">to provide the desired threat of intervention that will encourage pipeline operators to </w:t>
      </w:r>
      <w:r w:rsidR="00DC1CA5">
        <w:t>engage appropriately</w:t>
      </w:r>
      <w:r w:rsidR="00DC1CA5" w:rsidRPr="00BA08F9">
        <w:t xml:space="preserve"> during negotiations.</w:t>
      </w:r>
      <w:r w:rsidR="00DC1CA5" w:rsidRPr="000C5758">
        <w:t xml:space="preserve"> </w:t>
      </w:r>
      <w:r w:rsidR="00DC1CA5">
        <w:t xml:space="preserve">While arbitration should rarely be required where commercial processes are working effectively, the framework </w:t>
      </w:r>
      <w:r w:rsidR="00AC421F">
        <w:t>is also likely to</w:t>
      </w:r>
      <w:r w:rsidR="00DC1CA5">
        <w:t xml:space="preserve"> encourage parties to seek arbitration in the event negotiations fail.</w:t>
      </w:r>
    </w:p>
    <w:p w:rsidR="001532CF" w:rsidRDefault="00DF2205" w:rsidP="009B1EC8">
      <w:pPr>
        <w:spacing w:line="276" w:lineRule="auto"/>
      </w:pPr>
      <w:r>
        <w:t xml:space="preserve">The ACCC </w:t>
      </w:r>
      <w:r w:rsidR="00EA1923" w:rsidRPr="009B1EC8">
        <w:t>has</w:t>
      </w:r>
      <w:r w:rsidR="00DC1CA5">
        <w:t xml:space="preserve">, however, </w:t>
      </w:r>
      <w:r>
        <w:t xml:space="preserve">identified </w:t>
      </w:r>
      <w:r w:rsidR="00EA1923" w:rsidRPr="009B1EC8">
        <w:t xml:space="preserve">a number of </w:t>
      </w:r>
      <w:r>
        <w:t>additional measures or changes</w:t>
      </w:r>
      <w:r w:rsidRPr="009B1EC8">
        <w:t xml:space="preserve"> </w:t>
      </w:r>
      <w:r w:rsidR="00EA1923" w:rsidRPr="009B1EC8">
        <w:t>the GMRG may wish to consider to</w:t>
      </w:r>
      <w:r w:rsidR="00F809A4" w:rsidRPr="009B1EC8">
        <w:t xml:space="preserve"> strengthen </w:t>
      </w:r>
      <w:r>
        <w:t xml:space="preserve">the effectiveness of the arbitration mechanism </w:t>
      </w:r>
      <w:r w:rsidR="00857F3F">
        <w:t>and minimise the scope for processes to be gamed</w:t>
      </w:r>
      <w:r w:rsidR="00F809A4" w:rsidRPr="009B1EC8">
        <w:t>.</w:t>
      </w:r>
    </w:p>
    <w:p w:rsidR="00DC1CA5" w:rsidRPr="00026140" w:rsidRDefault="00DC1CA5" w:rsidP="00026140">
      <w:pPr>
        <w:pStyle w:val="Numbered11"/>
      </w:pPr>
      <w:bookmarkStart w:id="48" w:name="_Toc478724518"/>
      <w:bookmarkStart w:id="49" w:name="_Toc479781934"/>
      <w:bookmarkEnd w:id="48"/>
      <w:r w:rsidRPr="00026140">
        <w:t>Arbitration options</w:t>
      </w:r>
      <w:bookmarkEnd w:id="49"/>
    </w:p>
    <w:p w:rsidR="00DC1CA5" w:rsidRDefault="00DC1CA5" w:rsidP="00DC1CA5">
      <w:pPr>
        <w:spacing w:line="276" w:lineRule="auto"/>
      </w:pPr>
      <w:r>
        <w:t>The ACCC considers</w:t>
      </w:r>
      <w:r w:rsidRPr="00C30816">
        <w:t xml:space="preserve"> </w:t>
      </w:r>
      <w:r>
        <w:t>predictability and transparency are essential features of all regulatory frameworks</w:t>
      </w:r>
      <w:r w:rsidR="0072560D">
        <w:t xml:space="preserve"> and</w:t>
      </w:r>
      <w:r>
        <w:t xml:space="preserve"> can </w:t>
      </w:r>
      <w:r w:rsidR="0072560D">
        <w:t xml:space="preserve">also </w:t>
      </w:r>
      <w:r>
        <w:t xml:space="preserve">help reduce the frequency of </w:t>
      </w:r>
      <w:r w:rsidR="0072560D">
        <w:t xml:space="preserve">commercial </w:t>
      </w:r>
      <w:r>
        <w:t>arbitration</w:t>
      </w:r>
      <w:r w:rsidR="0072560D">
        <w:t xml:space="preserve"> in the current context</w:t>
      </w:r>
      <w:r>
        <w:t xml:space="preserve">. </w:t>
      </w:r>
      <w:r w:rsidR="0072560D">
        <w:t>A degree of predictability around likely</w:t>
      </w:r>
      <w:r w:rsidRPr="00C30816">
        <w:t xml:space="preserve"> arbitral outcome</w:t>
      </w:r>
      <w:r w:rsidR="0072560D">
        <w:t>s</w:t>
      </w:r>
      <w:r w:rsidRPr="00C30816">
        <w:t xml:space="preserve"> </w:t>
      </w:r>
      <w:r w:rsidR="00BB4A89">
        <w:t>will</w:t>
      </w:r>
      <w:r w:rsidR="005F0CA4">
        <w:t xml:space="preserve"> be </w:t>
      </w:r>
      <w:r>
        <w:t>a key</w:t>
      </w:r>
      <w:r w:rsidRPr="00C30816">
        <w:t xml:space="preserve"> </w:t>
      </w:r>
      <w:r>
        <w:t xml:space="preserve">contributor to </w:t>
      </w:r>
      <w:r w:rsidRPr="00C30816">
        <w:t>the su</w:t>
      </w:r>
      <w:r>
        <w:t xml:space="preserve">ccess of </w:t>
      </w:r>
      <w:r w:rsidR="00BB4A89">
        <w:t xml:space="preserve">the Framework and parties reaching </w:t>
      </w:r>
      <w:r>
        <w:t xml:space="preserve">commercial </w:t>
      </w:r>
      <w:r w:rsidR="00BB4A89">
        <w:t>agreement</w:t>
      </w:r>
      <w:r>
        <w:t>.</w:t>
      </w:r>
      <w:r w:rsidRPr="00C30816">
        <w:t xml:space="preserve"> </w:t>
      </w:r>
    </w:p>
    <w:p w:rsidR="00DC1CA5" w:rsidRPr="00EA2596" w:rsidRDefault="00DC1CA5" w:rsidP="00DC1CA5">
      <w:pPr>
        <w:spacing w:line="276" w:lineRule="auto"/>
      </w:pPr>
      <w:r>
        <w:t xml:space="preserve">The </w:t>
      </w:r>
      <w:r w:rsidRPr="00EA2596">
        <w:t xml:space="preserve">ACCC </w:t>
      </w:r>
      <w:r w:rsidR="006A001E" w:rsidRPr="00EA2596">
        <w:t xml:space="preserve">strongly </w:t>
      </w:r>
      <w:r w:rsidRPr="00EA2596">
        <w:t xml:space="preserve">supports the conventional arbitration model favoured by </w:t>
      </w:r>
      <w:r w:rsidR="00AA0FD2" w:rsidRPr="00EA2596">
        <w:t xml:space="preserve">the </w:t>
      </w:r>
      <w:r w:rsidRPr="00EA2596">
        <w:t xml:space="preserve">GMRG as it provides for a timely arbitral outcome that </w:t>
      </w:r>
      <w:r w:rsidR="00AA0FD2" w:rsidRPr="00EA2596">
        <w:t>addresses</w:t>
      </w:r>
      <w:r w:rsidRPr="00EA2596">
        <w:t xml:space="preserve"> the underlying market power </w:t>
      </w:r>
      <w:r w:rsidR="00575B09" w:rsidRPr="00EA2596">
        <w:t xml:space="preserve">and efficiency </w:t>
      </w:r>
      <w:r w:rsidRPr="00EA2596">
        <w:t xml:space="preserve">issues, by requiring the arbitrator to take into account the actual costs in providing the pipeline service. The benefit of commercial arbitration is that the arbitrator has flexibility within the arbitration to set prices that can also take into account </w:t>
      </w:r>
      <w:r w:rsidR="00575B09" w:rsidRPr="00EA2596">
        <w:t xml:space="preserve">broad commercial and investment considerations as well as </w:t>
      </w:r>
      <w:r w:rsidRPr="00EA2596">
        <w:t xml:space="preserve">the commercial benefits of reaching a timely agreement. </w:t>
      </w:r>
    </w:p>
    <w:p w:rsidR="00DC1CA5" w:rsidRDefault="00DC1CA5" w:rsidP="00DC1CA5">
      <w:pPr>
        <w:spacing w:line="276" w:lineRule="auto"/>
      </w:pPr>
      <w:r w:rsidRPr="00EA2596">
        <w:t xml:space="preserve">The ACCC supports an arbitration option that </w:t>
      </w:r>
      <w:r w:rsidR="00AA0FD2" w:rsidRPr="00EA2596">
        <w:t xml:space="preserve">provides </w:t>
      </w:r>
      <w:r w:rsidRPr="00EA2596">
        <w:t>incentiv</w:t>
      </w:r>
      <w:r w:rsidR="00AA0FD2" w:rsidRPr="00EA2596">
        <w:t>e for</w:t>
      </w:r>
      <w:r w:rsidRPr="00EA2596">
        <w:t xml:space="preserve"> pipeline operators to settle</w:t>
      </w:r>
      <w:r w:rsidR="00AA0FD2" w:rsidRPr="00EA2596">
        <w:t>,</w:t>
      </w:r>
      <w:r w:rsidRPr="00EA2596">
        <w:t xml:space="preserve"> and this is likely </w:t>
      </w:r>
      <w:r w:rsidR="00AA0FD2" w:rsidRPr="00EA2596">
        <w:t xml:space="preserve">to be </w:t>
      </w:r>
      <w:r w:rsidRPr="00EA2596">
        <w:t xml:space="preserve">done through an expectation of more cost oriented prices along with </w:t>
      </w:r>
      <w:r w:rsidR="00AA0FD2" w:rsidRPr="00EA2596">
        <w:t xml:space="preserve">the </w:t>
      </w:r>
      <w:r w:rsidRPr="00EA2596">
        <w:t>risk of public notification of a dispute and the risk of backdating arbitral determinations</w:t>
      </w:r>
      <w:r w:rsidR="00CF0842" w:rsidRPr="00EA2596">
        <w:t xml:space="preserve">, which would </w:t>
      </w:r>
      <w:r w:rsidR="00C57F10" w:rsidRPr="00EA2596">
        <w:t>alleviate the risk of gaming</w:t>
      </w:r>
      <w:r w:rsidRPr="00EA2596">
        <w:t>. Certainty of supply availability and information as to costs prior to arbitration</w:t>
      </w:r>
      <w:r>
        <w:t xml:space="preserve"> should empower shippers in their negotiations with pipeline operators who may otherwise be in a position to take advantage of their market and bargaining power</w:t>
      </w:r>
      <w:r w:rsidRPr="00F53F91">
        <w:t>.</w:t>
      </w:r>
    </w:p>
    <w:p w:rsidR="00DC1CA5" w:rsidRDefault="00DC1CA5" w:rsidP="00DC1CA5">
      <w:pPr>
        <w:spacing w:line="276" w:lineRule="auto"/>
      </w:pPr>
      <w:r>
        <w:t xml:space="preserve">The ACCC considers the conventional arbitration model with cost-based pricing principles appropriately balances: </w:t>
      </w:r>
    </w:p>
    <w:p w:rsidR="00DC1CA5" w:rsidRDefault="00DC1CA5" w:rsidP="00DC1CA5">
      <w:pPr>
        <w:pStyle w:val="ListParagraph"/>
        <w:numPr>
          <w:ilvl w:val="0"/>
          <w:numId w:val="32"/>
        </w:numPr>
        <w:spacing w:line="276" w:lineRule="auto"/>
      </w:pPr>
      <w:r>
        <w:t xml:space="preserve">the objective of a mechanism that provides for a commercially-focused framework </w:t>
      </w:r>
    </w:p>
    <w:p w:rsidR="00DC1CA5" w:rsidRDefault="00DC1CA5" w:rsidP="00DC1CA5">
      <w:pPr>
        <w:pStyle w:val="ListParagraph"/>
        <w:numPr>
          <w:ilvl w:val="0"/>
          <w:numId w:val="32"/>
        </w:numPr>
        <w:spacing w:line="276" w:lineRule="auto"/>
      </w:pPr>
      <w:r>
        <w:lastRenderedPageBreak/>
        <w:t>avoids undermining the incentive for investment and innovation</w:t>
      </w:r>
      <w:r w:rsidR="00343F84">
        <w:t>, and</w:t>
      </w:r>
      <w:r>
        <w:t xml:space="preserve"> </w:t>
      </w:r>
    </w:p>
    <w:p w:rsidR="00DC1CA5" w:rsidRPr="00F53F91" w:rsidRDefault="00DC1CA5" w:rsidP="00DC1CA5">
      <w:pPr>
        <w:pStyle w:val="ListParagraph"/>
        <w:numPr>
          <w:ilvl w:val="0"/>
          <w:numId w:val="32"/>
        </w:numPr>
        <w:spacing w:line="276" w:lineRule="auto"/>
      </w:pPr>
      <w:proofErr w:type="gramStart"/>
      <w:r>
        <w:t>provides</w:t>
      </w:r>
      <w:proofErr w:type="gramEnd"/>
      <w:r>
        <w:t xml:space="preserve"> adequate protections to small shippers to access </w:t>
      </w:r>
      <w:r w:rsidR="00343F84">
        <w:t xml:space="preserve">the </w:t>
      </w:r>
      <w:r>
        <w:t>arbitration mechanism in the event commercial negotiations fail.</w:t>
      </w:r>
    </w:p>
    <w:p w:rsidR="001D18C9" w:rsidRPr="00026140" w:rsidRDefault="008B115D" w:rsidP="00026140">
      <w:pPr>
        <w:pStyle w:val="Numbered11"/>
      </w:pPr>
      <w:bookmarkStart w:id="50" w:name="_Toc479781935"/>
      <w:r w:rsidRPr="00026140">
        <w:t>Access to arbitration</w:t>
      </w:r>
      <w:bookmarkEnd w:id="50"/>
      <w:r w:rsidRPr="00026140">
        <w:t xml:space="preserve"> </w:t>
      </w:r>
    </w:p>
    <w:p w:rsidR="00566806" w:rsidRDefault="00AB4C26" w:rsidP="00960722">
      <w:pPr>
        <w:spacing w:line="276" w:lineRule="auto"/>
        <w:rPr>
          <w:lang w:val="en-US"/>
        </w:rPr>
      </w:pPr>
      <w:bookmarkStart w:id="51" w:name="_Toc478724521"/>
      <w:r w:rsidRPr="009B1EC8">
        <w:rPr>
          <w:rFonts w:asciiTheme="minorHAnsi" w:hAnsiTheme="minorHAnsi" w:cstheme="minorHAnsi"/>
        </w:rPr>
        <w:t>The ACCC su</w:t>
      </w:r>
      <w:r w:rsidR="008B115D">
        <w:rPr>
          <w:rFonts w:asciiTheme="minorHAnsi" w:hAnsiTheme="minorHAnsi" w:cstheme="minorHAnsi"/>
        </w:rPr>
        <w:t>ggests</w:t>
      </w:r>
      <w:r w:rsidRPr="009B1EC8">
        <w:rPr>
          <w:rFonts w:asciiTheme="minorHAnsi" w:hAnsiTheme="minorHAnsi" w:cstheme="minorHAnsi"/>
        </w:rPr>
        <w:t xml:space="preserve"> broadening the proposed scope of the arbitration mechanism to include services that require the use of existing capacity or further augmentation of the pipeline (including extensions). Expanding the circumstances in which a shipper can utilise arbitration for an access dispute would address </w:t>
      </w:r>
      <w:r w:rsidR="00566806">
        <w:rPr>
          <w:rFonts w:asciiTheme="minorHAnsi" w:hAnsiTheme="minorHAnsi" w:cstheme="minorHAnsi"/>
        </w:rPr>
        <w:t>concerns raised in the Inquiry about</w:t>
      </w:r>
      <w:r w:rsidR="00566806">
        <w:rPr>
          <w:lang w:val="en-US"/>
        </w:rPr>
        <w:t xml:space="preserve"> ‘the market power wielded by some pipeline operators, the ways in which this market power is being exercised, and the detrimental effect it is having on economic efficiency and consumers more generally’</w:t>
      </w:r>
      <w:r w:rsidR="00566806">
        <w:rPr>
          <w:rStyle w:val="FootnoteReference"/>
          <w:lang w:val="en-US"/>
        </w:rPr>
        <w:footnoteReference w:id="23"/>
      </w:r>
      <w:r w:rsidR="00566806">
        <w:rPr>
          <w:lang w:val="en-US"/>
        </w:rPr>
        <w:t xml:space="preserve">. </w:t>
      </w:r>
    </w:p>
    <w:p w:rsidR="001532CF" w:rsidRPr="001532CF" w:rsidRDefault="00566806" w:rsidP="00DF79FA">
      <w:pPr>
        <w:pStyle w:val="Numbered1"/>
        <w:numPr>
          <w:ilvl w:val="0"/>
          <w:numId w:val="0"/>
        </w:numPr>
        <w:spacing w:line="276" w:lineRule="auto"/>
      </w:pPr>
      <w:bookmarkStart w:id="52" w:name="_Toc479230929"/>
      <w:bookmarkStart w:id="53" w:name="_Toc479781936"/>
      <w:r>
        <w:rPr>
          <w:rFonts w:asciiTheme="minorHAnsi" w:hAnsiTheme="minorHAnsi" w:cstheme="minorHAnsi"/>
          <w:color w:val="auto"/>
          <w:sz w:val="22"/>
          <w:szCs w:val="22"/>
        </w:rPr>
        <w:t>These concerns are exacerbated by</w:t>
      </w:r>
      <w:r w:rsidRPr="009B1EC8" w:rsidDel="00566806">
        <w:rPr>
          <w:rFonts w:asciiTheme="minorHAnsi" w:hAnsiTheme="minorHAnsi" w:cstheme="minorHAnsi"/>
          <w:color w:val="auto"/>
          <w:sz w:val="22"/>
          <w:szCs w:val="22"/>
        </w:rPr>
        <w:t xml:space="preserve"> </w:t>
      </w:r>
      <w:r w:rsidR="00AB4C26" w:rsidRPr="009B1EC8">
        <w:rPr>
          <w:rFonts w:asciiTheme="minorHAnsi" w:hAnsiTheme="minorHAnsi" w:cstheme="minorHAnsi"/>
          <w:color w:val="auto"/>
          <w:sz w:val="22"/>
          <w:szCs w:val="22"/>
        </w:rPr>
        <w:t xml:space="preserve">the limited </w:t>
      </w:r>
      <w:r w:rsidR="007A138F">
        <w:rPr>
          <w:rFonts w:asciiTheme="minorHAnsi" w:hAnsiTheme="minorHAnsi" w:cstheme="minorHAnsi"/>
          <w:color w:val="auto"/>
          <w:sz w:val="22"/>
          <w:szCs w:val="22"/>
        </w:rPr>
        <w:t xml:space="preserve">competitive </w:t>
      </w:r>
      <w:r w:rsidR="00AB4C26" w:rsidRPr="009B1EC8">
        <w:rPr>
          <w:rFonts w:asciiTheme="minorHAnsi" w:hAnsiTheme="minorHAnsi" w:cstheme="minorHAnsi"/>
          <w:color w:val="auto"/>
          <w:sz w:val="22"/>
          <w:szCs w:val="22"/>
        </w:rPr>
        <w:t>constraint</w:t>
      </w:r>
      <w:r w:rsidR="007A138F">
        <w:rPr>
          <w:rFonts w:asciiTheme="minorHAnsi" w:hAnsiTheme="minorHAnsi" w:cstheme="minorHAnsi"/>
          <w:color w:val="auto"/>
          <w:sz w:val="22"/>
          <w:szCs w:val="22"/>
        </w:rPr>
        <w:t>s</w:t>
      </w:r>
      <w:r w:rsidR="00AB4C26" w:rsidRPr="009B1EC8">
        <w:rPr>
          <w:rFonts w:asciiTheme="minorHAnsi" w:hAnsiTheme="minorHAnsi" w:cstheme="minorHAnsi"/>
          <w:color w:val="auto"/>
          <w:sz w:val="22"/>
          <w:szCs w:val="22"/>
        </w:rPr>
        <w:t xml:space="preserve"> on pipeline operators </w:t>
      </w:r>
      <w:r>
        <w:rPr>
          <w:rFonts w:asciiTheme="minorHAnsi" w:hAnsiTheme="minorHAnsi" w:cstheme="minorHAnsi"/>
          <w:color w:val="auto"/>
          <w:sz w:val="22"/>
          <w:szCs w:val="22"/>
        </w:rPr>
        <w:t xml:space="preserve">which </w:t>
      </w:r>
      <w:r w:rsidR="00AB4C26" w:rsidRPr="009B1EC8">
        <w:rPr>
          <w:rFonts w:asciiTheme="minorHAnsi" w:hAnsiTheme="minorHAnsi" w:cstheme="minorHAnsi"/>
          <w:color w:val="auto"/>
          <w:sz w:val="22"/>
          <w:szCs w:val="22"/>
        </w:rPr>
        <w:t xml:space="preserve">allow </w:t>
      </w:r>
      <w:r w:rsidR="007A138F">
        <w:rPr>
          <w:rFonts w:asciiTheme="minorHAnsi" w:hAnsiTheme="minorHAnsi" w:cstheme="minorHAnsi"/>
          <w:color w:val="auto"/>
          <w:sz w:val="22"/>
          <w:szCs w:val="22"/>
        </w:rPr>
        <w:t>operators</w:t>
      </w:r>
      <w:r w:rsidR="007A138F" w:rsidRPr="009B1EC8">
        <w:rPr>
          <w:rFonts w:asciiTheme="minorHAnsi" w:hAnsiTheme="minorHAnsi" w:cstheme="minorHAnsi"/>
          <w:color w:val="auto"/>
          <w:sz w:val="22"/>
          <w:szCs w:val="22"/>
        </w:rPr>
        <w:t xml:space="preserve"> </w:t>
      </w:r>
      <w:r w:rsidR="00AB4C26" w:rsidRPr="009B1EC8">
        <w:rPr>
          <w:rFonts w:asciiTheme="minorHAnsi" w:hAnsiTheme="minorHAnsi" w:cstheme="minorHAnsi"/>
          <w:color w:val="auto"/>
          <w:sz w:val="22"/>
          <w:szCs w:val="22"/>
        </w:rPr>
        <w:t xml:space="preserve">to exercise market power in the supply of services not covered by foundation contracts (or </w:t>
      </w:r>
      <w:r w:rsidR="007A138F">
        <w:rPr>
          <w:rFonts w:asciiTheme="minorHAnsi" w:hAnsiTheme="minorHAnsi" w:cstheme="minorHAnsi"/>
          <w:color w:val="auto"/>
          <w:sz w:val="22"/>
          <w:szCs w:val="22"/>
        </w:rPr>
        <w:t xml:space="preserve">by </w:t>
      </w:r>
      <w:r w:rsidR="00AB4C26" w:rsidRPr="009B1EC8">
        <w:rPr>
          <w:rFonts w:asciiTheme="minorHAnsi" w:hAnsiTheme="minorHAnsi" w:cstheme="minorHAnsi"/>
          <w:color w:val="auto"/>
          <w:sz w:val="22"/>
          <w:szCs w:val="22"/>
        </w:rPr>
        <w:t xml:space="preserve">covered pipeline </w:t>
      </w:r>
      <w:r w:rsidRPr="009B1EC8">
        <w:rPr>
          <w:rFonts w:asciiTheme="minorHAnsi" w:hAnsiTheme="minorHAnsi" w:cstheme="minorHAnsi"/>
          <w:color w:val="auto"/>
          <w:sz w:val="22"/>
          <w:szCs w:val="22"/>
        </w:rPr>
        <w:t>regulation</w:t>
      </w:r>
      <w:r>
        <w:rPr>
          <w:rFonts w:asciiTheme="minorHAnsi" w:hAnsiTheme="minorHAnsi" w:cstheme="minorHAnsi"/>
          <w:color w:val="auto"/>
          <w:sz w:val="22"/>
          <w:szCs w:val="22"/>
        </w:rPr>
        <w:t>,</w:t>
      </w:r>
      <w:r w:rsidRPr="009B1EC8">
        <w:rPr>
          <w:rFonts w:asciiTheme="minorHAnsi" w:hAnsiTheme="minorHAnsi" w:cstheme="minorHAnsi"/>
          <w:color w:val="auto"/>
          <w:sz w:val="22"/>
          <w:szCs w:val="22"/>
        </w:rPr>
        <w:t xml:space="preserve"> which</w:t>
      </w:r>
      <w:r w:rsidR="00AB4C26" w:rsidRPr="009B1EC8">
        <w:rPr>
          <w:rFonts w:asciiTheme="minorHAnsi" w:hAnsiTheme="minorHAnsi" w:cstheme="minorHAnsi"/>
          <w:color w:val="auto"/>
          <w:sz w:val="22"/>
          <w:szCs w:val="22"/>
        </w:rPr>
        <w:t xml:space="preserve"> relates only to the base services</w:t>
      </w:r>
      <w:r w:rsidR="007A138F">
        <w:rPr>
          <w:rFonts w:asciiTheme="minorHAnsi" w:hAnsiTheme="minorHAnsi" w:cstheme="minorHAnsi"/>
          <w:color w:val="auto"/>
          <w:sz w:val="22"/>
          <w:szCs w:val="22"/>
        </w:rPr>
        <w:t xml:space="preserve"> and not</w:t>
      </w:r>
      <w:r w:rsidR="00575B09">
        <w:rPr>
          <w:rFonts w:asciiTheme="minorHAnsi" w:hAnsiTheme="minorHAnsi" w:cstheme="minorHAnsi"/>
          <w:color w:val="auto"/>
          <w:sz w:val="22"/>
          <w:szCs w:val="22"/>
        </w:rPr>
        <w:t>,</w:t>
      </w:r>
      <w:r w:rsidR="007A138F">
        <w:rPr>
          <w:rFonts w:asciiTheme="minorHAnsi" w:hAnsiTheme="minorHAnsi" w:cstheme="minorHAnsi"/>
          <w:color w:val="auto"/>
          <w:sz w:val="22"/>
          <w:szCs w:val="22"/>
        </w:rPr>
        <w:t xml:space="preserve"> other</w:t>
      </w:r>
      <w:r w:rsidR="00575B09">
        <w:rPr>
          <w:rFonts w:asciiTheme="minorHAnsi" w:hAnsiTheme="minorHAnsi" w:cstheme="minorHAnsi"/>
          <w:color w:val="auto"/>
          <w:sz w:val="22"/>
          <w:szCs w:val="22"/>
        </w:rPr>
        <w:t>,</w:t>
      </w:r>
      <w:r w:rsidR="007A138F">
        <w:rPr>
          <w:rFonts w:asciiTheme="minorHAnsi" w:hAnsiTheme="minorHAnsi" w:cstheme="minorHAnsi"/>
          <w:color w:val="auto"/>
          <w:sz w:val="22"/>
          <w:szCs w:val="22"/>
        </w:rPr>
        <w:t xml:space="preserve"> </w:t>
      </w:r>
      <w:r w:rsidR="004F3AF0">
        <w:rPr>
          <w:rFonts w:asciiTheme="minorHAnsi" w:hAnsiTheme="minorHAnsi" w:cstheme="minorHAnsi"/>
          <w:color w:val="auto"/>
          <w:sz w:val="22"/>
          <w:szCs w:val="22"/>
        </w:rPr>
        <w:t>non-reference services</w:t>
      </w:r>
      <w:r w:rsidR="00AB4C26" w:rsidRPr="009B1EC8">
        <w:rPr>
          <w:rFonts w:asciiTheme="minorHAnsi" w:hAnsiTheme="minorHAnsi" w:cstheme="minorHAnsi"/>
          <w:color w:val="auto"/>
          <w:sz w:val="22"/>
          <w:szCs w:val="22"/>
        </w:rPr>
        <w:t>).</w:t>
      </w:r>
      <w:bookmarkEnd w:id="51"/>
      <w:bookmarkEnd w:id="52"/>
      <w:bookmarkEnd w:id="53"/>
      <w:r w:rsidR="00AB4C26" w:rsidRPr="009B1EC8">
        <w:rPr>
          <w:rFonts w:asciiTheme="minorHAnsi" w:hAnsiTheme="minorHAnsi" w:cstheme="minorHAnsi"/>
          <w:color w:val="auto"/>
          <w:sz w:val="22"/>
          <w:szCs w:val="22"/>
        </w:rPr>
        <w:t xml:space="preserve"> </w:t>
      </w:r>
    </w:p>
    <w:p w:rsidR="001D18C9" w:rsidRPr="00026140" w:rsidRDefault="001D18C9" w:rsidP="00026140">
      <w:pPr>
        <w:pStyle w:val="Numbered11"/>
      </w:pPr>
      <w:bookmarkStart w:id="54" w:name="_Toc478724522"/>
      <w:bookmarkStart w:id="55" w:name="_Toc478724523"/>
      <w:bookmarkStart w:id="56" w:name="_Toc479781937"/>
      <w:bookmarkEnd w:id="54"/>
      <w:bookmarkEnd w:id="55"/>
      <w:r w:rsidRPr="00026140">
        <w:t>Exemptions</w:t>
      </w:r>
      <w:bookmarkEnd w:id="56"/>
    </w:p>
    <w:p w:rsidR="00482DEB" w:rsidRDefault="00482DEB" w:rsidP="00EE58F1">
      <w:pPr>
        <w:spacing w:line="276" w:lineRule="auto"/>
      </w:pPr>
      <w:r>
        <w:t xml:space="preserve">As mentioned </w:t>
      </w:r>
      <w:r w:rsidR="00E24735">
        <w:t xml:space="preserve">in </w:t>
      </w:r>
      <w:r w:rsidR="00E24735" w:rsidRPr="00F81E01">
        <w:t xml:space="preserve">section </w:t>
      </w:r>
      <w:r w:rsidR="00F81E01" w:rsidRPr="00F81E01">
        <w:t>4</w:t>
      </w:r>
      <w:r w:rsidR="00E24735" w:rsidRPr="00F81E01">
        <w:t>.3 above</w:t>
      </w:r>
      <w:r w:rsidRPr="00F81E01">
        <w:t xml:space="preserve">, the </w:t>
      </w:r>
      <w:r w:rsidR="00575B09" w:rsidRPr="00F81E01">
        <w:t xml:space="preserve">ACCC </w:t>
      </w:r>
      <w:r w:rsidR="004F3AF0" w:rsidRPr="00F81E01">
        <w:t>recommends caution</w:t>
      </w:r>
      <w:r w:rsidRPr="00F81E01">
        <w:t xml:space="preserve"> in considering whether to provide exemptions to pipeline operators</w:t>
      </w:r>
      <w:r>
        <w:t xml:space="preserve">, given the current lack of constraint on pipeline operators exercising market power. </w:t>
      </w:r>
    </w:p>
    <w:p w:rsidR="00304629" w:rsidRDefault="009B25EA" w:rsidP="00304629">
      <w:pPr>
        <w:spacing w:line="276" w:lineRule="auto"/>
      </w:pPr>
      <w:r w:rsidRPr="00EA2596">
        <w:t xml:space="preserve">In particular, </w:t>
      </w:r>
      <w:r w:rsidR="00416080" w:rsidRPr="00EA2596">
        <w:t xml:space="preserve">and as noted in section 3, </w:t>
      </w:r>
      <w:r w:rsidRPr="00EA2596">
        <w:t xml:space="preserve">the ACCC is concerned that </w:t>
      </w:r>
      <w:r w:rsidR="00304629" w:rsidRPr="00EA2596">
        <w:t>only applying the arbitration mechanism to non-scheme pipelines is likely create inconsistency of treatment of covered pipeline</w:t>
      </w:r>
      <w:r w:rsidR="00710CB7" w:rsidRPr="00EA2596">
        <w:t>s</w:t>
      </w:r>
      <w:r w:rsidR="00304629" w:rsidRPr="00EA2596">
        <w:t xml:space="preserve"> subject to light regulation and non-scheme pipelines that will be governed by the </w:t>
      </w:r>
      <w:r w:rsidR="00416080" w:rsidRPr="00EA2596">
        <w:t xml:space="preserve">proposed </w:t>
      </w:r>
      <w:r w:rsidR="00304629" w:rsidRPr="00EA2596">
        <w:t xml:space="preserve">framework. </w:t>
      </w:r>
      <w:r w:rsidR="00416080" w:rsidRPr="00EA2596">
        <w:t xml:space="preserve"> Therefore, t</w:t>
      </w:r>
      <w:r w:rsidR="00304629" w:rsidRPr="00EA2596">
        <w:t xml:space="preserve">he ACCC </w:t>
      </w:r>
      <w:r w:rsidR="00416080" w:rsidRPr="00EA2596">
        <w:t xml:space="preserve">recommends </w:t>
      </w:r>
      <w:r w:rsidR="00D24ADA" w:rsidRPr="00EA2596">
        <w:t xml:space="preserve">the </w:t>
      </w:r>
      <w:r w:rsidR="00416080" w:rsidRPr="00EA2596">
        <w:t xml:space="preserve">GMRG immediately commence work to identify </w:t>
      </w:r>
      <w:r w:rsidR="00304629" w:rsidRPr="00EA2596">
        <w:t xml:space="preserve">measures to address the issues </w:t>
      </w:r>
      <w:r w:rsidR="00416080" w:rsidRPr="00EA2596">
        <w:t>around the effectiveness of the threat of regulation under the current NGL and NGR to constrain market behaviour and prevent ‘forum shopping’.</w:t>
      </w:r>
    </w:p>
    <w:p w:rsidR="00482DEB" w:rsidRDefault="00482DEB" w:rsidP="00EE58F1">
      <w:pPr>
        <w:spacing w:line="276" w:lineRule="auto"/>
      </w:pPr>
      <w:r>
        <w:t xml:space="preserve">The ACCC notes that the </w:t>
      </w:r>
      <w:r w:rsidRPr="00E51F0B">
        <w:t xml:space="preserve">Examination concluded that the most effective way to address the negotiating imbalance that shippers can face is to institute a credible threat of </w:t>
      </w:r>
      <w:r w:rsidRPr="00D3164E">
        <w:t>intervention</w:t>
      </w:r>
      <w:r w:rsidRPr="00E51F0B">
        <w:t xml:space="preserve"> in the event commercial negotiations fail. When coupled with </w:t>
      </w:r>
      <w:r>
        <w:t xml:space="preserve">an </w:t>
      </w:r>
      <w:r w:rsidRPr="00E51F0B">
        <w:t>information disclosure</w:t>
      </w:r>
      <w:r>
        <w:t xml:space="preserve"> framework</w:t>
      </w:r>
      <w:r w:rsidRPr="00E51F0B">
        <w:t>, the threat of intervention should incentivise parties to reach agreement through commercial negotiations and therefore</w:t>
      </w:r>
      <w:r>
        <w:t xml:space="preserve"> arbitration would</w:t>
      </w:r>
      <w:r w:rsidRPr="00E51F0B">
        <w:t xml:space="preserve"> </w:t>
      </w:r>
      <w:r>
        <w:t>likely be triggered in limited circumstances.</w:t>
      </w:r>
    </w:p>
    <w:p w:rsidR="00482DEB" w:rsidRDefault="00482DEB" w:rsidP="009B25EA">
      <w:pPr>
        <w:spacing w:line="276" w:lineRule="auto"/>
      </w:pPr>
      <w:r>
        <w:t xml:space="preserve">Regardless of which arbitration mechanism is implemented, </w:t>
      </w:r>
      <w:r w:rsidR="009B25EA">
        <w:t>and</w:t>
      </w:r>
      <w:r w:rsidR="00500765">
        <w:t xml:space="preserve"> c</w:t>
      </w:r>
      <w:r w:rsidRPr="00C30816">
        <w:t xml:space="preserve">onsistent with the proposed information disclosure exemption framework, </w:t>
      </w:r>
      <w:r>
        <w:t xml:space="preserve">the ACCC supports </w:t>
      </w:r>
      <w:r w:rsidRPr="00C30816">
        <w:t>exemption of non-scheme pipelines that service a single shipper or do not provide third party access</w:t>
      </w:r>
      <w:r w:rsidR="00500765">
        <w:t xml:space="preserve"> where these</w:t>
      </w:r>
      <w:r w:rsidRPr="00C30816">
        <w:t xml:space="preserve"> pipelines do not have capacity for third parties</w:t>
      </w:r>
      <w:r w:rsidR="004F3AF0">
        <w:t xml:space="preserve"> and are not owne</w:t>
      </w:r>
      <w:r w:rsidR="00575B09">
        <w:t>d</w:t>
      </w:r>
      <w:r w:rsidR="004F3AF0">
        <w:t xml:space="preserve"> by operators reporting</w:t>
      </w:r>
      <w:r w:rsidR="00500765">
        <w:t>,</w:t>
      </w:r>
      <w:r w:rsidR="004F3AF0">
        <w:t xml:space="preserve"> or subject to</w:t>
      </w:r>
      <w:r w:rsidR="00500765">
        <w:t>,</w:t>
      </w:r>
      <w:r w:rsidR="004F3AF0">
        <w:t xml:space="preserve"> arbit</w:t>
      </w:r>
      <w:r w:rsidR="00500765">
        <w:t>ration under the proposed F</w:t>
      </w:r>
      <w:r w:rsidR="004F3AF0">
        <w:t>ramework</w:t>
      </w:r>
      <w:r w:rsidRPr="00C30816">
        <w:t>.</w:t>
      </w:r>
    </w:p>
    <w:p w:rsidR="00482DEB" w:rsidRPr="00C30816" w:rsidRDefault="00482DEB" w:rsidP="00EE58F1">
      <w:pPr>
        <w:spacing w:line="276" w:lineRule="auto"/>
      </w:pPr>
      <w:r>
        <w:t>In relation</w:t>
      </w:r>
      <w:r w:rsidRPr="00C30816">
        <w:t xml:space="preserve"> to Greenfields pipelines, </w:t>
      </w:r>
      <w:r>
        <w:t>the ACCC supports</w:t>
      </w:r>
      <w:r w:rsidRPr="00C30816">
        <w:t xml:space="preserve"> exemption</w:t>
      </w:r>
      <w:r>
        <w:t xml:space="preserve"> under the NGR for services and prices contracted </w:t>
      </w:r>
      <w:r w:rsidR="00575B09">
        <w:t xml:space="preserve">for </w:t>
      </w:r>
      <w:r>
        <w:t xml:space="preserve">under foundation contracts, given our </w:t>
      </w:r>
      <w:r w:rsidRPr="00A62244">
        <w:t>findings</w:t>
      </w:r>
      <w:r>
        <w:t xml:space="preserve"> in the Inquiry that prices </w:t>
      </w:r>
      <w:r w:rsidR="004F3AF0">
        <w:t xml:space="preserve">in foundation contracts </w:t>
      </w:r>
      <w:r>
        <w:t xml:space="preserve">appear to reflect the competition between pipeline </w:t>
      </w:r>
      <w:r>
        <w:lastRenderedPageBreak/>
        <w:t>operators to supply the pipeline. This would ensure</w:t>
      </w:r>
      <w:r w:rsidRPr="00C30816">
        <w:t xml:space="preserve"> </w:t>
      </w:r>
      <w:r>
        <w:t>the incentive for</w:t>
      </w:r>
      <w:r w:rsidR="004F3AF0">
        <w:t xml:space="preserve"> efficient</w:t>
      </w:r>
      <w:r>
        <w:t xml:space="preserve"> </w:t>
      </w:r>
      <w:r w:rsidRPr="00C30816">
        <w:t xml:space="preserve">investment in </w:t>
      </w:r>
      <w:r>
        <w:t>new Greenfields</w:t>
      </w:r>
      <w:r w:rsidRPr="00C30816">
        <w:t xml:space="preserve"> pipelines</w:t>
      </w:r>
      <w:r>
        <w:t xml:space="preserve"> is maintained.</w:t>
      </w:r>
      <w:r w:rsidR="007B5BC4">
        <w:t xml:space="preserve"> However, beyond original foundation contract price terms and conditions, the ACCC considers the commercial arbitration process should be available to shippers and pipeline operators.</w:t>
      </w:r>
    </w:p>
    <w:p w:rsidR="00FE2486" w:rsidRDefault="00566806" w:rsidP="00EE58F1">
      <w:pPr>
        <w:spacing w:line="276" w:lineRule="auto"/>
      </w:pPr>
      <w:r>
        <w:t xml:space="preserve">The ACCC considers that the AER is the appropriate body to monitor information disclosure compliance and oversee arbitration applications and referrals. </w:t>
      </w:r>
    </w:p>
    <w:p w:rsidR="00617374" w:rsidRPr="00026140" w:rsidRDefault="00617374" w:rsidP="00026140">
      <w:pPr>
        <w:pStyle w:val="Numbered11"/>
      </w:pPr>
      <w:bookmarkStart w:id="57" w:name="_Toc479781938"/>
      <w:r w:rsidRPr="00026140">
        <w:t>Information gathering powers</w:t>
      </w:r>
      <w:bookmarkEnd w:id="57"/>
    </w:p>
    <w:p w:rsidR="00617374" w:rsidRDefault="00C6391B" w:rsidP="00C6391B">
      <w:pPr>
        <w:spacing w:line="276" w:lineRule="auto"/>
      </w:pPr>
      <w:r>
        <w:t>The GMRG proposes</w:t>
      </w:r>
      <w:r w:rsidR="00812119">
        <w:t xml:space="preserve"> that </w:t>
      </w:r>
      <w:r w:rsidR="00617374">
        <w:t xml:space="preserve">to the extent the arbitrator believes it does not have sufficient information available to apply pricing principles the arbitrator </w:t>
      </w:r>
      <w:r w:rsidR="00812119">
        <w:t>will</w:t>
      </w:r>
      <w:r w:rsidR="00617374">
        <w:t xml:space="preserve"> have the power to obtain this information. </w:t>
      </w:r>
      <w:r w:rsidR="002C2E74">
        <w:t xml:space="preserve">While the ACCC does not oppose the arbitrator having the </w:t>
      </w:r>
      <w:r w:rsidR="00617374">
        <w:t xml:space="preserve">power to </w:t>
      </w:r>
      <w:r w:rsidR="002C2E74">
        <w:t xml:space="preserve">request </w:t>
      </w:r>
      <w:r w:rsidR="00617374">
        <w:t xml:space="preserve">more information to inform a decision, the ACCC </w:t>
      </w:r>
      <w:r w:rsidR="002C2E74">
        <w:t xml:space="preserve">considers that the </w:t>
      </w:r>
      <w:r w:rsidR="001813B6">
        <w:t xml:space="preserve">overall disclosure and arbitration </w:t>
      </w:r>
      <w:r w:rsidR="002C2E74">
        <w:t xml:space="preserve">framework will be more effective if parties to a dispute already have key information and are able to predict </w:t>
      </w:r>
      <w:r w:rsidR="004373D0">
        <w:t xml:space="preserve">with some accuracy </w:t>
      </w:r>
      <w:r w:rsidR="002C2E74">
        <w:t>the</w:t>
      </w:r>
      <w:r w:rsidR="004373D0">
        <w:t xml:space="preserve"> range of</w:t>
      </w:r>
      <w:r w:rsidR="002C2E74">
        <w:t xml:space="preserve"> likely arbitral outcome</w:t>
      </w:r>
      <w:r w:rsidR="004373D0">
        <w:t>s</w:t>
      </w:r>
      <w:r w:rsidR="002C2E74">
        <w:t xml:space="preserve">.  </w:t>
      </w:r>
      <w:r w:rsidR="004373D0">
        <w:t>P</w:t>
      </w:r>
      <w:r w:rsidR="002C2E74">
        <w:t xml:space="preserve">arties </w:t>
      </w:r>
      <w:r w:rsidR="004373D0">
        <w:t xml:space="preserve">may </w:t>
      </w:r>
      <w:r w:rsidR="002C2E74">
        <w:t xml:space="preserve">be more likely to reach agreement if their separate estimates of likely arbitral outcomes are </w:t>
      </w:r>
      <w:r>
        <w:t>similar</w:t>
      </w:r>
      <w:r w:rsidR="004373D0">
        <w:t xml:space="preserve"> and</w:t>
      </w:r>
      <w:r w:rsidR="002C2E74">
        <w:t xml:space="preserve"> </w:t>
      </w:r>
      <w:r w:rsidR="004373D0">
        <w:t>h</w:t>
      </w:r>
      <w:r w:rsidR="002C2E74">
        <w:t xml:space="preserve">aving the bulk of necessary information already publicly available to parties and the arbitrator </w:t>
      </w:r>
      <w:r w:rsidR="004373D0">
        <w:t>will facilitate this</w:t>
      </w:r>
      <w:r w:rsidR="00812119">
        <w:t>.</w:t>
      </w:r>
      <w:r w:rsidR="001813B6">
        <w:t xml:space="preserve"> </w:t>
      </w:r>
      <w:r w:rsidR="004373D0">
        <w:t>Accordingly</w:t>
      </w:r>
      <w:r w:rsidR="001813B6">
        <w:t xml:space="preserve">, the ACCC favours the majority of necessary information being available under the information disclosure arrangements. The ACCC notes that reducing the need for the arbitrator to obtain additional information </w:t>
      </w:r>
      <w:r w:rsidR="002C2E74">
        <w:t xml:space="preserve">also </w:t>
      </w:r>
      <w:r w:rsidR="001813B6">
        <w:t xml:space="preserve">has the advantage of </w:t>
      </w:r>
      <w:r w:rsidR="002C2E74">
        <w:t>reduc</w:t>
      </w:r>
      <w:r w:rsidR="001813B6">
        <w:t>ing</w:t>
      </w:r>
      <w:r w:rsidR="00617374">
        <w:t xml:space="preserve"> the scope </w:t>
      </w:r>
      <w:r w:rsidR="001813B6">
        <w:t>for</w:t>
      </w:r>
      <w:r w:rsidR="00617374">
        <w:t xml:space="preserve"> delay </w:t>
      </w:r>
      <w:r w:rsidR="001813B6">
        <w:t xml:space="preserve">of </w:t>
      </w:r>
      <w:r w:rsidR="002C2E74">
        <w:t>arbitral processes</w:t>
      </w:r>
      <w:r w:rsidR="00617374">
        <w:t xml:space="preserve"> while additional information</w:t>
      </w:r>
      <w:r w:rsidR="001813B6">
        <w:t xml:space="preserve"> is obtained, disseminated and assessed</w:t>
      </w:r>
      <w:r w:rsidR="00617374">
        <w:t>.</w:t>
      </w:r>
    </w:p>
    <w:p w:rsidR="00617374" w:rsidRPr="00026140" w:rsidRDefault="00617374" w:rsidP="00026140">
      <w:pPr>
        <w:pStyle w:val="Numbered11"/>
      </w:pPr>
      <w:bookmarkStart w:id="58" w:name="_Toc479781939"/>
      <w:r w:rsidRPr="00026140">
        <w:t>Arbitration guidelines</w:t>
      </w:r>
      <w:bookmarkEnd w:id="58"/>
    </w:p>
    <w:p w:rsidR="00617374" w:rsidRDefault="00617374" w:rsidP="00617374">
      <w:pPr>
        <w:spacing w:line="276" w:lineRule="auto"/>
      </w:pPr>
      <w:r>
        <w:t xml:space="preserve">The ACCC supports the GRMG’s approach in </w:t>
      </w:r>
      <w:r w:rsidR="001813B6">
        <w:t xml:space="preserve">having the AER </w:t>
      </w:r>
      <w:r>
        <w:t>develop a set of guidelines that provide the arbitrator with guidance on the requirements of the arbitration (including key procedural requirements, timeframes and the determination form), as well as a guide that provides disputing parties with guidance on the arbitration process.</w:t>
      </w:r>
      <w:r w:rsidR="00AE06B0">
        <w:t xml:space="preserve"> The ACCC notes that there may be some efficiency gains in the AER preparing a single set of guidelines that deal with both these sets of issues.</w:t>
      </w:r>
    </w:p>
    <w:p w:rsidR="00617374" w:rsidRDefault="00617374" w:rsidP="00617374">
      <w:pPr>
        <w:spacing w:line="276" w:lineRule="auto"/>
      </w:pPr>
      <w:r>
        <w:t xml:space="preserve">Noting that the intent of these guidelines is to inform both parties (the arbitrator and the disputing parties) of the arbitration process, the ACCC is concerned that where potential </w:t>
      </w:r>
      <w:r w:rsidR="00AE06B0">
        <w:t xml:space="preserve">process </w:t>
      </w:r>
      <w:r>
        <w:t xml:space="preserve">errors are made and further disputes result, parties may try </w:t>
      </w:r>
      <w:r w:rsidR="00CD49E1">
        <w:t xml:space="preserve">to </w:t>
      </w:r>
      <w:r>
        <w:t>rely on the</w:t>
      </w:r>
      <w:r w:rsidR="00CD49E1">
        <w:t xml:space="preserve"> guidelines</w:t>
      </w:r>
      <w:r>
        <w:t xml:space="preserve"> as legal documents</w:t>
      </w:r>
      <w:r w:rsidR="001813B6">
        <w:t xml:space="preserve"> – or alternatively seek to persuade the arbitrator to implement different arbitral processes that may result in significantly different outcomes across arbitrations that deal with similar issues</w:t>
      </w:r>
      <w:r>
        <w:t xml:space="preserve">. The GMRG may </w:t>
      </w:r>
      <w:r w:rsidR="00AE06B0">
        <w:t xml:space="preserve">therefore </w:t>
      </w:r>
      <w:r>
        <w:t xml:space="preserve">wish to consider the legal status of these guidelines, noting that guidelines under certain frameworks </w:t>
      </w:r>
      <w:r w:rsidR="001813B6">
        <w:t xml:space="preserve">can be </w:t>
      </w:r>
      <w:r>
        <w:t>legal</w:t>
      </w:r>
      <w:r w:rsidR="001813B6">
        <w:t>ly binding</w:t>
      </w:r>
      <w:r>
        <w:t>.</w:t>
      </w:r>
    </w:p>
    <w:p w:rsidR="00BC540F" w:rsidRPr="00026140" w:rsidRDefault="00BC540F" w:rsidP="00026140">
      <w:pPr>
        <w:pStyle w:val="Numbered11"/>
      </w:pPr>
      <w:bookmarkStart w:id="59" w:name="_Toc479781940"/>
      <w:r w:rsidRPr="00026140">
        <w:t>Outcomes of proceedings</w:t>
      </w:r>
      <w:bookmarkEnd w:id="59"/>
    </w:p>
    <w:p w:rsidR="00BC540F" w:rsidRDefault="00BC540F" w:rsidP="00BC540F">
      <w:pPr>
        <w:spacing w:line="276" w:lineRule="auto"/>
      </w:pPr>
      <w:r>
        <w:t xml:space="preserve">For transparency reasons, the ACCC </w:t>
      </w:r>
      <w:r w:rsidR="0015530C">
        <w:t xml:space="preserve">supports publication of information </w:t>
      </w:r>
      <w:r w:rsidR="00C62FE5">
        <w:t>regarding</w:t>
      </w:r>
      <w:r w:rsidR="0015530C">
        <w:t xml:space="preserve"> the existence of arbitration</w:t>
      </w:r>
      <w:r w:rsidR="00C62FE5">
        <w:t>s</w:t>
      </w:r>
      <w:r w:rsidR="00AE06B0">
        <w:t>,</w:t>
      </w:r>
      <w:r w:rsidR="0015530C">
        <w:t xml:space="preserve"> as this is likely to be useful in incentivising pipeline operators to reach commercial</w:t>
      </w:r>
      <w:r w:rsidR="00C62FE5">
        <w:t xml:space="preserve"> agreement prior to arbitration</w:t>
      </w:r>
      <w:r w:rsidR="0015530C">
        <w:t xml:space="preserve"> </w:t>
      </w:r>
      <w:r w:rsidR="00C62FE5">
        <w:t>(and</w:t>
      </w:r>
      <w:r w:rsidR="00AE06B0">
        <w:t xml:space="preserve"> reduce the likelihood of</w:t>
      </w:r>
      <w:r w:rsidR="0015530C">
        <w:t xml:space="preserve"> further arbitrations be</w:t>
      </w:r>
      <w:r w:rsidR="00AE06B0">
        <w:t>ing</w:t>
      </w:r>
      <w:r w:rsidR="0015530C">
        <w:t xml:space="preserve"> sought by other shippers</w:t>
      </w:r>
      <w:r w:rsidR="00AE06B0">
        <w:t>)</w:t>
      </w:r>
      <w:r w:rsidR="0015530C">
        <w:t>. The ACCC also supports the reporting of arbitral outcomes to the AER, to assist in monitoring the</w:t>
      </w:r>
      <w:r w:rsidR="008D6454">
        <w:t xml:space="preserve"> effectiveness of the proposed F</w:t>
      </w:r>
      <w:r w:rsidR="0015530C">
        <w:t xml:space="preserve">ramework over time. </w:t>
      </w:r>
    </w:p>
    <w:p w:rsidR="00DC1CA5" w:rsidRDefault="00C203CF" w:rsidP="00BC540F">
      <w:pPr>
        <w:spacing w:line="276" w:lineRule="auto"/>
      </w:pPr>
      <w:r>
        <w:lastRenderedPageBreak/>
        <w:t>Given</w:t>
      </w:r>
      <w:r w:rsidR="00BC540F">
        <w:t xml:space="preserve"> the new gas </w:t>
      </w:r>
      <w:r>
        <w:t xml:space="preserve">transparency </w:t>
      </w:r>
      <w:r w:rsidR="0005004F">
        <w:t>measures announced by the Federal G</w:t>
      </w:r>
      <w:r>
        <w:t>overnment on 15 March 2017</w:t>
      </w:r>
      <w:r w:rsidR="00BC540F">
        <w:t xml:space="preserve">, the information provided to the </w:t>
      </w:r>
      <w:r w:rsidR="0005004F">
        <w:t>AER about</w:t>
      </w:r>
      <w:r w:rsidR="00BC540F">
        <w:t xml:space="preserve"> </w:t>
      </w:r>
      <w:r w:rsidR="0005004F">
        <w:t xml:space="preserve">arbitral </w:t>
      </w:r>
      <w:r w:rsidR="00BC540F">
        <w:t xml:space="preserve">outcomes is </w:t>
      </w:r>
      <w:r>
        <w:t xml:space="preserve">also </w:t>
      </w:r>
      <w:r w:rsidR="00BC540F">
        <w:t xml:space="preserve">likely to be used in </w:t>
      </w:r>
      <w:r>
        <w:t xml:space="preserve">any </w:t>
      </w:r>
      <w:r w:rsidR="00BC540F">
        <w:t>public reporting</w:t>
      </w:r>
      <w:r>
        <w:t xml:space="preserve"> on gas transportation arrangements</w:t>
      </w:r>
      <w:r w:rsidR="00BC540F">
        <w:t xml:space="preserve">. </w:t>
      </w:r>
      <w:r>
        <w:t xml:space="preserve">The level of aggregation necessary to protect commercially sensitive information will be considered against the benefits of transparency and providing a clear indication of netback prices will likely be considered further in this context. </w:t>
      </w:r>
    </w:p>
    <w:p w:rsidR="00DC1CA5" w:rsidRPr="00026140" w:rsidRDefault="00DC1CA5" w:rsidP="00026140">
      <w:pPr>
        <w:pStyle w:val="Numbered11"/>
      </w:pPr>
      <w:bookmarkStart w:id="60" w:name="_Toc479781941"/>
      <w:r w:rsidRPr="00026140">
        <w:t>Key design components</w:t>
      </w:r>
      <w:bookmarkEnd w:id="60"/>
    </w:p>
    <w:p w:rsidR="00AE06B0" w:rsidRDefault="00DC1CA5" w:rsidP="00DC1CA5">
      <w:pPr>
        <w:spacing w:line="276" w:lineRule="auto"/>
      </w:pPr>
      <w:r>
        <w:t>The ACCC supports the GMRG’s proposed approach to the key design components of the arbitration mechanism</w:t>
      </w:r>
      <w:r w:rsidR="00360D72">
        <w:t xml:space="preserve"> which</w:t>
      </w:r>
      <w:r w:rsidR="00AE06B0" w:rsidRPr="00AE06B0">
        <w:t xml:space="preserve"> include: access proposals; protection of existing contractual rights; safeguards to avoid distorting investment</w:t>
      </w:r>
      <w:r w:rsidR="004373D0">
        <w:t>;</w:t>
      </w:r>
      <w:r w:rsidR="00AE06B0" w:rsidRPr="00AE06B0">
        <w:t xml:space="preserve"> oversight by the </w:t>
      </w:r>
      <w:r w:rsidR="00360D72">
        <w:t>AER</w:t>
      </w:r>
      <w:r w:rsidR="00AE06B0" w:rsidRPr="00AE06B0">
        <w:t>; selection of the arbitrator; binding nature of arbitration; costs; types of services eligible to be arbitrated; exemption framework; termination of arbitration; and correction of errors.</w:t>
      </w:r>
    </w:p>
    <w:p w:rsidR="00DC1CA5" w:rsidRDefault="00DC1CA5" w:rsidP="00DC1CA5">
      <w:pPr>
        <w:spacing w:line="276" w:lineRule="auto"/>
      </w:pPr>
      <w:r>
        <w:t>However, the GMRG may wish to consider the following issues and suggestions:</w:t>
      </w:r>
    </w:p>
    <w:p w:rsidR="00DC1CA5" w:rsidRDefault="00DC1CA5" w:rsidP="00DC1CA5">
      <w:pPr>
        <w:pStyle w:val="ListParagraph"/>
        <w:numPr>
          <w:ilvl w:val="0"/>
          <w:numId w:val="30"/>
        </w:numPr>
        <w:spacing w:line="276" w:lineRule="auto"/>
      </w:pPr>
      <w:r>
        <w:t xml:space="preserve">In addition to written requests being required in accordance with the negotiating framework for access proposals, the ACCC suggests the GMRG or AER could develop a set of minimum requirements that should be included in any private framework unless approval is obtained from the AER. </w:t>
      </w:r>
      <w:r>
        <w:br/>
      </w:r>
      <w:r w:rsidR="00222C31">
        <w:br/>
        <w:t xml:space="preserve">The GMRG proposed that the NGR provide pipeline operators the flexibility to develop their own guidelines for setting their negotiating framework for access to their pipelines. </w:t>
      </w:r>
      <w:r>
        <w:t xml:space="preserve">The ACCC considers that a set of guidelines could be developed so that negotiating frameworks generally include a minimum set of requirements. The GMRG could nominate an appropriate body to provide compliance oversight of frameworks with the guidelines. The ACCC notes that if the proposed approach is going to reference a pipeline operator’s negotiated framework, this then assumes that there is always a fair negotiation framework provided in the contract and applicable to the issue in question. In an environment where there is market power present, this may not always be the case. </w:t>
      </w:r>
    </w:p>
    <w:p w:rsidR="0004559B" w:rsidRPr="0004559B" w:rsidRDefault="0004559B" w:rsidP="00C33F3B">
      <w:pPr>
        <w:pStyle w:val="ListParagraph"/>
        <w:numPr>
          <w:ilvl w:val="0"/>
          <w:numId w:val="30"/>
        </w:numPr>
        <w:spacing w:line="276" w:lineRule="auto"/>
        <w:rPr>
          <w:rFonts w:cs="Arial"/>
        </w:rPr>
      </w:pPr>
      <w:r w:rsidRPr="0004559B">
        <w:rPr>
          <w:rFonts w:cs="Arial"/>
          <w:color w:val="000000"/>
          <w:lang w:val="en-US"/>
        </w:rPr>
        <w:t xml:space="preserve">The ACCC agrees that existing contracts and terms of access should be protected under the proposed framework </w:t>
      </w:r>
      <w:r w:rsidR="004C07D1">
        <w:rPr>
          <w:rFonts w:cs="Arial"/>
          <w:color w:val="000000"/>
          <w:lang w:val="en-US"/>
        </w:rPr>
        <w:t>and</w:t>
      </w:r>
      <w:r w:rsidRPr="0004559B">
        <w:rPr>
          <w:rFonts w:cs="Arial"/>
          <w:color w:val="000000"/>
          <w:lang w:val="en-US"/>
        </w:rPr>
        <w:t xml:space="preserve"> pipeline operators </w:t>
      </w:r>
      <w:r w:rsidR="004C07D1">
        <w:rPr>
          <w:rFonts w:cs="Arial"/>
          <w:color w:val="000000"/>
          <w:lang w:val="en-US"/>
        </w:rPr>
        <w:t xml:space="preserve">be prevented </w:t>
      </w:r>
      <w:r w:rsidRPr="0004559B">
        <w:rPr>
          <w:rFonts w:cs="Arial"/>
          <w:color w:val="000000"/>
          <w:lang w:val="en-US"/>
        </w:rPr>
        <w:t xml:space="preserve">from locking up pipeline capacity by contracting it to (for example) related body corporates of the pipeline operator. The ACCC suggests </w:t>
      </w:r>
      <w:r w:rsidR="004C07D1">
        <w:rPr>
          <w:rFonts w:cs="Arial"/>
          <w:color w:val="000000"/>
          <w:lang w:val="en-US"/>
        </w:rPr>
        <w:t>this intention be spelt out, for example in the explanatory memorandum that will accompany the final version of the NGL draft Amendment Bill</w:t>
      </w:r>
      <w:r w:rsidRPr="0004559B">
        <w:rPr>
          <w:rFonts w:cs="Arial"/>
          <w:color w:val="000000"/>
          <w:lang w:val="en-US"/>
        </w:rPr>
        <w:t>.</w:t>
      </w:r>
      <w:r w:rsidR="004C07D1">
        <w:rPr>
          <w:rStyle w:val="FootnoteReference"/>
          <w:rFonts w:cs="Arial"/>
          <w:color w:val="000000"/>
          <w:lang w:val="en-US"/>
        </w:rPr>
        <w:footnoteReference w:id="24"/>
      </w:r>
    </w:p>
    <w:p w:rsidR="00DC1CA5" w:rsidRPr="00EA2596" w:rsidRDefault="00DC1CA5" w:rsidP="00C33F3B">
      <w:pPr>
        <w:pStyle w:val="ListParagraph"/>
        <w:numPr>
          <w:ilvl w:val="0"/>
          <w:numId w:val="30"/>
        </w:numPr>
        <w:spacing w:line="276" w:lineRule="auto"/>
      </w:pPr>
      <w:r w:rsidRPr="00EA2596">
        <w:t xml:space="preserve">The ACCC </w:t>
      </w:r>
      <w:r w:rsidR="0088284B" w:rsidRPr="00EA2596">
        <w:t>queries whether</w:t>
      </w:r>
      <w:r w:rsidRPr="00EA2596">
        <w:t xml:space="preserve"> the NGR should provide an arbitrator with the power to determine its own jurisdiction to hear a matter. </w:t>
      </w:r>
      <w:r w:rsidR="0088284B" w:rsidRPr="00EA2596">
        <w:t>The ACCC notes that there is some potential that this will introduce uncertainty and unpredictability into the regime, as different arbitrators may have different views about what a failure to negotiate in good faith involves</w:t>
      </w:r>
      <w:r w:rsidR="00E77EBD">
        <w:t xml:space="preserve">. (This threshold issue is discussed further in paragraph </w:t>
      </w:r>
      <w:r w:rsidR="00484AFB">
        <w:t>j</w:t>
      </w:r>
      <w:r w:rsidR="00916838">
        <w:t xml:space="preserve"> below</w:t>
      </w:r>
      <w:r w:rsidR="00E77EBD">
        <w:t>)</w:t>
      </w:r>
      <w:r w:rsidR="0088284B" w:rsidRPr="00EA2596">
        <w:t xml:space="preserve">.  It may therefore be preferable for the AER to act as the gatekeeper on these matters so that a consistent approach is adopted for all disputes.  The ACCC agrees with the AER that if the AER is not to have a “gatekeeper role” in deciding whether the dispute </w:t>
      </w:r>
      <w:r w:rsidR="0088284B" w:rsidRPr="00EA2596">
        <w:lastRenderedPageBreak/>
        <w:t xml:space="preserve">should be arbitrated, the need for the dispute process to be triggered by notifying the AER is unclear. </w:t>
      </w:r>
    </w:p>
    <w:p w:rsidR="00DC1CA5" w:rsidRPr="00EA2596" w:rsidRDefault="00DC1CA5" w:rsidP="00C33F3B">
      <w:pPr>
        <w:pStyle w:val="ListParagraph"/>
        <w:numPr>
          <w:ilvl w:val="0"/>
          <w:numId w:val="30"/>
        </w:numPr>
        <w:spacing w:line="276" w:lineRule="auto"/>
      </w:pPr>
      <w:r w:rsidRPr="00EA2596">
        <w:t>Parties involved in arbitration should mutually agree on an arbitrator from a list of arbitrators developed in consultation with relevant institutions (such as, the Resolution Institute and the Australia Dispute Centre) and established under the Rules. Where parties are unable to reach agreement within a specified time frame (say, five working days</w:t>
      </w:r>
      <w:r w:rsidR="007D502C" w:rsidRPr="00EA2596">
        <w:t xml:space="preserve"> as suggested in the Options paper</w:t>
      </w:r>
      <w:r w:rsidRPr="00EA2596">
        <w:t xml:space="preserve">), the ACCC considers the AER is an appropriate body to nominate an arbitrator to resolve the dispute. </w:t>
      </w:r>
    </w:p>
    <w:p w:rsidR="00DC1CA5" w:rsidRPr="00EA2596" w:rsidRDefault="00DC1CA5" w:rsidP="00C33F3B">
      <w:pPr>
        <w:pStyle w:val="ListParagraph"/>
        <w:numPr>
          <w:ilvl w:val="0"/>
          <w:numId w:val="30"/>
        </w:numPr>
        <w:spacing w:line="276" w:lineRule="auto"/>
      </w:pPr>
      <w:r w:rsidRPr="00EA2596">
        <w:t>The ACCC questions the need to provide a hearing if a party requests one in an arbitration – such a right of request could be gamed to delay the implementation of an arbitral decision. The ACCC suggests that parties could request a hearing but that this is to be ultimately determined by the arbitrator, to minimise delay and costs for parties in participating in the arbitration.</w:t>
      </w:r>
    </w:p>
    <w:p w:rsidR="00DC1CA5" w:rsidRPr="00EA2596" w:rsidRDefault="00DC1CA5" w:rsidP="00C33F3B">
      <w:pPr>
        <w:pStyle w:val="ListParagraph"/>
        <w:numPr>
          <w:ilvl w:val="0"/>
          <w:numId w:val="30"/>
        </w:numPr>
        <w:spacing w:line="276" w:lineRule="auto"/>
      </w:pPr>
      <w:r w:rsidRPr="00EA2596">
        <w:t>Similarly, while the ACCC supports only directly relevant documentation being provided to the arbitrator, we recommend the determination of whether or not specific material is directly relevant is to be conclusively determined by the arbitrator in order to facilitate timely arbitral decisions and avoid unnecessarily long arguments as to what is and is not directly relevant.</w:t>
      </w:r>
    </w:p>
    <w:p w:rsidR="0088284B" w:rsidRPr="00EA2596" w:rsidRDefault="0088284B" w:rsidP="00C33F3B">
      <w:pPr>
        <w:pStyle w:val="ListParagraph"/>
        <w:numPr>
          <w:ilvl w:val="0"/>
          <w:numId w:val="30"/>
        </w:numPr>
        <w:spacing w:line="276" w:lineRule="auto"/>
      </w:pPr>
      <w:r w:rsidRPr="00EA2596">
        <w:t>The ACCC supports the proposed tight timeframes for the arbitrator in considering a dispute, as it appropriately recognises the commercial nature of the arbitration and the value to the parties in having a timely decision made. That said, the ACCC notes it would be preferable that the arbitrator be given the discretion to extend the timeframe rather than require agreement by the parties.  The arbitrator, rather than the parties, will be in the best position to assess whether an extension is needed.  A possible compromise would be to give the arbitrator the ability to exercise this discretion once, with any further extensions to be by agreement of the parties only.</w:t>
      </w:r>
    </w:p>
    <w:p w:rsidR="007C3BFA" w:rsidRPr="00EA2596" w:rsidRDefault="00DC1CA5" w:rsidP="00C33F3B">
      <w:pPr>
        <w:pStyle w:val="ListParagraph"/>
        <w:numPr>
          <w:ilvl w:val="0"/>
          <w:numId w:val="30"/>
        </w:numPr>
        <w:spacing w:line="276" w:lineRule="auto"/>
      </w:pPr>
      <w:r w:rsidRPr="00EA2596">
        <w:t xml:space="preserve">To ensure an access determination can accommodate the changing needs of both parties (subject to the terms and conditions of the determination), parties wishing to vary an access determination should be permitted to do so under the NGR. Variations should be allowed where </w:t>
      </w:r>
      <w:r w:rsidR="007D1E32" w:rsidRPr="00EA2596">
        <w:t xml:space="preserve">parties agree </w:t>
      </w:r>
      <w:r w:rsidRPr="00EA2596">
        <w:t xml:space="preserve">as this is consistent with the commercial focus of the mechanism. </w:t>
      </w:r>
      <w:r w:rsidR="007D1E32" w:rsidRPr="00EA2596">
        <w:t>While provision could also be included to allow parties to trigger the arbitration mechanisms if they are unable to agree on a variation, to avoid serial notification, the ACCC recommends that this only be permitted where there has been a significant change of circumstance or where it relates to a new matter (e</w:t>
      </w:r>
      <w:r w:rsidR="00F774E9" w:rsidRPr="00EA2596">
        <w:t>.</w:t>
      </w:r>
      <w:r w:rsidR="007D1E32" w:rsidRPr="00EA2596">
        <w:t>g. provision of a new service).</w:t>
      </w:r>
    </w:p>
    <w:p w:rsidR="007C3BFA" w:rsidRDefault="007C3BFA" w:rsidP="00C33F3B">
      <w:pPr>
        <w:pStyle w:val="ListParagraph"/>
        <w:numPr>
          <w:ilvl w:val="0"/>
          <w:numId w:val="30"/>
        </w:numPr>
        <w:spacing w:line="276" w:lineRule="auto"/>
      </w:pPr>
      <w:r>
        <w:t xml:space="preserve">The </w:t>
      </w:r>
      <w:r w:rsidR="00DC1CA5" w:rsidRPr="00EA2596">
        <w:t>ACCC considers the costs of arbitration (including costs associated with the arbitration process and the cost of the arbitrator) should be equally shared between parties seeking an outcome. The NGR should provide for the arbitrator rather than parties to determine if expert advice is needed, to limit the scope for gaming and delay. The ACCC supports an arrangement where parties can agree on a clear cost limit for expert advice, which in the absence of agreement can also be determined by the arbitrator, having regard to the relative capacity of parties to pay for these costs</w:t>
      </w:r>
      <w:r w:rsidR="009E002F" w:rsidRPr="00EA2596">
        <w:t xml:space="preserve"> and, if disputed, for final determination by the arbitrator</w:t>
      </w:r>
      <w:r w:rsidR="00DC1CA5" w:rsidRPr="00EA2596">
        <w:t xml:space="preserve">. </w:t>
      </w:r>
    </w:p>
    <w:p w:rsidR="007C3BFA" w:rsidRPr="00EA2596" w:rsidRDefault="004373D0" w:rsidP="00C33F3B">
      <w:pPr>
        <w:pStyle w:val="ListParagraph"/>
        <w:numPr>
          <w:ilvl w:val="0"/>
          <w:numId w:val="30"/>
        </w:numPr>
        <w:spacing w:line="276" w:lineRule="auto"/>
      </w:pPr>
      <w:r>
        <w:t>The ACCC agrees that there should be some provision for an arbitrator to terminate an arbitration where the dispute in question is triv</w:t>
      </w:r>
      <w:r w:rsidR="00A135E1">
        <w:t>i</w:t>
      </w:r>
      <w:r>
        <w:t xml:space="preserve">al or the notification is vexatious. </w:t>
      </w:r>
      <w:r>
        <w:lastRenderedPageBreak/>
        <w:t xml:space="preserve">However, </w:t>
      </w:r>
      <w:r w:rsidR="00610CBC">
        <w:t xml:space="preserve">the ACCC </w:t>
      </w:r>
      <w:r w:rsidR="00CF049E">
        <w:t xml:space="preserve">considers </w:t>
      </w:r>
      <w:r>
        <w:t xml:space="preserve">it </w:t>
      </w:r>
      <w:r w:rsidR="00C33F3B">
        <w:t xml:space="preserve">is </w:t>
      </w:r>
      <w:r>
        <w:t xml:space="preserve">important that such powers do not act as a barrier to the use of the arbitration mechanism. The ACCC considers </w:t>
      </w:r>
      <w:r w:rsidR="00CF049E">
        <w:t xml:space="preserve">the threshold to arbitration should be </w:t>
      </w:r>
      <w:r>
        <w:t xml:space="preserve">relatively </w:t>
      </w:r>
      <w:r w:rsidR="00CF049E">
        <w:t>low</w:t>
      </w:r>
      <w:r>
        <w:t xml:space="preserve"> to ensure that arbitration is an accessible option for parties and acts as a credible threat in commercial negotiations</w:t>
      </w:r>
      <w:r w:rsidR="00CF049E">
        <w:t xml:space="preserve">. The ACCC notes that there is generally no threshold to seeking arbitration in commercial negotiations. </w:t>
      </w:r>
      <w:r w:rsidR="001663EA" w:rsidRPr="00EA2596">
        <w:t xml:space="preserve">Under arbitral arrangements imposed under </w:t>
      </w:r>
      <w:r>
        <w:t xml:space="preserve">the NGL and NGR, and </w:t>
      </w:r>
      <w:r w:rsidR="00A135E1">
        <w:t xml:space="preserve">those </w:t>
      </w:r>
      <w:r>
        <w:t xml:space="preserve">included in </w:t>
      </w:r>
      <w:r w:rsidR="001663EA" w:rsidRPr="00EA2596">
        <w:t>Part</w:t>
      </w:r>
      <w:r>
        <w:t>s IIIA and</w:t>
      </w:r>
      <w:r w:rsidR="001663EA" w:rsidRPr="00EA2596">
        <w:t xml:space="preserve"> </w:t>
      </w:r>
      <w:r w:rsidR="00A135E1">
        <w:t xml:space="preserve">(previously) </w:t>
      </w:r>
      <w:r w:rsidR="001663EA" w:rsidRPr="00EA2596">
        <w:t xml:space="preserve">XIC of the CCA, the parties </w:t>
      </w:r>
      <w:r>
        <w:t>are</w:t>
      </w:r>
      <w:r w:rsidRPr="00EA2596">
        <w:t xml:space="preserve"> </w:t>
      </w:r>
      <w:r w:rsidR="001663EA" w:rsidRPr="00EA2596">
        <w:t xml:space="preserve">able to seek arbitration if </w:t>
      </w:r>
      <w:r>
        <w:t>it can be established they are</w:t>
      </w:r>
      <w:r w:rsidR="001663EA" w:rsidRPr="00EA2596">
        <w:t xml:space="preserve"> ‘unable to agree’. The ACCC considers this</w:t>
      </w:r>
      <w:r w:rsidR="00DA2684">
        <w:t xml:space="preserve"> </w:t>
      </w:r>
      <w:r w:rsidR="001663EA" w:rsidRPr="00EA2596">
        <w:t>sets an appropriate threshold for accessing commercial arbitration (having regard to the relative bargaining power of pipeline operators and shippers)</w:t>
      </w:r>
      <w:r w:rsidR="00C33F3B">
        <w:t>,</w:t>
      </w:r>
      <w:r>
        <w:t xml:space="preserve"> and that in order to use the arbitration mechanism only one party need provide sufficient evidence to establish both </w:t>
      </w:r>
      <w:r w:rsidR="00A135E1">
        <w:t>parties</w:t>
      </w:r>
      <w:r>
        <w:t xml:space="preserve"> have been unable to agree</w:t>
      </w:r>
      <w:r w:rsidR="001663EA" w:rsidRPr="00EA2596">
        <w:t>.</w:t>
      </w:r>
    </w:p>
    <w:p w:rsidR="00916838" w:rsidRPr="00026140" w:rsidRDefault="00750C61" w:rsidP="00026140">
      <w:pPr>
        <w:pStyle w:val="Numbered1"/>
      </w:pPr>
      <w:bookmarkStart w:id="61" w:name="_Toc479781942"/>
      <w:r w:rsidRPr="00026140">
        <w:t>Arbitration</w:t>
      </w:r>
      <w:r w:rsidR="00B043FD" w:rsidRPr="00026140">
        <w:t xml:space="preserve"> Principles</w:t>
      </w:r>
      <w:bookmarkEnd w:id="61"/>
    </w:p>
    <w:p w:rsidR="001F1BC2" w:rsidRDefault="00CF7D49" w:rsidP="00F31E38">
      <w:pPr>
        <w:spacing w:line="276" w:lineRule="auto"/>
      </w:pPr>
      <w:r>
        <w:t xml:space="preserve">The </w:t>
      </w:r>
      <w:r w:rsidR="00360D72">
        <w:t xml:space="preserve">ACCC supports the use of </w:t>
      </w:r>
      <w:r>
        <w:t xml:space="preserve">arbitration principles </w:t>
      </w:r>
      <w:r w:rsidR="00CD12C8">
        <w:t>(comprising pricing principles a</w:t>
      </w:r>
      <w:r w:rsidR="00D84600">
        <w:t>s well as</w:t>
      </w:r>
      <w:r w:rsidR="00CD12C8">
        <w:t xml:space="preserve"> broader principles to supplement these) </w:t>
      </w:r>
      <w:r w:rsidR="00953DC7">
        <w:t xml:space="preserve">to </w:t>
      </w:r>
      <w:r w:rsidR="0031106B">
        <w:t>provide</w:t>
      </w:r>
      <w:r w:rsidR="00953DC7">
        <w:t xml:space="preserve"> guidance to an arbitrator on the matters to be taken into account when making a determination. </w:t>
      </w:r>
      <w:r w:rsidR="00360D72">
        <w:t>As already mentioned, i</w:t>
      </w:r>
      <w:r w:rsidR="00E917B7">
        <w:t xml:space="preserve">f </w:t>
      </w:r>
      <w:r w:rsidR="00CD12C8">
        <w:t xml:space="preserve">a clear nexus is drawn between </w:t>
      </w:r>
      <w:r w:rsidR="00D84600">
        <w:t xml:space="preserve">the information required to be provided under the disclosure framework and </w:t>
      </w:r>
      <w:r w:rsidR="00916838">
        <w:t>the pricing</w:t>
      </w:r>
      <w:r w:rsidR="00D84600">
        <w:t xml:space="preserve"> principles, parties to an access dispute </w:t>
      </w:r>
      <w:r w:rsidR="00AB6514">
        <w:t xml:space="preserve">will be </w:t>
      </w:r>
      <w:r w:rsidR="009500CB">
        <w:t xml:space="preserve">able to independently </w:t>
      </w:r>
      <w:r w:rsidR="00D84600">
        <w:t>determine the range of likely arbitral outcomes</w:t>
      </w:r>
      <w:r w:rsidR="00916838">
        <w:t xml:space="preserve"> from a common and appropriate fac</w:t>
      </w:r>
      <w:r w:rsidR="00C33F3B">
        <w:t>t</w:t>
      </w:r>
      <w:r w:rsidR="00916838">
        <w:t xml:space="preserve"> base. In these circumstances,</w:t>
      </w:r>
      <w:r w:rsidR="00360D72">
        <w:t xml:space="preserve"> commercial agreement is more likely to be achieved.</w:t>
      </w:r>
      <w:r w:rsidR="00D55E10">
        <w:t xml:space="preserve"> </w:t>
      </w:r>
      <w:r w:rsidRPr="0013758C">
        <w:t xml:space="preserve"> </w:t>
      </w:r>
    </w:p>
    <w:p w:rsidR="00797E51" w:rsidRDefault="001F1BC2" w:rsidP="00F31E38">
      <w:pPr>
        <w:spacing w:line="276" w:lineRule="auto"/>
      </w:pPr>
      <w:r>
        <w:t>T</w:t>
      </w:r>
      <w:r w:rsidR="00360D72">
        <w:t>he effectiveness of the pricing principles will depend</w:t>
      </w:r>
      <w:r w:rsidR="009500CB">
        <w:t xml:space="preserve"> in part upon how clearly the principles and </w:t>
      </w:r>
      <w:r w:rsidR="00360D72">
        <w:t xml:space="preserve">the </w:t>
      </w:r>
      <w:r w:rsidR="009500CB">
        <w:t>ways in which they can be applied</w:t>
      </w:r>
      <w:r w:rsidR="00916838">
        <w:t xml:space="preserve"> are desc</w:t>
      </w:r>
      <w:r w:rsidR="00C33F3B">
        <w:t>r</w:t>
      </w:r>
      <w:r w:rsidR="00916838">
        <w:t>ibed</w:t>
      </w:r>
      <w:r w:rsidR="009500CB">
        <w:t>.</w:t>
      </w:r>
    </w:p>
    <w:p w:rsidR="002620A3" w:rsidRPr="00026140" w:rsidRDefault="00550B98" w:rsidP="00026140">
      <w:pPr>
        <w:pStyle w:val="Numbered11"/>
      </w:pPr>
      <w:bookmarkStart w:id="62" w:name="_Toc479781943"/>
      <w:r w:rsidRPr="00026140">
        <w:t>Matters to be taken into account</w:t>
      </w:r>
      <w:bookmarkEnd w:id="62"/>
    </w:p>
    <w:p w:rsidR="007D035A" w:rsidRDefault="007D035A" w:rsidP="007D035A">
      <w:pPr>
        <w:spacing w:line="276" w:lineRule="auto"/>
      </w:pPr>
      <w:r>
        <w:t xml:space="preserve">Provided the pricing principles </w:t>
      </w:r>
      <w:r w:rsidR="006E5D9B">
        <w:t>are based on actual costs incurred by a pipeline operator then the ACCC expects they will operate to counteract (at least to some degree) the market and bargaining power the ACCC identified in the Inquiry as being used in the supply of gas pipeline services. In this way, the ACCC expects the pricing principles would promote more economically efficient outcomes and therefore would be broadly consistent with the NGO. For this reason, the</w:t>
      </w:r>
      <w:r>
        <w:t xml:space="preserve"> ACCC agrees th</w:t>
      </w:r>
      <w:r w:rsidR="00B00961">
        <w:t>at the</w:t>
      </w:r>
      <w:r>
        <w:t xml:space="preserve"> NGO need not be included as a consideration an arbitrator must take into</w:t>
      </w:r>
      <w:r w:rsidR="00C12B41">
        <w:t xml:space="preserve"> account</w:t>
      </w:r>
      <w:r>
        <w:t xml:space="preserve"> in making a determination. </w:t>
      </w:r>
    </w:p>
    <w:p w:rsidR="00240780" w:rsidRDefault="00240780" w:rsidP="007D035A">
      <w:pPr>
        <w:spacing w:line="276" w:lineRule="auto"/>
      </w:pPr>
      <w:r>
        <w:t xml:space="preserve">The ACCC also recognises that part of the benefit of the proposed framework is that it should facilitate more timely commercial agreement compared to a more regulatory intervention. Accordingly, the ACCC </w:t>
      </w:r>
      <w:r w:rsidR="00953355">
        <w:t>favours the inclusion of all the criteria listed on page 138 of the Examination in the pricing principles and also the inclusion of an additional principle, namely the value to party of a timely decision on the pricing of the relevant service for a particular period of time.</w:t>
      </w:r>
    </w:p>
    <w:p w:rsidR="003341BC" w:rsidRPr="00026140" w:rsidRDefault="003341BC" w:rsidP="00026140">
      <w:pPr>
        <w:pStyle w:val="Numbered11"/>
      </w:pPr>
      <w:bookmarkStart w:id="63" w:name="_Toc479781944"/>
      <w:r w:rsidRPr="00026140">
        <w:t>Determining the reasonableness of an offer</w:t>
      </w:r>
      <w:bookmarkEnd w:id="63"/>
    </w:p>
    <w:p w:rsidR="00F63E83" w:rsidRPr="00EA2596" w:rsidRDefault="00171A0B" w:rsidP="00FB5872">
      <w:pPr>
        <w:spacing w:line="276" w:lineRule="auto"/>
        <w:rPr>
          <w:rFonts w:cs="Arial"/>
        </w:rPr>
      </w:pPr>
      <w:r w:rsidRPr="00F901F6">
        <w:t xml:space="preserve">The </w:t>
      </w:r>
      <w:r w:rsidRPr="00EA2596">
        <w:t>ACCC</w:t>
      </w:r>
      <w:r w:rsidR="00327AC8" w:rsidRPr="00EA2596">
        <w:t xml:space="preserve"> </w:t>
      </w:r>
      <w:r w:rsidR="006A001E" w:rsidRPr="00EA2596">
        <w:t xml:space="preserve">strongly </w:t>
      </w:r>
      <w:r w:rsidR="00F901F6" w:rsidRPr="00EA2596">
        <w:t xml:space="preserve">supports the GMRG’s view that an </w:t>
      </w:r>
      <w:r w:rsidR="00F901F6" w:rsidRPr="00EA2596">
        <w:rPr>
          <w:rFonts w:cs="Arial"/>
        </w:rPr>
        <w:t xml:space="preserve">arbitrator </w:t>
      </w:r>
      <w:r w:rsidR="00C12B41" w:rsidRPr="00EA2596">
        <w:rPr>
          <w:rFonts w:cs="Arial"/>
        </w:rPr>
        <w:t xml:space="preserve">should </w:t>
      </w:r>
      <w:r w:rsidR="00F901F6" w:rsidRPr="00EA2596">
        <w:rPr>
          <w:rFonts w:cs="Arial"/>
        </w:rPr>
        <w:t>assess the reasonableness of an offer based upon a comparison with the actual costs of service provision.</w:t>
      </w:r>
      <w:r w:rsidR="0085148D" w:rsidRPr="00EA2596">
        <w:rPr>
          <w:rFonts w:cs="Arial"/>
        </w:rPr>
        <w:t xml:space="preserve"> </w:t>
      </w:r>
      <w:r w:rsidR="006822EB" w:rsidRPr="00EA2596">
        <w:rPr>
          <w:rFonts w:cs="Arial"/>
        </w:rPr>
        <w:t>H</w:t>
      </w:r>
      <w:r w:rsidR="00741E89" w:rsidRPr="00EA2596">
        <w:rPr>
          <w:rFonts w:cs="Arial"/>
        </w:rPr>
        <w:t>owever, the ACCC considers</w:t>
      </w:r>
      <w:r w:rsidR="00C12B41" w:rsidRPr="00EA2596">
        <w:rPr>
          <w:rFonts w:cs="Arial"/>
        </w:rPr>
        <w:t xml:space="preserve"> that the </w:t>
      </w:r>
      <w:r w:rsidR="00DB2929" w:rsidRPr="00EA2596">
        <w:rPr>
          <w:rFonts w:cs="Arial"/>
        </w:rPr>
        <w:t xml:space="preserve">process for applying </w:t>
      </w:r>
      <w:r w:rsidR="00214B05" w:rsidRPr="00EA2596">
        <w:rPr>
          <w:rFonts w:cs="Arial"/>
        </w:rPr>
        <w:t>such a</w:t>
      </w:r>
      <w:r w:rsidR="00DB2929" w:rsidRPr="00EA2596">
        <w:rPr>
          <w:rFonts w:cs="Arial"/>
        </w:rPr>
        <w:t xml:space="preserve"> </w:t>
      </w:r>
      <w:r w:rsidR="00C12B41" w:rsidRPr="00EA2596">
        <w:rPr>
          <w:rFonts w:cs="Arial"/>
        </w:rPr>
        <w:t xml:space="preserve">test </w:t>
      </w:r>
      <w:r w:rsidR="00741E89" w:rsidRPr="00EA2596">
        <w:rPr>
          <w:rFonts w:cs="Arial"/>
        </w:rPr>
        <w:t xml:space="preserve">should </w:t>
      </w:r>
      <w:r w:rsidR="0053109F" w:rsidRPr="00EA2596">
        <w:rPr>
          <w:rFonts w:cs="Arial"/>
        </w:rPr>
        <w:t xml:space="preserve">also </w:t>
      </w:r>
      <w:r w:rsidR="00741E89" w:rsidRPr="00EA2596">
        <w:rPr>
          <w:rFonts w:cs="Arial"/>
        </w:rPr>
        <w:t>be specified</w:t>
      </w:r>
      <w:r w:rsidR="00214B05" w:rsidRPr="00EA2596">
        <w:rPr>
          <w:rFonts w:cs="Arial"/>
        </w:rPr>
        <w:t xml:space="preserve"> in some way</w:t>
      </w:r>
      <w:r w:rsidR="00741E89" w:rsidRPr="00EA2596">
        <w:rPr>
          <w:rFonts w:cs="Arial"/>
        </w:rPr>
        <w:t xml:space="preserve">. </w:t>
      </w:r>
      <w:r w:rsidR="0085148D" w:rsidRPr="00EA2596">
        <w:rPr>
          <w:rFonts w:cs="Arial"/>
        </w:rPr>
        <w:t>This will provide an arbitrator with clear directi</w:t>
      </w:r>
      <w:r w:rsidR="00157160" w:rsidRPr="00EA2596">
        <w:rPr>
          <w:rFonts w:cs="Arial"/>
        </w:rPr>
        <w:t xml:space="preserve">on as to how </w:t>
      </w:r>
      <w:r w:rsidR="00157160" w:rsidRPr="00EA2596">
        <w:rPr>
          <w:rFonts w:cs="Arial"/>
        </w:rPr>
        <w:lastRenderedPageBreak/>
        <w:t xml:space="preserve">the reasonableness </w:t>
      </w:r>
      <w:r w:rsidR="0085148D" w:rsidRPr="00EA2596">
        <w:rPr>
          <w:rFonts w:cs="Arial"/>
        </w:rPr>
        <w:t>of an offer is to be determined</w:t>
      </w:r>
      <w:r w:rsidR="00697125" w:rsidRPr="00EA2596">
        <w:rPr>
          <w:rFonts w:cs="Arial"/>
        </w:rPr>
        <w:t xml:space="preserve"> as well as </w:t>
      </w:r>
      <w:r w:rsidR="00A844CE" w:rsidRPr="00EA2596">
        <w:rPr>
          <w:rFonts w:cs="Arial"/>
        </w:rPr>
        <w:t>ensure consistency and predictability of arbitral outcomes</w:t>
      </w:r>
      <w:r w:rsidR="0085148D" w:rsidRPr="00EA2596">
        <w:rPr>
          <w:rFonts w:cs="Arial"/>
        </w:rPr>
        <w:t>.</w:t>
      </w:r>
      <w:r w:rsidR="00230EB5" w:rsidRPr="00EA2596">
        <w:rPr>
          <w:rFonts w:cs="Arial"/>
        </w:rPr>
        <w:t xml:space="preserve"> </w:t>
      </w:r>
      <w:r w:rsidR="003F62CA" w:rsidRPr="00EA2596">
        <w:rPr>
          <w:rFonts w:cs="Arial"/>
        </w:rPr>
        <w:t>T</w:t>
      </w:r>
      <w:r w:rsidR="00841F3E" w:rsidRPr="00EA2596">
        <w:rPr>
          <w:rFonts w:cs="Arial"/>
        </w:rPr>
        <w:t xml:space="preserve">he ACCC </w:t>
      </w:r>
      <w:r w:rsidR="006A001E" w:rsidRPr="00EA2596">
        <w:rPr>
          <w:rFonts w:cs="Arial"/>
        </w:rPr>
        <w:t xml:space="preserve">strongly </w:t>
      </w:r>
      <w:r w:rsidR="00230EB5" w:rsidRPr="00EA2596">
        <w:rPr>
          <w:rFonts w:cs="Arial"/>
        </w:rPr>
        <w:t>supports</w:t>
      </w:r>
      <w:r w:rsidR="00841F3E" w:rsidRPr="00EA2596">
        <w:rPr>
          <w:rFonts w:cs="Arial"/>
        </w:rPr>
        <w:t xml:space="preserve"> an actual costs based approach to </w:t>
      </w:r>
      <w:r w:rsidR="001C6549" w:rsidRPr="00EA2596">
        <w:rPr>
          <w:rFonts w:cs="Arial"/>
        </w:rPr>
        <w:t>determining</w:t>
      </w:r>
      <w:r w:rsidR="00A82710" w:rsidRPr="00EA2596">
        <w:rPr>
          <w:rFonts w:cs="Arial"/>
        </w:rPr>
        <w:t xml:space="preserve"> </w:t>
      </w:r>
      <w:r w:rsidR="00841F3E" w:rsidRPr="00EA2596">
        <w:rPr>
          <w:rFonts w:cs="Arial"/>
        </w:rPr>
        <w:t>pric</w:t>
      </w:r>
      <w:r w:rsidR="00A82710" w:rsidRPr="00EA2596">
        <w:rPr>
          <w:rFonts w:cs="Arial"/>
        </w:rPr>
        <w:t>es</w:t>
      </w:r>
      <w:r w:rsidR="00E90C53" w:rsidRPr="00EA2596">
        <w:rPr>
          <w:rFonts w:cs="Arial"/>
        </w:rPr>
        <w:t>,</w:t>
      </w:r>
      <w:r w:rsidR="00230EB5" w:rsidRPr="00EA2596">
        <w:rPr>
          <w:rFonts w:cs="Arial"/>
        </w:rPr>
        <w:t xml:space="preserve"> with clear guidance </w:t>
      </w:r>
      <w:r w:rsidR="00E90C53" w:rsidRPr="00EA2596">
        <w:rPr>
          <w:rFonts w:cs="Arial"/>
        </w:rPr>
        <w:t xml:space="preserve">provided </w:t>
      </w:r>
      <w:r w:rsidR="00230EB5" w:rsidRPr="00EA2596">
        <w:rPr>
          <w:rFonts w:cs="Arial"/>
        </w:rPr>
        <w:t xml:space="preserve">on how </w:t>
      </w:r>
      <w:r w:rsidR="00A75AEB" w:rsidRPr="00EA2596">
        <w:rPr>
          <w:rFonts w:cs="Arial"/>
        </w:rPr>
        <w:t xml:space="preserve">these </w:t>
      </w:r>
      <w:r w:rsidR="00505977" w:rsidRPr="00EA2596">
        <w:rPr>
          <w:rFonts w:cs="Arial"/>
        </w:rPr>
        <w:t>are to</w:t>
      </w:r>
      <w:r w:rsidR="00230EB5" w:rsidRPr="00EA2596">
        <w:rPr>
          <w:rFonts w:cs="Arial"/>
        </w:rPr>
        <w:t xml:space="preserve"> be </w:t>
      </w:r>
      <w:r w:rsidR="00A75AEB" w:rsidRPr="00EA2596">
        <w:rPr>
          <w:rFonts w:cs="Arial"/>
        </w:rPr>
        <w:t>arrived at or estimated</w:t>
      </w:r>
      <w:r w:rsidR="00A8323B" w:rsidRPr="00EA2596">
        <w:rPr>
          <w:rFonts w:cs="Arial"/>
        </w:rPr>
        <w:t xml:space="preserve"> by an arbitrator</w:t>
      </w:r>
      <w:r w:rsidR="00841F3E" w:rsidRPr="00EA2596">
        <w:rPr>
          <w:rFonts w:cs="Arial"/>
        </w:rPr>
        <w:t xml:space="preserve">. </w:t>
      </w:r>
      <w:r w:rsidR="00BA04C3" w:rsidRPr="00EA2596">
        <w:rPr>
          <w:rFonts w:cs="Arial"/>
        </w:rPr>
        <w:t xml:space="preserve"> </w:t>
      </w:r>
    </w:p>
    <w:p w:rsidR="005F1738" w:rsidRPr="005F1738" w:rsidRDefault="00A75AEB" w:rsidP="005F1738">
      <w:pPr>
        <w:spacing w:line="276" w:lineRule="auto"/>
      </w:pPr>
      <w:r w:rsidRPr="00EA2596">
        <w:rPr>
          <w:rFonts w:cs="Arial"/>
        </w:rPr>
        <w:t>For example</w:t>
      </w:r>
      <w:r w:rsidR="005F1738" w:rsidRPr="00EA2596">
        <w:rPr>
          <w:rFonts w:cs="Arial"/>
        </w:rPr>
        <w:t xml:space="preserve">, </w:t>
      </w:r>
      <w:r w:rsidR="00443DE3" w:rsidRPr="00EA2596">
        <w:rPr>
          <w:rFonts w:cs="Arial"/>
        </w:rPr>
        <w:t xml:space="preserve">the NGR or a </w:t>
      </w:r>
      <w:r w:rsidRPr="00EA2596">
        <w:rPr>
          <w:rFonts w:cs="Arial"/>
        </w:rPr>
        <w:t>guideline could be</w:t>
      </w:r>
      <w:r w:rsidR="005F1738" w:rsidRPr="00EA2596">
        <w:rPr>
          <w:rFonts w:cs="Arial"/>
        </w:rPr>
        <w:t xml:space="preserve"> developed on</w:t>
      </w:r>
      <w:r w:rsidRPr="00EA2596">
        <w:rPr>
          <w:rFonts w:cs="Arial"/>
        </w:rPr>
        <w:t xml:space="preserve"> an appropriate methodology</w:t>
      </w:r>
      <w:r>
        <w:rPr>
          <w:rFonts w:cs="Arial"/>
        </w:rPr>
        <w:t xml:space="preserve"> for</w:t>
      </w:r>
      <w:r w:rsidR="005F1738">
        <w:t xml:space="preserve"> </w:t>
      </w:r>
      <w:r>
        <w:t xml:space="preserve">calculating </w:t>
      </w:r>
      <w:r w:rsidR="005F1738">
        <w:t xml:space="preserve">the actual cost of service provision and, in particular, how to value </w:t>
      </w:r>
      <w:r>
        <w:t xml:space="preserve">relevant </w:t>
      </w:r>
      <w:r w:rsidR="005F1738">
        <w:t>assets and determine the value of other key inputs. This would</w:t>
      </w:r>
      <w:r w:rsidR="005663B1">
        <w:t>, as the Examination states,</w:t>
      </w:r>
      <w:r w:rsidR="005F1738">
        <w:t xml:space="preserve"> prevent “inappropriate revaluations” and would substantially narrow the areas for potential dispute.</w:t>
      </w:r>
      <w:r w:rsidR="00443DE3">
        <w:t xml:space="preserve"> </w:t>
      </w:r>
    </w:p>
    <w:p w:rsidR="008C4859" w:rsidRPr="00E143AE" w:rsidRDefault="00B91B4B" w:rsidP="008C4859">
      <w:pPr>
        <w:spacing w:line="276" w:lineRule="auto"/>
        <w:rPr>
          <w:rFonts w:cs="Arial"/>
          <w:szCs w:val="20"/>
        </w:rPr>
      </w:pPr>
      <w:r w:rsidRPr="00173C3E">
        <w:rPr>
          <w:rFonts w:cs="Arial"/>
          <w:szCs w:val="20"/>
        </w:rPr>
        <w:t xml:space="preserve">While </w:t>
      </w:r>
      <w:r w:rsidR="008C4859" w:rsidRPr="00173C3E">
        <w:rPr>
          <w:rFonts w:cs="Arial"/>
          <w:szCs w:val="20"/>
        </w:rPr>
        <w:t xml:space="preserve">the ACCC </w:t>
      </w:r>
      <w:r w:rsidR="00C94469" w:rsidRPr="00173C3E">
        <w:rPr>
          <w:rFonts w:cs="Arial"/>
          <w:szCs w:val="20"/>
        </w:rPr>
        <w:t>acknowledge</w:t>
      </w:r>
      <w:r w:rsidR="005E2F9F" w:rsidRPr="00173C3E">
        <w:rPr>
          <w:rFonts w:cs="Arial"/>
          <w:szCs w:val="20"/>
        </w:rPr>
        <w:t>s</w:t>
      </w:r>
      <w:r w:rsidR="008C4859" w:rsidRPr="00173C3E">
        <w:rPr>
          <w:rFonts w:cs="Arial"/>
          <w:szCs w:val="20"/>
        </w:rPr>
        <w:t xml:space="preserve"> the GMRG’s point that</w:t>
      </w:r>
      <w:r w:rsidRPr="00173C3E">
        <w:rPr>
          <w:rFonts w:cs="Arial"/>
          <w:szCs w:val="20"/>
        </w:rPr>
        <w:t xml:space="preserve"> </w:t>
      </w:r>
      <w:r w:rsidR="00C94469" w:rsidRPr="00173C3E">
        <w:rPr>
          <w:rFonts w:cs="Arial"/>
          <w:szCs w:val="20"/>
        </w:rPr>
        <w:t>being overly</w:t>
      </w:r>
      <w:r w:rsidR="008C4859" w:rsidRPr="00173C3E">
        <w:rPr>
          <w:rFonts w:cs="Arial"/>
          <w:szCs w:val="20"/>
        </w:rPr>
        <w:t xml:space="preserve"> prescriptive </w:t>
      </w:r>
      <w:r w:rsidR="00C94469" w:rsidRPr="00173C3E">
        <w:rPr>
          <w:rFonts w:cs="Arial"/>
          <w:szCs w:val="20"/>
        </w:rPr>
        <w:t>as to the way in which the assessment is carried out</w:t>
      </w:r>
      <w:r w:rsidRPr="00173C3E">
        <w:rPr>
          <w:rFonts w:cs="Arial"/>
          <w:szCs w:val="20"/>
        </w:rPr>
        <w:t xml:space="preserve"> may lead to </w:t>
      </w:r>
      <w:r w:rsidR="006404E8">
        <w:rPr>
          <w:rFonts w:cs="Arial"/>
          <w:szCs w:val="20"/>
        </w:rPr>
        <w:t>what could be considered more ‘</w:t>
      </w:r>
      <w:r w:rsidRPr="00173C3E">
        <w:rPr>
          <w:rFonts w:cs="Arial"/>
          <w:szCs w:val="20"/>
        </w:rPr>
        <w:t>regulatory outcomes</w:t>
      </w:r>
      <w:r w:rsidR="006404E8">
        <w:rPr>
          <w:rFonts w:cs="Arial"/>
          <w:szCs w:val="20"/>
        </w:rPr>
        <w:t>’ rather than purely commercial</w:t>
      </w:r>
      <w:r w:rsidRPr="00173C3E">
        <w:rPr>
          <w:rFonts w:cs="Arial"/>
          <w:szCs w:val="20"/>
        </w:rPr>
        <w:t xml:space="preserve">, </w:t>
      </w:r>
      <w:r w:rsidR="008C4859" w:rsidRPr="00173C3E">
        <w:rPr>
          <w:rFonts w:cs="Arial"/>
          <w:szCs w:val="20"/>
        </w:rPr>
        <w:t>the ACCC</w:t>
      </w:r>
      <w:r w:rsidRPr="00173C3E">
        <w:rPr>
          <w:rFonts w:cs="Arial"/>
          <w:szCs w:val="20"/>
        </w:rPr>
        <w:t xml:space="preserve"> consider</w:t>
      </w:r>
      <w:r w:rsidR="008C4859" w:rsidRPr="00173C3E">
        <w:rPr>
          <w:rFonts w:cs="Arial"/>
          <w:szCs w:val="20"/>
        </w:rPr>
        <w:t>s</w:t>
      </w:r>
      <w:r w:rsidRPr="00173C3E">
        <w:rPr>
          <w:rFonts w:cs="Arial"/>
          <w:szCs w:val="20"/>
        </w:rPr>
        <w:t xml:space="preserve"> </w:t>
      </w:r>
      <w:r w:rsidR="00857993">
        <w:rPr>
          <w:rFonts w:cs="Arial"/>
          <w:szCs w:val="20"/>
        </w:rPr>
        <w:t>the objective that parties</w:t>
      </w:r>
      <w:r w:rsidR="00F80E09">
        <w:rPr>
          <w:rFonts w:cs="Arial"/>
          <w:szCs w:val="20"/>
        </w:rPr>
        <w:t xml:space="preserve"> reach commercial agreement is most likely to be achieved </w:t>
      </w:r>
      <w:r w:rsidR="00977541">
        <w:rPr>
          <w:rFonts w:cs="Arial"/>
          <w:szCs w:val="20"/>
        </w:rPr>
        <w:t xml:space="preserve">if parties are aware of what </w:t>
      </w:r>
      <w:r w:rsidR="003E4727">
        <w:rPr>
          <w:rFonts w:cs="Arial"/>
          <w:szCs w:val="20"/>
        </w:rPr>
        <w:t>they can</w:t>
      </w:r>
      <w:r w:rsidR="00977541">
        <w:rPr>
          <w:rFonts w:cs="Arial"/>
          <w:szCs w:val="20"/>
        </w:rPr>
        <w:t xml:space="preserve"> expect from arbitration</w:t>
      </w:r>
      <w:r w:rsidR="00916838">
        <w:rPr>
          <w:rFonts w:cs="Arial"/>
          <w:szCs w:val="20"/>
        </w:rPr>
        <w:t>,</w:t>
      </w:r>
      <w:r w:rsidR="00A75AEB">
        <w:rPr>
          <w:rFonts w:cs="Arial"/>
          <w:szCs w:val="20"/>
        </w:rPr>
        <w:t xml:space="preserve"> </w:t>
      </w:r>
      <w:r w:rsidR="00916838">
        <w:rPr>
          <w:rFonts w:cs="Arial"/>
          <w:szCs w:val="20"/>
        </w:rPr>
        <w:t>using a common and appropriate fact base</w:t>
      </w:r>
      <w:r w:rsidR="00F80E09">
        <w:rPr>
          <w:rFonts w:cs="Arial"/>
          <w:szCs w:val="20"/>
        </w:rPr>
        <w:t xml:space="preserve">. </w:t>
      </w:r>
      <w:r w:rsidR="002B5C9C">
        <w:rPr>
          <w:rFonts w:cs="Arial"/>
          <w:szCs w:val="20"/>
        </w:rPr>
        <w:t>Therefore</w:t>
      </w:r>
      <w:r w:rsidR="00864CAB">
        <w:rPr>
          <w:rFonts w:cs="Arial"/>
          <w:szCs w:val="20"/>
        </w:rPr>
        <w:t xml:space="preserve">, being specific in the considerations an arbitrator will take into account and how an arbitrator </w:t>
      </w:r>
      <w:r w:rsidR="00916838">
        <w:rPr>
          <w:rFonts w:cs="Arial"/>
          <w:szCs w:val="20"/>
        </w:rPr>
        <w:t xml:space="preserve">can </w:t>
      </w:r>
      <w:r w:rsidR="00864CAB">
        <w:rPr>
          <w:rFonts w:cs="Arial"/>
          <w:szCs w:val="20"/>
        </w:rPr>
        <w:t xml:space="preserve">apply these to its calculations of reasonable pricing, is likely to best promote </w:t>
      </w:r>
      <w:r w:rsidR="00A75AEB">
        <w:rPr>
          <w:rFonts w:cs="Arial"/>
          <w:szCs w:val="20"/>
        </w:rPr>
        <w:t>successful negotiation in a way that is directed to the market power and bargaining power issues that gave rise to the development of this proposed framework in the first</w:t>
      </w:r>
      <w:r w:rsidR="00480B5A">
        <w:rPr>
          <w:rFonts w:cs="Arial"/>
          <w:szCs w:val="20"/>
        </w:rPr>
        <w:t xml:space="preserve"> </w:t>
      </w:r>
      <w:r w:rsidR="00A75AEB">
        <w:rPr>
          <w:rFonts w:cs="Arial"/>
          <w:szCs w:val="20"/>
        </w:rPr>
        <w:t>place.</w:t>
      </w:r>
      <w:r w:rsidR="00864CAB">
        <w:rPr>
          <w:rFonts w:cs="Arial"/>
          <w:szCs w:val="20"/>
        </w:rPr>
        <w:t xml:space="preserve"> </w:t>
      </w:r>
    </w:p>
    <w:p w:rsidR="00330690" w:rsidRPr="00EA2596" w:rsidRDefault="00443DE3" w:rsidP="00C33F3B">
      <w:pPr>
        <w:spacing w:line="276" w:lineRule="auto"/>
      </w:pPr>
      <w:r w:rsidRPr="00EA2596">
        <w:t>The ACCC consider</w:t>
      </w:r>
      <w:r w:rsidR="00DF79FA" w:rsidRPr="00EA2596">
        <w:t>s</w:t>
      </w:r>
      <w:r w:rsidRPr="00EA2596">
        <w:t xml:space="preserve"> the pricing principles and valuation guidelines in the NGR are a good starting point and we recommend that the AER be tasked with preparing the guideline.</w:t>
      </w:r>
    </w:p>
    <w:p w:rsidR="00330690" w:rsidRPr="00026140" w:rsidRDefault="00667A8B" w:rsidP="00026140">
      <w:pPr>
        <w:pStyle w:val="Numbered1"/>
      </w:pPr>
      <w:bookmarkStart w:id="64" w:name="_Toc479781945"/>
      <w:r w:rsidRPr="00026140">
        <w:t>Transitional arrangements</w:t>
      </w:r>
      <w:bookmarkEnd w:id="64"/>
    </w:p>
    <w:p w:rsidR="007A6315" w:rsidRPr="00C74F86" w:rsidRDefault="00667A8B" w:rsidP="00026140">
      <w:pPr>
        <w:pStyle w:val="BodyText"/>
      </w:pPr>
      <w:r w:rsidRPr="00EA2596">
        <w:t xml:space="preserve">The ACCC supports the GMRG’s proposed transitional arrangements to expedite implementation of the information disclosure and arbitration framework. </w:t>
      </w:r>
      <w:r w:rsidR="007A6315" w:rsidRPr="00EA2596">
        <w:t>In particular, the ACCC supports</w:t>
      </w:r>
      <w:r w:rsidR="000B173F" w:rsidRPr="00EA2596">
        <w:t xml:space="preserve"> commissioning the assistance of a consulting firm with expertise in financial reporting requirements</w:t>
      </w:r>
      <w:r w:rsidR="00687957" w:rsidRPr="00EA2596">
        <w:t xml:space="preserve"> to work</w:t>
      </w:r>
      <w:r w:rsidR="000B173F" w:rsidRPr="00EA2596">
        <w:t xml:space="preserve"> with the GMRG and the AER o</w:t>
      </w:r>
      <w:r w:rsidR="007A6315" w:rsidRPr="00EA2596">
        <w:t xml:space="preserve">n the development of </w:t>
      </w:r>
      <w:r w:rsidR="00CC3E74" w:rsidRPr="00EA2596">
        <w:t xml:space="preserve">guidelines, </w:t>
      </w:r>
      <w:r w:rsidR="007A6315" w:rsidRPr="00EA2596">
        <w:t>which would mean pipeline owners commence information reporting by 30 October 2018, rather than April 2019.</w:t>
      </w:r>
      <w:r w:rsidR="007A6315" w:rsidRPr="00C74F86">
        <w:t xml:space="preserve"> </w:t>
      </w:r>
    </w:p>
    <w:p w:rsidR="000B173F" w:rsidRPr="00C74F86" w:rsidRDefault="000B173F" w:rsidP="000B173F">
      <w:pPr>
        <w:pStyle w:val="BodyText"/>
      </w:pPr>
    </w:p>
    <w:p w:rsidR="00667A8B" w:rsidRPr="00667A8B" w:rsidRDefault="00667A8B" w:rsidP="00667A8B"/>
    <w:p w:rsidR="00D53053" w:rsidRDefault="00D53053" w:rsidP="00330690"/>
    <w:p w:rsidR="00D53053" w:rsidRPr="009B1EC8" w:rsidRDefault="00D53053" w:rsidP="00330690">
      <w:pPr>
        <w:rPr>
          <w:b/>
          <w:sz w:val="32"/>
        </w:rPr>
      </w:pPr>
    </w:p>
    <w:p w:rsidR="00786D9A" w:rsidRPr="009B1EC8" w:rsidRDefault="00786D9A" w:rsidP="007C4DE1"/>
    <w:sectPr w:rsidR="00786D9A" w:rsidRPr="009B1EC8" w:rsidSect="00C1126A">
      <w:footerReference w:type="default" r:id="rId14"/>
      <w:pgSz w:w="11906" w:h="16838"/>
      <w:pgMar w:top="993"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D64" w:rsidRDefault="00604D64" w:rsidP="004B4412">
      <w:pPr>
        <w:spacing w:before="0"/>
      </w:pPr>
      <w:r>
        <w:separator/>
      </w:r>
    </w:p>
  </w:endnote>
  <w:endnote w:type="continuationSeparator" w:id="0">
    <w:p w:rsidR="00604D64" w:rsidRDefault="00604D64"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64" w:rsidRPr="000E3A2E" w:rsidRDefault="00604D64" w:rsidP="000E3A2E">
    <w:pPr>
      <w:tabs>
        <w:tab w:val="center" w:pos="4513"/>
        <w:tab w:val="right" w:pos="8505"/>
      </w:tabs>
      <w:spacing w:after="120" w:line="276" w:lineRule="auto"/>
      <w:rPr>
        <w:color w:val="51626F" w:themeColor="accent1"/>
        <w:sz w:val="18"/>
      </w:rPr>
    </w:pPr>
    <w:r w:rsidRPr="000E3A2E">
      <w:rPr>
        <w:color w:val="51626F" w:themeColor="accent1"/>
        <w:sz w:val="18"/>
      </w:rPr>
      <w:tab/>
    </w:r>
    <w:r w:rsidRPr="000E3A2E">
      <w:rPr>
        <w:color w:val="51626F" w:themeColor="accent1"/>
        <w:sz w:val="18"/>
      </w:rPr>
      <w:tab/>
    </w:r>
    <w:r w:rsidRPr="000E3A2E">
      <w:rPr>
        <w:color w:val="51626F" w:themeColor="accent1"/>
        <w:sz w:val="18"/>
      </w:rPr>
      <w:fldChar w:fldCharType="begin"/>
    </w:r>
    <w:r w:rsidRPr="000E3A2E">
      <w:rPr>
        <w:color w:val="51626F" w:themeColor="accent1"/>
        <w:sz w:val="18"/>
      </w:rPr>
      <w:instrText xml:space="preserve"> PAGE   \* MERGEFORMAT </w:instrText>
    </w:r>
    <w:r w:rsidRPr="000E3A2E">
      <w:rPr>
        <w:color w:val="51626F" w:themeColor="accent1"/>
        <w:sz w:val="18"/>
      </w:rPr>
      <w:fldChar w:fldCharType="separate"/>
    </w:r>
    <w:r w:rsidR="00E731FD">
      <w:rPr>
        <w:noProof/>
        <w:color w:val="51626F" w:themeColor="accent1"/>
        <w:sz w:val="18"/>
      </w:rPr>
      <w:t>1</w:t>
    </w:r>
    <w:r w:rsidRPr="000E3A2E">
      <w:rPr>
        <w:color w:val="51626F" w:themeColor="accent1"/>
        <w:sz w:val="18"/>
      </w:rPr>
      <w:fldChar w:fldCharType="end"/>
    </w:r>
  </w:p>
  <w:p w:rsidR="00604D64" w:rsidRPr="000E3A2E" w:rsidRDefault="00604D64" w:rsidP="000E3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D64" w:rsidRDefault="00604D64" w:rsidP="004B4412">
      <w:pPr>
        <w:spacing w:before="0"/>
      </w:pPr>
      <w:r>
        <w:separator/>
      </w:r>
    </w:p>
  </w:footnote>
  <w:footnote w:type="continuationSeparator" w:id="0">
    <w:p w:rsidR="00604D64" w:rsidRDefault="00604D64" w:rsidP="004B4412">
      <w:pPr>
        <w:spacing w:before="0"/>
      </w:pPr>
      <w:r>
        <w:continuationSeparator/>
      </w:r>
    </w:p>
  </w:footnote>
  <w:footnote w:id="1">
    <w:p w:rsidR="00604D64" w:rsidRDefault="00604D64">
      <w:pPr>
        <w:pStyle w:val="FootnoteText"/>
      </w:pPr>
      <w:r>
        <w:rPr>
          <w:rStyle w:val="FootnoteReference"/>
        </w:rPr>
        <w:footnoteRef/>
      </w:r>
      <w:r>
        <w:t xml:space="preserve"> ACCC, </w:t>
      </w:r>
      <w:r w:rsidRPr="00806F97">
        <w:rPr>
          <w:i/>
        </w:rPr>
        <w:t>Inquiry into the East Coast Gas Market</w:t>
      </w:r>
      <w:r>
        <w:t>, April 2016.</w:t>
      </w:r>
    </w:p>
  </w:footnote>
  <w:footnote w:id="2">
    <w:p w:rsidR="00604D64" w:rsidRDefault="00604D64" w:rsidP="004F4149">
      <w:pPr>
        <w:pStyle w:val="FootnoteText"/>
      </w:pPr>
      <w:r>
        <w:rPr>
          <w:rStyle w:val="FootnoteReference"/>
        </w:rPr>
        <w:footnoteRef/>
      </w:r>
      <w:r>
        <w:t xml:space="preserve"> ACCC, </w:t>
      </w:r>
      <w:r w:rsidRPr="00806F97">
        <w:rPr>
          <w:i/>
        </w:rPr>
        <w:t>Inquiry into the East Coast Gas Market</w:t>
      </w:r>
      <w:r>
        <w:t>, April 2016, p. 20.</w:t>
      </w:r>
    </w:p>
  </w:footnote>
  <w:footnote w:id="3">
    <w:p w:rsidR="00604D64" w:rsidRDefault="00604D64">
      <w:pPr>
        <w:pStyle w:val="FootnoteText"/>
      </w:pPr>
      <w:r>
        <w:rPr>
          <w:rStyle w:val="FootnoteReference"/>
        </w:rPr>
        <w:footnoteRef/>
      </w:r>
      <w:r>
        <w:t xml:space="preserve"> </w:t>
      </w:r>
      <w:r w:rsidR="005B7812">
        <w:t xml:space="preserve">   </w:t>
      </w:r>
      <w:r>
        <w:t xml:space="preserve">ACCC, </w:t>
      </w:r>
      <w:r w:rsidRPr="00806F97">
        <w:rPr>
          <w:i/>
        </w:rPr>
        <w:t>Inquiry into the East Coast Gas Market</w:t>
      </w:r>
      <w:r>
        <w:t xml:space="preserve">, April 2016. </w:t>
      </w:r>
    </w:p>
  </w:footnote>
  <w:footnote w:id="4">
    <w:p w:rsidR="00604D64" w:rsidRDefault="00604D64">
      <w:pPr>
        <w:pStyle w:val="FootnoteText"/>
      </w:pPr>
      <w:r>
        <w:rPr>
          <w:rStyle w:val="FootnoteReference"/>
        </w:rPr>
        <w:footnoteRef/>
      </w:r>
      <w:r>
        <w:t xml:space="preserve"> </w:t>
      </w:r>
      <w:r w:rsidR="005B7812">
        <w:t xml:space="preserve">   </w:t>
      </w:r>
      <w:r>
        <w:t xml:space="preserve">ACCC, </w:t>
      </w:r>
      <w:r w:rsidRPr="00806F97">
        <w:rPr>
          <w:i/>
        </w:rPr>
        <w:t>Inquiry into the East Coast Gas Market</w:t>
      </w:r>
      <w:r>
        <w:t>, April 2016, p. 8.</w:t>
      </w:r>
    </w:p>
  </w:footnote>
  <w:footnote w:id="5">
    <w:p w:rsidR="00604D64" w:rsidRDefault="00604D64">
      <w:pPr>
        <w:pStyle w:val="FootnoteText"/>
      </w:pPr>
      <w:r>
        <w:rPr>
          <w:rStyle w:val="FootnoteReference"/>
        </w:rPr>
        <w:footnoteRef/>
      </w:r>
      <w:r>
        <w:t xml:space="preserve"> </w:t>
      </w:r>
      <w:r w:rsidR="005B7812">
        <w:t xml:space="preserve">   </w:t>
      </w:r>
      <w:r>
        <w:t xml:space="preserve">ACCC, </w:t>
      </w:r>
      <w:r w:rsidRPr="00806F97">
        <w:rPr>
          <w:i/>
        </w:rPr>
        <w:t>Inquiry into the East Coast Gas Market</w:t>
      </w:r>
      <w:r>
        <w:t>, April 2016, p. 121.</w:t>
      </w:r>
    </w:p>
  </w:footnote>
  <w:footnote w:id="6">
    <w:p w:rsidR="00604D64" w:rsidRDefault="00604D64">
      <w:pPr>
        <w:pStyle w:val="FootnoteText"/>
      </w:pPr>
      <w:r>
        <w:rPr>
          <w:rStyle w:val="FootnoteReference"/>
        </w:rPr>
        <w:footnoteRef/>
      </w:r>
      <w:r>
        <w:t xml:space="preserve"> </w:t>
      </w:r>
      <w:r w:rsidR="005B7812">
        <w:t xml:space="preserve">   </w:t>
      </w:r>
      <w:r>
        <w:t xml:space="preserve">ACCC, </w:t>
      </w:r>
      <w:r w:rsidRPr="00806F97">
        <w:rPr>
          <w:i/>
        </w:rPr>
        <w:t>Inquiry into the East Coast Gas Market</w:t>
      </w:r>
      <w:r>
        <w:t>, April 2016, pp. 11 and 141.</w:t>
      </w:r>
    </w:p>
  </w:footnote>
  <w:footnote w:id="7">
    <w:p w:rsidR="00604D64" w:rsidRPr="00504731" w:rsidRDefault="00604D64">
      <w:pPr>
        <w:pStyle w:val="FootnoteText"/>
        <w:rPr>
          <w:i/>
        </w:rPr>
      </w:pPr>
      <w:r>
        <w:rPr>
          <w:rStyle w:val="FootnoteReference"/>
        </w:rPr>
        <w:footnoteRef/>
      </w:r>
      <w:r>
        <w:t xml:space="preserve"> </w:t>
      </w:r>
      <w:r w:rsidR="005B7812">
        <w:t xml:space="preserve">   </w:t>
      </w:r>
      <w:r>
        <w:t xml:space="preserve">Dr Michael Vertigan AC, </w:t>
      </w:r>
      <w:r w:rsidRPr="00504731">
        <w:rPr>
          <w:rFonts w:cs="Arial"/>
          <w:i/>
        </w:rPr>
        <w:t>Examination of the current test for the regulation of gas pipelines</w:t>
      </w:r>
      <w:r>
        <w:rPr>
          <w:rFonts w:cs="Arial"/>
          <w:i/>
        </w:rPr>
        <w:t xml:space="preserve">, </w:t>
      </w:r>
      <w:r w:rsidRPr="00504731">
        <w:rPr>
          <w:rFonts w:cs="Arial"/>
        </w:rPr>
        <w:t>14 December 2016</w:t>
      </w:r>
      <w:r>
        <w:rPr>
          <w:rFonts w:cs="Arial"/>
        </w:rPr>
        <w:t>.</w:t>
      </w:r>
    </w:p>
  </w:footnote>
  <w:footnote w:id="8">
    <w:p w:rsidR="00604D64" w:rsidRDefault="00604D64">
      <w:pPr>
        <w:pStyle w:val="FootnoteText"/>
      </w:pPr>
      <w:r>
        <w:rPr>
          <w:rStyle w:val="FootnoteReference"/>
        </w:rPr>
        <w:footnoteRef/>
      </w:r>
      <w:r>
        <w:t xml:space="preserve"> </w:t>
      </w:r>
      <w:r w:rsidR="005B7812">
        <w:t xml:space="preserve">   </w:t>
      </w:r>
      <w:r>
        <w:t xml:space="preserve">Dr Michael Vertigan AC, </w:t>
      </w:r>
      <w:r w:rsidRPr="00504731">
        <w:rPr>
          <w:rFonts w:cs="Arial"/>
          <w:i/>
        </w:rPr>
        <w:t>Examination of the current test for the regulation of gas pipelines</w:t>
      </w:r>
      <w:r>
        <w:rPr>
          <w:rFonts w:cs="Arial"/>
          <w:i/>
        </w:rPr>
        <w:t xml:space="preserve">, </w:t>
      </w:r>
      <w:r w:rsidRPr="00504731">
        <w:rPr>
          <w:rFonts w:cs="Arial"/>
        </w:rPr>
        <w:t>14 December 2016</w:t>
      </w:r>
      <w:r>
        <w:rPr>
          <w:rFonts w:cs="Arial"/>
        </w:rPr>
        <w:t>, p. 12.</w:t>
      </w:r>
    </w:p>
  </w:footnote>
  <w:footnote w:id="9">
    <w:p w:rsidR="00604D64" w:rsidRDefault="00604D64">
      <w:pPr>
        <w:pStyle w:val="FootnoteText"/>
      </w:pPr>
      <w:r>
        <w:rPr>
          <w:rStyle w:val="FootnoteReference"/>
        </w:rPr>
        <w:footnoteRef/>
      </w:r>
      <w:r>
        <w:t xml:space="preserve"> </w:t>
      </w:r>
      <w:r w:rsidR="005B7812">
        <w:t xml:space="preserve">   </w:t>
      </w:r>
      <w:r>
        <w:t xml:space="preserve">Dr Michael Vertigan AC, </w:t>
      </w:r>
      <w:r w:rsidRPr="00504731">
        <w:rPr>
          <w:rFonts w:cs="Arial"/>
          <w:i/>
        </w:rPr>
        <w:t>Examination of the current test for the regulation of gas pipelines</w:t>
      </w:r>
      <w:r>
        <w:rPr>
          <w:rFonts w:cs="Arial"/>
          <w:i/>
        </w:rPr>
        <w:t xml:space="preserve">, </w:t>
      </w:r>
      <w:r w:rsidRPr="00504731">
        <w:rPr>
          <w:rFonts w:cs="Arial"/>
        </w:rPr>
        <w:t>14 December 2016</w:t>
      </w:r>
      <w:r>
        <w:rPr>
          <w:rFonts w:cs="Arial"/>
        </w:rPr>
        <w:t>, p. 4.</w:t>
      </w:r>
    </w:p>
  </w:footnote>
  <w:footnote w:id="10">
    <w:p w:rsidR="00604D64" w:rsidRDefault="00604D64">
      <w:pPr>
        <w:pStyle w:val="FootnoteText"/>
      </w:pPr>
      <w:r>
        <w:rPr>
          <w:rStyle w:val="FootnoteReference"/>
        </w:rPr>
        <w:footnoteRef/>
      </w:r>
      <w:r>
        <w:t xml:space="preserve"> </w:t>
      </w:r>
      <w:r w:rsidR="005B7812">
        <w:t xml:space="preserve">  </w:t>
      </w:r>
      <w:r>
        <w:t xml:space="preserve">ACCC, </w:t>
      </w:r>
      <w:r w:rsidRPr="00806F97">
        <w:rPr>
          <w:i/>
        </w:rPr>
        <w:t>Inquiry into the East Coast Gas Market</w:t>
      </w:r>
      <w:r>
        <w:t>, April 2016, p. 128.</w:t>
      </w:r>
    </w:p>
  </w:footnote>
  <w:footnote w:id="11">
    <w:p w:rsidR="00604D64" w:rsidRDefault="00604D64" w:rsidP="00677ED8">
      <w:pPr>
        <w:pStyle w:val="FootnoteText"/>
      </w:pPr>
      <w:r>
        <w:rPr>
          <w:rStyle w:val="FootnoteReference"/>
        </w:rPr>
        <w:footnoteRef/>
      </w:r>
      <w:r>
        <w:t xml:space="preserve"> </w:t>
      </w:r>
      <w:r w:rsidR="005B7812">
        <w:t xml:space="preserve">   </w:t>
      </w:r>
      <w:r>
        <w:t xml:space="preserve">ACCC, </w:t>
      </w:r>
      <w:r w:rsidRPr="00806F97">
        <w:rPr>
          <w:i/>
        </w:rPr>
        <w:t>Inquiry into the East Coast Gas Market</w:t>
      </w:r>
      <w:r>
        <w:t>, April 2016, p. 20.</w:t>
      </w:r>
    </w:p>
  </w:footnote>
  <w:footnote w:id="12">
    <w:p w:rsidR="00604D64" w:rsidRDefault="00604D64">
      <w:pPr>
        <w:pStyle w:val="FootnoteText"/>
      </w:pPr>
      <w:r>
        <w:rPr>
          <w:rStyle w:val="FootnoteReference"/>
        </w:rPr>
        <w:footnoteRef/>
      </w:r>
      <w:r>
        <w:t xml:space="preserve"> </w:t>
      </w:r>
      <w:r w:rsidR="005B7812">
        <w:t xml:space="preserve">   </w:t>
      </w:r>
      <w:r>
        <w:t xml:space="preserve">ACCC, </w:t>
      </w:r>
      <w:r w:rsidRPr="00806F97">
        <w:rPr>
          <w:i/>
        </w:rPr>
        <w:t>Inquiry into the East Coast Gas Market</w:t>
      </w:r>
      <w:r>
        <w:t>, April 2016, p. 101.</w:t>
      </w:r>
    </w:p>
  </w:footnote>
  <w:footnote w:id="13">
    <w:p w:rsidR="00604D64" w:rsidRDefault="00604D64">
      <w:pPr>
        <w:pStyle w:val="FootnoteText"/>
      </w:pPr>
      <w:r>
        <w:rPr>
          <w:rStyle w:val="FootnoteReference"/>
        </w:rPr>
        <w:footnoteRef/>
      </w:r>
      <w:r>
        <w:t xml:space="preserve"> </w:t>
      </w:r>
      <w:r w:rsidR="00BC58DA">
        <w:t xml:space="preserve">    </w:t>
      </w:r>
      <w:r>
        <w:t xml:space="preserve">ACCC, </w:t>
      </w:r>
      <w:r w:rsidRPr="00806F97">
        <w:rPr>
          <w:i/>
        </w:rPr>
        <w:t>Inquiry into the East Coast Gas Market</w:t>
      </w:r>
      <w:r>
        <w:t>, April 2016, p. 128.</w:t>
      </w:r>
    </w:p>
  </w:footnote>
  <w:footnote w:id="14">
    <w:p w:rsidR="00604D64" w:rsidRDefault="00604D64">
      <w:pPr>
        <w:pStyle w:val="FootnoteText"/>
      </w:pPr>
      <w:r>
        <w:rPr>
          <w:rStyle w:val="FootnoteReference"/>
        </w:rPr>
        <w:footnoteRef/>
      </w:r>
      <w:r w:rsidR="00BC58DA">
        <w:t xml:space="preserve">    </w:t>
      </w:r>
      <w:r>
        <w:t xml:space="preserve"> Gas Market Reform Group, </w:t>
      </w:r>
      <w:r w:rsidRPr="00707042">
        <w:rPr>
          <w:rFonts w:cs="Arial"/>
          <w:szCs w:val="24"/>
        </w:rPr>
        <w:t>Gas Pipeline Information Disclosure and Arbitrati</w:t>
      </w:r>
      <w:r>
        <w:rPr>
          <w:rFonts w:cs="Arial"/>
          <w:szCs w:val="24"/>
        </w:rPr>
        <w:t>on Framework Implementation Opti</w:t>
      </w:r>
      <w:r w:rsidRPr="00707042">
        <w:rPr>
          <w:rFonts w:cs="Arial"/>
          <w:szCs w:val="24"/>
        </w:rPr>
        <w:t>ons Paper</w:t>
      </w:r>
      <w:r>
        <w:rPr>
          <w:rFonts w:cs="Arial"/>
          <w:szCs w:val="24"/>
        </w:rPr>
        <w:t>, March 2017, pp. 37-38.</w:t>
      </w:r>
    </w:p>
  </w:footnote>
  <w:footnote w:id="15">
    <w:p w:rsidR="00604D64" w:rsidRDefault="00604D64" w:rsidP="00A92B58">
      <w:pPr>
        <w:pStyle w:val="FootnoteText"/>
      </w:pPr>
      <w:r>
        <w:rPr>
          <w:rStyle w:val="FootnoteReference"/>
        </w:rPr>
        <w:footnoteRef/>
      </w:r>
      <w:r>
        <w:t xml:space="preserve"> </w:t>
      </w:r>
      <w:r w:rsidR="00BC58DA">
        <w:t xml:space="preserve">    </w:t>
      </w:r>
      <w:r>
        <w:t xml:space="preserve">Gas Market Reform Group, </w:t>
      </w:r>
      <w:r w:rsidRPr="00707042">
        <w:rPr>
          <w:rFonts w:cs="Arial"/>
          <w:szCs w:val="24"/>
        </w:rPr>
        <w:t>Gas Pipeline Information Disclosure and Arbitrati</w:t>
      </w:r>
      <w:r>
        <w:rPr>
          <w:rFonts w:cs="Arial"/>
          <w:szCs w:val="24"/>
        </w:rPr>
        <w:t>on Framework Implementation Opti</w:t>
      </w:r>
      <w:r w:rsidRPr="00707042">
        <w:rPr>
          <w:rFonts w:cs="Arial"/>
          <w:szCs w:val="24"/>
        </w:rPr>
        <w:t>ons Paper</w:t>
      </w:r>
      <w:r>
        <w:rPr>
          <w:rFonts w:cs="Arial"/>
          <w:szCs w:val="24"/>
        </w:rPr>
        <w:t>, March 2017, p. 139.</w:t>
      </w:r>
    </w:p>
  </w:footnote>
  <w:footnote w:id="16">
    <w:p w:rsidR="00604D64" w:rsidRDefault="00604D64" w:rsidP="00A92B58">
      <w:pPr>
        <w:pStyle w:val="FootnoteText"/>
      </w:pPr>
      <w:r>
        <w:rPr>
          <w:rStyle w:val="FootnoteReference"/>
        </w:rPr>
        <w:footnoteRef/>
      </w:r>
      <w:r>
        <w:t xml:space="preserve"> </w:t>
      </w:r>
      <w:r>
        <w:tab/>
        <w:t xml:space="preserve">Productivity Commission, (2006), </w:t>
      </w:r>
      <w:r w:rsidRPr="009516E5">
        <w:rPr>
          <w:i/>
        </w:rPr>
        <w:t>Review of Price Regulation of Airport Services</w:t>
      </w:r>
      <w:r>
        <w:t xml:space="preserve">, No. 40, December, Pages XXII-XXIII, </w:t>
      </w:r>
      <w:hyperlink r:id="rId1" w:history="1">
        <w:r w:rsidRPr="009516E5">
          <w:rPr>
            <w:rStyle w:val="Hyperlink"/>
            <w:sz w:val="16"/>
          </w:rPr>
          <w:t>http://www.pc.gov.au/__data/assets/pdf_file/0013/63103/airportservicesoverview.pdf</w:t>
        </w:r>
      </w:hyperlink>
      <w:r>
        <w:t xml:space="preserve"> </w:t>
      </w:r>
    </w:p>
  </w:footnote>
  <w:footnote w:id="17">
    <w:p w:rsidR="0062064F" w:rsidRDefault="0062064F">
      <w:pPr>
        <w:pStyle w:val="FootnoteText"/>
      </w:pPr>
      <w:r>
        <w:rPr>
          <w:rStyle w:val="FootnoteReference"/>
        </w:rPr>
        <w:footnoteRef/>
      </w:r>
      <w:r>
        <w:t xml:space="preserve">     See speech by ACCC Chairman, </w:t>
      </w:r>
      <w:hyperlink r:id="rId2" w:history="1">
        <w:r>
          <w:rPr>
            <w:rStyle w:val="Hyperlink"/>
            <w:sz w:val="16"/>
          </w:rPr>
          <w:t>https://www.accc.gov.au/speech/ports-what-measure-of-regulation</w:t>
        </w:r>
      </w:hyperlink>
      <w:r>
        <w:t>, 20 October 2016.</w:t>
      </w:r>
    </w:p>
  </w:footnote>
  <w:footnote w:id="18">
    <w:p w:rsidR="00604D64" w:rsidRDefault="00604D64">
      <w:pPr>
        <w:pStyle w:val="FootnoteText"/>
      </w:pPr>
      <w:r>
        <w:rPr>
          <w:rStyle w:val="FootnoteReference"/>
        </w:rPr>
        <w:footnoteRef/>
      </w:r>
      <w:r>
        <w:t xml:space="preserve"> </w:t>
      </w:r>
      <w:r w:rsidR="005B7812">
        <w:t xml:space="preserve">  </w:t>
      </w:r>
      <w:r>
        <w:t xml:space="preserve">ACCC, </w:t>
      </w:r>
      <w:r w:rsidRPr="00806F97">
        <w:rPr>
          <w:i/>
        </w:rPr>
        <w:t>Inquiry into the East Coast Gas Market</w:t>
      </w:r>
      <w:r>
        <w:t>, April 2016, p. 92.</w:t>
      </w:r>
    </w:p>
  </w:footnote>
  <w:footnote w:id="19">
    <w:p w:rsidR="00604D64" w:rsidRDefault="00604D64">
      <w:pPr>
        <w:pStyle w:val="FootnoteText"/>
      </w:pPr>
      <w:r>
        <w:rPr>
          <w:rStyle w:val="FootnoteReference"/>
        </w:rPr>
        <w:footnoteRef/>
      </w:r>
      <w:r>
        <w:t xml:space="preserve"> </w:t>
      </w:r>
      <w:r w:rsidR="005B7812">
        <w:t xml:space="preserve">  </w:t>
      </w:r>
      <w:r>
        <w:t xml:space="preserve">ACCC, </w:t>
      </w:r>
      <w:r w:rsidRPr="00806F97">
        <w:rPr>
          <w:i/>
        </w:rPr>
        <w:t>Inquiry into the East Coast Gas Market</w:t>
      </w:r>
      <w:r>
        <w:t>, April 2016, p.98.</w:t>
      </w:r>
    </w:p>
  </w:footnote>
  <w:footnote w:id="20">
    <w:p w:rsidR="00604D64" w:rsidRDefault="00604D64" w:rsidP="007232E9">
      <w:pPr>
        <w:pStyle w:val="FootnoteText"/>
        <w:ind w:left="0" w:firstLine="0"/>
      </w:pPr>
      <w:r>
        <w:rPr>
          <w:rStyle w:val="FootnoteReference"/>
        </w:rPr>
        <w:footnoteRef/>
      </w:r>
      <w:r>
        <w:t xml:space="preserve"> </w:t>
      </w:r>
      <w:r w:rsidR="005B7812">
        <w:t xml:space="preserve">    </w:t>
      </w:r>
      <w:r w:rsidRPr="008A6078">
        <w:t xml:space="preserve">For example, APA owns 13 out of the 30 or so transmission pipelines on the east coast. See ACCC, </w:t>
      </w:r>
      <w:r w:rsidRPr="008A6078">
        <w:rPr>
          <w:i/>
        </w:rPr>
        <w:t xml:space="preserve">Inquiry into the East </w:t>
      </w:r>
      <w:r>
        <w:rPr>
          <w:i/>
        </w:rPr>
        <w:br/>
        <w:t xml:space="preserve">    </w:t>
      </w:r>
      <w:r w:rsidR="005B7812">
        <w:rPr>
          <w:i/>
        </w:rPr>
        <w:t xml:space="preserve">   </w:t>
      </w:r>
      <w:r w:rsidRPr="008A6078">
        <w:rPr>
          <w:i/>
        </w:rPr>
        <w:t>Coast Gas Market</w:t>
      </w:r>
      <w:r w:rsidRPr="008A6078">
        <w:t>, April 2016, p. 96.</w:t>
      </w:r>
    </w:p>
  </w:footnote>
  <w:footnote w:id="21">
    <w:p w:rsidR="00604D64" w:rsidRDefault="00604D64" w:rsidP="003B2960">
      <w:pPr>
        <w:pStyle w:val="FootnoteText"/>
      </w:pPr>
      <w:r>
        <w:rPr>
          <w:rStyle w:val="FootnoteReference"/>
        </w:rPr>
        <w:footnoteRef/>
      </w:r>
      <w:r>
        <w:t xml:space="preserve"> </w:t>
      </w:r>
      <w:r w:rsidR="005B7812">
        <w:t xml:space="preserve">    </w:t>
      </w:r>
      <w:r>
        <w:t xml:space="preserve">A rule change request is due to be submitted to the AEMC shortly. See COAG Energy Council, Gas Market Reform Package Appendix A – Energy Council response to ACCC and AEMC’s reports, August 2016; and Gas Market Reform Group, </w:t>
      </w:r>
      <w:r w:rsidRPr="00707042">
        <w:rPr>
          <w:rFonts w:cs="Arial"/>
          <w:szCs w:val="24"/>
        </w:rPr>
        <w:t>Gas Pipeline Information Disclosure and Arbitrati</w:t>
      </w:r>
      <w:r>
        <w:rPr>
          <w:rFonts w:cs="Arial"/>
          <w:szCs w:val="24"/>
        </w:rPr>
        <w:t>on Framework Implementation Opti</w:t>
      </w:r>
      <w:r w:rsidRPr="00707042">
        <w:rPr>
          <w:rFonts w:cs="Arial"/>
          <w:szCs w:val="24"/>
        </w:rPr>
        <w:t>ons Paper</w:t>
      </w:r>
      <w:r>
        <w:rPr>
          <w:rFonts w:cs="Arial"/>
          <w:szCs w:val="24"/>
        </w:rPr>
        <w:t>, March 2017, p. 45.</w:t>
      </w:r>
    </w:p>
  </w:footnote>
  <w:footnote w:id="22">
    <w:p w:rsidR="00604D64" w:rsidRDefault="00604D64">
      <w:pPr>
        <w:pStyle w:val="FootnoteText"/>
      </w:pPr>
      <w:r>
        <w:rPr>
          <w:rStyle w:val="FootnoteReference"/>
        </w:rPr>
        <w:footnoteRef/>
      </w:r>
      <w:r>
        <w:t xml:space="preserve"> </w:t>
      </w:r>
      <w:r w:rsidR="005B7812">
        <w:t xml:space="preserve">   </w:t>
      </w:r>
      <w:r>
        <w:t>National Gas Rules, r 112(3</w:t>
      </w:r>
      <w:proofErr w:type="gramStart"/>
      <w:r>
        <w:t>)(</w:t>
      </w:r>
      <w:proofErr w:type="gramEnd"/>
      <w:r>
        <w:t>b)(iii).</w:t>
      </w:r>
    </w:p>
  </w:footnote>
  <w:footnote w:id="23">
    <w:p w:rsidR="00604D64" w:rsidRDefault="00604D64" w:rsidP="00566806">
      <w:pPr>
        <w:pStyle w:val="FootnoteText"/>
      </w:pPr>
      <w:r>
        <w:rPr>
          <w:rStyle w:val="FootnoteReference"/>
        </w:rPr>
        <w:footnoteRef/>
      </w:r>
      <w:r>
        <w:t xml:space="preserve"> </w:t>
      </w:r>
      <w:r w:rsidR="005B7812">
        <w:t xml:space="preserve">   </w:t>
      </w:r>
      <w:r>
        <w:t xml:space="preserve">ACCC, </w:t>
      </w:r>
      <w:r w:rsidRPr="00806F97">
        <w:rPr>
          <w:i/>
        </w:rPr>
        <w:t>Inquiry into the East Coast Gas Market</w:t>
      </w:r>
      <w:r>
        <w:t>, April 2016, p. 92.</w:t>
      </w:r>
    </w:p>
  </w:footnote>
  <w:footnote w:id="24">
    <w:p w:rsidR="00604D64" w:rsidRDefault="00604D64">
      <w:pPr>
        <w:pStyle w:val="FootnoteText"/>
      </w:pPr>
      <w:r>
        <w:rPr>
          <w:rStyle w:val="FootnoteReference"/>
        </w:rPr>
        <w:footnoteRef/>
      </w:r>
      <w:r>
        <w:t xml:space="preserve"> </w:t>
      </w:r>
      <w:r w:rsidR="005B7812">
        <w:t xml:space="preserve">     </w:t>
      </w:r>
      <w:proofErr w:type="gramStart"/>
      <w:r>
        <w:t>National Gas (South Australia) (Pipelines Access-Arbitration) Amendment Bill 2017.</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47A75C0"/>
    <w:multiLevelType w:val="hybridMultilevel"/>
    <w:tmpl w:val="4462C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8652B67"/>
    <w:multiLevelType w:val="hybridMultilevel"/>
    <w:tmpl w:val="B9208A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A313A65"/>
    <w:multiLevelType w:val="hybridMultilevel"/>
    <w:tmpl w:val="D568B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4">
    <w:nsid w:val="16A15F31"/>
    <w:multiLevelType w:val="hybridMultilevel"/>
    <w:tmpl w:val="566E4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6">
    <w:nsid w:val="1CF519CE"/>
    <w:multiLevelType w:val="multilevel"/>
    <w:tmpl w:val="65B8C748"/>
    <w:lvl w:ilvl="0">
      <w:start w:val="1"/>
      <w:numFmt w:val="decimal"/>
      <w:pStyle w:val="Numbered1"/>
      <w:lvlText w:val="%1."/>
      <w:lvlJc w:val="left"/>
      <w:pPr>
        <w:ind w:left="360" w:hanging="360"/>
      </w:pPr>
    </w:lvl>
    <w:lvl w:ilvl="1">
      <w:start w:val="1"/>
      <w:numFmt w:val="decimal"/>
      <w:pStyle w:val="Numbered11"/>
      <w:lvlText w:val="%1.%2."/>
      <w:lvlJc w:val="left"/>
      <w:pPr>
        <w:ind w:left="2559"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7">
    <w:nsid w:val="20A81250"/>
    <w:multiLevelType w:val="hybridMultilevel"/>
    <w:tmpl w:val="8CB8156A"/>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nsid w:val="294D1DE2"/>
    <w:multiLevelType w:val="hybridMultilevel"/>
    <w:tmpl w:val="62A02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9780D8E"/>
    <w:multiLevelType w:val="hybridMultilevel"/>
    <w:tmpl w:val="48A68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B1638DB"/>
    <w:multiLevelType w:val="hybridMultilevel"/>
    <w:tmpl w:val="F7E81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24B2792"/>
    <w:multiLevelType w:val="hybridMultilevel"/>
    <w:tmpl w:val="DCEC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3">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4">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6">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C1620B6"/>
    <w:multiLevelType w:val="hybridMultilevel"/>
    <w:tmpl w:val="48487D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0896939"/>
    <w:multiLevelType w:val="hybridMultilevel"/>
    <w:tmpl w:val="1908BE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7C3198E"/>
    <w:multiLevelType w:val="hybridMultilevel"/>
    <w:tmpl w:val="734EEBF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7D42946"/>
    <w:multiLevelType w:val="hybridMultilevel"/>
    <w:tmpl w:val="3C4A33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32">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5">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6">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7">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8">
    <w:nsid w:val="77C04D23"/>
    <w:multiLevelType w:val="hybridMultilevel"/>
    <w:tmpl w:val="14BE096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0">
    <w:nsid w:val="7B676A5C"/>
    <w:multiLevelType w:val="hybridMultilevel"/>
    <w:tmpl w:val="78FCF5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DC40AC5"/>
    <w:multiLevelType w:val="hybridMultilevel"/>
    <w:tmpl w:val="783E7AB8"/>
    <w:lvl w:ilvl="0" w:tplc="94E816EE">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42"/>
  </w:num>
  <w:num w:numId="3">
    <w:abstractNumId w:val="7"/>
  </w:num>
  <w:num w:numId="4">
    <w:abstractNumId w:val="6"/>
  </w:num>
  <w:num w:numId="5">
    <w:abstractNumId w:val="5"/>
  </w:num>
  <w:num w:numId="6">
    <w:abstractNumId w:val="4"/>
  </w:num>
  <w:num w:numId="7">
    <w:abstractNumId w:val="1"/>
  </w:num>
  <w:num w:numId="8">
    <w:abstractNumId w:val="0"/>
  </w:num>
  <w:num w:numId="9">
    <w:abstractNumId w:val="34"/>
  </w:num>
  <w:num w:numId="10">
    <w:abstractNumId w:val="24"/>
  </w:num>
  <w:num w:numId="11">
    <w:abstractNumId w:val="12"/>
  </w:num>
  <w:num w:numId="12">
    <w:abstractNumId w:val="16"/>
  </w:num>
  <w:num w:numId="13">
    <w:abstractNumId w:val="23"/>
  </w:num>
  <w:num w:numId="14">
    <w:abstractNumId w:val="2"/>
  </w:num>
  <w:num w:numId="15">
    <w:abstractNumId w:val="35"/>
  </w:num>
  <w:num w:numId="16">
    <w:abstractNumId w:val="39"/>
  </w:num>
  <w:num w:numId="17">
    <w:abstractNumId w:val="37"/>
  </w:num>
  <w:num w:numId="18">
    <w:abstractNumId w:val="31"/>
  </w:num>
  <w:num w:numId="19">
    <w:abstractNumId w:val="22"/>
  </w:num>
  <w:num w:numId="20">
    <w:abstractNumId w:val="25"/>
  </w:num>
  <w:num w:numId="21">
    <w:abstractNumId w:val="36"/>
  </w:num>
  <w:num w:numId="22">
    <w:abstractNumId w:val="32"/>
  </w:num>
  <w:num w:numId="23">
    <w:abstractNumId w:val="8"/>
  </w:num>
  <w:num w:numId="24">
    <w:abstractNumId w:val="3"/>
  </w:num>
  <w:num w:numId="25">
    <w:abstractNumId w:val="26"/>
  </w:num>
  <w:num w:numId="26">
    <w:abstractNumId w:val="15"/>
  </w:num>
  <w:num w:numId="27">
    <w:abstractNumId w:val="33"/>
  </w:num>
  <w:num w:numId="28">
    <w:abstractNumId w:val="21"/>
  </w:num>
  <w:num w:numId="29">
    <w:abstractNumId w:val="17"/>
  </w:num>
  <w:num w:numId="30">
    <w:abstractNumId w:val="29"/>
  </w:num>
  <w:num w:numId="31">
    <w:abstractNumId w:val="41"/>
  </w:num>
  <w:num w:numId="32">
    <w:abstractNumId w:val="14"/>
  </w:num>
  <w:num w:numId="33">
    <w:abstractNumId w:val="38"/>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0"/>
  </w:num>
  <w:num w:numId="37">
    <w:abstractNumId w:val="19"/>
  </w:num>
  <w:num w:numId="38">
    <w:abstractNumId w:val="9"/>
  </w:num>
  <w:num w:numId="39">
    <w:abstractNumId w:val="11"/>
  </w:num>
  <w:num w:numId="40">
    <w:abstractNumId w:val="12"/>
  </w:num>
  <w:num w:numId="41">
    <w:abstractNumId w:val="12"/>
  </w:num>
  <w:num w:numId="42">
    <w:abstractNumId w:val="18"/>
  </w:num>
  <w:num w:numId="43">
    <w:abstractNumId w:val="20"/>
  </w:num>
  <w:num w:numId="44">
    <w:abstractNumId w:val="30"/>
  </w:num>
  <w:num w:numId="45">
    <w:abstractNumId w:val="12"/>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2"/>
    <w:lvlOverride w:ilvl="0">
      <w:startOverride w:val="1"/>
    </w:lvlOverride>
  </w:num>
  <w:num w:numId="49">
    <w:abstractNumId w:val="12"/>
  </w:num>
  <w:num w:numId="50">
    <w:abstractNumId w:val="12"/>
  </w:num>
  <w:num w:numId="51">
    <w:abstractNumId w:val="28"/>
  </w:num>
  <w:num w:numId="52">
    <w:abstractNumId w:val="40"/>
  </w:num>
  <w:num w:numId="53">
    <w:abstractNumId w:val="16"/>
  </w:num>
  <w:num w:numId="54">
    <w:abstractNumId w:val="12"/>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cjansz\AppData\Local\Microsoft\Windows\Temporary Internet Files\Content.Outlook\K6VGYH22\MEA-Gas - ACCC submission to the Gas Market Reform Group - draft following NR comments - 4 April 2017.DOCX"/>
  </w:docVars>
  <w:rsids>
    <w:rsidRoot w:val="00330690"/>
    <w:rsid w:val="00001B6A"/>
    <w:rsid w:val="00002A1A"/>
    <w:rsid w:val="00004D02"/>
    <w:rsid w:val="00006379"/>
    <w:rsid w:val="000106CD"/>
    <w:rsid w:val="0001076B"/>
    <w:rsid w:val="00011440"/>
    <w:rsid w:val="00011545"/>
    <w:rsid w:val="000128D7"/>
    <w:rsid w:val="00014037"/>
    <w:rsid w:val="00014BD0"/>
    <w:rsid w:val="000156BA"/>
    <w:rsid w:val="0002115F"/>
    <w:rsid w:val="00021201"/>
    <w:rsid w:val="00021202"/>
    <w:rsid w:val="0002128B"/>
    <w:rsid w:val="000225C4"/>
    <w:rsid w:val="00022F1E"/>
    <w:rsid w:val="000235BC"/>
    <w:rsid w:val="000248F3"/>
    <w:rsid w:val="00024F6F"/>
    <w:rsid w:val="00025D9F"/>
    <w:rsid w:val="00026140"/>
    <w:rsid w:val="000319FB"/>
    <w:rsid w:val="00033057"/>
    <w:rsid w:val="00033EA8"/>
    <w:rsid w:val="00034829"/>
    <w:rsid w:val="0003578C"/>
    <w:rsid w:val="000357CA"/>
    <w:rsid w:val="00036B61"/>
    <w:rsid w:val="000377B4"/>
    <w:rsid w:val="000415A0"/>
    <w:rsid w:val="000416C5"/>
    <w:rsid w:val="00042327"/>
    <w:rsid w:val="000438C8"/>
    <w:rsid w:val="000446A1"/>
    <w:rsid w:val="0004559B"/>
    <w:rsid w:val="000465EE"/>
    <w:rsid w:val="00046BC8"/>
    <w:rsid w:val="00046E48"/>
    <w:rsid w:val="00046F21"/>
    <w:rsid w:val="000470B5"/>
    <w:rsid w:val="0005004F"/>
    <w:rsid w:val="00051AD9"/>
    <w:rsid w:val="000533DA"/>
    <w:rsid w:val="0005420A"/>
    <w:rsid w:val="000544B6"/>
    <w:rsid w:val="0005515F"/>
    <w:rsid w:val="00055FD1"/>
    <w:rsid w:val="000564E5"/>
    <w:rsid w:val="00056FFF"/>
    <w:rsid w:val="00057399"/>
    <w:rsid w:val="000615BA"/>
    <w:rsid w:val="00061A8B"/>
    <w:rsid w:val="00063247"/>
    <w:rsid w:val="000647D3"/>
    <w:rsid w:val="0006512E"/>
    <w:rsid w:val="000651F6"/>
    <w:rsid w:val="000656DA"/>
    <w:rsid w:val="000664F9"/>
    <w:rsid w:val="00067DB1"/>
    <w:rsid w:val="00070F9F"/>
    <w:rsid w:val="0007137B"/>
    <w:rsid w:val="00073B75"/>
    <w:rsid w:val="000760C6"/>
    <w:rsid w:val="000763AC"/>
    <w:rsid w:val="00077ECD"/>
    <w:rsid w:val="00082149"/>
    <w:rsid w:val="00083894"/>
    <w:rsid w:val="000841B6"/>
    <w:rsid w:val="00084FD2"/>
    <w:rsid w:val="00085663"/>
    <w:rsid w:val="00085A7B"/>
    <w:rsid w:val="00085EBF"/>
    <w:rsid w:val="00091FE4"/>
    <w:rsid w:val="000927E7"/>
    <w:rsid w:val="000965CC"/>
    <w:rsid w:val="000A2B9B"/>
    <w:rsid w:val="000A308A"/>
    <w:rsid w:val="000A491E"/>
    <w:rsid w:val="000A56AB"/>
    <w:rsid w:val="000A5D1B"/>
    <w:rsid w:val="000A6176"/>
    <w:rsid w:val="000A6A43"/>
    <w:rsid w:val="000A6E11"/>
    <w:rsid w:val="000B018D"/>
    <w:rsid w:val="000B030D"/>
    <w:rsid w:val="000B173F"/>
    <w:rsid w:val="000B18AE"/>
    <w:rsid w:val="000B2208"/>
    <w:rsid w:val="000B28EE"/>
    <w:rsid w:val="000B3A2F"/>
    <w:rsid w:val="000B4C57"/>
    <w:rsid w:val="000B7023"/>
    <w:rsid w:val="000B70BC"/>
    <w:rsid w:val="000C0F0D"/>
    <w:rsid w:val="000C2C48"/>
    <w:rsid w:val="000C4265"/>
    <w:rsid w:val="000C6E5F"/>
    <w:rsid w:val="000D122C"/>
    <w:rsid w:val="000D1B3A"/>
    <w:rsid w:val="000D21E9"/>
    <w:rsid w:val="000D7E91"/>
    <w:rsid w:val="000E1819"/>
    <w:rsid w:val="000E3A2E"/>
    <w:rsid w:val="000E5BAD"/>
    <w:rsid w:val="000E6C72"/>
    <w:rsid w:val="000F041D"/>
    <w:rsid w:val="000F1981"/>
    <w:rsid w:val="000F2368"/>
    <w:rsid w:val="000F42FE"/>
    <w:rsid w:val="000F5776"/>
    <w:rsid w:val="00100B0F"/>
    <w:rsid w:val="00101BA9"/>
    <w:rsid w:val="00102F64"/>
    <w:rsid w:val="0010342E"/>
    <w:rsid w:val="001037AD"/>
    <w:rsid w:val="001047D6"/>
    <w:rsid w:val="00106695"/>
    <w:rsid w:val="001068AB"/>
    <w:rsid w:val="001072E7"/>
    <w:rsid w:val="00107F70"/>
    <w:rsid w:val="00110F77"/>
    <w:rsid w:val="0011203A"/>
    <w:rsid w:val="00114A49"/>
    <w:rsid w:val="00114F93"/>
    <w:rsid w:val="00115221"/>
    <w:rsid w:val="00116EB2"/>
    <w:rsid w:val="0011711D"/>
    <w:rsid w:val="001175C6"/>
    <w:rsid w:val="00124609"/>
    <w:rsid w:val="001251AC"/>
    <w:rsid w:val="001255A2"/>
    <w:rsid w:val="00127E63"/>
    <w:rsid w:val="0013246F"/>
    <w:rsid w:val="001328DC"/>
    <w:rsid w:val="001368A8"/>
    <w:rsid w:val="00136E8A"/>
    <w:rsid w:val="00140506"/>
    <w:rsid w:val="001407C2"/>
    <w:rsid w:val="0014095A"/>
    <w:rsid w:val="00141177"/>
    <w:rsid w:val="00146CD9"/>
    <w:rsid w:val="00150F34"/>
    <w:rsid w:val="00151EF1"/>
    <w:rsid w:val="00152DEF"/>
    <w:rsid w:val="001531D2"/>
    <w:rsid w:val="001532CF"/>
    <w:rsid w:val="0015416D"/>
    <w:rsid w:val="0015530C"/>
    <w:rsid w:val="0015691D"/>
    <w:rsid w:val="00157160"/>
    <w:rsid w:val="001573E4"/>
    <w:rsid w:val="00160756"/>
    <w:rsid w:val="00161FEA"/>
    <w:rsid w:val="001633A7"/>
    <w:rsid w:val="00163E16"/>
    <w:rsid w:val="00164A12"/>
    <w:rsid w:val="001663EA"/>
    <w:rsid w:val="001700D6"/>
    <w:rsid w:val="00171952"/>
    <w:rsid w:val="00171A0B"/>
    <w:rsid w:val="0017232E"/>
    <w:rsid w:val="001739AD"/>
    <w:rsid w:val="00173C3E"/>
    <w:rsid w:val="00174102"/>
    <w:rsid w:val="0017518E"/>
    <w:rsid w:val="00176E9F"/>
    <w:rsid w:val="00180157"/>
    <w:rsid w:val="00181223"/>
    <w:rsid w:val="001813B6"/>
    <w:rsid w:val="001813C4"/>
    <w:rsid w:val="00181A5E"/>
    <w:rsid w:val="00183BC3"/>
    <w:rsid w:val="00184A5A"/>
    <w:rsid w:val="00185528"/>
    <w:rsid w:val="00186F77"/>
    <w:rsid w:val="00190D5C"/>
    <w:rsid w:val="001926A4"/>
    <w:rsid w:val="00193A97"/>
    <w:rsid w:val="001943DE"/>
    <w:rsid w:val="00194660"/>
    <w:rsid w:val="001948CA"/>
    <w:rsid w:val="00194D9E"/>
    <w:rsid w:val="00196112"/>
    <w:rsid w:val="001976C5"/>
    <w:rsid w:val="001A1808"/>
    <w:rsid w:val="001A3FF1"/>
    <w:rsid w:val="001A41A3"/>
    <w:rsid w:val="001A43B1"/>
    <w:rsid w:val="001A4478"/>
    <w:rsid w:val="001A4B99"/>
    <w:rsid w:val="001A653D"/>
    <w:rsid w:val="001A6CAE"/>
    <w:rsid w:val="001B0403"/>
    <w:rsid w:val="001B1EBD"/>
    <w:rsid w:val="001B45A0"/>
    <w:rsid w:val="001C0F1E"/>
    <w:rsid w:val="001C18EE"/>
    <w:rsid w:val="001C2656"/>
    <w:rsid w:val="001C28F9"/>
    <w:rsid w:val="001C3A99"/>
    <w:rsid w:val="001C44F0"/>
    <w:rsid w:val="001C4701"/>
    <w:rsid w:val="001C57F5"/>
    <w:rsid w:val="001C6549"/>
    <w:rsid w:val="001C6DB4"/>
    <w:rsid w:val="001C79CC"/>
    <w:rsid w:val="001D055E"/>
    <w:rsid w:val="001D0A1F"/>
    <w:rsid w:val="001D128F"/>
    <w:rsid w:val="001D18C9"/>
    <w:rsid w:val="001D41D9"/>
    <w:rsid w:val="001D433B"/>
    <w:rsid w:val="001D79C3"/>
    <w:rsid w:val="001E16D9"/>
    <w:rsid w:val="001E3694"/>
    <w:rsid w:val="001F0CA1"/>
    <w:rsid w:val="001F144F"/>
    <w:rsid w:val="001F1BC2"/>
    <w:rsid w:val="001F1C00"/>
    <w:rsid w:val="001F27BC"/>
    <w:rsid w:val="001F2D73"/>
    <w:rsid w:val="001F3B11"/>
    <w:rsid w:val="001F492E"/>
    <w:rsid w:val="001F5C5E"/>
    <w:rsid w:val="001F6DA3"/>
    <w:rsid w:val="0020022C"/>
    <w:rsid w:val="00200271"/>
    <w:rsid w:val="00203605"/>
    <w:rsid w:val="0020363A"/>
    <w:rsid w:val="00206170"/>
    <w:rsid w:val="002102CB"/>
    <w:rsid w:val="00210DC0"/>
    <w:rsid w:val="00212737"/>
    <w:rsid w:val="00214363"/>
    <w:rsid w:val="00214B05"/>
    <w:rsid w:val="00214CC6"/>
    <w:rsid w:val="00215957"/>
    <w:rsid w:val="00216694"/>
    <w:rsid w:val="002214A2"/>
    <w:rsid w:val="002220D0"/>
    <w:rsid w:val="00222C31"/>
    <w:rsid w:val="00224336"/>
    <w:rsid w:val="00224DB9"/>
    <w:rsid w:val="00225384"/>
    <w:rsid w:val="0022554C"/>
    <w:rsid w:val="00226953"/>
    <w:rsid w:val="00230B94"/>
    <w:rsid w:val="00230EB5"/>
    <w:rsid w:val="002312AB"/>
    <w:rsid w:val="00232A33"/>
    <w:rsid w:val="00233DFC"/>
    <w:rsid w:val="0023514D"/>
    <w:rsid w:val="00237962"/>
    <w:rsid w:val="0023799C"/>
    <w:rsid w:val="00240780"/>
    <w:rsid w:val="00240E8E"/>
    <w:rsid w:val="00243696"/>
    <w:rsid w:val="0024697C"/>
    <w:rsid w:val="002477C0"/>
    <w:rsid w:val="00247AE1"/>
    <w:rsid w:val="00247B9E"/>
    <w:rsid w:val="00250277"/>
    <w:rsid w:val="002507D0"/>
    <w:rsid w:val="00251512"/>
    <w:rsid w:val="00251745"/>
    <w:rsid w:val="00253032"/>
    <w:rsid w:val="002545E6"/>
    <w:rsid w:val="00254F04"/>
    <w:rsid w:val="00255677"/>
    <w:rsid w:val="00255C7B"/>
    <w:rsid w:val="0025660E"/>
    <w:rsid w:val="0025679B"/>
    <w:rsid w:val="002620A3"/>
    <w:rsid w:val="00262109"/>
    <w:rsid w:val="00263AC0"/>
    <w:rsid w:val="00265273"/>
    <w:rsid w:val="00265FDD"/>
    <w:rsid w:val="0026636A"/>
    <w:rsid w:val="0026772D"/>
    <w:rsid w:val="002763D1"/>
    <w:rsid w:val="0027743E"/>
    <w:rsid w:val="00277C36"/>
    <w:rsid w:val="00280107"/>
    <w:rsid w:val="002807F1"/>
    <w:rsid w:val="00286874"/>
    <w:rsid w:val="00290794"/>
    <w:rsid w:val="00292476"/>
    <w:rsid w:val="0029293D"/>
    <w:rsid w:val="002940EF"/>
    <w:rsid w:val="00294C36"/>
    <w:rsid w:val="00295B1E"/>
    <w:rsid w:val="00296B65"/>
    <w:rsid w:val="002A085D"/>
    <w:rsid w:val="002A3533"/>
    <w:rsid w:val="002A3920"/>
    <w:rsid w:val="002A65B3"/>
    <w:rsid w:val="002A7245"/>
    <w:rsid w:val="002A7DEF"/>
    <w:rsid w:val="002B00C4"/>
    <w:rsid w:val="002B223E"/>
    <w:rsid w:val="002B5C9C"/>
    <w:rsid w:val="002B601E"/>
    <w:rsid w:val="002B7FD9"/>
    <w:rsid w:val="002C139C"/>
    <w:rsid w:val="002C2E74"/>
    <w:rsid w:val="002C7C98"/>
    <w:rsid w:val="002D1D48"/>
    <w:rsid w:val="002D3AE3"/>
    <w:rsid w:val="002D59E0"/>
    <w:rsid w:val="002D6D6D"/>
    <w:rsid w:val="002E0B6D"/>
    <w:rsid w:val="002E2155"/>
    <w:rsid w:val="002E325C"/>
    <w:rsid w:val="002E6393"/>
    <w:rsid w:val="002E63B2"/>
    <w:rsid w:val="002E6C76"/>
    <w:rsid w:val="002F2B27"/>
    <w:rsid w:val="002F4D00"/>
    <w:rsid w:val="002F7986"/>
    <w:rsid w:val="00300DB4"/>
    <w:rsid w:val="00303C4A"/>
    <w:rsid w:val="00304629"/>
    <w:rsid w:val="00307844"/>
    <w:rsid w:val="00307D8E"/>
    <w:rsid w:val="00307F6D"/>
    <w:rsid w:val="0031106B"/>
    <w:rsid w:val="00313AA0"/>
    <w:rsid w:val="00316632"/>
    <w:rsid w:val="00317656"/>
    <w:rsid w:val="00317707"/>
    <w:rsid w:val="003177A2"/>
    <w:rsid w:val="00317E89"/>
    <w:rsid w:val="00321DDE"/>
    <w:rsid w:val="0032377E"/>
    <w:rsid w:val="003271B5"/>
    <w:rsid w:val="00327AC8"/>
    <w:rsid w:val="00330690"/>
    <w:rsid w:val="00331264"/>
    <w:rsid w:val="00332770"/>
    <w:rsid w:val="003333FF"/>
    <w:rsid w:val="00333F32"/>
    <w:rsid w:val="003341BC"/>
    <w:rsid w:val="00334C8D"/>
    <w:rsid w:val="00336C47"/>
    <w:rsid w:val="0033798C"/>
    <w:rsid w:val="00337D03"/>
    <w:rsid w:val="00340655"/>
    <w:rsid w:val="00340AD0"/>
    <w:rsid w:val="00343D2B"/>
    <w:rsid w:val="00343F84"/>
    <w:rsid w:val="0034531B"/>
    <w:rsid w:val="003459E6"/>
    <w:rsid w:val="00350C89"/>
    <w:rsid w:val="003518B3"/>
    <w:rsid w:val="0035341C"/>
    <w:rsid w:val="00353549"/>
    <w:rsid w:val="003546AA"/>
    <w:rsid w:val="00355F22"/>
    <w:rsid w:val="00356599"/>
    <w:rsid w:val="00356AE1"/>
    <w:rsid w:val="00357113"/>
    <w:rsid w:val="00360949"/>
    <w:rsid w:val="00360D72"/>
    <w:rsid w:val="00360E3E"/>
    <w:rsid w:val="00363623"/>
    <w:rsid w:val="00365576"/>
    <w:rsid w:val="00366EDE"/>
    <w:rsid w:val="00371319"/>
    <w:rsid w:val="00373EB1"/>
    <w:rsid w:val="00374F6E"/>
    <w:rsid w:val="00376EC8"/>
    <w:rsid w:val="0037737C"/>
    <w:rsid w:val="00380CAB"/>
    <w:rsid w:val="00381148"/>
    <w:rsid w:val="0038197C"/>
    <w:rsid w:val="0038218F"/>
    <w:rsid w:val="0038372F"/>
    <w:rsid w:val="00383D41"/>
    <w:rsid w:val="00383E99"/>
    <w:rsid w:val="003841B2"/>
    <w:rsid w:val="003846F1"/>
    <w:rsid w:val="003875BB"/>
    <w:rsid w:val="00390269"/>
    <w:rsid w:val="003907ED"/>
    <w:rsid w:val="00390ECF"/>
    <w:rsid w:val="0039239D"/>
    <w:rsid w:val="00392922"/>
    <w:rsid w:val="00393398"/>
    <w:rsid w:val="003940C7"/>
    <w:rsid w:val="003A13CB"/>
    <w:rsid w:val="003A3ACF"/>
    <w:rsid w:val="003A3EC4"/>
    <w:rsid w:val="003A4BF5"/>
    <w:rsid w:val="003A5445"/>
    <w:rsid w:val="003A673F"/>
    <w:rsid w:val="003A6E82"/>
    <w:rsid w:val="003B06B6"/>
    <w:rsid w:val="003B183B"/>
    <w:rsid w:val="003B2909"/>
    <w:rsid w:val="003B2960"/>
    <w:rsid w:val="003B3DE8"/>
    <w:rsid w:val="003B5A70"/>
    <w:rsid w:val="003B5D56"/>
    <w:rsid w:val="003B671F"/>
    <w:rsid w:val="003B69B4"/>
    <w:rsid w:val="003C10C3"/>
    <w:rsid w:val="003C11E3"/>
    <w:rsid w:val="003C254C"/>
    <w:rsid w:val="003C2FE0"/>
    <w:rsid w:val="003C3EB6"/>
    <w:rsid w:val="003C4E01"/>
    <w:rsid w:val="003C5E79"/>
    <w:rsid w:val="003D0238"/>
    <w:rsid w:val="003D04C2"/>
    <w:rsid w:val="003D44B9"/>
    <w:rsid w:val="003D7E1B"/>
    <w:rsid w:val="003E0BEE"/>
    <w:rsid w:val="003E0F87"/>
    <w:rsid w:val="003E4030"/>
    <w:rsid w:val="003E4727"/>
    <w:rsid w:val="003E5246"/>
    <w:rsid w:val="003E6C7A"/>
    <w:rsid w:val="003E7F0A"/>
    <w:rsid w:val="003F06A4"/>
    <w:rsid w:val="003F2A07"/>
    <w:rsid w:val="003F598A"/>
    <w:rsid w:val="003F62CA"/>
    <w:rsid w:val="00400E9E"/>
    <w:rsid w:val="0040233C"/>
    <w:rsid w:val="004026BB"/>
    <w:rsid w:val="00404B76"/>
    <w:rsid w:val="00404EAF"/>
    <w:rsid w:val="004058FF"/>
    <w:rsid w:val="004067D2"/>
    <w:rsid w:val="004074BC"/>
    <w:rsid w:val="00407ED2"/>
    <w:rsid w:val="00412E1C"/>
    <w:rsid w:val="00413097"/>
    <w:rsid w:val="00416080"/>
    <w:rsid w:val="004213B7"/>
    <w:rsid w:val="00421703"/>
    <w:rsid w:val="00422FE5"/>
    <w:rsid w:val="00423917"/>
    <w:rsid w:val="00423A22"/>
    <w:rsid w:val="00425A18"/>
    <w:rsid w:val="00431E8F"/>
    <w:rsid w:val="004328A7"/>
    <w:rsid w:val="0043293A"/>
    <w:rsid w:val="00434794"/>
    <w:rsid w:val="00436DAD"/>
    <w:rsid w:val="004373D0"/>
    <w:rsid w:val="0043790B"/>
    <w:rsid w:val="00443DE3"/>
    <w:rsid w:val="00443F24"/>
    <w:rsid w:val="00444214"/>
    <w:rsid w:val="00444583"/>
    <w:rsid w:val="0044672F"/>
    <w:rsid w:val="00446ED5"/>
    <w:rsid w:val="00447703"/>
    <w:rsid w:val="00447DE0"/>
    <w:rsid w:val="00452DF8"/>
    <w:rsid w:val="00453FD4"/>
    <w:rsid w:val="00454056"/>
    <w:rsid w:val="00457B29"/>
    <w:rsid w:val="004609FB"/>
    <w:rsid w:val="0046377F"/>
    <w:rsid w:val="004642CF"/>
    <w:rsid w:val="00471524"/>
    <w:rsid w:val="00473A58"/>
    <w:rsid w:val="00475DA4"/>
    <w:rsid w:val="00475DDE"/>
    <w:rsid w:val="0048025F"/>
    <w:rsid w:val="004804E8"/>
    <w:rsid w:val="00480B4B"/>
    <w:rsid w:val="00480B5A"/>
    <w:rsid w:val="00482DEB"/>
    <w:rsid w:val="00483CA9"/>
    <w:rsid w:val="00483D2D"/>
    <w:rsid w:val="00484411"/>
    <w:rsid w:val="004849AB"/>
    <w:rsid w:val="00484AFB"/>
    <w:rsid w:val="00485DC4"/>
    <w:rsid w:val="004930B6"/>
    <w:rsid w:val="00493702"/>
    <w:rsid w:val="0049378E"/>
    <w:rsid w:val="004956B2"/>
    <w:rsid w:val="00496AF3"/>
    <w:rsid w:val="00497AF2"/>
    <w:rsid w:val="004A1A88"/>
    <w:rsid w:val="004A345B"/>
    <w:rsid w:val="004A540E"/>
    <w:rsid w:val="004B0813"/>
    <w:rsid w:val="004B2AAC"/>
    <w:rsid w:val="004B2F7D"/>
    <w:rsid w:val="004B4412"/>
    <w:rsid w:val="004B674E"/>
    <w:rsid w:val="004C07D1"/>
    <w:rsid w:val="004C348C"/>
    <w:rsid w:val="004C4744"/>
    <w:rsid w:val="004C4A3D"/>
    <w:rsid w:val="004C5069"/>
    <w:rsid w:val="004C5881"/>
    <w:rsid w:val="004C6253"/>
    <w:rsid w:val="004C6DDA"/>
    <w:rsid w:val="004C75FF"/>
    <w:rsid w:val="004D0BD5"/>
    <w:rsid w:val="004D1CA7"/>
    <w:rsid w:val="004D2C40"/>
    <w:rsid w:val="004D419A"/>
    <w:rsid w:val="004D4430"/>
    <w:rsid w:val="004D55BA"/>
    <w:rsid w:val="004D6CC1"/>
    <w:rsid w:val="004E29FE"/>
    <w:rsid w:val="004E2C38"/>
    <w:rsid w:val="004E374F"/>
    <w:rsid w:val="004E5FC9"/>
    <w:rsid w:val="004E6CC3"/>
    <w:rsid w:val="004F1A52"/>
    <w:rsid w:val="004F1F56"/>
    <w:rsid w:val="004F3AF0"/>
    <w:rsid w:val="004F4149"/>
    <w:rsid w:val="004F487E"/>
    <w:rsid w:val="004F4F4A"/>
    <w:rsid w:val="004F599F"/>
    <w:rsid w:val="004F70ED"/>
    <w:rsid w:val="005001B0"/>
    <w:rsid w:val="00500765"/>
    <w:rsid w:val="00502470"/>
    <w:rsid w:val="00502E1D"/>
    <w:rsid w:val="00503542"/>
    <w:rsid w:val="005038DB"/>
    <w:rsid w:val="00504731"/>
    <w:rsid w:val="00505977"/>
    <w:rsid w:val="0050791F"/>
    <w:rsid w:val="00507E43"/>
    <w:rsid w:val="00512259"/>
    <w:rsid w:val="00513940"/>
    <w:rsid w:val="00520E2C"/>
    <w:rsid w:val="00521850"/>
    <w:rsid w:val="00521D82"/>
    <w:rsid w:val="00523CAB"/>
    <w:rsid w:val="00525F76"/>
    <w:rsid w:val="00526B45"/>
    <w:rsid w:val="00530128"/>
    <w:rsid w:val="00530BA1"/>
    <w:rsid w:val="0053109F"/>
    <w:rsid w:val="00532467"/>
    <w:rsid w:val="00532DC4"/>
    <w:rsid w:val="00534CAE"/>
    <w:rsid w:val="0053587B"/>
    <w:rsid w:val="0053631A"/>
    <w:rsid w:val="00537B2B"/>
    <w:rsid w:val="0054270D"/>
    <w:rsid w:val="00542759"/>
    <w:rsid w:val="00542799"/>
    <w:rsid w:val="00542CDD"/>
    <w:rsid w:val="00542FF4"/>
    <w:rsid w:val="005434D7"/>
    <w:rsid w:val="0054367E"/>
    <w:rsid w:val="00544D5B"/>
    <w:rsid w:val="00547CCF"/>
    <w:rsid w:val="00550B98"/>
    <w:rsid w:val="0055171B"/>
    <w:rsid w:val="00551999"/>
    <w:rsid w:val="00553A81"/>
    <w:rsid w:val="00553DED"/>
    <w:rsid w:val="0055742B"/>
    <w:rsid w:val="005576AC"/>
    <w:rsid w:val="00560925"/>
    <w:rsid w:val="0056107B"/>
    <w:rsid w:val="00561985"/>
    <w:rsid w:val="00563AE4"/>
    <w:rsid w:val="00564A4D"/>
    <w:rsid w:val="00564BF0"/>
    <w:rsid w:val="0056525A"/>
    <w:rsid w:val="005660C6"/>
    <w:rsid w:val="005663B1"/>
    <w:rsid w:val="00566806"/>
    <w:rsid w:val="00570375"/>
    <w:rsid w:val="00571B35"/>
    <w:rsid w:val="00571C9F"/>
    <w:rsid w:val="00575B09"/>
    <w:rsid w:val="00576B33"/>
    <w:rsid w:val="00577448"/>
    <w:rsid w:val="00577A09"/>
    <w:rsid w:val="00580D8E"/>
    <w:rsid w:val="00581449"/>
    <w:rsid w:val="00582FD1"/>
    <w:rsid w:val="00584D8F"/>
    <w:rsid w:val="005909E1"/>
    <w:rsid w:val="00590F5B"/>
    <w:rsid w:val="00594889"/>
    <w:rsid w:val="00596D42"/>
    <w:rsid w:val="005977FE"/>
    <w:rsid w:val="00597933"/>
    <w:rsid w:val="005A01A3"/>
    <w:rsid w:val="005A2E4A"/>
    <w:rsid w:val="005A2F06"/>
    <w:rsid w:val="005A3120"/>
    <w:rsid w:val="005A34A3"/>
    <w:rsid w:val="005A3800"/>
    <w:rsid w:val="005A404D"/>
    <w:rsid w:val="005A6123"/>
    <w:rsid w:val="005A61D0"/>
    <w:rsid w:val="005A6766"/>
    <w:rsid w:val="005B154D"/>
    <w:rsid w:val="005B1E3C"/>
    <w:rsid w:val="005B208F"/>
    <w:rsid w:val="005B5010"/>
    <w:rsid w:val="005B5388"/>
    <w:rsid w:val="005B5952"/>
    <w:rsid w:val="005B669E"/>
    <w:rsid w:val="005B6F0F"/>
    <w:rsid w:val="005B6F45"/>
    <w:rsid w:val="005B7764"/>
    <w:rsid w:val="005B77FD"/>
    <w:rsid w:val="005B7812"/>
    <w:rsid w:val="005B7E1C"/>
    <w:rsid w:val="005C1B9F"/>
    <w:rsid w:val="005C22C9"/>
    <w:rsid w:val="005C26CC"/>
    <w:rsid w:val="005C348B"/>
    <w:rsid w:val="005C3666"/>
    <w:rsid w:val="005C5A35"/>
    <w:rsid w:val="005D0359"/>
    <w:rsid w:val="005D043F"/>
    <w:rsid w:val="005D069C"/>
    <w:rsid w:val="005D31CC"/>
    <w:rsid w:val="005D34A3"/>
    <w:rsid w:val="005D3B0D"/>
    <w:rsid w:val="005D3BB8"/>
    <w:rsid w:val="005D5261"/>
    <w:rsid w:val="005D6348"/>
    <w:rsid w:val="005D6892"/>
    <w:rsid w:val="005D6ABF"/>
    <w:rsid w:val="005D7CA7"/>
    <w:rsid w:val="005E2F9F"/>
    <w:rsid w:val="005E39B8"/>
    <w:rsid w:val="005E42C9"/>
    <w:rsid w:val="005E43B3"/>
    <w:rsid w:val="005E6C0E"/>
    <w:rsid w:val="005F08A8"/>
    <w:rsid w:val="005F0CA4"/>
    <w:rsid w:val="005F1738"/>
    <w:rsid w:val="005F1B61"/>
    <w:rsid w:val="005F34A4"/>
    <w:rsid w:val="005F485C"/>
    <w:rsid w:val="005F64BB"/>
    <w:rsid w:val="005F6852"/>
    <w:rsid w:val="00600297"/>
    <w:rsid w:val="00600ABD"/>
    <w:rsid w:val="006024C0"/>
    <w:rsid w:val="0060412C"/>
    <w:rsid w:val="00604D64"/>
    <w:rsid w:val="006055B5"/>
    <w:rsid w:val="00605F79"/>
    <w:rsid w:val="00606AA7"/>
    <w:rsid w:val="0061052C"/>
    <w:rsid w:val="00610A63"/>
    <w:rsid w:val="00610A75"/>
    <w:rsid w:val="00610CBC"/>
    <w:rsid w:val="00610F56"/>
    <w:rsid w:val="0061348C"/>
    <w:rsid w:val="006148E6"/>
    <w:rsid w:val="006154D1"/>
    <w:rsid w:val="0061584A"/>
    <w:rsid w:val="00615C6B"/>
    <w:rsid w:val="00617374"/>
    <w:rsid w:val="0062064F"/>
    <w:rsid w:val="00625E88"/>
    <w:rsid w:val="00630394"/>
    <w:rsid w:val="006304F4"/>
    <w:rsid w:val="006306D2"/>
    <w:rsid w:val="00632985"/>
    <w:rsid w:val="00632D6D"/>
    <w:rsid w:val="00632E90"/>
    <w:rsid w:val="00633D41"/>
    <w:rsid w:val="00636FE3"/>
    <w:rsid w:val="00637893"/>
    <w:rsid w:val="006404E8"/>
    <w:rsid w:val="0064061B"/>
    <w:rsid w:val="00642C3E"/>
    <w:rsid w:val="00643450"/>
    <w:rsid w:val="00643860"/>
    <w:rsid w:val="00645166"/>
    <w:rsid w:val="00645200"/>
    <w:rsid w:val="00645A95"/>
    <w:rsid w:val="00645BE2"/>
    <w:rsid w:val="00646113"/>
    <w:rsid w:val="006501BD"/>
    <w:rsid w:val="0065208C"/>
    <w:rsid w:val="00652284"/>
    <w:rsid w:val="006522BA"/>
    <w:rsid w:val="00652FE0"/>
    <w:rsid w:val="00654638"/>
    <w:rsid w:val="00655DDF"/>
    <w:rsid w:val="006570B6"/>
    <w:rsid w:val="00663DAD"/>
    <w:rsid w:val="00664967"/>
    <w:rsid w:val="00664FF9"/>
    <w:rsid w:val="00667A8B"/>
    <w:rsid w:val="00667F74"/>
    <w:rsid w:val="00670841"/>
    <w:rsid w:val="00671E4E"/>
    <w:rsid w:val="006741FB"/>
    <w:rsid w:val="00675AAA"/>
    <w:rsid w:val="0067648B"/>
    <w:rsid w:val="00676679"/>
    <w:rsid w:val="00677ED8"/>
    <w:rsid w:val="00681B26"/>
    <w:rsid w:val="006822EB"/>
    <w:rsid w:val="00686D95"/>
    <w:rsid w:val="00687957"/>
    <w:rsid w:val="00687F39"/>
    <w:rsid w:val="00691012"/>
    <w:rsid w:val="00691058"/>
    <w:rsid w:val="00691750"/>
    <w:rsid w:val="00695661"/>
    <w:rsid w:val="00696C34"/>
    <w:rsid w:val="00697125"/>
    <w:rsid w:val="00697CA9"/>
    <w:rsid w:val="00697D32"/>
    <w:rsid w:val="006A001E"/>
    <w:rsid w:val="006A09BA"/>
    <w:rsid w:val="006A119E"/>
    <w:rsid w:val="006B0546"/>
    <w:rsid w:val="006B1792"/>
    <w:rsid w:val="006B1C12"/>
    <w:rsid w:val="006B3863"/>
    <w:rsid w:val="006B3B7E"/>
    <w:rsid w:val="006B4CF9"/>
    <w:rsid w:val="006B5E1D"/>
    <w:rsid w:val="006B6B99"/>
    <w:rsid w:val="006B72D1"/>
    <w:rsid w:val="006B74AE"/>
    <w:rsid w:val="006B7AC8"/>
    <w:rsid w:val="006C400D"/>
    <w:rsid w:val="006C45B7"/>
    <w:rsid w:val="006C5808"/>
    <w:rsid w:val="006C6E6F"/>
    <w:rsid w:val="006D0067"/>
    <w:rsid w:val="006D01D9"/>
    <w:rsid w:val="006D195D"/>
    <w:rsid w:val="006D1DC5"/>
    <w:rsid w:val="006D550F"/>
    <w:rsid w:val="006D77F3"/>
    <w:rsid w:val="006E129A"/>
    <w:rsid w:val="006E20FB"/>
    <w:rsid w:val="006E314F"/>
    <w:rsid w:val="006E5D9B"/>
    <w:rsid w:val="006E7923"/>
    <w:rsid w:val="006E7E70"/>
    <w:rsid w:val="006F2B1E"/>
    <w:rsid w:val="006F2FFD"/>
    <w:rsid w:val="006F310B"/>
    <w:rsid w:val="006F3717"/>
    <w:rsid w:val="006F4359"/>
    <w:rsid w:val="006F4AD7"/>
    <w:rsid w:val="006F53C2"/>
    <w:rsid w:val="006F5B52"/>
    <w:rsid w:val="006F6CC0"/>
    <w:rsid w:val="006F6D6F"/>
    <w:rsid w:val="006F6F17"/>
    <w:rsid w:val="006F71DE"/>
    <w:rsid w:val="007016A0"/>
    <w:rsid w:val="00701CAB"/>
    <w:rsid w:val="00704424"/>
    <w:rsid w:val="00704CD0"/>
    <w:rsid w:val="00707563"/>
    <w:rsid w:val="0071020B"/>
    <w:rsid w:val="007107DA"/>
    <w:rsid w:val="00710CB7"/>
    <w:rsid w:val="007135FB"/>
    <w:rsid w:val="0072098F"/>
    <w:rsid w:val="007217CA"/>
    <w:rsid w:val="0072198F"/>
    <w:rsid w:val="007232E9"/>
    <w:rsid w:val="0072348C"/>
    <w:rsid w:val="0072362D"/>
    <w:rsid w:val="00724A37"/>
    <w:rsid w:val="0072560D"/>
    <w:rsid w:val="007267A0"/>
    <w:rsid w:val="007303C3"/>
    <w:rsid w:val="00730CBB"/>
    <w:rsid w:val="00732F66"/>
    <w:rsid w:val="00734E21"/>
    <w:rsid w:val="00734ED2"/>
    <w:rsid w:val="007364AC"/>
    <w:rsid w:val="0073721D"/>
    <w:rsid w:val="007373BB"/>
    <w:rsid w:val="0073759E"/>
    <w:rsid w:val="00741988"/>
    <w:rsid w:val="00741E89"/>
    <w:rsid w:val="00742AB0"/>
    <w:rsid w:val="00743223"/>
    <w:rsid w:val="00745B56"/>
    <w:rsid w:val="00745C85"/>
    <w:rsid w:val="00746E01"/>
    <w:rsid w:val="007503F6"/>
    <w:rsid w:val="007504C5"/>
    <w:rsid w:val="00750C61"/>
    <w:rsid w:val="00751A5E"/>
    <w:rsid w:val="007524EC"/>
    <w:rsid w:val="0075268A"/>
    <w:rsid w:val="007532EA"/>
    <w:rsid w:val="0075656F"/>
    <w:rsid w:val="00757A74"/>
    <w:rsid w:val="00762280"/>
    <w:rsid w:val="0076370B"/>
    <w:rsid w:val="00763E5D"/>
    <w:rsid w:val="00765899"/>
    <w:rsid w:val="00766FD0"/>
    <w:rsid w:val="007670BC"/>
    <w:rsid w:val="007673AB"/>
    <w:rsid w:val="00767740"/>
    <w:rsid w:val="007701E4"/>
    <w:rsid w:val="007704FA"/>
    <w:rsid w:val="00770A51"/>
    <w:rsid w:val="00770FBD"/>
    <w:rsid w:val="007711A6"/>
    <w:rsid w:val="00771FEF"/>
    <w:rsid w:val="00772BC9"/>
    <w:rsid w:val="0077343F"/>
    <w:rsid w:val="00776C15"/>
    <w:rsid w:val="00777EE6"/>
    <w:rsid w:val="007802B9"/>
    <w:rsid w:val="00780F40"/>
    <w:rsid w:val="007817D1"/>
    <w:rsid w:val="00781A78"/>
    <w:rsid w:val="00781D26"/>
    <w:rsid w:val="00782941"/>
    <w:rsid w:val="00782EEA"/>
    <w:rsid w:val="00783F06"/>
    <w:rsid w:val="00784638"/>
    <w:rsid w:val="00784EEB"/>
    <w:rsid w:val="007869B3"/>
    <w:rsid w:val="00786D9A"/>
    <w:rsid w:val="007872BC"/>
    <w:rsid w:val="00787530"/>
    <w:rsid w:val="00790FBE"/>
    <w:rsid w:val="007914EE"/>
    <w:rsid w:val="00792E4E"/>
    <w:rsid w:val="0079519A"/>
    <w:rsid w:val="007953F5"/>
    <w:rsid w:val="007977B8"/>
    <w:rsid w:val="00797E51"/>
    <w:rsid w:val="007A138F"/>
    <w:rsid w:val="007A39C4"/>
    <w:rsid w:val="007A5713"/>
    <w:rsid w:val="007A5CF2"/>
    <w:rsid w:val="007A6315"/>
    <w:rsid w:val="007A637F"/>
    <w:rsid w:val="007A77B9"/>
    <w:rsid w:val="007B0085"/>
    <w:rsid w:val="007B2A8D"/>
    <w:rsid w:val="007B2BB6"/>
    <w:rsid w:val="007B2C72"/>
    <w:rsid w:val="007B315D"/>
    <w:rsid w:val="007B37A8"/>
    <w:rsid w:val="007B5804"/>
    <w:rsid w:val="007B5BC4"/>
    <w:rsid w:val="007B6287"/>
    <w:rsid w:val="007B6862"/>
    <w:rsid w:val="007B6A47"/>
    <w:rsid w:val="007B7408"/>
    <w:rsid w:val="007C0DAC"/>
    <w:rsid w:val="007C1C53"/>
    <w:rsid w:val="007C3BFA"/>
    <w:rsid w:val="007C3E11"/>
    <w:rsid w:val="007C4DE1"/>
    <w:rsid w:val="007C5112"/>
    <w:rsid w:val="007C5B54"/>
    <w:rsid w:val="007C6687"/>
    <w:rsid w:val="007D035A"/>
    <w:rsid w:val="007D16E1"/>
    <w:rsid w:val="007D1C45"/>
    <w:rsid w:val="007D1E32"/>
    <w:rsid w:val="007D40D1"/>
    <w:rsid w:val="007D502C"/>
    <w:rsid w:val="007D52F0"/>
    <w:rsid w:val="007D7459"/>
    <w:rsid w:val="007E0019"/>
    <w:rsid w:val="007E26A9"/>
    <w:rsid w:val="007E4904"/>
    <w:rsid w:val="007E4CB5"/>
    <w:rsid w:val="007E64B4"/>
    <w:rsid w:val="007E6806"/>
    <w:rsid w:val="007E78CD"/>
    <w:rsid w:val="007F0324"/>
    <w:rsid w:val="007F066B"/>
    <w:rsid w:val="007F39F6"/>
    <w:rsid w:val="00800BD1"/>
    <w:rsid w:val="00801CA4"/>
    <w:rsid w:val="0080228B"/>
    <w:rsid w:val="008033C4"/>
    <w:rsid w:val="00806C88"/>
    <w:rsid w:val="00806F97"/>
    <w:rsid w:val="0081034E"/>
    <w:rsid w:val="00810FC6"/>
    <w:rsid w:val="00812119"/>
    <w:rsid w:val="00813C3D"/>
    <w:rsid w:val="00814CEB"/>
    <w:rsid w:val="00815658"/>
    <w:rsid w:val="008161FD"/>
    <w:rsid w:val="00821C97"/>
    <w:rsid w:val="008229BA"/>
    <w:rsid w:val="008256DB"/>
    <w:rsid w:val="0082583A"/>
    <w:rsid w:val="00825CB2"/>
    <w:rsid w:val="00827E17"/>
    <w:rsid w:val="00833A2B"/>
    <w:rsid w:val="008344F6"/>
    <w:rsid w:val="0083510F"/>
    <w:rsid w:val="00841F3E"/>
    <w:rsid w:val="00842AD1"/>
    <w:rsid w:val="00842F43"/>
    <w:rsid w:val="00843A0A"/>
    <w:rsid w:val="008444A9"/>
    <w:rsid w:val="0084509A"/>
    <w:rsid w:val="0084663B"/>
    <w:rsid w:val="00846652"/>
    <w:rsid w:val="00846D6C"/>
    <w:rsid w:val="00847375"/>
    <w:rsid w:val="008505DE"/>
    <w:rsid w:val="00850E74"/>
    <w:rsid w:val="00851209"/>
    <w:rsid w:val="0085148D"/>
    <w:rsid w:val="00851894"/>
    <w:rsid w:val="00851E1F"/>
    <w:rsid w:val="00853BB5"/>
    <w:rsid w:val="00856D5A"/>
    <w:rsid w:val="00857993"/>
    <w:rsid w:val="00857F3F"/>
    <w:rsid w:val="00860BB1"/>
    <w:rsid w:val="008618A6"/>
    <w:rsid w:val="0086268C"/>
    <w:rsid w:val="008631C6"/>
    <w:rsid w:val="00864CAB"/>
    <w:rsid w:val="0086535F"/>
    <w:rsid w:val="00870887"/>
    <w:rsid w:val="00870C75"/>
    <w:rsid w:val="00871E07"/>
    <w:rsid w:val="00872632"/>
    <w:rsid w:val="00873B57"/>
    <w:rsid w:val="008753BE"/>
    <w:rsid w:val="008767BC"/>
    <w:rsid w:val="00876F1E"/>
    <w:rsid w:val="0088007E"/>
    <w:rsid w:val="0088284B"/>
    <w:rsid w:val="0088375E"/>
    <w:rsid w:val="008837AC"/>
    <w:rsid w:val="00884DE7"/>
    <w:rsid w:val="00886351"/>
    <w:rsid w:val="00887F3B"/>
    <w:rsid w:val="008908F0"/>
    <w:rsid w:val="0089160B"/>
    <w:rsid w:val="00892915"/>
    <w:rsid w:val="0089296A"/>
    <w:rsid w:val="008929EC"/>
    <w:rsid w:val="008945B4"/>
    <w:rsid w:val="00895294"/>
    <w:rsid w:val="0089583A"/>
    <w:rsid w:val="008A2CD9"/>
    <w:rsid w:val="008A587D"/>
    <w:rsid w:val="008A6078"/>
    <w:rsid w:val="008A6DCD"/>
    <w:rsid w:val="008B115D"/>
    <w:rsid w:val="008B429F"/>
    <w:rsid w:val="008B5A5B"/>
    <w:rsid w:val="008B5C08"/>
    <w:rsid w:val="008C09EF"/>
    <w:rsid w:val="008C17B3"/>
    <w:rsid w:val="008C4859"/>
    <w:rsid w:val="008C4B9D"/>
    <w:rsid w:val="008C532C"/>
    <w:rsid w:val="008C5486"/>
    <w:rsid w:val="008C6715"/>
    <w:rsid w:val="008C7211"/>
    <w:rsid w:val="008C75C0"/>
    <w:rsid w:val="008D255A"/>
    <w:rsid w:val="008D3CE9"/>
    <w:rsid w:val="008D6454"/>
    <w:rsid w:val="008D6985"/>
    <w:rsid w:val="008D6A95"/>
    <w:rsid w:val="008D7C03"/>
    <w:rsid w:val="008E12CA"/>
    <w:rsid w:val="008E2043"/>
    <w:rsid w:val="008E361B"/>
    <w:rsid w:val="008E3A92"/>
    <w:rsid w:val="008E3BBD"/>
    <w:rsid w:val="008E3DC6"/>
    <w:rsid w:val="008E655F"/>
    <w:rsid w:val="008E7031"/>
    <w:rsid w:val="008E7A73"/>
    <w:rsid w:val="008F0C4E"/>
    <w:rsid w:val="008F1185"/>
    <w:rsid w:val="008F450D"/>
    <w:rsid w:val="008F627C"/>
    <w:rsid w:val="008F7EE6"/>
    <w:rsid w:val="00904E14"/>
    <w:rsid w:val="00906026"/>
    <w:rsid w:val="0090696F"/>
    <w:rsid w:val="00906A48"/>
    <w:rsid w:val="009105FD"/>
    <w:rsid w:val="00911E7B"/>
    <w:rsid w:val="00912A37"/>
    <w:rsid w:val="00913724"/>
    <w:rsid w:val="00914581"/>
    <w:rsid w:val="00914AE6"/>
    <w:rsid w:val="00915644"/>
    <w:rsid w:val="0091626D"/>
    <w:rsid w:val="00916838"/>
    <w:rsid w:val="009205F3"/>
    <w:rsid w:val="009206E0"/>
    <w:rsid w:val="0092251F"/>
    <w:rsid w:val="00922C66"/>
    <w:rsid w:val="00922C95"/>
    <w:rsid w:val="009233EE"/>
    <w:rsid w:val="009248EA"/>
    <w:rsid w:val="009261B1"/>
    <w:rsid w:val="00926AA1"/>
    <w:rsid w:val="00931579"/>
    <w:rsid w:val="009315B6"/>
    <w:rsid w:val="009327C2"/>
    <w:rsid w:val="0093339E"/>
    <w:rsid w:val="00935FA8"/>
    <w:rsid w:val="00937407"/>
    <w:rsid w:val="00944DCE"/>
    <w:rsid w:val="009500CB"/>
    <w:rsid w:val="009505E2"/>
    <w:rsid w:val="00950B21"/>
    <w:rsid w:val="00953355"/>
    <w:rsid w:val="00953DC7"/>
    <w:rsid w:val="00953E6A"/>
    <w:rsid w:val="00954355"/>
    <w:rsid w:val="009545B1"/>
    <w:rsid w:val="00955EEA"/>
    <w:rsid w:val="009565CA"/>
    <w:rsid w:val="0095781B"/>
    <w:rsid w:val="00960722"/>
    <w:rsid w:val="00961D1D"/>
    <w:rsid w:val="0096215D"/>
    <w:rsid w:val="00963C6D"/>
    <w:rsid w:val="00965746"/>
    <w:rsid w:val="009661DE"/>
    <w:rsid w:val="00973DD7"/>
    <w:rsid w:val="0097554B"/>
    <w:rsid w:val="00977541"/>
    <w:rsid w:val="009847E0"/>
    <w:rsid w:val="009856B7"/>
    <w:rsid w:val="0098602B"/>
    <w:rsid w:val="00986BB4"/>
    <w:rsid w:val="009877A4"/>
    <w:rsid w:val="00987B25"/>
    <w:rsid w:val="00990901"/>
    <w:rsid w:val="00991B3B"/>
    <w:rsid w:val="00992160"/>
    <w:rsid w:val="0099265D"/>
    <w:rsid w:val="00992823"/>
    <w:rsid w:val="00992C3A"/>
    <w:rsid w:val="0099401E"/>
    <w:rsid w:val="009962BA"/>
    <w:rsid w:val="00996681"/>
    <w:rsid w:val="009A3234"/>
    <w:rsid w:val="009A3A1A"/>
    <w:rsid w:val="009A4833"/>
    <w:rsid w:val="009A572C"/>
    <w:rsid w:val="009B0250"/>
    <w:rsid w:val="009B1B1D"/>
    <w:rsid w:val="009B1EC8"/>
    <w:rsid w:val="009B25EA"/>
    <w:rsid w:val="009B3011"/>
    <w:rsid w:val="009B4353"/>
    <w:rsid w:val="009B6B6C"/>
    <w:rsid w:val="009B6BF6"/>
    <w:rsid w:val="009B6C03"/>
    <w:rsid w:val="009B74B0"/>
    <w:rsid w:val="009B7723"/>
    <w:rsid w:val="009C01EE"/>
    <w:rsid w:val="009C20B7"/>
    <w:rsid w:val="009C2F53"/>
    <w:rsid w:val="009C4911"/>
    <w:rsid w:val="009C524B"/>
    <w:rsid w:val="009C5569"/>
    <w:rsid w:val="009C61E3"/>
    <w:rsid w:val="009D4414"/>
    <w:rsid w:val="009D5FF8"/>
    <w:rsid w:val="009D67D8"/>
    <w:rsid w:val="009D6B46"/>
    <w:rsid w:val="009E002F"/>
    <w:rsid w:val="009E018C"/>
    <w:rsid w:val="009E5159"/>
    <w:rsid w:val="009E5911"/>
    <w:rsid w:val="009E635E"/>
    <w:rsid w:val="009F223D"/>
    <w:rsid w:val="009F2BE5"/>
    <w:rsid w:val="009F3323"/>
    <w:rsid w:val="009F34D0"/>
    <w:rsid w:val="009F4940"/>
    <w:rsid w:val="009F5C91"/>
    <w:rsid w:val="009F718C"/>
    <w:rsid w:val="00A00EC2"/>
    <w:rsid w:val="00A010E7"/>
    <w:rsid w:val="00A0119F"/>
    <w:rsid w:val="00A02A5C"/>
    <w:rsid w:val="00A03A7B"/>
    <w:rsid w:val="00A07B0E"/>
    <w:rsid w:val="00A11F12"/>
    <w:rsid w:val="00A135E1"/>
    <w:rsid w:val="00A136E7"/>
    <w:rsid w:val="00A1537E"/>
    <w:rsid w:val="00A1665B"/>
    <w:rsid w:val="00A1796B"/>
    <w:rsid w:val="00A21476"/>
    <w:rsid w:val="00A22125"/>
    <w:rsid w:val="00A237DC"/>
    <w:rsid w:val="00A26E83"/>
    <w:rsid w:val="00A27047"/>
    <w:rsid w:val="00A27C84"/>
    <w:rsid w:val="00A303DB"/>
    <w:rsid w:val="00A318EA"/>
    <w:rsid w:val="00A370FB"/>
    <w:rsid w:val="00A413D7"/>
    <w:rsid w:val="00A4283E"/>
    <w:rsid w:val="00A4478A"/>
    <w:rsid w:val="00A44852"/>
    <w:rsid w:val="00A52C7E"/>
    <w:rsid w:val="00A542FF"/>
    <w:rsid w:val="00A566BB"/>
    <w:rsid w:val="00A57D04"/>
    <w:rsid w:val="00A6098E"/>
    <w:rsid w:val="00A60A26"/>
    <w:rsid w:val="00A6116D"/>
    <w:rsid w:val="00A61598"/>
    <w:rsid w:val="00A64F54"/>
    <w:rsid w:val="00A66AA0"/>
    <w:rsid w:val="00A707F1"/>
    <w:rsid w:val="00A71590"/>
    <w:rsid w:val="00A7418F"/>
    <w:rsid w:val="00A75273"/>
    <w:rsid w:val="00A75AEB"/>
    <w:rsid w:val="00A7662E"/>
    <w:rsid w:val="00A77E00"/>
    <w:rsid w:val="00A82710"/>
    <w:rsid w:val="00A8323B"/>
    <w:rsid w:val="00A83350"/>
    <w:rsid w:val="00A844CE"/>
    <w:rsid w:val="00A84A1D"/>
    <w:rsid w:val="00A84F46"/>
    <w:rsid w:val="00A85566"/>
    <w:rsid w:val="00A871F4"/>
    <w:rsid w:val="00A92083"/>
    <w:rsid w:val="00A92B58"/>
    <w:rsid w:val="00A96C69"/>
    <w:rsid w:val="00A9738F"/>
    <w:rsid w:val="00AA0F4A"/>
    <w:rsid w:val="00AA0FD2"/>
    <w:rsid w:val="00AA13DB"/>
    <w:rsid w:val="00AA23B6"/>
    <w:rsid w:val="00AA4D9E"/>
    <w:rsid w:val="00AA5127"/>
    <w:rsid w:val="00AA5739"/>
    <w:rsid w:val="00AA5F02"/>
    <w:rsid w:val="00AA654E"/>
    <w:rsid w:val="00AA792C"/>
    <w:rsid w:val="00AB4C26"/>
    <w:rsid w:val="00AB59D7"/>
    <w:rsid w:val="00AB5BD1"/>
    <w:rsid w:val="00AB6514"/>
    <w:rsid w:val="00AB6840"/>
    <w:rsid w:val="00AB79FA"/>
    <w:rsid w:val="00AB7E5F"/>
    <w:rsid w:val="00AC06F9"/>
    <w:rsid w:val="00AC1B2C"/>
    <w:rsid w:val="00AC3264"/>
    <w:rsid w:val="00AC421F"/>
    <w:rsid w:val="00AC6AEA"/>
    <w:rsid w:val="00AC6F01"/>
    <w:rsid w:val="00AC7365"/>
    <w:rsid w:val="00AD03DE"/>
    <w:rsid w:val="00AD07D1"/>
    <w:rsid w:val="00AD0802"/>
    <w:rsid w:val="00AD2968"/>
    <w:rsid w:val="00AD354E"/>
    <w:rsid w:val="00AD3CC4"/>
    <w:rsid w:val="00AD4BF6"/>
    <w:rsid w:val="00AE06B0"/>
    <w:rsid w:val="00AE0A7E"/>
    <w:rsid w:val="00AE0FE2"/>
    <w:rsid w:val="00AE10E7"/>
    <w:rsid w:val="00AE14CA"/>
    <w:rsid w:val="00AE1BF1"/>
    <w:rsid w:val="00AE1CDA"/>
    <w:rsid w:val="00AE271E"/>
    <w:rsid w:val="00AE680F"/>
    <w:rsid w:val="00AE7E85"/>
    <w:rsid w:val="00AF085B"/>
    <w:rsid w:val="00AF0DD2"/>
    <w:rsid w:val="00AF24EC"/>
    <w:rsid w:val="00AF281B"/>
    <w:rsid w:val="00AF5E0D"/>
    <w:rsid w:val="00AF6777"/>
    <w:rsid w:val="00B00350"/>
    <w:rsid w:val="00B00961"/>
    <w:rsid w:val="00B00ECB"/>
    <w:rsid w:val="00B043FD"/>
    <w:rsid w:val="00B05679"/>
    <w:rsid w:val="00B066F6"/>
    <w:rsid w:val="00B10314"/>
    <w:rsid w:val="00B13048"/>
    <w:rsid w:val="00B132E3"/>
    <w:rsid w:val="00B13A43"/>
    <w:rsid w:val="00B15998"/>
    <w:rsid w:val="00B16010"/>
    <w:rsid w:val="00B16BB4"/>
    <w:rsid w:val="00B1716D"/>
    <w:rsid w:val="00B17A1D"/>
    <w:rsid w:val="00B20524"/>
    <w:rsid w:val="00B207A0"/>
    <w:rsid w:val="00B22CF7"/>
    <w:rsid w:val="00B25AE6"/>
    <w:rsid w:val="00B31EEB"/>
    <w:rsid w:val="00B321CF"/>
    <w:rsid w:val="00B324CF"/>
    <w:rsid w:val="00B33CF2"/>
    <w:rsid w:val="00B33DAD"/>
    <w:rsid w:val="00B33FCE"/>
    <w:rsid w:val="00B354D1"/>
    <w:rsid w:val="00B37679"/>
    <w:rsid w:val="00B42B14"/>
    <w:rsid w:val="00B45E25"/>
    <w:rsid w:val="00B46DBF"/>
    <w:rsid w:val="00B47716"/>
    <w:rsid w:val="00B50B05"/>
    <w:rsid w:val="00B536C9"/>
    <w:rsid w:val="00B56D99"/>
    <w:rsid w:val="00B56E03"/>
    <w:rsid w:val="00B60F5D"/>
    <w:rsid w:val="00B612B6"/>
    <w:rsid w:val="00B613E5"/>
    <w:rsid w:val="00B62F62"/>
    <w:rsid w:val="00B63892"/>
    <w:rsid w:val="00B65215"/>
    <w:rsid w:val="00B66BDC"/>
    <w:rsid w:val="00B67E91"/>
    <w:rsid w:val="00B71493"/>
    <w:rsid w:val="00B7236E"/>
    <w:rsid w:val="00B7402E"/>
    <w:rsid w:val="00B74E72"/>
    <w:rsid w:val="00B757E9"/>
    <w:rsid w:val="00B75E9A"/>
    <w:rsid w:val="00B76C76"/>
    <w:rsid w:val="00B77D07"/>
    <w:rsid w:val="00B8080B"/>
    <w:rsid w:val="00B83EAC"/>
    <w:rsid w:val="00B84001"/>
    <w:rsid w:val="00B84654"/>
    <w:rsid w:val="00B86B6E"/>
    <w:rsid w:val="00B87C39"/>
    <w:rsid w:val="00B90D62"/>
    <w:rsid w:val="00B91B4B"/>
    <w:rsid w:val="00B91F03"/>
    <w:rsid w:val="00B926F1"/>
    <w:rsid w:val="00B94E0F"/>
    <w:rsid w:val="00B956B9"/>
    <w:rsid w:val="00B97D70"/>
    <w:rsid w:val="00BA04C3"/>
    <w:rsid w:val="00BA2133"/>
    <w:rsid w:val="00BA31DC"/>
    <w:rsid w:val="00BA32BC"/>
    <w:rsid w:val="00BA4130"/>
    <w:rsid w:val="00BA4665"/>
    <w:rsid w:val="00BA5037"/>
    <w:rsid w:val="00BA52FC"/>
    <w:rsid w:val="00BA590E"/>
    <w:rsid w:val="00BA5949"/>
    <w:rsid w:val="00BA5B81"/>
    <w:rsid w:val="00BA6807"/>
    <w:rsid w:val="00BA6FE1"/>
    <w:rsid w:val="00BB2BC0"/>
    <w:rsid w:val="00BB2FB2"/>
    <w:rsid w:val="00BB3304"/>
    <w:rsid w:val="00BB40DE"/>
    <w:rsid w:val="00BB4A89"/>
    <w:rsid w:val="00BB4E94"/>
    <w:rsid w:val="00BB66B8"/>
    <w:rsid w:val="00BB78B0"/>
    <w:rsid w:val="00BC2FE7"/>
    <w:rsid w:val="00BC3172"/>
    <w:rsid w:val="00BC540F"/>
    <w:rsid w:val="00BC58DA"/>
    <w:rsid w:val="00BC6E30"/>
    <w:rsid w:val="00BC7C56"/>
    <w:rsid w:val="00BC7ED7"/>
    <w:rsid w:val="00BD0C67"/>
    <w:rsid w:val="00BD1805"/>
    <w:rsid w:val="00BD1ADE"/>
    <w:rsid w:val="00BD21AC"/>
    <w:rsid w:val="00BD21AD"/>
    <w:rsid w:val="00BD2E6B"/>
    <w:rsid w:val="00BD3446"/>
    <w:rsid w:val="00BD5BE8"/>
    <w:rsid w:val="00BD764D"/>
    <w:rsid w:val="00BD796A"/>
    <w:rsid w:val="00BE0430"/>
    <w:rsid w:val="00BE0D3C"/>
    <w:rsid w:val="00BE1F1B"/>
    <w:rsid w:val="00BE3E95"/>
    <w:rsid w:val="00BE414D"/>
    <w:rsid w:val="00BE47B5"/>
    <w:rsid w:val="00BE4C99"/>
    <w:rsid w:val="00BE5735"/>
    <w:rsid w:val="00BE5A3B"/>
    <w:rsid w:val="00BF0F1A"/>
    <w:rsid w:val="00BF44DC"/>
    <w:rsid w:val="00BF727D"/>
    <w:rsid w:val="00C017E3"/>
    <w:rsid w:val="00C01D49"/>
    <w:rsid w:val="00C02F9D"/>
    <w:rsid w:val="00C058AB"/>
    <w:rsid w:val="00C06739"/>
    <w:rsid w:val="00C1126A"/>
    <w:rsid w:val="00C1194F"/>
    <w:rsid w:val="00C12B41"/>
    <w:rsid w:val="00C13050"/>
    <w:rsid w:val="00C14A4A"/>
    <w:rsid w:val="00C16B8C"/>
    <w:rsid w:val="00C203CF"/>
    <w:rsid w:val="00C204C9"/>
    <w:rsid w:val="00C22574"/>
    <w:rsid w:val="00C233B5"/>
    <w:rsid w:val="00C24909"/>
    <w:rsid w:val="00C24B57"/>
    <w:rsid w:val="00C27C60"/>
    <w:rsid w:val="00C308FB"/>
    <w:rsid w:val="00C3131F"/>
    <w:rsid w:val="00C33F3B"/>
    <w:rsid w:val="00C3526A"/>
    <w:rsid w:val="00C413E6"/>
    <w:rsid w:val="00C45649"/>
    <w:rsid w:val="00C459B4"/>
    <w:rsid w:val="00C4703D"/>
    <w:rsid w:val="00C4721E"/>
    <w:rsid w:val="00C522A1"/>
    <w:rsid w:val="00C538A9"/>
    <w:rsid w:val="00C53A4C"/>
    <w:rsid w:val="00C53B5A"/>
    <w:rsid w:val="00C54F5A"/>
    <w:rsid w:val="00C57F10"/>
    <w:rsid w:val="00C60E7D"/>
    <w:rsid w:val="00C62990"/>
    <w:rsid w:val="00C62FE5"/>
    <w:rsid w:val="00C63056"/>
    <w:rsid w:val="00C6391B"/>
    <w:rsid w:val="00C6555C"/>
    <w:rsid w:val="00C666DC"/>
    <w:rsid w:val="00C7278A"/>
    <w:rsid w:val="00C727EF"/>
    <w:rsid w:val="00C74409"/>
    <w:rsid w:val="00C74A1F"/>
    <w:rsid w:val="00C755AD"/>
    <w:rsid w:val="00C76E7D"/>
    <w:rsid w:val="00C81AB1"/>
    <w:rsid w:val="00C849B0"/>
    <w:rsid w:val="00C849D5"/>
    <w:rsid w:val="00C86679"/>
    <w:rsid w:val="00C86FD3"/>
    <w:rsid w:val="00C92B45"/>
    <w:rsid w:val="00C94469"/>
    <w:rsid w:val="00C965E6"/>
    <w:rsid w:val="00C9758F"/>
    <w:rsid w:val="00CA2B33"/>
    <w:rsid w:val="00CA3051"/>
    <w:rsid w:val="00CA33B5"/>
    <w:rsid w:val="00CA3FED"/>
    <w:rsid w:val="00CA79C0"/>
    <w:rsid w:val="00CA7E1F"/>
    <w:rsid w:val="00CB2C98"/>
    <w:rsid w:val="00CB3FB1"/>
    <w:rsid w:val="00CB5B7E"/>
    <w:rsid w:val="00CB666B"/>
    <w:rsid w:val="00CB6AA6"/>
    <w:rsid w:val="00CB6C0E"/>
    <w:rsid w:val="00CB7135"/>
    <w:rsid w:val="00CC15D2"/>
    <w:rsid w:val="00CC3E74"/>
    <w:rsid w:val="00CC59F7"/>
    <w:rsid w:val="00CD00E1"/>
    <w:rsid w:val="00CD0CDB"/>
    <w:rsid w:val="00CD12C8"/>
    <w:rsid w:val="00CD24EC"/>
    <w:rsid w:val="00CD281A"/>
    <w:rsid w:val="00CD49E1"/>
    <w:rsid w:val="00CD4D06"/>
    <w:rsid w:val="00CD55D2"/>
    <w:rsid w:val="00CD590D"/>
    <w:rsid w:val="00CE0CC7"/>
    <w:rsid w:val="00CE1CF4"/>
    <w:rsid w:val="00CE2B47"/>
    <w:rsid w:val="00CE5761"/>
    <w:rsid w:val="00CE5CB4"/>
    <w:rsid w:val="00CE6A18"/>
    <w:rsid w:val="00CF049E"/>
    <w:rsid w:val="00CF0842"/>
    <w:rsid w:val="00CF283C"/>
    <w:rsid w:val="00CF3A5C"/>
    <w:rsid w:val="00CF3BDC"/>
    <w:rsid w:val="00CF5057"/>
    <w:rsid w:val="00CF67D4"/>
    <w:rsid w:val="00CF735A"/>
    <w:rsid w:val="00CF799E"/>
    <w:rsid w:val="00CF7D49"/>
    <w:rsid w:val="00D01CF0"/>
    <w:rsid w:val="00D03F59"/>
    <w:rsid w:val="00D0442A"/>
    <w:rsid w:val="00D04F5F"/>
    <w:rsid w:val="00D05740"/>
    <w:rsid w:val="00D06552"/>
    <w:rsid w:val="00D06D64"/>
    <w:rsid w:val="00D0774C"/>
    <w:rsid w:val="00D1212E"/>
    <w:rsid w:val="00D1258A"/>
    <w:rsid w:val="00D13098"/>
    <w:rsid w:val="00D15121"/>
    <w:rsid w:val="00D16724"/>
    <w:rsid w:val="00D203E1"/>
    <w:rsid w:val="00D24ADA"/>
    <w:rsid w:val="00D24CB6"/>
    <w:rsid w:val="00D24E1D"/>
    <w:rsid w:val="00D25C08"/>
    <w:rsid w:val="00D25E3D"/>
    <w:rsid w:val="00D2616E"/>
    <w:rsid w:val="00D30F51"/>
    <w:rsid w:val="00D32F9E"/>
    <w:rsid w:val="00D332A0"/>
    <w:rsid w:val="00D33FA3"/>
    <w:rsid w:val="00D346AA"/>
    <w:rsid w:val="00D35151"/>
    <w:rsid w:val="00D3547F"/>
    <w:rsid w:val="00D366D7"/>
    <w:rsid w:val="00D40EF5"/>
    <w:rsid w:val="00D44F35"/>
    <w:rsid w:val="00D44F99"/>
    <w:rsid w:val="00D46B1E"/>
    <w:rsid w:val="00D51BD2"/>
    <w:rsid w:val="00D52180"/>
    <w:rsid w:val="00D53053"/>
    <w:rsid w:val="00D544B8"/>
    <w:rsid w:val="00D55216"/>
    <w:rsid w:val="00D55E10"/>
    <w:rsid w:val="00D60561"/>
    <w:rsid w:val="00D61388"/>
    <w:rsid w:val="00D61A54"/>
    <w:rsid w:val="00D64AF7"/>
    <w:rsid w:val="00D64DEA"/>
    <w:rsid w:val="00D67E4F"/>
    <w:rsid w:val="00D73D5F"/>
    <w:rsid w:val="00D75EA1"/>
    <w:rsid w:val="00D766BF"/>
    <w:rsid w:val="00D76967"/>
    <w:rsid w:val="00D769D1"/>
    <w:rsid w:val="00D80893"/>
    <w:rsid w:val="00D815DD"/>
    <w:rsid w:val="00D83554"/>
    <w:rsid w:val="00D83FEA"/>
    <w:rsid w:val="00D84600"/>
    <w:rsid w:val="00D84BA1"/>
    <w:rsid w:val="00D856A7"/>
    <w:rsid w:val="00D86AD8"/>
    <w:rsid w:val="00D872C5"/>
    <w:rsid w:val="00D9146A"/>
    <w:rsid w:val="00D92CF1"/>
    <w:rsid w:val="00D92D38"/>
    <w:rsid w:val="00D93061"/>
    <w:rsid w:val="00D93C23"/>
    <w:rsid w:val="00D94B99"/>
    <w:rsid w:val="00D94CD5"/>
    <w:rsid w:val="00D950F5"/>
    <w:rsid w:val="00D95D67"/>
    <w:rsid w:val="00D96EA7"/>
    <w:rsid w:val="00D9748C"/>
    <w:rsid w:val="00D97CD9"/>
    <w:rsid w:val="00DA2129"/>
    <w:rsid w:val="00DA23A8"/>
    <w:rsid w:val="00DA2684"/>
    <w:rsid w:val="00DA28B1"/>
    <w:rsid w:val="00DA3E51"/>
    <w:rsid w:val="00DA5433"/>
    <w:rsid w:val="00DA606A"/>
    <w:rsid w:val="00DB0F93"/>
    <w:rsid w:val="00DB188A"/>
    <w:rsid w:val="00DB2929"/>
    <w:rsid w:val="00DB3E4E"/>
    <w:rsid w:val="00DB5033"/>
    <w:rsid w:val="00DB56B0"/>
    <w:rsid w:val="00DB69E3"/>
    <w:rsid w:val="00DC09DB"/>
    <w:rsid w:val="00DC0BA9"/>
    <w:rsid w:val="00DC1CA5"/>
    <w:rsid w:val="00DC542F"/>
    <w:rsid w:val="00DC586B"/>
    <w:rsid w:val="00DC5A39"/>
    <w:rsid w:val="00DC7981"/>
    <w:rsid w:val="00DC79FD"/>
    <w:rsid w:val="00DD0680"/>
    <w:rsid w:val="00DD06CA"/>
    <w:rsid w:val="00DD0A6A"/>
    <w:rsid w:val="00DD2291"/>
    <w:rsid w:val="00DD3E0A"/>
    <w:rsid w:val="00DD477E"/>
    <w:rsid w:val="00DE104F"/>
    <w:rsid w:val="00DE1E97"/>
    <w:rsid w:val="00DE2062"/>
    <w:rsid w:val="00DE4EFA"/>
    <w:rsid w:val="00DE5520"/>
    <w:rsid w:val="00DE5DE4"/>
    <w:rsid w:val="00DE60D8"/>
    <w:rsid w:val="00DF15FC"/>
    <w:rsid w:val="00DF2205"/>
    <w:rsid w:val="00DF3638"/>
    <w:rsid w:val="00DF79FA"/>
    <w:rsid w:val="00DF7E62"/>
    <w:rsid w:val="00E003A0"/>
    <w:rsid w:val="00E01717"/>
    <w:rsid w:val="00E0291E"/>
    <w:rsid w:val="00E03B41"/>
    <w:rsid w:val="00E03F30"/>
    <w:rsid w:val="00E04818"/>
    <w:rsid w:val="00E04C78"/>
    <w:rsid w:val="00E050FB"/>
    <w:rsid w:val="00E06442"/>
    <w:rsid w:val="00E106CE"/>
    <w:rsid w:val="00E11E3E"/>
    <w:rsid w:val="00E12EE3"/>
    <w:rsid w:val="00E12F41"/>
    <w:rsid w:val="00E12FEA"/>
    <w:rsid w:val="00E13CA4"/>
    <w:rsid w:val="00E143AE"/>
    <w:rsid w:val="00E16295"/>
    <w:rsid w:val="00E16BB3"/>
    <w:rsid w:val="00E17773"/>
    <w:rsid w:val="00E17FD5"/>
    <w:rsid w:val="00E22501"/>
    <w:rsid w:val="00E22E83"/>
    <w:rsid w:val="00E23324"/>
    <w:rsid w:val="00E23993"/>
    <w:rsid w:val="00E24309"/>
    <w:rsid w:val="00E24735"/>
    <w:rsid w:val="00E2538A"/>
    <w:rsid w:val="00E25AC0"/>
    <w:rsid w:val="00E25B8C"/>
    <w:rsid w:val="00E25BA8"/>
    <w:rsid w:val="00E2720C"/>
    <w:rsid w:val="00E33C5F"/>
    <w:rsid w:val="00E36EBF"/>
    <w:rsid w:val="00E36FBC"/>
    <w:rsid w:val="00E415CA"/>
    <w:rsid w:val="00E41ABC"/>
    <w:rsid w:val="00E45B1C"/>
    <w:rsid w:val="00E45DCC"/>
    <w:rsid w:val="00E46381"/>
    <w:rsid w:val="00E4674F"/>
    <w:rsid w:val="00E51485"/>
    <w:rsid w:val="00E51B9D"/>
    <w:rsid w:val="00E51DDC"/>
    <w:rsid w:val="00E51FD0"/>
    <w:rsid w:val="00E54DB7"/>
    <w:rsid w:val="00E6144D"/>
    <w:rsid w:val="00E61BFD"/>
    <w:rsid w:val="00E6230C"/>
    <w:rsid w:val="00E62A84"/>
    <w:rsid w:val="00E63639"/>
    <w:rsid w:val="00E63C08"/>
    <w:rsid w:val="00E64390"/>
    <w:rsid w:val="00E6572B"/>
    <w:rsid w:val="00E65C85"/>
    <w:rsid w:val="00E66199"/>
    <w:rsid w:val="00E67034"/>
    <w:rsid w:val="00E67341"/>
    <w:rsid w:val="00E731FD"/>
    <w:rsid w:val="00E755EC"/>
    <w:rsid w:val="00E75974"/>
    <w:rsid w:val="00E7624D"/>
    <w:rsid w:val="00E77EBD"/>
    <w:rsid w:val="00E80736"/>
    <w:rsid w:val="00E808F6"/>
    <w:rsid w:val="00E814FA"/>
    <w:rsid w:val="00E8323F"/>
    <w:rsid w:val="00E832F3"/>
    <w:rsid w:val="00E836DC"/>
    <w:rsid w:val="00E83BBD"/>
    <w:rsid w:val="00E87A15"/>
    <w:rsid w:val="00E90C53"/>
    <w:rsid w:val="00E917B7"/>
    <w:rsid w:val="00E9765D"/>
    <w:rsid w:val="00E97B36"/>
    <w:rsid w:val="00E97D01"/>
    <w:rsid w:val="00EA15D3"/>
    <w:rsid w:val="00EA1923"/>
    <w:rsid w:val="00EA2596"/>
    <w:rsid w:val="00EA2A65"/>
    <w:rsid w:val="00EA3D42"/>
    <w:rsid w:val="00EA6B1B"/>
    <w:rsid w:val="00EA74C3"/>
    <w:rsid w:val="00EB14FC"/>
    <w:rsid w:val="00EB1E3E"/>
    <w:rsid w:val="00EB2E1C"/>
    <w:rsid w:val="00EB63D5"/>
    <w:rsid w:val="00EB6A38"/>
    <w:rsid w:val="00EB719A"/>
    <w:rsid w:val="00EC0551"/>
    <w:rsid w:val="00EC2881"/>
    <w:rsid w:val="00EC4A63"/>
    <w:rsid w:val="00EC776E"/>
    <w:rsid w:val="00EC7A60"/>
    <w:rsid w:val="00ED0960"/>
    <w:rsid w:val="00ED0D85"/>
    <w:rsid w:val="00ED116C"/>
    <w:rsid w:val="00ED2312"/>
    <w:rsid w:val="00ED45A7"/>
    <w:rsid w:val="00ED67BC"/>
    <w:rsid w:val="00ED7D46"/>
    <w:rsid w:val="00ED7E3F"/>
    <w:rsid w:val="00EE0E78"/>
    <w:rsid w:val="00EE0FBD"/>
    <w:rsid w:val="00EE2613"/>
    <w:rsid w:val="00EE28F3"/>
    <w:rsid w:val="00EE37D7"/>
    <w:rsid w:val="00EE3D40"/>
    <w:rsid w:val="00EE4D84"/>
    <w:rsid w:val="00EE58F1"/>
    <w:rsid w:val="00EE6D4E"/>
    <w:rsid w:val="00EE79D2"/>
    <w:rsid w:val="00EF292B"/>
    <w:rsid w:val="00EF5110"/>
    <w:rsid w:val="00EF7AD8"/>
    <w:rsid w:val="00F011E2"/>
    <w:rsid w:val="00F021A5"/>
    <w:rsid w:val="00F02A27"/>
    <w:rsid w:val="00F0462A"/>
    <w:rsid w:val="00F145D6"/>
    <w:rsid w:val="00F15882"/>
    <w:rsid w:val="00F1712A"/>
    <w:rsid w:val="00F20143"/>
    <w:rsid w:val="00F20BD3"/>
    <w:rsid w:val="00F2129F"/>
    <w:rsid w:val="00F2213B"/>
    <w:rsid w:val="00F22D9C"/>
    <w:rsid w:val="00F236F4"/>
    <w:rsid w:val="00F24617"/>
    <w:rsid w:val="00F2524C"/>
    <w:rsid w:val="00F25A31"/>
    <w:rsid w:val="00F26303"/>
    <w:rsid w:val="00F26F1E"/>
    <w:rsid w:val="00F27D61"/>
    <w:rsid w:val="00F31E38"/>
    <w:rsid w:val="00F34004"/>
    <w:rsid w:val="00F3590D"/>
    <w:rsid w:val="00F373A5"/>
    <w:rsid w:val="00F401AF"/>
    <w:rsid w:val="00F41FF4"/>
    <w:rsid w:val="00F43BF0"/>
    <w:rsid w:val="00F45527"/>
    <w:rsid w:val="00F47559"/>
    <w:rsid w:val="00F47B50"/>
    <w:rsid w:val="00F47D73"/>
    <w:rsid w:val="00F52D30"/>
    <w:rsid w:val="00F53989"/>
    <w:rsid w:val="00F56655"/>
    <w:rsid w:val="00F60BE4"/>
    <w:rsid w:val="00F60CB1"/>
    <w:rsid w:val="00F61B84"/>
    <w:rsid w:val="00F62762"/>
    <w:rsid w:val="00F62E16"/>
    <w:rsid w:val="00F63DA6"/>
    <w:rsid w:val="00F63E83"/>
    <w:rsid w:val="00F64C7B"/>
    <w:rsid w:val="00F676DD"/>
    <w:rsid w:val="00F67AD7"/>
    <w:rsid w:val="00F70957"/>
    <w:rsid w:val="00F718D6"/>
    <w:rsid w:val="00F72F1D"/>
    <w:rsid w:val="00F75A26"/>
    <w:rsid w:val="00F774E9"/>
    <w:rsid w:val="00F807A9"/>
    <w:rsid w:val="00F808C9"/>
    <w:rsid w:val="00F809A4"/>
    <w:rsid w:val="00F80E09"/>
    <w:rsid w:val="00F80E2B"/>
    <w:rsid w:val="00F80EB1"/>
    <w:rsid w:val="00F81CFF"/>
    <w:rsid w:val="00F81E01"/>
    <w:rsid w:val="00F83FAD"/>
    <w:rsid w:val="00F84C68"/>
    <w:rsid w:val="00F8571B"/>
    <w:rsid w:val="00F901F6"/>
    <w:rsid w:val="00F9035A"/>
    <w:rsid w:val="00F91DC6"/>
    <w:rsid w:val="00F92C63"/>
    <w:rsid w:val="00F92E9D"/>
    <w:rsid w:val="00F952A0"/>
    <w:rsid w:val="00F95A19"/>
    <w:rsid w:val="00F96389"/>
    <w:rsid w:val="00FA11AA"/>
    <w:rsid w:val="00FA1277"/>
    <w:rsid w:val="00FA1288"/>
    <w:rsid w:val="00FA1C4A"/>
    <w:rsid w:val="00FA20B3"/>
    <w:rsid w:val="00FA3011"/>
    <w:rsid w:val="00FA370C"/>
    <w:rsid w:val="00FA3C7F"/>
    <w:rsid w:val="00FA5C63"/>
    <w:rsid w:val="00FA631D"/>
    <w:rsid w:val="00FA7225"/>
    <w:rsid w:val="00FB0017"/>
    <w:rsid w:val="00FB02E0"/>
    <w:rsid w:val="00FB16D1"/>
    <w:rsid w:val="00FB19EA"/>
    <w:rsid w:val="00FB52D7"/>
    <w:rsid w:val="00FB56AE"/>
    <w:rsid w:val="00FB5872"/>
    <w:rsid w:val="00FB5E89"/>
    <w:rsid w:val="00FB6044"/>
    <w:rsid w:val="00FB74E2"/>
    <w:rsid w:val="00FB780D"/>
    <w:rsid w:val="00FC2635"/>
    <w:rsid w:val="00FC5886"/>
    <w:rsid w:val="00FD0A09"/>
    <w:rsid w:val="00FD14AF"/>
    <w:rsid w:val="00FD1D18"/>
    <w:rsid w:val="00FD3B7F"/>
    <w:rsid w:val="00FD4C0C"/>
    <w:rsid w:val="00FD5465"/>
    <w:rsid w:val="00FD55EF"/>
    <w:rsid w:val="00FD5614"/>
    <w:rsid w:val="00FD668D"/>
    <w:rsid w:val="00FE00A8"/>
    <w:rsid w:val="00FE0BE1"/>
    <w:rsid w:val="00FE1DE9"/>
    <w:rsid w:val="00FE2486"/>
    <w:rsid w:val="00FE3186"/>
    <w:rsid w:val="00FE39C2"/>
    <w:rsid w:val="00FE3A33"/>
    <w:rsid w:val="00FE3AD5"/>
    <w:rsid w:val="00FE469C"/>
    <w:rsid w:val="00FE4A14"/>
    <w:rsid w:val="00FE64AE"/>
    <w:rsid w:val="00FE6704"/>
    <w:rsid w:val="00FF2964"/>
    <w:rsid w:val="00FF5291"/>
    <w:rsid w:val="00FF7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3069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0E3A2E"/>
    <w:pPr>
      <w:numPr>
        <w:ilvl w:val="1"/>
        <w:numId w:val="12"/>
      </w:numPr>
      <w:tabs>
        <w:tab w:val="left" w:pos="1021"/>
      </w:tabs>
      <w:ind w:left="1021" w:hanging="1021"/>
    </w:pPr>
    <w:rPr>
      <w:rFonts w:cs="Arial"/>
    </w:rPr>
  </w:style>
  <w:style w:type="paragraph" w:customStyle="1" w:styleId="Numbered111">
    <w:name w:val="Numbered 1.1.1"/>
    <w:basedOn w:val="Heading3"/>
    <w:next w:val="Normal"/>
    <w:qFormat/>
    <w:rsid w:val="009F2BE5"/>
    <w:pPr>
      <w:numPr>
        <w:ilvl w:val="2"/>
        <w:numId w:val="12"/>
      </w:numPr>
      <w:tabs>
        <w:tab w:val="left" w:pos="1361"/>
      </w:tabs>
      <w:ind w:left="1021" w:hanging="102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aliases w:val="BG Footnote Text,TBG Style"/>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aliases w:val="BG Footnote Text Char,TBG Style Char"/>
    <w:basedOn w:val="DefaultParagraphFont"/>
    <w:link w:val="FootnoteText"/>
    <w:uiPriority w:val="2"/>
    <w:rsid w:val="00D73D5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680" w:hanging="680"/>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paragraph" w:customStyle="1" w:styleId="Re">
    <w:name w:val="Re:"/>
    <w:basedOn w:val="Normal"/>
    <w:next w:val="Normal"/>
    <w:qFormat/>
    <w:rsid w:val="00330690"/>
    <w:rPr>
      <w:b/>
    </w:rPr>
  </w:style>
  <w:style w:type="paragraph" w:customStyle="1" w:styleId="References">
    <w:name w:val="References"/>
    <w:qFormat/>
    <w:rsid w:val="00330690"/>
    <w:pPr>
      <w:tabs>
        <w:tab w:val="left" w:pos="1701"/>
      </w:tabs>
      <w:spacing w:before="960" w:after="40"/>
      <w:contextualSpacing/>
    </w:pPr>
    <w:rPr>
      <w:rFonts w:ascii="Arial" w:eastAsia="Times New Roman" w:hAnsi="Arial" w:cs="Times New Roman"/>
      <w:szCs w:val="20"/>
      <w:lang w:eastAsia="en-AU"/>
    </w:rPr>
  </w:style>
  <w:style w:type="paragraph" w:customStyle="1" w:styleId="Letterdate">
    <w:name w:val="Letter date"/>
    <w:basedOn w:val="References"/>
    <w:qFormat/>
    <w:rsid w:val="00330690"/>
    <w:pPr>
      <w:spacing w:before="360"/>
    </w:pPr>
  </w:style>
  <w:style w:type="paragraph" w:customStyle="1" w:styleId="Default">
    <w:name w:val="Default"/>
    <w:rsid w:val="00B46DBF"/>
    <w:pPr>
      <w:autoSpaceDE w:val="0"/>
      <w:autoSpaceDN w:val="0"/>
      <w:adjustRightInd w:val="0"/>
      <w:spacing w:before="0"/>
    </w:pPr>
    <w:rPr>
      <w:rFonts w:ascii="Gotham Light" w:hAnsi="Gotham Light" w:cs="Gotham Light"/>
      <w:color w:val="000000"/>
      <w:sz w:val="24"/>
      <w:szCs w:val="24"/>
    </w:rPr>
  </w:style>
  <w:style w:type="paragraph" w:styleId="CommentText">
    <w:name w:val="annotation text"/>
    <w:basedOn w:val="Normal"/>
    <w:link w:val="CommentTextChar"/>
    <w:uiPriority w:val="99"/>
    <w:unhideWhenUsed/>
    <w:rsid w:val="0029293D"/>
    <w:pPr>
      <w:spacing w:before="0"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29293D"/>
    <w:rPr>
      <w:sz w:val="20"/>
      <w:szCs w:val="20"/>
    </w:rPr>
  </w:style>
  <w:style w:type="character" w:styleId="CommentReference">
    <w:name w:val="annotation reference"/>
    <w:basedOn w:val="DefaultParagraphFont"/>
    <w:uiPriority w:val="99"/>
    <w:semiHidden/>
    <w:unhideWhenUsed/>
    <w:rsid w:val="00340AD0"/>
    <w:rPr>
      <w:sz w:val="16"/>
      <w:szCs w:val="16"/>
    </w:rPr>
  </w:style>
  <w:style w:type="character" w:customStyle="1" w:styleId="st1">
    <w:name w:val="st1"/>
    <w:basedOn w:val="DefaultParagraphFont"/>
    <w:rsid w:val="00CC15D2"/>
  </w:style>
  <w:style w:type="paragraph" w:styleId="CommentSubject">
    <w:name w:val="annotation subject"/>
    <w:basedOn w:val="CommentText"/>
    <w:next w:val="CommentText"/>
    <w:link w:val="CommentSubjectChar"/>
    <w:uiPriority w:val="99"/>
    <w:semiHidden/>
    <w:unhideWhenUsed/>
    <w:rsid w:val="001037AD"/>
    <w:pPr>
      <w:spacing w:before="200" w:after="0"/>
    </w:pPr>
    <w:rPr>
      <w:rFonts w:ascii="Arial" w:hAnsi="Arial"/>
      <w:b/>
      <w:bCs/>
    </w:rPr>
  </w:style>
  <w:style w:type="character" w:customStyle="1" w:styleId="CommentSubjectChar">
    <w:name w:val="Comment Subject Char"/>
    <w:basedOn w:val="CommentTextChar"/>
    <w:link w:val="CommentSubject"/>
    <w:uiPriority w:val="99"/>
    <w:semiHidden/>
    <w:rsid w:val="001037AD"/>
    <w:rPr>
      <w:rFonts w:ascii="Arial" w:hAnsi="Arial"/>
      <w:b/>
      <w:bCs/>
      <w:sz w:val="20"/>
      <w:szCs w:val="20"/>
    </w:rPr>
  </w:style>
  <w:style w:type="paragraph" w:customStyle="1" w:styleId="TableBodyText">
    <w:name w:val="Table Body Text"/>
    <w:basedOn w:val="Normal"/>
    <w:rsid w:val="002F4D00"/>
    <w:pPr>
      <w:spacing w:before="60" w:after="60" w:line="264" w:lineRule="auto"/>
      <w:ind w:left="85" w:right="85"/>
    </w:pPr>
    <w:rPr>
      <w:rFonts w:cs="Arial"/>
      <w:sz w:val="18"/>
      <w:szCs w:val="18"/>
      <w:lang w:eastAsia="en-AU"/>
    </w:rPr>
  </w:style>
  <w:style w:type="character" w:customStyle="1" w:styleId="A7">
    <w:name w:val="A7"/>
    <w:uiPriority w:val="99"/>
    <w:rsid w:val="00AA5127"/>
    <w:rPr>
      <w:rFonts w:cs="Gotham Light"/>
      <w:color w:val="000000"/>
      <w:sz w:val="20"/>
      <w:szCs w:val="20"/>
    </w:rPr>
  </w:style>
  <w:style w:type="character" w:customStyle="1" w:styleId="A8">
    <w:name w:val="A8"/>
    <w:uiPriority w:val="99"/>
    <w:rsid w:val="00AA5127"/>
    <w:rPr>
      <w:rFonts w:cs="Gotham Light"/>
      <w:color w:val="000000"/>
      <w:sz w:val="11"/>
      <w:szCs w:val="11"/>
    </w:rPr>
  </w:style>
  <w:style w:type="paragraph" w:styleId="Revision">
    <w:name w:val="Revision"/>
    <w:hidden/>
    <w:uiPriority w:val="99"/>
    <w:semiHidden/>
    <w:rsid w:val="00BF727D"/>
    <w:pPr>
      <w:spacing w:before="0"/>
    </w:pPr>
    <w:rPr>
      <w:rFonts w:ascii="Arial" w:hAnsi="Arial"/>
    </w:rPr>
  </w:style>
  <w:style w:type="character" w:customStyle="1" w:styleId="A11">
    <w:name w:val="A11"/>
    <w:uiPriority w:val="99"/>
    <w:rsid w:val="005C3666"/>
    <w:rPr>
      <w:rFonts w:cs="Gotham Light"/>
      <w:color w:val="000000"/>
      <w:sz w:val="20"/>
      <w:szCs w:val="20"/>
    </w:rPr>
  </w:style>
  <w:style w:type="paragraph" w:styleId="BodyText">
    <w:name w:val="Body Text"/>
    <w:basedOn w:val="Normal"/>
    <w:link w:val="BodyTextChar"/>
    <w:uiPriority w:val="99"/>
    <w:semiHidden/>
    <w:unhideWhenUsed/>
    <w:rsid w:val="000B173F"/>
    <w:pPr>
      <w:spacing w:after="120" w:line="276" w:lineRule="auto"/>
    </w:pPr>
  </w:style>
  <w:style w:type="character" w:customStyle="1" w:styleId="BodyTextChar">
    <w:name w:val="Body Text Char"/>
    <w:basedOn w:val="DefaultParagraphFont"/>
    <w:link w:val="BodyText"/>
    <w:uiPriority w:val="99"/>
    <w:semiHidden/>
    <w:rsid w:val="000B173F"/>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3069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0E3A2E"/>
    <w:pPr>
      <w:numPr>
        <w:ilvl w:val="1"/>
        <w:numId w:val="12"/>
      </w:numPr>
      <w:tabs>
        <w:tab w:val="left" w:pos="1021"/>
      </w:tabs>
      <w:ind w:left="1021" w:hanging="1021"/>
    </w:pPr>
    <w:rPr>
      <w:rFonts w:cs="Arial"/>
    </w:rPr>
  </w:style>
  <w:style w:type="paragraph" w:customStyle="1" w:styleId="Numbered111">
    <w:name w:val="Numbered 1.1.1"/>
    <w:basedOn w:val="Heading3"/>
    <w:next w:val="Normal"/>
    <w:qFormat/>
    <w:rsid w:val="009F2BE5"/>
    <w:pPr>
      <w:numPr>
        <w:ilvl w:val="2"/>
        <w:numId w:val="12"/>
      </w:numPr>
      <w:tabs>
        <w:tab w:val="left" w:pos="1361"/>
      </w:tabs>
      <w:ind w:left="1021" w:hanging="102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aliases w:val="BG Footnote Text,TBG Style"/>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aliases w:val="BG Footnote Text Char,TBG Style Char"/>
    <w:basedOn w:val="DefaultParagraphFont"/>
    <w:link w:val="FootnoteText"/>
    <w:uiPriority w:val="2"/>
    <w:rsid w:val="00D73D5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680" w:hanging="680"/>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paragraph" w:customStyle="1" w:styleId="Re">
    <w:name w:val="Re:"/>
    <w:basedOn w:val="Normal"/>
    <w:next w:val="Normal"/>
    <w:qFormat/>
    <w:rsid w:val="00330690"/>
    <w:rPr>
      <w:b/>
    </w:rPr>
  </w:style>
  <w:style w:type="paragraph" w:customStyle="1" w:styleId="References">
    <w:name w:val="References"/>
    <w:qFormat/>
    <w:rsid w:val="00330690"/>
    <w:pPr>
      <w:tabs>
        <w:tab w:val="left" w:pos="1701"/>
      </w:tabs>
      <w:spacing w:before="960" w:after="40"/>
      <w:contextualSpacing/>
    </w:pPr>
    <w:rPr>
      <w:rFonts w:ascii="Arial" w:eastAsia="Times New Roman" w:hAnsi="Arial" w:cs="Times New Roman"/>
      <w:szCs w:val="20"/>
      <w:lang w:eastAsia="en-AU"/>
    </w:rPr>
  </w:style>
  <w:style w:type="paragraph" w:customStyle="1" w:styleId="Letterdate">
    <w:name w:val="Letter date"/>
    <w:basedOn w:val="References"/>
    <w:qFormat/>
    <w:rsid w:val="00330690"/>
    <w:pPr>
      <w:spacing w:before="360"/>
    </w:pPr>
  </w:style>
  <w:style w:type="paragraph" w:customStyle="1" w:styleId="Default">
    <w:name w:val="Default"/>
    <w:rsid w:val="00B46DBF"/>
    <w:pPr>
      <w:autoSpaceDE w:val="0"/>
      <w:autoSpaceDN w:val="0"/>
      <w:adjustRightInd w:val="0"/>
      <w:spacing w:before="0"/>
    </w:pPr>
    <w:rPr>
      <w:rFonts w:ascii="Gotham Light" w:hAnsi="Gotham Light" w:cs="Gotham Light"/>
      <w:color w:val="000000"/>
      <w:sz w:val="24"/>
      <w:szCs w:val="24"/>
    </w:rPr>
  </w:style>
  <w:style w:type="paragraph" w:styleId="CommentText">
    <w:name w:val="annotation text"/>
    <w:basedOn w:val="Normal"/>
    <w:link w:val="CommentTextChar"/>
    <w:uiPriority w:val="99"/>
    <w:unhideWhenUsed/>
    <w:rsid w:val="0029293D"/>
    <w:pPr>
      <w:spacing w:before="0"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29293D"/>
    <w:rPr>
      <w:sz w:val="20"/>
      <w:szCs w:val="20"/>
    </w:rPr>
  </w:style>
  <w:style w:type="character" w:styleId="CommentReference">
    <w:name w:val="annotation reference"/>
    <w:basedOn w:val="DefaultParagraphFont"/>
    <w:uiPriority w:val="99"/>
    <w:semiHidden/>
    <w:unhideWhenUsed/>
    <w:rsid w:val="00340AD0"/>
    <w:rPr>
      <w:sz w:val="16"/>
      <w:szCs w:val="16"/>
    </w:rPr>
  </w:style>
  <w:style w:type="character" w:customStyle="1" w:styleId="st1">
    <w:name w:val="st1"/>
    <w:basedOn w:val="DefaultParagraphFont"/>
    <w:rsid w:val="00CC15D2"/>
  </w:style>
  <w:style w:type="paragraph" w:styleId="CommentSubject">
    <w:name w:val="annotation subject"/>
    <w:basedOn w:val="CommentText"/>
    <w:next w:val="CommentText"/>
    <w:link w:val="CommentSubjectChar"/>
    <w:uiPriority w:val="99"/>
    <w:semiHidden/>
    <w:unhideWhenUsed/>
    <w:rsid w:val="001037AD"/>
    <w:pPr>
      <w:spacing w:before="200" w:after="0"/>
    </w:pPr>
    <w:rPr>
      <w:rFonts w:ascii="Arial" w:hAnsi="Arial"/>
      <w:b/>
      <w:bCs/>
    </w:rPr>
  </w:style>
  <w:style w:type="character" w:customStyle="1" w:styleId="CommentSubjectChar">
    <w:name w:val="Comment Subject Char"/>
    <w:basedOn w:val="CommentTextChar"/>
    <w:link w:val="CommentSubject"/>
    <w:uiPriority w:val="99"/>
    <w:semiHidden/>
    <w:rsid w:val="001037AD"/>
    <w:rPr>
      <w:rFonts w:ascii="Arial" w:hAnsi="Arial"/>
      <w:b/>
      <w:bCs/>
      <w:sz w:val="20"/>
      <w:szCs w:val="20"/>
    </w:rPr>
  </w:style>
  <w:style w:type="paragraph" w:customStyle="1" w:styleId="TableBodyText">
    <w:name w:val="Table Body Text"/>
    <w:basedOn w:val="Normal"/>
    <w:rsid w:val="002F4D00"/>
    <w:pPr>
      <w:spacing w:before="60" w:after="60" w:line="264" w:lineRule="auto"/>
      <w:ind w:left="85" w:right="85"/>
    </w:pPr>
    <w:rPr>
      <w:rFonts w:cs="Arial"/>
      <w:sz w:val="18"/>
      <w:szCs w:val="18"/>
      <w:lang w:eastAsia="en-AU"/>
    </w:rPr>
  </w:style>
  <w:style w:type="character" w:customStyle="1" w:styleId="A7">
    <w:name w:val="A7"/>
    <w:uiPriority w:val="99"/>
    <w:rsid w:val="00AA5127"/>
    <w:rPr>
      <w:rFonts w:cs="Gotham Light"/>
      <w:color w:val="000000"/>
      <w:sz w:val="20"/>
      <w:szCs w:val="20"/>
    </w:rPr>
  </w:style>
  <w:style w:type="character" w:customStyle="1" w:styleId="A8">
    <w:name w:val="A8"/>
    <w:uiPriority w:val="99"/>
    <w:rsid w:val="00AA5127"/>
    <w:rPr>
      <w:rFonts w:cs="Gotham Light"/>
      <w:color w:val="000000"/>
      <w:sz w:val="11"/>
      <w:szCs w:val="11"/>
    </w:rPr>
  </w:style>
  <w:style w:type="paragraph" w:styleId="Revision">
    <w:name w:val="Revision"/>
    <w:hidden/>
    <w:uiPriority w:val="99"/>
    <w:semiHidden/>
    <w:rsid w:val="00BF727D"/>
    <w:pPr>
      <w:spacing w:before="0"/>
    </w:pPr>
    <w:rPr>
      <w:rFonts w:ascii="Arial" w:hAnsi="Arial"/>
    </w:rPr>
  </w:style>
  <w:style w:type="character" w:customStyle="1" w:styleId="A11">
    <w:name w:val="A11"/>
    <w:uiPriority w:val="99"/>
    <w:rsid w:val="005C3666"/>
    <w:rPr>
      <w:rFonts w:cs="Gotham Light"/>
      <w:color w:val="000000"/>
      <w:sz w:val="20"/>
      <w:szCs w:val="20"/>
    </w:rPr>
  </w:style>
  <w:style w:type="paragraph" w:styleId="BodyText">
    <w:name w:val="Body Text"/>
    <w:basedOn w:val="Normal"/>
    <w:link w:val="BodyTextChar"/>
    <w:uiPriority w:val="99"/>
    <w:semiHidden/>
    <w:unhideWhenUsed/>
    <w:rsid w:val="000B173F"/>
    <w:pPr>
      <w:spacing w:after="120" w:line="276" w:lineRule="auto"/>
    </w:pPr>
  </w:style>
  <w:style w:type="character" w:customStyle="1" w:styleId="BodyTextChar">
    <w:name w:val="Body Text Char"/>
    <w:basedOn w:val="DefaultParagraphFont"/>
    <w:link w:val="BodyText"/>
    <w:uiPriority w:val="99"/>
    <w:semiHidden/>
    <w:rsid w:val="000B17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8892">
      <w:bodyDiv w:val="1"/>
      <w:marLeft w:val="0"/>
      <w:marRight w:val="0"/>
      <w:marTop w:val="0"/>
      <w:marBottom w:val="0"/>
      <w:divBdr>
        <w:top w:val="none" w:sz="0" w:space="0" w:color="auto"/>
        <w:left w:val="none" w:sz="0" w:space="0" w:color="auto"/>
        <w:bottom w:val="none" w:sz="0" w:space="0" w:color="auto"/>
        <w:right w:val="none" w:sz="0" w:space="0" w:color="auto"/>
      </w:divBdr>
    </w:div>
    <w:div w:id="798761147">
      <w:bodyDiv w:val="1"/>
      <w:marLeft w:val="0"/>
      <w:marRight w:val="0"/>
      <w:marTop w:val="0"/>
      <w:marBottom w:val="0"/>
      <w:divBdr>
        <w:top w:val="none" w:sz="0" w:space="0" w:color="auto"/>
        <w:left w:val="none" w:sz="0" w:space="0" w:color="auto"/>
        <w:bottom w:val="none" w:sz="0" w:space="0" w:color="auto"/>
        <w:right w:val="none" w:sz="0" w:space="0" w:color="auto"/>
      </w:divBdr>
    </w:div>
    <w:div w:id="898129574">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207542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gas@environment.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cc.gov.au"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accc.gov.au/speech/ports-what-measure-of-regulation" TargetMode="External"/><Relationship Id="rId1" Type="http://schemas.openxmlformats.org/officeDocument/2006/relationships/hyperlink" Target="http://www.pc.gov.au/__data/assets/pdf_file/0013/63103/airportservicesoverview.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ACCC%20Report%20Template.dot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4A643F-2B5D-47D1-B0D9-C3E40353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ACCC Report Template</Template>
  <TotalTime>0</TotalTime>
  <Pages>22</Pages>
  <Words>8974</Words>
  <Characters>51153</Characters>
  <Application>Microsoft Office Word</Application>
  <DocSecurity>4</DocSecurity>
  <Lines>426</Lines>
  <Paragraphs>120</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60007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Jansz, Cassanda</dc:creator>
  <cp:lastModifiedBy>Jansz, Cassanda</cp:lastModifiedBy>
  <cp:revision>2</cp:revision>
  <cp:lastPrinted>2017-04-06T00:41:00Z</cp:lastPrinted>
  <dcterms:created xsi:type="dcterms:W3CDTF">2017-04-20T04:10:00Z</dcterms:created>
  <dcterms:modified xsi:type="dcterms:W3CDTF">2017-04-20T04:10:00Z</dcterms:modified>
</cp:coreProperties>
</file>