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22" w:rsidRDefault="00EE0622" w:rsidP="008945B4">
      <w:r>
        <w:rPr>
          <w:noProof/>
          <w:lang w:eastAsia="en-AU"/>
        </w:rPr>
        <mc:AlternateContent>
          <mc:Choice Requires="wps">
            <w:drawing>
              <wp:anchor distT="0" distB="0" distL="114300" distR="114300" simplePos="0" relativeHeight="251659264" behindDoc="1" locked="0" layoutInCell="1" allowOverlap="1" wp14:anchorId="5B661310" wp14:editId="75F62CDE">
                <wp:simplePos x="0" y="0"/>
                <wp:positionH relativeFrom="column">
                  <wp:posOffset>-657225</wp:posOffset>
                </wp:positionH>
                <wp:positionV relativeFrom="paragraph">
                  <wp:posOffset>-559435</wp:posOffset>
                </wp:positionV>
                <wp:extent cx="7058025" cy="101631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" fillcolor="#d5d6d2 [3214]" stroked="f" strokeweight="2pt"/>
            </w:pict>
          </mc:Fallback>
        </mc:AlternateContent>
      </w:r>
      <w:r>
        <w:rPr>
          <w:noProof/>
          <w:lang w:eastAsia="en-AU"/>
        </w:rPr>
        <w:drawing>
          <wp:inline distT="0" distB="0" distL="0" distR="0" wp14:anchorId="090F8600" wp14:editId="33945591">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EE0622" w:rsidRPr="005E6C0E" w:rsidRDefault="00EE0622"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EE0622" w:rsidRPr="00C755AD" w:rsidTr="00C755AD">
        <w:trPr>
          <w:trHeight w:val="3135"/>
        </w:trPr>
        <w:tc>
          <w:tcPr>
            <w:tcW w:w="9242" w:type="dxa"/>
          </w:tcPr>
          <w:p w:rsidR="00EE0622" w:rsidRPr="00C755AD" w:rsidRDefault="00EE0622"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EE0622" w:rsidRPr="00C755AD" w:rsidTr="00C755AD">
        <w:tc>
          <w:tcPr>
            <w:tcW w:w="9242" w:type="dxa"/>
          </w:tcPr>
          <w:p w:rsidR="00EE0622" w:rsidRPr="00C755AD" w:rsidRDefault="00EE0622" w:rsidP="0082031E">
            <w:pPr>
              <w:pStyle w:val="Title"/>
            </w:pPr>
            <w:r w:rsidRPr="00A940A6">
              <w:t>Targeted Review of the Commerce Act 1986</w:t>
            </w:r>
          </w:p>
        </w:tc>
      </w:tr>
      <w:tr w:rsidR="00EE0622" w:rsidRPr="00C755AD" w:rsidTr="00C755AD">
        <w:tc>
          <w:tcPr>
            <w:tcW w:w="9242" w:type="dxa"/>
          </w:tcPr>
          <w:p w:rsidR="00EE0622" w:rsidRDefault="00EE0622" w:rsidP="00303C4A">
            <w:pPr>
              <w:pStyle w:val="Subtitle"/>
            </w:pPr>
            <w:r w:rsidRPr="00A940A6">
              <w:rPr>
                <w:szCs w:val="28"/>
              </w:rPr>
              <w:t>Australian Competition and Consumer Commission submission</w:t>
            </w:r>
            <w:r w:rsidRPr="00C755AD">
              <w:t xml:space="preserve"> </w:t>
            </w:r>
          </w:p>
          <w:p w:rsidR="00EE0622" w:rsidRPr="00C755AD" w:rsidRDefault="00EE0622" w:rsidP="0082031E">
            <w:pPr>
              <w:pStyle w:val="Subtitle"/>
            </w:pPr>
            <w:r w:rsidRPr="00A940A6">
              <w:rPr>
                <w:szCs w:val="28"/>
              </w:rPr>
              <w:t>Ministry of Business, Innovation and Employment, New Zealand</w:t>
            </w:r>
            <w:r w:rsidRPr="00C755AD">
              <w:t xml:space="preserve"> </w:t>
            </w:r>
          </w:p>
        </w:tc>
      </w:tr>
      <w:tr w:rsidR="00EE0622" w:rsidRPr="00C755AD" w:rsidTr="00C755AD">
        <w:tc>
          <w:tcPr>
            <w:tcW w:w="9242" w:type="dxa"/>
          </w:tcPr>
          <w:p w:rsidR="00EE0622" w:rsidRPr="00C755AD" w:rsidRDefault="00EE0622" w:rsidP="00303C4A"/>
          <w:p w:rsidR="00EE0622" w:rsidRPr="00C755AD" w:rsidRDefault="00EE0622" w:rsidP="0082031E">
            <w:pPr>
              <w:pStyle w:val="CoverDate"/>
            </w:pPr>
            <w:r w:rsidRPr="00A940A6">
              <w:rPr>
                <w:szCs w:val="28"/>
              </w:rPr>
              <w:t>February 2016</w:t>
            </w:r>
          </w:p>
        </w:tc>
      </w:tr>
    </w:tbl>
    <w:p w:rsidR="00EE0622" w:rsidRPr="003B5A70" w:rsidRDefault="00EE0622" w:rsidP="00172E26"/>
    <w:p w:rsidR="00EE0622" w:rsidRDefault="00EE0622">
      <w:r>
        <w:br w:type="page"/>
      </w:r>
    </w:p>
    <w:p w:rsidR="00DC5AF5" w:rsidRPr="00A674AE" w:rsidRDefault="00DC5AF5" w:rsidP="00172E26">
      <w:pPr>
        <w:pStyle w:val="Heading1"/>
      </w:pPr>
      <w:r>
        <w:lastRenderedPageBreak/>
        <w:t>Executive Summary</w:t>
      </w:r>
    </w:p>
    <w:p w:rsidR="00911D67" w:rsidRPr="00217B64" w:rsidRDefault="00911D67" w:rsidP="00172E26">
      <w:pPr>
        <w:rPr>
          <w:rFonts w:asciiTheme="minorHAnsi" w:hAnsiTheme="minorHAnsi" w:cstheme="minorHAnsi"/>
        </w:rPr>
      </w:pPr>
      <w:r w:rsidRPr="00217B64">
        <w:rPr>
          <w:rFonts w:asciiTheme="minorHAnsi" w:hAnsiTheme="minorHAnsi" w:cstheme="minorHAnsi"/>
        </w:rPr>
        <w:t>Competition law recognises that the conduct of firms with substantial market power can, in some circumstances, damage the competitive process.</w:t>
      </w:r>
    </w:p>
    <w:p w:rsidR="00911D67" w:rsidRPr="00217B64" w:rsidRDefault="00911D67" w:rsidP="00172E26">
      <w:pPr>
        <w:rPr>
          <w:rFonts w:asciiTheme="minorHAnsi" w:hAnsiTheme="minorHAnsi" w:cstheme="minorHAnsi"/>
        </w:rPr>
      </w:pPr>
      <w:r w:rsidRPr="00217B64">
        <w:rPr>
          <w:rFonts w:asciiTheme="minorHAnsi" w:hAnsiTheme="minorHAnsi" w:cstheme="minorHAnsi"/>
        </w:rPr>
        <w:t>It is a natural consequence of robust competition that more efficient firms damage less efficient firms by attracting customers and increasing their market share. This is a reality for small, medium and large businesses. Striving to grow, succeed and acquire market share and potentially market power is what encourages innovation, and firms should not be punished when they achieve it. Nor, having acquired market power, should they be prevented or discouraged from innovating further.</w:t>
      </w:r>
    </w:p>
    <w:p w:rsidR="00911D67" w:rsidRDefault="00911D67" w:rsidP="00172E26">
      <w:pPr>
        <w:rPr>
          <w:rFonts w:asciiTheme="minorHAnsi" w:hAnsiTheme="minorHAnsi" w:cstheme="minorHAnsi"/>
        </w:rPr>
      </w:pPr>
      <w:r w:rsidRPr="00217B64">
        <w:rPr>
          <w:rFonts w:asciiTheme="minorHAnsi" w:hAnsiTheme="minorHAnsi" w:cstheme="minorHAnsi"/>
        </w:rPr>
        <w:t xml:space="preserve">Section </w:t>
      </w:r>
      <w:r>
        <w:rPr>
          <w:rFonts w:asciiTheme="minorHAnsi" w:hAnsiTheme="minorHAnsi" w:cstheme="minorHAnsi"/>
        </w:rPr>
        <w:t>3</w:t>
      </w:r>
      <w:r w:rsidRPr="00217B64">
        <w:rPr>
          <w:rFonts w:asciiTheme="minorHAnsi" w:hAnsiTheme="minorHAnsi" w:cstheme="minorHAnsi"/>
        </w:rPr>
        <w:t xml:space="preserve">6 of the </w:t>
      </w:r>
      <w:r>
        <w:rPr>
          <w:rFonts w:asciiTheme="minorHAnsi" w:hAnsiTheme="minorHAnsi" w:cstheme="minorHAnsi"/>
          <w:i/>
        </w:rPr>
        <w:t xml:space="preserve">Commerce </w:t>
      </w:r>
      <w:r w:rsidRPr="00217B64">
        <w:rPr>
          <w:rFonts w:asciiTheme="minorHAnsi" w:hAnsiTheme="minorHAnsi" w:cstheme="minorHAnsi"/>
          <w:i/>
        </w:rPr>
        <w:t xml:space="preserve">Act </w:t>
      </w:r>
      <w:r>
        <w:rPr>
          <w:rFonts w:asciiTheme="minorHAnsi" w:hAnsiTheme="minorHAnsi" w:cstheme="minorHAnsi"/>
          <w:i/>
        </w:rPr>
        <w:t xml:space="preserve">1986 </w:t>
      </w:r>
      <w:r w:rsidRPr="00217B64">
        <w:rPr>
          <w:rFonts w:asciiTheme="minorHAnsi" w:hAnsiTheme="minorHAnsi" w:cstheme="minorHAnsi"/>
        </w:rPr>
        <w:t>(CA) seeks to prevent firms with substantial market power from engaging in conduct that prevents other firms from competing on their merits, while ensuring that large or powerful firms are not prevented or discouraged from engaging in fierce competition themselves.</w:t>
      </w:r>
    </w:p>
    <w:p w:rsidR="00ED2A72" w:rsidRPr="00217B64" w:rsidRDefault="0088113B" w:rsidP="00172E26">
      <w:pPr>
        <w:rPr>
          <w:rFonts w:asciiTheme="minorHAnsi" w:hAnsiTheme="minorHAnsi" w:cstheme="minorHAnsi"/>
        </w:rPr>
      </w:pPr>
      <w:r w:rsidRPr="00CC1E05">
        <w:t>This submission responds to</w:t>
      </w:r>
      <w:r>
        <w:t xml:space="preserve"> the </w:t>
      </w:r>
      <w:r w:rsidRPr="00CC1E05">
        <w:t xml:space="preserve">issues raised in the </w:t>
      </w:r>
      <w:r>
        <w:rPr>
          <w:i/>
        </w:rPr>
        <w:t>Targeted Review of the Commerce Act 1986 - Issues Paper - November 2015</w:t>
      </w:r>
      <w:r>
        <w:t xml:space="preserve"> (Issues Paper) in relation to section 36 of the </w:t>
      </w:r>
      <w:r w:rsidRPr="002C50AD">
        <w:rPr>
          <w:i/>
        </w:rPr>
        <w:t>Commerce Act 1986</w:t>
      </w:r>
      <w:r>
        <w:t xml:space="preserve"> (NZ)</w:t>
      </w:r>
      <w:r w:rsidR="00EE0622">
        <w:t xml:space="preserve">. </w:t>
      </w:r>
      <w:r w:rsidR="00514DB6">
        <w:rPr>
          <w:rFonts w:asciiTheme="minorHAnsi" w:hAnsiTheme="minorHAnsi" w:cstheme="minorHAnsi"/>
        </w:rPr>
        <w:t>The Issues Paper seeks views on the appropriateness of section 36, while expressing a preliminary view that the operation of section 36 has not been satisfactory</w:t>
      </w:r>
      <w:r w:rsidR="00EE0622">
        <w:rPr>
          <w:rFonts w:asciiTheme="minorHAnsi" w:hAnsiTheme="minorHAnsi" w:cstheme="minorHAnsi"/>
        </w:rPr>
        <w:t xml:space="preserve">. </w:t>
      </w:r>
      <w:r w:rsidR="00ED2A72">
        <w:rPr>
          <w:rFonts w:asciiTheme="minorHAnsi" w:hAnsiTheme="minorHAnsi" w:cstheme="minorHAnsi"/>
        </w:rPr>
        <w:t>In particular, the Issues Paper has identified concerns with the operation of section 36 of the CA, in interpretation of the ‘take advantage’ test by the courts and through the focus of section 36 on the impact on individual competitors.</w:t>
      </w:r>
    </w:p>
    <w:p w:rsidR="00514DB6" w:rsidRDefault="00514DB6" w:rsidP="00172E26">
      <w:pPr>
        <w:tabs/>
      </w:pPr>
      <w:r>
        <w:rPr>
          <w:rFonts w:asciiTheme="minorHAnsi" w:hAnsiTheme="minorHAnsi" w:cstheme="minorHAnsi"/>
        </w:rPr>
        <w:t xml:space="preserve">Australia’s </w:t>
      </w:r>
      <w:r w:rsidR="00ED2A72">
        <w:rPr>
          <w:rFonts w:asciiTheme="minorHAnsi" w:hAnsiTheme="minorHAnsi" w:cstheme="minorHAnsi"/>
        </w:rPr>
        <w:t xml:space="preserve">equivalent </w:t>
      </w:r>
      <w:r>
        <w:rPr>
          <w:rFonts w:asciiTheme="minorHAnsi" w:hAnsiTheme="minorHAnsi" w:cstheme="minorHAnsi"/>
        </w:rPr>
        <w:t xml:space="preserve">misuse of market power provision, section 46 of the </w:t>
      </w:r>
      <w:r w:rsidRPr="00E16F52">
        <w:rPr>
          <w:rFonts w:asciiTheme="minorHAnsi" w:hAnsiTheme="minorHAnsi" w:cstheme="minorHAnsi"/>
          <w:i/>
        </w:rPr>
        <w:t>Competition and Consumer Act 2010</w:t>
      </w:r>
      <w:r>
        <w:rPr>
          <w:rFonts w:asciiTheme="minorHAnsi" w:hAnsiTheme="minorHAnsi" w:cstheme="minorHAnsi"/>
        </w:rPr>
        <w:t xml:space="preserve"> (CCA) is also </w:t>
      </w:r>
      <w:r w:rsidR="00ED2A72">
        <w:rPr>
          <w:rFonts w:asciiTheme="minorHAnsi" w:hAnsiTheme="minorHAnsi" w:cstheme="minorHAnsi"/>
        </w:rPr>
        <w:t xml:space="preserve">the subject of a </w:t>
      </w:r>
      <w:r>
        <w:rPr>
          <w:rFonts w:asciiTheme="minorHAnsi" w:hAnsiTheme="minorHAnsi" w:cstheme="minorHAnsi"/>
        </w:rPr>
        <w:t xml:space="preserve">review. The text of </w:t>
      </w:r>
      <w:r>
        <w:rPr>
          <w:rFonts w:asciiTheme="minorHAnsi" w:hAnsiTheme="minorHAnsi" w:cstheme="minorHAnsi"/>
        </w:rPr>
        <w:t>t</w:t>
      </w:r>
      <w:r>
        <w:rPr>
          <w:rFonts w:asciiTheme="minorHAnsi" w:hAnsiTheme="minorHAnsi" w:cstheme="minorHAnsi"/>
        </w:rPr>
        <w:t>h</w:t>
      </w:r>
      <w:r>
        <w:rPr>
          <w:rFonts w:asciiTheme="minorHAnsi" w:hAnsiTheme="minorHAnsi" w:cstheme="minorHAnsi"/>
        </w:rPr>
        <w:t xml:space="preserve">e</w:t>
      </w:r>
      <w:r>
        <w:rPr>
          <w:rFonts w:asciiTheme="minorHAnsi" w:hAnsiTheme="minorHAnsi" w:cstheme="minorHAnsi"/>
        </w:rPr>
        <w:t xml:space="preserve"> </w:t>
      </w:r>
      <w:r>
        <w:rPr>
          <w:rFonts w:asciiTheme="minorHAnsi" w:hAnsiTheme="minorHAnsi" w:cstheme="minorHAnsi"/>
        </w:rPr>
        <w:t>c</w:t>
      </w:r>
      <w:r>
        <w:rPr>
          <w:rFonts w:asciiTheme="minorHAnsi" w:hAnsiTheme="minorHAnsi" w:cstheme="minorHAnsi"/>
        </w:rPr>
        <w:t>e</w:t>
      </w:r>
      <w:r>
        <w:rPr>
          <w:rFonts w:asciiTheme="minorHAnsi" w:hAnsiTheme="minorHAnsi" w:cstheme="minorHAnsi"/>
        </w:rPr>
        <w:t>n</w:t>
      </w:r>
      <w:r>
        <w:rPr>
          <w:rFonts w:asciiTheme="minorHAnsi" w:hAnsiTheme="minorHAnsi" w:cstheme="minorHAnsi"/>
        </w:rPr>
        <w:t>t</w:t>
      </w:r>
      <w:r>
        <w:rPr>
          <w:rFonts w:asciiTheme="minorHAnsi" w:hAnsiTheme="minorHAnsi" w:cstheme="minorHAnsi"/>
        </w:rPr>
        <w:t>r</w:t>
      </w:r>
      <w:r>
        <w:rPr>
          <w:rFonts w:asciiTheme="minorHAnsi" w:hAnsiTheme="minorHAnsi" w:cstheme="minorHAnsi"/>
        </w:rPr>
        <w:t>a</w:t>
      </w:r>
      <w:r>
        <w:rPr>
          <w:rFonts w:asciiTheme="minorHAnsi" w:hAnsiTheme="minorHAnsi" w:cstheme="minorHAnsi"/>
        </w:rPr>
        <w:t xml:space="preserve">l</w:t>
      </w:r>
      <w:r>
        <w:rPr>
          <w:rFonts w:asciiTheme="minorHAnsi" w:hAnsiTheme="minorHAnsi" w:cstheme="minorHAnsi"/>
        </w:rPr>
        <w:t xml:space="preserve"> </w:t>
      </w:r>
      <w:r>
        <w:rPr>
          <w:rFonts w:asciiTheme="minorHAnsi" w:hAnsiTheme="minorHAnsi" w:cstheme="minorHAnsi"/>
        </w:rPr>
        <w:t>p</w:t>
      </w:r>
      <w:r>
        <w:rPr>
          <w:rFonts w:asciiTheme="minorHAnsi" w:hAnsiTheme="minorHAnsi" w:cstheme="minorHAnsi"/>
        </w:rPr>
        <w:t>r</w:t>
      </w:r>
      <w:r>
        <w:rPr>
          <w:rFonts w:asciiTheme="minorHAnsi" w:hAnsiTheme="minorHAnsi" w:cstheme="minorHAnsi"/>
        </w:rPr>
        <w:t>o</w:t>
      </w:r>
      <w:r>
        <w:rPr>
          <w:rFonts w:asciiTheme="minorHAnsi" w:hAnsiTheme="minorHAnsi" w:cstheme="minorHAnsi"/>
        </w:rPr>
        <w:t>v</w:t>
      </w:r>
      <w:r>
        <w:rPr>
          <w:rFonts w:asciiTheme="minorHAnsi" w:hAnsiTheme="minorHAnsi" w:cstheme="minorHAnsi"/>
        </w:rPr>
        <w:t>i</w:t>
      </w:r>
      <w:r>
        <w:rPr>
          <w:rFonts w:asciiTheme="minorHAnsi" w:hAnsiTheme="minorHAnsi" w:cstheme="minorHAnsi"/>
        </w:rPr>
        <w:t>s</w:t>
      </w:r>
      <w:r>
        <w:rPr>
          <w:rFonts w:asciiTheme="minorHAnsi" w:hAnsiTheme="minorHAnsi" w:cstheme="minorHAnsi"/>
        </w:rPr>
        <w:t>i</w:t>
      </w:r>
      <w:r>
        <w:rPr>
          <w:rFonts w:asciiTheme="minorHAnsi" w:hAnsiTheme="minorHAnsi" w:cstheme="minorHAnsi"/>
        </w:rPr>
        <w:t>o</w:t>
      </w:r>
      <w:r>
        <w:rPr>
          <w:rFonts w:asciiTheme="minorHAnsi" w:hAnsiTheme="minorHAnsi" w:cstheme="minorHAnsi"/>
        </w:rPr>
        <w:t xml:space="preserve">n</w:t>
      </w:r>
      <w:r>
        <w:rPr>
          <w:rFonts w:asciiTheme="minorHAnsi" w:hAnsiTheme="minorHAnsi" w:cstheme="minorHAnsi"/>
        </w:rPr>
        <w:t>s</w:t>
      </w:r>
      <w:r>
        <w:rPr>
          <w:rFonts w:asciiTheme="minorHAnsi" w:hAnsiTheme="minorHAnsi" w:cstheme="minorHAnsi"/>
        </w:rPr>
        <w:t xml:space="preserve"> </w:t>
      </w:r>
      <w:r>
        <w:rPr>
          <w:rFonts w:asciiTheme="minorHAnsi" w:hAnsiTheme="minorHAnsi" w:cstheme="minorHAnsi"/>
        </w:rPr>
        <w:t>o</w:t>
      </w:r>
      <w:r>
        <w:rPr>
          <w:rFonts w:asciiTheme="minorHAnsi" w:hAnsiTheme="minorHAnsi" w:cstheme="minorHAnsi"/>
        </w:rPr>
        <w:t xml:space="preserve">f</w:t>
      </w:r>
      <w:r>
        <w:rPr>
          <w:rFonts w:asciiTheme="minorHAnsi" w:hAnsiTheme="minorHAnsi" w:cstheme="minorHAnsi"/>
        </w:rPr>
        <w:t xml:space="preserve"> </w:t>
      </w:r>
      <w:r>
        <w:rPr>
          <w:rFonts w:asciiTheme="minorHAnsi" w:hAnsiTheme="minorHAnsi" w:cstheme="minorHAnsi"/>
        </w:rPr>
        <w:t>section 36 of the CA and section 46 of t</w:t>
      </w:r>
      <w:r w:rsidR="000D65F8">
        <w:rPr>
          <w:rFonts w:asciiTheme="minorHAnsi" w:hAnsiTheme="minorHAnsi" w:cstheme="minorHAnsi"/>
        </w:rPr>
        <w:t xml:space="preserve">he CCA are </w:t>
      </w:r>
      <w:r>
        <w:rPr>
          <w:rFonts w:asciiTheme="minorHAnsi" w:hAnsiTheme="minorHAnsi" w:cstheme="minorHAnsi"/>
        </w:rPr>
        <w:t>r</w:t>
      </w:r>
      <w:r>
        <w:rPr>
          <w:rFonts w:asciiTheme="minorHAnsi" w:hAnsiTheme="minorHAnsi" w:cstheme="minorHAnsi"/>
        </w:rPr>
        <w:t>e</w:t>
      </w:r>
      <w:r>
        <w:rPr>
          <w:rFonts w:asciiTheme="minorHAnsi" w:hAnsiTheme="minorHAnsi" w:cstheme="minorHAnsi"/>
        </w:rPr>
        <w:t>l</w:t>
      </w:r>
      <w:r>
        <w:rPr>
          <w:rFonts w:asciiTheme="minorHAnsi" w:hAnsiTheme="minorHAnsi" w:cstheme="minorHAnsi"/>
        </w:rPr>
        <w:t>e</w:t>
      </w:r>
      <w:r>
        <w:rPr>
          <w:rFonts w:asciiTheme="minorHAnsi" w:hAnsiTheme="minorHAnsi" w:cstheme="minorHAnsi"/>
        </w:rPr>
        <w:t>v</w:t>
      </w:r>
      <w:r>
        <w:rPr>
          <w:rFonts w:asciiTheme="minorHAnsi" w:hAnsiTheme="minorHAnsi" w:cstheme="minorHAnsi"/>
        </w:rPr>
        <w:t>a</w:t>
      </w:r>
      <w:r>
        <w:rPr>
          <w:rFonts w:asciiTheme="minorHAnsi" w:hAnsiTheme="minorHAnsi" w:cstheme="minorHAnsi"/>
        </w:rPr>
        <w:t>n</w:t>
      </w:r>
      <w:r>
        <w:rPr>
          <w:rFonts w:asciiTheme="minorHAnsi" w:hAnsiTheme="minorHAnsi" w:cstheme="minorHAnsi"/>
        </w:rPr>
        <w:t>t</w:t>
      </w:r>
      <w:r>
        <w:rPr>
          <w:rFonts w:asciiTheme="minorHAnsi" w:hAnsiTheme="minorHAnsi" w:cstheme="minorHAnsi"/>
        </w:rPr>
        <w:t>l</w:t>
      </w:r>
      <w:r>
        <w:rPr>
          <w:rFonts w:asciiTheme="minorHAnsi" w:hAnsiTheme="minorHAnsi" w:cstheme="minorHAnsi"/>
        </w:rPr>
        <w:t>y</w:t>
      </w:r>
      <w:r>
        <w:rPr>
          <w:rFonts w:asciiTheme="minorHAnsi" w:hAnsiTheme="minorHAnsi" w:cstheme="minorHAnsi"/>
        </w:rPr>
        <w:t xml:space="preserve"> identical</w:t>
      </w:r>
      <w:r>
        <w:rPr>
          <w:rFonts w:asciiTheme="minorHAnsi" w:hAnsiTheme="minorHAnsi" w:cstheme="minorHAnsi"/>
        </w:rPr>
        <w:t xml:space="preserve">. </w:t>
      </w:r>
      <w:r>
        <w:rPr>
          <w:rFonts w:asciiTheme="minorHAnsi" w:hAnsiTheme="minorHAnsi" w:cstheme="minorHAnsi"/>
        </w:rPr>
        <w:t xml:space="preserve">Further, section 36A </w:t>
      </w:r>
      <w:r w:rsidR="0088113B">
        <w:rPr>
          <w:rFonts w:asciiTheme="minorHAnsi" w:hAnsiTheme="minorHAnsi" w:cstheme="minorHAnsi"/>
        </w:rPr>
        <w:t xml:space="preserve">o</w:t>
      </w:r>
      <w:r>
        <w:rPr>
          <w:rFonts w:asciiTheme="minorHAnsi" w:hAnsiTheme="minorHAnsi" w:cstheme="minorHAnsi"/>
        </w:rPr>
        <w:t xml:space="preserve">f the CA </w:t>
      </w:r>
      <w:r>
        <w:rPr>
          <w:rFonts w:asciiTheme="minorHAnsi" w:hAnsiTheme="minorHAnsi" w:cstheme="minorHAnsi"/>
        </w:rPr>
        <w:t>and sections 46A and 46B of the CCA</w:t>
      </w:r>
      <w:r w:rsidR="00ED2A72">
        <w:rPr>
          <w:rFonts w:asciiTheme="minorHAnsi" w:hAnsiTheme="minorHAnsi" w:cstheme="minorHAnsi"/>
        </w:rPr>
        <w:t xml:space="preserve"> contain</w:t>
      </w:r>
      <w:r>
        <w:rPr>
          <w:rFonts w:asciiTheme="minorHAnsi" w:hAnsiTheme="minorHAnsi" w:cstheme="minorHAnsi"/>
        </w:rPr>
        <w:t xml:space="preserve"> </w:t>
      </w:r>
      <w:r>
        <w:rPr>
          <w:rFonts w:asciiTheme="minorHAnsi" w:hAnsiTheme="minorHAnsi" w:cstheme="minorHAnsi"/>
        </w:rPr>
        <w:t>a similar prohibition in relation to conduct in a trans-Tasman market</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T</w:t>
      </w:r>
      <w:r>
        <w:rPr>
          <w:rFonts w:asciiTheme="minorHAnsi" w:hAnsiTheme="minorHAnsi" w:cstheme="minorHAnsi"/>
        </w:rPr>
        <w:t xml:space="preserve">h</w:t>
      </w:r>
      <w:r>
        <w:rPr>
          <w:rFonts w:asciiTheme="minorHAnsi" w:hAnsiTheme="minorHAnsi" w:cstheme="minorHAnsi"/>
        </w:rPr>
        <w:t xml:space="preserve">e</w:t>
      </w:r>
      <w:r>
        <w:rPr>
          <w:rFonts w:asciiTheme="minorHAnsi" w:hAnsiTheme="minorHAnsi" w:cstheme="minorHAnsi"/>
        </w:rPr>
        <w:t xml:space="preserve"> </w:t>
      </w:r>
      <w:r>
        <w:rPr>
          <w:rFonts w:asciiTheme="minorHAnsi" w:hAnsiTheme="minorHAnsi" w:cstheme="minorHAnsi"/>
        </w:rPr>
        <w:t>c</w:t>
      </w:r>
      <w:r>
        <w:rPr>
          <w:rFonts w:asciiTheme="minorHAnsi" w:hAnsiTheme="minorHAnsi" w:cstheme="minorHAnsi"/>
        </w:rPr>
        <w:t>e</w:t>
      </w:r>
      <w:r>
        <w:rPr>
          <w:rFonts w:asciiTheme="minorHAnsi" w:hAnsiTheme="minorHAnsi" w:cstheme="minorHAnsi"/>
        </w:rPr>
        <w:t>n</w:t>
      </w:r>
      <w:r>
        <w:rPr>
          <w:rFonts w:asciiTheme="minorHAnsi" w:hAnsiTheme="minorHAnsi" w:cstheme="minorHAnsi"/>
        </w:rPr>
        <w:t>t</w:t>
      </w:r>
      <w:r>
        <w:rPr>
          <w:rFonts w:asciiTheme="minorHAnsi" w:hAnsiTheme="minorHAnsi" w:cstheme="minorHAnsi"/>
        </w:rPr>
        <w:t>r</w:t>
      </w:r>
      <w:r>
        <w:rPr>
          <w:rFonts w:asciiTheme="minorHAnsi" w:hAnsiTheme="minorHAnsi" w:cstheme="minorHAnsi"/>
        </w:rPr>
        <w:t>a</w:t>
      </w:r>
      <w:r>
        <w:rPr>
          <w:rFonts w:asciiTheme="minorHAnsi" w:hAnsiTheme="minorHAnsi" w:cstheme="minorHAnsi"/>
        </w:rPr>
        <w:t xml:space="preserve">l</w:t>
      </w:r>
      <w:r>
        <w:rPr>
          <w:rFonts w:asciiTheme="minorHAnsi" w:hAnsiTheme="minorHAnsi" w:cstheme="minorHAnsi"/>
        </w:rPr>
        <w:t xml:space="preserve"> </w:t>
      </w:r>
      <w:r>
        <w:rPr>
          <w:rFonts w:asciiTheme="minorHAnsi" w:hAnsiTheme="minorHAnsi" w:cstheme="minorHAnsi"/>
        </w:rPr>
        <w:t>p</w:t>
      </w:r>
      <w:r>
        <w:rPr>
          <w:rFonts w:asciiTheme="minorHAnsi" w:hAnsiTheme="minorHAnsi" w:cstheme="minorHAnsi"/>
        </w:rPr>
        <w:t>r</w:t>
      </w:r>
      <w:r>
        <w:rPr>
          <w:rFonts w:asciiTheme="minorHAnsi" w:hAnsiTheme="minorHAnsi" w:cstheme="minorHAnsi"/>
        </w:rPr>
        <w:t>o</w:t>
      </w:r>
      <w:r>
        <w:rPr>
          <w:rFonts w:asciiTheme="minorHAnsi" w:hAnsiTheme="minorHAnsi" w:cstheme="minorHAnsi"/>
        </w:rPr>
        <w:t>v</w:t>
      </w:r>
      <w:r>
        <w:rPr>
          <w:rFonts w:asciiTheme="minorHAnsi" w:hAnsiTheme="minorHAnsi" w:cstheme="minorHAnsi"/>
        </w:rPr>
        <w:t>i</w:t>
      </w:r>
      <w:r>
        <w:rPr>
          <w:rFonts w:asciiTheme="minorHAnsi" w:hAnsiTheme="minorHAnsi" w:cstheme="minorHAnsi"/>
        </w:rPr>
        <w:t>s</w:t>
      </w:r>
      <w:r>
        <w:rPr>
          <w:rFonts w:asciiTheme="minorHAnsi" w:hAnsiTheme="minorHAnsi" w:cstheme="minorHAnsi"/>
        </w:rPr>
        <w:t>i</w:t>
      </w:r>
      <w:r>
        <w:rPr>
          <w:rFonts w:asciiTheme="minorHAnsi" w:hAnsiTheme="minorHAnsi" w:cstheme="minorHAnsi"/>
        </w:rPr>
        <w:t>o</w:t>
      </w:r>
      <w:r>
        <w:rPr>
          <w:rFonts w:asciiTheme="minorHAnsi" w:hAnsiTheme="minorHAnsi" w:cstheme="minorHAnsi"/>
        </w:rPr>
        <w:t>n</w:t>
      </w:r>
      <w:r>
        <w:rPr>
          <w:rFonts w:asciiTheme="minorHAnsi" w:hAnsiTheme="minorHAnsi" w:cstheme="minorHAnsi"/>
        </w:rPr>
        <w:t xml:space="preserve">s</w:t>
      </w:r>
      <w:r>
        <w:rPr>
          <w:rFonts w:asciiTheme="minorHAnsi" w:hAnsiTheme="minorHAnsi" w:cstheme="minorHAnsi"/>
        </w:rPr>
        <w:t xml:space="preserve"> </w:t>
      </w:r>
      <w:r>
        <w:rPr>
          <w:rFonts w:asciiTheme="minorHAnsi" w:hAnsiTheme="minorHAnsi" w:cstheme="minorHAnsi"/>
        </w:rPr>
        <w:t>a</w:t>
      </w:r>
      <w:r>
        <w:rPr>
          <w:rFonts w:asciiTheme="minorHAnsi" w:hAnsiTheme="minorHAnsi" w:cstheme="minorHAnsi"/>
        </w:rPr>
        <w:t>r</w:t>
      </w:r>
      <w:r>
        <w:rPr>
          <w:rFonts w:asciiTheme="minorHAnsi" w:hAnsiTheme="minorHAnsi" w:cstheme="minorHAnsi"/>
        </w:rPr>
        <w:t xml:space="preserve">e </w:t>
      </w:r>
      <w:r>
        <w:rPr>
          <w:rFonts w:asciiTheme="minorHAnsi" w:hAnsiTheme="minorHAnsi" w:cstheme="minorHAnsi"/>
        </w:rPr>
        <w:t>s</w:t>
      </w:r>
      <w:r>
        <w:rPr>
          <w:rFonts w:asciiTheme="minorHAnsi" w:hAnsiTheme="minorHAnsi" w:cstheme="minorHAnsi"/>
        </w:rPr>
        <w:t>e</w:t>
      </w:r>
      <w:r>
        <w:rPr>
          <w:rFonts w:asciiTheme="minorHAnsi" w:hAnsiTheme="minorHAnsi" w:cstheme="minorHAnsi"/>
        </w:rPr>
        <w:t>c</w:t>
      </w:r>
      <w:r>
        <w:rPr>
          <w:rFonts w:asciiTheme="minorHAnsi" w:hAnsiTheme="minorHAnsi" w:cstheme="minorHAnsi"/>
        </w:rPr>
        <w:t>t</w:t>
      </w:r>
      <w:r>
        <w:rPr>
          <w:rFonts w:asciiTheme="minorHAnsi" w:hAnsiTheme="minorHAnsi" w:cstheme="minorHAnsi"/>
        </w:rPr>
        <w:t>i</w:t>
      </w:r>
      <w:r>
        <w:rPr>
          <w:rFonts w:asciiTheme="minorHAnsi" w:hAnsiTheme="minorHAnsi" w:cstheme="minorHAnsi"/>
        </w:rPr>
        <w:t>o</w:t>
      </w:r>
      <w:r>
        <w:rPr>
          <w:rFonts w:asciiTheme="minorHAnsi" w:hAnsiTheme="minorHAnsi" w:cstheme="minorHAnsi"/>
        </w:rPr>
        <w:t>n</w:t>
      </w:r>
      <w:r>
        <w:rPr>
          <w:rFonts w:asciiTheme="minorHAnsi" w:hAnsiTheme="minorHAnsi" w:cstheme="minorHAnsi"/>
        </w:rPr>
        <w:t xml:space="preserve">s</w:t>
      </w:r>
      <w:r>
        <w:rPr>
          <w:rFonts w:asciiTheme="minorHAnsi" w:hAnsiTheme="minorHAnsi" w:cstheme="minorHAnsi"/>
        </w:rPr>
        <w:t xml:space="preserve"> </w:t>
      </w:r>
      <w:r>
        <w:rPr>
          <w:rFonts w:asciiTheme="minorHAnsi" w:hAnsiTheme="minorHAnsi" w:cstheme="minorHAnsi"/>
        </w:rPr>
        <w:t>3</w:t>
      </w:r>
      <w:r>
        <w:rPr>
          <w:rFonts w:asciiTheme="minorHAnsi" w:hAnsiTheme="minorHAnsi" w:cstheme="minorHAnsi"/>
        </w:rPr>
        <w:t>6</w:t>
      </w:r>
      <w:r>
        <w:rPr>
          <w:rFonts w:asciiTheme="minorHAnsi" w:hAnsiTheme="minorHAnsi" w:cstheme="minorHAnsi"/>
        </w:rPr>
        <w:t>(</w:t>
      </w:r>
      <w:r>
        <w:rPr>
          <w:rFonts w:asciiTheme="minorHAnsi" w:hAnsiTheme="minorHAnsi" w:cstheme="minorHAnsi"/>
        </w:rPr>
        <w:t>2</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C</w:t>
      </w:r>
      <w:r>
        <w:rPr>
          <w:rFonts w:asciiTheme="minorHAnsi" w:hAnsiTheme="minorHAnsi" w:cstheme="minorHAnsi"/>
        </w:rPr>
        <w:t>A</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46(</w:t>
      </w:r>
      <w:r>
        <w:rPr>
          <w:rFonts w:asciiTheme="minorHAnsi" w:hAnsiTheme="minorHAnsi" w:cstheme="minorHAnsi"/>
        </w:rPr>
        <w:t>1</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C</w:t>
      </w:r>
      <w:r>
        <w:rPr>
          <w:rFonts w:asciiTheme="minorHAnsi" w:hAnsiTheme="minorHAnsi" w:cstheme="minorHAnsi"/>
        </w:rPr>
        <w:t>C</w:t>
      </w:r>
      <w:r>
        <w:rPr>
          <w:rFonts w:asciiTheme="minorHAnsi" w:hAnsiTheme="minorHAnsi" w:cstheme="minorHAnsi"/>
        </w:rPr>
        <w:t>A</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3</w:t>
      </w:r>
      <w:r>
        <w:rPr>
          <w:rFonts w:asciiTheme="minorHAnsi" w:hAnsiTheme="minorHAnsi" w:cstheme="minorHAnsi"/>
        </w:rPr>
        <w:t>6</w:t>
      </w:r>
      <w:r>
        <w:rPr>
          <w:rFonts w:asciiTheme="minorHAnsi" w:hAnsiTheme="minorHAnsi" w:cstheme="minorHAnsi"/>
        </w:rPr>
        <w:t>A</w:t>
      </w:r>
      <w:r>
        <w:rPr>
          <w:rFonts w:asciiTheme="minorHAnsi" w:hAnsiTheme="minorHAnsi" w:cstheme="minorHAnsi"/>
        </w:rPr>
        <w:t>(</w:t>
      </w:r>
      <w:r>
        <w:rPr>
          <w:rFonts w:asciiTheme="minorHAnsi" w:hAnsiTheme="minorHAnsi" w:cstheme="minorHAnsi"/>
        </w:rPr>
        <w:t>2</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C</w:t>
      </w:r>
      <w:r>
        <w:rPr>
          <w:rFonts w:asciiTheme="minorHAnsi" w:hAnsiTheme="minorHAnsi" w:cstheme="minorHAnsi"/>
        </w:rPr>
        <w:t>A</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4</w:t>
      </w:r>
      <w:r>
        <w:rPr>
          <w:rFonts w:asciiTheme="minorHAnsi" w:hAnsiTheme="minorHAnsi" w:cstheme="minorHAnsi"/>
        </w:rPr>
        <w:t>6</w:t>
      </w:r>
      <w:r>
        <w:rPr>
          <w:rFonts w:asciiTheme="minorHAnsi" w:hAnsiTheme="minorHAnsi" w:cstheme="minorHAnsi"/>
        </w:rPr>
        <w:t>A</w:t>
      </w:r>
      <w:r>
        <w:rPr>
          <w:rFonts w:asciiTheme="minorHAnsi" w:hAnsiTheme="minorHAnsi" w:cstheme="minorHAnsi"/>
        </w:rPr>
        <w:t>(</w:t>
      </w:r>
      <w:r>
        <w:rPr>
          <w:rFonts w:asciiTheme="minorHAnsi" w:hAnsiTheme="minorHAnsi" w:cstheme="minorHAnsi"/>
        </w:rPr>
        <w:t>2</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C</w:t>
      </w:r>
      <w:r>
        <w:rPr>
          <w:rFonts w:asciiTheme="minorHAnsi" w:hAnsiTheme="minorHAnsi" w:cstheme="minorHAnsi"/>
        </w:rPr>
        <w:t>C</w:t>
      </w:r>
      <w:r>
        <w:rPr>
          <w:rFonts w:asciiTheme="minorHAnsi" w:hAnsiTheme="minorHAnsi" w:cstheme="minorHAnsi"/>
        </w:rPr>
        <w:t xml:space="preserve">A</w:t>
      </w:r>
      <w:r>
        <w:rPr>
          <w:rFonts w:asciiTheme="minorHAnsi" w:hAnsiTheme="minorHAnsi" w:cstheme="minorHAnsi"/>
        </w:rPr>
        <w:t xml:space="preserve"> </w:t>
      </w:r>
      <w:r>
        <w:rPr>
          <w:rFonts w:asciiTheme="minorHAnsi" w:hAnsiTheme="minorHAnsi" w:cstheme="minorHAnsi"/>
        </w:rPr>
        <w:t>a</w:t>
      </w:r>
      <w:r>
        <w:rPr>
          <w:rFonts w:asciiTheme="minorHAnsi" w:hAnsiTheme="minorHAnsi" w:cstheme="minorHAnsi"/>
        </w:rPr>
        <w:t>n</w:t>
      </w:r>
      <w:r>
        <w:rPr>
          <w:rFonts w:asciiTheme="minorHAnsi" w:hAnsiTheme="minorHAnsi" w:cstheme="minorHAnsi"/>
        </w:rPr>
        <w:t xml:space="preserve">d</w:t>
      </w:r>
      <w:r>
        <w:rPr>
          <w:rFonts w:asciiTheme="minorHAnsi" w:hAnsiTheme="minorHAnsi" w:cstheme="minorHAnsi"/>
        </w:rPr>
        <w:t xml:space="preserve"> </w:t>
      </w:r>
      <w:r>
        <w:rPr>
          <w:rFonts w:asciiTheme="minorHAnsi" w:hAnsiTheme="minorHAnsi" w:cstheme="minorHAnsi"/>
        </w:rPr>
        <w:t>s</w:t>
      </w:r>
      <w:r>
        <w:rPr>
          <w:rFonts w:asciiTheme="minorHAnsi" w:hAnsiTheme="minorHAnsi" w:cstheme="minorHAnsi"/>
        </w:rPr>
        <w:t>e</w:t>
      </w:r>
      <w:r>
        <w:rPr>
          <w:rFonts w:asciiTheme="minorHAnsi" w:hAnsiTheme="minorHAnsi" w:cstheme="minorHAnsi"/>
        </w:rPr>
        <w:t>c</w:t>
      </w:r>
      <w:r>
        <w:rPr>
          <w:rFonts w:asciiTheme="minorHAnsi" w:hAnsiTheme="minorHAnsi" w:cstheme="minorHAnsi"/>
        </w:rPr>
        <w:t>t</w:t>
      </w:r>
      <w:r>
        <w:rPr>
          <w:rFonts w:asciiTheme="minorHAnsi" w:hAnsiTheme="minorHAnsi" w:cstheme="minorHAnsi"/>
        </w:rPr>
        <w:t>i</w:t>
      </w:r>
      <w:r>
        <w:rPr>
          <w:rFonts w:asciiTheme="minorHAnsi" w:hAnsiTheme="minorHAnsi" w:cstheme="minorHAnsi"/>
        </w:rPr>
        <w:t>o</w:t>
      </w:r>
      <w:r>
        <w:rPr>
          <w:rFonts w:asciiTheme="minorHAnsi" w:hAnsiTheme="minorHAnsi" w:cstheme="minorHAnsi"/>
        </w:rPr>
        <w:t xml:space="preserve">n</w:t>
      </w:r>
      <w:r>
        <w:rPr>
          <w:rFonts w:asciiTheme="minorHAnsi" w:hAnsiTheme="minorHAnsi" w:cstheme="minorHAnsi"/>
        </w:rPr>
        <w:t xml:space="preserve"> </w:t>
      </w:r>
      <w:r>
        <w:rPr>
          <w:rFonts w:asciiTheme="minorHAnsi" w:hAnsiTheme="minorHAnsi" w:cstheme="minorHAnsi"/>
        </w:rPr>
        <w:t>4</w:t>
      </w:r>
      <w:r>
        <w:rPr>
          <w:rFonts w:asciiTheme="minorHAnsi" w:hAnsiTheme="minorHAnsi" w:cstheme="minorHAnsi"/>
        </w:rPr>
        <w:t>6</w:t>
      </w:r>
      <w:r>
        <w:rPr>
          <w:rFonts w:asciiTheme="minorHAnsi" w:hAnsiTheme="minorHAnsi" w:cstheme="minorHAnsi"/>
        </w:rPr>
        <w:t>(</w:t>
      </w:r>
      <w:r>
        <w:rPr>
          <w:rFonts w:asciiTheme="minorHAnsi" w:hAnsiTheme="minorHAnsi" w:cstheme="minorHAnsi"/>
        </w:rPr>
        <w:t>1</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o</w:t>
      </w:r>
      <w:r>
        <w:rPr>
          <w:rFonts w:asciiTheme="minorHAnsi" w:hAnsiTheme="minorHAnsi" w:cstheme="minorHAnsi"/>
        </w:rPr>
        <w:t xml:space="preserve">f</w:t>
      </w:r>
      <w:r>
        <w:rPr>
          <w:rFonts w:asciiTheme="minorHAnsi" w:hAnsiTheme="minorHAnsi" w:cstheme="minorHAnsi"/>
        </w:rPr>
        <w:t xml:space="preserve"> </w:t>
      </w:r>
      <w:r>
        <w:rPr>
          <w:rFonts w:asciiTheme="minorHAnsi" w:hAnsiTheme="minorHAnsi" w:cstheme="minorHAnsi"/>
        </w:rPr>
        <w:t>t</w:t>
      </w:r>
      <w:r>
        <w:rPr>
          <w:rFonts w:asciiTheme="minorHAnsi" w:hAnsiTheme="minorHAnsi" w:cstheme="minorHAnsi"/>
        </w:rPr>
        <w:t>h</w:t>
      </w:r>
      <w:r>
        <w:rPr>
          <w:rFonts w:asciiTheme="minorHAnsi" w:hAnsiTheme="minorHAnsi" w:cstheme="minorHAnsi"/>
        </w:rPr>
        <w:t xml:space="preserve">e</w:t>
      </w:r>
      <w:r>
        <w:rPr>
          <w:rFonts w:asciiTheme="minorHAnsi" w:hAnsiTheme="minorHAnsi" w:cstheme="minorHAnsi"/>
        </w:rPr>
        <w:t xml:space="preserve"> </w:t>
      </w:r>
      <w:r>
        <w:rPr>
          <w:rFonts w:asciiTheme="minorHAnsi" w:hAnsiTheme="minorHAnsi" w:cstheme="minorHAnsi"/>
        </w:rPr>
        <w:t>C</w:t>
      </w:r>
      <w:r>
        <w:rPr>
          <w:rFonts w:asciiTheme="minorHAnsi" w:hAnsiTheme="minorHAnsi" w:cstheme="minorHAnsi"/>
        </w:rPr>
        <w:t>o</w:t>
      </w:r>
      <w:r>
        <w:rPr>
          <w:rFonts w:asciiTheme="minorHAnsi" w:hAnsiTheme="minorHAnsi" w:cstheme="minorHAnsi"/>
        </w:rPr>
        <w:t>m</w:t>
      </w:r>
      <w:r>
        <w:rPr>
          <w:rFonts w:asciiTheme="minorHAnsi" w:hAnsiTheme="minorHAnsi" w:cstheme="minorHAnsi"/>
        </w:rPr>
        <w:t>p</w:t>
      </w:r>
      <w:r>
        <w:rPr>
          <w:rFonts w:asciiTheme="minorHAnsi" w:hAnsiTheme="minorHAnsi" w:cstheme="minorHAnsi"/>
        </w:rPr>
        <w:t>e</w:t>
      </w:r>
      <w:r>
        <w:rPr>
          <w:rFonts w:asciiTheme="minorHAnsi" w:hAnsiTheme="minorHAnsi" w:cstheme="minorHAnsi"/>
        </w:rPr>
        <w:t>t</w:t>
      </w:r>
      <w:r>
        <w:rPr>
          <w:rFonts w:asciiTheme="minorHAnsi" w:hAnsiTheme="minorHAnsi" w:cstheme="minorHAnsi"/>
        </w:rPr>
        <w:t>i</w:t>
      </w:r>
      <w:r>
        <w:rPr>
          <w:rFonts w:asciiTheme="minorHAnsi" w:hAnsiTheme="minorHAnsi" w:cstheme="minorHAnsi"/>
        </w:rPr>
        <w:t>t</w:t>
      </w:r>
      <w:r>
        <w:rPr>
          <w:rFonts w:asciiTheme="minorHAnsi" w:hAnsiTheme="minorHAnsi" w:cstheme="minorHAnsi"/>
        </w:rPr>
        <w:t>i</w:t>
      </w:r>
      <w:r>
        <w:rPr>
          <w:rFonts w:asciiTheme="minorHAnsi" w:hAnsiTheme="minorHAnsi" w:cstheme="minorHAnsi"/>
        </w:rPr>
        <w:t>o</w:t>
      </w:r>
      <w:r>
        <w:rPr>
          <w:rFonts w:asciiTheme="minorHAnsi" w:hAnsiTheme="minorHAnsi" w:cstheme="minorHAnsi"/>
        </w:rPr>
        <w:t xml:space="preserve">n</w:t>
      </w:r>
      <w:r>
        <w:rPr>
          <w:rFonts w:asciiTheme="minorHAnsi" w:hAnsiTheme="minorHAnsi" w:cstheme="minorHAnsi"/>
        </w:rPr>
        <w:t xml:space="preserve"> </w:t>
      </w:r>
      <w:r>
        <w:rPr>
          <w:rFonts w:asciiTheme="minorHAnsi" w:hAnsiTheme="minorHAnsi" w:cstheme="minorHAnsi"/>
        </w:rPr>
        <w:t>C</w:t>
      </w:r>
      <w:r>
        <w:rPr>
          <w:rFonts w:asciiTheme="minorHAnsi" w:hAnsiTheme="minorHAnsi" w:cstheme="minorHAnsi"/>
        </w:rPr>
        <w:t>o</w:t>
      </w:r>
      <w:r>
        <w:rPr>
          <w:rFonts w:asciiTheme="minorHAnsi" w:hAnsiTheme="minorHAnsi" w:cstheme="minorHAnsi"/>
        </w:rPr>
        <w:t>d</w:t>
      </w:r>
      <w:r>
        <w:rPr>
          <w:rFonts w:asciiTheme="minorHAnsi" w:hAnsiTheme="minorHAnsi" w:cstheme="minorHAnsi"/>
        </w:rPr>
        <w:t>e</w:t>
      </w:r>
      <w:r>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T</w:t>
      </w:r>
      <w:r>
        <w:rPr>
          <w:rFonts w:asciiTheme="minorHAnsi" w:hAnsiTheme="minorHAnsi" w:cstheme="minorHAnsi"/>
        </w:rPr>
        <w:t>h</w:t>
      </w:r>
      <w:r>
        <w:rPr>
          <w:rFonts w:asciiTheme="minorHAnsi" w:hAnsiTheme="minorHAnsi" w:cstheme="minorHAnsi"/>
        </w:rPr>
        <w:t xml:space="preserve">e</w:t>
      </w:r>
      <w:r>
        <w:rPr>
          <w:rFonts w:asciiTheme="minorHAnsi" w:hAnsiTheme="minorHAnsi" w:cstheme="minorHAnsi"/>
        </w:rPr>
        <w:t xml:space="preserve"> </w:t>
      </w:r>
      <w:r>
        <w:rPr>
          <w:rFonts w:asciiTheme="minorHAnsi" w:hAnsiTheme="minorHAnsi" w:cstheme="minorHAnsi"/>
        </w:rPr>
        <w:t>t</w:t>
      </w:r>
      <w:r>
        <w:rPr>
          <w:rFonts w:asciiTheme="minorHAnsi" w:hAnsiTheme="minorHAnsi" w:cstheme="minorHAnsi"/>
        </w:rPr>
        <w:t>r</w:t>
      </w:r>
      <w:r>
        <w:rPr>
          <w:rFonts w:asciiTheme="minorHAnsi" w:hAnsiTheme="minorHAnsi" w:cstheme="minorHAnsi"/>
        </w:rPr>
        <w:t>a</w:t>
      </w:r>
      <w:r>
        <w:rPr>
          <w:rFonts w:asciiTheme="minorHAnsi" w:hAnsiTheme="minorHAnsi" w:cstheme="minorHAnsi"/>
        </w:rPr>
        <w:t>n</w:t>
      </w:r>
      <w:r>
        <w:rPr>
          <w:rFonts w:asciiTheme="minorHAnsi" w:hAnsiTheme="minorHAnsi" w:cstheme="minorHAnsi"/>
        </w:rPr>
        <w:t xml:space="preserve">s</w:t>
      </w:r>
      <w:r>
        <w:rPr>
          <w:rFonts w:asciiTheme="minorHAnsi" w:hAnsiTheme="minorHAnsi" w:cstheme="minorHAnsi"/>
        </w:rPr>
        <w:t>-</w:t>
      </w:r>
      <w:r>
        <w:rPr>
          <w:rFonts w:asciiTheme="minorHAnsi" w:hAnsiTheme="minorHAnsi" w:cstheme="minorHAnsi"/>
        </w:rPr>
        <w:t>T</w:t>
      </w:r>
      <w:r>
        <w:rPr>
          <w:rFonts w:asciiTheme="minorHAnsi" w:hAnsiTheme="minorHAnsi" w:cstheme="minorHAnsi"/>
        </w:rPr>
        <w:t>a</w:t>
      </w:r>
      <w:r>
        <w:rPr>
          <w:rFonts w:asciiTheme="minorHAnsi" w:hAnsiTheme="minorHAnsi" w:cstheme="minorHAnsi"/>
        </w:rPr>
        <w:t>s</w:t>
      </w:r>
      <w:r>
        <w:rPr>
          <w:rFonts w:asciiTheme="minorHAnsi" w:hAnsiTheme="minorHAnsi" w:cstheme="minorHAnsi"/>
        </w:rPr>
        <w:t>m</w:t>
      </w:r>
      <w:r>
        <w:rPr>
          <w:rFonts w:asciiTheme="minorHAnsi" w:hAnsiTheme="minorHAnsi" w:cstheme="minorHAnsi"/>
        </w:rPr>
        <w:t>a</w:t>
      </w:r>
      <w:r>
        <w:rPr>
          <w:rFonts w:asciiTheme="minorHAnsi" w:hAnsiTheme="minorHAnsi" w:cstheme="minorHAnsi"/>
        </w:rPr>
        <w:t xml:space="preserve">n</w:t>
      </w:r>
      <w:r>
        <w:rPr>
          <w:rFonts w:asciiTheme="minorHAnsi" w:hAnsiTheme="minorHAnsi" w:cstheme="minorHAnsi"/>
        </w:rPr>
        <w:t xml:space="preserve"> </w:t>
      </w:r>
      <w:r>
        <w:rPr>
          <w:rFonts w:asciiTheme="minorHAnsi" w:hAnsiTheme="minorHAnsi" w:cstheme="minorHAnsi"/>
        </w:rPr>
        <w:t>p</w:t>
      </w:r>
      <w:r>
        <w:rPr>
          <w:rFonts w:asciiTheme="minorHAnsi" w:hAnsiTheme="minorHAnsi" w:cstheme="minorHAnsi"/>
        </w:rPr>
        <w:t>r</w:t>
      </w:r>
      <w:r>
        <w:rPr>
          <w:rFonts w:asciiTheme="minorHAnsi" w:hAnsiTheme="minorHAnsi" w:cstheme="minorHAnsi"/>
        </w:rPr>
        <w:t>o</w:t>
      </w:r>
      <w:r>
        <w:rPr>
          <w:rFonts w:asciiTheme="minorHAnsi" w:hAnsiTheme="minorHAnsi" w:cstheme="minorHAnsi"/>
        </w:rPr>
        <w:t>v</w:t>
      </w:r>
      <w:r>
        <w:rPr>
          <w:rFonts w:asciiTheme="minorHAnsi" w:hAnsiTheme="minorHAnsi" w:cstheme="minorHAnsi"/>
        </w:rPr>
        <w:t>i</w:t>
      </w:r>
      <w:r>
        <w:rPr>
          <w:rFonts w:asciiTheme="minorHAnsi" w:hAnsiTheme="minorHAnsi" w:cstheme="minorHAnsi"/>
        </w:rPr>
        <w:t>s</w:t>
      </w:r>
      <w:r>
        <w:rPr>
          <w:rFonts w:asciiTheme="minorHAnsi" w:hAnsiTheme="minorHAnsi" w:cstheme="minorHAnsi"/>
        </w:rPr>
        <w:t>i</w:t>
      </w:r>
      <w:r>
        <w:rPr>
          <w:rFonts w:asciiTheme="minorHAnsi" w:hAnsiTheme="minorHAnsi" w:cstheme="minorHAnsi"/>
        </w:rPr>
        <w:t>o</w:t>
      </w:r>
      <w:r>
        <w:rPr>
          <w:rFonts w:asciiTheme="minorHAnsi" w:hAnsiTheme="minorHAnsi" w:cstheme="minorHAnsi"/>
        </w:rPr>
        <w:t>n</w:t>
      </w:r>
      <w:r>
        <w:rPr>
          <w:rFonts w:asciiTheme="minorHAnsi" w:hAnsiTheme="minorHAnsi" w:cstheme="minorHAnsi"/>
        </w:rPr>
        <w:t xml:space="preserve">s</w:t>
      </w:r>
      <w:r>
        <w:rPr>
          <w:rFonts w:asciiTheme="minorHAnsi" w:hAnsiTheme="minorHAnsi" w:cstheme="minorHAnsi"/>
        </w:rPr>
        <w:t xml:space="preserve"> </w:t>
      </w:r>
      <w:r>
        <w:rPr>
          <w:rFonts w:asciiTheme="minorHAnsi" w:hAnsiTheme="minorHAnsi" w:cstheme="minorHAnsi"/>
        </w:rPr>
        <w:t>a</w:t>
      </w:r>
      <w:r>
        <w:rPr>
          <w:rFonts w:asciiTheme="minorHAnsi" w:hAnsiTheme="minorHAnsi" w:cstheme="minorHAnsi"/>
        </w:rPr>
        <w:t>r</w:t>
      </w:r>
      <w:r>
        <w:rPr>
          <w:rFonts w:asciiTheme="minorHAnsi" w:hAnsiTheme="minorHAnsi" w:cstheme="minorHAnsi"/>
        </w:rPr>
        <w:t xml:space="preserve">e</w:t>
      </w:r>
      <w:r>
        <w:rPr>
          <w:rFonts w:asciiTheme="minorHAnsi" w:hAnsiTheme="minorHAnsi" w:cstheme="minorHAnsi"/>
        </w:rPr>
        <w:t xml:space="preserve"> </w:t>
      </w:r>
      <w:r>
        <w:rPr>
          <w:rFonts w:asciiTheme="minorHAnsi" w:hAnsiTheme="minorHAnsi" w:cstheme="minorHAnsi"/>
        </w:rPr>
        <w:t>m</w:t>
      </w:r>
      <w:r>
        <w:rPr>
          <w:rFonts w:asciiTheme="minorHAnsi" w:hAnsiTheme="minorHAnsi" w:cstheme="minorHAnsi"/>
        </w:rPr>
        <w:t>u</w:t>
      </w:r>
      <w:r>
        <w:rPr>
          <w:rFonts w:asciiTheme="minorHAnsi" w:hAnsiTheme="minorHAnsi" w:cstheme="minorHAnsi"/>
        </w:rPr>
        <w:t>t</w:t>
      </w:r>
      <w:r>
        <w:rPr>
          <w:rFonts w:asciiTheme="minorHAnsi" w:hAnsiTheme="minorHAnsi" w:cstheme="minorHAnsi"/>
        </w:rPr>
        <w:t>u</w:t>
      </w:r>
      <w:r>
        <w:rPr>
          <w:rFonts w:asciiTheme="minorHAnsi" w:hAnsiTheme="minorHAnsi" w:cstheme="minorHAnsi"/>
        </w:rPr>
        <w:t>a</w:t>
      </w:r>
      <w:r>
        <w:rPr>
          <w:rFonts w:asciiTheme="minorHAnsi" w:hAnsiTheme="minorHAnsi" w:cstheme="minorHAnsi"/>
        </w:rPr>
        <w:t>l</w:t>
      </w:r>
      <w:r>
        <w:rPr>
          <w:rFonts w:asciiTheme="minorHAnsi" w:hAnsiTheme="minorHAnsi" w:cstheme="minorHAnsi"/>
        </w:rPr>
        <w:t>l</w:t>
      </w:r>
      <w:r>
        <w:rPr>
          <w:rFonts w:asciiTheme="minorHAnsi" w:hAnsiTheme="minorHAnsi" w:cstheme="minorHAnsi"/>
        </w:rPr>
        <w:t xml:space="preserve">y</w:t>
      </w:r>
      <w:r>
        <w:rPr>
          <w:rFonts w:asciiTheme="minorHAnsi" w:hAnsiTheme="minorHAnsi" w:cstheme="minorHAnsi"/>
        </w:rPr>
        <w:t xml:space="preserve"> </w:t>
      </w:r>
      <w:r>
        <w:rPr>
          <w:rFonts w:asciiTheme="minorHAnsi" w:hAnsiTheme="minorHAnsi" w:cstheme="minorHAnsi"/>
        </w:rPr>
        <w:t>e</w:t>
      </w:r>
      <w:r>
        <w:rPr>
          <w:rFonts w:asciiTheme="minorHAnsi" w:hAnsiTheme="minorHAnsi" w:cstheme="minorHAnsi"/>
        </w:rPr>
        <w:t>x</w:t>
      </w:r>
      <w:r>
        <w:rPr>
          <w:rFonts w:asciiTheme="minorHAnsi" w:hAnsiTheme="minorHAnsi" w:cstheme="minorHAnsi"/>
        </w:rPr>
        <w:t>t</w:t>
      </w:r>
      <w:r>
        <w:rPr>
          <w:rFonts w:asciiTheme="minorHAnsi" w:hAnsiTheme="minorHAnsi" w:cstheme="minorHAnsi"/>
        </w:rPr>
        <w:t>r</w:t>
      </w:r>
      <w:r>
        <w:rPr>
          <w:rFonts w:asciiTheme="minorHAnsi" w:hAnsiTheme="minorHAnsi" w:cstheme="minorHAnsi"/>
        </w:rPr>
        <w:t>a</w:t>
      </w:r>
      <w:r>
        <w:rPr>
          <w:rFonts w:asciiTheme="minorHAnsi" w:hAnsiTheme="minorHAnsi" w:cstheme="minorHAnsi"/>
        </w:rPr>
        <w:t>t</w:t>
      </w:r>
      <w:r>
        <w:rPr>
          <w:rFonts w:asciiTheme="minorHAnsi" w:hAnsiTheme="minorHAnsi" w:cstheme="minorHAnsi"/>
        </w:rPr>
        <w:t>e</w:t>
      </w:r>
      <w:r>
        <w:rPr>
          <w:rFonts w:asciiTheme="minorHAnsi" w:hAnsiTheme="minorHAnsi" w:cstheme="minorHAnsi"/>
        </w:rPr>
        <w:t>r</w:t>
      </w:r>
      <w:r>
        <w:rPr>
          <w:rFonts w:asciiTheme="minorHAnsi" w:hAnsiTheme="minorHAnsi" w:cstheme="minorHAnsi"/>
        </w:rPr>
        <w:t>r</w:t>
      </w:r>
      <w:r>
        <w:rPr>
          <w:rFonts w:asciiTheme="minorHAnsi" w:hAnsiTheme="minorHAnsi" w:cstheme="minorHAnsi"/>
        </w:rPr>
        <w:t>i</w:t>
      </w:r>
      <w:r>
        <w:rPr>
          <w:rFonts w:asciiTheme="minorHAnsi" w:hAnsiTheme="minorHAnsi" w:cstheme="minorHAnsi"/>
        </w:rPr>
        <w:t>t</w:t>
      </w:r>
      <w:r>
        <w:rPr>
          <w:rFonts w:asciiTheme="minorHAnsi" w:hAnsiTheme="minorHAnsi" w:cstheme="minorHAnsi"/>
        </w:rPr>
        <w:t>o</w:t>
      </w:r>
      <w:r>
        <w:rPr>
          <w:rFonts w:asciiTheme="minorHAnsi" w:hAnsiTheme="minorHAnsi" w:cstheme="minorHAnsi"/>
        </w:rPr>
        <w:t>r</w:t>
      </w:r>
      <w:r>
        <w:rPr>
          <w:rFonts w:asciiTheme="minorHAnsi" w:hAnsiTheme="minorHAnsi" w:cstheme="minorHAnsi"/>
        </w:rPr>
        <w:t>i</w:t>
      </w:r>
      <w:r>
        <w:rPr>
          <w:rFonts w:asciiTheme="minorHAnsi" w:hAnsiTheme="minorHAnsi" w:cstheme="minorHAnsi"/>
        </w:rPr>
        <w:t>a</w:t>
      </w:r>
      <w:r>
        <w:rPr>
          <w:rFonts w:asciiTheme="minorHAnsi" w:hAnsiTheme="minorHAnsi" w:cstheme="minorHAnsi"/>
        </w:rPr>
        <w:t>l</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T</w:t>
      </w:r>
      <w:r>
        <w:rPr>
          <w:rFonts w:asciiTheme="minorHAnsi" w:hAnsiTheme="minorHAnsi" w:cstheme="minorHAnsi"/>
        </w:rPr>
        <w:t>h</w:t>
      </w:r>
      <w:r>
        <w:rPr>
          <w:rFonts w:asciiTheme="minorHAnsi" w:hAnsiTheme="minorHAnsi" w:cstheme="minorHAnsi"/>
        </w:rPr>
        <w:t>a</w:t>
      </w:r>
      <w:r>
        <w:rPr>
          <w:rFonts w:asciiTheme="minorHAnsi" w:hAnsiTheme="minorHAnsi" w:cstheme="minorHAnsi"/>
        </w:rPr>
        <w:t xml:space="preserve">t</w:t>
      </w:r>
      <w:r>
        <w:rPr>
          <w:rFonts w:asciiTheme="minorHAnsi" w:hAnsiTheme="minorHAnsi" w:cstheme="minorHAnsi"/>
        </w:rPr>
        <w:t xml:space="preserve"> </w:t>
      </w:r>
      <w:r>
        <w:rPr>
          <w:rFonts w:asciiTheme="minorHAnsi" w:hAnsiTheme="minorHAnsi" w:cstheme="minorHAnsi"/>
        </w:rPr>
        <w:t>i</w:t>
      </w:r>
      <w:r>
        <w:rPr>
          <w:rFonts w:asciiTheme="minorHAnsi" w:hAnsiTheme="minorHAnsi" w:cstheme="minorHAnsi"/>
        </w:rPr>
        <w:t xml:space="preserve">s</w:t>
      </w:r>
      <w:r>
        <w:rPr>
          <w:rFonts w:asciiTheme="minorHAnsi" w:hAnsiTheme="minorHAnsi" w:cstheme="minorHAnsi"/>
        </w:rPr>
        <w:t xml:space="preserve"> </w:t>
      </w:r>
      <w:r>
        <w:rPr>
          <w:rFonts w:asciiTheme="minorHAnsi" w:hAnsiTheme="minorHAnsi" w:cstheme="minorHAnsi"/>
        </w:rPr>
        <w:t>t</w:t>
      </w:r>
      <w:r>
        <w:rPr>
          <w:rFonts w:asciiTheme="minorHAnsi" w:hAnsiTheme="minorHAnsi" w:cstheme="minorHAnsi"/>
        </w:rPr>
        <w:t>h</w:t>
      </w:r>
      <w:r>
        <w:rPr>
          <w:rFonts w:asciiTheme="minorHAnsi" w:hAnsiTheme="minorHAnsi" w:cstheme="minorHAnsi"/>
        </w:rPr>
        <w:t xml:space="preserve">e</w:t>
      </w:r>
      <w:r>
        <w:rPr>
          <w:rFonts w:asciiTheme="minorHAnsi" w:hAnsiTheme="minorHAnsi" w:cstheme="minorHAnsi"/>
        </w:rPr>
        <w:t xml:space="preserve"> </w:t>
      </w:r>
      <w:r>
        <w:rPr>
          <w:rFonts w:asciiTheme="minorHAnsi" w:hAnsiTheme="minorHAnsi" w:cstheme="minorHAnsi"/>
        </w:rPr>
        <w:t>N</w:t>
      </w:r>
      <w:r>
        <w:rPr>
          <w:rFonts w:asciiTheme="minorHAnsi" w:hAnsiTheme="minorHAnsi" w:cstheme="minorHAnsi"/>
        </w:rPr>
        <w:t>e</w:t>
      </w:r>
      <w:r>
        <w:rPr>
          <w:rFonts w:asciiTheme="minorHAnsi" w:hAnsiTheme="minorHAnsi" w:cstheme="minorHAnsi"/>
        </w:rPr>
        <w:t xml:space="preserve">w</w:t>
      </w:r>
      <w:r>
        <w:rPr>
          <w:rFonts w:asciiTheme="minorHAnsi" w:hAnsiTheme="minorHAnsi" w:cstheme="minorHAnsi"/>
        </w:rPr>
        <w:t xml:space="preserve"> </w:t>
      </w:r>
      <w:r>
        <w:rPr>
          <w:rFonts w:asciiTheme="minorHAnsi" w:hAnsiTheme="minorHAnsi" w:cstheme="minorHAnsi"/>
        </w:rPr>
        <w:t>Z</w:t>
      </w:r>
      <w:r>
        <w:rPr>
          <w:rFonts w:asciiTheme="minorHAnsi" w:hAnsiTheme="minorHAnsi" w:cstheme="minorHAnsi"/>
        </w:rPr>
        <w:t>e</w:t>
      </w:r>
      <w:r>
        <w:rPr>
          <w:rFonts w:asciiTheme="minorHAnsi" w:hAnsiTheme="minorHAnsi" w:cstheme="minorHAnsi"/>
        </w:rPr>
        <w:t>a</w:t>
      </w:r>
      <w:r>
        <w:rPr>
          <w:rFonts w:asciiTheme="minorHAnsi" w:hAnsiTheme="minorHAnsi" w:cstheme="minorHAnsi"/>
        </w:rPr>
        <w:t>l</w:t>
      </w:r>
      <w:r>
        <w:rPr>
          <w:rFonts w:asciiTheme="minorHAnsi" w:hAnsiTheme="minorHAnsi" w:cstheme="minorHAnsi"/>
        </w:rPr>
        <w:t>a</w:t>
      </w:r>
      <w:r>
        <w:rPr>
          <w:rFonts w:asciiTheme="minorHAnsi" w:hAnsiTheme="minorHAnsi" w:cstheme="minorHAnsi"/>
        </w:rPr>
        <w:t>n</w:t>
      </w:r>
      <w:r>
        <w:rPr>
          <w:rFonts w:asciiTheme="minorHAnsi" w:hAnsiTheme="minorHAnsi" w:cstheme="minorHAnsi"/>
        </w:rPr>
        <w:t xml:space="preserve">d</w:t>
      </w:r>
      <w:r>
        <w:rPr>
          <w:rFonts w:asciiTheme="minorHAnsi" w:hAnsiTheme="minorHAnsi" w:cstheme="minorHAnsi"/>
        </w:rPr>
        <w:t xml:space="preserve"> </w:t>
      </w:r>
      <w:r>
        <w:rPr>
          <w:rFonts w:asciiTheme="minorHAnsi" w:hAnsiTheme="minorHAnsi" w:cstheme="minorHAnsi"/>
        </w:rPr>
        <w:t>l</w:t>
      </w:r>
      <w:r>
        <w:rPr>
          <w:rFonts w:asciiTheme="minorHAnsi" w:hAnsiTheme="minorHAnsi" w:cstheme="minorHAnsi"/>
        </w:rPr>
        <w:t>a</w:t>
      </w:r>
      <w:r>
        <w:rPr>
          <w:rFonts w:asciiTheme="minorHAnsi" w:hAnsiTheme="minorHAnsi" w:cstheme="minorHAnsi"/>
        </w:rPr>
        <w:t xml:space="preserve">w</w:t>
      </w:r>
      <w:r>
        <w:rPr>
          <w:rFonts w:asciiTheme="minorHAnsi" w:hAnsiTheme="minorHAnsi" w:cstheme="minorHAnsi"/>
        </w:rPr>
        <w:t xml:space="preserve"> </w:t>
      </w:r>
      <w:r>
        <w:rPr>
          <w:rFonts w:asciiTheme="minorHAnsi" w:hAnsiTheme="minorHAnsi" w:cstheme="minorHAnsi"/>
        </w:rPr>
        <w:t>o</w:t>
      </w:r>
      <w:r>
        <w:rPr>
          <w:rFonts w:asciiTheme="minorHAnsi" w:hAnsiTheme="minorHAnsi" w:cstheme="minorHAnsi"/>
        </w:rPr>
        <w:t>p</w:t>
      </w:r>
      <w:r>
        <w:rPr>
          <w:rFonts w:asciiTheme="minorHAnsi" w:hAnsiTheme="minorHAnsi" w:cstheme="minorHAnsi"/>
        </w:rPr>
        <w:t>e</w:t>
      </w:r>
      <w:r>
        <w:rPr>
          <w:rFonts w:asciiTheme="minorHAnsi" w:hAnsiTheme="minorHAnsi" w:cstheme="minorHAnsi"/>
        </w:rPr>
        <w:t>r</w:t>
      </w:r>
      <w:r>
        <w:rPr>
          <w:rFonts w:asciiTheme="minorHAnsi" w:hAnsiTheme="minorHAnsi" w:cstheme="minorHAnsi"/>
        </w:rPr>
        <w:t>a</w:t>
      </w:r>
      <w:r>
        <w:rPr>
          <w:rFonts w:asciiTheme="minorHAnsi" w:hAnsiTheme="minorHAnsi" w:cstheme="minorHAnsi"/>
        </w:rPr>
        <w:t>t</w:t>
      </w:r>
      <w:r>
        <w:rPr>
          <w:rFonts w:asciiTheme="minorHAnsi" w:hAnsiTheme="minorHAnsi" w:cstheme="minorHAnsi"/>
        </w:rPr>
        <w:t>e</w:t>
      </w:r>
      <w:r>
        <w:rPr>
          <w:rFonts w:asciiTheme="minorHAnsi" w:hAnsiTheme="minorHAnsi" w:cstheme="minorHAnsi"/>
        </w:rPr>
        <w:t xml:space="preserve">s</w:t>
      </w:r>
      <w:r>
        <w:rPr>
          <w:rFonts w:asciiTheme="minorHAnsi" w:hAnsiTheme="minorHAnsi" w:cstheme="minorHAnsi"/>
        </w:rPr>
        <w:t xml:space="preserve"> </w:t>
      </w:r>
      <w:r>
        <w:rPr>
          <w:rFonts w:asciiTheme="minorHAnsi" w:hAnsiTheme="minorHAnsi" w:cstheme="minorHAnsi"/>
        </w:rPr>
        <w:t>w</w:t>
      </w:r>
      <w:r>
        <w:rPr>
          <w:rFonts w:asciiTheme="minorHAnsi" w:hAnsiTheme="minorHAnsi" w:cstheme="minorHAnsi"/>
        </w:rPr>
        <w:t>i</w:t>
      </w:r>
      <w:r>
        <w:rPr>
          <w:rFonts w:asciiTheme="minorHAnsi" w:hAnsiTheme="minorHAnsi" w:cstheme="minorHAnsi"/>
        </w:rPr>
        <w:t>t</w:t>
      </w:r>
      <w:r>
        <w:rPr>
          <w:rFonts w:asciiTheme="minorHAnsi" w:hAnsiTheme="minorHAnsi" w:cstheme="minorHAnsi"/>
        </w:rPr>
        <w:t>h</w:t>
      </w:r>
      <w:r>
        <w:rPr>
          <w:rFonts w:asciiTheme="minorHAnsi" w:hAnsiTheme="minorHAnsi" w:cstheme="minorHAnsi"/>
        </w:rPr>
        <w:t>i</w:t>
      </w:r>
      <w:r>
        <w:rPr>
          <w:rFonts w:asciiTheme="minorHAnsi" w:hAnsiTheme="minorHAnsi" w:cstheme="minorHAnsi"/>
        </w:rPr>
        <w:t xml:space="preserve">n</w:t>
      </w:r>
      <w:r>
        <w:rPr>
          <w:rFonts w:asciiTheme="minorHAnsi" w:hAnsiTheme="minorHAnsi" w:cstheme="minorHAnsi"/>
        </w:rPr>
        <w:t xml:space="preserve"> </w:t>
      </w:r>
      <w:r>
        <w:rPr>
          <w:rFonts w:asciiTheme="minorHAnsi" w:hAnsiTheme="minorHAnsi" w:cstheme="minorHAnsi"/>
        </w:rPr>
        <w:t>A</w:t>
      </w:r>
      <w:r>
        <w:rPr>
          <w:rFonts w:asciiTheme="minorHAnsi" w:hAnsiTheme="minorHAnsi" w:cstheme="minorHAnsi"/>
        </w:rPr>
        <w:t>u</w:t>
      </w:r>
      <w:r>
        <w:rPr>
          <w:rFonts w:asciiTheme="minorHAnsi" w:hAnsiTheme="minorHAnsi" w:cstheme="minorHAnsi"/>
        </w:rPr>
        <w:t>s</w:t>
      </w:r>
      <w:r>
        <w:rPr>
          <w:rFonts w:asciiTheme="minorHAnsi" w:hAnsiTheme="minorHAnsi" w:cstheme="minorHAnsi"/>
        </w:rPr>
        <w:t>t</w:t>
      </w:r>
      <w:r>
        <w:rPr>
          <w:rFonts w:asciiTheme="minorHAnsi" w:hAnsiTheme="minorHAnsi" w:cstheme="minorHAnsi"/>
        </w:rPr>
        <w:t>r</w:t>
      </w:r>
      <w:r>
        <w:rPr>
          <w:rFonts w:asciiTheme="minorHAnsi" w:hAnsiTheme="minorHAnsi" w:cstheme="minorHAnsi"/>
        </w:rPr>
        <w:t>a</w:t>
      </w:r>
      <w:r>
        <w:rPr>
          <w:rFonts w:asciiTheme="minorHAnsi" w:hAnsiTheme="minorHAnsi" w:cstheme="minorHAnsi"/>
        </w:rPr>
        <w:t>l</w:t>
      </w:r>
      <w:r>
        <w:rPr>
          <w:rFonts w:asciiTheme="minorHAnsi" w:hAnsiTheme="minorHAnsi" w:cstheme="minorHAnsi"/>
        </w:rPr>
        <w:t>i</w:t>
      </w:r>
      <w:r>
        <w:rPr>
          <w:rFonts w:asciiTheme="minorHAnsi" w:hAnsiTheme="minorHAnsi" w:cstheme="minorHAnsi"/>
        </w:rPr>
        <w:t>a</w:t>
      </w:r>
      <w:r>
        <w:rPr>
          <w:rFonts w:asciiTheme="minorHAnsi" w:hAnsiTheme="minorHAnsi" w:cstheme="minorHAnsi"/>
        </w:rPr>
        <w:t>'</w:t>
      </w:r>
      <w:r>
        <w:rPr>
          <w:rFonts w:asciiTheme="minorHAnsi" w:hAnsiTheme="minorHAnsi" w:cstheme="minorHAnsi"/>
        </w:rPr>
        <w:t xml:space="preserve">s</w:t>
      </w:r>
      <w:r>
        <w:rPr>
          <w:rFonts w:asciiTheme="minorHAnsi" w:hAnsiTheme="minorHAnsi" w:cstheme="minorHAnsi"/>
        </w:rPr>
        <w:t xml:space="preserve"> </w:t>
      </w:r>
      <w:r>
        <w:rPr>
          <w:rFonts w:asciiTheme="minorHAnsi" w:hAnsiTheme="minorHAnsi" w:cstheme="minorHAnsi"/>
        </w:rPr>
        <w:t>j</w:t>
      </w:r>
      <w:r>
        <w:rPr>
          <w:rFonts w:asciiTheme="minorHAnsi" w:hAnsiTheme="minorHAnsi" w:cstheme="minorHAnsi"/>
        </w:rPr>
        <w:t>u</w:t>
      </w:r>
      <w:r>
        <w:rPr>
          <w:rFonts w:asciiTheme="minorHAnsi" w:hAnsiTheme="minorHAnsi" w:cstheme="minorHAnsi"/>
        </w:rPr>
        <w:t>r</w:t>
      </w:r>
      <w:r>
        <w:rPr>
          <w:rFonts w:asciiTheme="minorHAnsi" w:hAnsiTheme="minorHAnsi" w:cstheme="minorHAnsi"/>
        </w:rPr>
        <w:t>i</w:t>
      </w:r>
      <w:r>
        <w:rPr>
          <w:rFonts w:asciiTheme="minorHAnsi" w:hAnsiTheme="minorHAnsi" w:cstheme="minorHAnsi"/>
        </w:rPr>
        <w:t>s</w:t>
      </w:r>
      <w:r>
        <w:rPr>
          <w:rFonts w:asciiTheme="minorHAnsi" w:hAnsiTheme="minorHAnsi" w:cstheme="minorHAnsi"/>
        </w:rPr>
        <w:t>d</w:t>
      </w:r>
      <w:r>
        <w:rPr>
          <w:rFonts w:asciiTheme="minorHAnsi" w:hAnsiTheme="minorHAnsi" w:cstheme="minorHAnsi"/>
        </w:rPr>
        <w:t>i</w:t>
      </w:r>
      <w:r>
        <w:rPr>
          <w:rFonts w:asciiTheme="minorHAnsi" w:hAnsiTheme="minorHAnsi" w:cstheme="minorHAnsi"/>
        </w:rPr>
        <w:t>c</w:t>
      </w:r>
      <w:r>
        <w:rPr>
          <w:rFonts w:asciiTheme="minorHAnsi" w:hAnsiTheme="minorHAnsi" w:cstheme="minorHAnsi"/>
        </w:rPr>
        <w:t>t</w:t>
      </w:r>
      <w:r>
        <w:rPr>
          <w:rFonts w:asciiTheme="minorHAnsi" w:hAnsiTheme="minorHAnsi" w:cstheme="minorHAnsi"/>
        </w:rPr>
        <w:t>i</w:t>
      </w:r>
      <w:r>
        <w:rPr>
          <w:rFonts w:asciiTheme="minorHAnsi" w:hAnsiTheme="minorHAnsi" w:cstheme="minorHAnsi"/>
        </w:rPr>
        <w:t>o</w:t>
      </w:r>
      <w:r>
        <w:rPr>
          <w:rFonts w:asciiTheme="minorHAnsi" w:hAnsiTheme="minorHAnsi" w:cstheme="minorHAnsi"/>
        </w:rPr>
        <w:t>n</w:t>
      </w:r>
      <w:r>
        <w:rPr>
          <w:rFonts w:asciiTheme="minorHAnsi" w:hAnsiTheme="minorHAnsi" w:cstheme="minorHAnsi"/>
        </w:rPr>
        <w:t xml:space="preserve"> </w:t>
      </w:r>
      <w:r>
        <w:rPr>
          <w:rFonts w:asciiTheme="minorHAnsi" w:hAnsiTheme="minorHAnsi" w:cstheme="minorHAnsi"/>
        </w:rPr>
        <w:t xml:space="preserve">and</w:t>
      </w:r>
      <w:r>
        <w:rPr>
          <w:rFonts w:asciiTheme="minorHAnsi" w:hAnsiTheme="minorHAnsi" w:cstheme="minorHAnsi"/>
        </w:rPr>
        <w:t xml:space="preserve"> </w:t>
      </w:r>
      <w:r>
        <w:rPr>
          <w:rFonts w:asciiTheme="minorHAnsi" w:hAnsiTheme="minorHAnsi" w:cstheme="minorHAnsi"/>
        </w:rPr>
        <w:t>v</w:t>
      </w:r>
      <w:r>
        <w:rPr>
          <w:rFonts w:asciiTheme="minorHAnsi" w:hAnsiTheme="minorHAnsi" w:cstheme="minorHAnsi"/>
        </w:rPr>
        <w:t>i</w:t>
      </w:r>
      <w:r>
        <w:rPr>
          <w:rFonts w:asciiTheme="minorHAnsi" w:hAnsiTheme="minorHAnsi" w:cstheme="minorHAnsi"/>
        </w:rPr>
        <w:t>c</w:t>
      </w:r>
      <w:r>
        <w:rPr>
          <w:rFonts w:asciiTheme="minorHAnsi" w:hAnsiTheme="minorHAnsi" w:cstheme="minorHAnsi"/>
        </w:rPr>
        <w:t xml:space="preserve">e</w:t>
      </w:r>
      <w:r>
        <w:rPr>
          <w:rFonts w:asciiTheme="minorHAnsi" w:hAnsiTheme="minorHAnsi" w:cstheme="minorHAnsi"/>
        </w:rPr>
        <w:t xml:space="preserve"> </w:t>
      </w:r>
      <w:r>
        <w:rPr>
          <w:rFonts w:asciiTheme="minorHAnsi" w:hAnsiTheme="minorHAnsi" w:cstheme="minorHAnsi"/>
        </w:rPr>
        <w:t>v</w:t>
      </w:r>
      <w:r>
        <w:rPr>
          <w:rFonts w:asciiTheme="minorHAnsi" w:hAnsiTheme="minorHAnsi" w:cstheme="minorHAnsi"/>
        </w:rPr>
        <w:t>e</w:t>
      </w:r>
      <w:r>
        <w:rPr>
          <w:rFonts w:asciiTheme="minorHAnsi" w:hAnsiTheme="minorHAnsi" w:cstheme="minorHAnsi"/>
        </w:rPr>
        <w:t>r</w:t>
      </w:r>
      <w:r>
        <w:rPr>
          <w:rFonts w:asciiTheme="minorHAnsi" w:hAnsiTheme="minorHAnsi" w:cstheme="minorHAnsi"/>
        </w:rPr>
        <w:t>s</w:t>
      </w:r>
      <w:r>
        <w:rPr>
          <w:rFonts w:asciiTheme="minorHAnsi" w:hAnsiTheme="minorHAnsi" w:cstheme="minorHAnsi"/>
        </w:rPr>
        <w:t>a</w:t>
      </w:r>
      <w:r>
        <w:rPr>
          <w:rFonts w:asciiTheme="minorHAnsi" w:hAnsiTheme="minorHAnsi" w:cstheme="minorHAnsi"/>
        </w:rPr>
        <w:t xml:space="preserve">.</w:t>
      </w:r>
      <w:r>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T</w:t>
      </w:r>
      <w:r>
        <w:rPr>
          <w:rFonts w:asciiTheme="minorHAnsi" w:hAnsiTheme="minorHAnsi" w:cstheme="minorHAnsi"/>
        </w:rPr>
        <w:t>h</w:t>
      </w:r>
      <w:r>
        <w:rPr>
          <w:rFonts w:asciiTheme="minorHAnsi" w:hAnsiTheme="minorHAnsi" w:cstheme="minorHAnsi"/>
        </w:rPr>
        <w:t>e</w:t>
      </w:r>
      <w:r>
        <w:rPr>
          <w:rFonts w:asciiTheme="minorHAnsi" w:hAnsiTheme="minorHAnsi" w:cstheme="minorHAnsi"/>
        </w:rPr>
        <w:t xml:space="preserve">y</w:t>
      </w:r>
      <w:r>
        <w:rPr>
          <w:rFonts w:asciiTheme="minorHAnsi" w:hAnsiTheme="minorHAnsi" w:cstheme="minorHAnsi"/>
        </w:rPr>
        <w:t xml:space="preserve"> </w:t>
      </w:r>
      <w:r>
        <w:rPr>
          <w:rFonts w:asciiTheme="minorHAnsi" w:hAnsiTheme="minorHAnsi" w:cstheme="minorHAnsi"/>
        </w:rPr>
        <w:t>w</w:t>
      </w:r>
      <w:r>
        <w:rPr>
          <w:rFonts w:asciiTheme="minorHAnsi" w:hAnsiTheme="minorHAnsi" w:cstheme="minorHAnsi"/>
        </w:rPr>
        <w:t>e</w:t>
      </w:r>
      <w:r>
        <w:rPr>
          <w:rFonts w:asciiTheme="minorHAnsi" w:hAnsiTheme="minorHAnsi" w:cstheme="minorHAnsi"/>
        </w:rPr>
        <w:t>r</w:t>
      </w:r>
      <w:r>
        <w:rPr>
          <w:rFonts w:asciiTheme="minorHAnsi" w:hAnsiTheme="minorHAnsi" w:cstheme="minorHAnsi"/>
        </w:rPr>
        <w:t xml:space="preserve">e</w:t>
      </w:r>
      <w:r>
        <w:rPr>
          <w:rFonts w:asciiTheme="minorHAnsi" w:hAnsiTheme="minorHAnsi" w:cstheme="minorHAnsi"/>
        </w:rPr>
        <w:t xml:space="preserve"> </w:t>
      </w:r>
      <w:r>
        <w:rPr>
          <w:rFonts w:asciiTheme="minorHAnsi" w:hAnsiTheme="minorHAnsi" w:cstheme="minorHAnsi"/>
        </w:rPr>
        <w:t>e</w:t>
      </w:r>
      <w:r>
        <w:rPr>
          <w:rFonts w:asciiTheme="minorHAnsi" w:hAnsiTheme="minorHAnsi" w:cstheme="minorHAnsi"/>
        </w:rPr>
        <w:t>n</w:t>
      </w:r>
      <w:r>
        <w:rPr>
          <w:rFonts w:asciiTheme="minorHAnsi" w:hAnsiTheme="minorHAnsi" w:cstheme="minorHAnsi"/>
        </w:rPr>
        <w:t>a</w:t>
      </w:r>
      <w:r>
        <w:rPr>
          <w:rFonts w:asciiTheme="minorHAnsi" w:hAnsiTheme="minorHAnsi" w:cstheme="minorHAnsi"/>
        </w:rPr>
        <w:t>c</w:t>
      </w:r>
      <w:r>
        <w:rPr>
          <w:rFonts w:asciiTheme="minorHAnsi" w:hAnsiTheme="minorHAnsi" w:cstheme="minorHAnsi"/>
        </w:rPr>
        <w:t>t</w:t>
      </w:r>
      <w:r>
        <w:rPr>
          <w:rFonts w:asciiTheme="minorHAnsi" w:hAnsiTheme="minorHAnsi" w:cstheme="minorHAnsi"/>
        </w:rPr>
        <w:t>e</w:t>
      </w:r>
      <w:r>
        <w:rPr>
          <w:rFonts w:asciiTheme="minorHAnsi" w:hAnsiTheme="minorHAnsi" w:cstheme="minorHAnsi"/>
        </w:rPr>
        <w:t xml:space="preserve">d</w:t>
      </w:r>
      <w:r>
        <w:rPr>
          <w:rFonts w:asciiTheme="minorHAnsi" w:hAnsiTheme="minorHAnsi" w:cstheme="minorHAnsi"/>
        </w:rPr>
        <w:t xml:space="preserve"> </w:t>
      </w:r>
      <w:r>
        <w:rPr>
          <w:rFonts w:asciiTheme="minorHAnsi" w:hAnsiTheme="minorHAnsi" w:cstheme="minorHAnsi"/>
        </w:rPr>
        <w:t>t</w:t>
      </w:r>
      <w:r>
        <w:rPr>
          <w:rFonts w:asciiTheme="minorHAnsi" w:hAnsiTheme="minorHAnsi" w:cstheme="minorHAnsi"/>
        </w:rPr>
        <w:t xml:space="preserve">o</w:t>
      </w:r>
      <w:r>
        <w:rPr>
          <w:rFonts w:asciiTheme="minorHAnsi" w:hAnsiTheme="minorHAnsi" w:cstheme="minorHAnsi"/>
        </w:rPr>
        <w:t xml:space="preserve"> </w:t>
      </w:r>
      <w:r>
        <w:rPr>
          <w:rFonts w:asciiTheme="minorHAnsi" w:hAnsiTheme="minorHAnsi" w:cstheme="minorHAnsi"/>
        </w:rPr>
        <w:t>c</w:t>
      </w:r>
      <w:r>
        <w:rPr>
          <w:rFonts w:asciiTheme="minorHAnsi" w:hAnsiTheme="minorHAnsi" w:cstheme="minorHAnsi"/>
        </w:rPr>
        <w:t>o</w:t>
      </w:r>
      <w:r>
        <w:rPr>
          <w:rFonts w:asciiTheme="minorHAnsi" w:hAnsiTheme="minorHAnsi" w:cstheme="minorHAnsi"/>
        </w:rPr>
        <w:t>n</w:t>
      </w:r>
      <w:r>
        <w:rPr>
          <w:rFonts w:asciiTheme="minorHAnsi" w:hAnsiTheme="minorHAnsi" w:cstheme="minorHAnsi"/>
        </w:rPr>
        <w:t>t</w:t>
      </w:r>
      <w:r>
        <w:rPr>
          <w:rFonts w:asciiTheme="minorHAnsi" w:hAnsiTheme="minorHAnsi" w:cstheme="minorHAnsi"/>
        </w:rPr>
        <w:t>r</w:t>
      </w:r>
      <w:r>
        <w:rPr>
          <w:rFonts w:asciiTheme="minorHAnsi" w:hAnsiTheme="minorHAnsi" w:cstheme="minorHAnsi"/>
        </w:rPr>
        <w:t>i</w:t>
      </w:r>
      <w:r>
        <w:rPr>
          <w:rFonts w:asciiTheme="minorHAnsi" w:hAnsiTheme="minorHAnsi" w:cstheme="minorHAnsi"/>
        </w:rPr>
        <w:t>b</w:t>
      </w:r>
      <w:r>
        <w:rPr>
          <w:rFonts w:asciiTheme="minorHAnsi" w:hAnsiTheme="minorHAnsi" w:cstheme="minorHAnsi"/>
        </w:rPr>
        <w:t>u</w:t>
      </w:r>
      <w:r>
        <w:rPr>
          <w:rFonts w:asciiTheme="minorHAnsi" w:hAnsiTheme="minorHAnsi" w:cstheme="minorHAnsi"/>
        </w:rPr>
        <w:t>t</w:t>
      </w:r>
      <w:r>
        <w:rPr>
          <w:rFonts w:asciiTheme="minorHAnsi" w:hAnsiTheme="minorHAnsi" w:cstheme="minorHAnsi"/>
        </w:rPr>
        <w:t xml:space="preserve">e</w:t>
      </w:r>
      <w:r>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t</w:t>
      </w:r>
      <w:r>
        <w:rPr>
          <w:rFonts w:asciiTheme="minorHAnsi" w:hAnsiTheme="minorHAnsi" w:cstheme="minorHAnsi"/>
        </w:rPr>
        <w:t xml:space="preserve">o</w:t>
      </w:r>
      <w:r>
        <w:rPr>
          <w:rFonts w:asciiTheme="minorHAnsi" w:hAnsiTheme="minorHAnsi" w:cstheme="minorHAnsi"/>
        </w:rPr>
        <w:t xml:space="preserve"> </w:t>
      </w:r>
      <w:r>
        <w:rPr>
          <w:rFonts w:asciiTheme="minorHAnsi" w:hAnsiTheme="minorHAnsi" w:cstheme="minorHAnsi"/>
        </w:rPr>
        <w:t>c</w:t>
      </w:r>
      <w:r>
        <w:rPr>
          <w:rFonts w:asciiTheme="minorHAnsi" w:hAnsiTheme="minorHAnsi" w:cstheme="minorHAnsi"/>
        </w:rPr>
        <w:t>l</w:t>
      </w:r>
      <w:r>
        <w:rPr>
          <w:rFonts w:asciiTheme="minorHAnsi" w:hAnsiTheme="minorHAnsi" w:cstheme="minorHAnsi"/>
        </w:rPr>
        <w:t>o</w:t>
      </w:r>
      <w:r>
        <w:rPr>
          <w:rFonts w:asciiTheme="minorHAnsi" w:hAnsiTheme="minorHAnsi" w:cstheme="minorHAnsi"/>
        </w:rPr>
        <w:t>s</w:t>
      </w:r>
      <w:r>
        <w:rPr>
          <w:rFonts w:asciiTheme="minorHAnsi" w:hAnsiTheme="minorHAnsi" w:cstheme="minorHAnsi"/>
        </w:rPr>
        <w:t>e</w:t>
      </w:r>
      <w:r>
        <w:rPr>
          <w:rFonts w:asciiTheme="minorHAnsi" w:hAnsiTheme="minorHAnsi" w:cstheme="minorHAnsi"/>
        </w:rPr>
        <w:t xml:space="preserve">r</w:t>
      </w:r>
      <w:r>
        <w:rPr>
          <w:rFonts w:asciiTheme="minorHAnsi" w:hAnsiTheme="minorHAnsi" w:cstheme="minorHAnsi"/>
        </w:rPr>
        <w:t xml:space="preserve"> </w:t>
      </w:r>
      <w:r>
        <w:rPr>
          <w:rFonts w:asciiTheme="minorHAnsi" w:hAnsiTheme="minorHAnsi" w:cstheme="minorHAnsi"/>
        </w:rPr>
        <w:t>e</w:t>
      </w:r>
      <w:r>
        <w:rPr>
          <w:rFonts w:asciiTheme="minorHAnsi" w:hAnsiTheme="minorHAnsi" w:cstheme="minorHAnsi"/>
        </w:rPr>
        <w:t>c</w:t>
      </w:r>
      <w:r>
        <w:rPr>
          <w:rFonts w:asciiTheme="minorHAnsi" w:hAnsiTheme="minorHAnsi" w:cstheme="minorHAnsi"/>
        </w:rPr>
        <w:t>o</w:t>
      </w:r>
      <w:r>
        <w:rPr>
          <w:rFonts w:asciiTheme="minorHAnsi" w:hAnsiTheme="minorHAnsi" w:cstheme="minorHAnsi"/>
        </w:rPr>
        <w:t>n</w:t>
      </w:r>
      <w:r>
        <w:rPr>
          <w:rFonts w:asciiTheme="minorHAnsi" w:hAnsiTheme="minorHAnsi" w:cstheme="minorHAnsi"/>
        </w:rPr>
        <w:t>o</w:t>
      </w:r>
      <w:r>
        <w:rPr>
          <w:rFonts w:asciiTheme="minorHAnsi" w:hAnsiTheme="minorHAnsi" w:cstheme="minorHAnsi"/>
        </w:rPr>
        <w:t>m</w:t>
      </w:r>
      <w:r>
        <w:rPr>
          <w:rFonts w:asciiTheme="minorHAnsi" w:hAnsiTheme="minorHAnsi" w:cstheme="minorHAnsi"/>
        </w:rPr>
        <w:t>i</w:t>
      </w:r>
      <w:r>
        <w:rPr>
          <w:rFonts w:asciiTheme="minorHAnsi" w:hAnsiTheme="minorHAnsi" w:cstheme="minorHAnsi"/>
        </w:rPr>
        <w:t xml:space="preserve">c</w:t>
      </w:r>
      <w:r>
        <w:rPr>
          <w:rFonts w:asciiTheme="minorHAnsi" w:hAnsiTheme="minorHAnsi" w:cstheme="minorHAnsi"/>
        </w:rPr>
        <w:t xml:space="preserve"> </w:t>
      </w:r>
      <w:r>
        <w:rPr>
          <w:rFonts w:asciiTheme="minorHAnsi" w:hAnsiTheme="minorHAnsi" w:cstheme="minorHAnsi"/>
        </w:rPr>
        <w:t>r</w:t>
      </w:r>
      <w:r>
        <w:rPr>
          <w:rFonts w:asciiTheme="minorHAnsi" w:hAnsiTheme="minorHAnsi" w:cstheme="minorHAnsi"/>
        </w:rPr>
        <w:t>e</w:t>
      </w:r>
      <w:r>
        <w:rPr>
          <w:rFonts w:asciiTheme="minorHAnsi" w:hAnsiTheme="minorHAnsi" w:cstheme="minorHAnsi"/>
        </w:rPr>
        <w:t>l</w:t>
      </w:r>
      <w:r>
        <w:rPr>
          <w:rFonts w:asciiTheme="minorHAnsi" w:hAnsiTheme="minorHAnsi" w:cstheme="minorHAnsi"/>
        </w:rPr>
        <w:t>a</w:t>
      </w:r>
      <w:r>
        <w:rPr>
          <w:rFonts w:asciiTheme="minorHAnsi" w:hAnsiTheme="minorHAnsi" w:cstheme="minorHAnsi"/>
        </w:rPr>
        <w:t>t</w:t>
      </w:r>
      <w:r>
        <w:rPr>
          <w:rFonts w:asciiTheme="minorHAnsi" w:hAnsiTheme="minorHAnsi" w:cstheme="minorHAnsi"/>
        </w:rPr>
        <w:t>i</w:t>
      </w:r>
      <w:r>
        <w:rPr>
          <w:rFonts w:asciiTheme="minorHAnsi" w:hAnsiTheme="minorHAnsi" w:cstheme="minorHAnsi"/>
        </w:rPr>
        <w:t>o</w:t>
      </w:r>
      <w:r>
        <w:rPr>
          <w:rFonts w:asciiTheme="minorHAnsi" w:hAnsiTheme="minorHAnsi" w:cstheme="minorHAnsi"/>
        </w:rPr>
        <w:t>n</w:t>
      </w:r>
      <w:r>
        <w:rPr>
          <w:rFonts w:asciiTheme="minorHAnsi" w:hAnsiTheme="minorHAnsi" w:cstheme="minorHAnsi"/>
        </w:rPr>
        <w:t xml:space="preserve">s</w:t>
      </w:r>
      <w:r>
        <w:rPr>
          <w:rFonts w:asciiTheme="minorHAnsi" w:hAnsiTheme="minorHAnsi" w:cstheme="minorHAnsi"/>
        </w:rPr>
        <w:t xml:space="preserve"> </w:t>
      </w:r>
      <w:r>
        <w:rPr>
          <w:rFonts w:asciiTheme="minorHAnsi" w:hAnsiTheme="minorHAnsi" w:cstheme="minorHAnsi"/>
        </w:rPr>
        <w:t>b</w:t>
      </w:r>
      <w:r>
        <w:rPr>
          <w:rFonts w:asciiTheme="minorHAnsi" w:hAnsiTheme="minorHAnsi" w:cstheme="minorHAnsi"/>
        </w:rPr>
        <w:t>e</w:t>
      </w:r>
      <w:r>
        <w:rPr>
          <w:rFonts w:asciiTheme="minorHAnsi" w:hAnsiTheme="minorHAnsi" w:cstheme="minorHAnsi"/>
        </w:rPr>
        <w:t>t</w:t>
      </w:r>
      <w:r>
        <w:rPr>
          <w:rFonts w:asciiTheme="minorHAnsi" w:hAnsiTheme="minorHAnsi" w:cstheme="minorHAnsi"/>
        </w:rPr>
        <w:t>w</w:t>
      </w:r>
      <w:r>
        <w:rPr>
          <w:rFonts w:asciiTheme="minorHAnsi" w:hAnsiTheme="minorHAnsi" w:cstheme="minorHAnsi"/>
        </w:rPr>
        <w:t>e</w:t>
      </w:r>
      <w:r>
        <w:rPr>
          <w:rFonts w:asciiTheme="minorHAnsi" w:hAnsiTheme="minorHAnsi" w:cstheme="minorHAnsi"/>
        </w:rPr>
        <w:t>e</w:t>
      </w:r>
      <w:r>
        <w:rPr>
          <w:rFonts w:asciiTheme="minorHAnsi" w:hAnsiTheme="minorHAnsi" w:cstheme="minorHAnsi"/>
        </w:rPr>
        <w:t xml:space="preserve">n</w:t>
      </w:r>
      <w:r>
        <w:rPr>
          <w:rFonts w:asciiTheme="minorHAnsi" w:hAnsiTheme="minorHAnsi" w:cstheme="minorHAnsi"/>
        </w:rPr>
        <w:t xml:space="preserve"> </w:t>
      </w:r>
      <w:r>
        <w:rPr>
          <w:rFonts w:asciiTheme="minorHAnsi" w:hAnsiTheme="minorHAnsi" w:cstheme="minorHAnsi"/>
        </w:rPr>
        <w:t>A</w:t>
      </w:r>
      <w:r>
        <w:rPr>
          <w:rFonts w:asciiTheme="minorHAnsi" w:hAnsiTheme="minorHAnsi" w:cstheme="minorHAnsi"/>
        </w:rPr>
        <w:t>u</w:t>
      </w:r>
      <w:r>
        <w:rPr>
          <w:rFonts w:asciiTheme="minorHAnsi" w:hAnsiTheme="minorHAnsi" w:cstheme="minorHAnsi"/>
        </w:rPr>
        <w:t>s</w:t>
      </w:r>
      <w:r>
        <w:rPr>
          <w:rFonts w:asciiTheme="minorHAnsi" w:hAnsiTheme="minorHAnsi" w:cstheme="minorHAnsi"/>
        </w:rPr>
        <w:t>t</w:t>
      </w:r>
      <w:r>
        <w:rPr>
          <w:rFonts w:asciiTheme="minorHAnsi" w:hAnsiTheme="minorHAnsi" w:cstheme="minorHAnsi"/>
        </w:rPr>
        <w:t>r</w:t>
      </w:r>
      <w:r>
        <w:rPr>
          <w:rFonts w:asciiTheme="minorHAnsi" w:hAnsiTheme="minorHAnsi" w:cstheme="minorHAnsi"/>
        </w:rPr>
        <w:t>a</w:t>
      </w:r>
      <w:r>
        <w:rPr>
          <w:rFonts w:asciiTheme="minorHAnsi" w:hAnsiTheme="minorHAnsi" w:cstheme="minorHAnsi"/>
        </w:rPr>
        <w:t>l</w:t>
      </w:r>
      <w:r>
        <w:rPr>
          <w:rFonts w:asciiTheme="minorHAnsi" w:hAnsiTheme="minorHAnsi" w:cstheme="minorHAnsi"/>
        </w:rPr>
        <w:t>i</w:t>
      </w:r>
      <w:r>
        <w:rPr>
          <w:rFonts w:asciiTheme="minorHAnsi" w:hAnsiTheme="minorHAnsi" w:cstheme="minorHAnsi"/>
        </w:rPr>
        <w:t xml:space="preserve">a</w:t>
      </w:r>
      <w:r>
        <w:rPr>
          <w:rFonts w:asciiTheme="minorHAnsi" w:hAnsiTheme="minorHAnsi" w:cstheme="minorHAnsi"/>
        </w:rPr>
        <w:t xml:space="preserve"> </w:t>
      </w:r>
      <w:r>
        <w:rPr>
          <w:rFonts w:asciiTheme="minorHAnsi" w:hAnsiTheme="minorHAnsi" w:cstheme="minorHAnsi"/>
        </w:rPr>
        <w:t>a</w:t>
      </w:r>
      <w:r>
        <w:rPr>
          <w:rFonts w:asciiTheme="minorHAnsi" w:hAnsiTheme="minorHAnsi" w:cstheme="minorHAnsi"/>
        </w:rPr>
        <w:t>n</w:t>
      </w:r>
      <w:r>
        <w:rPr>
          <w:rFonts w:asciiTheme="minorHAnsi" w:hAnsiTheme="minorHAnsi" w:cstheme="minorHAnsi"/>
        </w:rPr>
        <w:t xml:space="preserve">d</w:t>
      </w:r>
      <w:r>
        <w:rPr>
          <w:rFonts w:asciiTheme="minorHAnsi" w:hAnsiTheme="minorHAnsi" w:cstheme="minorHAnsi"/>
        </w:rPr>
        <w:t xml:space="preserve"> </w:t>
      </w:r>
      <w:r>
        <w:rPr>
          <w:rFonts w:asciiTheme="minorHAnsi" w:hAnsiTheme="minorHAnsi" w:cstheme="minorHAnsi"/>
        </w:rPr>
        <w:t>N</w:t>
      </w:r>
      <w:r>
        <w:rPr>
          <w:rFonts w:asciiTheme="minorHAnsi" w:hAnsiTheme="minorHAnsi" w:cstheme="minorHAnsi"/>
        </w:rPr>
        <w:t>e</w:t>
      </w:r>
      <w:r>
        <w:rPr>
          <w:rFonts w:asciiTheme="minorHAnsi" w:hAnsiTheme="minorHAnsi" w:cstheme="minorHAnsi"/>
        </w:rPr>
        <w:t xml:space="preserve">w</w:t>
      </w:r>
      <w:r>
        <w:rPr>
          <w:rFonts w:asciiTheme="minorHAnsi" w:hAnsiTheme="minorHAnsi" w:cstheme="minorHAnsi"/>
        </w:rPr>
        <w:t xml:space="preserve"> </w:t>
      </w:r>
      <w:r>
        <w:rPr>
          <w:rFonts w:asciiTheme="minorHAnsi" w:hAnsiTheme="minorHAnsi" w:cstheme="minorHAnsi"/>
        </w:rPr>
        <w:t>Z</w:t>
      </w:r>
      <w:r>
        <w:rPr>
          <w:rFonts w:asciiTheme="minorHAnsi" w:hAnsiTheme="minorHAnsi" w:cstheme="minorHAnsi"/>
        </w:rPr>
        <w:t>e</w:t>
      </w:r>
      <w:r>
        <w:rPr>
          <w:rFonts w:asciiTheme="minorHAnsi" w:hAnsiTheme="minorHAnsi" w:cstheme="minorHAnsi"/>
        </w:rPr>
        <w:t>a</w:t>
      </w:r>
      <w:r>
        <w:rPr>
          <w:rFonts w:asciiTheme="minorHAnsi" w:hAnsiTheme="minorHAnsi" w:cstheme="minorHAnsi"/>
        </w:rPr>
        <w:t>l</w:t>
      </w:r>
      <w:r>
        <w:rPr>
          <w:rFonts w:asciiTheme="minorHAnsi" w:hAnsiTheme="minorHAnsi" w:cstheme="minorHAnsi"/>
        </w:rPr>
        <w:t>a</w:t>
      </w:r>
      <w:r>
        <w:rPr>
          <w:rFonts w:asciiTheme="minorHAnsi" w:hAnsiTheme="minorHAnsi" w:cstheme="minorHAnsi"/>
        </w:rPr>
        <w:t>n</w:t>
      </w:r>
      <w:r>
        <w:rPr>
          <w:rFonts w:asciiTheme="minorHAnsi" w:hAnsiTheme="minorHAnsi" w:cstheme="minorHAnsi"/>
        </w:rPr>
        <w:t>d</w:t>
      </w:r>
      <w:r>
        <w:rPr>
          <w:rFonts w:asciiTheme="minorHAnsi" w:hAnsiTheme="minorHAnsi" w:cstheme="minorHAnsi"/>
        </w:rPr>
        <w:t>.</w:t>
      </w:r>
    </w:p>
    <w:p w:rsidR="00911D67" w:rsidRDefault="00514DB6" w:rsidP="00172E26">
      <w:pPr>
        <w:rPr>
          <w:rFonts w:asciiTheme="minorHAnsi" w:hAnsiTheme="minorHAnsi" w:cstheme="minorHAnsi"/>
        </w:rPr>
      </w:pPr>
      <w:r>
        <w:rPr>
          <w:rFonts w:asciiTheme="minorHAnsi" w:hAnsiTheme="minorHAnsi" w:cstheme="minorHAnsi"/>
        </w:rPr>
        <w:t>The Australian Competition and Consumer Commission</w:t>
      </w:r>
      <w:r w:rsidR="000D65F8">
        <w:rPr>
          <w:rFonts w:asciiTheme="minorHAnsi" w:hAnsiTheme="minorHAnsi" w:cstheme="minorHAnsi"/>
        </w:rPr>
        <w:t xml:space="preserve"> (ACCC)</w:t>
      </w:r>
      <w:r>
        <w:rPr>
          <w:rFonts w:asciiTheme="minorHAnsi" w:hAnsiTheme="minorHAnsi" w:cstheme="minorHAnsi"/>
        </w:rPr>
        <w:t xml:space="preserve"> makes this submission based on its experience enforcing section 46</w:t>
      </w:r>
      <w:r w:rsidR="00796E8D">
        <w:rPr>
          <w:rFonts w:asciiTheme="minorHAnsi" w:hAnsiTheme="minorHAnsi" w:cstheme="minorHAnsi"/>
        </w:rPr>
        <w:t xml:space="preserve"> of the CCA</w:t>
      </w:r>
      <w:r w:rsidR="00724C1D">
        <w:rPr>
          <w:rFonts w:asciiTheme="minorHAnsi" w:hAnsiTheme="minorHAnsi" w:cstheme="minorHAnsi"/>
        </w:rPr>
        <w:t>.</w:t>
      </w:r>
      <w:r w:rsidR="000D65F8">
        <w:rPr>
          <w:rFonts w:asciiTheme="minorHAnsi" w:hAnsiTheme="minorHAnsi" w:cstheme="minorHAnsi"/>
        </w:rPr>
        <w:t xml:space="preserve"> </w:t>
      </w:r>
      <w:r w:rsidR="00796E8D">
        <w:rPr>
          <w:rFonts w:asciiTheme="minorHAnsi" w:hAnsiTheme="minorHAnsi" w:cstheme="minorHAnsi"/>
        </w:rPr>
        <w:t>Given</w:t>
      </w:r>
      <w:r w:rsidR="00724C1D">
        <w:rPr>
          <w:rFonts w:asciiTheme="minorHAnsi" w:hAnsiTheme="minorHAnsi" w:cstheme="minorHAnsi"/>
        </w:rPr>
        <w:t xml:space="preserve"> </w:t>
      </w:r>
      <w:r w:rsidR="000D65F8">
        <w:rPr>
          <w:rFonts w:asciiTheme="minorHAnsi" w:hAnsiTheme="minorHAnsi" w:cstheme="minorHAnsi"/>
        </w:rPr>
        <w:t xml:space="preserve">the similarities </w:t>
      </w:r>
      <w:r w:rsidR="00ED2A72">
        <w:rPr>
          <w:rFonts w:asciiTheme="minorHAnsi" w:hAnsiTheme="minorHAnsi" w:cstheme="minorHAnsi"/>
        </w:rPr>
        <w:t>between</w:t>
      </w:r>
      <w:r w:rsidR="0082031E">
        <w:rPr>
          <w:rFonts w:asciiTheme="minorHAnsi" w:hAnsiTheme="minorHAnsi" w:cstheme="minorHAnsi"/>
        </w:rPr>
        <w:t xml:space="preserve"> </w:t>
      </w:r>
      <w:r w:rsidR="00724C1D">
        <w:rPr>
          <w:rFonts w:asciiTheme="minorHAnsi" w:hAnsiTheme="minorHAnsi" w:cstheme="minorHAnsi"/>
        </w:rPr>
        <w:t>section 46 of the CCA and section 36 of the CA</w:t>
      </w:r>
      <w:r w:rsidR="00796E8D">
        <w:rPr>
          <w:rFonts w:asciiTheme="minorHAnsi" w:hAnsiTheme="minorHAnsi" w:cstheme="minorHAnsi"/>
        </w:rPr>
        <w:t xml:space="preserve">, </w:t>
      </w:r>
      <w:r w:rsidR="00ED2A72">
        <w:rPr>
          <w:rFonts w:asciiTheme="minorHAnsi" w:hAnsiTheme="minorHAnsi" w:cstheme="minorHAnsi"/>
        </w:rPr>
        <w:t xml:space="preserve">the ACCC’s views on </w:t>
      </w:r>
      <w:r w:rsidR="00724C1D">
        <w:rPr>
          <w:rFonts w:asciiTheme="minorHAnsi" w:hAnsiTheme="minorHAnsi" w:cstheme="minorHAnsi"/>
        </w:rPr>
        <w:t xml:space="preserve">the limitations of section 46 of the CCA </w:t>
      </w:r>
      <w:r w:rsidR="00796E8D">
        <w:rPr>
          <w:rFonts w:asciiTheme="minorHAnsi" w:hAnsiTheme="minorHAnsi" w:cstheme="minorHAnsi"/>
        </w:rPr>
        <w:t xml:space="preserve">may assist the Ministry for Business, Innovation and Employment (MBIE) </w:t>
      </w:r>
      <w:r w:rsidR="00ED2A72">
        <w:rPr>
          <w:rFonts w:asciiTheme="minorHAnsi" w:hAnsiTheme="minorHAnsi" w:cstheme="minorHAnsi"/>
        </w:rPr>
        <w:t xml:space="preserve">in its review of </w:t>
      </w:r>
      <w:r w:rsidR="00796E8D">
        <w:rPr>
          <w:rFonts w:asciiTheme="minorHAnsi" w:hAnsiTheme="minorHAnsi" w:cstheme="minorHAnsi"/>
        </w:rPr>
        <w:t xml:space="preserve">the operation of </w:t>
      </w:r>
      <w:r w:rsidR="00724C1D">
        <w:rPr>
          <w:rFonts w:asciiTheme="minorHAnsi" w:hAnsiTheme="minorHAnsi" w:cstheme="minorHAnsi"/>
        </w:rPr>
        <w:t>section 36 of the CA.</w:t>
      </w:r>
    </w:p>
    <w:p w:rsidR="00911D67" w:rsidRPr="00217B64" w:rsidRDefault="004855F0" w:rsidP="00172E26">
      <w:pPr>
        <w:rPr>
          <w:rFonts w:asciiTheme="minorHAnsi" w:hAnsiTheme="minorHAnsi" w:cstheme="minorHAnsi"/>
        </w:rPr>
      </w:pPr>
      <w:r>
        <w:rPr>
          <w:rFonts w:asciiTheme="minorHAnsi" w:hAnsiTheme="minorHAnsi" w:cstheme="minorHAnsi"/>
        </w:rPr>
        <w:t xml:space="preserve">In the ACCC’s view, </w:t>
      </w:r>
      <w:r w:rsidR="00911D67" w:rsidRPr="00217B64">
        <w:rPr>
          <w:rFonts w:asciiTheme="minorHAnsi" w:hAnsiTheme="minorHAnsi" w:cstheme="minorHAnsi"/>
        </w:rPr>
        <w:t xml:space="preserve">section </w:t>
      </w:r>
      <w:r>
        <w:rPr>
          <w:rFonts w:asciiTheme="minorHAnsi" w:hAnsiTheme="minorHAnsi" w:cstheme="minorHAnsi"/>
        </w:rPr>
        <w:t>46 of the CCA</w:t>
      </w:r>
      <w:r w:rsidR="00911D67" w:rsidRPr="00217B64">
        <w:rPr>
          <w:rFonts w:asciiTheme="minorHAnsi" w:hAnsiTheme="minorHAnsi" w:cstheme="minorHAnsi"/>
        </w:rPr>
        <w:t xml:space="preserve"> is not fit for purpose </w:t>
      </w:r>
      <w:r w:rsidR="00ED2A72">
        <w:rPr>
          <w:rFonts w:asciiTheme="minorHAnsi" w:hAnsiTheme="minorHAnsi" w:cstheme="minorHAnsi"/>
        </w:rPr>
        <w:t xml:space="preserve">(that is, to prohibit misuse of market power) </w:t>
      </w:r>
      <w:r w:rsidR="00911D67" w:rsidRPr="00217B64">
        <w:rPr>
          <w:rFonts w:asciiTheme="minorHAnsi" w:hAnsiTheme="minorHAnsi" w:cstheme="minorHAnsi"/>
        </w:rPr>
        <w:t>for two reasons:</w:t>
      </w:r>
    </w:p>
    <w:p w:rsidR="00911D67" w:rsidRPr="00217B64" w:rsidRDefault="00911D67" w:rsidP="00911D67">
      <w:pPr>
        <w:spacing w:before="0"/>
        <w:rPr>
          <w:rFonts w:asciiTheme="minorHAnsi" w:hAnsiTheme="minorHAnsi" w:cstheme="minorHAnsi"/>
        </w:rPr>
      </w:pPr>
    </w:p>
    <w:p w:rsidR="00911D67" w:rsidRPr="00217B64" w:rsidRDefault="00911D67" w:rsidP="00172E26">
      <w:pPr>
        <w:pStyle w:val="ListLegal"/>
      </w:pPr>
      <w:r w:rsidRPr="0088113B">
        <w:t xml:space="preserve">The current section </w:t>
      </w:r>
      <w:r w:rsidR="004855F0" w:rsidRPr="0088113B">
        <w:t>46</w:t>
      </w:r>
      <w:r w:rsidRPr="0088113B">
        <w:t xml:space="preserve"> fails to capture a range of anti-competitive conduct by firms with</w:t>
      </w:r>
      <w:r w:rsidRPr="00217B64">
        <w:t xml:space="preserve"> substantial market power. </w:t>
      </w:r>
      <w:r w:rsidR="00ED2A72">
        <w:t xml:space="preserve">The Australian </w:t>
      </w:r>
      <w:r w:rsidRPr="00217B64">
        <w:t>Courts have found that conduct by a firm with a substantial degree of market power does not involve a taking advantage of that power if a firm without substantial market power could engage in the same conduct. This ignores the very different consequences that can flow from the same conduct undertaken by a large firm versus a small firm in same the market.</w:t>
      </w:r>
      <w:r w:rsidRPr="00217B64">
        <w:rPr>
          <w:vertAlign w:val="superscript"/>
        </w:rPr>
        <w:footnoteReference w:id="1"/>
      </w:r>
    </w:p>
    <w:p w:rsidR="00911D67" w:rsidRPr="00217B64" w:rsidRDefault="00911D67" w:rsidP="00172E26">
      <w:pPr>
        <w:pStyle w:val="ListLegal"/>
      </w:pPr>
      <w:r w:rsidRPr="00217B64">
        <w:t xml:space="preserve">The current purpose test </w:t>
      </w:r>
      <w:r w:rsidR="00ED2A72">
        <w:t xml:space="preserve">in section 46 of the CCA </w:t>
      </w:r>
      <w:r w:rsidRPr="00217B64">
        <w:t xml:space="preserve">is focussed on the impact of the conduct on individual competitors, not on the impact to the competitive process generally. This is inconsistent with the other sections </w:t>
      </w:r>
      <w:r>
        <w:t xml:space="preserve">of the </w:t>
      </w:r>
      <w:r w:rsidRPr="00217B64">
        <w:t>C</w:t>
      </w:r>
      <w:r w:rsidR="004855F0">
        <w:t>C</w:t>
      </w:r>
      <w:r w:rsidRPr="00217B64">
        <w:t xml:space="preserve">A and the rationale for </w:t>
      </w:r>
      <w:r w:rsidRPr="00217B64">
        <w:lastRenderedPageBreak/>
        <w:t xml:space="preserve">having competition laws, which is to protect the competitive process, not individual competitors. </w:t>
      </w:r>
    </w:p>
    <w:p w:rsidR="00911D67" w:rsidRPr="00217B64" w:rsidRDefault="00911D67" w:rsidP="00172E26">
      <w:r w:rsidRPr="00217B64">
        <w:t xml:space="preserve">As a consequence, there are important types of anti-competitive conduct by businesses with substantial market power which are not </w:t>
      </w:r>
      <w:r w:rsidR="00ED2A72">
        <w:t xml:space="preserve">effectively </w:t>
      </w:r>
      <w:r w:rsidRPr="00217B64">
        <w:t xml:space="preserve">prevented by the current section </w:t>
      </w:r>
      <w:r w:rsidR="00E16F52">
        <w:t>4</w:t>
      </w:r>
      <w:r w:rsidRPr="00217B64">
        <w:t>6. Examples include most forms of strategic land banking, many retaliatory threats, capacity dumping and using regulatory and legal mechanisms to increase barriers to entry.</w:t>
      </w:r>
    </w:p>
    <w:p w:rsidR="00911D67" w:rsidRPr="00F826FC" w:rsidRDefault="00911D67" w:rsidP="00172E26">
      <w:r w:rsidRPr="00C011EA">
        <w:t xml:space="preserve">Other examples can be drawn from cases that have been successfully dealt with by misuse of market power provisions in other jurisdictions but would be unlikely to be caught by the current section </w:t>
      </w:r>
      <w:r w:rsidR="00E16F52" w:rsidRPr="00C011EA">
        <w:t>4</w:t>
      </w:r>
      <w:r w:rsidRPr="00C011EA">
        <w:t xml:space="preserve">6 </w:t>
      </w:r>
      <w:r w:rsidR="00ED2A72">
        <w:t xml:space="preserve">prohibition, </w:t>
      </w:r>
      <w:r w:rsidRPr="00C011EA">
        <w:t>due to the ‘taking advantage’ requirement. These include the US case against Microsoft to prevent it from forcing Windows users to install other Microsoft products and excluding alternative software, and the European Commission ongoing case against Google which alleges that Google systematically favoured its own comparison shopping product in its search results, thereby preventing other comparison shopping products from entering or participating effectively in the market.</w:t>
      </w:r>
      <w:r w:rsidRPr="00F826FC">
        <w:t xml:space="preserve"> </w:t>
      </w:r>
    </w:p>
    <w:p w:rsidR="00911D67" w:rsidRPr="00217B64" w:rsidRDefault="00ED2A72" w:rsidP="00172E26">
      <w:r>
        <w:t xml:space="preserve">Misuse of market power </w:t>
      </w:r>
      <w:r w:rsidR="00911D67" w:rsidRPr="00217B64">
        <w:t xml:space="preserve">reduces the competitiveness of </w:t>
      </w:r>
      <w:r w:rsidR="004855F0">
        <w:t>an</w:t>
      </w:r>
      <w:r w:rsidR="00911D67" w:rsidRPr="00217B64">
        <w:t xml:space="preserve"> economy. </w:t>
      </w:r>
      <w:r w:rsidR="004855F0">
        <w:t>Accordingly, the ACCC has taken the view that r</w:t>
      </w:r>
      <w:r w:rsidR="00911D67" w:rsidRPr="00217B64">
        <w:t xml:space="preserve">eform of section </w:t>
      </w:r>
      <w:r w:rsidR="004855F0">
        <w:t>46</w:t>
      </w:r>
      <w:r w:rsidR="00911D67" w:rsidRPr="00217B64">
        <w:t xml:space="preserve"> is a necessary step to address the failings in the current provision and to ensure that the </w:t>
      </w:r>
      <w:r w:rsidR="004855F0">
        <w:t>C</w:t>
      </w:r>
      <w:r w:rsidR="00911D67" w:rsidRPr="00217B64">
        <w:t>CA is fit for purpose.</w:t>
      </w:r>
    </w:p>
    <w:p w:rsidR="00ED2A72" w:rsidRDefault="00FC17BA" w:rsidP="00172E26">
      <w:r>
        <w:t xml:space="preserve">The ACCC </w:t>
      </w:r>
      <w:r w:rsidR="001F1036">
        <w:t xml:space="preserve">submission to the Australian Treasury consultation process </w:t>
      </w:r>
      <w:r w:rsidR="001F1036" w:rsidRPr="00C011EA">
        <w:rPr>
          <w:i/>
        </w:rPr>
        <w:t>Options to strengthen the misuse of market power law</w:t>
      </w:r>
      <w:r w:rsidR="001F1036">
        <w:t xml:space="preserve"> </w:t>
      </w:r>
      <w:r w:rsidR="000D65F8">
        <w:t xml:space="preserve">about section 46 of the CCA </w:t>
      </w:r>
      <w:r w:rsidR="001F1036">
        <w:t xml:space="preserve">recommends </w:t>
      </w:r>
      <w:r w:rsidR="00C011EA">
        <w:t xml:space="preserve">that </w:t>
      </w:r>
      <w:r w:rsidR="00911D67" w:rsidRPr="00C011EA">
        <w:t xml:space="preserve">the failed take advantage test </w:t>
      </w:r>
      <w:r w:rsidRPr="00C011EA">
        <w:t xml:space="preserve">be replaced </w:t>
      </w:r>
      <w:r w:rsidR="00911D67" w:rsidRPr="00C011EA">
        <w:t xml:space="preserve">with a ‘substantial lessening of competition’ (SLC) test. This would shift the critical inquiry away from ‘taking advantage’ to whether the conduct of the firm with substantial market power had the purpose, effect or likely effect of SLC. </w:t>
      </w:r>
    </w:p>
    <w:p w:rsidR="00911D67" w:rsidRDefault="00911D67" w:rsidP="00172E26">
      <w:r w:rsidRPr="00C011EA">
        <w:t xml:space="preserve">The substantial market power requirement will </w:t>
      </w:r>
      <w:r w:rsidR="00ED2A72">
        <w:t xml:space="preserve">still </w:t>
      </w:r>
      <w:r w:rsidRPr="00C011EA">
        <w:t xml:space="preserve">confine </w:t>
      </w:r>
      <w:r w:rsidR="00ED2A72">
        <w:t xml:space="preserve">the application of </w:t>
      </w:r>
      <w:r w:rsidR="000D65F8">
        <w:t>section 46 of the CCA</w:t>
      </w:r>
      <w:r w:rsidRPr="00C011EA">
        <w:t xml:space="preserve"> to a small number of corporations, and the SLC test will ensure it only applies to anti-competitive conduct</w:t>
      </w:r>
      <w:r w:rsidR="00B66C57">
        <w:t xml:space="preserve"> of those corporations</w:t>
      </w:r>
      <w:r w:rsidRPr="00C011EA">
        <w:t>. If powerful corporations are competing on their merits, and allowing other firms to compete on their merits, then the SLC test will not cause them any concern. Uncertainty and increased costs will be minimal as the SLC test is already used in the C</w:t>
      </w:r>
      <w:r w:rsidR="00B66C57">
        <w:t>C</w:t>
      </w:r>
      <w:r w:rsidRPr="00C011EA">
        <w:t>A. Corporations already make decisions based on this test every time they enter into a contract or engage in exclusive dealing.</w:t>
      </w:r>
    </w:p>
    <w:p w:rsidR="00DC5AF5" w:rsidRPr="0082031E" w:rsidRDefault="00B02C75" w:rsidP="00172E26">
      <w:r w:rsidRPr="00C011EA">
        <w:rPr>
          <w:rFonts w:asciiTheme="minorHAnsi" w:hAnsiTheme="minorHAnsi"/>
        </w:rPr>
        <w:t xml:space="preserve">The MBIE may wish to consider whether </w:t>
      </w:r>
      <w:r w:rsidR="000D65F8">
        <w:rPr>
          <w:rFonts w:asciiTheme="minorHAnsi" w:hAnsiTheme="minorHAnsi"/>
        </w:rPr>
        <w:t xml:space="preserve">a similar </w:t>
      </w:r>
      <w:r w:rsidRPr="00C011EA">
        <w:rPr>
          <w:rFonts w:asciiTheme="minorHAnsi" w:hAnsiTheme="minorHAnsi"/>
        </w:rPr>
        <w:t xml:space="preserve">removal of </w:t>
      </w:r>
      <w:r w:rsidR="000D65F8">
        <w:rPr>
          <w:rFonts w:asciiTheme="minorHAnsi" w:hAnsiTheme="minorHAnsi"/>
        </w:rPr>
        <w:t xml:space="preserve">the </w:t>
      </w:r>
      <w:r w:rsidRPr="00C011EA">
        <w:rPr>
          <w:rFonts w:asciiTheme="minorHAnsi" w:hAnsiTheme="minorHAnsi"/>
        </w:rPr>
        <w:t>take advantage limb and an introduction of an SLC test</w:t>
      </w:r>
      <w:r w:rsidR="000D65F8">
        <w:rPr>
          <w:rFonts w:asciiTheme="minorHAnsi" w:hAnsiTheme="minorHAnsi"/>
        </w:rPr>
        <w:t xml:space="preserve"> in section 36</w:t>
      </w:r>
      <w:r>
        <w:rPr>
          <w:rFonts w:asciiTheme="minorHAnsi" w:hAnsiTheme="minorHAnsi"/>
        </w:rPr>
        <w:t xml:space="preserve"> </w:t>
      </w:r>
      <w:r>
        <w:rPr>
          <w:rFonts w:asciiTheme="minorHAnsi" w:hAnsiTheme="minorHAnsi"/>
        </w:rPr>
        <w:t>a</w:t>
      </w:r>
      <w:r>
        <w:rPr>
          <w:rFonts w:asciiTheme="minorHAnsi" w:hAnsiTheme="minorHAnsi"/>
        </w:rPr>
        <w:t>n</w:t>
      </w:r>
      <w:r>
        <w:rPr>
          <w:rFonts w:asciiTheme="minorHAnsi" w:hAnsiTheme="minorHAnsi"/>
        </w:rPr>
        <w:t xml:space="preserve">d</w:t>
      </w:r>
      <w:r>
        <w:rPr>
          <w:rFonts w:asciiTheme="minorHAnsi" w:hAnsiTheme="minorHAnsi"/>
        </w:rPr>
        <w:t xml:space="preserve"> </w:t>
      </w:r>
      <w:r>
        <w:t>3</w:t>
      </w:r>
      <w:r>
        <w:t>6</w:t>
      </w:r>
      <w:r>
        <w:t>A</w:t>
      </w:r>
      <w:r>
        <w:t xml:space="preserve"> of the CA</w:t>
      </w:r>
      <w:r w:rsidRPr="00C011EA">
        <w:t xml:space="preserve"> would increase the effectiveness of the provision</w:t>
      </w:r>
      <w:r>
        <w:t>s</w:t>
      </w:r>
      <w:r>
        <w:t>.</w:t>
      </w:r>
    </w:p>
    <w:p w:rsidR="00C011EA" w:rsidRPr="00C011EA" w:rsidRDefault="00C011EA" w:rsidP="00172E26">
      <w:pPr>
        <w:rPr>
          <w:rFonts w:asciiTheme="minorHAnsi" w:hAnsiTheme="minorHAnsi" w:cstheme="minorHAnsi"/>
        </w:rPr>
      </w:pPr>
    </w:p>
    <w:p w:rsidR="00EE0622" w:rsidRDefault="00EE0622">
      <w:pPr>
        <w:rPr>
          <w:rFonts w:ascii="Lucida Fax" w:eastAsiaTheme="majorEastAsia" w:hAnsi="Lucida Fax" w:cstheme="majorBidi"/>
          <w:bCs/>
          <w:color w:val="51626F"/>
          <w:sz w:val="32"/>
          <w:szCs w:val="28"/>
        </w:rPr>
      </w:pPr>
      <w:r>
        <w:br w:type="page"/>
      </w:r>
    </w:p>
    <w:p w:rsidR="00A674AE" w:rsidRPr="0082031E" w:rsidRDefault="00A674AE" w:rsidP="00172E26">
      <w:pPr>
        <w:pStyle w:val="Heading1"/>
      </w:pPr>
      <w:r>
        <w:lastRenderedPageBreak/>
        <w:t>Introduction</w:t>
      </w:r>
    </w:p>
    <w:p w:rsidR="002C50AD" w:rsidRDefault="002C50AD" w:rsidP="00172E26">
      <w:r>
        <w:t xml:space="preserve">The </w:t>
      </w:r>
      <w:r w:rsidR="00796E8D">
        <w:t>ACCC</w:t>
      </w:r>
      <w:r>
        <w:t xml:space="preserve"> is </w:t>
      </w:r>
      <w:r w:rsidRPr="002C50AD">
        <w:t xml:space="preserve">an independent statutory authority </w:t>
      </w:r>
      <w:r w:rsidR="00796E8D">
        <w:t xml:space="preserve">of the Commonwealth of Australia </w:t>
      </w:r>
      <w:r w:rsidRPr="002C50AD">
        <w:t>whose role is to enforce the</w:t>
      </w:r>
      <w:r w:rsidR="00B66C57">
        <w:t xml:space="preserve"> CCA</w:t>
      </w:r>
      <w:r w:rsidRPr="002C50AD">
        <w:t xml:space="preserve"> and a range of additional legislation, </w:t>
      </w:r>
      <w:r w:rsidR="00ED2A72">
        <w:t xml:space="preserve">with the object of </w:t>
      </w:r>
      <w:r w:rsidRPr="002C50AD">
        <w:t>promoting competition, fair trading and regulating national infrastructure for the benefit of all Australians.</w:t>
      </w:r>
    </w:p>
    <w:p w:rsidR="00ED2A72" w:rsidRDefault="009F46AD" w:rsidP="00172E26">
      <w:r>
        <w:t xml:space="preserve">In parallel with the New Zealand review of section 36 of the CA, </w:t>
      </w:r>
      <w:r w:rsidR="002C50AD">
        <w:t xml:space="preserve">Section 46 of the CCA is currently under review by the Australian Government. </w:t>
      </w:r>
      <w:r w:rsidR="00D403DC" w:rsidRPr="00D403DC">
        <w:t>The</w:t>
      </w:r>
      <w:r w:rsidR="00D403DC">
        <w:t xml:space="preserve"> Australian</w:t>
      </w:r>
      <w:r w:rsidR="00D403DC" w:rsidRPr="00D403DC">
        <w:t xml:space="preserve"> </w:t>
      </w:r>
      <w:r w:rsidR="002C50AD">
        <w:t xml:space="preserve">Government </w:t>
      </w:r>
      <w:hyperlink r:id="rId11" w:history="1">
        <w:r w:rsidR="00D403DC" w:rsidRPr="00D403DC">
          <w:t xml:space="preserve">announced a review of </w:t>
        </w:r>
        <w:r w:rsidR="00D403DC">
          <w:t xml:space="preserve">Australian </w:t>
        </w:r>
        <w:r w:rsidR="00D403DC" w:rsidRPr="00D403DC">
          <w:t>competition policy</w:t>
        </w:r>
      </w:hyperlink>
      <w:r w:rsidR="00D403DC" w:rsidRPr="00D403DC">
        <w:t xml:space="preserve"> on 4</w:t>
      </w:r>
      <w:r w:rsidR="00D403DC">
        <w:t xml:space="preserve"> </w:t>
      </w:r>
      <w:r w:rsidR="00D403DC" w:rsidRPr="00D403DC">
        <w:t>December</w:t>
      </w:r>
      <w:r w:rsidR="00D403DC">
        <w:t xml:space="preserve"> </w:t>
      </w:r>
      <w:r w:rsidR="00D403DC" w:rsidRPr="00D403DC">
        <w:t>2013</w:t>
      </w:r>
      <w:r w:rsidR="002C50AD">
        <w:t xml:space="preserve"> (the Review)</w:t>
      </w:r>
      <w:r w:rsidR="00D403DC" w:rsidRPr="00D403DC">
        <w:t>.</w:t>
      </w:r>
      <w:r w:rsidR="00D403DC">
        <w:t xml:space="preserve"> </w:t>
      </w:r>
      <w:r w:rsidR="00D403DC" w:rsidRPr="00D403DC">
        <w:t xml:space="preserve">The Review </w:t>
      </w:r>
      <w:hyperlink r:id="rId12" w:history="1">
        <w:r w:rsidR="00D403DC" w:rsidRPr="00D403DC">
          <w:t>Final Report</w:t>
        </w:r>
      </w:hyperlink>
      <w:r w:rsidR="00D403DC" w:rsidRPr="00D403DC">
        <w:t xml:space="preserve"> was released on 31 March 2015 and the Review has concluded.</w:t>
      </w:r>
      <w:r w:rsidR="00D403DC">
        <w:t xml:space="preserve"> </w:t>
      </w:r>
      <w:r w:rsidR="002C1365">
        <w:t>The Review panel made 56 recommendations covering competition policy, laws and institutional structures.</w:t>
      </w:r>
    </w:p>
    <w:p w:rsidR="001867EF" w:rsidRDefault="001867EF" w:rsidP="00172E26">
      <w:r>
        <w:t>During consultation</w:t>
      </w:r>
      <w:r w:rsidR="009F46AD">
        <w:t xml:space="preserve"> by the Review panel and subsequently</w:t>
      </w:r>
      <w:r>
        <w:t>, stakeholder opinions were divided on whether the current Australian misuse of market power provision is framed in a manner that is effective in deterring anti-competitive behaviour by firms with substantial market power</w:t>
      </w:r>
      <w:bookmarkStart w:id="0" w:name="_GoBack"/>
      <w:bookmarkEnd w:id="0"/>
      <w:r>
        <w:t>. Many stakeholders supported the recommended amendments and many other stakeholders opposed any change in the provision. Given the diversity of views</w:t>
      </w:r>
      <w:r w:rsidR="009F46AD">
        <w:t>,</w:t>
      </w:r>
      <w:r>
        <w:t xml:space="preserve"> the Australian Government announced that it would consult further on options to strengthen Australian misuse of market power provision.</w:t>
      </w:r>
      <w:r w:rsidR="00EA1063">
        <w:t xml:space="preserve"> In December 2015 the Australian Government released a discussion paper discussing options to strengthen the misuse of market power law.</w:t>
      </w:r>
    </w:p>
    <w:p w:rsidR="00CC1E05" w:rsidRPr="008D1EB7" w:rsidRDefault="005C444B" w:rsidP="00172E26">
      <w:pPr>
        <w:pStyle w:val="Heading1"/>
      </w:pPr>
      <w:r w:rsidRPr="008D1EB7">
        <w:t xml:space="preserve">The current </w:t>
      </w:r>
      <w:r>
        <w:t>"</w:t>
      </w:r>
      <w:r>
        <w:t>t</w:t>
      </w:r>
      <w:r>
        <w:t>a</w:t>
      </w:r>
      <w:r>
        <w:t>k</w:t>
      </w:r>
      <w:r>
        <w:t xml:space="preserve">e</w:t>
      </w:r>
      <w:r>
        <w:t xml:space="preserve"> </w:t>
      </w:r>
      <w:r>
        <w:t>a</w:t>
      </w:r>
      <w:r>
        <w:t>d</w:t>
      </w:r>
      <w:r>
        <w:t>v</w:t>
      </w:r>
      <w:r>
        <w:t>a</w:t>
      </w:r>
      <w:r>
        <w:t>n</w:t>
      </w:r>
      <w:r>
        <w:t>t</w:t>
      </w:r>
      <w:r>
        <w:t>a</w:t>
      </w:r>
      <w:r>
        <w:t>g</w:t>
      </w:r>
      <w:r>
        <w:t>e</w:t>
      </w:r>
      <w:r>
        <w:t xml:space="preserve"> of market power</w:t>
      </w:r>
      <w:r>
        <w:t xml:space="preserve">"</w:t>
      </w:r>
      <w:r>
        <w:t xml:space="preserve"> provision – </w:t>
      </w:r>
      <w:r w:rsidR="00CC1E05" w:rsidRPr="008D1EB7">
        <w:t xml:space="preserve">Section </w:t>
      </w:r>
      <w:r w:rsidR="00B1098C">
        <w:t>3</w:t>
      </w:r>
      <w:r w:rsidR="00CC1E05" w:rsidRPr="008D1EB7">
        <w:t>6</w:t>
      </w:r>
    </w:p>
    <w:p w:rsidR="00907E79" w:rsidRPr="00CC1E05" w:rsidRDefault="009F46AD" w:rsidP="00172E26">
      <w:r>
        <w:t xml:space="preserve">A prohibition </w:t>
      </w:r>
      <w:r w:rsidR="00CC1E05" w:rsidRPr="00CC1E05">
        <w:t xml:space="preserve">against </w:t>
      </w:r>
      <w:r w:rsidR="00172E26">
        <w:t>misuse</w:t>
      </w:r>
      <w:r w:rsidR="00183B7E">
        <w:t xml:space="preserve"> of </w:t>
      </w:r>
      <w:r w:rsidR="00CC1E05" w:rsidRPr="00CC1E05">
        <w:t>market power</w:t>
      </w:r>
      <w:r w:rsidR="00172E26">
        <w:t xml:space="preserve"> </w:t>
      </w:r>
      <w:r w:rsidR="00FC17BA">
        <w:t>is a crucial component of any effective competition law regime.</w:t>
      </w:r>
    </w:p>
    <w:p w:rsidR="00911D67" w:rsidRPr="003D5FDE" w:rsidRDefault="00911D67" w:rsidP="00172E26">
      <w:r w:rsidRPr="003D5FDE">
        <w:t>New entrants or ‘challenger firms’ and the p</w:t>
      </w:r>
      <w:r>
        <w:t>rospect</w:t>
      </w:r>
      <w:r w:rsidRPr="003D5FDE">
        <w:t xml:space="preserve"> of new entry are critically important characteristic</w:t>
      </w:r>
      <w:r>
        <w:t>s</w:t>
      </w:r>
      <w:r w:rsidRPr="003D5FDE">
        <w:t xml:space="preserve"> of most well-functioning markets. U.S. economist and judge Richard Posner has written that most truly exclusionary conduct is engaged in by what he termed the ‘fragile monopolist’ where substantial market power is under threat from actual or potential competition.</w:t>
      </w:r>
      <w:r w:rsidRPr="003D5FDE">
        <w:rPr>
          <w:rStyle w:val="FootnoteReference"/>
          <w:rFonts w:cs="Arial"/>
        </w:rPr>
        <w:footnoteReference w:id="2"/>
      </w:r>
      <w:r w:rsidRPr="003D5FDE">
        <w:t xml:space="preserve"> That has been the experience of the ACCC in many investigations it has conducted into the conduct of firms with substantial market power.</w:t>
      </w:r>
    </w:p>
    <w:p w:rsidR="00911D67" w:rsidRPr="003D5FDE" w:rsidRDefault="00911D67" w:rsidP="00172E26">
      <w:r w:rsidRPr="003D5FDE">
        <w:t xml:space="preserve">Firms with substantial market power can damage the competitive process by engaging in a range of conduct including refusals to supply other market participants, price-based exclusionary conduct (predatory pricing, loyalty rebates, bundling and price squeezes), conduct which raises the costs of rivals, vertical restraints and leveraging of market power across markets. This conduct is only prohibited by </w:t>
      </w:r>
      <w:r>
        <w:t xml:space="preserve">the current </w:t>
      </w:r>
      <w:r w:rsidR="009F46AD">
        <w:t xml:space="preserve">NZ and Australian provisions </w:t>
      </w:r>
      <w:r w:rsidRPr="003D5FDE">
        <w:t xml:space="preserve">if the firm possesses a substantial degree of market power </w:t>
      </w:r>
      <w:r w:rsidRPr="003D5FDE">
        <w:rPr>
          <w:u w:val="single"/>
        </w:rPr>
        <w:t>and</w:t>
      </w:r>
      <w:r w:rsidRPr="003D5FDE">
        <w:t xml:space="preserve"> has </w:t>
      </w:r>
      <w:r w:rsidRPr="003D5FDE">
        <w:rPr>
          <w:u w:val="single"/>
        </w:rPr>
        <w:t>taken advantage</w:t>
      </w:r>
      <w:r w:rsidRPr="003D5FDE">
        <w:t xml:space="preserve"> of that power </w:t>
      </w:r>
      <w:r w:rsidRPr="003D5FDE">
        <w:rPr>
          <w:u w:val="single"/>
        </w:rPr>
        <w:t>for the purpose of</w:t>
      </w:r>
      <w:r w:rsidRPr="003D5FDE">
        <w:t>:</w:t>
      </w:r>
    </w:p>
    <w:p w:rsidR="005C444B" w:rsidRDefault="00183B7E" w:rsidP="00172E26">
      <w:pPr>
        <w:pStyle w:val="Bulletpoint"/>
      </w:pPr>
      <w:r>
        <w:t>restricting the entry of person into that or any other market; or</w:t>
      </w:r>
    </w:p>
    <w:p w:rsidR="005C444B" w:rsidRDefault="005C444B" w:rsidP="00172E26">
      <w:pPr>
        <w:pStyle w:val="Bulletpoint"/>
      </w:pPr>
      <w:r>
        <w:t xml:space="preserve">preventing </w:t>
      </w:r>
      <w:r w:rsidR="00183B7E">
        <w:t>or deterring a person from engaging in competitive conduct in that or any other market; or</w:t>
      </w:r>
    </w:p>
    <w:p w:rsidR="005C444B" w:rsidRDefault="00183B7E" w:rsidP="00172E26">
      <w:pPr>
        <w:pStyle w:val="Bulletpoint"/>
      </w:pPr>
      <w:proofErr w:type="gramStart"/>
      <w:r>
        <w:t>eliminating</w:t>
      </w:r>
      <w:proofErr w:type="gramEnd"/>
      <w:r>
        <w:t xml:space="preserve"> a person from that or any other market</w:t>
      </w:r>
      <w:r w:rsidR="005C444B">
        <w:t>.</w:t>
      </w:r>
    </w:p>
    <w:p w:rsidR="00911D67" w:rsidRPr="003D5FDE" w:rsidRDefault="00975429" w:rsidP="00172E26">
      <w:r>
        <w:t>The ACCC considers that t</w:t>
      </w:r>
      <w:r w:rsidR="00911D67" w:rsidRPr="003D5FDE">
        <w:t>here are two issues that</w:t>
      </w:r>
      <w:r w:rsidR="00911D67">
        <w:t xml:space="preserve"> limit the efficacy of section </w:t>
      </w:r>
      <w:r>
        <w:t>4</w:t>
      </w:r>
      <w:r w:rsidR="00911D67" w:rsidRPr="003D5FDE">
        <w:t xml:space="preserve">6 </w:t>
      </w:r>
      <w:r>
        <w:t xml:space="preserve">of the CCA </w:t>
      </w:r>
      <w:r w:rsidR="00911D67">
        <w:t>and</w:t>
      </w:r>
      <w:r w:rsidR="00911D67" w:rsidRPr="003D5FDE">
        <w:t xml:space="preserve"> mean that anti-competitive conduct by a firm with market power may not be caught:</w:t>
      </w:r>
    </w:p>
    <w:p w:rsidR="00911D67" w:rsidRPr="003D5FDE" w:rsidRDefault="00911D67" w:rsidP="00172E26">
      <w:pPr>
        <w:pStyle w:val="Bulletpoint"/>
      </w:pPr>
      <w:r w:rsidRPr="003D5FDE">
        <w:lastRenderedPageBreak/>
        <w:t xml:space="preserve">First, the interpretation of the </w:t>
      </w:r>
      <w:r>
        <w:t>‘</w:t>
      </w:r>
      <w:r w:rsidRPr="005B6E2C">
        <w:t>take advantage</w:t>
      </w:r>
      <w:r>
        <w:t>’</w:t>
      </w:r>
      <w:r w:rsidRPr="003D5FDE">
        <w:t xml:space="preserve"> element adopted by the Court. There has been an increased reliance in recent years by Courts on this element, by limiting it to actions that only businesses with that substantial </w:t>
      </w:r>
      <w:r>
        <w:t xml:space="preserve">market </w:t>
      </w:r>
      <w:r w:rsidRPr="003D5FDE">
        <w:t xml:space="preserve">power </w:t>
      </w:r>
      <w:r w:rsidRPr="005B6E2C">
        <w:t>could</w:t>
      </w:r>
      <w:r w:rsidRPr="003D5FDE">
        <w:t xml:space="preserve"> take.</w:t>
      </w:r>
    </w:p>
    <w:p w:rsidR="00911D67" w:rsidRPr="003D5FDE" w:rsidRDefault="00911D67" w:rsidP="00172E26">
      <w:pPr>
        <w:pStyle w:val="Bulletpoint"/>
      </w:pPr>
      <w:r w:rsidRPr="003D5FDE">
        <w:t xml:space="preserve">Second, </w:t>
      </w:r>
      <w:r>
        <w:t xml:space="preserve">the </w:t>
      </w:r>
      <w:r w:rsidRPr="003D5FDE">
        <w:t>structure</w:t>
      </w:r>
      <w:r w:rsidR="00975429">
        <w:t xml:space="preserve"> of section 4</w:t>
      </w:r>
      <w:r>
        <w:t>6</w:t>
      </w:r>
      <w:r w:rsidRPr="003D5FDE">
        <w:t xml:space="preserve"> is materially different to, and inconsistent with, the other competition provisions of the C</w:t>
      </w:r>
      <w:r w:rsidR="00975429">
        <w:t>C</w:t>
      </w:r>
      <w:r w:rsidRPr="003D5FDE">
        <w:t>A that utilise a</w:t>
      </w:r>
      <w:r>
        <w:t>n</w:t>
      </w:r>
      <w:r w:rsidRPr="003D5FDE">
        <w:t xml:space="preserve"> SLC test. Section </w:t>
      </w:r>
      <w:r w:rsidR="00975429">
        <w:t>4</w:t>
      </w:r>
      <w:r w:rsidRPr="003D5FDE">
        <w:t xml:space="preserve">6 focusses on particular proscribed purposes which relate to harming individual competitors, rather than harming competition. This is at odds with usual competition principles because competition often involves harm to competitors. A move to </w:t>
      </w:r>
      <w:r>
        <w:t>an SLC</w:t>
      </w:r>
      <w:r w:rsidRPr="003D5FDE">
        <w:t xml:space="preserve"> test would provide more certainty and clarity, as well as harmonisation with other provisions in the C</w:t>
      </w:r>
      <w:r w:rsidR="00975429">
        <w:t>C</w:t>
      </w:r>
      <w:r w:rsidRPr="003D5FDE">
        <w:t>A and increased consistency with most comparable overseas jurisdictions.</w:t>
      </w:r>
    </w:p>
    <w:p w:rsidR="00A06924" w:rsidRDefault="00A06924" w:rsidP="00172E26">
      <w:r>
        <w:t>These issues are discussed in more detail below.</w:t>
      </w:r>
    </w:p>
    <w:p w:rsidR="00A06924" w:rsidRPr="008D1EB7" w:rsidRDefault="004F508E" w:rsidP="00172E26">
      <w:pPr>
        <w:pStyle w:val="Heading2"/>
      </w:pPr>
      <w:r>
        <w:t>Take advantage</w:t>
      </w:r>
    </w:p>
    <w:p w:rsidR="009F46AD" w:rsidRDefault="009F46AD" w:rsidP="00172E26">
      <w:pPr>
        <w:rPr>
          <w:rFonts w:cs="Arial"/>
        </w:rPr>
      </w:pPr>
      <w:r>
        <w:rPr>
          <w:rFonts w:cs="Arial"/>
        </w:rPr>
        <w:t>The Australian and New Zealand provisions both</w:t>
      </w:r>
      <w:r w:rsidR="00911D67" w:rsidRPr="003D5FDE">
        <w:rPr>
          <w:rFonts w:cs="Arial"/>
        </w:rPr>
        <w:t xml:space="preserve"> prohibit a firm with substantial market power </w:t>
      </w:r>
      <w:r>
        <w:rPr>
          <w:rFonts w:cs="Arial"/>
        </w:rPr>
        <w:t xml:space="preserve">from </w:t>
      </w:r>
      <w:r w:rsidR="00911D67" w:rsidRPr="004D49BD">
        <w:rPr>
          <w:rFonts w:cs="Arial"/>
        </w:rPr>
        <w:t>‘taking advantage’</w:t>
      </w:r>
      <w:r w:rsidR="00911D67" w:rsidRPr="003D5FDE">
        <w:rPr>
          <w:rFonts w:cs="Arial"/>
        </w:rPr>
        <w:t xml:space="preserve"> of that power for the </w:t>
      </w:r>
      <w:r>
        <w:rPr>
          <w:rFonts w:cs="Arial"/>
        </w:rPr>
        <w:t xml:space="preserve">specific anti-competitive </w:t>
      </w:r>
      <w:r w:rsidR="00911D67" w:rsidRPr="003D5FDE">
        <w:rPr>
          <w:rFonts w:cs="Arial"/>
        </w:rPr>
        <w:t>purpose</w:t>
      </w:r>
      <w:r>
        <w:rPr>
          <w:rFonts w:cs="Arial"/>
        </w:rPr>
        <w:t>s which relate to</w:t>
      </w:r>
      <w:r w:rsidR="00911D67" w:rsidRPr="003D5FDE">
        <w:rPr>
          <w:rFonts w:cs="Arial"/>
        </w:rPr>
        <w:t xml:space="preserve"> harming actual or potential rivals or otherwise limiting competitive conduct</w:t>
      </w:r>
      <w:r>
        <w:rPr>
          <w:rFonts w:cs="Arial"/>
        </w:rPr>
        <w:t xml:space="preserve"> by those rivals</w:t>
      </w:r>
      <w:r w:rsidR="002C1365">
        <w:rPr>
          <w:rFonts w:cs="Arial"/>
        </w:rPr>
        <w:t>.</w:t>
      </w:r>
    </w:p>
    <w:p w:rsidR="00911D67" w:rsidRPr="003D5FDE" w:rsidRDefault="00911D67" w:rsidP="00172E26">
      <w:pPr>
        <w:rPr>
          <w:rFonts w:cs="Arial"/>
        </w:rPr>
      </w:pPr>
      <w:r>
        <w:rPr>
          <w:rFonts w:cs="Arial"/>
        </w:rPr>
        <w:t>However, th</w:t>
      </w:r>
      <w:r w:rsidR="009F46AD">
        <w:rPr>
          <w:rFonts w:cs="Arial"/>
        </w:rPr>
        <w:t xml:space="preserve">at </w:t>
      </w:r>
      <w:r>
        <w:rPr>
          <w:rFonts w:cs="Arial"/>
        </w:rPr>
        <w:t xml:space="preserve">is </w:t>
      </w:r>
      <w:r w:rsidR="009F46AD">
        <w:rPr>
          <w:rFonts w:cs="Arial"/>
        </w:rPr>
        <w:t xml:space="preserve">exactly </w:t>
      </w:r>
      <w:r>
        <w:rPr>
          <w:rFonts w:cs="Arial"/>
        </w:rPr>
        <w:t xml:space="preserve">what occurs in well-functioning competitive markets. Firms engage in </w:t>
      </w:r>
      <w:proofErr w:type="spellStart"/>
      <w:r>
        <w:rPr>
          <w:rFonts w:cs="Arial"/>
        </w:rPr>
        <w:t>rivalrous</w:t>
      </w:r>
      <w:proofErr w:type="spellEnd"/>
      <w:r>
        <w:rPr>
          <w:rFonts w:cs="Arial"/>
        </w:rPr>
        <w:t xml:space="preserve"> conduct (such as price discounting, innovation, </w:t>
      </w:r>
      <w:proofErr w:type="gramStart"/>
      <w:r>
        <w:rPr>
          <w:rFonts w:cs="Arial"/>
        </w:rPr>
        <w:t>enhanced</w:t>
      </w:r>
      <w:proofErr w:type="gramEnd"/>
      <w:r>
        <w:rPr>
          <w:rFonts w:cs="Arial"/>
        </w:rPr>
        <w:t xml:space="preserve"> service delivery) with the purpose of winning customers </w:t>
      </w:r>
      <w:r w:rsidRPr="003D5FDE">
        <w:rPr>
          <w:rFonts w:cs="Arial"/>
        </w:rPr>
        <w:t xml:space="preserve">at the expense of </w:t>
      </w:r>
      <w:r>
        <w:rPr>
          <w:rFonts w:cs="Arial"/>
        </w:rPr>
        <w:t xml:space="preserve">their </w:t>
      </w:r>
      <w:r w:rsidRPr="003D5FDE">
        <w:rPr>
          <w:rFonts w:cs="Arial"/>
        </w:rPr>
        <w:t>rivals</w:t>
      </w:r>
      <w:r>
        <w:rPr>
          <w:rFonts w:cs="Arial"/>
        </w:rPr>
        <w:t>. Given this</w:t>
      </w:r>
      <w:r w:rsidR="009F46AD">
        <w:rPr>
          <w:rFonts w:cs="Arial"/>
        </w:rPr>
        <w:t>,</w:t>
      </w:r>
      <w:r>
        <w:rPr>
          <w:rFonts w:cs="Arial"/>
        </w:rPr>
        <w:t xml:space="preserve"> it has been necessary for </w:t>
      </w:r>
      <w:r w:rsidRPr="004D49BD">
        <w:rPr>
          <w:rFonts w:cs="Arial"/>
        </w:rPr>
        <w:t>‘take advantage’</w:t>
      </w:r>
      <w:r w:rsidRPr="003D5FDE">
        <w:rPr>
          <w:rFonts w:cs="Arial"/>
        </w:rPr>
        <w:t xml:space="preserve"> </w:t>
      </w:r>
      <w:r>
        <w:rPr>
          <w:rFonts w:cs="Arial"/>
        </w:rPr>
        <w:t xml:space="preserve">to do the ‘heavy-lifting’ in </w:t>
      </w:r>
      <w:r w:rsidRPr="003D5FDE">
        <w:rPr>
          <w:rFonts w:cs="Arial"/>
        </w:rPr>
        <w:t>filter</w:t>
      </w:r>
      <w:r>
        <w:rPr>
          <w:rFonts w:cs="Arial"/>
        </w:rPr>
        <w:t>ing</w:t>
      </w:r>
      <w:r w:rsidRPr="003D5FDE">
        <w:rPr>
          <w:rFonts w:cs="Arial"/>
        </w:rPr>
        <w:t xml:space="preserve"> pro-competitive </w:t>
      </w:r>
      <w:r w:rsidR="009F46AD">
        <w:rPr>
          <w:rFonts w:cs="Arial"/>
        </w:rPr>
        <w:t>or</w:t>
      </w:r>
      <w:r w:rsidRPr="003D5FDE">
        <w:rPr>
          <w:rFonts w:cs="Arial"/>
        </w:rPr>
        <w:t xml:space="preserve"> benign conduct </w:t>
      </w:r>
      <w:r w:rsidR="009F46AD">
        <w:rPr>
          <w:rFonts w:cs="Arial"/>
        </w:rPr>
        <w:t xml:space="preserve">so that the prohibition applied only to </w:t>
      </w:r>
      <w:r w:rsidRPr="003D5FDE">
        <w:rPr>
          <w:rFonts w:cs="Arial"/>
        </w:rPr>
        <w:t xml:space="preserve">anti-competitive </w:t>
      </w:r>
      <w:proofErr w:type="gramStart"/>
      <w:r w:rsidRPr="003D5FDE">
        <w:rPr>
          <w:rFonts w:cs="Arial"/>
        </w:rPr>
        <w:t>conduct.</w:t>
      </w:r>
      <w:proofErr w:type="gramEnd"/>
    </w:p>
    <w:p w:rsidR="00590405" w:rsidRDefault="007272D6" w:rsidP="00172E26">
      <w:r>
        <w:t>However, t</w:t>
      </w:r>
      <w:r w:rsidR="00A06924">
        <w:t xml:space="preserve">he </w:t>
      </w:r>
      <w:r w:rsidR="009F46AD">
        <w:t>c</w:t>
      </w:r>
      <w:r w:rsidR="00A06924">
        <w:t xml:space="preserve">ourts </w:t>
      </w:r>
      <w:r w:rsidR="009F46AD">
        <w:t xml:space="preserve">in both countries </w:t>
      </w:r>
      <w:r w:rsidR="00A06924">
        <w:t xml:space="preserve">have adopted an approach to the interpretation of </w:t>
      </w:r>
      <w:r w:rsidR="00911D67" w:rsidRPr="00911D67">
        <w:t>‘take advantage’</w:t>
      </w:r>
      <w:r w:rsidR="00911D67">
        <w:rPr>
          <w:i/>
        </w:rPr>
        <w:t xml:space="preserve"> </w:t>
      </w:r>
      <w:r w:rsidR="00A06924">
        <w:t xml:space="preserve">of market power that has resulted in </w:t>
      </w:r>
      <w:r w:rsidR="009F46AD">
        <w:t xml:space="preserve">the misuse of market power provisions </w:t>
      </w:r>
      <w:r w:rsidR="00A06924">
        <w:t>having limited capacity to address serious anti-competitive conduct</w:t>
      </w:r>
      <w:r w:rsidR="00EE0622">
        <w:t xml:space="preserve">. </w:t>
      </w:r>
      <w:r w:rsidR="009F46AD">
        <w:t>As in Australia, t</w:t>
      </w:r>
      <w:r w:rsidR="00975429">
        <w:t>he ACCC understands that</w:t>
      </w:r>
      <w:r w:rsidR="00001AC6">
        <w:t xml:space="preserve"> </w:t>
      </w:r>
      <w:r w:rsidR="00975429">
        <w:t>i</w:t>
      </w:r>
      <w:r w:rsidR="00B55D1B">
        <w:t xml:space="preserve">n seeking to distinguish between conduct driven by pro-competitive economic efficiency </w:t>
      </w:r>
      <w:r w:rsidR="005065B7">
        <w:t>and anti-competitive conduct</w:t>
      </w:r>
      <w:r w:rsidR="009F46AD">
        <w:t>,</w:t>
      </w:r>
      <w:r w:rsidR="005065B7">
        <w:t xml:space="preserve"> </w:t>
      </w:r>
      <w:r w:rsidR="00975429">
        <w:t xml:space="preserve">New Zealand </w:t>
      </w:r>
      <w:r w:rsidR="005065B7">
        <w:t>Courts have undertaken complex counterfactual analyses.</w:t>
      </w:r>
    </w:p>
    <w:p w:rsidR="00A06924" w:rsidRDefault="004F508E" w:rsidP="00172E26">
      <w:r>
        <w:t>This counterfactual test</w:t>
      </w:r>
      <w:r w:rsidR="00155E9E">
        <w:rPr>
          <w:rStyle w:val="FootnoteReference"/>
        </w:rPr>
        <w:footnoteReference w:id="3"/>
      </w:r>
      <w:r>
        <w:t xml:space="preserve"> </w:t>
      </w:r>
      <w:r w:rsidR="00A06924">
        <w:t xml:space="preserve">has meant that to defeat an allegation of </w:t>
      </w:r>
      <w:r w:rsidR="009F46AD">
        <w:t>misuse of market power</w:t>
      </w:r>
      <w:r w:rsidR="00A06924">
        <w:t xml:space="preserve">, a business with substantial market power need only show that the </w:t>
      </w:r>
      <w:r w:rsidR="009F46AD">
        <w:t xml:space="preserve">allegedly </w:t>
      </w:r>
      <w:r w:rsidR="00A06924">
        <w:t xml:space="preserve">anti-competitive conduct it has engaged in is something a small firm could also engage in, despite the very different harm it may cause to the economy and consumers. This </w:t>
      </w:r>
      <w:r w:rsidR="009F46AD">
        <w:t xml:space="preserve">leads to a </w:t>
      </w:r>
      <w:r w:rsidR="00A06924">
        <w:t>consideration of whether a hypothetical firm facing hypothetical competition could engage in similar conduct, rather than an analysis of the actual conduct engaged in by the actual firm, with substantial market power, in the actual market.</w:t>
      </w:r>
      <w:r w:rsidR="001E6F15">
        <w:rPr>
          <w:rStyle w:val="FootnoteReference"/>
        </w:rPr>
        <w:footnoteReference w:id="4"/>
      </w:r>
    </w:p>
    <w:p w:rsidR="00A06924" w:rsidRPr="0041652F" w:rsidRDefault="008331B4" w:rsidP="00172E26">
      <w:pPr>
        <w:pStyle w:val="Heading2"/>
      </w:pPr>
      <w:r>
        <w:t>Purpose or effect or likely effect of SLC</w:t>
      </w:r>
    </w:p>
    <w:p w:rsidR="00155E9E" w:rsidRDefault="009F46AD" w:rsidP="00172E26">
      <w:r>
        <w:t>Like section 46, s</w:t>
      </w:r>
      <w:r w:rsidR="00155E9E">
        <w:t>ection 36 does not address unilateral conduct by a firm with substantial market power when that firm has the purpose, or the conduct has the effect or likely effect of substantially lessening competition</w:t>
      </w:r>
      <w:r w:rsidR="00EE0622">
        <w:t xml:space="preserve">. </w:t>
      </w:r>
      <w:r>
        <w:t>Instead i</w:t>
      </w:r>
      <w:r w:rsidR="00155E9E">
        <w:t xml:space="preserve">t addresses conduct </w:t>
      </w:r>
      <w:r w:rsidR="00DF1085">
        <w:t>undertaken for</w:t>
      </w:r>
      <w:r w:rsidR="00155E9E">
        <w:t xml:space="preserve"> one or more proscribed purposes</w:t>
      </w:r>
      <w:r w:rsidR="00156FD4">
        <w:t xml:space="preserve"> relating to individual competitors</w:t>
      </w:r>
      <w:r w:rsidR="00155E9E">
        <w:t>.</w:t>
      </w:r>
    </w:p>
    <w:p w:rsidR="00155E9E" w:rsidRDefault="00155E9E" w:rsidP="00172E26">
      <w:r>
        <w:t xml:space="preserve">The proscribed purpose requirement in Australia’s section 46 has </w:t>
      </w:r>
      <w:r w:rsidR="00156FD4">
        <w:t xml:space="preserve">had </w:t>
      </w:r>
      <w:r>
        <w:t xml:space="preserve">a material impact on the ACCC’s ability to deal with anti-competitive unilateral conduct, especially at the investigative stage. The ACCC has discontinued a number of investigations into serious allegations of conduct that was likely to have had an anti-competitive effect because </w:t>
      </w:r>
      <w:r w:rsidR="00156FD4">
        <w:t xml:space="preserve">the </w:t>
      </w:r>
      <w:r w:rsidR="00156FD4">
        <w:lastRenderedPageBreak/>
        <w:t xml:space="preserve">ACCC considered </w:t>
      </w:r>
      <w:r>
        <w:t xml:space="preserve">it was unlikely </w:t>
      </w:r>
      <w:r w:rsidR="00156FD4">
        <w:t xml:space="preserve">to have </w:t>
      </w:r>
      <w:r>
        <w:t>been able to establish that the conduct had been engag</w:t>
      </w:r>
      <w:r w:rsidR="002C1365">
        <w:t>ed in for a proscribed purpose.</w:t>
      </w:r>
    </w:p>
    <w:p w:rsidR="00155E9E" w:rsidRPr="001000C2" w:rsidRDefault="00796E8D" w:rsidP="00172E26">
      <w:r>
        <w:t xml:space="preserve">The Issues Paper seeks views on the potential addition of an effects test into section 36 of the CA. </w:t>
      </w:r>
      <w:r w:rsidR="00156FD4">
        <w:t>C</w:t>
      </w:r>
      <w:r w:rsidR="00155E9E" w:rsidRPr="001000C2">
        <w:t xml:space="preserve">ritics of the reframing </w:t>
      </w:r>
      <w:r w:rsidR="00155E9E">
        <w:t xml:space="preserve">of Australia’s </w:t>
      </w:r>
      <w:r w:rsidR="00155E9E" w:rsidRPr="001000C2">
        <w:t xml:space="preserve">section 46 </w:t>
      </w:r>
      <w:r w:rsidR="00155E9E">
        <w:t xml:space="preserve">to </w:t>
      </w:r>
      <w:r w:rsidR="00155E9E" w:rsidRPr="001000C2">
        <w:t xml:space="preserve">include </w:t>
      </w:r>
      <w:r w:rsidR="00155E9E">
        <w:t>an SLC</w:t>
      </w:r>
      <w:r w:rsidR="00155E9E" w:rsidRPr="001000C2">
        <w:t xml:space="preserve"> test </w:t>
      </w:r>
      <w:r w:rsidR="00155E9E">
        <w:t xml:space="preserve">argue that doing so </w:t>
      </w:r>
      <w:r w:rsidR="00155E9E" w:rsidRPr="001000C2">
        <w:t>would constrain big business from legitimate competition, reduce productivity, chill investment and lead to hig</w:t>
      </w:r>
      <w:r w:rsidR="00155E9E">
        <w:t xml:space="preserve">her prices. If New Zealand were to </w:t>
      </w:r>
      <w:r w:rsidR="000F4654">
        <w:t>further</w:t>
      </w:r>
      <w:r w:rsidR="00155E9E">
        <w:t xml:space="preserve"> consider amendments to section 3</w:t>
      </w:r>
      <w:r>
        <w:t>6, the ACCC expects that similar arguments will be made. The</w:t>
      </w:r>
      <w:r w:rsidR="00156FD4">
        <w:t xml:space="preserve"> ACCC’s view is that these concerns are unfounded</w:t>
      </w:r>
      <w:r w:rsidR="00155E9E">
        <w:t>. An</w:t>
      </w:r>
      <w:r w:rsidR="00155E9E" w:rsidRPr="001000C2">
        <w:t xml:space="preserve"> SLC test would protect legitimate competition and only target anti</w:t>
      </w:r>
      <w:r w:rsidR="00155E9E">
        <w:t>-</w:t>
      </w:r>
      <w:r w:rsidR="00155E9E" w:rsidRPr="001000C2">
        <w:t xml:space="preserve">competitive conduct. Conduct that enhances competition, by definition, will not </w:t>
      </w:r>
      <w:r w:rsidR="00155E9E">
        <w:t>substantially lessen competition</w:t>
      </w:r>
      <w:r w:rsidR="00155E9E" w:rsidRPr="001000C2">
        <w:t xml:space="preserve"> and will not be captured. </w:t>
      </w:r>
    </w:p>
    <w:p w:rsidR="00155E9E" w:rsidRDefault="00155E9E" w:rsidP="00172E26">
      <w:r w:rsidRPr="001000C2">
        <w:t xml:space="preserve">Suggestions that </w:t>
      </w:r>
      <w:r>
        <w:t>an SLC</w:t>
      </w:r>
      <w:r w:rsidRPr="001000C2">
        <w:t xml:space="preserve"> test w</w:t>
      </w:r>
      <w:r>
        <w:t>ould</w:t>
      </w:r>
      <w:r w:rsidRPr="001000C2">
        <w:t xml:space="preserve"> lead to regulation of a large number of players or prevent widespread conduct that is procompetitive demonstrate a fundamental misunderstanding of the substantial market power element and misconstrue the operation of a</w:t>
      </w:r>
      <w:r>
        <w:t>n</w:t>
      </w:r>
      <w:r w:rsidR="00FC17BA">
        <w:t xml:space="preserve"> SLC test. </w:t>
      </w:r>
      <w:r w:rsidR="00156FD4">
        <w:t xml:space="preserve">An amended section with an SLC test </w:t>
      </w:r>
      <w:r w:rsidRPr="001000C2">
        <w:t>would continue to apply only to those firms that possess substantial market power within a market.</w:t>
      </w:r>
      <w:r w:rsidR="00796E8D">
        <w:rPr>
          <w:rStyle w:val="FootnoteReference"/>
        </w:rPr>
        <w:footnoteReference w:id="5"/>
      </w:r>
      <w:r w:rsidRPr="001000C2">
        <w:t xml:space="preserve"> This is</w:t>
      </w:r>
      <w:r>
        <w:t xml:space="preserve"> a filter which restricts the </w:t>
      </w:r>
      <w:r w:rsidR="00156FD4">
        <w:t>application of the prohibition</w:t>
      </w:r>
      <w:r w:rsidRPr="001000C2">
        <w:t xml:space="preserve"> </w:t>
      </w:r>
      <w:r>
        <w:t>to</w:t>
      </w:r>
      <w:r w:rsidRPr="001000C2">
        <w:t xml:space="preserve"> a very small number of businesses. The provision would not apply to conduct that is merely fierce competition; under </w:t>
      </w:r>
      <w:r>
        <w:t>an SLC</w:t>
      </w:r>
      <w:r w:rsidRPr="001000C2">
        <w:t xml:space="preserve"> test, to damage competitors, even to the extent of competitors being forced out of business, is not in itself </w:t>
      </w:r>
      <w:r>
        <w:t>a basis to establish</w:t>
      </w:r>
      <w:r w:rsidRPr="001000C2">
        <w:t xml:space="preserve"> a </w:t>
      </w:r>
      <w:r>
        <w:t>“</w:t>
      </w:r>
      <w:r w:rsidRPr="001000C2">
        <w:t>lessening of competition</w:t>
      </w:r>
      <w:r>
        <w:t>”</w:t>
      </w:r>
      <w:r w:rsidRPr="001000C2">
        <w:t xml:space="preserve">. The SLC </w:t>
      </w:r>
      <w:r>
        <w:t>element</w:t>
      </w:r>
      <w:r w:rsidRPr="001000C2">
        <w:t xml:space="preserve"> seeks to protect the competitive process. </w:t>
      </w:r>
      <w:r>
        <w:t>The SLC test targets conduct that prevents or impedes firms from competing on their merits.</w:t>
      </w:r>
    </w:p>
    <w:p w:rsidR="00155E9E" w:rsidRDefault="00156FD4" w:rsidP="00172E26">
      <w:r>
        <w:t>Further, i</w:t>
      </w:r>
      <w:r w:rsidR="00FC17BA">
        <w:t>f section 3</w:t>
      </w:r>
      <w:r w:rsidR="00155E9E">
        <w:t>6 were to be amended to remove the ‘take advantage’ limb and include a purpose or effect SLC test,</w:t>
      </w:r>
      <w:r w:rsidR="00155E9E" w:rsidRPr="009E38BE">
        <w:t xml:space="preserve"> a</w:t>
      </w:r>
      <w:r w:rsidR="00FC17BA">
        <w:t xml:space="preserve"> breach of the revised section 3</w:t>
      </w:r>
      <w:r w:rsidR="00155E9E" w:rsidRPr="009E38BE">
        <w:t>6 will continue to require a significant evidentiary burden. The court would need to be satisfied that a corporation that has a substantial degree of power in a market had engaged in conduct that had</w:t>
      </w:r>
      <w:r w:rsidR="00155E9E">
        <w:t xml:space="preserve"> the purpose</w:t>
      </w:r>
      <w:r w:rsidR="00155E9E" w:rsidRPr="009E38BE">
        <w:t xml:space="preserve"> or</w:t>
      </w:r>
      <w:r w:rsidR="00155E9E">
        <w:t xml:space="preserve"> effect or</w:t>
      </w:r>
      <w:r w:rsidR="00155E9E" w:rsidRPr="009E38BE">
        <w:t xml:space="preserve"> was likely to </w:t>
      </w:r>
      <w:r w:rsidR="00155E9E" w:rsidRPr="00943380">
        <w:t xml:space="preserve">have </w:t>
      </w:r>
      <w:r w:rsidR="00155E9E">
        <w:t xml:space="preserve">the </w:t>
      </w:r>
      <w:r w:rsidR="00155E9E" w:rsidRPr="00943380">
        <w:t xml:space="preserve">effect of substantially lessening competition in that or any other market. </w:t>
      </w:r>
    </w:p>
    <w:p w:rsidR="000F4654" w:rsidRDefault="000F4654" w:rsidP="00172E26">
      <w:pPr>
        <w:rPr>
          <w:i/>
        </w:rPr>
      </w:pPr>
      <w:r>
        <w:t>Adopting a “purpose or effect or likely effect of SLC test” for section 36 and removing the specific proscribed purposes that focus on harm to competitors and potential competitors rather than the process of competition would bring section 36 into line with the other competition provisions of the CA.</w:t>
      </w:r>
    </w:p>
    <w:p w:rsidR="000F4654" w:rsidRDefault="000F4654" w:rsidP="00172E26">
      <w:r w:rsidRPr="001000C2">
        <w:t xml:space="preserve">The use of </w:t>
      </w:r>
      <w:r w:rsidR="00796E8D">
        <w:t>a</w:t>
      </w:r>
      <w:r>
        <w:t xml:space="preserve"> SLC </w:t>
      </w:r>
      <w:r w:rsidRPr="001000C2">
        <w:t>test in</w:t>
      </w:r>
      <w:r w:rsidR="00156FD4">
        <w:t>to the market power provisions on either or both Australia and New Zealand</w:t>
      </w:r>
      <w:r>
        <w:t xml:space="preserve"> is unlikely to </w:t>
      </w:r>
      <w:r w:rsidRPr="001000C2">
        <w:t xml:space="preserve">require a significant change in the way in which businesses assess whether their conduct is likely to breach </w:t>
      </w:r>
      <w:r w:rsidR="00156FD4">
        <w:t xml:space="preserve">these </w:t>
      </w:r>
      <w:r w:rsidRPr="001000C2">
        <w:t>competition law</w:t>
      </w:r>
      <w:r w:rsidR="00156FD4">
        <w:t>s</w:t>
      </w:r>
      <w:r w:rsidRPr="001000C2">
        <w:t>. It is also a test that is familiar to businesses operating in international markets.</w:t>
      </w:r>
    </w:p>
    <w:p w:rsidR="00980F43" w:rsidRPr="0082031E" w:rsidRDefault="00980F43" w:rsidP="00172E26">
      <w:pPr>
        <w:pStyle w:val="Heading1"/>
      </w:pPr>
      <w:r w:rsidRPr="00A674AE">
        <w:t>Conclus</w:t>
      </w:r>
      <w:r w:rsidRPr="0082031E">
        <w:t>ion</w:t>
      </w:r>
    </w:p>
    <w:p w:rsidR="00FC17BA" w:rsidRDefault="00FC17BA" w:rsidP="00172E26">
      <w:r>
        <w:t>The ACCC</w:t>
      </w:r>
      <w:r w:rsidR="00156FD4">
        <w:t xml:space="preserve">’s experience is </w:t>
      </w:r>
      <w:r>
        <w:t xml:space="preserve">that the existing section </w:t>
      </w:r>
      <w:r w:rsidR="00975429">
        <w:t>4</w:t>
      </w:r>
      <w:r>
        <w:t>6</w:t>
      </w:r>
      <w:r w:rsidR="00975429">
        <w:t xml:space="preserve"> of the CCA</w:t>
      </w:r>
      <w:r>
        <w:t xml:space="preserve"> is flawed because it focusses on harm to competitors rather than to competition, and the ‘take advantage’ limb is an inappropriate and illogical filter to distinguish between pro and anti-competitive conduct. The ‘take advantage’ limb ignores the very different consequences of conduct by a firm with market power and similar conduct </w:t>
      </w:r>
      <w:r w:rsidR="002C1365">
        <w:t>by a firm without market power.</w:t>
      </w:r>
    </w:p>
    <w:p w:rsidR="00FC17BA" w:rsidRDefault="00975429" w:rsidP="00172E26">
      <w:r>
        <w:t>Given the similarities between section 46 of the CCA and section 36 of the CA</w:t>
      </w:r>
      <w:r w:rsidR="00796E8D">
        <w:t>,</w:t>
      </w:r>
      <w:r>
        <w:t xml:space="preserve"> </w:t>
      </w:r>
      <w:r w:rsidR="000D65F8">
        <w:t xml:space="preserve">the </w:t>
      </w:r>
      <w:r w:rsidR="00FC17BA">
        <w:t xml:space="preserve">ACCC </w:t>
      </w:r>
      <w:r w:rsidR="00156FD4">
        <w:t xml:space="preserve">anticipates that </w:t>
      </w:r>
      <w:r w:rsidR="00FC17BA">
        <w:t xml:space="preserve">the </w:t>
      </w:r>
      <w:r w:rsidR="00156FD4">
        <w:t xml:space="preserve">removal </w:t>
      </w:r>
      <w:r w:rsidR="00FC17BA">
        <w:t xml:space="preserve">of the ‘take advantage’ and current </w:t>
      </w:r>
      <w:r w:rsidR="00156FD4">
        <w:t xml:space="preserve">proscribed </w:t>
      </w:r>
      <w:r w:rsidR="00FC17BA">
        <w:t>purpose elements, and the substitution of the SLC test</w:t>
      </w:r>
      <w:r w:rsidR="000D65F8">
        <w:t xml:space="preserve"> would improve the efficacy of section 36 of the CA.</w:t>
      </w:r>
    </w:p>
    <w:p w:rsidR="00156FD4" w:rsidRPr="002C1365" w:rsidRDefault="00156FD4" w:rsidP="00172E26">
      <w:pPr>
        <w:rPr>
          <w:rFonts w:cs="Arial"/>
        </w:rPr>
      </w:pPr>
      <w:r>
        <w:lastRenderedPageBreak/>
        <w:t xml:space="preserve">Finally, we note that any changes to the Australian or New Zealand misuse of market power provisions will also require consequential amendment of </w:t>
      </w:r>
      <w:r>
        <w:rPr>
          <w:rFonts w:cs="Arial"/>
        </w:rPr>
        <w:t>s</w:t>
      </w:r>
      <w:r w:rsidRPr="00557A50">
        <w:rPr>
          <w:rFonts w:cs="Arial"/>
        </w:rPr>
        <w:t>ection</w:t>
      </w:r>
      <w:r>
        <w:rPr>
          <w:rFonts w:cs="Arial"/>
        </w:rPr>
        <w:t xml:space="preserve"> 36A of the </w:t>
      </w:r>
      <w:r w:rsidRPr="00557A50">
        <w:rPr>
          <w:rFonts w:cs="Arial"/>
        </w:rPr>
        <w:t>CA</w:t>
      </w:r>
      <w:r>
        <w:rPr>
          <w:rFonts w:cs="Arial"/>
        </w:rPr>
        <w:t xml:space="preserve"> and/or sections 46A and 46B of the CCA which each apply to conduct in a </w:t>
      </w:r>
      <w:r w:rsidR="002C1365">
        <w:rPr>
          <w:rFonts w:cs="Arial"/>
        </w:rPr>
        <w:t xml:space="preserve">trans-Tasman market</w:t>
      </w:r>
      <w:r>
        <w:rPr>
          <w:rFonts w:cs="Arial"/>
        </w:rPr>
        <w:t xml:space="preserve"> </w:t>
      </w:r>
      <w:r>
        <w:rPr>
          <w:rFonts w:cs="Arial"/>
        </w:rPr>
        <w:t>i</w:t>
      </w:r>
      <w:r>
        <w:rPr>
          <w:rFonts w:cs="Arial"/>
        </w:rPr>
        <w:t xml:space="preserve">n</w:t>
      </w:r>
      <w:r>
        <w:rPr>
          <w:rFonts w:cs="Arial"/>
        </w:rPr>
        <w:t xml:space="preserve"> </w:t>
      </w:r>
      <w:r>
        <w:rPr>
          <w:rFonts w:cs="Arial"/>
        </w:rPr>
        <w:t xml:space="preserve">a</w:t>
      </w:r>
      <w:r>
        <w:rPr>
          <w:rFonts w:cs="Arial"/>
        </w:rPr>
        <w:t xml:space="preserve"> </w:t>
      </w:r>
      <w:r>
        <w:rPr>
          <w:rFonts w:cs="Arial"/>
        </w:rPr>
        <w:t>m</w:t>
      </w:r>
      <w:r>
        <w:rPr>
          <w:rFonts w:cs="Arial"/>
        </w:rPr>
        <w:t>u</w:t>
      </w:r>
      <w:r>
        <w:rPr>
          <w:rFonts w:cs="Arial"/>
        </w:rPr>
        <w:t>t</w:t>
      </w:r>
      <w:r>
        <w:rPr>
          <w:rFonts w:cs="Arial"/>
        </w:rPr>
        <w:t>u</w:t>
      </w:r>
      <w:r>
        <w:rPr>
          <w:rFonts w:cs="Arial"/>
        </w:rPr>
        <w:t>a</w:t>
      </w:r>
      <w:r>
        <w:rPr>
          <w:rFonts w:cs="Arial"/>
        </w:rPr>
        <w:t>l</w:t>
      </w:r>
      <w:r>
        <w:rPr>
          <w:rFonts w:cs="Arial"/>
        </w:rPr>
        <w:t>l</w:t>
      </w:r>
      <w:r>
        <w:rPr>
          <w:rFonts w:cs="Arial"/>
        </w:rPr>
        <w:t xml:space="preserve">y</w:t>
      </w:r>
      <w:r>
        <w:rPr>
          <w:rFonts w:cs="Arial"/>
        </w:rPr>
        <w:t xml:space="preserve"> </w:t>
      </w:r>
      <w:r>
        <w:rPr>
          <w:rFonts w:cs="Arial"/>
        </w:rPr>
        <w:t>e</w:t>
      </w:r>
      <w:r>
        <w:rPr>
          <w:rFonts w:cs="Arial"/>
        </w:rPr>
        <w:t>x</w:t>
      </w:r>
      <w:r>
        <w:rPr>
          <w:rFonts w:cs="Arial"/>
        </w:rPr>
        <w:t>t</w:t>
      </w:r>
      <w:r>
        <w:rPr>
          <w:rFonts w:cs="Arial"/>
        </w:rPr>
        <w:t>r</w:t>
      </w:r>
      <w:r>
        <w:rPr>
          <w:rFonts w:cs="Arial"/>
        </w:rPr>
        <w:t>a</w:t>
      </w:r>
      <w:r>
        <w:rPr>
          <w:rFonts w:cs="Arial"/>
        </w:rPr>
        <w:t>t</w:t>
      </w:r>
      <w:r>
        <w:rPr>
          <w:rFonts w:cs="Arial"/>
        </w:rPr>
        <w:t>e</w:t>
      </w:r>
      <w:r>
        <w:rPr>
          <w:rFonts w:cs="Arial"/>
        </w:rPr>
        <w:t>r</w:t>
      </w:r>
      <w:r>
        <w:rPr>
          <w:rFonts w:cs="Arial"/>
        </w:rPr>
        <w:t>r</w:t>
      </w:r>
      <w:r>
        <w:rPr>
          <w:rFonts w:cs="Arial"/>
        </w:rPr>
        <w:t>i</w:t>
      </w:r>
      <w:r>
        <w:rPr>
          <w:rFonts w:cs="Arial"/>
        </w:rPr>
        <w:t>t</w:t>
      </w:r>
      <w:r>
        <w:rPr>
          <w:rFonts w:cs="Arial"/>
        </w:rPr>
        <w:t>o</w:t>
      </w:r>
      <w:r>
        <w:rPr>
          <w:rFonts w:cs="Arial"/>
        </w:rPr>
        <w:t>r</w:t>
      </w:r>
      <w:r>
        <w:rPr>
          <w:rFonts w:cs="Arial"/>
        </w:rPr>
        <w:t>i</w:t>
      </w:r>
      <w:r>
        <w:rPr>
          <w:rFonts w:cs="Arial"/>
        </w:rPr>
        <w:t>a</w:t>
      </w:r>
      <w:r>
        <w:rPr>
          <w:rFonts w:cs="Arial"/>
        </w:rPr>
        <w:t xml:space="preserve">l</w:t>
      </w:r>
      <w:r>
        <w:rPr>
          <w:rFonts w:cs="Arial"/>
        </w:rPr>
        <w:t xml:space="preserve"> </w:t>
      </w:r>
      <w:r>
        <w:rPr>
          <w:rFonts w:cs="Arial"/>
        </w:rPr>
        <w:t>m</w:t>
      </w:r>
      <w:r>
        <w:rPr>
          <w:rFonts w:cs="Arial"/>
        </w:rPr>
        <w:t>a</w:t>
      </w:r>
      <w:r>
        <w:rPr>
          <w:rFonts w:cs="Arial"/>
        </w:rPr>
        <w:t>n</w:t>
      </w:r>
      <w:r>
        <w:rPr>
          <w:rFonts w:cs="Arial"/>
        </w:rPr>
        <w:t>n</w:t>
      </w:r>
      <w:r>
        <w:rPr>
          <w:rFonts w:cs="Arial"/>
        </w:rPr>
        <w:t>e</w:t>
      </w:r>
      <w:r>
        <w:rPr>
          <w:rFonts w:cs="Arial"/>
        </w:rPr>
        <w:t>r</w:t>
      </w:r>
      <w:r>
        <w:rPr>
          <w:rFonts w:cs="Arial"/>
        </w:rPr>
        <w:t>.</w:t>
      </w:r>
    </w:p>
    <w:sectPr w:rsidR="00156FD4" w:rsidRPr="002C1365" w:rsidSect="003F128D">
      <w:footerReference w:type="default" r:id="rId13"/>
      <w:headerReference w:type="first" r:id="rId14"/>
      <w:footerReference w:type="first" r:id="rId15"/>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24" w:rsidRDefault="00A06924" w:rsidP="004B4412">
      <w:pPr>
        <w:spacing w:before="0"/>
      </w:pPr>
      <w:r>
        <w:separator/>
      </w:r>
    </w:p>
  </w:endnote>
  <w:endnote w:type="continuationSeparator" w:id="0">
    <w:p w:rsidR="00A06924" w:rsidRDefault="00A06924"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04549"/>
      <w:docPartObj>
        <w:docPartGallery w:val="Page Numbers (Bottom of Page)"/>
        <w:docPartUnique/>
      </w:docPartObj>
    </w:sdtPr>
    <w:sdtEndPr>
      <w:rPr>
        <w:noProof/>
      </w:rPr>
    </w:sdtEndPr>
    <w:sdtContent>
      <w:p w:rsidR="003F128D" w:rsidRDefault="003F128D">
        <w:pPr>
          <w:pStyle w:val="Footer"/>
          <w:jc w:val="center"/>
        </w:pPr>
        <w:r>
          <w:fldChar w:fldCharType="begin"/>
        </w:r>
        <w:r>
          <w:instrText xml:space="preserve"> PAGE  \* Arabic  \* MERGEFORMAT </w:instrText>
        </w:r>
        <w:r>
          <w:fldChar w:fldCharType="separate"/>
        </w:r>
        <w:r w:rsidR="00172E26">
          <w:rPr>
            <w:noProof/>
          </w:rPr>
          <w:t>6</w:t>
        </w:r>
        <w:r>
          <w:fldChar w:fldCharType="end"/>
        </w:r>
      </w:p>
    </w:sdtContent>
  </w:sdt>
  <w:p w:rsidR="003F128D" w:rsidRDefault="003F1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16" w:rsidRDefault="00691616">
    <w:pPr>
      <w:pStyle w:val="Footer"/>
    </w:pPr>
  </w:p>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24" w:rsidRDefault="00A06924" w:rsidP="004B4412">
      <w:pPr>
        <w:spacing w:before="0"/>
      </w:pPr>
      <w:r>
        <w:separator/>
      </w:r>
    </w:p>
  </w:footnote>
  <w:footnote w:type="continuationSeparator" w:id="0">
    <w:p w:rsidR="00A06924" w:rsidRDefault="00A06924" w:rsidP="004B4412">
      <w:pPr>
        <w:spacing w:before="0"/>
      </w:pPr>
      <w:r>
        <w:continuationSeparator/>
      </w:r>
    </w:p>
  </w:footnote>
  <w:footnote w:id="1">
    <w:p w:rsidR="00911D67" w:rsidRPr="00C337E3" w:rsidRDefault="00911D67" w:rsidP="00911D67">
      <w:pPr>
        <w:pStyle w:val="FootnoteText"/>
        <w:tabs>
          <w:tab w:val="clear" w:pos="340"/>
          <w:tab w:val="left" w:pos="0"/>
        </w:tabs>
        <w:spacing w:before="0"/>
        <w:ind w:left="0" w:firstLine="0"/>
      </w:pPr>
      <w:r>
        <w:rPr>
          <w:rStyle w:val="FootnoteReference"/>
        </w:rPr>
        <w:footnoteRef/>
      </w:r>
      <w:r>
        <w:t xml:space="preserve"> Stuck, Cross, Douglas Richards, Weber Waller, </w:t>
      </w:r>
      <w:r w:rsidRPr="00C337E3">
        <w:rPr>
          <w:bCs/>
          <w:i/>
        </w:rPr>
        <w:t>Use of Dominance, Unlawful Conduct, and Causation Under</w:t>
      </w:r>
      <w:r>
        <w:rPr>
          <w:bCs/>
          <w:i/>
        </w:rPr>
        <w:t xml:space="preserve"> </w:t>
      </w:r>
      <w:r w:rsidRPr="00C337E3">
        <w:rPr>
          <w:bCs/>
          <w:i/>
        </w:rPr>
        <w:t>Section 36 of the New Zealand Commerce Act:</w:t>
      </w:r>
      <w:r>
        <w:rPr>
          <w:bCs/>
          <w:i/>
        </w:rPr>
        <w:t xml:space="preserve"> </w:t>
      </w:r>
      <w:r w:rsidRPr="00C337E3">
        <w:rPr>
          <w:bCs/>
          <w:i/>
        </w:rPr>
        <w:t>A U.S. Perspective</w:t>
      </w:r>
      <w:r>
        <w:t>,</w:t>
      </w:r>
      <w:r w:rsidRPr="00615BC6">
        <w:t xml:space="preserve"> </w:t>
      </w:r>
      <w:r>
        <w:t>(2012) 18NZBLQ, ‘</w:t>
      </w:r>
      <w:r w:rsidRPr="00A87393">
        <w:t>whether firms with or without market power would have</w:t>
      </w:r>
      <w:r>
        <w:t xml:space="preserve"> </w:t>
      </w:r>
      <w:r w:rsidRPr="00A87393">
        <w:t>engaged in that conduct does not necessarily preclude anticompetitive purpose or effect</w:t>
      </w:r>
      <w:r>
        <w:t xml:space="preserve">’, noting </w:t>
      </w:r>
      <w:r w:rsidRPr="00615BC6">
        <w:t xml:space="preserve">the court in </w:t>
      </w:r>
      <w:proofErr w:type="spellStart"/>
      <w:r w:rsidRPr="00C337E3">
        <w:rPr>
          <w:i/>
        </w:rPr>
        <w:t>Berkey</w:t>
      </w:r>
      <w:proofErr w:type="spellEnd"/>
      <w:r w:rsidRPr="00C337E3">
        <w:rPr>
          <w:i/>
        </w:rPr>
        <w:t xml:space="preserve"> Photo, Inc. v. Eastman Kodak Co</w:t>
      </w:r>
      <w:r w:rsidRPr="00C337E3">
        <w:t xml:space="preserve"> (603 F.2d 263, 275 (2nd Cir. 1979)), ‘</w:t>
      </w:r>
      <w:r w:rsidRPr="00615BC6">
        <w:t>Such conduct is illegal when taken by a monopolist because it tends to destroy</w:t>
      </w:r>
      <w:r>
        <w:t xml:space="preserve"> </w:t>
      </w:r>
      <w:r w:rsidRPr="00615BC6">
        <w:t>competition, although in the hands of a smaller market participant it might be</w:t>
      </w:r>
      <w:r>
        <w:t xml:space="preserve"> </w:t>
      </w:r>
      <w:r w:rsidRPr="00615BC6">
        <w:t xml:space="preserve">considered harmless, or even </w:t>
      </w:r>
      <w:r>
        <w:t>“</w:t>
      </w:r>
      <w:r w:rsidRPr="00615BC6">
        <w:t>honestly industrial</w:t>
      </w:r>
      <w:r>
        <w:t>”.’</w:t>
      </w:r>
    </w:p>
  </w:footnote>
  <w:footnote w:id="2">
    <w:p w:rsidR="00911D67" w:rsidRPr="00CC1E05" w:rsidRDefault="00911D67" w:rsidP="00911D67">
      <w:pPr>
        <w:pStyle w:val="FootnoteText"/>
        <w:spacing w:before="0"/>
      </w:pPr>
      <w:r>
        <w:rPr>
          <w:rStyle w:val="FootnoteReference"/>
        </w:rPr>
        <w:footnoteRef/>
      </w:r>
      <w:r>
        <w:t xml:space="preserve"> Richard A. Posner, ‘Keynote Address: Vertical Restrictions and “Fragile” Monopoly’ (2005) 50(3) </w:t>
      </w:r>
      <w:proofErr w:type="gramStart"/>
      <w:r>
        <w:rPr>
          <w:i/>
        </w:rPr>
        <w:t>The</w:t>
      </w:r>
      <w:proofErr w:type="gramEnd"/>
      <w:r>
        <w:rPr>
          <w:i/>
        </w:rPr>
        <w:t xml:space="preserve"> Antitrust Bulletin </w:t>
      </w:r>
      <w:r>
        <w:t>499.</w:t>
      </w:r>
    </w:p>
  </w:footnote>
  <w:footnote w:id="3">
    <w:p w:rsidR="00155E9E" w:rsidRPr="004F508E" w:rsidRDefault="00155E9E" w:rsidP="00155E9E">
      <w:pPr>
        <w:pStyle w:val="FootnoteText"/>
        <w:spacing w:before="0"/>
      </w:pPr>
      <w:r>
        <w:rPr>
          <w:rStyle w:val="FootnoteReference"/>
        </w:rPr>
        <w:footnoteRef/>
      </w:r>
      <w:r>
        <w:t xml:space="preserve"> </w:t>
      </w:r>
      <w:proofErr w:type="gramStart"/>
      <w:r>
        <w:rPr>
          <w:i/>
        </w:rPr>
        <w:t xml:space="preserve">Commerce Commission v Telecom </w:t>
      </w:r>
      <w:r>
        <w:t>(2008) 12 TCLR 168 at para 55.</w:t>
      </w:r>
      <w:proofErr w:type="gramEnd"/>
    </w:p>
  </w:footnote>
  <w:footnote w:id="4">
    <w:p w:rsidR="001E6F15" w:rsidRDefault="001E6F15" w:rsidP="000D3E69">
      <w:pPr>
        <w:pStyle w:val="FootnoteText"/>
        <w:spacing w:before="0"/>
      </w:pPr>
      <w:r>
        <w:rPr>
          <w:rStyle w:val="FootnoteReference"/>
        </w:rPr>
        <w:footnoteRef/>
      </w:r>
      <w:r>
        <w:t xml:space="preserve"> </w:t>
      </w:r>
      <w:proofErr w:type="gramStart"/>
      <w:r>
        <w:rPr>
          <w:i/>
        </w:rPr>
        <w:t xml:space="preserve">Commerce Commission v Telecom Corporation of New Zealand Ltd </w:t>
      </w:r>
      <w:r>
        <w:t>[2010] 12 TCLR 843 at 856.</w:t>
      </w:r>
      <w:proofErr w:type="gramEnd"/>
    </w:p>
  </w:footnote>
  <w:footnote w:id="5">
    <w:p w:rsidR="00796E8D" w:rsidRDefault="00796E8D">
      <w:pPr>
        <w:pStyle w:val="FootnoteText"/>
      </w:pPr>
      <w:r>
        <w:rPr>
          <w:rStyle w:val="FootnoteReference"/>
        </w:rPr>
        <w:footnoteRef/>
      </w:r>
      <w:r>
        <w:t xml:space="preserve"> The Issues Paper does not raise the prospect of removal of this threshold.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24" w:rsidRDefault="00A06924" w:rsidP="00A069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9E30416"/>
    <w:multiLevelType w:val="hybridMultilevel"/>
    <w:tmpl w:val="E9785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0151F09"/>
    <w:multiLevelType w:val="hybridMultilevel"/>
    <w:tmpl w:val="9070A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ED0A41"/>
    <w:multiLevelType w:val="hybridMultilevel"/>
    <w:tmpl w:val="426A4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272D77"/>
    <w:multiLevelType w:val="hybridMultilevel"/>
    <w:tmpl w:val="CC0A3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nsid w:val="201C7E6D"/>
    <w:multiLevelType w:val="hybridMultilevel"/>
    <w:tmpl w:val="E5E63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2">
    <w:nsid w:val="423E14E7"/>
    <w:multiLevelType w:val="hybridMultilevel"/>
    <w:tmpl w:val="2D86C7A0"/>
    <w:lvl w:ilvl="0" w:tplc="7C8A3B8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443C23"/>
    <w:multiLevelType w:val="hybridMultilevel"/>
    <w:tmpl w:val="B4A4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6">
    <w:nsid w:val="5A012921"/>
    <w:multiLevelType w:val="hybridMultilevel"/>
    <w:tmpl w:val="61AC6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0">
    <w:nsid w:val="6EEA546C"/>
    <w:multiLevelType w:val="hybridMultilevel"/>
    <w:tmpl w:val="2D86C7A0"/>
    <w:lvl w:ilvl="0" w:tplc="7C8A3B8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70345174"/>
    <w:multiLevelType w:val="hybridMultilevel"/>
    <w:tmpl w:val="3FB0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F565AC3"/>
    <w:multiLevelType w:val="hybridMultilevel"/>
    <w:tmpl w:val="57663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7"/>
  </w:num>
  <w:num w:numId="4">
    <w:abstractNumId w:val="6"/>
  </w:num>
  <w:num w:numId="5">
    <w:abstractNumId w:val="5"/>
  </w:num>
  <w:num w:numId="6">
    <w:abstractNumId w:val="4"/>
  </w:num>
  <w:num w:numId="7">
    <w:abstractNumId w:val="1"/>
  </w:num>
  <w:num w:numId="8">
    <w:abstractNumId w:val="0"/>
  </w:num>
  <w:num w:numId="9">
    <w:abstractNumId w:val="29"/>
  </w:num>
  <w:num w:numId="10">
    <w:abstractNumId w:val="20"/>
  </w:num>
  <w:num w:numId="11">
    <w:abstractNumId w:val="10"/>
  </w:num>
  <w:num w:numId="12">
    <w:abstractNumId w:val="16"/>
  </w:num>
  <w:num w:numId="13">
    <w:abstractNumId w:val="19"/>
  </w:num>
  <w:num w:numId="14">
    <w:abstractNumId w:val="2"/>
  </w:num>
  <w:num w:numId="15">
    <w:abstractNumId w:val="32"/>
  </w:num>
  <w:num w:numId="16">
    <w:abstractNumId w:val="35"/>
  </w:num>
  <w:num w:numId="17">
    <w:abstractNumId w:val="34"/>
  </w:num>
  <w:num w:numId="18">
    <w:abstractNumId w:val="25"/>
  </w:num>
  <w:num w:numId="19">
    <w:abstractNumId w:val="18"/>
  </w:num>
  <w:num w:numId="20">
    <w:abstractNumId w:val="21"/>
  </w:num>
  <w:num w:numId="21">
    <w:abstractNumId w:val="33"/>
  </w:num>
  <w:num w:numId="22">
    <w:abstractNumId w:val="27"/>
  </w:num>
  <w:num w:numId="23">
    <w:abstractNumId w:val="8"/>
  </w:num>
  <w:num w:numId="24">
    <w:abstractNumId w:val="3"/>
  </w:num>
  <w:num w:numId="25">
    <w:abstractNumId w:val="23"/>
  </w:num>
  <w:num w:numId="26">
    <w:abstractNumId w:val="15"/>
  </w:num>
  <w:num w:numId="27">
    <w:abstractNumId w:val="28"/>
  </w:num>
  <w:num w:numId="28">
    <w:abstractNumId w:val="24"/>
  </w:num>
  <w:num w:numId="29">
    <w:abstractNumId w:val="31"/>
  </w:num>
  <w:num w:numId="30">
    <w:abstractNumId w:val="13"/>
  </w:num>
  <w:num w:numId="31">
    <w:abstractNumId w:val="12"/>
  </w:num>
  <w:num w:numId="32">
    <w:abstractNumId w:val="37"/>
  </w:num>
  <w:num w:numId="33">
    <w:abstractNumId w:val="17"/>
  </w:num>
  <w:num w:numId="34">
    <w:abstractNumId w:val="9"/>
  </w:num>
  <w:num w:numId="35">
    <w:abstractNumId w:val="11"/>
  </w:num>
  <w:num w:numId="36">
    <w:abstractNumId w:val="2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0"/>
  </w:num>
  <w:num w:numId="42">
    <w:abstractNumId w:val="10"/>
  </w:num>
  <w:num w:numId="43">
    <w:abstractNumId w:val="10"/>
  </w:num>
  <w:num w:numId="44">
    <w:abstractNumId w:val="10"/>
  </w:num>
  <w:num w:numId="4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defaultTabStop w:val="34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wpete\AppData\Local\Microsoft\Windows\Temporary Internet Files\Content.Outlook\1ER2R6DZ\LRCA - taking advantage of market power - section 36 New Zealand Commerce Act  - ACCC submission - draft.DOCX"/>
  </w:docVars>
  <w:rsids>
    <w:rsidRoot w:val="00A06924"/>
    <w:rsid w:val="00001AC6"/>
    <w:rsid w:val="0002115F"/>
    <w:rsid w:val="00021202"/>
    <w:rsid w:val="000225C4"/>
    <w:rsid w:val="00024751"/>
    <w:rsid w:val="0003578C"/>
    <w:rsid w:val="00057225"/>
    <w:rsid w:val="00063247"/>
    <w:rsid w:val="00070F9F"/>
    <w:rsid w:val="0007137B"/>
    <w:rsid w:val="00077E2A"/>
    <w:rsid w:val="00085663"/>
    <w:rsid w:val="00085EBF"/>
    <w:rsid w:val="00086666"/>
    <w:rsid w:val="000D122C"/>
    <w:rsid w:val="000D3E69"/>
    <w:rsid w:val="000D65F8"/>
    <w:rsid w:val="000E1819"/>
    <w:rsid w:val="000E6C72"/>
    <w:rsid w:val="000F2368"/>
    <w:rsid w:val="000F4654"/>
    <w:rsid w:val="000F4726"/>
    <w:rsid w:val="00116EB2"/>
    <w:rsid w:val="00124609"/>
    <w:rsid w:val="0013273A"/>
    <w:rsid w:val="0014034E"/>
    <w:rsid w:val="00155E9E"/>
    <w:rsid w:val="00156FD4"/>
    <w:rsid w:val="001573E4"/>
    <w:rsid w:val="00160756"/>
    <w:rsid w:val="00164239"/>
    <w:rsid w:val="0017035A"/>
    <w:rsid w:val="0017232E"/>
    <w:rsid w:val="00172E26"/>
    <w:rsid w:val="00174102"/>
    <w:rsid w:val="00180157"/>
    <w:rsid w:val="00181223"/>
    <w:rsid w:val="00183B7E"/>
    <w:rsid w:val="001867EF"/>
    <w:rsid w:val="00186F77"/>
    <w:rsid w:val="001926A4"/>
    <w:rsid w:val="001A3A19"/>
    <w:rsid w:val="001B246B"/>
    <w:rsid w:val="001B45A0"/>
    <w:rsid w:val="001B7D21"/>
    <w:rsid w:val="001C18EE"/>
    <w:rsid w:val="001C4D8C"/>
    <w:rsid w:val="001D055E"/>
    <w:rsid w:val="001E4C86"/>
    <w:rsid w:val="001E6F15"/>
    <w:rsid w:val="001F1036"/>
    <w:rsid w:val="001F492E"/>
    <w:rsid w:val="001F6DA3"/>
    <w:rsid w:val="00212737"/>
    <w:rsid w:val="00224DB9"/>
    <w:rsid w:val="00251745"/>
    <w:rsid w:val="00263AC0"/>
    <w:rsid w:val="0026772D"/>
    <w:rsid w:val="00286874"/>
    <w:rsid w:val="00296B65"/>
    <w:rsid w:val="002A7DEF"/>
    <w:rsid w:val="002C1365"/>
    <w:rsid w:val="002C50AD"/>
    <w:rsid w:val="002F7986"/>
    <w:rsid w:val="00303C4A"/>
    <w:rsid w:val="00307F6D"/>
    <w:rsid w:val="003177A2"/>
    <w:rsid w:val="003271B5"/>
    <w:rsid w:val="003301BA"/>
    <w:rsid w:val="00330CA0"/>
    <w:rsid w:val="00331264"/>
    <w:rsid w:val="003326CE"/>
    <w:rsid w:val="00334C8D"/>
    <w:rsid w:val="00340655"/>
    <w:rsid w:val="003459E6"/>
    <w:rsid w:val="003518B3"/>
    <w:rsid w:val="00371641"/>
    <w:rsid w:val="003846F1"/>
    <w:rsid w:val="003A673F"/>
    <w:rsid w:val="003B5A70"/>
    <w:rsid w:val="003B625C"/>
    <w:rsid w:val="003C7B12"/>
    <w:rsid w:val="003F128D"/>
    <w:rsid w:val="00475DDE"/>
    <w:rsid w:val="00480B4B"/>
    <w:rsid w:val="004855F0"/>
    <w:rsid w:val="00485DC4"/>
    <w:rsid w:val="004B4412"/>
    <w:rsid w:val="004C23EF"/>
    <w:rsid w:val="004C348C"/>
    <w:rsid w:val="004D535F"/>
    <w:rsid w:val="004D55BA"/>
    <w:rsid w:val="004F508E"/>
    <w:rsid w:val="005038DB"/>
    <w:rsid w:val="005065B7"/>
    <w:rsid w:val="00514DB6"/>
    <w:rsid w:val="0052379B"/>
    <w:rsid w:val="00527641"/>
    <w:rsid w:val="00530128"/>
    <w:rsid w:val="00532467"/>
    <w:rsid w:val="00547BA2"/>
    <w:rsid w:val="00547CCF"/>
    <w:rsid w:val="00557A50"/>
    <w:rsid w:val="00564A4D"/>
    <w:rsid w:val="00571B35"/>
    <w:rsid w:val="00571C9F"/>
    <w:rsid w:val="00577A09"/>
    <w:rsid w:val="00580B78"/>
    <w:rsid w:val="00584D8F"/>
    <w:rsid w:val="00590405"/>
    <w:rsid w:val="00596D42"/>
    <w:rsid w:val="005A404D"/>
    <w:rsid w:val="005B1E3C"/>
    <w:rsid w:val="005C24AC"/>
    <w:rsid w:val="005C26CC"/>
    <w:rsid w:val="005C444B"/>
    <w:rsid w:val="005D16B7"/>
    <w:rsid w:val="005E6C0E"/>
    <w:rsid w:val="006133DF"/>
    <w:rsid w:val="00615C6B"/>
    <w:rsid w:val="00632D6D"/>
    <w:rsid w:val="00642C3E"/>
    <w:rsid w:val="00646025"/>
    <w:rsid w:val="006605F9"/>
    <w:rsid w:val="00663DAD"/>
    <w:rsid w:val="006737B4"/>
    <w:rsid w:val="00676679"/>
    <w:rsid w:val="00691616"/>
    <w:rsid w:val="006B4CF9"/>
    <w:rsid w:val="006B663D"/>
    <w:rsid w:val="006B7AC8"/>
    <w:rsid w:val="006D4C3E"/>
    <w:rsid w:val="006D550F"/>
    <w:rsid w:val="006D7154"/>
    <w:rsid w:val="006D77F3"/>
    <w:rsid w:val="00701CAB"/>
    <w:rsid w:val="00707563"/>
    <w:rsid w:val="0072348C"/>
    <w:rsid w:val="00724A37"/>
    <w:rsid w:val="00724C1D"/>
    <w:rsid w:val="007272D6"/>
    <w:rsid w:val="007303C3"/>
    <w:rsid w:val="00743223"/>
    <w:rsid w:val="00745FA3"/>
    <w:rsid w:val="00746E01"/>
    <w:rsid w:val="00763E5D"/>
    <w:rsid w:val="00767740"/>
    <w:rsid w:val="00777EE6"/>
    <w:rsid w:val="00782EEA"/>
    <w:rsid w:val="00796E8D"/>
    <w:rsid w:val="007A18A5"/>
    <w:rsid w:val="007B1C2B"/>
    <w:rsid w:val="007B2C72"/>
    <w:rsid w:val="007C1C53"/>
    <w:rsid w:val="007E26A9"/>
    <w:rsid w:val="007E4904"/>
    <w:rsid w:val="007E4CB5"/>
    <w:rsid w:val="007F066B"/>
    <w:rsid w:val="007F2E96"/>
    <w:rsid w:val="008033C4"/>
    <w:rsid w:val="00806C88"/>
    <w:rsid w:val="0081034E"/>
    <w:rsid w:val="0082031E"/>
    <w:rsid w:val="008331B4"/>
    <w:rsid w:val="008344F6"/>
    <w:rsid w:val="0083510F"/>
    <w:rsid w:val="0084269D"/>
    <w:rsid w:val="00844014"/>
    <w:rsid w:val="00845F91"/>
    <w:rsid w:val="00851209"/>
    <w:rsid w:val="0088007E"/>
    <w:rsid w:val="0088113B"/>
    <w:rsid w:val="008837AC"/>
    <w:rsid w:val="008945B4"/>
    <w:rsid w:val="008A587D"/>
    <w:rsid w:val="008A7DD7"/>
    <w:rsid w:val="008B7C4A"/>
    <w:rsid w:val="008C5486"/>
    <w:rsid w:val="008C61A6"/>
    <w:rsid w:val="008D1EB7"/>
    <w:rsid w:val="008E7031"/>
    <w:rsid w:val="00907E79"/>
    <w:rsid w:val="00911D67"/>
    <w:rsid w:val="00922C95"/>
    <w:rsid w:val="009233EE"/>
    <w:rsid w:val="00931756"/>
    <w:rsid w:val="009661DE"/>
    <w:rsid w:val="0096773D"/>
    <w:rsid w:val="00975429"/>
    <w:rsid w:val="00980F43"/>
    <w:rsid w:val="009856B7"/>
    <w:rsid w:val="0098602B"/>
    <w:rsid w:val="00991B3B"/>
    <w:rsid w:val="0099246E"/>
    <w:rsid w:val="009962BA"/>
    <w:rsid w:val="009B74B0"/>
    <w:rsid w:val="009D4414"/>
    <w:rsid w:val="009D6B46"/>
    <w:rsid w:val="009F46AD"/>
    <w:rsid w:val="009F4940"/>
    <w:rsid w:val="00A06924"/>
    <w:rsid w:val="00A1665B"/>
    <w:rsid w:val="00A4478A"/>
    <w:rsid w:val="00A44852"/>
    <w:rsid w:val="00A57D04"/>
    <w:rsid w:val="00A60A26"/>
    <w:rsid w:val="00A61598"/>
    <w:rsid w:val="00A674AE"/>
    <w:rsid w:val="00A84F46"/>
    <w:rsid w:val="00A871F4"/>
    <w:rsid w:val="00A940A6"/>
    <w:rsid w:val="00AC1B2C"/>
    <w:rsid w:val="00AC3264"/>
    <w:rsid w:val="00AC6F01"/>
    <w:rsid w:val="00AE0FE2"/>
    <w:rsid w:val="00AE1BF1"/>
    <w:rsid w:val="00AF0DD2"/>
    <w:rsid w:val="00B02C75"/>
    <w:rsid w:val="00B10314"/>
    <w:rsid w:val="00B1098C"/>
    <w:rsid w:val="00B13048"/>
    <w:rsid w:val="00B15998"/>
    <w:rsid w:val="00B1716D"/>
    <w:rsid w:val="00B17A1D"/>
    <w:rsid w:val="00B207A0"/>
    <w:rsid w:val="00B55D1B"/>
    <w:rsid w:val="00B56E03"/>
    <w:rsid w:val="00B60980"/>
    <w:rsid w:val="00B60F5D"/>
    <w:rsid w:val="00B64B44"/>
    <w:rsid w:val="00B66C57"/>
    <w:rsid w:val="00B67E91"/>
    <w:rsid w:val="00B8080B"/>
    <w:rsid w:val="00B87C39"/>
    <w:rsid w:val="00BA4665"/>
    <w:rsid w:val="00BA6EB8"/>
    <w:rsid w:val="00BB2FB2"/>
    <w:rsid w:val="00BB3304"/>
    <w:rsid w:val="00BD3446"/>
    <w:rsid w:val="00BE1F1B"/>
    <w:rsid w:val="00BE47B5"/>
    <w:rsid w:val="00BE4C99"/>
    <w:rsid w:val="00BE6D74"/>
    <w:rsid w:val="00C011EA"/>
    <w:rsid w:val="00C058AB"/>
    <w:rsid w:val="00C06739"/>
    <w:rsid w:val="00C270F9"/>
    <w:rsid w:val="00C538A9"/>
    <w:rsid w:val="00C53B5A"/>
    <w:rsid w:val="00C54F5A"/>
    <w:rsid w:val="00C552D7"/>
    <w:rsid w:val="00C755AD"/>
    <w:rsid w:val="00C86679"/>
    <w:rsid w:val="00CB666B"/>
    <w:rsid w:val="00CC1E05"/>
    <w:rsid w:val="00CD4C3B"/>
    <w:rsid w:val="00CF799E"/>
    <w:rsid w:val="00D01CF0"/>
    <w:rsid w:val="00D0442A"/>
    <w:rsid w:val="00D06307"/>
    <w:rsid w:val="00D203E1"/>
    <w:rsid w:val="00D403DC"/>
    <w:rsid w:val="00D544B8"/>
    <w:rsid w:val="00D61388"/>
    <w:rsid w:val="00D61A54"/>
    <w:rsid w:val="00D64DEA"/>
    <w:rsid w:val="00D80893"/>
    <w:rsid w:val="00D92CF1"/>
    <w:rsid w:val="00D92D38"/>
    <w:rsid w:val="00D950F5"/>
    <w:rsid w:val="00D978DB"/>
    <w:rsid w:val="00DB0F93"/>
    <w:rsid w:val="00DC542F"/>
    <w:rsid w:val="00DC5AF5"/>
    <w:rsid w:val="00DC7981"/>
    <w:rsid w:val="00DD7476"/>
    <w:rsid w:val="00DE4EFA"/>
    <w:rsid w:val="00DE5520"/>
    <w:rsid w:val="00DF1085"/>
    <w:rsid w:val="00E04818"/>
    <w:rsid w:val="00E06442"/>
    <w:rsid w:val="00E150A0"/>
    <w:rsid w:val="00E16F52"/>
    <w:rsid w:val="00E23993"/>
    <w:rsid w:val="00E25B8C"/>
    <w:rsid w:val="00E4674F"/>
    <w:rsid w:val="00E65C85"/>
    <w:rsid w:val="00E66199"/>
    <w:rsid w:val="00E755EC"/>
    <w:rsid w:val="00E7624D"/>
    <w:rsid w:val="00E97CDB"/>
    <w:rsid w:val="00EA1063"/>
    <w:rsid w:val="00EA3D42"/>
    <w:rsid w:val="00EA6B1B"/>
    <w:rsid w:val="00EB03B6"/>
    <w:rsid w:val="00EC63ED"/>
    <w:rsid w:val="00ED2A72"/>
    <w:rsid w:val="00EE0622"/>
    <w:rsid w:val="00EE28F3"/>
    <w:rsid w:val="00EF5110"/>
    <w:rsid w:val="00F15882"/>
    <w:rsid w:val="00F20BD3"/>
    <w:rsid w:val="00F23794"/>
    <w:rsid w:val="00F373A5"/>
    <w:rsid w:val="00F47559"/>
    <w:rsid w:val="00F47911"/>
    <w:rsid w:val="00F60BE4"/>
    <w:rsid w:val="00F61B84"/>
    <w:rsid w:val="00F647EA"/>
    <w:rsid w:val="00F64C7B"/>
    <w:rsid w:val="00F676DD"/>
    <w:rsid w:val="00F75A26"/>
    <w:rsid w:val="00F83FAD"/>
    <w:rsid w:val="00F91DC6"/>
    <w:rsid w:val="00F9468F"/>
    <w:rsid w:val="00F952A0"/>
    <w:rsid w:val="00FA3C7F"/>
    <w:rsid w:val="00FB52D7"/>
    <w:rsid w:val="00FB74E2"/>
    <w:rsid w:val="00FC17BA"/>
    <w:rsid w:val="00FD5614"/>
    <w:rsid w:val="00FE0BE1"/>
    <w:rsid w:val="00FE1DE9"/>
    <w:rsid w:val="00FE39C2"/>
    <w:rsid w:val="00FE64AE"/>
    <w:rsid w:val="00FF6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A06924"/>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NormalWeb">
    <w:name w:val="Normal (Web)"/>
    <w:basedOn w:val="Normal"/>
    <w:uiPriority w:val="99"/>
    <w:semiHidden/>
    <w:unhideWhenUsed/>
    <w:rsid w:val="00D403DC"/>
    <w:pPr>
      <w:spacing w:before="0" w:after="150" w:line="312" w:lineRule="atLeast"/>
    </w:pPr>
    <w:rPr>
      <w:rFonts w:ascii="Times New Roman" w:eastAsia="Times New Roman" w:hAnsi="Times New Roman" w:cs="Times New Roman"/>
      <w:sz w:val="24"/>
      <w:szCs w:val="24"/>
      <w:lang w:eastAsia="en-AU"/>
    </w:rPr>
  </w:style>
  <w:style w:type="paragraph" w:customStyle="1" w:styleId="subsection">
    <w:name w:val="subsection"/>
    <w:basedOn w:val="Normal"/>
    <w:rsid w:val="000F4726"/>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0F4726"/>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552D7"/>
    <w:rPr>
      <w:sz w:val="16"/>
      <w:szCs w:val="16"/>
    </w:rPr>
  </w:style>
  <w:style w:type="paragraph" w:styleId="CommentText">
    <w:name w:val="annotation text"/>
    <w:basedOn w:val="Normal"/>
    <w:link w:val="CommentTextChar"/>
    <w:uiPriority w:val="99"/>
    <w:semiHidden/>
    <w:unhideWhenUsed/>
    <w:rsid w:val="00C552D7"/>
    <w:rPr>
      <w:sz w:val="20"/>
      <w:szCs w:val="20"/>
    </w:rPr>
  </w:style>
  <w:style w:type="character" w:customStyle="1" w:styleId="CommentTextChar">
    <w:name w:val="Comment Text Char"/>
    <w:basedOn w:val="DefaultParagraphFont"/>
    <w:link w:val="CommentText"/>
    <w:uiPriority w:val="99"/>
    <w:semiHidden/>
    <w:rsid w:val="00C552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52D7"/>
    <w:rPr>
      <w:b/>
      <w:bCs/>
    </w:rPr>
  </w:style>
  <w:style w:type="character" w:customStyle="1" w:styleId="CommentSubjectChar">
    <w:name w:val="Comment Subject Char"/>
    <w:basedOn w:val="CommentTextChar"/>
    <w:link w:val="CommentSubject"/>
    <w:uiPriority w:val="99"/>
    <w:semiHidden/>
    <w:rsid w:val="00C552D7"/>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A06924"/>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NormalWeb">
    <w:name w:val="Normal (Web)"/>
    <w:basedOn w:val="Normal"/>
    <w:uiPriority w:val="99"/>
    <w:semiHidden/>
    <w:unhideWhenUsed/>
    <w:rsid w:val="00D403DC"/>
    <w:pPr>
      <w:spacing w:before="0" w:after="150" w:line="312" w:lineRule="atLeast"/>
    </w:pPr>
    <w:rPr>
      <w:rFonts w:ascii="Times New Roman" w:eastAsia="Times New Roman" w:hAnsi="Times New Roman" w:cs="Times New Roman"/>
      <w:sz w:val="24"/>
      <w:szCs w:val="24"/>
      <w:lang w:eastAsia="en-AU"/>
    </w:rPr>
  </w:style>
  <w:style w:type="paragraph" w:customStyle="1" w:styleId="subsection">
    <w:name w:val="subsection"/>
    <w:basedOn w:val="Normal"/>
    <w:rsid w:val="000F4726"/>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0F4726"/>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552D7"/>
    <w:rPr>
      <w:sz w:val="16"/>
      <w:szCs w:val="16"/>
    </w:rPr>
  </w:style>
  <w:style w:type="paragraph" w:styleId="CommentText">
    <w:name w:val="annotation text"/>
    <w:basedOn w:val="Normal"/>
    <w:link w:val="CommentTextChar"/>
    <w:uiPriority w:val="99"/>
    <w:semiHidden/>
    <w:unhideWhenUsed/>
    <w:rsid w:val="00C552D7"/>
    <w:rPr>
      <w:sz w:val="20"/>
      <w:szCs w:val="20"/>
    </w:rPr>
  </w:style>
  <w:style w:type="character" w:customStyle="1" w:styleId="CommentTextChar">
    <w:name w:val="Comment Text Char"/>
    <w:basedOn w:val="DefaultParagraphFont"/>
    <w:link w:val="CommentText"/>
    <w:uiPriority w:val="99"/>
    <w:semiHidden/>
    <w:rsid w:val="00C552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52D7"/>
    <w:rPr>
      <w:b/>
      <w:bCs/>
    </w:rPr>
  </w:style>
  <w:style w:type="character" w:customStyle="1" w:styleId="CommentSubjectChar">
    <w:name w:val="Comment Subject Char"/>
    <w:basedOn w:val="CommentTextChar"/>
    <w:link w:val="CommentSubject"/>
    <w:uiPriority w:val="99"/>
    <w:semiHidden/>
    <w:rsid w:val="00C552D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4213">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50446185">
      <w:bodyDiv w:val="1"/>
      <w:marLeft w:val="0"/>
      <w:marRight w:val="0"/>
      <w:marTop w:val="0"/>
      <w:marBottom w:val="0"/>
      <w:divBdr>
        <w:top w:val="none" w:sz="0" w:space="0" w:color="auto"/>
        <w:left w:val="none" w:sz="0" w:space="0" w:color="auto"/>
        <w:bottom w:val="none" w:sz="0" w:space="0" w:color="auto"/>
        <w:right w:val="none" w:sz="0" w:space="0" w:color="auto"/>
      </w:divBdr>
      <w:divsChild>
        <w:div w:id="586185789">
          <w:marLeft w:val="0"/>
          <w:marRight w:val="0"/>
          <w:marTop w:val="0"/>
          <w:marBottom w:val="0"/>
          <w:divBdr>
            <w:top w:val="none" w:sz="0" w:space="0" w:color="auto"/>
            <w:left w:val="none" w:sz="0" w:space="0" w:color="auto"/>
            <w:bottom w:val="none" w:sz="0" w:space="0" w:color="auto"/>
            <w:right w:val="none" w:sz="0" w:space="0" w:color="auto"/>
          </w:divBdr>
          <w:divsChild>
            <w:div w:id="823476723">
              <w:marLeft w:val="375"/>
              <w:marRight w:val="375"/>
              <w:marTop w:val="0"/>
              <w:marBottom w:val="0"/>
              <w:divBdr>
                <w:top w:val="none" w:sz="0" w:space="0" w:color="auto"/>
                <w:left w:val="none" w:sz="0" w:space="0" w:color="auto"/>
                <w:bottom w:val="none" w:sz="0" w:space="0" w:color="auto"/>
                <w:right w:val="none" w:sz="0" w:space="0" w:color="auto"/>
              </w:divBdr>
              <w:divsChild>
                <w:div w:id="1091778008">
                  <w:marLeft w:val="0"/>
                  <w:marRight w:val="0"/>
                  <w:marTop w:val="0"/>
                  <w:marBottom w:val="0"/>
                  <w:divBdr>
                    <w:top w:val="none" w:sz="0" w:space="0" w:color="auto"/>
                    <w:left w:val="none" w:sz="0" w:space="0" w:color="auto"/>
                    <w:bottom w:val="none" w:sz="0" w:space="0" w:color="auto"/>
                    <w:right w:val="none" w:sz="0" w:space="0" w:color="auto"/>
                  </w:divBdr>
                  <w:divsChild>
                    <w:div w:id="1802266509">
                      <w:marLeft w:val="0"/>
                      <w:marRight w:val="0"/>
                      <w:marTop w:val="0"/>
                      <w:marBottom w:val="0"/>
                      <w:divBdr>
                        <w:top w:val="none" w:sz="0" w:space="0" w:color="auto"/>
                        <w:left w:val="none" w:sz="0" w:space="0" w:color="auto"/>
                        <w:bottom w:val="none" w:sz="0" w:space="0" w:color="auto"/>
                        <w:right w:val="none" w:sz="0" w:space="0" w:color="auto"/>
                      </w:divBdr>
                      <w:divsChild>
                        <w:div w:id="11083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0770">
      <w:bodyDiv w:val="1"/>
      <w:marLeft w:val="0"/>
      <w:marRight w:val="0"/>
      <w:marTop w:val="0"/>
      <w:marBottom w:val="0"/>
      <w:divBdr>
        <w:top w:val="none" w:sz="0" w:space="0" w:color="auto"/>
        <w:left w:val="none" w:sz="0" w:space="0" w:color="auto"/>
        <w:bottom w:val="none" w:sz="0" w:space="0" w:color="auto"/>
        <w:right w:val="none" w:sz="0" w:space="0" w:color="auto"/>
      </w:divBdr>
      <w:divsChild>
        <w:div w:id="1513495860">
          <w:marLeft w:val="0"/>
          <w:marRight w:val="0"/>
          <w:marTop w:val="0"/>
          <w:marBottom w:val="0"/>
          <w:divBdr>
            <w:top w:val="none" w:sz="0" w:space="0" w:color="auto"/>
            <w:left w:val="none" w:sz="0" w:space="0" w:color="auto"/>
            <w:bottom w:val="none" w:sz="0" w:space="0" w:color="auto"/>
            <w:right w:val="none" w:sz="0" w:space="0" w:color="auto"/>
          </w:divBdr>
          <w:divsChild>
            <w:div w:id="1268848257">
              <w:marLeft w:val="375"/>
              <w:marRight w:val="375"/>
              <w:marTop w:val="0"/>
              <w:marBottom w:val="0"/>
              <w:divBdr>
                <w:top w:val="none" w:sz="0" w:space="0" w:color="auto"/>
                <w:left w:val="none" w:sz="0" w:space="0" w:color="auto"/>
                <w:bottom w:val="none" w:sz="0" w:space="0" w:color="auto"/>
                <w:right w:val="none" w:sz="0" w:space="0" w:color="auto"/>
              </w:divBdr>
              <w:divsChild>
                <w:div w:id="982735286">
                  <w:marLeft w:val="0"/>
                  <w:marRight w:val="0"/>
                  <w:marTop w:val="0"/>
                  <w:marBottom w:val="0"/>
                  <w:divBdr>
                    <w:top w:val="none" w:sz="0" w:space="0" w:color="auto"/>
                    <w:left w:val="none" w:sz="0" w:space="0" w:color="auto"/>
                    <w:bottom w:val="none" w:sz="0" w:space="0" w:color="auto"/>
                    <w:right w:val="none" w:sz="0" w:space="0" w:color="auto"/>
                  </w:divBdr>
                  <w:divsChild>
                    <w:div w:id="586306150">
                      <w:marLeft w:val="0"/>
                      <w:marRight w:val="0"/>
                      <w:marTop w:val="0"/>
                      <w:marBottom w:val="0"/>
                      <w:divBdr>
                        <w:top w:val="none" w:sz="0" w:space="0" w:color="auto"/>
                        <w:left w:val="none" w:sz="0" w:space="0" w:color="auto"/>
                        <w:bottom w:val="none" w:sz="0" w:space="0" w:color="auto"/>
                        <w:right w:val="none" w:sz="0" w:space="0" w:color="auto"/>
                      </w:divBdr>
                      <w:divsChild>
                        <w:div w:id="140972614">
                          <w:marLeft w:val="0"/>
                          <w:marRight w:val="0"/>
                          <w:marTop w:val="0"/>
                          <w:marBottom w:val="480"/>
                          <w:divBdr>
                            <w:top w:val="single" w:sz="6" w:space="6" w:color="008000"/>
                            <w:left w:val="single" w:sz="6" w:space="12" w:color="008000"/>
                            <w:bottom w:val="single" w:sz="6" w:space="6" w:color="008000"/>
                            <w:right w:val="single" w:sz="6" w:space="12" w:color="008000"/>
                          </w:divBdr>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ompetitionpolicyreview.gov.au/final-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b.ministers.treasury.gov.au/media-release/014-2013/"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48B3D-AF1B-41F1-A3C9-BA649EE7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E18173DD</Template>
  <TotalTime>47</TotalTime>
  <Pages>7</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Parnos Munyard</dc:creator>
  <cp:lastModifiedBy>Lawrence, Ian</cp:lastModifiedBy>
  <cp:revision>6</cp:revision>
  <cp:lastPrinted>2016-02-12T01:28:00Z</cp:lastPrinted>
  <dcterms:created xsi:type="dcterms:W3CDTF">2016-02-12T04:10:00Z</dcterms:created>
  <dcterms:modified xsi:type="dcterms:W3CDTF">2016-02-12T06:05:00Z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8626480</vt:lpwstr>
  </property>
  <property fmtid="{D5CDD505-2E9C-101B-9397-08002B2CF9AE}" pid="3" name="currfile">
    <vt:lpwstr>\\cdchnas-evs02\home$\IPL\nz submission re misuse of mp - wwp edits (D2016-00017906).docx</vt:lpwstr>
  </property>
</Properties>
</file>