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37948346"/>
        <w:docPartObj>
          <w:docPartGallery w:val="Cover Pages"/>
          <w:docPartUnique/>
        </w:docPartObj>
      </w:sdtPr>
      <w:sdtContent>
        <w:p w:rsidR="001A10E7" w:rsidRDefault="001A10E7" w:rsidP="008945B4">
          <w:r>
            <w:rPr>
              <w:noProof/>
            </w:rPr>
            <mc:AlternateContent>
              <mc:Choice Requires="wps">
                <w:drawing>
                  <wp:anchor distT="0" distB="0" distL="114300" distR="114300" simplePos="0" relativeHeight="251659264" behindDoc="1" locked="0" layoutInCell="1" allowOverlap="1" wp14:anchorId="77EE2FEA" wp14:editId="07B11501">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rPr>
            <w:drawing>
              <wp:inline distT="0" distB="0" distL="0" distR="0" wp14:anchorId="2F7F778B" wp14:editId="4819E178">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1A10E7" w:rsidRPr="005E6C0E" w:rsidRDefault="001A10E7" w:rsidP="00181223"/>
        <w:tbl>
          <w:tblPr>
            <w:tblStyle w:val="Footer"/>
            <w:tblW w:w="0" w:type="auto"/>
            <w:tblLook w:val="0400" w:firstRow="0" w:lastRow="0" w:firstColumn="0" w:lastColumn="0" w:noHBand="0" w:noVBand="1"/>
          </w:tblPr>
          <w:tblGrid>
            <w:gridCol w:w="9242"/>
          </w:tblGrid>
          <w:tr w:rsidR="001A10E7" w:rsidRPr="00C755AD" w:rsidTr="00C755AD">
            <w:trPr>
              <w:trHeight w:val="3135"/>
            </w:trPr>
            <w:tc>
              <w:tcPr>
                <w:tcW w:w="9242" w:type="dxa"/>
              </w:tcPr>
              <w:p w:rsidR="001A10E7" w:rsidRPr="00C755AD" w:rsidRDefault="001A10E7"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1A10E7" w:rsidRPr="00C755AD" w:rsidTr="00C755AD">
            <w:tc>
              <w:tcPr>
                <w:tcW w:w="9242" w:type="dxa"/>
              </w:tcPr>
              <w:p w:rsidR="001A10E7" w:rsidRPr="00C755AD" w:rsidRDefault="001A10E7" w:rsidP="00303C4A">
                <w:pPr>
                  <w:pStyle w:val="Title"/>
                </w:pPr>
                <w:bookmarkStart w:id="0" w:name="_Toc447275809"/>
                <w:r>
                  <w:t>Assessing cross-subsidy in Australia Post</w:t>
                </w:r>
                <w:bookmarkEnd w:id="0"/>
              </w:p>
            </w:tc>
          </w:tr>
          <w:tr w:rsidR="001A10E7" w:rsidRPr="00C755AD" w:rsidTr="00C755AD">
            <w:tc>
              <w:tcPr>
                <w:tcW w:w="9242" w:type="dxa"/>
              </w:tcPr>
              <w:p w:rsidR="001A10E7" w:rsidRPr="00C755AD" w:rsidRDefault="001A10E7" w:rsidP="00303C4A">
                <w:pPr>
                  <w:pStyle w:val="Subtitle"/>
                </w:pPr>
                <w:r>
                  <w:t>2014-15</w:t>
                </w:r>
              </w:p>
            </w:tc>
          </w:tr>
          <w:tr w:rsidR="001A10E7" w:rsidRPr="00C755AD" w:rsidTr="00C755AD">
            <w:tc>
              <w:tcPr>
                <w:tcW w:w="9242" w:type="dxa"/>
              </w:tcPr>
              <w:p w:rsidR="001A10E7" w:rsidRPr="00C755AD" w:rsidRDefault="001A10E7" w:rsidP="00303C4A"/>
              <w:p w:rsidR="001A10E7" w:rsidRPr="00C755AD" w:rsidRDefault="001A10E7" w:rsidP="00303C4A">
                <w:pPr>
                  <w:pStyle w:val="CoverDate"/>
                </w:pPr>
                <w:r>
                  <w:t>April 2016</w:t>
                </w:r>
              </w:p>
            </w:tc>
          </w:tr>
        </w:tbl>
        <w:p w:rsidR="001A10E7" w:rsidRPr="003B5A70" w:rsidRDefault="001A10E7" w:rsidP="005E6C0E">
          <w:pPr>
            <w:tabs>
              <w:tab w:val="left" w:pos="340"/>
              <w:tab w:val="left" w:pos="680"/>
              <w:tab w:val="left" w:pos="1021"/>
              <w:tab w:val="left" w:pos="1361"/>
            </w:tabs>
          </w:pPr>
        </w:p>
        <w:p w:rsidR="001A10E7" w:rsidRDefault="001A10E7">
          <w:r>
            <w:br w:type="page"/>
          </w:r>
        </w:p>
        <w:sdt>
          <w:sdtPr>
            <w:id w:val="-2130849101"/>
            <w:docPartObj>
              <w:docPartGallery w:val="Table of Contents"/>
              <w:docPartUnique/>
            </w:docPartObj>
          </w:sdtPr>
          <w:sdtEndPr>
            <w:rPr>
              <w:rFonts w:ascii="Arial" w:eastAsiaTheme="minorHAnsi" w:hAnsi="Arial" w:cstheme="minorBidi"/>
              <w:b/>
              <w:bCs w:val="0"/>
              <w:color w:val="auto"/>
              <w:sz w:val="22"/>
              <w:szCs w:val="22"/>
              <w:lang w:val="en-AU" w:eastAsia="en-US"/>
            </w:rPr>
          </w:sdtEndPr>
          <w:sdtContent>
            <w:p w:rsidR="00D376EB" w:rsidRDefault="00D376EB" w:rsidP="00F62AB3">
              <w:pPr>
                <w:pStyle w:val="TOCHeading"/>
              </w:pPr>
              <w:r>
                <w:t>Contents</w:t>
              </w:r>
            </w:p>
            <w:p w:rsidR="00D376EB" w:rsidRDefault="00D376EB">
              <w:pPr>
                <w:pStyle w:val="TOC1"/>
                <w:rPr>
                  <w:rFonts w:asciiTheme="minorHAnsi" w:eastAsiaTheme="minorEastAsia" w:hAnsiTheme="minorHAnsi"/>
                  <w:lang w:val="en-AU" w:eastAsia="en-AU"/>
                </w:rPr>
              </w:pPr>
              <w:r>
                <w:fldChar w:fldCharType="begin"/>
              </w:r>
              <w:r>
                <w:instrText xml:space="preserve"> TOC \o "1-3" \h \z \u \t "Heading 6,1" </w:instrText>
              </w:r>
              <w:r>
                <w:fldChar w:fldCharType="separate"/>
              </w:r>
              <w:hyperlink w:anchor="_Toc447275810" w:history="1">
                <w:r w:rsidRPr="00716949">
                  <w:rPr>
                    <w:rStyle w:val="Hyperlink"/>
                  </w:rPr>
                  <w:t>Glossary</w:t>
                </w:r>
                <w:r>
                  <w:rPr>
                    <w:webHidden/>
                  </w:rPr>
                  <w:tab/>
                </w:r>
                <w:r>
                  <w:rPr>
                    <w:webHidden/>
                  </w:rPr>
                  <w:fldChar w:fldCharType="begin"/>
                </w:r>
                <w:r>
                  <w:rPr>
                    <w:webHidden/>
                  </w:rPr>
                  <w:instrText xml:space="preserve"> PAGEREF _Toc447275810 \h </w:instrText>
                </w:r>
                <w:r>
                  <w:rPr>
                    <w:webHidden/>
                  </w:rPr>
                </w:r>
                <w:r>
                  <w:rPr>
                    <w:webHidden/>
                  </w:rPr>
                  <w:fldChar w:fldCharType="separate"/>
                </w:r>
                <w:r>
                  <w:rPr>
                    <w:webHidden/>
                  </w:rPr>
                  <w:t>2</w:t>
                </w:r>
                <w:r>
                  <w:rPr>
                    <w:webHidden/>
                  </w:rPr>
                  <w:fldChar w:fldCharType="end"/>
                </w:r>
              </w:hyperlink>
              <w:bookmarkStart w:id="1" w:name="_GoBack"/>
              <w:bookmarkEnd w:id="1"/>
            </w:p>
            <w:p w:rsidR="00D376EB" w:rsidRDefault="00D376EB">
              <w:pPr>
                <w:pStyle w:val="TOC1"/>
                <w:rPr>
                  <w:rFonts w:asciiTheme="minorHAnsi" w:eastAsiaTheme="minorEastAsia" w:hAnsiTheme="minorHAnsi"/>
                  <w:lang w:val="en-AU" w:eastAsia="en-AU"/>
                </w:rPr>
              </w:pPr>
              <w:hyperlink w:anchor="_Toc447275811" w:history="1">
                <w:r w:rsidRPr="00716949">
                  <w:rPr>
                    <w:rStyle w:val="Hyperlink"/>
                  </w:rPr>
                  <w:t>Key Messages</w:t>
                </w:r>
                <w:r>
                  <w:rPr>
                    <w:webHidden/>
                  </w:rPr>
                  <w:tab/>
                </w:r>
                <w:r>
                  <w:rPr>
                    <w:webHidden/>
                  </w:rPr>
                  <w:fldChar w:fldCharType="begin"/>
                </w:r>
                <w:r>
                  <w:rPr>
                    <w:webHidden/>
                  </w:rPr>
                  <w:instrText xml:space="preserve"> PAGEREF _Toc447275811 \h </w:instrText>
                </w:r>
                <w:r>
                  <w:rPr>
                    <w:webHidden/>
                  </w:rPr>
                </w:r>
                <w:r>
                  <w:rPr>
                    <w:webHidden/>
                  </w:rPr>
                  <w:fldChar w:fldCharType="separate"/>
                </w:r>
                <w:r>
                  <w:rPr>
                    <w:webHidden/>
                  </w:rPr>
                  <w:t>3</w:t>
                </w:r>
                <w:r>
                  <w:rPr>
                    <w:webHidden/>
                  </w:rPr>
                  <w:fldChar w:fldCharType="end"/>
                </w:r>
              </w:hyperlink>
            </w:p>
            <w:p w:rsidR="00D376EB" w:rsidRDefault="00D376EB">
              <w:pPr>
                <w:pStyle w:val="TOC1"/>
                <w:rPr>
                  <w:rFonts w:asciiTheme="minorHAnsi" w:eastAsiaTheme="minorEastAsia" w:hAnsiTheme="minorHAnsi"/>
                  <w:lang w:val="en-AU" w:eastAsia="en-AU"/>
                </w:rPr>
              </w:pPr>
              <w:hyperlink w:anchor="_Toc447275812" w:history="1">
                <w:r w:rsidRPr="00716949">
                  <w:rPr>
                    <w:rStyle w:val="Hyperlink"/>
                  </w:rPr>
                  <w:t>1.</w:t>
                </w:r>
                <w:r>
                  <w:rPr>
                    <w:rFonts w:asciiTheme="minorHAnsi" w:eastAsiaTheme="minorEastAsia" w:hAnsiTheme="minorHAnsi"/>
                    <w:lang w:val="en-AU" w:eastAsia="en-AU"/>
                  </w:rPr>
                  <w:tab/>
                </w:r>
                <w:r w:rsidRPr="00716949">
                  <w:rPr>
                    <w:rStyle w:val="Hyperlink"/>
                  </w:rPr>
                  <w:t>Introduction</w:t>
                </w:r>
                <w:r>
                  <w:rPr>
                    <w:webHidden/>
                  </w:rPr>
                  <w:tab/>
                </w:r>
                <w:r>
                  <w:rPr>
                    <w:webHidden/>
                  </w:rPr>
                  <w:fldChar w:fldCharType="begin"/>
                </w:r>
                <w:r>
                  <w:rPr>
                    <w:webHidden/>
                  </w:rPr>
                  <w:instrText xml:space="preserve"> PAGEREF _Toc447275812 \h </w:instrText>
                </w:r>
                <w:r>
                  <w:rPr>
                    <w:webHidden/>
                  </w:rPr>
                </w:r>
                <w:r>
                  <w:rPr>
                    <w:webHidden/>
                  </w:rPr>
                  <w:fldChar w:fldCharType="separate"/>
                </w:r>
                <w:r>
                  <w:rPr>
                    <w:webHidden/>
                  </w:rPr>
                  <w:t>4</w:t>
                </w:r>
                <w:r>
                  <w:rPr>
                    <w:webHidden/>
                  </w:rPr>
                  <w:fldChar w:fldCharType="end"/>
                </w:r>
              </w:hyperlink>
            </w:p>
            <w:p w:rsidR="00D376EB" w:rsidRDefault="00D376EB">
              <w:pPr>
                <w:pStyle w:val="TOC1"/>
                <w:rPr>
                  <w:rFonts w:asciiTheme="minorHAnsi" w:eastAsiaTheme="minorEastAsia" w:hAnsiTheme="minorHAnsi"/>
                  <w:lang w:val="en-AU" w:eastAsia="en-AU"/>
                </w:rPr>
              </w:pPr>
              <w:hyperlink w:anchor="_Toc447275813" w:history="1">
                <w:r w:rsidRPr="00716949">
                  <w:rPr>
                    <w:rStyle w:val="Hyperlink"/>
                  </w:rPr>
                  <w:t>2.</w:t>
                </w:r>
                <w:r>
                  <w:rPr>
                    <w:rFonts w:asciiTheme="minorHAnsi" w:eastAsiaTheme="minorEastAsia" w:hAnsiTheme="minorHAnsi"/>
                    <w:lang w:val="en-AU" w:eastAsia="en-AU"/>
                  </w:rPr>
                  <w:tab/>
                </w:r>
                <w:r w:rsidRPr="00716949">
                  <w:rPr>
                    <w:rStyle w:val="Hyperlink"/>
                  </w:rPr>
                  <w:t>Background</w:t>
                </w:r>
                <w:r>
                  <w:rPr>
                    <w:webHidden/>
                  </w:rPr>
                  <w:tab/>
                </w:r>
                <w:r>
                  <w:rPr>
                    <w:webHidden/>
                  </w:rPr>
                  <w:fldChar w:fldCharType="begin"/>
                </w:r>
                <w:r>
                  <w:rPr>
                    <w:webHidden/>
                  </w:rPr>
                  <w:instrText xml:space="preserve"> PAGEREF _Toc447275813 \h </w:instrText>
                </w:r>
                <w:r>
                  <w:rPr>
                    <w:webHidden/>
                  </w:rPr>
                </w:r>
                <w:r>
                  <w:rPr>
                    <w:webHidden/>
                  </w:rPr>
                  <w:fldChar w:fldCharType="separate"/>
                </w:r>
                <w:r>
                  <w:rPr>
                    <w:webHidden/>
                  </w:rPr>
                  <w:t>5</w:t>
                </w:r>
                <w:r>
                  <w:rPr>
                    <w:webHidden/>
                  </w:rPr>
                  <w:fldChar w:fldCharType="end"/>
                </w:r>
              </w:hyperlink>
            </w:p>
            <w:p w:rsidR="00D376EB" w:rsidRDefault="00D376EB">
              <w:pPr>
                <w:pStyle w:val="TOC2"/>
                <w:rPr>
                  <w:rFonts w:asciiTheme="minorHAnsi" w:eastAsiaTheme="minorEastAsia" w:hAnsiTheme="minorHAnsi"/>
                  <w:lang w:eastAsia="en-AU"/>
                </w:rPr>
              </w:pPr>
              <w:hyperlink w:anchor="_Toc447275814" w:history="1">
                <w:r w:rsidRPr="00716949">
                  <w:rPr>
                    <w:rStyle w:val="Hyperlink"/>
                  </w:rPr>
                  <w:t>2.1.</w:t>
                </w:r>
                <w:r>
                  <w:rPr>
                    <w:rFonts w:asciiTheme="minorHAnsi" w:eastAsiaTheme="minorEastAsia" w:hAnsiTheme="minorHAnsi"/>
                    <w:lang w:eastAsia="en-AU"/>
                  </w:rPr>
                  <w:tab/>
                </w:r>
                <w:r w:rsidRPr="00716949">
                  <w:rPr>
                    <w:rStyle w:val="Hyperlink"/>
                  </w:rPr>
                  <w:t>Australia Post’s functions and obligations</w:t>
                </w:r>
                <w:r>
                  <w:rPr>
                    <w:webHidden/>
                  </w:rPr>
                  <w:tab/>
                </w:r>
                <w:r>
                  <w:rPr>
                    <w:webHidden/>
                  </w:rPr>
                  <w:fldChar w:fldCharType="begin"/>
                </w:r>
                <w:r>
                  <w:rPr>
                    <w:webHidden/>
                  </w:rPr>
                  <w:instrText xml:space="preserve"> PAGEREF _Toc447275814 \h </w:instrText>
                </w:r>
                <w:r>
                  <w:rPr>
                    <w:webHidden/>
                  </w:rPr>
                </w:r>
                <w:r>
                  <w:rPr>
                    <w:webHidden/>
                  </w:rPr>
                  <w:fldChar w:fldCharType="separate"/>
                </w:r>
                <w:r>
                  <w:rPr>
                    <w:webHidden/>
                  </w:rPr>
                  <w:t>5</w:t>
                </w:r>
                <w:r>
                  <w:rPr>
                    <w:webHidden/>
                  </w:rPr>
                  <w:fldChar w:fldCharType="end"/>
                </w:r>
              </w:hyperlink>
            </w:p>
            <w:p w:rsidR="00D376EB" w:rsidRDefault="00D376EB">
              <w:pPr>
                <w:pStyle w:val="TOC2"/>
                <w:rPr>
                  <w:rFonts w:asciiTheme="minorHAnsi" w:eastAsiaTheme="minorEastAsia" w:hAnsiTheme="minorHAnsi"/>
                  <w:lang w:eastAsia="en-AU"/>
                </w:rPr>
              </w:pPr>
              <w:hyperlink w:anchor="_Toc447275815" w:history="1">
                <w:r w:rsidRPr="00716949">
                  <w:rPr>
                    <w:rStyle w:val="Hyperlink"/>
                  </w:rPr>
                  <w:t>2.2.</w:t>
                </w:r>
                <w:r>
                  <w:rPr>
                    <w:rFonts w:asciiTheme="minorHAnsi" w:eastAsiaTheme="minorEastAsia" w:hAnsiTheme="minorHAnsi"/>
                    <w:lang w:eastAsia="en-AU"/>
                  </w:rPr>
                  <w:tab/>
                </w:r>
                <w:r w:rsidRPr="00716949">
                  <w:rPr>
                    <w:rStyle w:val="Hyperlink"/>
                  </w:rPr>
                  <w:t>Services ‘reserved’ to Australia Post</w:t>
                </w:r>
                <w:r>
                  <w:rPr>
                    <w:webHidden/>
                  </w:rPr>
                  <w:tab/>
                </w:r>
                <w:r>
                  <w:rPr>
                    <w:webHidden/>
                  </w:rPr>
                  <w:fldChar w:fldCharType="begin"/>
                </w:r>
                <w:r>
                  <w:rPr>
                    <w:webHidden/>
                  </w:rPr>
                  <w:instrText xml:space="preserve"> PAGEREF _Toc447275815 \h </w:instrText>
                </w:r>
                <w:r>
                  <w:rPr>
                    <w:webHidden/>
                  </w:rPr>
                </w:r>
                <w:r>
                  <w:rPr>
                    <w:webHidden/>
                  </w:rPr>
                  <w:fldChar w:fldCharType="separate"/>
                </w:r>
                <w:r>
                  <w:rPr>
                    <w:webHidden/>
                  </w:rPr>
                  <w:t>6</w:t>
                </w:r>
                <w:r>
                  <w:rPr>
                    <w:webHidden/>
                  </w:rPr>
                  <w:fldChar w:fldCharType="end"/>
                </w:r>
              </w:hyperlink>
            </w:p>
            <w:p w:rsidR="00D376EB" w:rsidRDefault="00D376EB">
              <w:pPr>
                <w:pStyle w:val="TOC2"/>
                <w:rPr>
                  <w:rFonts w:asciiTheme="minorHAnsi" w:eastAsiaTheme="minorEastAsia" w:hAnsiTheme="minorHAnsi"/>
                  <w:lang w:eastAsia="en-AU"/>
                </w:rPr>
              </w:pPr>
              <w:hyperlink w:anchor="_Toc447275816" w:history="1">
                <w:r w:rsidRPr="00716949">
                  <w:rPr>
                    <w:rStyle w:val="Hyperlink"/>
                  </w:rPr>
                  <w:t>2.3.</w:t>
                </w:r>
                <w:r>
                  <w:rPr>
                    <w:rFonts w:asciiTheme="minorHAnsi" w:eastAsiaTheme="minorEastAsia" w:hAnsiTheme="minorHAnsi"/>
                    <w:lang w:eastAsia="en-AU"/>
                  </w:rPr>
                  <w:tab/>
                </w:r>
                <w:r w:rsidRPr="00716949">
                  <w:rPr>
                    <w:rStyle w:val="Hyperlink"/>
                  </w:rPr>
                  <w:t>ACCC role in the regulation of postal services</w:t>
                </w:r>
                <w:r>
                  <w:rPr>
                    <w:webHidden/>
                  </w:rPr>
                  <w:tab/>
                </w:r>
                <w:r>
                  <w:rPr>
                    <w:webHidden/>
                  </w:rPr>
                  <w:fldChar w:fldCharType="begin"/>
                </w:r>
                <w:r>
                  <w:rPr>
                    <w:webHidden/>
                  </w:rPr>
                  <w:instrText xml:space="preserve"> PAGEREF _Toc447275816 \h </w:instrText>
                </w:r>
                <w:r>
                  <w:rPr>
                    <w:webHidden/>
                  </w:rPr>
                </w:r>
                <w:r>
                  <w:rPr>
                    <w:webHidden/>
                  </w:rPr>
                  <w:fldChar w:fldCharType="separate"/>
                </w:r>
                <w:r>
                  <w:rPr>
                    <w:webHidden/>
                  </w:rPr>
                  <w:t>6</w:t>
                </w:r>
                <w:r>
                  <w:rPr>
                    <w:webHidden/>
                  </w:rPr>
                  <w:fldChar w:fldCharType="end"/>
                </w:r>
              </w:hyperlink>
            </w:p>
            <w:p w:rsidR="00D376EB" w:rsidRDefault="00D376EB">
              <w:pPr>
                <w:pStyle w:val="TOC2"/>
                <w:rPr>
                  <w:rFonts w:asciiTheme="minorHAnsi" w:eastAsiaTheme="minorEastAsia" w:hAnsiTheme="minorHAnsi"/>
                  <w:lang w:eastAsia="en-AU"/>
                </w:rPr>
              </w:pPr>
              <w:hyperlink w:anchor="_Toc447275817" w:history="1">
                <w:r w:rsidRPr="00716949">
                  <w:rPr>
                    <w:rStyle w:val="Hyperlink"/>
                  </w:rPr>
                  <w:t>2.4.</w:t>
                </w:r>
                <w:r>
                  <w:rPr>
                    <w:rFonts w:asciiTheme="minorHAnsi" w:eastAsiaTheme="minorEastAsia" w:hAnsiTheme="minorHAnsi"/>
                    <w:lang w:eastAsia="en-AU"/>
                  </w:rPr>
                  <w:tab/>
                </w:r>
                <w:r w:rsidRPr="00716949">
                  <w:rPr>
                    <w:rStyle w:val="Hyperlink"/>
                  </w:rPr>
                  <w:t>Record-keeping rule powers</w:t>
                </w:r>
                <w:r>
                  <w:rPr>
                    <w:webHidden/>
                  </w:rPr>
                  <w:tab/>
                </w:r>
                <w:r>
                  <w:rPr>
                    <w:webHidden/>
                  </w:rPr>
                  <w:fldChar w:fldCharType="begin"/>
                </w:r>
                <w:r>
                  <w:rPr>
                    <w:webHidden/>
                  </w:rPr>
                  <w:instrText xml:space="preserve"> PAGEREF _Toc447275817 \h </w:instrText>
                </w:r>
                <w:r>
                  <w:rPr>
                    <w:webHidden/>
                  </w:rPr>
                </w:r>
                <w:r>
                  <w:rPr>
                    <w:webHidden/>
                  </w:rPr>
                  <w:fldChar w:fldCharType="separate"/>
                </w:r>
                <w:r>
                  <w:rPr>
                    <w:webHidden/>
                  </w:rPr>
                  <w:t>7</w:t>
                </w:r>
                <w:r>
                  <w:rPr>
                    <w:webHidden/>
                  </w:rPr>
                  <w:fldChar w:fldCharType="end"/>
                </w:r>
              </w:hyperlink>
            </w:p>
            <w:p w:rsidR="00D376EB" w:rsidRDefault="00D376EB">
              <w:pPr>
                <w:pStyle w:val="TOC2"/>
                <w:rPr>
                  <w:rFonts w:asciiTheme="minorHAnsi" w:eastAsiaTheme="minorEastAsia" w:hAnsiTheme="minorHAnsi"/>
                  <w:lang w:eastAsia="en-AU"/>
                </w:rPr>
              </w:pPr>
              <w:hyperlink w:anchor="_Toc447275818" w:history="1">
                <w:r w:rsidRPr="00716949">
                  <w:rPr>
                    <w:rStyle w:val="Hyperlink"/>
                  </w:rPr>
                  <w:t>2.5.</w:t>
                </w:r>
                <w:r>
                  <w:rPr>
                    <w:rFonts w:asciiTheme="minorHAnsi" w:eastAsiaTheme="minorEastAsia" w:hAnsiTheme="minorHAnsi"/>
                    <w:lang w:eastAsia="en-AU"/>
                  </w:rPr>
                  <w:tab/>
                </w:r>
                <w:r w:rsidRPr="00716949">
                  <w:rPr>
                    <w:rStyle w:val="Hyperlink"/>
                  </w:rPr>
                  <w:t>Australia Post’s Cost Allocation Model</w:t>
                </w:r>
                <w:r>
                  <w:rPr>
                    <w:webHidden/>
                  </w:rPr>
                  <w:tab/>
                </w:r>
                <w:r>
                  <w:rPr>
                    <w:webHidden/>
                  </w:rPr>
                  <w:fldChar w:fldCharType="begin"/>
                </w:r>
                <w:r>
                  <w:rPr>
                    <w:webHidden/>
                  </w:rPr>
                  <w:instrText xml:space="preserve"> PAGEREF _Toc447275818 \h </w:instrText>
                </w:r>
                <w:r>
                  <w:rPr>
                    <w:webHidden/>
                  </w:rPr>
                </w:r>
                <w:r>
                  <w:rPr>
                    <w:webHidden/>
                  </w:rPr>
                  <w:fldChar w:fldCharType="separate"/>
                </w:r>
                <w:r>
                  <w:rPr>
                    <w:webHidden/>
                  </w:rPr>
                  <w:t>7</w:t>
                </w:r>
                <w:r>
                  <w:rPr>
                    <w:webHidden/>
                  </w:rPr>
                  <w:fldChar w:fldCharType="end"/>
                </w:r>
              </w:hyperlink>
            </w:p>
            <w:p w:rsidR="00D376EB" w:rsidRDefault="00D376EB">
              <w:pPr>
                <w:pStyle w:val="TOC2"/>
                <w:rPr>
                  <w:rFonts w:asciiTheme="minorHAnsi" w:eastAsiaTheme="minorEastAsia" w:hAnsiTheme="minorHAnsi"/>
                  <w:lang w:eastAsia="en-AU"/>
                </w:rPr>
              </w:pPr>
              <w:hyperlink w:anchor="_Toc447275819" w:history="1">
                <w:r w:rsidRPr="00716949">
                  <w:rPr>
                    <w:rStyle w:val="Hyperlink"/>
                  </w:rPr>
                  <w:t>2.6.</w:t>
                </w:r>
                <w:r>
                  <w:rPr>
                    <w:rFonts w:asciiTheme="minorHAnsi" w:eastAsiaTheme="minorEastAsia" w:hAnsiTheme="minorHAnsi"/>
                    <w:lang w:eastAsia="en-AU"/>
                  </w:rPr>
                  <w:tab/>
                </w:r>
                <w:r w:rsidRPr="00716949">
                  <w:rPr>
                    <w:rStyle w:val="Hyperlink"/>
                  </w:rPr>
                  <w:t>Wik review of Australia Post’s cost allocation model (CAM)</w:t>
                </w:r>
                <w:r>
                  <w:rPr>
                    <w:webHidden/>
                  </w:rPr>
                  <w:tab/>
                </w:r>
                <w:r>
                  <w:rPr>
                    <w:webHidden/>
                  </w:rPr>
                  <w:fldChar w:fldCharType="begin"/>
                </w:r>
                <w:r>
                  <w:rPr>
                    <w:webHidden/>
                  </w:rPr>
                  <w:instrText xml:space="preserve"> PAGEREF _Toc447275819 \h </w:instrText>
                </w:r>
                <w:r>
                  <w:rPr>
                    <w:webHidden/>
                  </w:rPr>
                </w:r>
                <w:r>
                  <w:rPr>
                    <w:webHidden/>
                  </w:rPr>
                  <w:fldChar w:fldCharType="separate"/>
                </w:r>
                <w:r>
                  <w:rPr>
                    <w:webHidden/>
                  </w:rPr>
                  <w:t>7</w:t>
                </w:r>
                <w:r>
                  <w:rPr>
                    <w:webHidden/>
                  </w:rPr>
                  <w:fldChar w:fldCharType="end"/>
                </w:r>
              </w:hyperlink>
            </w:p>
            <w:p w:rsidR="00D376EB" w:rsidRDefault="00D376EB">
              <w:pPr>
                <w:pStyle w:val="TOC1"/>
                <w:rPr>
                  <w:rFonts w:asciiTheme="minorHAnsi" w:eastAsiaTheme="minorEastAsia" w:hAnsiTheme="minorHAnsi"/>
                  <w:lang w:val="en-AU" w:eastAsia="en-AU"/>
                </w:rPr>
              </w:pPr>
              <w:hyperlink w:anchor="_Toc447275820" w:history="1">
                <w:r w:rsidRPr="00716949">
                  <w:rPr>
                    <w:rStyle w:val="Hyperlink"/>
                  </w:rPr>
                  <w:t>3.</w:t>
                </w:r>
                <w:r>
                  <w:rPr>
                    <w:rFonts w:asciiTheme="minorHAnsi" w:eastAsiaTheme="minorEastAsia" w:hAnsiTheme="minorHAnsi"/>
                    <w:lang w:val="en-AU" w:eastAsia="en-AU"/>
                  </w:rPr>
                  <w:tab/>
                </w:r>
                <w:r w:rsidRPr="00716949">
                  <w:rPr>
                    <w:rStyle w:val="Hyperlink"/>
                  </w:rPr>
                  <w:t>Framework for monitoring for cross-subsidy</w:t>
                </w:r>
                <w:r>
                  <w:rPr>
                    <w:webHidden/>
                  </w:rPr>
                  <w:tab/>
                </w:r>
                <w:r>
                  <w:rPr>
                    <w:webHidden/>
                  </w:rPr>
                  <w:fldChar w:fldCharType="begin"/>
                </w:r>
                <w:r>
                  <w:rPr>
                    <w:webHidden/>
                  </w:rPr>
                  <w:instrText xml:space="preserve"> PAGEREF _Toc447275820 \h </w:instrText>
                </w:r>
                <w:r>
                  <w:rPr>
                    <w:webHidden/>
                  </w:rPr>
                </w:r>
                <w:r>
                  <w:rPr>
                    <w:webHidden/>
                  </w:rPr>
                  <w:fldChar w:fldCharType="separate"/>
                </w:r>
                <w:r>
                  <w:rPr>
                    <w:webHidden/>
                  </w:rPr>
                  <w:t>9</w:t>
                </w:r>
                <w:r>
                  <w:rPr>
                    <w:webHidden/>
                  </w:rPr>
                  <w:fldChar w:fldCharType="end"/>
                </w:r>
              </w:hyperlink>
            </w:p>
            <w:p w:rsidR="00D376EB" w:rsidRDefault="00D376EB">
              <w:pPr>
                <w:pStyle w:val="TOC2"/>
                <w:rPr>
                  <w:rFonts w:asciiTheme="minorHAnsi" w:eastAsiaTheme="minorEastAsia" w:hAnsiTheme="minorHAnsi"/>
                  <w:lang w:eastAsia="en-AU"/>
                </w:rPr>
              </w:pPr>
              <w:hyperlink w:anchor="_Toc447275821" w:history="1">
                <w:r w:rsidRPr="00716949">
                  <w:rPr>
                    <w:rStyle w:val="Hyperlink"/>
                  </w:rPr>
                  <w:t>3.1.</w:t>
                </w:r>
                <w:r>
                  <w:rPr>
                    <w:rFonts w:asciiTheme="minorHAnsi" w:eastAsiaTheme="minorEastAsia" w:hAnsiTheme="minorHAnsi"/>
                    <w:lang w:eastAsia="en-AU"/>
                  </w:rPr>
                  <w:tab/>
                </w:r>
                <w:r w:rsidRPr="00716949">
                  <w:rPr>
                    <w:rStyle w:val="Hyperlink"/>
                  </w:rPr>
                  <w:t>Economic vs accounting costs</w:t>
                </w:r>
                <w:r>
                  <w:rPr>
                    <w:webHidden/>
                  </w:rPr>
                  <w:tab/>
                </w:r>
                <w:r>
                  <w:rPr>
                    <w:webHidden/>
                  </w:rPr>
                  <w:fldChar w:fldCharType="begin"/>
                </w:r>
                <w:r>
                  <w:rPr>
                    <w:webHidden/>
                  </w:rPr>
                  <w:instrText xml:space="preserve"> PAGEREF _Toc447275821 \h </w:instrText>
                </w:r>
                <w:r>
                  <w:rPr>
                    <w:webHidden/>
                  </w:rPr>
                </w:r>
                <w:r>
                  <w:rPr>
                    <w:webHidden/>
                  </w:rPr>
                  <w:fldChar w:fldCharType="separate"/>
                </w:r>
                <w:r>
                  <w:rPr>
                    <w:webHidden/>
                  </w:rPr>
                  <w:t>9</w:t>
                </w:r>
                <w:r>
                  <w:rPr>
                    <w:webHidden/>
                  </w:rPr>
                  <w:fldChar w:fldCharType="end"/>
                </w:r>
              </w:hyperlink>
            </w:p>
            <w:p w:rsidR="00D376EB" w:rsidRDefault="00D376EB">
              <w:pPr>
                <w:pStyle w:val="TOC2"/>
                <w:rPr>
                  <w:rFonts w:asciiTheme="minorHAnsi" w:eastAsiaTheme="minorEastAsia" w:hAnsiTheme="minorHAnsi"/>
                  <w:lang w:eastAsia="en-AU"/>
                </w:rPr>
              </w:pPr>
              <w:hyperlink w:anchor="_Toc447275822" w:history="1">
                <w:r w:rsidRPr="00716949">
                  <w:rPr>
                    <w:rStyle w:val="Hyperlink"/>
                  </w:rPr>
                  <w:t>3.2.</w:t>
                </w:r>
                <w:r>
                  <w:rPr>
                    <w:rFonts w:asciiTheme="minorHAnsi" w:eastAsiaTheme="minorEastAsia" w:hAnsiTheme="minorHAnsi"/>
                    <w:lang w:eastAsia="en-AU"/>
                  </w:rPr>
                  <w:tab/>
                </w:r>
                <w:r w:rsidRPr="00716949">
                  <w:rPr>
                    <w:rStyle w:val="Hyperlink"/>
                  </w:rPr>
                  <w:t>Testing for cross-subsidy</w:t>
                </w:r>
                <w:r>
                  <w:rPr>
                    <w:webHidden/>
                  </w:rPr>
                  <w:tab/>
                </w:r>
                <w:r>
                  <w:rPr>
                    <w:webHidden/>
                  </w:rPr>
                  <w:fldChar w:fldCharType="begin"/>
                </w:r>
                <w:r>
                  <w:rPr>
                    <w:webHidden/>
                  </w:rPr>
                  <w:instrText xml:space="preserve"> PAGEREF _Toc447275822 \h </w:instrText>
                </w:r>
                <w:r>
                  <w:rPr>
                    <w:webHidden/>
                  </w:rPr>
                </w:r>
                <w:r>
                  <w:rPr>
                    <w:webHidden/>
                  </w:rPr>
                  <w:fldChar w:fldCharType="separate"/>
                </w:r>
                <w:r>
                  <w:rPr>
                    <w:webHidden/>
                  </w:rPr>
                  <w:t>9</w:t>
                </w:r>
                <w:r>
                  <w:rPr>
                    <w:webHidden/>
                  </w:rPr>
                  <w:fldChar w:fldCharType="end"/>
                </w:r>
              </w:hyperlink>
            </w:p>
            <w:p w:rsidR="00D376EB" w:rsidRDefault="00D376EB">
              <w:pPr>
                <w:pStyle w:val="TOC1"/>
                <w:rPr>
                  <w:rFonts w:asciiTheme="minorHAnsi" w:eastAsiaTheme="minorEastAsia" w:hAnsiTheme="minorHAnsi"/>
                  <w:lang w:val="en-AU" w:eastAsia="en-AU"/>
                </w:rPr>
              </w:pPr>
              <w:hyperlink w:anchor="_Toc447275823" w:history="1">
                <w:r w:rsidRPr="00716949">
                  <w:rPr>
                    <w:rStyle w:val="Hyperlink"/>
                  </w:rPr>
                  <w:t>4.</w:t>
                </w:r>
                <w:r>
                  <w:rPr>
                    <w:rFonts w:asciiTheme="minorHAnsi" w:eastAsiaTheme="minorEastAsia" w:hAnsiTheme="minorHAnsi"/>
                    <w:lang w:val="en-AU" w:eastAsia="en-AU"/>
                  </w:rPr>
                  <w:tab/>
                </w:r>
                <w:r w:rsidRPr="00716949">
                  <w:rPr>
                    <w:rStyle w:val="Hyperlink"/>
                  </w:rPr>
                  <w:t>Analysis of Australia Post’s 2014–15 accounts</w:t>
                </w:r>
                <w:r>
                  <w:rPr>
                    <w:webHidden/>
                  </w:rPr>
                  <w:tab/>
                </w:r>
                <w:r>
                  <w:rPr>
                    <w:webHidden/>
                  </w:rPr>
                  <w:fldChar w:fldCharType="begin"/>
                </w:r>
                <w:r>
                  <w:rPr>
                    <w:webHidden/>
                  </w:rPr>
                  <w:instrText xml:space="preserve"> PAGEREF _Toc447275823 \h </w:instrText>
                </w:r>
                <w:r>
                  <w:rPr>
                    <w:webHidden/>
                  </w:rPr>
                </w:r>
                <w:r>
                  <w:rPr>
                    <w:webHidden/>
                  </w:rPr>
                  <w:fldChar w:fldCharType="separate"/>
                </w:r>
                <w:r>
                  <w:rPr>
                    <w:webHidden/>
                  </w:rPr>
                  <w:t>12</w:t>
                </w:r>
                <w:r>
                  <w:rPr>
                    <w:webHidden/>
                  </w:rPr>
                  <w:fldChar w:fldCharType="end"/>
                </w:r>
              </w:hyperlink>
            </w:p>
            <w:p w:rsidR="00D376EB" w:rsidRDefault="00D376EB">
              <w:pPr>
                <w:pStyle w:val="TOC2"/>
                <w:rPr>
                  <w:rFonts w:asciiTheme="minorHAnsi" w:eastAsiaTheme="minorEastAsia" w:hAnsiTheme="minorHAnsi"/>
                  <w:lang w:eastAsia="en-AU"/>
                </w:rPr>
              </w:pPr>
              <w:hyperlink w:anchor="_Toc447275824" w:history="1">
                <w:r w:rsidRPr="00716949">
                  <w:rPr>
                    <w:rStyle w:val="Hyperlink"/>
                  </w:rPr>
                  <w:t>4.1.</w:t>
                </w:r>
                <w:r>
                  <w:rPr>
                    <w:rFonts w:asciiTheme="minorHAnsi" w:eastAsiaTheme="minorEastAsia" w:hAnsiTheme="minorHAnsi"/>
                    <w:lang w:eastAsia="en-AU"/>
                  </w:rPr>
                  <w:tab/>
                </w:r>
                <w:r w:rsidRPr="00716949">
                  <w:rPr>
                    <w:rStyle w:val="Hyperlink"/>
                  </w:rPr>
                  <w:t>Did any service group receive a subsidy in 2014–15?</w:t>
                </w:r>
                <w:r>
                  <w:rPr>
                    <w:webHidden/>
                  </w:rPr>
                  <w:tab/>
                </w:r>
                <w:r>
                  <w:rPr>
                    <w:webHidden/>
                  </w:rPr>
                  <w:fldChar w:fldCharType="begin"/>
                </w:r>
                <w:r>
                  <w:rPr>
                    <w:webHidden/>
                  </w:rPr>
                  <w:instrText xml:space="preserve"> PAGEREF _Toc447275824 \h </w:instrText>
                </w:r>
                <w:r>
                  <w:rPr>
                    <w:webHidden/>
                  </w:rPr>
                </w:r>
                <w:r>
                  <w:rPr>
                    <w:webHidden/>
                  </w:rPr>
                  <w:fldChar w:fldCharType="separate"/>
                </w:r>
                <w:r>
                  <w:rPr>
                    <w:webHidden/>
                  </w:rPr>
                  <w:t>14</w:t>
                </w:r>
                <w:r>
                  <w:rPr>
                    <w:webHidden/>
                  </w:rPr>
                  <w:fldChar w:fldCharType="end"/>
                </w:r>
              </w:hyperlink>
            </w:p>
            <w:p w:rsidR="00D376EB" w:rsidRDefault="00D376EB">
              <w:pPr>
                <w:pStyle w:val="TOC3"/>
                <w:rPr>
                  <w:rFonts w:asciiTheme="minorHAnsi" w:eastAsiaTheme="minorEastAsia" w:hAnsiTheme="minorHAnsi"/>
                  <w:lang w:eastAsia="en-AU"/>
                </w:rPr>
              </w:pPr>
              <w:hyperlink w:anchor="_Toc447275825" w:history="1">
                <w:r w:rsidRPr="00716949">
                  <w:rPr>
                    <w:rStyle w:val="Hyperlink"/>
                  </w:rPr>
                  <w:t>4.1.1.</w:t>
                </w:r>
                <w:r>
                  <w:rPr>
                    <w:rFonts w:asciiTheme="minorHAnsi" w:eastAsiaTheme="minorEastAsia" w:hAnsiTheme="minorHAnsi"/>
                    <w:lang w:eastAsia="en-AU"/>
                  </w:rPr>
                  <w:tab/>
                </w:r>
                <w:r w:rsidRPr="00716949">
                  <w:rPr>
                    <w:rStyle w:val="Hyperlink"/>
                  </w:rPr>
                  <w:t>International inward letters (non-reserved)</w:t>
                </w:r>
                <w:r>
                  <w:rPr>
                    <w:webHidden/>
                  </w:rPr>
                  <w:tab/>
                </w:r>
                <w:r>
                  <w:rPr>
                    <w:webHidden/>
                  </w:rPr>
                  <w:fldChar w:fldCharType="begin"/>
                </w:r>
                <w:r>
                  <w:rPr>
                    <w:webHidden/>
                  </w:rPr>
                  <w:instrText xml:space="preserve"> PAGEREF _Toc447275825 \h </w:instrText>
                </w:r>
                <w:r>
                  <w:rPr>
                    <w:webHidden/>
                  </w:rPr>
                </w:r>
                <w:r>
                  <w:rPr>
                    <w:webHidden/>
                  </w:rPr>
                  <w:fldChar w:fldCharType="separate"/>
                </w:r>
                <w:r>
                  <w:rPr>
                    <w:webHidden/>
                  </w:rPr>
                  <w:t>14</w:t>
                </w:r>
                <w:r>
                  <w:rPr>
                    <w:webHidden/>
                  </w:rPr>
                  <w:fldChar w:fldCharType="end"/>
                </w:r>
              </w:hyperlink>
            </w:p>
            <w:p w:rsidR="00D376EB" w:rsidRDefault="00D376EB">
              <w:pPr>
                <w:pStyle w:val="TOC3"/>
                <w:rPr>
                  <w:rFonts w:asciiTheme="minorHAnsi" w:eastAsiaTheme="minorEastAsia" w:hAnsiTheme="minorHAnsi"/>
                  <w:lang w:eastAsia="en-AU"/>
                </w:rPr>
              </w:pPr>
              <w:hyperlink w:anchor="_Toc447275826" w:history="1">
                <w:r w:rsidRPr="00716949">
                  <w:rPr>
                    <w:rStyle w:val="Hyperlink"/>
                  </w:rPr>
                  <w:t>4.1.2.</w:t>
                </w:r>
                <w:r>
                  <w:rPr>
                    <w:rFonts w:asciiTheme="minorHAnsi" w:eastAsiaTheme="minorEastAsia" w:hAnsiTheme="minorHAnsi"/>
                    <w:lang w:eastAsia="en-AU"/>
                  </w:rPr>
                  <w:tab/>
                </w:r>
                <w:r w:rsidRPr="00716949">
                  <w:rPr>
                    <w:rStyle w:val="Hyperlink"/>
                  </w:rPr>
                  <w:t>International inward parcels (non-reserved)</w:t>
                </w:r>
                <w:r>
                  <w:rPr>
                    <w:webHidden/>
                  </w:rPr>
                  <w:tab/>
                </w:r>
                <w:r>
                  <w:rPr>
                    <w:webHidden/>
                  </w:rPr>
                  <w:fldChar w:fldCharType="begin"/>
                </w:r>
                <w:r>
                  <w:rPr>
                    <w:webHidden/>
                  </w:rPr>
                  <w:instrText xml:space="preserve"> PAGEREF _Toc447275826 \h </w:instrText>
                </w:r>
                <w:r>
                  <w:rPr>
                    <w:webHidden/>
                  </w:rPr>
                </w:r>
                <w:r>
                  <w:rPr>
                    <w:webHidden/>
                  </w:rPr>
                  <w:fldChar w:fldCharType="separate"/>
                </w:r>
                <w:r>
                  <w:rPr>
                    <w:webHidden/>
                  </w:rPr>
                  <w:t>15</w:t>
                </w:r>
                <w:r>
                  <w:rPr>
                    <w:webHidden/>
                  </w:rPr>
                  <w:fldChar w:fldCharType="end"/>
                </w:r>
              </w:hyperlink>
            </w:p>
            <w:p w:rsidR="00D376EB" w:rsidRDefault="00D376EB">
              <w:pPr>
                <w:pStyle w:val="TOC3"/>
                <w:rPr>
                  <w:rFonts w:asciiTheme="minorHAnsi" w:eastAsiaTheme="minorEastAsia" w:hAnsiTheme="minorHAnsi"/>
                  <w:lang w:eastAsia="en-AU"/>
                </w:rPr>
              </w:pPr>
              <w:hyperlink w:anchor="_Toc447275827" w:history="1">
                <w:r w:rsidRPr="00716949">
                  <w:rPr>
                    <w:rStyle w:val="Hyperlink"/>
                  </w:rPr>
                  <w:t>4.1.3.</w:t>
                </w:r>
                <w:r>
                  <w:rPr>
                    <w:rFonts w:asciiTheme="minorHAnsi" w:eastAsiaTheme="minorEastAsia" w:hAnsiTheme="minorHAnsi"/>
                    <w:lang w:eastAsia="en-AU"/>
                  </w:rPr>
                  <w:tab/>
                </w:r>
                <w:r w:rsidRPr="00716949">
                  <w:rPr>
                    <w:rStyle w:val="Hyperlink"/>
                  </w:rPr>
                  <w:t>the $A/SDR exchange rate and domestic delivery costs.</w:t>
                </w:r>
                <w:r>
                  <w:rPr>
                    <w:webHidden/>
                  </w:rPr>
                  <w:tab/>
                </w:r>
                <w:r>
                  <w:rPr>
                    <w:webHidden/>
                  </w:rPr>
                  <w:fldChar w:fldCharType="begin"/>
                </w:r>
                <w:r>
                  <w:rPr>
                    <w:webHidden/>
                  </w:rPr>
                  <w:instrText xml:space="preserve"> PAGEREF _Toc447275827 \h </w:instrText>
                </w:r>
                <w:r>
                  <w:rPr>
                    <w:webHidden/>
                  </w:rPr>
                </w:r>
                <w:r>
                  <w:rPr>
                    <w:webHidden/>
                  </w:rPr>
                  <w:fldChar w:fldCharType="separate"/>
                </w:r>
                <w:r>
                  <w:rPr>
                    <w:webHidden/>
                  </w:rPr>
                  <w:t>15</w:t>
                </w:r>
                <w:r>
                  <w:rPr>
                    <w:webHidden/>
                  </w:rPr>
                  <w:fldChar w:fldCharType="end"/>
                </w:r>
              </w:hyperlink>
            </w:p>
            <w:p w:rsidR="00D376EB" w:rsidRDefault="00D376EB">
              <w:pPr>
                <w:pStyle w:val="TOC3"/>
                <w:rPr>
                  <w:rFonts w:asciiTheme="minorHAnsi" w:eastAsiaTheme="minorEastAsia" w:hAnsiTheme="minorHAnsi"/>
                  <w:lang w:eastAsia="en-AU"/>
                </w:rPr>
              </w:pPr>
              <w:hyperlink w:anchor="_Toc447275828" w:history="1">
                <w:r w:rsidRPr="00716949">
                  <w:rPr>
                    <w:rStyle w:val="Hyperlink"/>
                  </w:rPr>
                  <w:t>4.1.4.</w:t>
                </w:r>
                <w:r>
                  <w:rPr>
                    <w:rFonts w:asciiTheme="minorHAnsi" w:eastAsiaTheme="minorEastAsia" w:hAnsiTheme="minorHAnsi"/>
                    <w:lang w:eastAsia="en-AU"/>
                  </w:rPr>
                  <w:tab/>
                </w:r>
                <w:r w:rsidRPr="00716949">
                  <w:rPr>
                    <w:rStyle w:val="Hyperlink"/>
                  </w:rPr>
                  <w:t>Large PreSort letters (non-reserved)</w:t>
                </w:r>
                <w:r>
                  <w:rPr>
                    <w:webHidden/>
                  </w:rPr>
                  <w:tab/>
                </w:r>
                <w:r>
                  <w:rPr>
                    <w:webHidden/>
                  </w:rPr>
                  <w:fldChar w:fldCharType="begin"/>
                </w:r>
                <w:r>
                  <w:rPr>
                    <w:webHidden/>
                  </w:rPr>
                  <w:instrText xml:space="preserve"> PAGEREF _Toc447275828 \h </w:instrText>
                </w:r>
                <w:r>
                  <w:rPr>
                    <w:webHidden/>
                  </w:rPr>
                </w:r>
                <w:r>
                  <w:rPr>
                    <w:webHidden/>
                  </w:rPr>
                  <w:fldChar w:fldCharType="separate"/>
                </w:r>
                <w:r>
                  <w:rPr>
                    <w:webHidden/>
                  </w:rPr>
                  <w:t>15</w:t>
                </w:r>
                <w:r>
                  <w:rPr>
                    <w:webHidden/>
                  </w:rPr>
                  <w:fldChar w:fldCharType="end"/>
                </w:r>
              </w:hyperlink>
            </w:p>
            <w:p w:rsidR="00D376EB" w:rsidRDefault="00D376EB">
              <w:pPr>
                <w:pStyle w:val="TOC3"/>
                <w:rPr>
                  <w:rFonts w:asciiTheme="minorHAnsi" w:eastAsiaTheme="minorEastAsia" w:hAnsiTheme="minorHAnsi"/>
                  <w:lang w:eastAsia="en-AU"/>
                </w:rPr>
              </w:pPr>
              <w:hyperlink w:anchor="_Toc447275829" w:history="1">
                <w:r w:rsidRPr="00716949">
                  <w:rPr>
                    <w:rStyle w:val="Hyperlink"/>
                  </w:rPr>
                  <w:t>4.1.5.</w:t>
                </w:r>
                <w:r>
                  <w:rPr>
                    <w:rFonts w:asciiTheme="minorHAnsi" w:eastAsiaTheme="minorEastAsia" w:hAnsiTheme="minorHAnsi"/>
                    <w:lang w:eastAsia="en-AU"/>
                  </w:rPr>
                  <w:tab/>
                </w:r>
                <w:r w:rsidRPr="00716949">
                  <w:rPr>
                    <w:rStyle w:val="Hyperlink"/>
                  </w:rPr>
                  <w:t>Other letter mail services (non-reserved)</w:t>
                </w:r>
                <w:r>
                  <w:rPr>
                    <w:webHidden/>
                  </w:rPr>
                  <w:tab/>
                </w:r>
                <w:r>
                  <w:rPr>
                    <w:webHidden/>
                  </w:rPr>
                  <w:fldChar w:fldCharType="begin"/>
                </w:r>
                <w:r>
                  <w:rPr>
                    <w:webHidden/>
                  </w:rPr>
                  <w:instrText xml:space="preserve"> PAGEREF _Toc447275829 \h </w:instrText>
                </w:r>
                <w:r>
                  <w:rPr>
                    <w:webHidden/>
                  </w:rPr>
                </w:r>
                <w:r>
                  <w:rPr>
                    <w:webHidden/>
                  </w:rPr>
                  <w:fldChar w:fldCharType="separate"/>
                </w:r>
                <w:r>
                  <w:rPr>
                    <w:webHidden/>
                  </w:rPr>
                  <w:t>15</w:t>
                </w:r>
                <w:r>
                  <w:rPr>
                    <w:webHidden/>
                  </w:rPr>
                  <w:fldChar w:fldCharType="end"/>
                </w:r>
              </w:hyperlink>
            </w:p>
            <w:p w:rsidR="00D376EB" w:rsidRDefault="00D376EB">
              <w:pPr>
                <w:pStyle w:val="TOC3"/>
                <w:rPr>
                  <w:rFonts w:asciiTheme="minorHAnsi" w:eastAsiaTheme="minorEastAsia" w:hAnsiTheme="minorHAnsi"/>
                  <w:lang w:eastAsia="en-AU"/>
                </w:rPr>
              </w:pPr>
              <w:hyperlink w:anchor="_Toc447275830" w:history="1">
                <w:r w:rsidRPr="00716949">
                  <w:rPr>
                    <w:rStyle w:val="Hyperlink"/>
                  </w:rPr>
                  <w:t>4.1.6.</w:t>
                </w:r>
                <w:r>
                  <w:rPr>
                    <w:rFonts w:asciiTheme="minorHAnsi" w:eastAsiaTheme="minorEastAsia" w:hAnsiTheme="minorHAnsi"/>
                    <w:lang w:eastAsia="en-AU"/>
                  </w:rPr>
                  <w:tab/>
                </w:r>
                <w:r w:rsidRPr="00716949">
                  <w:rPr>
                    <w:rStyle w:val="Hyperlink"/>
                  </w:rPr>
                  <w:t>Other services (non-reserved)</w:t>
                </w:r>
                <w:r>
                  <w:rPr>
                    <w:webHidden/>
                  </w:rPr>
                  <w:tab/>
                </w:r>
                <w:r>
                  <w:rPr>
                    <w:webHidden/>
                  </w:rPr>
                  <w:fldChar w:fldCharType="begin"/>
                </w:r>
                <w:r>
                  <w:rPr>
                    <w:webHidden/>
                  </w:rPr>
                  <w:instrText xml:space="preserve"> PAGEREF _Toc447275830 \h </w:instrText>
                </w:r>
                <w:r>
                  <w:rPr>
                    <w:webHidden/>
                  </w:rPr>
                </w:r>
                <w:r>
                  <w:rPr>
                    <w:webHidden/>
                  </w:rPr>
                  <w:fldChar w:fldCharType="separate"/>
                </w:r>
                <w:r>
                  <w:rPr>
                    <w:webHidden/>
                  </w:rPr>
                  <w:t>16</w:t>
                </w:r>
                <w:r>
                  <w:rPr>
                    <w:webHidden/>
                  </w:rPr>
                  <w:fldChar w:fldCharType="end"/>
                </w:r>
              </w:hyperlink>
            </w:p>
            <w:p w:rsidR="00D376EB" w:rsidRDefault="00D376EB">
              <w:pPr>
                <w:pStyle w:val="TOC3"/>
                <w:rPr>
                  <w:rFonts w:asciiTheme="minorHAnsi" w:eastAsiaTheme="minorEastAsia" w:hAnsiTheme="minorHAnsi"/>
                  <w:lang w:eastAsia="en-AU"/>
                </w:rPr>
              </w:pPr>
              <w:hyperlink w:anchor="_Toc447275831" w:history="1">
                <w:r w:rsidRPr="00716949">
                  <w:rPr>
                    <w:rStyle w:val="Hyperlink"/>
                  </w:rPr>
                  <w:t>4.1.7.</w:t>
                </w:r>
                <w:r>
                  <w:rPr>
                    <w:rFonts w:asciiTheme="minorHAnsi" w:eastAsiaTheme="minorEastAsia" w:hAnsiTheme="minorHAnsi"/>
                    <w:lang w:eastAsia="en-AU"/>
                  </w:rPr>
                  <w:tab/>
                </w:r>
                <w:r w:rsidRPr="00716949">
                  <w:rPr>
                    <w:rStyle w:val="Hyperlink"/>
                  </w:rPr>
                  <w:t>Reserved services</w:t>
                </w:r>
                <w:r>
                  <w:rPr>
                    <w:webHidden/>
                  </w:rPr>
                  <w:tab/>
                </w:r>
                <w:r>
                  <w:rPr>
                    <w:webHidden/>
                  </w:rPr>
                  <w:fldChar w:fldCharType="begin"/>
                </w:r>
                <w:r>
                  <w:rPr>
                    <w:webHidden/>
                  </w:rPr>
                  <w:instrText xml:space="preserve"> PAGEREF _Toc447275831 \h </w:instrText>
                </w:r>
                <w:r>
                  <w:rPr>
                    <w:webHidden/>
                  </w:rPr>
                </w:r>
                <w:r>
                  <w:rPr>
                    <w:webHidden/>
                  </w:rPr>
                  <w:fldChar w:fldCharType="separate"/>
                </w:r>
                <w:r>
                  <w:rPr>
                    <w:webHidden/>
                  </w:rPr>
                  <w:t>16</w:t>
                </w:r>
                <w:r>
                  <w:rPr>
                    <w:webHidden/>
                  </w:rPr>
                  <w:fldChar w:fldCharType="end"/>
                </w:r>
              </w:hyperlink>
            </w:p>
            <w:p w:rsidR="00D376EB" w:rsidRDefault="00D376EB">
              <w:pPr>
                <w:pStyle w:val="TOC2"/>
                <w:rPr>
                  <w:rFonts w:asciiTheme="minorHAnsi" w:eastAsiaTheme="minorEastAsia" w:hAnsiTheme="minorHAnsi"/>
                  <w:lang w:eastAsia="en-AU"/>
                </w:rPr>
              </w:pPr>
              <w:hyperlink w:anchor="_Toc447275832" w:history="1">
                <w:r w:rsidRPr="00716949">
                  <w:rPr>
                    <w:rStyle w:val="Hyperlink"/>
                  </w:rPr>
                  <w:t>4.2.</w:t>
                </w:r>
                <w:r>
                  <w:rPr>
                    <w:rFonts w:asciiTheme="minorHAnsi" w:eastAsiaTheme="minorEastAsia" w:hAnsiTheme="minorHAnsi"/>
                    <w:lang w:eastAsia="en-AU"/>
                  </w:rPr>
                  <w:tab/>
                </w:r>
                <w:r w:rsidRPr="00716949">
                  <w:rPr>
                    <w:rStyle w:val="Hyperlink"/>
                  </w:rPr>
                  <w:t>Are reserved services a source of subsidy?</w:t>
                </w:r>
                <w:r>
                  <w:rPr>
                    <w:webHidden/>
                  </w:rPr>
                  <w:tab/>
                </w:r>
                <w:r>
                  <w:rPr>
                    <w:webHidden/>
                  </w:rPr>
                  <w:fldChar w:fldCharType="begin"/>
                </w:r>
                <w:r>
                  <w:rPr>
                    <w:webHidden/>
                  </w:rPr>
                  <w:instrText xml:space="preserve"> PAGEREF _Toc447275832 \h </w:instrText>
                </w:r>
                <w:r>
                  <w:rPr>
                    <w:webHidden/>
                  </w:rPr>
                </w:r>
                <w:r>
                  <w:rPr>
                    <w:webHidden/>
                  </w:rPr>
                  <w:fldChar w:fldCharType="separate"/>
                </w:r>
                <w:r>
                  <w:rPr>
                    <w:webHidden/>
                  </w:rPr>
                  <w:t>16</w:t>
                </w:r>
                <w:r>
                  <w:rPr>
                    <w:webHidden/>
                  </w:rPr>
                  <w:fldChar w:fldCharType="end"/>
                </w:r>
              </w:hyperlink>
            </w:p>
            <w:p w:rsidR="00D376EB" w:rsidRDefault="00D376EB">
              <w:pPr>
                <w:pStyle w:val="TOC2"/>
                <w:rPr>
                  <w:rFonts w:asciiTheme="minorHAnsi" w:eastAsiaTheme="minorEastAsia" w:hAnsiTheme="minorHAnsi"/>
                  <w:lang w:eastAsia="en-AU"/>
                </w:rPr>
              </w:pPr>
              <w:hyperlink w:anchor="_Toc447275833" w:history="1">
                <w:r w:rsidRPr="00716949">
                  <w:rPr>
                    <w:rStyle w:val="Hyperlink"/>
                  </w:rPr>
                  <w:t>4.3.</w:t>
                </w:r>
                <w:r>
                  <w:rPr>
                    <w:rFonts w:asciiTheme="minorHAnsi" w:eastAsiaTheme="minorEastAsia" w:hAnsiTheme="minorHAnsi"/>
                    <w:lang w:eastAsia="en-AU"/>
                  </w:rPr>
                  <w:tab/>
                </w:r>
                <w:r w:rsidRPr="00716949">
                  <w:rPr>
                    <w:rStyle w:val="Hyperlink"/>
                  </w:rPr>
                  <w:t>Total letter services and total mail services</w:t>
                </w:r>
                <w:r>
                  <w:rPr>
                    <w:webHidden/>
                  </w:rPr>
                  <w:tab/>
                </w:r>
                <w:r>
                  <w:rPr>
                    <w:webHidden/>
                  </w:rPr>
                  <w:fldChar w:fldCharType="begin"/>
                </w:r>
                <w:r>
                  <w:rPr>
                    <w:webHidden/>
                  </w:rPr>
                  <w:instrText xml:space="preserve"> PAGEREF _Toc447275833 \h </w:instrText>
                </w:r>
                <w:r>
                  <w:rPr>
                    <w:webHidden/>
                  </w:rPr>
                </w:r>
                <w:r>
                  <w:rPr>
                    <w:webHidden/>
                  </w:rPr>
                  <w:fldChar w:fldCharType="separate"/>
                </w:r>
                <w:r>
                  <w:rPr>
                    <w:webHidden/>
                  </w:rPr>
                  <w:t>18</w:t>
                </w:r>
                <w:r>
                  <w:rPr>
                    <w:webHidden/>
                  </w:rPr>
                  <w:fldChar w:fldCharType="end"/>
                </w:r>
              </w:hyperlink>
            </w:p>
            <w:p w:rsidR="00D376EB" w:rsidRDefault="00D376EB">
              <w:pPr>
                <w:pStyle w:val="TOC2"/>
                <w:rPr>
                  <w:rFonts w:asciiTheme="minorHAnsi" w:eastAsiaTheme="minorEastAsia" w:hAnsiTheme="minorHAnsi"/>
                  <w:lang w:eastAsia="en-AU"/>
                </w:rPr>
              </w:pPr>
              <w:hyperlink w:anchor="_Toc447275834" w:history="1">
                <w:r w:rsidRPr="00716949">
                  <w:rPr>
                    <w:rStyle w:val="Hyperlink"/>
                  </w:rPr>
                  <w:t>4.4.</w:t>
                </w:r>
                <w:r>
                  <w:rPr>
                    <w:rFonts w:asciiTheme="minorHAnsi" w:eastAsiaTheme="minorEastAsia" w:hAnsiTheme="minorHAnsi"/>
                    <w:lang w:eastAsia="en-AU"/>
                  </w:rPr>
                  <w:tab/>
                </w:r>
                <w:r w:rsidRPr="00716949">
                  <w:rPr>
                    <w:rStyle w:val="Hyperlink"/>
                  </w:rPr>
                  <w:t>Cross-subsidy assessment over time</w:t>
                </w:r>
                <w:r>
                  <w:rPr>
                    <w:webHidden/>
                  </w:rPr>
                  <w:tab/>
                </w:r>
                <w:r>
                  <w:rPr>
                    <w:webHidden/>
                  </w:rPr>
                  <w:fldChar w:fldCharType="begin"/>
                </w:r>
                <w:r>
                  <w:rPr>
                    <w:webHidden/>
                  </w:rPr>
                  <w:instrText xml:space="preserve"> PAGEREF _Toc447275834 \h </w:instrText>
                </w:r>
                <w:r>
                  <w:rPr>
                    <w:webHidden/>
                  </w:rPr>
                </w:r>
                <w:r>
                  <w:rPr>
                    <w:webHidden/>
                  </w:rPr>
                  <w:fldChar w:fldCharType="separate"/>
                </w:r>
                <w:r>
                  <w:rPr>
                    <w:webHidden/>
                  </w:rPr>
                  <w:t>19</w:t>
                </w:r>
                <w:r>
                  <w:rPr>
                    <w:webHidden/>
                  </w:rPr>
                  <w:fldChar w:fldCharType="end"/>
                </w:r>
              </w:hyperlink>
            </w:p>
            <w:p w:rsidR="00D376EB" w:rsidRDefault="00D376EB">
              <w:pPr>
                <w:pStyle w:val="TOC3"/>
                <w:rPr>
                  <w:rFonts w:asciiTheme="minorHAnsi" w:eastAsiaTheme="minorEastAsia" w:hAnsiTheme="minorHAnsi"/>
                  <w:lang w:eastAsia="en-AU"/>
                </w:rPr>
              </w:pPr>
              <w:hyperlink w:anchor="_Toc447275835" w:history="1">
                <w:r w:rsidRPr="00716949">
                  <w:rPr>
                    <w:rStyle w:val="Hyperlink"/>
                  </w:rPr>
                  <w:t>4.4.1.</w:t>
                </w:r>
                <w:r>
                  <w:rPr>
                    <w:rFonts w:asciiTheme="minorHAnsi" w:eastAsiaTheme="minorEastAsia" w:hAnsiTheme="minorHAnsi"/>
                    <w:lang w:eastAsia="en-AU"/>
                  </w:rPr>
                  <w:tab/>
                </w:r>
                <w:r w:rsidRPr="00716949">
                  <w:rPr>
                    <w:rStyle w:val="Hyperlink"/>
                  </w:rPr>
                  <w:t>Total business</w:t>
                </w:r>
                <w:r>
                  <w:rPr>
                    <w:webHidden/>
                  </w:rPr>
                  <w:tab/>
                </w:r>
                <w:r>
                  <w:rPr>
                    <w:webHidden/>
                  </w:rPr>
                  <w:fldChar w:fldCharType="begin"/>
                </w:r>
                <w:r>
                  <w:rPr>
                    <w:webHidden/>
                  </w:rPr>
                  <w:instrText xml:space="preserve"> PAGEREF _Toc447275835 \h </w:instrText>
                </w:r>
                <w:r>
                  <w:rPr>
                    <w:webHidden/>
                  </w:rPr>
                </w:r>
                <w:r>
                  <w:rPr>
                    <w:webHidden/>
                  </w:rPr>
                  <w:fldChar w:fldCharType="separate"/>
                </w:r>
                <w:r>
                  <w:rPr>
                    <w:webHidden/>
                  </w:rPr>
                  <w:t>20</w:t>
                </w:r>
                <w:r>
                  <w:rPr>
                    <w:webHidden/>
                  </w:rPr>
                  <w:fldChar w:fldCharType="end"/>
                </w:r>
              </w:hyperlink>
            </w:p>
            <w:p w:rsidR="00D376EB" w:rsidRDefault="00D376EB">
              <w:pPr>
                <w:pStyle w:val="TOC3"/>
                <w:rPr>
                  <w:rFonts w:asciiTheme="minorHAnsi" w:eastAsiaTheme="minorEastAsia" w:hAnsiTheme="minorHAnsi"/>
                  <w:lang w:eastAsia="en-AU"/>
                </w:rPr>
              </w:pPr>
              <w:hyperlink w:anchor="_Toc447275836" w:history="1">
                <w:r w:rsidRPr="00716949">
                  <w:rPr>
                    <w:rStyle w:val="Hyperlink"/>
                  </w:rPr>
                  <w:t>4.4.2.</w:t>
                </w:r>
                <w:r>
                  <w:rPr>
                    <w:rFonts w:asciiTheme="minorHAnsi" w:eastAsiaTheme="minorEastAsia" w:hAnsiTheme="minorHAnsi"/>
                    <w:lang w:eastAsia="en-AU"/>
                  </w:rPr>
                  <w:tab/>
                </w:r>
                <w:r w:rsidRPr="00716949">
                  <w:rPr>
                    <w:rStyle w:val="Hyperlink"/>
                  </w:rPr>
                  <w:t>Broad business area</w:t>
                </w:r>
                <w:r>
                  <w:rPr>
                    <w:webHidden/>
                  </w:rPr>
                  <w:tab/>
                </w:r>
                <w:r>
                  <w:rPr>
                    <w:webHidden/>
                  </w:rPr>
                  <w:fldChar w:fldCharType="begin"/>
                </w:r>
                <w:r>
                  <w:rPr>
                    <w:webHidden/>
                  </w:rPr>
                  <w:instrText xml:space="preserve"> PAGEREF _Toc447275836 \h </w:instrText>
                </w:r>
                <w:r>
                  <w:rPr>
                    <w:webHidden/>
                  </w:rPr>
                </w:r>
                <w:r>
                  <w:rPr>
                    <w:webHidden/>
                  </w:rPr>
                  <w:fldChar w:fldCharType="separate"/>
                </w:r>
                <w:r>
                  <w:rPr>
                    <w:webHidden/>
                  </w:rPr>
                  <w:t>20</w:t>
                </w:r>
                <w:r>
                  <w:rPr>
                    <w:webHidden/>
                  </w:rPr>
                  <w:fldChar w:fldCharType="end"/>
                </w:r>
              </w:hyperlink>
            </w:p>
            <w:p w:rsidR="00D376EB" w:rsidRDefault="00D376EB">
              <w:pPr>
                <w:pStyle w:val="TOC3"/>
                <w:rPr>
                  <w:rFonts w:asciiTheme="minorHAnsi" w:eastAsiaTheme="minorEastAsia" w:hAnsiTheme="minorHAnsi"/>
                  <w:lang w:eastAsia="en-AU"/>
                </w:rPr>
              </w:pPr>
              <w:hyperlink w:anchor="_Toc447275837" w:history="1">
                <w:r w:rsidRPr="00716949">
                  <w:rPr>
                    <w:rStyle w:val="Hyperlink"/>
                  </w:rPr>
                  <w:t>4.4.3.</w:t>
                </w:r>
                <w:r>
                  <w:rPr>
                    <w:rFonts w:asciiTheme="minorHAnsi" w:eastAsiaTheme="minorEastAsia" w:hAnsiTheme="minorHAnsi"/>
                    <w:lang w:eastAsia="en-AU"/>
                  </w:rPr>
                  <w:tab/>
                </w:r>
                <w:r w:rsidRPr="00716949">
                  <w:rPr>
                    <w:rStyle w:val="Hyperlink"/>
                  </w:rPr>
                  <w:t>Service group</w:t>
                </w:r>
                <w:r>
                  <w:rPr>
                    <w:webHidden/>
                  </w:rPr>
                  <w:tab/>
                </w:r>
                <w:r>
                  <w:rPr>
                    <w:webHidden/>
                  </w:rPr>
                  <w:fldChar w:fldCharType="begin"/>
                </w:r>
                <w:r>
                  <w:rPr>
                    <w:webHidden/>
                  </w:rPr>
                  <w:instrText xml:space="preserve"> PAGEREF _Toc447275837 \h </w:instrText>
                </w:r>
                <w:r>
                  <w:rPr>
                    <w:webHidden/>
                  </w:rPr>
                </w:r>
                <w:r>
                  <w:rPr>
                    <w:webHidden/>
                  </w:rPr>
                  <w:fldChar w:fldCharType="separate"/>
                </w:r>
                <w:r>
                  <w:rPr>
                    <w:webHidden/>
                  </w:rPr>
                  <w:t>21</w:t>
                </w:r>
                <w:r>
                  <w:rPr>
                    <w:webHidden/>
                  </w:rPr>
                  <w:fldChar w:fldCharType="end"/>
                </w:r>
              </w:hyperlink>
            </w:p>
            <w:p w:rsidR="00D376EB" w:rsidRDefault="00D376EB">
              <w:pPr>
                <w:pStyle w:val="TOC1"/>
                <w:rPr>
                  <w:rFonts w:asciiTheme="minorHAnsi" w:eastAsiaTheme="minorEastAsia" w:hAnsiTheme="minorHAnsi"/>
                  <w:lang w:val="en-AU" w:eastAsia="en-AU"/>
                </w:rPr>
              </w:pPr>
              <w:hyperlink w:anchor="_Toc447275838" w:history="1">
                <w:r w:rsidRPr="00716949">
                  <w:rPr>
                    <w:rStyle w:val="Hyperlink"/>
                  </w:rPr>
                  <w:t>Appendix A: Accounting policies and cost allocation</w:t>
                </w:r>
                <w:r>
                  <w:rPr>
                    <w:webHidden/>
                  </w:rPr>
                  <w:tab/>
                </w:r>
                <w:r>
                  <w:rPr>
                    <w:webHidden/>
                  </w:rPr>
                  <w:fldChar w:fldCharType="begin"/>
                </w:r>
                <w:r>
                  <w:rPr>
                    <w:webHidden/>
                  </w:rPr>
                  <w:instrText xml:space="preserve"> PAGEREF _Toc447275838 \h </w:instrText>
                </w:r>
                <w:r>
                  <w:rPr>
                    <w:webHidden/>
                  </w:rPr>
                </w:r>
                <w:r>
                  <w:rPr>
                    <w:webHidden/>
                  </w:rPr>
                  <w:fldChar w:fldCharType="separate"/>
                </w:r>
                <w:r>
                  <w:rPr>
                    <w:webHidden/>
                  </w:rPr>
                  <w:t>22</w:t>
                </w:r>
                <w:r>
                  <w:rPr>
                    <w:webHidden/>
                  </w:rPr>
                  <w:fldChar w:fldCharType="end"/>
                </w:r>
              </w:hyperlink>
            </w:p>
            <w:p w:rsidR="00D376EB" w:rsidRDefault="00D376EB">
              <w:pPr>
                <w:pStyle w:val="TOC2"/>
                <w:rPr>
                  <w:rFonts w:asciiTheme="minorHAnsi" w:eastAsiaTheme="minorEastAsia" w:hAnsiTheme="minorHAnsi"/>
                  <w:lang w:eastAsia="en-AU"/>
                </w:rPr>
              </w:pPr>
              <w:hyperlink w:anchor="_Toc447275839" w:history="1">
                <w:r w:rsidRPr="00716949">
                  <w:rPr>
                    <w:rStyle w:val="Hyperlink"/>
                  </w:rPr>
                  <w:t>A.1</w:t>
                </w:r>
                <w:r>
                  <w:rPr>
                    <w:rFonts w:asciiTheme="minorHAnsi" w:eastAsiaTheme="minorEastAsia" w:hAnsiTheme="minorHAnsi"/>
                    <w:lang w:eastAsia="en-AU"/>
                  </w:rPr>
                  <w:tab/>
                </w:r>
                <w:r w:rsidRPr="00716949">
                  <w:rPr>
                    <w:rStyle w:val="Hyperlink"/>
                  </w:rPr>
                  <w:t>Cost allocation</w:t>
                </w:r>
                <w:r>
                  <w:rPr>
                    <w:webHidden/>
                  </w:rPr>
                  <w:tab/>
                </w:r>
                <w:r>
                  <w:rPr>
                    <w:webHidden/>
                  </w:rPr>
                  <w:fldChar w:fldCharType="begin"/>
                </w:r>
                <w:r>
                  <w:rPr>
                    <w:webHidden/>
                  </w:rPr>
                  <w:instrText xml:space="preserve"> PAGEREF _Toc447275839 \h </w:instrText>
                </w:r>
                <w:r>
                  <w:rPr>
                    <w:webHidden/>
                  </w:rPr>
                </w:r>
                <w:r>
                  <w:rPr>
                    <w:webHidden/>
                  </w:rPr>
                  <w:fldChar w:fldCharType="separate"/>
                </w:r>
                <w:r>
                  <w:rPr>
                    <w:webHidden/>
                  </w:rPr>
                  <w:t>22</w:t>
                </w:r>
                <w:r>
                  <w:rPr>
                    <w:webHidden/>
                  </w:rPr>
                  <w:fldChar w:fldCharType="end"/>
                </w:r>
              </w:hyperlink>
            </w:p>
            <w:p w:rsidR="00D376EB" w:rsidRDefault="00D376EB">
              <w:pPr>
                <w:pStyle w:val="TOC2"/>
                <w:rPr>
                  <w:rFonts w:asciiTheme="minorHAnsi" w:eastAsiaTheme="minorEastAsia" w:hAnsiTheme="minorHAnsi"/>
                  <w:lang w:eastAsia="en-AU"/>
                </w:rPr>
              </w:pPr>
              <w:hyperlink w:anchor="_Toc447275840" w:history="1">
                <w:r w:rsidRPr="00716949">
                  <w:rPr>
                    <w:rStyle w:val="Hyperlink"/>
                  </w:rPr>
                  <w:t>A.2</w:t>
                </w:r>
                <w:r>
                  <w:rPr>
                    <w:rFonts w:asciiTheme="minorHAnsi" w:eastAsiaTheme="minorEastAsia" w:hAnsiTheme="minorHAnsi"/>
                    <w:lang w:eastAsia="en-AU"/>
                  </w:rPr>
                  <w:tab/>
                </w:r>
                <w:r w:rsidRPr="00716949">
                  <w:rPr>
                    <w:rStyle w:val="Hyperlink"/>
                  </w:rPr>
                  <w:t>Australia Post’s accounting policies</w:t>
                </w:r>
                <w:r>
                  <w:rPr>
                    <w:webHidden/>
                  </w:rPr>
                  <w:tab/>
                </w:r>
                <w:r>
                  <w:rPr>
                    <w:webHidden/>
                  </w:rPr>
                  <w:fldChar w:fldCharType="begin"/>
                </w:r>
                <w:r>
                  <w:rPr>
                    <w:webHidden/>
                  </w:rPr>
                  <w:instrText xml:space="preserve"> PAGEREF _Toc447275840 \h </w:instrText>
                </w:r>
                <w:r>
                  <w:rPr>
                    <w:webHidden/>
                  </w:rPr>
                </w:r>
                <w:r>
                  <w:rPr>
                    <w:webHidden/>
                  </w:rPr>
                  <w:fldChar w:fldCharType="separate"/>
                </w:r>
                <w:r>
                  <w:rPr>
                    <w:webHidden/>
                  </w:rPr>
                  <w:t>22</w:t>
                </w:r>
                <w:r>
                  <w:rPr>
                    <w:webHidden/>
                  </w:rPr>
                  <w:fldChar w:fldCharType="end"/>
                </w:r>
              </w:hyperlink>
            </w:p>
            <w:p w:rsidR="00D376EB" w:rsidRDefault="00D376EB">
              <w:pPr>
                <w:pStyle w:val="TOC3"/>
                <w:rPr>
                  <w:rFonts w:asciiTheme="minorHAnsi" w:eastAsiaTheme="minorEastAsia" w:hAnsiTheme="minorHAnsi"/>
                  <w:lang w:eastAsia="en-AU"/>
                </w:rPr>
              </w:pPr>
              <w:hyperlink w:anchor="_Toc447275841" w:history="1">
                <w:r w:rsidRPr="00716949">
                  <w:rPr>
                    <w:rStyle w:val="Hyperlink"/>
                  </w:rPr>
                  <w:t>A.2.1</w:t>
                </w:r>
                <w:r>
                  <w:rPr>
                    <w:rFonts w:asciiTheme="minorHAnsi" w:eastAsiaTheme="minorEastAsia" w:hAnsiTheme="minorHAnsi"/>
                    <w:lang w:eastAsia="en-AU"/>
                  </w:rPr>
                  <w:tab/>
                </w:r>
                <w:r w:rsidRPr="00716949">
                  <w:rPr>
                    <w:rStyle w:val="Hyperlink"/>
                  </w:rPr>
                  <w:t>Accounting for a return on capital</w:t>
                </w:r>
                <w:r>
                  <w:rPr>
                    <w:webHidden/>
                  </w:rPr>
                  <w:tab/>
                </w:r>
                <w:r>
                  <w:rPr>
                    <w:webHidden/>
                  </w:rPr>
                  <w:fldChar w:fldCharType="begin"/>
                </w:r>
                <w:r>
                  <w:rPr>
                    <w:webHidden/>
                  </w:rPr>
                  <w:instrText xml:space="preserve"> PAGEREF _Toc447275841 \h </w:instrText>
                </w:r>
                <w:r>
                  <w:rPr>
                    <w:webHidden/>
                  </w:rPr>
                </w:r>
                <w:r>
                  <w:rPr>
                    <w:webHidden/>
                  </w:rPr>
                  <w:fldChar w:fldCharType="separate"/>
                </w:r>
                <w:r>
                  <w:rPr>
                    <w:webHidden/>
                  </w:rPr>
                  <w:t>23</w:t>
                </w:r>
                <w:r>
                  <w:rPr>
                    <w:webHidden/>
                  </w:rPr>
                  <w:fldChar w:fldCharType="end"/>
                </w:r>
              </w:hyperlink>
            </w:p>
            <w:p w:rsidR="00D376EB" w:rsidRDefault="00D376EB">
              <w:pPr>
                <w:pStyle w:val="TOC3"/>
                <w:rPr>
                  <w:rFonts w:asciiTheme="minorHAnsi" w:eastAsiaTheme="minorEastAsia" w:hAnsiTheme="minorHAnsi"/>
                  <w:lang w:eastAsia="en-AU"/>
                </w:rPr>
              </w:pPr>
              <w:hyperlink w:anchor="_Toc447275842" w:history="1">
                <w:r w:rsidRPr="00716949">
                  <w:rPr>
                    <w:rStyle w:val="Hyperlink"/>
                  </w:rPr>
                  <w:t>A.2.2</w:t>
                </w:r>
                <w:r>
                  <w:rPr>
                    <w:rFonts w:asciiTheme="minorHAnsi" w:eastAsiaTheme="minorEastAsia" w:hAnsiTheme="minorHAnsi"/>
                    <w:lang w:eastAsia="en-AU"/>
                  </w:rPr>
                  <w:tab/>
                </w:r>
                <w:r w:rsidRPr="00716949">
                  <w:rPr>
                    <w:rStyle w:val="Hyperlink"/>
                  </w:rPr>
                  <w:t>Changes to Australia Post’s accounting policy</w:t>
                </w:r>
                <w:r>
                  <w:rPr>
                    <w:webHidden/>
                  </w:rPr>
                  <w:tab/>
                </w:r>
                <w:r>
                  <w:rPr>
                    <w:webHidden/>
                  </w:rPr>
                  <w:fldChar w:fldCharType="begin"/>
                </w:r>
                <w:r>
                  <w:rPr>
                    <w:webHidden/>
                  </w:rPr>
                  <w:instrText xml:space="preserve"> PAGEREF _Toc447275842 \h </w:instrText>
                </w:r>
                <w:r>
                  <w:rPr>
                    <w:webHidden/>
                  </w:rPr>
                </w:r>
                <w:r>
                  <w:rPr>
                    <w:webHidden/>
                  </w:rPr>
                  <w:fldChar w:fldCharType="separate"/>
                </w:r>
                <w:r>
                  <w:rPr>
                    <w:webHidden/>
                  </w:rPr>
                  <w:t>23</w:t>
                </w:r>
                <w:r>
                  <w:rPr>
                    <w:webHidden/>
                  </w:rPr>
                  <w:fldChar w:fldCharType="end"/>
                </w:r>
              </w:hyperlink>
            </w:p>
            <w:p w:rsidR="00D376EB" w:rsidRDefault="00D376EB">
              <w:pPr>
                <w:pStyle w:val="TOC2"/>
                <w:rPr>
                  <w:rFonts w:asciiTheme="minorHAnsi" w:eastAsiaTheme="minorEastAsia" w:hAnsiTheme="minorHAnsi"/>
                  <w:lang w:eastAsia="en-AU"/>
                </w:rPr>
              </w:pPr>
              <w:hyperlink w:anchor="_Toc447275843" w:history="1">
                <w:r w:rsidRPr="00716949">
                  <w:rPr>
                    <w:rStyle w:val="Hyperlink"/>
                  </w:rPr>
                  <w:t>A.3</w:t>
                </w:r>
                <w:r>
                  <w:rPr>
                    <w:rFonts w:asciiTheme="minorHAnsi" w:eastAsiaTheme="minorEastAsia" w:hAnsiTheme="minorHAnsi"/>
                    <w:lang w:eastAsia="en-AU"/>
                  </w:rPr>
                  <w:tab/>
                </w:r>
                <w:r w:rsidRPr="00716949">
                  <w:rPr>
                    <w:rStyle w:val="Hyperlink"/>
                  </w:rPr>
                  <w:t>Presentation of cross-subsidy results</w:t>
                </w:r>
                <w:r>
                  <w:rPr>
                    <w:webHidden/>
                  </w:rPr>
                  <w:tab/>
                </w:r>
                <w:r>
                  <w:rPr>
                    <w:webHidden/>
                  </w:rPr>
                  <w:fldChar w:fldCharType="begin"/>
                </w:r>
                <w:r>
                  <w:rPr>
                    <w:webHidden/>
                  </w:rPr>
                  <w:instrText xml:space="preserve"> PAGEREF _Toc447275843 \h </w:instrText>
                </w:r>
                <w:r>
                  <w:rPr>
                    <w:webHidden/>
                  </w:rPr>
                </w:r>
                <w:r>
                  <w:rPr>
                    <w:webHidden/>
                  </w:rPr>
                  <w:fldChar w:fldCharType="separate"/>
                </w:r>
                <w:r>
                  <w:rPr>
                    <w:webHidden/>
                  </w:rPr>
                  <w:t>24</w:t>
                </w:r>
                <w:r>
                  <w:rPr>
                    <w:webHidden/>
                  </w:rPr>
                  <w:fldChar w:fldCharType="end"/>
                </w:r>
              </w:hyperlink>
            </w:p>
            <w:p w:rsidR="00D376EB" w:rsidRDefault="00D376EB">
              <w:pPr>
                <w:pStyle w:val="TOC3"/>
                <w:rPr>
                  <w:rFonts w:asciiTheme="minorHAnsi" w:eastAsiaTheme="minorEastAsia" w:hAnsiTheme="minorHAnsi"/>
                  <w:lang w:eastAsia="en-AU"/>
                </w:rPr>
              </w:pPr>
              <w:hyperlink w:anchor="_Toc447275844" w:history="1">
                <w:r w:rsidRPr="00716949">
                  <w:rPr>
                    <w:rStyle w:val="Hyperlink"/>
                  </w:rPr>
                  <w:t>A.3.1</w:t>
                </w:r>
                <w:r>
                  <w:rPr>
                    <w:rFonts w:asciiTheme="minorHAnsi" w:eastAsiaTheme="minorEastAsia" w:hAnsiTheme="minorHAnsi"/>
                    <w:lang w:eastAsia="en-AU"/>
                  </w:rPr>
                  <w:tab/>
                </w:r>
                <w:r w:rsidRPr="00716949">
                  <w:rPr>
                    <w:rStyle w:val="Hyperlink"/>
                  </w:rPr>
                  <w:t>Australia Post’s new business units</w:t>
                </w:r>
                <w:r>
                  <w:rPr>
                    <w:webHidden/>
                  </w:rPr>
                  <w:tab/>
                </w:r>
                <w:r>
                  <w:rPr>
                    <w:webHidden/>
                  </w:rPr>
                  <w:fldChar w:fldCharType="begin"/>
                </w:r>
                <w:r>
                  <w:rPr>
                    <w:webHidden/>
                  </w:rPr>
                  <w:instrText xml:space="preserve"> PAGEREF _Toc447275844 \h </w:instrText>
                </w:r>
                <w:r>
                  <w:rPr>
                    <w:webHidden/>
                  </w:rPr>
                </w:r>
                <w:r>
                  <w:rPr>
                    <w:webHidden/>
                  </w:rPr>
                  <w:fldChar w:fldCharType="separate"/>
                </w:r>
                <w:r>
                  <w:rPr>
                    <w:webHidden/>
                  </w:rPr>
                  <w:t>24</w:t>
                </w:r>
                <w:r>
                  <w:rPr>
                    <w:webHidden/>
                  </w:rPr>
                  <w:fldChar w:fldCharType="end"/>
                </w:r>
              </w:hyperlink>
            </w:p>
            <w:p w:rsidR="00D376EB" w:rsidRDefault="00D376EB">
              <w:pPr>
                <w:pStyle w:val="TOC3"/>
                <w:rPr>
                  <w:rFonts w:asciiTheme="minorHAnsi" w:eastAsiaTheme="minorEastAsia" w:hAnsiTheme="minorHAnsi"/>
                  <w:lang w:eastAsia="en-AU"/>
                </w:rPr>
              </w:pPr>
              <w:hyperlink w:anchor="_Toc447275845" w:history="1">
                <w:r w:rsidRPr="00716949">
                  <w:rPr>
                    <w:rStyle w:val="Hyperlink"/>
                  </w:rPr>
                  <w:t>A.3.2</w:t>
                </w:r>
                <w:r>
                  <w:rPr>
                    <w:rFonts w:asciiTheme="minorHAnsi" w:eastAsiaTheme="minorEastAsia" w:hAnsiTheme="minorHAnsi"/>
                    <w:lang w:eastAsia="en-AU"/>
                  </w:rPr>
                  <w:tab/>
                </w:r>
                <w:r w:rsidRPr="00716949">
                  <w:rPr>
                    <w:rStyle w:val="Hyperlink"/>
                  </w:rPr>
                  <w:t>International inward and outward letters</w:t>
                </w:r>
                <w:r>
                  <w:rPr>
                    <w:webHidden/>
                  </w:rPr>
                  <w:tab/>
                </w:r>
                <w:r>
                  <w:rPr>
                    <w:webHidden/>
                  </w:rPr>
                  <w:fldChar w:fldCharType="begin"/>
                </w:r>
                <w:r>
                  <w:rPr>
                    <w:webHidden/>
                  </w:rPr>
                  <w:instrText xml:space="preserve"> PAGEREF _Toc447275845 \h </w:instrText>
                </w:r>
                <w:r>
                  <w:rPr>
                    <w:webHidden/>
                  </w:rPr>
                </w:r>
                <w:r>
                  <w:rPr>
                    <w:webHidden/>
                  </w:rPr>
                  <w:fldChar w:fldCharType="separate"/>
                </w:r>
                <w:r>
                  <w:rPr>
                    <w:webHidden/>
                  </w:rPr>
                  <w:t>25</w:t>
                </w:r>
                <w:r>
                  <w:rPr>
                    <w:webHidden/>
                  </w:rPr>
                  <w:fldChar w:fldCharType="end"/>
                </w:r>
              </w:hyperlink>
            </w:p>
            <w:p w:rsidR="00D376EB" w:rsidRDefault="00D376EB">
              <w:pPr>
                <w:pStyle w:val="TOC3"/>
                <w:rPr>
                  <w:rFonts w:asciiTheme="minorHAnsi" w:eastAsiaTheme="minorEastAsia" w:hAnsiTheme="minorHAnsi"/>
                  <w:lang w:eastAsia="en-AU"/>
                </w:rPr>
              </w:pPr>
              <w:hyperlink w:anchor="_Toc447275846" w:history="1">
                <w:r w:rsidRPr="00716949">
                  <w:rPr>
                    <w:rStyle w:val="Hyperlink"/>
                  </w:rPr>
                  <w:t>A.3.3</w:t>
                </w:r>
                <w:r>
                  <w:rPr>
                    <w:rFonts w:asciiTheme="minorHAnsi" w:eastAsiaTheme="minorEastAsia" w:hAnsiTheme="minorHAnsi"/>
                    <w:lang w:eastAsia="en-AU"/>
                  </w:rPr>
                  <w:tab/>
                </w:r>
                <w:r w:rsidRPr="00716949">
                  <w:rPr>
                    <w:rStyle w:val="Hyperlink"/>
                  </w:rPr>
                  <w:t>Reply Paid fees</w:t>
                </w:r>
                <w:r>
                  <w:rPr>
                    <w:webHidden/>
                  </w:rPr>
                  <w:tab/>
                </w:r>
                <w:r>
                  <w:rPr>
                    <w:webHidden/>
                  </w:rPr>
                  <w:fldChar w:fldCharType="begin"/>
                </w:r>
                <w:r>
                  <w:rPr>
                    <w:webHidden/>
                  </w:rPr>
                  <w:instrText xml:space="preserve"> PAGEREF _Toc447275846 \h </w:instrText>
                </w:r>
                <w:r>
                  <w:rPr>
                    <w:webHidden/>
                  </w:rPr>
                </w:r>
                <w:r>
                  <w:rPr>
                    <w:webHidden/>
                  </w:rPr>
                  <w:fldChar w:fldCharType="separate"/>
                </w:r>
                <w:r>
                  <w:rPr>
                    <w:webHidden/>
                  </w:rPr>
                  <w:t>25</w:t>
                </w:r>
                <w:r>
                  <w:rPr>
                    <w:webHidden/>
                  </w:rPr>
                  <w:fldChar w:fldCharType="end"/>
                </w:r>
              </w:hyperlink>
            </w:p>
            <w:p w:rsidR="00D376EB" w:rsidRDefault="00D376EB">
              <w:pPr>
                <w:pStyle w:val="TOC3"/>
                <w:rPr>
                  <w:rFonts w:asciiTheme="minorHAnsi" w:eastAsiaTheme="minorEastAsia" w:hAnsiTheme="minorHAnsi"/>
                  <w:lang w:eastAsia="en-AU"/>
                </w:rPr>
              </w:pPr>
              <w:hyperlink w:anchor="_Toc447275847" w:history="1">
                <w:r w:rsidRPr="00716949">
                  <w:rPr>
                    <w:rStyle w:val="Hyperlink"/>
                  </w:rPr>
                  <w:t>A.3.4</w:t>
                </w:r>
                <w:r>
                  <w:rPr>
                    <w:rFonts w:asciiTheme="minorHAnsi" w:eastAsiaTheme="minorEastAsia" w:hAnsiTheme="minorHAnsi"/>
                    <w:lang w:eastAsia="en-AU"/>
                  </w:rPr>
                  <w:tab/>
                </w:r>
                <w:r w:rsidRPr="00716949">
                  <w:rPr>
                    <w:rStyle w:val="Hyperlink"/>
                  </w:rPr>
                  <w:t>Inter-segment fees</w:t>
                </w:r>
                <w:r>
                  <w:rPr>
                    <w:webHidden/>
                  </w:rPr>
                  <w:tab/>
                </w:r>
                <w:r>
                  <w:rPr>
                    <w:webHidden/>
                  </w:rPr>
                  <w:fldChar w:fldCharType="begin"/>
                </w:r>
                <w:r>
                  <w:rPr>
                    <w:webHidden/>
                  </w:rPr>
                  <w:instrText xml:space="preserve"> PAGEREF _Toc447275847 \h </w:instrText>
                </w:r>
                <w:r>
                  <w:rPr>
                    <w:webHidden/>
                  </w:rPr>
                </w:r>
                <w:r>
                  <w:rPr>
                    <w:webHidden/>
                  </w:rPr>
                  <w:fldChar w:fldCharType="separate"/>
                </w:r>
                <w:r>
                  <w:rPr>
                    <w:webHidden/>
                  </w:rPr>
                  <w:t>25</w:t>
                </w:r>
                <w:r>
                  <w:rPr>
                    <w:webHidden/>
                  </w:rPr>
                  <w:fldChar w:fldCharType="end"/>
                </w:r>
              </w:hyperlink>
            </w:p>
            <w:p w:rsidR="00D376EB" w:rsidRDefault="00D376EB">
              <w:pPr>
                <w:rPr>
                  <w:rFonts w:ascii="Lucida Fax" w:eastAsiaTheme="majorEastAsia" w:hAnsi="Lucida Fax" w:cstheme="majorBidi"/>
                  <w:bCs/>
                  <w:color w:val="51626F"/>
                  <w:sz w:val="32"/>
                  <w:szCs w:val="28"/>
                </w:rPr>
              </w:pPr>
              <w:r>
                <w:rPr>
                  <w:b/>
                </w:rPr>
                <w:fldChar w:fldCharType="end"/>
              </w:r>
            </w:p>
          </w:sdtContent>
        </w:sdt>
        <w:p w:rsidR="00D376EB" w:rsidRDefault="00D376EB">
          <w:pPr>
            <w:rPr>
              <w:rFonts w:ascii="Lucida Fax" w:eastAsiaTheme="majorEastAsia" w:hAnsi="Lucida Fax" w:cstheme="majorBidi"/>
              <w:bCs/>
              <w:color w:val="51626F"/>
              <w:sz w:val="32"/>
              <w:szCs w:val="28"/>
            </w:rPr>
          </w:pPr>
          <w:r>
            <w:br w:type="page"/>
          </w:r>
        </w:p>
        <w:p w:rsidR="001A10E7" w:rsidRDefault="001A10E7" w:rsidP="001A10E7">
          <w:pPr>
            <w:pStyle w:val="Heading1"/>
            <w:spacing w:after="240"/>
          </w:pPr>
          <w:bookmarkStart w:id="2" w:name="_Toc447275810"/>
          <w:r>
            <w:lastRenderedPageBreak/>
            <w:t>Glossary</w:t>
          </w:r>
          <w:bookmarkEnd w:id="2"/>
        </w:p>
        <w:tbl>
          <w:tblPr>
            <w:tblStyle w:val="TOC6"/>
            <w:tblW w:w="0" w:type="auto"/>
            <w:tblLayout w:type="fixed"/>
            <w:tblLook w:val="0000" w:firstRow="0" w:lastRow="0" w:firstColumn="0" w:lastColumn="0" w:noHBand="0" w:noVBand="0"/>
          </w:tblPr>
          <w:tblGrid>
            <w:gridCol w:w="2665"/>
            <w:gridCol w:w="7540"/>
          </w:tblGrid>
          <w:tr w:rsidR="001A10E7" w:rsidTr="001A10E7">
            <w:trPr>
              <w:trHeight w:val="60"/>
            </w:trPr>
            <w:tc>
              <w:tcPr>
                <w:tcW w:w="2665" w:type="dxa"/>
              </w:tcPr>
              <w:p w:rsidR="001A10E7" w:rsidRDefault="001A10E7" w:rsidP="00D376EB">
                <w:pPr>
                  <w:pStyle w:val="Tabletext"/>
                  <w:ind w:left="0"/>
                </w:pPr>
                <w:r>
                  <w:t>ACCC</w:t>
                </w:r>
              </w:p>
            </w:tc>
            <w:tc>
              <w:tcPr>
                <w:tcW w:w="7540" w:type="dxa"/>
              </w:tcPr>
              <w:p w:rsidR="001A10E7" w:rsidRDefault="001A10E7" w:rsidP="00D376EB">
                <w:pPr>
                  <w:pStyle w:val="Tabletext"/>
                  <w:ind w:left="29"/>
                </w:pPr>
                <w:r>
                  <w:t>Australian Competition and Consumer Commission</w:t>
                </w:r>
              </w:p>
            </w:tc>
          </w:tr>
          <w:tr w:rsidR="001A10E7" w:rsidTr="001A10E7">
            <w:trPr>
              <w:trHeight w:val="60"/>
            </w:trPr>
            <w:tc>
              <w:tcPr>
                <w:tcW w:w="2665" w:type="dxa"/>
              </w:tcPr>
              <w:p w:rsidR="001A10E7" w:rsidRDefault="001A10E7" w:rsidP="00D376EB">
                <w:pPr>
                  <w:pStyle w:val="Tabletext"/>
                  <w:ind w:left="0"/>
                </w:pPr>
                <w:r>
                  <w:t>APCA</w:t>
                </w:r>
              </w:p>
            </w:tc>
            <w:tc>
              <w:tcPr>
                <w:tcW w:w="7540" w:type="dxa"/>
              </w:tcPr>
              <w:p w:rsidR="001A10E7" w:rsidRPr="001A10E7" w:rsidRDefault="001A10E7" w:rsidP="00D376EB">
                <w:pPr>
                  <w:pStyle w:val="Tabletext"/>
                  <w:ind w:left="29"/>
                  <w:rPr>
                    <w:rStyle w:val="Emphasis"/>
                  </w:rPr>
                </w:pPr>
                <w:r w:rsidRPr="001A10E7">
                  <w:rPr>
                    <w:rStyle w:val="Emphasis"/>
                  </w:rPr>
                  <w:t>Australian Postal Corporation Act 1989</w:t>
                </w:r>
              </w:p>
            </w:tc>
          </w:tr>
          <w:tr w:rsidR="001A10E7" w:rsidTr="001A10E7">
            <w:trPr>
              <w:trHeight w:val="60"/>
            </w:trPr>
            <w:tc>
              <w:tcPr>
                <w:tcW w:w="2665" w:type="dxa"/>
              </w:tcPr>
              <w:p w:rsidR="001A10E7" w:rsidRDefault="001A10E7" w:rsidP="00D376EB">
                <w:pPr>
                  <w:pStyle w:val="Tabletext"/>
                  <w:ind w:left="0"/>
                </w:pPr>
                <w:r>
                  <w:t>attributable cost</w:t>
                </w:r>
              </w:p>
            </w:tc>
            <w:tc>
              <w:tcPr>
                <w:tcW w:w="7540" w:type="dxa"/>
              </w:tcPr>
              <w:p w:rsidR="001A10E7" w:rsidRDefault="001A10E7" w:rsidP="00D376EB">
                <w:pPr>
                  <w:pStyle w:val="Tabletext"/>
                  <w:ind w:left="29"/>
                </w:pPr>
                <w:r>
                  <w:t>costs that are part of a pool of common costs identifiable to a particular service by a separable cause-and-effect relationship</w:t>
                </w:r>
              </w:p>
            </w:tc>
          </w:tr>
          <w:tr w:rsidR="001A10E7" w:rsidTr="001A10E7">
            <w:trPr>
              <w:trHeight w:val="60"/>
            </w:trPr>
            <w:tc>
              <w:tcPr>
                <w:tcW w:w="2665" w:type="dxa"/>
              </w:tcPr>
              <w:p w:rsidR="001A10E7" w:rsidRDefault="001A10E7" w:rsidP="00D376EB">
                <w:pPr>
                  <w:pStyle w:val="Tabletext"/>
                  <w:ind w:left="0"/>
                </w:pPr>
                <w:r>
                  <w:t>Australia Post</w:t>
                </w:r>
              </w:p>
            </w:tc>
            <w:tc>
              <w:tcPr>
                <w:tcW w:w="7540" w:type="dxa"/>
              </w:tcPr>
              <w:p w:rsidR="001A10E7" w:rsidRDefault="001A10E7" w:rsidP="00D376EB">
                <w:pPr>
                  <w:pStyle w:val="Tabletext"/>
                  <w:ind w:left="29"/>
                </w:pPr>
                <w:r>
                  <w:t>Australian Postal Corporation</w:t>
                </w:r>
              </w:p>
            </w:tc>
          </w:tr>
          <w:tr w:rsidR="001A10E7" w:rsidTr="001A10E7">
            <w:trPr>
              <w:trHeight w:val="60"/>
            </w:trPr>
            <w:tc>
              <w:tcPr>
                <w:tcW w:w="2665" w:type="dxa"/>
              </w:tcPr>
              <w:p w:rsidR="001A10E7" w:rsidRDefault="001A10E7" w:rsidP="00D376EB">
                <w:pPr>
                  <w:pStyle w:val="Tabletext"/>
                  <w:ind w:left="0"/>
                </w:pPr>
                <w:r>
                  <w:t>cross-subsidy</w:t>
                </w:r>
              </w:p>
            </w:tc>
            <w:tc>
              <w:tcPr>
                <w:tcW w:w="7540" w:type="dxa"/>
              </w:tcPr>
              <w:p w:rsidR="001A10E7" w:rsidRDefault="001A10E7" w:rsidP="00D376EB">
                <w:pPr>
                  <w:pStyle w:val="Tabletext"/>
                  <w:ind w:left="29"/>
                </w:pPr>
                <w:r>
                  <w:t>a cross-subsidy occurs where profits from the supply of a service are used to cover a loss incurred in the supply of another service</w:t>
                </w:r>
              </w:p>
            </w:tc>
          </w:tr>
          <w:tr w:rsidR="001A10E7" w:rsidTr="001A10E7">
            <w:trPr>
              <w:trHeight w:val="80"/>
            </w:trPr>
            <w:tc>
              <w:tcPr>
                <w:tcW w:w="2665" w:type="dxa"/>
              </w:tcPr>
              <w:p w:rsidR="001A10E7" w:rsidRDefault="001A10E7" w:rsidP="00D376EB">
                <w:pPr>
                  <w:pStyle w:val="Tabletext"/>
                  <w:ind w:left="0"/>
                </w:pPr>
                <w:r>
                  <w:t>CCA</w:t>
                </w:r>
              </w:p>
            </w:tc>
            <w:tc>
              <w:tcPr>
                <w:tcW w:w="7540" w:type="dxa"/>
              </w:tcPr>
              <w:p w:rsidR="001A10E7" w:rsidRDefault="001A10E7" w:rsidP="00D376EB">
                <w:pPr>
                  <w:pStyle w:val="Tabletext"/>
                  <w:ind w:left="29"/>
                </w:pPr>
                <w:r w:rsidRPr="001A10E7">
                  <w:rPr>
                    <w:rStyle w:val="Emphasis"/>
                  </w:rPr>
                  <w:t xml:space="preserve">Competition and Consumer Act 2010 </w:t>
                </w:r>
                <w:r>
                  <w:t>(formerly</w:t>
                </w:r>
                <w:r w:rsidRPr="001A10E7">
                  <w:rPr>
                    <w:rStyle w:val="Emphasis"/>
                  </w:rPr>
                  <w:t xml:space="preserve"> Trade Practices Act 1974</w:t>
                </w:r>
                <w:r>
                  <w:t>)</w:t>
                </w:r>
              </w:p>
            </w:tc>
          </w:tr>
          <w:tr w:rsidR="001A10E7" w:rsidTr="001A10E7">
            <w:trPr>
              <w:trHeight w:val="60"/>
            </w:trPr>
            <w:tc>
              <w:tcPr>
                <w:tcW w:w="2665" w:type="dxa"/>
              </w:tcPr>
              <w:p w:rsidR="001A10E7" w:rsidRDefault="001A10E7" w:rsidP="00D376EB">
                <w:pPr>
                  <w:pStyle w:val="Tabletext"/>
                  <w:ind w:left="0"/>
                </w:pPr>
                <w:r>
                  <w:t>direct cost</w:t>
                </w:r>
              </w:p>
            </w:tc>
            <w:tc>
              <w:tcPr>
                <w:tcW w:w="7540" w:type="dxa"/>
              </w:tcPr>
              <w:p w:rsidR="001A10E7" w:rsidRDefault="001A10E7" w:rsidP="00D376EB">
                <w:pPr>
                  <w:pStyle w:val="Tabletext"/>
                  <w:ind w:left="29"/>
                </w:pPr>
                <w:r>
                  <w:t>costs that are solely associated with a particular service and so are incremental to providing that service</w:t>
                </w:r>
              </w:p>
            </w:tc>
          </w:tr>
          <w:tr w:rsidR="001A10E7" w:rsidTr="001A10E7">
            <w:trPr>
              <w:trHeight w:val="60"/>
            </w:trPr>
            <w:tc>
              <w:tcPr>
                <w:tcW w:w="2665" w:type="dxa"/>
              </w:tcPr>
              <w:p w:rsidR="001A10E7" w:rsidRDefault="001A10E7" w:rsidP="00D376EB">
                <w:pPr>
                  <w:pStyle w:val="Tabletext"/>
                  <w:ind w:left="0"/>
                </w:pPr>
                <w:r>
                  <w:t>fully distributed cost</w:t>
                </w:r>
              </w:p>
            </w:tc>
            <w:tc>
              <w:tcPr>
                <w:tcW w:w="7540" w:type="dxa"/>
              </w:tcPr>
              <w:p w:rsidR="001A10E7" w:rsidRDefault="001A10E7" w:rsidP="00D376EB">
                <w:pPr>
                  <w:pStyle w:val="Tabletext"/>
                  <w:ind w:left="29"/>
                </w:pPr>
                <w:r>
                  <w:t xml:space="preserve">the sum of direct, attributable and </w:t>
                </w:r>
                <w:proofErr w:type="spellStart"/>
                <w:r>
                  <w:t>unattributable</w:t>
                </w:r>
                <w:proofErr w:type="spellEnd"/>
                <w:r>
                  <w:t xml:space="preserve"> costs allocated to the particular service or group of services</w:t>
                </w:r>
              </w:p>
            </w:tc>
          </w:tr>
          <w:tr w:rsidR="001A10E7" w:rsidTr="001A10E7">
            <w:trPr>
              <w:trHeight w:val="60"/>
            </w:trPr>
            <w:tc>
              <w:tcPr>
                <w:tcW w:w="2665" w:type="dxa"/>
              </w:tcPr>
              <w:p w:rsidR="001A10E7" w:rsidRDefault="001A10E7" w:rsidP="00D376EB">
                <w:pPr>
                  <w:pStyle w:val="Tabletext"/>
                  <w:ind w:left="0"/>
                </w:pPr>
                <w:r>
                  <w:t>incremental cost</w:t>
                </w:r>
              </w:p>
            </w:tc>
            <w:tc>
              <w:tcPr>
                <w:tcW w:w="7540" w:type="dxa"/>
              </w:tcPr>
              <w:p w:rsidR="001A10E7" w:rsidRDefault="001A10E7" w:rsidP="00D376EB">
                <w:pPr>
                  <w:pStyle w:val="Tabletext"/>
                  <w:ind w:left="29"/>
                </w:pPr>
                <w:r>
                  <w:t>the additional cost incurred by producing a good or service (in addition to the other goods the firm produces)</w:t>
                </w:r>
              </w:p>
            </w:tc>
          </w:tr>
          <w:tr w:rsidR="001A10E7" w:rsidTr="001A10E7">
            <w:trPr>
              <w:trHeight w:val="60"/>
            </w:trPr>
            <w:tc>
              <w:tcPr>
                <w:tcW w:w="2665" w:type="dxa"/>
              </w:tcPr>
              <w:p w:rsidR="001A10E7" w:rsidRDefault="001A10E7" w:rsidP="00D376EB">
                <w:pPr>
                  <w:pStyle w:val="Tabletext"/>
                  <w:ind w:left="0"/>
                </w:pPr>
                <w:r>
                  <w:t>non-reserved services</w:t>
                </w:r>
              </w:p>
            </w:tc>
            <w:tc>
              <w:tcPr>
                <w:tcW w:w="7540" w:type="dxa"/>
              </w:tcPr>
              <w:p w:rsidR="001A10E7" w:rsidRDefault="001A10E7" w:rsidP="00D376EB">
                <w:pPr>
                  <w:pStyle w:val="Tabletext"/>
                  <w:ind w:left="29"/>
                </w:pPr>
                <w:r>
                  <w:t>services not subject to Australia Post’s statutory monopoly (i.e. generally, services it provides in competition with other businesses)</w:t>
                </w:r>
              </w:p>
            </w:tc>
          </w:tr>
          <w:tr w:rsidR="001A10E7" w:rsidTr="001A10E7">
            <w:trPr>
              <w:trHeight w:val="60"/>
            </w:trPr>
            <w:tc>
              <w:tcPr>
                <w:tcW w:w="2665" w:type="dxa"/>
              </w:tcPr>
              <w:p w:rsidR="001A10E7" w:rsidRDefault="001A10E7" w:rsidP="00D376EB">
                <w:pPr>
                  <w:pStyle w:val="Tabletext"/>
                  <w:ind w:left="0"/>
                </w:pPr>
                <w:proofErr w:type="spellStart"/>
                <w:r>
                  <w:t>PreSort</w:t>
                </w:r>
                <w:proofErr w:type="spellEnd"/>
                <w:r>
                  <w:t xml:space="preserve"> letters</w:t>
                </w:r>
              </w:p>
            </w:tc>
            <w:tc>
              <w:tcPr>
                <w:tcW w:w="7540" w:type="dxa"/>
              </w:tcPr>
              <w:p w:rsidR="001A10E7" w:rsidRDefault="001A10E7" w:rsidP="00D376EB">
                <w:pPr>
                  <w:pStyle w:val="Tabletext"/>
                  <w:ind w:left="29"/>
                </w:pPr>
                <w:r>
                  <w:t xml:space="preserve">Australia Post’s </w:t>
                </w:r>
                <w:proofErr w:type="spellStart"/>
                <w:r>
                  <w:t>PreSort</w:t>
                </w:r>
                <w:proofErr w:type="spellEnd"/>
                <w:r>
                  <w:t xml:space="preserve"> letter service is a bulk mail service that provides discounted prices for business customers that barcode and sort their letters prior to lodgement</w:t>
                </w:r>
              </w:p>
            </w:tc>
          </w:tr>
          <w:tr w:rsidR="001A10E7" w:rsidTr="001A10E7">
            <w:trPr>
              <w:trHeight w:val="60"/>
            </w:trPr>
            <w:tc>
              <w:tcPr>
                <w:tcW w:w="2665" w:type="dxa"/>
              </w:tcPr>
              <w:p w:rsidR="001A10E7" w:rsidRDefault="001A10E7" w:rsidP="00D376EB">
                <w:pPr>
                  <w:pStyle w:val="Tabletext"/>
                  <w:ind w:left="0"/>
                </w:pPr>
                <w:r>
                  <w:t>RAF</w:t>
                </w:r>
              </w:p>
            </w:tc>
            <w:tc>
              <w:tcPr>
                <w:tcW w:w="7540" w:type="dxa"/>
              </w:tcPr>
              <w:p w:rsidR="001A10E7" w:rsidRDefault="001A10E7" w:rsidP="00D376EB">
                <w:pPr>
                  <w:pStyle w:val="Tabletext"/>
                  <w:ind w:left="29"/>
                </w:pPr>
                <w:r>
                  <w:t>regulatory accounting framework</w:t>
                </w:r>
              </w:p>
            </w:tc>
          </w:tr>
          <w:tr w:rsidR="001A10E7" w:rsidTr="001A10E7">
            <w:trPr>
              <w:trHeight w:val="60"/>
            </w:trPr>
            <w:tc>
              <w:tcPr>
                <w:tcW w:w="2665" w:type="dxa"/>
              </w:tcPr>
              <w:p w:rsidR="001A10E7" w:rsidRDefault="001A10E7" w:rsidP="00D376EB">
                <w:pPr>
                  <w:pStyle w:val="Tabletext"/>
                  <w:ind w:left="0"/>
                </w:pPr>
                <w:r>
                  <w:t>record-keeping rule (RKR)</w:t>
                </w:r>
              </w:p>
            </w:tc>
            <w:tc>
              <w:tcPr>
                <w:tcW w:w="7540" w:type="dxa"/>
              </w:tcPr>
              <w:p w:rsidR="001A10E7" w:rsidRDefault="001A10E7" w:rsidP="00D376EB">
                <w:pPr>
                  <w:pStyle w:val="Tabletext"/>
                  <w:ind w:left="29"/>
                </w:pPr>
                <w:r>
                  <w:t>a requirement by the ACCC that Australia Post keep certain records</w:t>
                </w:r>
              </w:p>
            </w:tc>
          </w:tr>
          <w:tr w:rsidR="001A10E7" w:rsidTr="001A10E7">
            <w:trPr>
              <w:trHeight w:val="60"/>
            </w:trPr>
            <w:tc>
              <w:tcPr>
                <w:tcW w:w="2665" w:type="dxa"/>
              </w:tcPr>
              <w:p w:rsidR="001A10E7" w:rsidRDefault="001A10E7" w:rsidP="00D376EB">
                <w:pPr>
                  <w:pStyle w:val="Tabletext"/>
                  <w:ind w:left="0"/>
                </w:pPr>
                <w:r>
                  <w:t>regulatory accounts</w:t>
                </w:r>
              </w:p>
            </w:tc>
            <w:tc>
              <w:tcPr>
                <w:tcW w:w="7540" w:type="dxa"/>
              </w:tcPr>
              <w:p w:rsidR="001A10E7" w:rsidRDefault="001A10E7" w:rsidP="00D376EB">
                <w:pPr>
                  <w:pStyle w:val="Tabletext"/>
                  <w:ind w:left="29"/>
                </w:pPr>
                <w:r>
                  <w:t>the statement of financial performance, statement of capital employed, statement of movements in non-current asset values, statement of WACC and statement of service group usage required by the RKRs to be provided by Australia Post to the ACCC</w:t>
                </w:r>
              </w:p>
            </w:tc>
          </w:tr>
          <w:tr w:rsidR="001A10E7" w:rsidTr="001A10E7">
            <w:trPr>
              <w:trHeight w:val="60"/>
            </w:trPr>
            <w:tc>
              <w:tcPr>
                <w:tcW w:w="2665" w:type="dxa"/>
              </w:tcPr>
              <w:p w:rsidR="001A10E7" w:rsidRDefault="001A10E7" w:rsidP="00D376EB">
                <w:pPr>
                  <w:pStyle w:val="Tabletext"/>
                  <w:ind w:left="0"/>
                </w:pPr>
                <w:r>
                  <w:t>reserved services</w:t>
                </w:r>
              </w:p>
            </w:tc>
            <w:tc>
              <w:tcPr>
                <w:tcW w:w="7540" w:type="dxa"/>
              </w:tcPr>
              <w:p w:rsidR="001A10E7" w:rsidRDefault="001A10E7" w:rsidP="00D376EB">
                <w:pPr>
                  <w:pStyle w:val="Tabletext"/>
                  <w:ind w:left="29"/>
                </w:pPr>
                <w:r>
                  <w:t>postal services reserved to Australia Post under the APCA legislation (i.e. no other entity can provide these services)</w:t>
                </w:r>
              </w:p>
            </w:tc>
          </w:tr>
          <w:tr w:rsidR="001A10E7" w:rsidTr="001A10E7">
            <w:trPr>
              <w:trHeight w:val="60"/>
            </w:trPr>
            <w:tc>
              <w:tcPr>
                <w:tcW w:w="2665" w:type="dxa"/>
              </w:tcPr>
              <w:p w:rsidR="001A10E7" w:rsidRDefault="001A10E7" w:rsidP="00D376EB">
                <w:pPr>
                  <w:pStyle w:val="Tabletext"/>
                  <w:ind w:left="0"/>
                </w:pPr>
                <w:r>
                  <w:t>segment</w:t>
                </w:r>
              </w:p>
            </w:tc>
            <w:tc>
              <w:tcPr>
                <w:tcW w:w="7540" w:type="dxa"/>
              </w:tcPr>
              <w:p w:rsidR="001A10E7" w:rsidRDefault="001A10E7" w:rsidP="00D376EB">
                <w:pPr>
                  <w:pStyle w:val="Tabletext"/>
                  <w:ind w:left="29"/>
                </w:pPr>
                <w:r>
                  <w:t>For the purpose of compliance with the ACCC’s regulatory accounting framework, Australia Post combines service groups into broader ‘segments’. Australia Post’s segments in 2014−15, were Mail (reserved and non-reserved), Parcels, Retail and agency and Other services</w:t>
                </w:r>
              </w:p>
            </w:tc>
          </w:tr>
          <w:tr w:rsidR="001A10E7" w:rsidTr="001A10E7">
            <w:trPr>
              <w:trHeight w:val="60"/>
            </w:trPr>
            <w:tc>
              <w:tcPr>
                <w:tcW w:w="2665" w:type="dxa"/>
              </w:tcPr>
              <w:p w:rsidR="001A10E7" w:rsidRDefault="001A10E7" w:rsidP="00D376EB">
                <w:pPr>
                  <w:pStyle w:val="Tabletext"/>
                  <w:ind w:left="0"/>
                </w:pPr>
                <w:r>
                  <w:t>service group</w:t>
                </w:r>
              </w:p>
            </w:tc>
            <w:tc>
              <w:tcPr>
                <w:tcW w:w="7540" w:type="dxa"/>
              </w:tcPr>
              <w:p w:rsidR="001A10E7" w:rsidRDefault="001A10E7" w:rsidP="00D376EB">
                <w:pPr>
                  <w:pStyle w:val="Tabletext"/>
                  <w:ind w:left="29"/>
                </w:pPr>
                <w:r>
                  <w:t>the service groups defined in Schedule 1 of the RKR information provided by Australia Post (for example, consumer and financial products is a service group)</w:t>
                </w:r>
              </w:p>
            </w:tc>
          </w:tr>
          <w:tr w:rsidR="001A10E7" w:rsidTr="001A10E7">
            <w:trPr>
              <w:trHeight w:val="60"/>
            </w:trPr>
            <w:tc>
              <w:tcPr>
                <w:tcW w:w="2665" w:type="dxa"/>
              </w:tcPr>
              <w:p w:rsidR="001A10E7" w:rsidRDefault="001A10E7" w:rsidP="00D376EB">
                <w:pPr>
                  <w:pStyle w:val="Tabletext"/>
                  <w:ind w:left="0"/>
                </w:pPr>
                <w:r>
                  <w:t>stand-alone cost</w:t>
                </w:r>
              </w:p>
            </w:tc>
            <w:tc>
              <w:tcPr>
                <w:tcW w:w="7540" w:type="dxa"/>
              </w:tcPr>
              <w:p w:rsidR="001A10E7" w:rsidRDefault="001A10E7" w:rsidP="00D376EB">
                <w:pPr>
                  <w:pStyle w:val="Tabletext"/>
                  <w:ind w:left="29"/>
                </w:pPr>
                <w:r>
                  <w:t>the cost of producing each output or service in isolation</w:t>
                </w:r>
              </w:p>
            </w:tc>
          </w:tr>
          <w:tr w:rsidR="001A10E7" w:rsidTr="001A10E7">
            <w:trPr>
              <w:trHeight w:val="80"/>
            </w:trPr>
            <w:tc>
              <w:tcPr>
                <w:tcW w:w="2665" w:type="dxa"/>
              </w:tcPr>
              <w:p w:rsidR="001A10E7" w:rsidRDefault="001A10E7" w:rsidP="00D376EB">
                <w:pPr>
                  <w:pStyle w:val="Tabletext"/>
                  <w:ind w:left="0"/>
                </w:pPr>
                <w:proofErr w:type="spellStart"/>
                <w:r>
                  <w:t>unattributable</w:t>
                </w:r>
                <w:proofErr w:type="spellEnd"/>
                <w:r>
                  <w:t xml:space="preserve"> cost</w:t>
                </w:r>
              </w:p>
            </w:tc>
            <w:tc>
              <w:tcPr>
                <w:tcW w:w="7540" w:type="dxa"/>
              </w:tcPr>
              <w:p w:rsidR="001A10E7" w:rsidRDefault="001A10E7" w:rsidP="00D376EB">
                <w:pPr>
                  <w:pStyle w:val="Tabletext"/>
                  <w:ind w:left="29"/>
                </w:pPr>
                <w:r>
                  <w:t>a cost that is part of a pool of common costs but is not readily identifiable (in whole or part) to any particular service by a separable cause-and-effect relationship</w:t>
                </w:r>
              </w:p>
            </w:tc>
          </w:tr>
          <w:tr w:rsidR="001A10E7" w:rsidTr="001A10E7">
            <w:trPr>
              <w:trHeight w:val="60"/>
            </w:trPr>
            <w:tc>
              <w:tcPr>
                <w:tcW w:w="2665" w:type="dxa"/>
              </w:tcPr>
              <w:p w:rsidR="001A10E7" w:rsidRDefault="001A10E7" w:rsidP="00D376EB">
                <w:pPr>
                  <w:pStyle w:val="Tabletext"/>
                  <w:ind w:left="0"/>
                </w:pPr>
                <w:r>
                  <w:t>UPU</w:t>
                </w:r>
              </w:p>
            </w:tc>
            <w:tc>
              <w:tcPr>
                <w:tcW w:w="7540" w:type="dxa"/>
              </w:tcPr>
              <w:p w:rsidR="001A10E7" w:rsidRDefault="001A10E7" w:rsidP="00D376EB">
                <w:pPr>
                  <w:pStyle w:val="Tabletext"/>
                  <w:ind w:left="29"/>
                </w:pPr>
                <w:r>
                  <w:t>Universal Postal Union</w:t>
                </w:r>
              </w:p>
            </w:tc>
          </w:tr>
          <w:tr w:rsidR="001A10E7" w:rsidTr="001A10E7">
            <w:trPr>
              <w:trHeight w:val="60"/>
            </w:trPr>
            <w:tc>
              <w:tcPr>
                <w:tcW w:w="2665" w:type="dxa"/>
              </w:tcPr>
              <w:p w:rsidR="001A10E7" w:rsidRDefault="001A10E7" w:rsidP="00D376EB">
                <w:pPr>
                  <w:pStyle w:val="Tabletext"/>
                  <w:ind w:left="0"/>
                </w:pPr>
                <w:r>
                  <w:t>WACC</w:t>
                </w:r>
              </w:p>
            </w:tc>
            <w:tc>
              <w:tcPr>
                <w:tcW w:w="7540" w:type="dxa"/>
              </w:tcPr>
              <w:p w:rsidR="001A10E7" w:rsidRDefault="001A10E7" w:rsidP="00D376EB">
                <w:pPr>
                  <w:pStyle w:val="Tabletext"/>
                  <w:ind w:left="29"/>
                </w:pPr>
                <w:r>
                  <w:t>weighted average cost of capital</w:t>
                </w:r>
              </w:p>
            </w:tc>
          </w:tr>
        </w:tbl>
        <w:p w:rsidR="001A10E7" w:rsidRDefault="001A10E7" w:rsidP="001A10E7">
          <w:pPr>
            <w:pStyle w:val="Heading1"/>
          </w:pPr>
        </w:p>
        <w:p w:rsidR="001A10E7" w:rsidRDefault="001A10E7" w:rsidP="001A10E7">
          <w:pPr>
            <w:pStyle w:val="Heading1"/>
            <w:spacing w:after="240"/>
          </w:pPr>
          <w:bookmarkStart w:id="3" w:name="_Toc447275811"/>
          <w:r>
            <w:lastRenderedPageBreak/>
            <w:t>Key Messages</w:t>
          </w:r>
          <w:bookmarkEnd w:id="3"/>
        </w:p>
        <w:tbl>
          <w:tblPr>
            <w:tblW w:w="0" w:type="auto"/>
            <w:tblInd w:w="17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85"/>
          </w:tblGrid>
          <w:tr w:rsidR="001A10E7" w:rsidTr="001A10E7">
            <w:tblPrEx>
              <w:tblCellMar>
                <w:top w:w="0" w:type="dxa"/>
                <w:left w:w="0" w:type="dxa"/>
                <w:bottom w:w="0" w:type="dxa"/>
                <w:right w:w="0" w:type="dxa"/>
              </w:tblCellMar>
            </w:tblPrEx>
            <w:trPr>
              <w:trHeight w:val="60"/>
            </w:trPr>
            <w:tc>
              <w:tcPr>
                <w:tcW w:w="10185" w:type="dxa"/>
                <w:shd w:val="clear" w:color="auto" w:fill="F2F2F2" w:themeFill="background1" w:themeFillShade="F2"/>
                <w:tcMar>
                  <w:top w:w="170" w:type="dxa"/>
                  <w:left w:w="170" w:type="dxa"/>
                  <w:bottom w:w="170" w:type="dxa"/>
                  <w:right w:w="170" w:type="dxa"/>
                </w:tcMar>
              </w:tcPr>
              <w:p w:rsidR="001A10E7" w:rsidRDefault="001A10E7" w:rsidP="001A10E7">
                <w:pPr>
                  <w:pStyle w:val="Bulletpoint"/>
                </w:pPr>
                <w:r>
                  <w:t xml:space="preserve">The ACCC has a number of postal regulatory responsibilities including assessing proposals for price increases for the basic postage rate. </w:t>
                </w:r>
                <w:proofErr w:type="gramStart"/>
                <w:r>
                  <w:t>However</w:t>
                </w:r>
                <w:proofErr w:type="gramEnd"/>
                <w:r>
                  <w:t xml:space="preserve"> this report deals only with the ACCC’s role in assessing cross-subsidy by Australia Post.  </w:t>
                </w:r>
              </w:p>
              <w:p w:rsidR="001A10E7" w:rsidRDefault="001A10E7" w:rsidP="001A10E7">
                <w:pPr>
                  <w:pStyle w:val="Bulletpoint"/>
                </w:pPr>
                <w:r>
                  <w:t xml:space="preserve">The ACCC uses regulatory accounts submitted by Australia Post to conduct economic tests to assess whether Australia Post is using revenue from its monopoly letter service to cross-subsidise those services it provides in competition with other businesses. </w:t>
                </w:r>
              </w:p>
              <w:p w:rsidR="001A10E7" w:rsidRDefault="001A10E7" w:rsidP="001A10E7">
                <w:pPr>
                  <w:pStyle w:val="Bulletpoint"/>
                </w:pPr>
                <w:r>
                  <w:t>Any cross-subsidy by Australia Post from its reserved (statutory monopoly) services to its non-reserved services would be a concern because Australia Post could damage competition in other markets by the use of its legislated monopoly.</w:t>
                </w:r>
              </w:p>
              <w:p w:rsidR="001A10E7" w:rsidRDefault="001A10E7" w:rsidP="001A10E7">
                <w:pPr>
                  <w:pStyle w:val="Bulletpoint"/>
                </w:pPr>
                <w:r>
                  <w:t xml:space="preserve">The ACCC’s cross-subsidy testing has found that Australia Post did not use profits from its monopoly reserved letter services </w:t>
                </w:r>
                <w:proofErr w:type="gramStart"/>
                <w:r>
                  <w:t>to unfairly compete</w:t>
                </w:r>
                <w:proofErr w:type="gramEnd"/>
                <w:r>
                  <w:t xml:space="preserve"> in other markets in 2014–15. </w:t>
                </w:r>
              </w:p>
              <w:p w:rsidR="001A10E7" w:rsidRDefault="001A10E7" w:rsidP="001A10E7">
                <w:pPr>
                  <w:pStyle w:val="Bulletpoint"/>
                </w:pPr>
                <w:r>
                  <w:t xml:space="preserve">The ACCC is satisfied that Australia Post’s monopoly letter services were not a source of subsidy in 2014–15. Australia Post’s monopoly letter services were unable to recover their operating costs, so they were a potential recipient of a subsidy. The level of cost recovery of reserved services has been declining together with letter volumes since 2007–08. </w:t>
                </w:r>
              </w:p>
              <w:p w:rsidR="001A10E7" w:rsidRDefault="001A10E7" w:rsidP="001A10E7">
                <w:pPr>
                  <w:pStyle w:val="Bulletpoint"/>
                </w:pPr>
                <w:proofErr w:type="gramStart"/>
                <w:r>
                  <w:t>In fact, prior to 2013–14, it has been non-reserved services that have been a source or a potential source of subsidy for the reserved services.</w:t>
                </w:r>
                <w:proofErr w:type="gramEnd"/>
                <w:r>
                  <w:t xml:space="preserve"> However, in 2014–15, </w:t>
                </w:r>
                <w:proofErr w:type="gramStart"/>
                <w:r>
                  <w:t>no specific non-reserved</w:t>
                </w:r>
                <w:proofErr w:type="gramEnd"/>
                <w:r>
                  <w:t xml:space="preserve"> service was a definite source of subsidy. Furthermore, Australia Post’s non-reserved services (as a whole) in 2014–15 were also a potential recipient of a subsidy (when adjusted for the cost of capital).</w:t>
                </w:r>
              </w:p>
              <w:p w:rsidR="001A10E7" w:rsidRDefault="001A10E7" w:rsidP="001A10E7">
                <w:pPr>
                  <w:pStyle w:val="Bulletpoint"/>
                </w:pPr>
                <w:r>
                  <w:t xml:space="preserve">The results of the ACCC’s cross-subsidy testing also reflect a continued decline in Australia Post’s financial performance. In 2014–15, Australia Post reported its first </w:t>
                </w:r>
                <w:proofErr w:type="gramStart"/>
                <w:r>
                  <w:t>ever operating</w:t>
                </w:r>
                <w:proofErr w:type="gramEnd"/>
                <w:r>
                  <w:t xml:space="preserve"> loss. A significant factor affecting Australia Post’s cost recovery in 2014–15 is a $200 million provision for restructuring costs associated with the reform of its letters business.</w:t>
                </w:r>
              </w:p>
            </w:tc>
          </w:tr>
        </w:tbl>
        <w:p w:rsidR="001A10E7" w:rsidRDefault="001A10E7" w:rsidP="001A10E7">
          <w:pPr>
            <w:pStyle w:val="Heading1"/>
          </w:pPr>
        </w:p>
        <w:p w:rsidR="001A10E7" w:rsidRDefault="001A10E7">
          <w:pPr>
            <w:rPr>
              <w:rFonts w:ascii="Lucida Fax" w:eastAsiaTheme="majorEastAsia" w:hAnsi="Lucida Fax" w:cstheme="majorBidi"/>
              <w:bCs/>
              <w:color w:val="51626F"/>
              <w:sz w:val="32"/>
              <w:szCs w:val="28"/>
            </w:rPr>
          </w:pPr>
          <w:r>
            <w:br w:type="page"/>
          </w:r>
        </w:p>
        <w:p w:rsidR="001A10E7" w:rsidRDefault="001A10E7" w:rsidP="001A10E7">
          <w:pPr>
            <w:pStyle w:val="Numbered1"/>
          </w:pPr>
          <w:bookmarkStart w:id="4" w:name="_Toc447275812"/>
          <w:r>
            <w:lastRenderedPageBreak/>
            <w:t>Introduction</w:t>
          </w:r>
          <w:bookmarkEnd w:id="4"/>
        </w:p>
        <w:p w:rsidR="001A10E7" w:rsidRDefault="001A10E7" w:rsidP="001A10E7">
          <w:r>
            <w:t xml:space="preserve">The ACCC has a role under the </w:t>
          </w:r>
          <w:r w:rsidRPr="001A10E7">
            <w:rPr>
              <w:rStyle w:val="Emphasis"/>
            </w:rPr>
            <w:t>Australian Postal Corporation Act 1989 (</w:t>
          </w:r>
          <w:r>
            <w:t xml:space="preserve">APCA) to assess whether Australia Post is </w:t>
          </w:r>
          <w:proofErr w:type="gramStart"/>
          <w:r>
            <w:t>cross-subsidising</w:t>
          </w:r>
          <w:proofErr w:type="gramEnd"/>
          <w:r>
            <w:t xml:space="preserve"> its non-reserved services (generally, services it provides in competition with others) with revenues from its reserved (statutory monopoly) services. This would be a concern because Australia Post could damage competition in competitive markets by the use of its legislated monopoly.</w:t>
          </w:r>
          <w:r w:rsidRPr="001A10E7">
            <w:rPr>
              <w:vertAlign w:val="superscript"/>
            </w:rPr>
            <w:footnoteReference w:id="1"/>
          </w:r>
          <w:r>
            <w:t xml:space="preserve"> </w:t>
          </w:r>
        </w:p>
        <w:p w:rsidR="001A10E7" w:rsidRDefault="001A10E7" w:rsidP="001A10E7">
          <w:r>
            <w:t>To undertake its cross-subsidy assessment, the ACCC relies on information provided by Australia Post in its regulatory accounts. The regulatory accounts provide detailed revenue and cost information disaggregated by defined service groups. For example:</w:t>
          </w:r>
        </w:p>
        <w:p w:rsidR="001A10E7" w:rsidRDefault="001A10E7" w:rsidP="001A10E7">
          <w:pPr>
            <w:pStyle w:val="Bulletpoint"/>
          </w:pPr>
          <w:r>
            <w:t xml:space="preserve">Direct costs are solely associated with a particular service (for example, cost of goods sold can be directly attributed to products sold in Australia Post’s retail stores). Due to the shared and labour-intensive nature of Australia Post’s operations, it has very few direct cost items relating to specific mail services. </w:t>
          </w:r>
        </w:p>
        <w:p w:rsidR="001A10E7" w:rsidRDefault="001A10E7" w:rsidP="001A10E7">
          <w:pPr>
            <w:pStyle w:val="Bulletpoint"/>
          </w:pPr>
          <w:r>
            <w:t xml:space="preserve">Attributable cost items are part of a pool of common costs that are identifiable to a particular service by a separable cause-and-effect relationship. For example, the labour costs associated with processing and delivering letters </w:t>
          </w:r>
          <w:proofErr w:type="gramStart"/>
          <w:r>
            <w:t>can be described</w:t>
          </w:r>
          <w:proofErr w:type="gramEnd"/>
          <w:r>
            <w:t xml:space="preserve"> as attributable.</w:t>
          </w:r>
        </w:p>
        <w:p w:rsidR="001A10E7" w:rsidRDefault="001A10E7" w:rsidP="001A10E7">
          <w:pPr>
            <w:pStyle w:val="Bulletpoint"/>
          </w:pPr>
          <w:proofErr w:type="spellStart"/>
          <w:r>
            <w:t>Unattributable</w:t>
          </w:r>
          <w:proofErr w:type="spellEnd"/>
          <w:r>
            <w:t xml:space="preserve"> costs are part of a pool of common costs but are not readily identifiable to any particular service. For example, costs associated with senior </w:t>
          </w:r>
          <w:proofErr w:type="gramStart"/>
          <w:r>
            <w:t>management and central support functions such as finance</w:t>
          </w:r>
          <w:proofErr w:type="gramEnd"/>
          <w:r>
            <w:t xml:space="preserve"> and corporate affairs are classified as </w:t>
          </w:r>
          <w:proofErr w:type="spellStart"/>
          <w:r>
            <w:t>unattributable</w:t>
          </w:r>
          <w:proofErr w:type="spellEnd"/>
          <w:r>
            <w:t xml:space="preserve"> costs. </w:t>
          </w:r>
        </w:p>
        <w:p w:rsidR="001A10E7" w:rsidRDefault="001A10E7" w:rsidP="001A10E7">
          <w:proofErr w:type="gramStart"/>
          <w:r>
            <w:t>The regulatory accounts must be prepared by Australia Post</w:t>
          </w:r>
          <w:proofErr w:type="gramEnd"/>
          <w:r>
            <w:t xml:space="preserve"> in accordance with an ACCC record keeping rule (RKR). Australia Post allocates revenues, costs, and assets between service groups using its cost allocation methodology (CAM). </w:t>
          </w:r>
          <w:proofErr w:type="gramStart"/>
          <w:r>
            <w:t>The regulatory accounts are reviewed by an independent auditor who audits Australia Post’s compliance with the RKR and Australian Auditing Standards</w:t>
          </w:r>
          <w:proofErr w:type="gramEnd"/>
          <w:r>
            <w:t xml:space="preserve">. The ACCC does not formally review Australia Post’s CAM as part of its annual cross-subsidy assessment process. </w:t>
          </w:r>
        </w:p>
        <w:p w:rsidR="001A10E7" w:rsidRDefault="001A10E7" w:rsidP="001A10E7">
          <w:r>
            <w:t>However, as part of its assessment of Australia Post’s price notification in 2015, the ACCC employed WIK Consult (</w:t>
          </w:r>
          <w:proofErr w:type="spellStart"/>
          <w:r>
            <w:t>Wik</w:t>
          </w:r>
          <w:proofErr w:type="spellEnd"/>
          <w:r>
            <w:t xml:space="preserve">) to review the CAM. The </w:t>
          </w:r>
          <w:proofErr w:type="spellStart"/>
          <w:r>
            <w:t>Wik</w:t>
          </w:r>
          <w:proofErr w:type="spellEnd"/>
          <w:r>
            <w:t xml:space="preserve"> review did not identify any systematic bias in Australia Post’s CAM but did identify some areas where further improvements </w:t>
          </w:r>
          <w:proofErr w:type="gramStart"/>
          <w:r>
            <w:t>could be made</w:t>
          </w:r>
          <w:proofErr w:type="gramEnd"/>
          <w:r>
            <w:t xml:space="preserve"> to the CAM. As discussed in Section 2.6, Australia Post has committed to working with the ACCC </w:t>
          </w:r>
          <w:proofErr w:type="gramStart"/>
          <w:r>
            <w:t>to further improve</w:t>
          </w:r>
          <w:proofErr w:type="gramEnd"/>
          <w:r>
            <w:t xml:space="preserve"> its CAM in particular so that it more accurately reflects cost differences between ordinary and stamped priority letter services. </w:t>
          </w:r>
        </w:p>
        <w:p w:rsidR="001A10E7" w:rsidRDefault="001A10E7" w:rsidP="001A10E7">
          <w:r>
            <w:t xml:space="preserve">Each year in undertaking this cross-subsidy analysis, the ACCC has adjusted the regulatory accounts submitted by Australia Post to allow for a return on capital. The ACCC considers a return on capital is a legitimate cost to business. </w:t>
          </w:r>
          <w:proofErr w:type="gramStart"/>
          <w:r>
            <w:t>Accordingly</w:t>
          </w:r>
          <w:proofErr w:type="gramEnd"/>
          <w:r>
            <w:t xml:space="preserve"> the conclusions and cross-subsidy tests results in this report are presented on a capital-adjusted basis, unless otherwise noted.  However, as discussed in Appendix A, cost figures presented in Section 4 of this report do not include a return on capital. This approach allows readers to reconcile the figures presented with Australia Post’s annual report, and recognises Australia Post’s claim of confidentiality over its weighted average cost of capital (WACC) and its components.</w:t>
          </w:r>
        </w:p>
        <w:p w:rsidR="001A10E7" w:rsidRDefault="001A10E7" w:rsidP="001A10E7">
          <w:r>
            <w:t xml:space="preserve">The remainder of this report </w:t>
          </w:r>
          <w:proofErr w:type="gramStart"/>
          <w:r>
            <w:t>is structured</w:t>
          </w:r>
          <w:proofErr w:type="gramEnd"/>
          <w:r>
            <w:t xml:space="preserve"> as follows:</w:t>
          </w:r>
        </w:p>
        <w:p w:rsidR="001A10E7" w:rsidRDefault="001A10E7" w:rsidP="001A10E7">
          <w:pPr>
            <w:pStyle w:val="Bulletpoint"/>
          </w:pPr>
          <w:r>
            <w:t>Section 2 provides an overview of Australia Post and the ACCC’s roles in the regulation of postal services</w:t>
          </w:r>
        </w:p>
        <w:p w:rsidR="001A10E7" w:rsidRDefault="001A10E7" w:rsidP="001A10E7">
          <w:pPr>
            <w:pStyle w:val="Bulletpoint"/>
          </w:pPr>
          <w:r>
            <w:lastRenderedPageBreak/>
            <w:t>Section 3 outlines the ACCC’s framework for monitoring for cross-subsidy</w:t>
          </w:r>
        </w:p>
        <w:p w:rsidR="001A10E7" w:rsidRDefault="001A10E7" w:rsidP="001A10E7">
          <w:pPr>
            <w:pStyle w:val="Bulletpoint"/>
          </w:pPr>
          <w:r>
            <w:t>Section 4 sets out the results of the ACCC’s cross-subsidy analysis for 2014–15</w:t>
          </w:r>
        </w:p>
        <w:p w:rsidR="001A10E7" w:rsidRDefault="001A10E7" w:rsidP="001A10E7">
          <w:r>
            <w:t xml:space="preserve">Appendix </w:t>
          </w:r>
          <w:proofErr w:type="gramStart"/>
          <w:r>
            <w:t>A</w:t>
          </w:r>
          <w:proofErr w:type="gramEnd"/>
          <w:r>
            <w:t xml:space="preserve"> outlines Australia Post’s cost allocation methods, accounting policies, and general notes about the presentation of the cross-subsidy results in this report. </w:t>
          </w:r>
        </w:p>
        <w:p w:rsidR="001A10E7" w:rsidRDefault="001A10E7" w:rsidP="001A10E7">
          <w:pPr>
            <w:pStyle w:val="Numbered1"/>
          </w:pPr>
          <w:bookmarkStart w:id="5" w:name="_Toc447275813"/>
          <w:r>
            <w:t>Background</w:t>
          </w:r>
          <w:bookmarkEnd w:id="5"/>
        </w:p>
        <w:p w:rsidR="001A10E7" w:rsidRDefault="001A10E7" w:rsidP="001A10E7">
          <w:r>
            <w:t xml:space="preserve">The ACCC has a number of postal regulatory responsibilities including assessing price increases in the basic postage rate (currently $1). </w:t>
          </w:r>
          <w:proofErr w:type="gramStart"/>
          <w:r>
            <w:t>However</w:t>
          </w:r>
          <w:proofErr w:type="gramEnd"/>
          <w:r>
            <w:t xml:space="preserve"> this report deals only with the ACCC’s role in assessing cross-subsidy by Australia Post. </w:t>
          </w:r>
        </w:p>
        <w:p w:rsidR="001A10E7" w:rsidRDefault="001A10E7" w:rsidP="001A10E7">
          <w:r>
            <w:t xml:space="preserve">This report presents the results of the ACCC’s analysis of Australia Post’s regulatory accounts for the 2014–15 financial year in order to determine whether Australia Post cross-subsidised its contestable services with revenue from its monopoly letter services. </w:t>
          </w:r>
        </w:p>
        <w:p w:rsidR="001A10E7" w:rsidRDefault="001A10E7" w:rsidP="001A10E7">
          <w:r>
            <w:t xml:space="preserve">The ACCC was given this role in 2004 in response to complaints by competitors that Australia Post was damaging competition by </w:t>
          </w:r>
          <w:proofErr w:type="gramStart"/>
          <w:r>
            <w:t>cross-subsidising</w:t>
          </w:r>
          <w:proofErr w:type="gramEnd"/>
          <w:r>
            <w:t xml:space="preserve"> its contestable services with revenues from its reserved services. In June </w:t>
          </w:r>
          <w:proofErr w:type="gramStart"/>
          <w:r>
            <w:t>2004</w:t>
          </w:r>
          <w:proofErr w:type="gramEnd"/>
          <w:r>
            <w:t xml:space="preserve"> the APCA was amended to provide for the ACCC to issue a RKR that would ‘enable the ACCC to scrutinise whether or not Australia Post is cross-subsidising from reserved services to the services it provides in competition with others’.</w:t>
          </w:r>
          <w:r w:rsidRPr="001A10E7">
            <w:rPr>
              <w:vertAlign w:val="superscript"/>
            </w:rPr>
            <w:footnoteReference w:id="2"/>
          </w:r>
        </w:p>
        <w:p w:rsidR="001A10E7" w:rsidRDefault="001A10E7" w:rsidP="001A10E7">
          <w:r>
            <w:t>This section provides an overview of Australia Post’s obligations in providing postal services and the ACCC’s role in the regulation of postal services.</w:t>
          </w:r>
        </w:p>
        <w:p w:rsidR="001A10E7" w:rsidRDefault="001A10E7" w:rsidP="001A10E7">
          <w:pPr>
            <w:pStyle w:val="Numbered11"/>
          </w:pPr>
          <w:bookmarkStart w:id="6" w:name="_Toc447275814"/>
          <w:r>
            <w:t>Australia Post’s functions and obligations</w:t>
          </w:r>
          <w:bookmarkEnd w:id="6"/>
        </w:p>
        <w:p w:rsidR="001A10E7" w:rsidRDefault="001A10E7" w:rsidP="001A10E7">
          <w:r>
            <w:t xml:space="preserve">Australia Post is the government-owned provider of postal services in Australia. </w:t>
          </w:r>
        </w:p>
        <w:p w:rsidR="001A10E7" w:rsidRDefault="001A10E7" w:rsidP="001A10E7">
          <w:r>
            <w:t>At the end of 2014–15, Australia Post employed approximately 36 700</w:t>
          </w:r>
          <w:r w:rsidRPr="001A10E7">
            <w:rPr>
              <w:vertAlign w:val="superscript"/>
            </w:rPr>
            <w:footnoteReference w:id="3"/>
          </w:r>
          <w:r>
            <w:t xml:space="preserve"> people and operated 4 406 retail outlets.</w:t>
          </w:r>
          <w:r w:rsidRPr="001A10E7">
            <w:rPr>
              <w:vertAlign w:val="superscript"/>
            </w:rPr>
            <w:footnoteReference w:id="4"/>
          </w:r>
          <w:r>
            <w:t xml:space="preserve"> In </w:t>
          </w:r>
          <w:proofErr w:type="gramStart"/>
          <w:r>
            <w:t>2014–15</w:t>
          </w:r>
          <w:proofErr w:type="gramEnd"/>
          <w:r>
            <w:t xml:space="preserve"> Australia Post delivered mail to 11.4 million Australian addresses with 98.8 per cent of these receiving letter delivery five days a week.</w:t>
          </w:r>
          <w:r w:rsidRPr="001A10E7">
            <w:rPr>
              <w:vertAlign w:val="superscript"/>
            </w:rPr>
            <w:footnoteReference w:id="5"/>
          </w:r>
          <w:r>
            <w:t xml:space="preserve"> </w:t>
          </w:r>
        </w:p>
        <w:p w:rsidR="001A10E7" w:rsidRDefault="001A10E7" w:rsidP="001A10E7">
          <w:r>
            <w:t>The APCA requires that Australia Post:</w:t>
          </w:r>
        </w:p>
        <w:p w:rsidR="001A10E7" w:rsidRDefault="001A10E7" w:rsidP="001A10E7">
          <w:pPr>
            <w:pStyle w:val="Bulletpoint"/>
          </w:pPr>
          <w:r>
            <w:t>as far as is practicable, performs its functions in a manner consistent with sound commercial practice</w:t>
          </w:r>
          <w:r w:rsidRPr="001A10E7">
            <w:rPr>
              <w:vertAlign w:val="superscript"/>
            </w:rPr>
            <w:footnoteReference w:id="6"/>
          </w:r>
          <w:r>
            <w:t xml:space="preserve"> </w:t>
          </w:r>
        </w:p>
        <w:p w:rsidR="001A10E7" w:rsidRDefault="001A10E7" w:rsidP="001A10E7">
          <w:pPr>
            <w:pStyle w:val="Bulletpoint"/>
          </w:pPr>
          <w:r>
            <w:t>meet certain community service obligations (outlined below)</w:t>
          </w:r>
          <w:r w:rsidRPr="001A10E7">
            <w:rPr>
              <w:vertAlign w:val="superscript"/>
            </w:rPr>
            <w:footnoteReference w:id="7"/>
          </w:r>
        </w:p>
        <w:p w:rsidR="001A10E7" w:rsidRDefault="001A10E7" w:rsidP="001A10E7">
          <w:pPr>
            <w:pStyle w:val="Bulletpoint"/>
          </w:pPr>
          <w:proofErr w:type="gramStart"/>
          <w:r>
            <w:t>perform</w:t>
          </w:r>
          <w:proofErr w:type="gramEnd"/>
          <w:r>
            <w:t xml:space="preserve"> its functions in a way consistent with general government policy and any directions given by the Minister.</w:t>
          </w:r>
          <w:r w:rsidRPr="001A10E7">
            <w:rPr>
              <w:vertAlign w:val="superscript"/>
            </w:rPr>
            <w:footnoteReference w:id="8"/>
          </w:r>
        </w:p>
        <w:p w:rsidR="001A10E7" w:rsidRDefault="001A10E7" w:rsidP="001A10E7">
          <w:r>
            <w:lastRenderedPageBreak/>
            <w:t xml:space="preserve">Australia Post has a community service obligation to supply a letter service. The purpose of the letter service is to carry, by physical means, letters within Australia and between Australia and places outside Australia. </w:t>
          </w:r>
        </w:p>
        <w:p w:rsidR="001A10E7" w:rsidRDefault="001A10E7" w:rsidP="001A10E7">
          <w:r>
            <w:t>For letters that are standard postal articles, Australia Post must make the letter service available at a single uniform rate of postage for carriage within Australia. In recognition of the social importance of the letter service, Australia Post must ensure that:</w:t>
          </w:r>
        </w:p>
        <w:p w:rsidR="001A10E7" w:rsidRDefault="001A10E7" w:rsidP="001A10E7">
          <w:pPr>
            <w:pStyle w:val="Bulletpoint"/>
          </w:pPr>
          <w:r>
            <w:t>the letter service is reasonably accessible to all people on an equitable basis, wherever they reside or carry on business</w:t>
          </w:r>
        </w:p>
        <w:p w:rsidR="001A10E7" w:rsidRDefault="001A10E7" w:rsidP="001A10E7">
          <w:pPr>
            <w:pStyle w:val="Bulletpoint"/>
          </w:pPr>
          <w:proofErr w:type="gramStart"/>
          <w:r>
            <w:t>the</w:t>
          </w:r>
          <w:proofErr w:type="gramEnd"/>
          <w:r>
            <w:t xml:space="preserve"> performance standards of the letter service reasonably meet the social, industrial and commercial needs of the Australian community.</w:t>
          </w:r>
        </w:p>
        <w:p w:rsidR="001A10E7" w:rsidRDefault="001A10E7" w:rsidP="001A10E7">
          <w:pPr>
            <w:pStyle w:val="Numbered11"/>
          </w:pPr>
          <w:bookmarkStart w:id="7" w:name="_Toc447275815"/>
          <w:r>
            <w:t>Services ‘reserved’ to Australia Post</w:t>
          </w:r>
          <w:bookmarkEnd w:id="7"/>
        </w:p>
        <w:p w:rsidR="001A10E7" w:rsidRDefault="001A10E7" w:rsidP="001A10E7">
          <w:r>
            <w:t>In recognition of its community service obligations, Australia Post has a general monopoly in the carriage and delivery of letters within Australia, subject to some specific exemptions.</w:t>
          </w:r>
          <w:r w:rsidRPr="001A10E7">
            <w:rPr>
              <w:vertAlign w:val="superscript"/>
            </w:rPr>
            <w:footnoteReference w:id="9"/>
          </w:r>
          <w:r>
            <w:t xml:space="preserve"> </w:t>
          </w:r>
        </w:p>
        <w:p w:rsidR="001A10E7" w:rsidRDefault="001A10E7" w:rsidP="001A10E7">
          <w:r>
            <w:t xml:space="preserve">The services covered by this monopoly </w:t>
          </w:r>
          <w:proofErr w:type="gramStart"/>
          <w:r>
            <w:t>are generally referred</w:t>
          </w:r>
          <w:proofErr w:type="gramEnd"/>
          <w:r>
            <w:t xml:space="preserve"> to as ‘reserved services’. They extend </w:t>
          </w:r>
          <w:proofErr w:type="gramStart"/>
          <w:r>
            <w:t>to</w:t>
          </w:r>
          <w:proofErr w:type="gramEnd"/>
          <w:r>
            <w:t>:</w:t>
          </w:r>
        </w:p>
        <w:p w:rsidR="001A10E7" w:rsidRDefault="001A10E7" w:rsidP="001A10E7">
          <w:pPr>
            <w:pStyle w:val="Bulletpoint"/>
          </w:pPr>
          <w:r>
            <w:t>the collection within Australia of letters for delivery within Australia</w:t>
          </w:r>
        </w:p>
        <w:p w:rsidR="001A10E7" w:rsidRDefault="001A10E7" w:rsidP="001A10E7">
          <w:pPr>
            <w:pStyle w:val="Bulletpoint"/>
          </w:pPr>
          <w:proofErr w:type="gramStart"/>
          <w:r>
            <w:t>the</w:t>
          </w:r>
          <w:proofErr w:type="gramEnd"/>
          <w:r>
            <w:t xml:space="preserve"> delivery of letters within Australia.</w:t>
          </w:r>
        </w:p>
        <w:p w:rsidR="001A10E7" w:rsidRDefault="001A10E7" w:rsidP="001A10E7">
          <w:r>
            <w:t>The term ‘letters’ has a meaning that is wider than its general usage—the APCA defines ‘letter’ as meaning any form of written communication that is directed to a particular person or a particular address.</w:t>
          </w:r>
          <w:r w:rsidRPr="001A10E7">
            <w:rPr>
              <w:vertAlign w:val="superscript"/>
            </w:rPr>
            <w:footnoteReference w:id="10"/>
          </w:r>
        </w:p>
        <w:p w:rsidR="001A10E7" w:rsidRDefault="001A10E7" w:rsidP="001A10E7">
          <w:r>
            <w:t>Australia Post also has the exclusive right to issue postage stamps within Australia.</w:t>
          </w:r>
        </w:p>
        <w:p w:rsidR="001A10E7" w:rsidRDefault="001A10E7" w:rsidP="001A10E7">
          <w:r>
            <w:t xml:space="preserve">As noted above, the monopoly in relation to reserved services is subject to a number of exceptions, which </w:t>
          </w:r>
          <w:proofErr w:type="gramStart"/>
          <w:r>
            <w:t>are detailed</w:t>
          </w:r>
          <w:proofErr w:type="gramEnd"/>
          <w:r>
            <w:t xml:space="preserve"> in section 30 of the APCA. Some of these include:</w:t>
          </w:r>
        </w:p>
        <w:p w:rsidR="001A10E7" w:rsidRDefault="001A10E7" w:rsidP="001A10E7">
          <w:pPr>
            <w:pStyle w:val="Bulletpoint"/>
          </w:pPr>
          <w:r>
            <w:t>the carriage of a letter weighing more than 250 grams</w:t>
          </w:r>
        </w:p>
        <w:p w:rsidR="001A10E7" w:rsidRDefault="001A10E7" w:rsidP="001A10E7">
          <w:pPr>
            <w:pStyle w:val="Bulletpoint"/>
          </w:pPr>
          <w:r>
            <w:t>the carriage of a letter relating to goods that is sent and delivered with the goods</w:t>
          </w:r>
        </w:p>
        <w:p w:rsidR="001A10E7" w:rsidRDefault="001A10E7" w:rsidP="001A10E7">
          <w:pPr>
            <w:pStyle w:val="Bulletpoint"/>
          </w:pPr>
          <w:r>
            <w:t>the carriage of a newspaper, magazine, book, catalogue or leaflet, whether or not directed to a particular person or address and whether or not enclosed in any sort of cover</w:t>
          </w:r>
        </w:p>
        <w:p w:rsidR="001A10E7" w:rsidRDefault="001A10E7" w:rsidP="001A10E7">
          <w:pPr>
            <w:pStyle w:val="Bulletpoint"/>
          </w:pPr>
          <w:r>
            <w:t>the carriage of a letter otherwise than for reward</w:t>
          </w:r>
        </w:p>
        <w:p w:rsidR="001A10E7" w:rsidRDefault="001A10E7" w:rsidP="001A10E7">
          <w:pPr>
            <w:pStyle w:val="Bulletpoint"/>
          </w:pPr>
          <w:r>
            <w:t>the carriage of a letter on behalf of a foreign country under a convention</w:t>
          </w:r>
        </w:p>
        <w:p w:rsidR="001A10E7" w:rsidRDefault="001A10E7" w:rsidP="001A10E7">
          <w:pPr>
            <w:pStyle w:val="Bulletpoint"/>
          </w:pPr>
          <w:proofErr w:type="gramStart"/>
          <w:r>
            <w:t>the</w:t>
          </w:r>
          <w:proofErr w:type="gramEnd"/>
          <w:r>
            <w:t xml:space="preserve"> carriage of a letter within Australia for a charge or fee that is at least four times the then rate of postage for the carriage within Australia of a standard postal article by ordinary post.</w:t>
          </w:r>
        </w:p>
        <w:p w:rsidR="001A10E7" w:rsidRDefault="001A10E7" w:rsidP="001A10E7">
          <w:pPr>
            <w:pStyle w:val="Numbered11"/>
          </w:pPr>
          <w:bookmarkStart w:id="8" w:name="_Toc447275816"/>
          <w:r>
            <w:t>ACCC role in the regulation of postal services</w:t>
          </w:r>
          <w:bookmarkEnd w:id="8"/>
        </w:p>
        <w:p w:rsidR="001A10E7" w:rsidRDefault="001A10E7" w:rsidP="001A10E7">
          <w:r>
            <w:t xml:space="preserve">The ACCC has three key roles in the regulation of postal services under the </w:t>
          </w:r>
          <w:r w:rsidRPr="001A10E7">
            <w:rPr>
              <w:rStyle w:val="Emphasis"/>
            </w:rPr>
            <w:t xml:space="preserve">Competition and Consumer Act 2010 </w:t>
          </w:r>
          <w:r>
            <w:t>(CCA) and the APCA. This report deals only with one of these roles, under which the ACCC has the power to issue record keeping rules (RKRs) requiring Australia Post to keep certain records.</w:t>
          </w:r>
          <w:r w:rsidRPr="001A10E7">
            <w:rPr>
              <w:vertAlign w:val="superscript"/>
            </w:rPr>
            <w:footnoteReference w:id="11"/>
          </w:r>
          <w:r>
            <w:t xml:space="preserve"> </w:t>
          </w:r>
        </w:p>
        <w:p w:rsidR="001A10E7" w:rsidRDefault="001A10E7" w:rsidP="001A10E7">
          <w:r>
            <w:lastRenderedPageBreak/>
            <w:t>The ACCC also has two other roles under the CCA and the APCA:</w:t>
          </w:r>
        </w:p>
        <w:p w:rsidR="001A10E7" w:rsidRDefault="001A10E7" w:rsidP="001A10E7">
          <w:pPr>
            <w:pStyle w:val="Bulletpoint"/>
          </w:pPr>
          <w:r>
            <w:t>assessing proposed price increases of Australia Post’s notified</w:t>
          </w:r>
          <w:r w:rsidRPr="001A10E7">
            <w:rPr>
              <w:vertAlign w:val="superscript"/>
            </w:rPr>
            <w:footnoteReference w:id="12"/>
          </w:r>
          <w:r>
            <w:t xml:space="preserve"> services under Part VIIA of the CCA</w:t>
          </w:r>
        </w:p>
        <w:p w:rsidR="001A10E7" w:rsidRDefault="001A10E7" w:rsidP="001A10E7">
          <w:pPr>
            <w:pStyle w:val="Bulletpoint"/>
          </w:pPr>
          <w:proofErr w:type="gramStart"/>
          <w:r>
            <w:t>inquiring</w:t>
          </w:r>
          <w:proofErr w:type="gramEnd"/>
          <w:r>
            <w:t xml:space="preserve"> into certain disputes regarding the terms and conditions on which Australia Post supplies its bulk mail services.</w:t>
          </w:r>
          <w:r w:rsidRPr="001A10E7">
            <w:rPr>
              <w:vertAlign w:val="superscript"/>
            </w:rPr>
            <w:footnoteReference w:id="13"/>
          </w:r>
        </w:p>
        <w:p w:rsidR="001A10E7" w:rsidRDefault="001A10E7" w:rsidP="001A10E7">
          <w:pPr>
            <w:pStyle w:val="Numbered11"/>
          </w:pPr>
          <w:bookmarkStart w:id="9" w:name="_Toc447275817"/>
          <w:r>
            <w:t>Record-keeping rule powers</w:t>
          </w:r>
          <w:bookmarkEnd w:id="9"/>
        </w:p>
        <w:p w:rsidR="001A10E7" w:rsidRDefault="001A10E7" w:rsidP="001A10E7">
          <w:r>
            <w:t xml:space="preserve">In March </w:t>
          </w:r>
          <w:proofErr w:type="gramStart"/>
          <w:r>
            <w:t>2005</w:t>
          </w:r>
          <w:proofErr w:type="gramEnd"/>
          <w:r>
            <w:t xml:space="preserve"> the ACCC issued an RKR that established a regulatory accounting framework (RAF) for Australia Post. In accordance with this RKR, Australia Post has submitted regulatory accounts to the ACCC for each financial year from 2004–05. The primary purpose of the RAF is to allow the ACCC to assess whether Australia Post is cross-subsidising losses incurred by the services it provides in competition with others with profits from its reserved services. </w:t>
          </w:r>
        </w:p>
        <w:p w:rsidR="001A10E7" w:rsidRDefault="001A10E7" w:rsidP="001A10E7">
          <w:r>
            <w:t>The ACCC may prepare and publish reports—or may be directed by the Minister to prepare and publish reports—analysing information provided to it under the RKRs.</w:t>
          </w:r>
          <w:r w:rsidRPr="001A10E7">
            <w:rPr>
              <w:vertAlign w:val="superscript"/>
            </w:rPr>
            <w:footnoteReference w:id="14"/>
          </w:r>
          <w:r>
            <w:t xml:space="preserve"> Such reports may include information that Australia Post claims is commercial-in-confidence if:</w:t>
          </w:r>
        </w:p>
        <w:p w:rsidR="001A10E7" w:rsidRDefault="001A10E7" w:rsidP="001A10E7">
          <w:pPr>
            <w:pStyle w:val="Bulletpoint"/>
          </w:pPr>
          <w:r>
            <w:t>the ACCC is not satisfied that the claim is justified; or</w:t>
          </w:r>
        </w:p>
        <w:p w:rsidR="001A10E7" w:rsidRDefault="001A10E7" w:rsidP="001A10E7">
          <w:pPr>
            <w:pStyle w:val="Bulletpoint"/>
          </w:pPr>
          <w:proofErr w:type="gramStart"/>
          <w:r>
            <w:t>the</w:t>
          </w:r>
          <w:proofErr w:type="gramEnd"/>
          <w:r>
            <w:t xml:space="preserve"> ACCC considers it in the public interest to publish the information.</w:t>
          </w:r>
          <w:r w:rsidRPr="001A10E7">
            <w:rPr>
              <w:vertAlign w:val="superscript"/>
            </w:rPr>
            <w:footnoteReference w:id="15"/>
          </w:r>
        </w:p>
        <w:p w:rsidR="001A10E7" w:rsidRDefault="001A10E7" w:rsidP="001A10E7">
          <w:pPr>
            <w:pStyle w:val="Numbered11"/>
          </w:pPr>
          <w:bookmarkStart w:id="10" w:name="_Toc447275818"/>
          <w:r>
            <w:t>Australia Post’s Cost Allocation Model</w:t>
          </w:r>
          <w:bookmarkEnd w:id="10"/>
        </w:p>
        <w:p w:rsidR="001A10E7" w:rsidRDefault="001A10E7" w:rsidP="001A10E7">
          <w:r>
            <w:t xml:space="preserve">Australia Post has an extensive collection and delivery </w:t>
          </w:r>
          <w:proofErr w:type="gramStart"/>
          <w:r>
            <w:t>network which</w:t>
          </w:r>
          <w:proofErr w:type="gramEnd"/>
          <w:r>
            <w:t xml:space="preserve"> it uses to provide its mail services. Australia </w:t>
          </w:r>
          <w:proofErr w:type="gramStart"/>
          <w:r>
            <w:t>Post’s</w:t>
          </w:r>
          <w:proofErr w:type="gramEnd"/>
          <w:r>
            <w:t xml:space="preserve"> reserved monopoly letter services are a subset of services Australia Post provides using its collection and delivery network. For example, non-reserved services provided by Australia Post, including express post and </w:t>
          </w:r>
          <w:proofErr w:type="gramStart"/>
          <w:r>
            <w:t>parcels,</w:t>
          </w:r>
          <w:proofErr w:type="gramEnd"/>
          <w:r>
            <w:t xml:space="preserve"> are also provided using elements of this network.</w:t>
          </w:r>
        </w:p>
        <w:p w:rsidR="001A10E7" w:rsidRDefault="001A10E7" w:rsidP="001A10E7">
          <w:r>
            <w:t xml:space="preserve">Australia Post applies a CAM to allocate shared costs across its business for reserved and non-reserved services. Within reserved </w:t>
          </w:r>
          <w:proofErr w:type="gramStart"/>
          <w:r>
            <w:t>services</w:t>
          </w:r>
          <w:proofErr w:type="gramEnd"/>
          <w:r>
            <w:t xml:space="preserve"> the CAM is also applied to help derive prices for the various monopoly services.</w:t>
          </w:r>
        </w:p>
        <w:p w:rsidR="001A10E7" w:rsidRDefault="001A10E7" w:rsidP="001A10E7">
          <w:pPr>
            <w:pStyle w:val="Numbered11"/>
          </w:pPr>
          <w:bookmarkStart w:id="11" w:name="_Toc447275819"/>
          <w:proofErr w:type="spellStart"/>
          <w:r>
            <w:t>Wik</w:t>
          </w:r>
          <w:proofErr w:type="spellEnd"/>
          <w:r>
            <w:t xml:space="preserve"> review of Australia Post’s cost allocation model (CAM)</w:t>
          </w:r>
          <w:bookmarkEnd w:id="11"/>
        </w:p>
        <w:p w:rsidR="001A10E7" w:rsidRDefault="001A10E7" w:rsidP="001A10E7">
          <w:r>
            <w:t xml:space="preserve">The ACCC engaged an external consultant with expertise in the postal industry, </w:t>
          </w:r>
          <w:proofErr w:type="spellStart"/>
          <w:r>
            <w:t>Wik</w:t>
          </w:r>
          <w:proofErr w:type="spellEnd"/>
          <w:r>
            <w:t xml:space="preserve">, to review Australia Post’s CAM in 2015 as part of its assessment of Australia Post’s price notification. </w:t>
          </w:r>
          <w:proofErr w:type="spellStart"/>
          <w:r>
            <w:t>Wik</w:t>
          </w:r>
          <w:proofErr w:type="spellEnd"/>
          <w:r>
            <w:t xml:space="preserve"> previously reviewed Australia Post’s CAM in 2008 and that review led to a number of improvements to the CAM.</w:t>
          </w:r>
          <w:r w:rsidRPr="001A10E7">
            <w:rPr>
              <w:vertAlign w:val="superscript"/>
            </w:rPr>
            <w:footnoteReference w:id="16"/>
          </w:r>
        </w:p>
        <w:p w:rsidR="001A10E7" w:rsidRDefault="001A10E7" w:rsidP="001A10E7">
          <w:r>
            <w:t xml:space="preserve">The 2015 </w:t>
          </w:r>
          <w:proofErr w:type="spellStart"/>
          <w:r>
            <w:t>Wik</w:t>
          </w:r>
          <w:proofErr w:type="spellEnd"/>
          <w:r>
            <w:t xml:space="preserve"> review considered:</w:t>
          </w:r>
        </w:p>
        <w:p w:rsidR="001A10E7" w:rsidRDefault="001A10E7" w:rsidP="001A10E7">
          <w:pPr>
            <w:pStyle w:val="Bulletpoint"/>
          </w:pPr>
          <w:r>
            <w:lastRenderedPageBreak/>
            <w:t>the reasonableness of the allocation of Australia Post’s direct and shared costs between reserved and non-reserved services including regular and priority letter services</w:t>
          </w:r>
        </w:p>
        <w:p w:rsidR="001A10E7" w:rsidRDefault="001A10E7" w:rsidP="001A10E7">
          <w:pPr>
            <w:pStyle w:val="Bulletpoint"/>
          </w:pPr>
          <w:r>
            <w:t xml:space="preserve">the appropriateness of the CAM given relevant accounting standards, the trend of declining letter volumes and increasing parcel volumes, and current and future cost differences in the delivery of regular and priority letter services </w:t>
          </w:r>
        </w:p>
        <w:p w:rsidR="001A10E7" w:rsidRDefault="001A10E7" w:rsidP="001A10E7">
          <w:pPr>
            <w:pStyle w:val="Bulletpoint"/>
          </w:pPr>
          <w:r>
            <w:t>the extent to which the CAM provides a reasonable model to derive efficient costs and prices for regular and priority letter services</w:t>
          </w:r>
        </w:p>
        <w:p w:rsidR="001A10E7" w:rsidRDefault="001A10E7" w:rsidP="001A10E7">
          <w:pPr>
            <w:pStyle w:val="Bulletpoint"/>
          </w:pPr>
          <w:proofErr w:type="gramStart"/>
          <w:r>
            <w:t>potential</w:t>
          </w:r>
          <w:proofErr w:type="gramEnd"/>
          <w:r>
            <w:t xml:space="preserve"> improvements that could be made to the CAM.</w:t>
          </w:r>
        </w:p>
        <w:p w:rsidR="001A10E7" w:rsidRDefault="001A10E7" w:rsidP="001A10E7">
          <w:r>
            <w:t xml:space="preserve">In undertaking this </w:t>
          </w:r>
          <w:proofErr w:type="gramStart"/>
          <w:r>
            <w:t>task</w:t>
          </w:r>
          <w:proofErr w:type="gramEnd"/>
          <w:r>
            <w:t xml:space="preserve"> </w:t>
          </w:r>
          <w:proofErr w:type="spellStart"/>
          <w:r>
            <w:t>Wik</w:t>
          </w:r>
          <w:proofErr w:type="spellEnd"/>
          <w:r>
            <w:t xml:space="preserve"> considered Australia Post’s Regulatory Accounts for the 2013–14 financial year.</w:t>
          </w:r>
          <w:r w:rsidRPr="001A10E7">
            <w:rPr>
              <w:vertAlign w:val="superscript"/>
            </w:rPr>
            <w:footnoteReference w:id="17"/>
          </w:r>
          <w:r>
            <w:t xml:space="preserve"> </w:t>
          </w:r>
          <w:proofErr w:type="spellStart"/>
          <w:r>
            <w:t>Wik</w:t>
          </w:r>
          <w:proofErr w:type="spellEnd"/>
          <w:r>
            <w:t xml:space="preserve"> also visited Australia in August 2015 to attend meetings with Australia Post and conduct site visits at Australia Post’s letter processing and delivery centres.</w:t>
          </w:r>
        </w:p>
        <w:p w:rsidR="001A10E7" w:rsidRDefault="001A10E7" w:rsidP="001A10E7">
          <w:proofErr w:type="spellStart"/>
          <w:r>
            <w:t>Wik’s</w:t>
          </w:r>
          <w:proofErr w:type="spellEnd"/>
          <w:r>
            <w:t xml:space="preserve"> review did not identify any systematic bias in Australia Post’s CAM that would lead to an over allocation of costs to reserved services from non-reserved services but did identify some issues with the CAM. </w:t>
          </w:r>
          <w:r w:rsidRPr="001A10E7">
            <w:rPr>
              <w:vertAlign w:val="superscript"/>
            </w:rPr>
            <w:footnoteReference w:id="18"/>
          </w:r>
          <w:r>
            <w:t xml:space="preserve"> Australia Post has committed to working with the ACCC </w:t>
          </w:r>
          <w:proofErr w:type="gramStart"/>
          <w:r>
            <w:t>to further improve</w:t>
          </w:r>
          <w:proofErr w:type="gramEnd"/>
          <w:r>
            <w:t xml:space="preserve"> its CAM in particular so that it more accurately reflects cost differences between ordinary and stamped priority letter services.</w:t>
          </w:r>
        </w:p>
        <w:p w:rsidR="001A10E7" w:rsidRDefault="001A10E7">
          <w:pPr>
            <w:rPr>
              <w:rFonts w:ascii="Lucida Fax" w:eastAsiaTheme="majorEastAsia" w:hAnsi="Lucida Fax" w:cstheme="majorBidi"/>
              <w:bCs/>
              <w:color w:val="51626F"/>
              <w:sz w:val="32"/>
              <w:szCs w:val="28"/>
            </w:rPr>
          </w:pPr>
          <w:r>
            <w:br w:type="page"/>
          </w:r>
        </w:p>
        <w:p w:rsidR="001A10E7" w:rsidRDefault="001A10E7" w:rsidP="001A10E7">
          <w:pPr>
            <w:pStyle w:val="Numbered1"/>
          </w:pPr>
          <w:bookmarkStart w:id="12" w:name="_Toc447275820"/>
          <w:r>
            <w:lastRenderedPageBreak/>
            <w:t>Framework for monitoring for cross-subsidy</w:t>
          </w:r>
          <w:bookmarkEnd w:id="12"/>
        </w:p>
        <w:p w:rsidR="001A10E7" w:rsidRDefault="001A10E7" w:rsidP="001A10E7">
          <w:r>
            <w:t xml:space="preserve">The term ‘cross-subsidy’ </w:t>
          </w:r>
          <w:proofErr w:type="gramStart"/>
          <w:r>
            <w:t>is often used</w:t>
          </w:r>
          <w:proofErr w:type="gramEnd"/>
          <w:r>
            <w:t xml:space="preserve"> to refer to any case where the profit from providing one service is used to cover a loss incurred in providing another service. </w:t>
          </w:r>
        </w:p>
        <w:p w:rsidR="001A10E7" w:rsidRDefault="001A10E7" w:rsidP="001A10E7">
          <w:r>
            <w:t>In monitoring for the presence of cross-subsidies from the monopoly reserved services to the contestable non-reserved services, the ACCC seeks to identify whether the revenue from any non-reserved service group is less than the incremental cost of providing that service group and whether the revenue generated by reserved services is greater than the stand-alone cost of providing them.</w:t>
          </w:r>
        </w:p>
        <w:p w:rsidR="001A10E7" w:rsidRDefault="001A10E7" w:rsidP="001A10E7">
          <w:r>
            <w:t>As discussed in Section 3.1 below, in assessing Australia Post’s regulatory accounts for the presence of cross-subsidy, the ACCC relies on accounting proxies for economic stand-alone and incremental costs.</w:t>
          </w:r>
        </w:p>
        <w:p w:rsidR="001A10E7" w:rsidRDefault="001A10E7" w:rsidP="001A10E7">
          <w:r>
            <w:t xml:space="preserve">The assessment of whether a cross-subsidy occurs is independent of the question of the efficiency of Australia Post’s costs, which the ACCC has historically considered as part of its price notification assessments. </w:t>
          </w:r>
        </w:p>
        <w:p w:rsidR="001A10E7" w:rsidRDefault="001A10E7" w:rsidP="001A10E7">
          <w:pPr>
            <w:pStyle w:val="Numbered11"/>
          </w:pPr>
          <w:bookmarkStart w:id="13" w:name="_Toc447275821"/>
          <w:r>
            <w:t>Economic vs accounting costs</w:t>
          </w:r>
          <w:bookmarkEnd w:id="13"/>
        </w:p>
        <w:p w:rsidR="001A10E7" w:rsidRDefault="001A10E7" w:rsidP="001A10E7">
          <w:r>
            <w:t>The ACCC considers that Australia Post would be likely to incur significant compliance costs if it were required to keep financial records on the economic cost concepts of stand-alone and incremental costs. Such a requirement would entail devising new estimates of costs, revenues and assets on a different basis to the one Australia Post currently uses to keep its accounting records.</w:t>
          </w:r>
          <w:r w:rsidRPr="001A10E7">
            <w:rPr>
              <w:vertAlign w:val="superscript"/>
            </w:rPr>
            <w:footnoteReference w:id="19"/>
          </w:r>
        </w:p>
        <w:p w:rsidR="001A10E7" w:rsidRDefault="001A10E7" w:rsidP="001A10E7">
          <w:r>
            <w:t xml:space="preserve">Accordingly, the incremental and stand-alone costs referred to in this report </w:t>
          </w:r>
          <w:proofErr w:type="gramStart"/>
          <w:r>
            <w:t>are based</w:t>
          </w:r>
          <w:proofErr w:type="gramEnd"/>
          <w:r>
            <w:t xml:space="preserve"> on accounting data and provide a proxy for what the true economic incremental or stand-alone costs may be. The cost proxies used by Australia Post are direct, attributable and </w:t>
          </w:r>
          <w:proofErr w:type="spellStart"/>
          <w:r>
            <w:t>unattributable</w:t>
          </w:r>
          <w:proofErr w:type="spellEnd"/>
          <w:r>
            <w:t xml:space="preserve"> costs: </w:t>
          </w:r>
        </w:p>
        <w:p w:rsidR="001A10E7" w:rsidRDefault="001A10E7" w:rsidP="001A10E7">
          <w:pPr>
            <w:pStyle w:val="Bulletpoint"/>
          </w:pPr>
          <w:r w:rsidRPr="001A10E7">
            <w:rPr>
              <w:rStyle w:val="Strong"/>
            </w:rPr>
            <w:t>direct account items</w:t>
          </w:r>
          <w:r>
            <w:t xml:space="preserve"> are solely associated with a particular service and will be incremental to providing that service</w:t>
          </w:r>
        </w:p>
        <w:p w:rsidR="001A10E7" w:rsidRDefault="001A10E7" w:rsidP="001A10E7">
          <w:pPr>
            <w:pStyle w:val="Bulletpoint"/>
          </w:pPr>
          <w:r w:rsidRPr="001A10E7">
            <w:rPr>
              <w:rStyle w:val="Strong"/>
            </w:rPr>
            <w:t>attributable account items</w:t>
          </w:r>
          <w:r>
            <w:t xml:space="preserve"> are part of a pool of common account items that are identifiable to a particular service by a separable cause-and-effect relationship</w:t>
          </w:r>
        </w:p>
        <w:p w:rsidR="001A10E7" w:rsidRDefault="001A10E7" w:rsidP="001A10E7">
          <w:pPr>
            <w:pStyle w:val="Bulletpoint"/>
          </w:pPr>
          <w:proofErr w:type="spellStart"/>
          <w:proofErr w:type="gramStart"/>
          <w:r w:rsidRPr="001A10E7">
            <w:rPr>
              <w:rStyle w:val="Strong"/>
            </w:rPr>
            <w:t>unattributable</w:t>
          </w:r>
          <w:proofErr w:type="spellEnd"/>
          <w:proofErr w:type="gramEnd"/>
          <w:r w:rsidRPr="001A10E7">
            <w:rPr>
              <w:rStyle w:val="Strong"/>
            </w:rPr>
            <w:t xml:space="preserve"> account items</w:t>
          </w:r>
          <w:r>
            <w:t xml:space="preserve"> are part of a pool of common account items but are not readily identifiable (in whole or part) to any particular service by a separable cause-and-effect relationship.</w:t>
          </w:r>
        </w:p>
        <w:p w:rsidR="001A10E7" w:rsidRDefault="001A10E7" w:rsidP="001A10E7">
          <w:r>
            <w:t xml:space="preserve">These cost proxies </w:t>
          </w:r>
          <w:proofErr w:type="gramStart"/>
          <w:r>
            <w:t>are described</w:t>
          </w:r>
          <w:proofErr w:type="gramEnd"/>
          <w:r>
            <w:t xml:space="preserve"> in more detail in Appendix A.1.</w:t>
          </w:r>
        </w:p>
        <w:p w:rsidR="001A10E7" w:rsidRDefault="001A10E7" w:rsidP="001A10E7">
          <w:pPr>
            <w:pStyle w:val="Numbered11"/>
          </w:pPr>
          <w:bookmarkStart w:id="14" w:name="_Toc447275822"/>
          <w:r>
            <w:t>Testing for cross-subsidy</w:t>
          </w:r>
          <w:bookmarkEnd w:id="14"/>
        </w:p>
        <w:p w:rsidR="001A10E7" w:rsidRDefault="001A10E7" w:rsidP="001A10E7">
          <w:r>
            <w:t xml:space="preserve">Cross-subsidies occur when one group of users pay for more than the costs of the services they receive, and the surplus </w:t>
          </w:r>
          <w:proofErr w:type="gramStart"/>
          <w:r>
            <w:t>is used</w:t>
          </w:r>
          <w:proofErr w:type="gramEnd"/>
          <w:r>
            <w:t xml:space="preserve"> to offset the cost of services provided to other users. They may occur as an unintended result </w:t>
          </w:r>
          <w:proofErr w:type="gramStart"/>
          <w:r>
            <w:t>of the chosen charging mechanism or deliberately (to pursue equity or social policy objectives for example)</w:t>
          </w:r>
          <w:proofErr w:type="gramEnd"/>
          <w:r>
            <w:t>.</w:t>
          </w:r>
        </w:p>
        <w:p w:rsidR="001A10E7" w:rsidRDefault="001A10E7" w:rsidP="001A10E7">
          <w:r>
            <w:t xml:space="preserve">Cross-subsidies between different processes or different users may permanently disadvantage one group relative to another. Those who pay the subsidy may restrict their use of the product, reducing desirable consumption that would have taken place if products </w:t>
          </w:r>
          <w:proofErr w:type="gramStart"/>
          <w:r>
            <w:t>were appropriately priced</w:t>
          </w:r>
          <w:proofErr w:type="gramEnd"/>
          <w:r>
            <w:t xml:space="preserve">. Conversely, those who receive a subsidy may be encouraged to use too much of the product. </w:t>
          </w:r>
        </w:p>
        <w:p w:rsidR="001A10E7" w:rsidRDefault="001A10E7" w:rsidP="001A10E7">
          <w:r>
            <w:lastRenderedPageBreak/>
            <w:t xml:space="preserve">The rationale for the ACCC’s role in assessing cross-subsidy in Australia Post is that it may use cross-subsidies from its legislated monopoly in the provision of letter services to damage competition in competitive markets. If a monopolist is able to cross-subsidise its contestable services by revenues from its monopoly services this may damage competition in the markets in which it competes, because the monopolist is able </w:t>
          </w:r>
          <w:proofErr w:type="gramStart"/>
          <w:r>
            <w:t>to sustainably maintain</w:t>
          </w:r>
          <w:proofErr w:type="gramEnd"/>
          <w:r>
            <w:t xml:space="preserve"> prices in those markets below cost using profits from its monopoly services. In such a situation, customers that use the monopoly services maybe charged higher prices that contain a subsidy for the customers that use the monopolist’s competitive services. This may result in economically inefficient over-consumption of non-reserved services, and </w:t>
          </w:r>
          <w:proofErr w:type="gramStart"/>
          <w:r>
            <w:t>may also</w:t>
          </w:r>
          <w:proofErr w:type="gramEnd"/>
          <w:r>
            <w:t xml:space="preserve"> negatively affect the competitiveness of the non-reserved service market. Additionally, in such a situation an economic inefficiency arises because prices for the monopoly services are, on the whole, at higher than competitive levels.</w:t>
          </w:r>
        </w:p>
        <w:p w:rsidR="001A10E7" w:rsidRDefault="001A10E7" w:rsidP="001A10E7">
          <w:r>
            <w:t>The formal definition of cross-subsidy that has developed in the economic literature comprises two tests that compare a service’s revenues to different cost concepts.</w:t>
          </w:r>
          <w:r w:rsidRPr="001A10E7">
            <w:rPr>
              <w:vertAlign w:val="superscript"/>
            </w:rPr>
            <w:footnoteReference w:id="20"/>
          </w:r>
        </w:p>
        <w:p w:rsidR="001A10E7" w:rsidRDefault="001A10E7" w:rsidP="001A10E7">
          <w:r>
            <w:t xml:space="preserve">The first is the stand-alone cost test for whether a service is a </w:t>
          </w:r>
          <w:r w:rsidRPr="001A10E7">
            <w:rPr>
              <w:rStyle w:val="Strong"/>
            </w:rPr>
            <w:t>source</w:t>
          </w:r>
          <w:r>
            <w:t xml:space="preserve"> of cross-subsidy: </w:t>
          </w:r>
        </w:p>
        <w:p w:rsidR="001A10E7" w:rsidRDefault="001A10E7" w:rsidP="001A10E7">
          <w:pPr>
            <w:pStyle w:val="Bulletpoint"/>
          </w:pPr>
          <w:r>
            <w:t xml:space="preserve">The stand-alone costs </w:t>
          </w:r>
          <w:proofErr w:type="gramStart"/>
          <w:r>
            <w:t>are defined</w:t>
          </w:r>
          <w:proofErr w:type="gramEnd"/>
          <w:r>
            <w:t xml:space="preserve"> as the costs that an efficient competitor would incur in providing just that service or group of services.</w:t>
          </w:r>
        </w:p>
        <w:p w:rsidR="001A10E7" w:rsidRDefault="001A10E7" w:rsidP="001A10E7">
          <w:pPr>
            <w:pStyle w:val="Bulletpoint"/>
          </w:pPr>
          <w:r>
            <w:t xml:space="preserve">In testing Australia Post’s regulatory accounts for cross-subsidy, the lower bound of the stand-alone cost test is assumed </w:t>
          </w:r>
          <w:proofErr w:type="gramStart"/>
          <w:r>
            <w:t>to be the</w:t>
          </w:r>
          <w:proofErr w:type="gramEnd"/>
          <w:r>
            <w:t xml:space="preserve"> service’s fully distributed cost (i.e. the sum of the service’s direct, attributable and </w:t>
          </w:r>
          <w:proofErr w:type="spellStart"/>
          <w:r>
            <w:t>unattributable</w:t>
          </w:r>
          <w:proofErr w:type="spellEnd"/>
          <w:r>
            <w:t xml:space="preserve"> costs). Where the service’s revenue exceeds fully distributed cost, it may be a source of subsidy.</w:t>
          </w:r>
        </w:p>
        <w:p w:rsidR="001A10E7" w:rsidRDefault="001A10E7" w:rsidP="001A10E7">
          <w:pPr>
            <w:pStyle w:val="Bulletpoint"/>
          </w:pPr>
          <w:r>
            <w:t xml:space="preserve">The upper bound of the stand-alone cost test is assumed </w:t>
          </w:r>
          <w:proofErr w:type="gramStart"/>
          <w:r>
            <w:t>to be the</w:t>
          </w:r>
          <w:proofErr w:type="gramEnd"/>
          <w:r>
            <w:t xml:space="preserve"> sum of the service’s direct and attributable costs, and the total of all of Australia Post’s </w:t>
          </w:r>
          <w:proofErr w:type="spellStart"/>
          <w:r>
            <w:t>unattributable</w:t>
          </w:r>
          <w:proofErr w:type="spellEnd"/>
          <w:r>
            <w:t xml:space="preserve"> costs. Where the service’s revenue is above this upper bound, it is a definite source of subsidy.</w:t>
          </w:r>
        </w:p>
        <w:p w:rsidR="001A10E7" w:rsidRDefault="001A10E7" w:rsidP="001A10E7">
          <w:r>
            <w:t xml:space="preserve">The second test is the incremental cost test for whether a service is a </w:t>
          </w:r>
          <w:r w:rsidRPr="001A10E7">
            <w:rPr>
              <w:rStyle w:val="Strong"/>
            </w:rPr>
            <w:t>recipient</w:t>
          </w:r>
          <w:r>
            <w:t xml:space="preserve"> of cross-subsidy:</w:t>
          </w:r>
        </w:p>
        <w:p w:rsidR="001A10E7" w:rsidRDefault="001A10E7" w:rsidP="001A10E7">
          <w:pPr>
            <w:pStyle w:val="Bulletpoint"/>
          </w:pPr>
          <w:r>
            <w:t>Incremental costs are the additional costs incurred by the monopolist in providing just that service or group of services. Another way of considering incremental cost is to ask ‘what costs would be avoided, in the long run, if the service was no longer offered?’</w:t>
          </w:r>
        </w:p>
        <w:p w:rsidR="001A10E7" w:rsidRDefault="001A10E7" w:rsidP="001A10E7">
          <w:pPr>
            <w:pStyle w:val="Bulletpoint"/>
          </w:pPr>
          <w:r>
            <w:t>In respect of testing Australia Post’s regulatory accounts for cross-subsidy, where revenue is less than direct costs, the service is a recipient of a subsidy. This is the lower bound of the incremental cost test.</w:t>
          </w:r>
        </w:p>
        <w:p w:rsidR="001A10E7" w:rsidRDefault="001A10E7" w:rsidP="001A10E7">
          <w:pPr>
            <w:pStyle w:val="Bulletpoint"/>
          </w:pPr>
          <w:r>
            <w:t xml:space="preserve">Where revenue is sufficient to cover the direct costs, but less than the sum of direct and attributable costs, the service group is assumed </w:t>
          </w:r>
          <w:proofErr w:type="gramStart"/>
          <w:r>
            <w:t>to be a</w:t>
          </w:r>
          <w:proofErr w:type="gramEnd"/>
          <w:r>
            <w:t xml:space="preserve"> possible recipient of a subsidy. This is the upper bound of the incremental cost test.</w:t>
          </w:r>
        </w:p>
        <w:p w:rsidR="001A10E7" w:rsidRDefault="001A10E7" w:rsidP="001A10E7">
          <w:r>
            <w:t xml:space="preserve">The range of possible cross-subsidy results </w:t>
          </w:r>
          <w:proofErr w:type="gramStart"/>
          <w:r>
            <w:t>is presented</w:t>
          </w:r>
          <w:proofErr w:type="gramEnd"/>
          <w:r>
            <w:t xml:space="preserve"> graphically at Chart 3.1 below.</w:t>
          </w:r>
        </w:p>
        <w:p w:rsidR="001A10E7" w:rsidRDefault="001A10E7" w:rsidP="00C043A7">
          <w:pPr>
            <w:pStyle w:val="Tabletitle"/>
          </w:pPr>
          <w:r>
            <w:t>Chart 3.1</w:t>
          </w:r>
          <w:r>
            <w:tab/>
            <w:t>Range of possible cross-subsidy results</w:t>
          </w:r>
        </w:p>
        <w:p w:rsidR="001A10E7" w:rsidRDefault="001A10E7" w:rsidP="001A10E7">
          <w:pPr>
            <w:pStyle w:val="03charttitle"/>
          </w:pPr>
          <w:r>
            <w:rPr>
              <w:noProof/>
              <w:lang w:val="en-AU"/>
            </w:rPr>
            <w:lastRenderedPageBreak/>
            <w:drawing>
              <wp:inline distT="0" distB="0" distL="0" distR="0">
                <wp:extent cx="5731510" cy="1786883"/>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786883"/>
                        </a:xfrm>
                        <a:prstGeom prst="rect">
                          <a:avLst/>
                        </a:prstGeom>
                        <a:noFill/>
                        <a:ln>
                          <a:noFill/>
                        </a:ln>
                      </pic:spPr>
                    </pic:pic>
                  </a:graphicData>
                </a:graphic>
              </wp:inline>
            </w:drawing>
          </w:r>
        </w:p>
        <w:p w:rsidR="001A10E7" w:rsidRDefault="001A10E7" w:rsidP="001A10E7">
          <w:r>
            <w:t xml:space="preserve">Further details about how the ACCC applies these cross-subsidy tests is outlined in the document titled ‘ACCC tests for assessing cross-subsidy in Australia Post’ which is available on the ACCC website at </w:t>
          </w:r>
          <w:hyperlink r:id="rId12" w:history="1">
            <w:r>
              <w:t>http://www.accc.gov.au/publications/assessing-cross-subsidy-in-australia-post</w:t>
            </w:r>
          </w:hyperlink>
          <w:r>
            <w:t>.</w:t>
          </w:r>
        </w:p>
        <w:p w:rsidR="00C043A7" w:rsidRDefault="00C043A7">
          <w:pPr>
            <w:rPr>
              <w:rFonts w:ascii="Lucida Fax" w:eastAsiaTheme="majorEastAsia" w:hAnsi="Lucida Fax" w:cstheme="majorBidi"/>
              <w:bCs/>
              <w:color w:val="51626F"/>
              <w:sz w:val="32"/>
              <w:szCs w:val="28"/>
            </w:rPr>
          </w:pPr>
          <w:r>
            <w:br w:type="page"/>
          </w:r>
        </w:p>
        <w:p w:rsidR="001A10E7" w:rsidRDefault="001A10E7" w:rsidP="00C043A7">
          <w:pPr>
            <w:pStyle w:val="Numbered1"/>
          </w:pPr>
          <w:bookmarkStart w:id="15" w:name="_Toc447275823"/>
          <w:r>
            <w:lastRenderedPageBreak/>
            <w:t>Analysis of Australia Post’s 2014–15 accounts</w:t>
          </w:r>
          <w:bookmarkEnd w:id="15"/>
        </w:p>
        <w:p w:rsidR="001A10E7" w:rsidRDefault="001A10E7" w:rsidP="001A10E7">
          <w:r>
            <w:t xml:space="preserve">This section sets out the results of the ACCC’s analysis of Australia Post’s regulatory accounts for 2014–15. Australia Post’s current business structure has four business groups: </w:t>
          </w:r>
        </w:p>
        <w:p w:rsidR="001A10E7" w:rsidRDefault="001A10E7" w:rsidP="001A10E7">
          <w:pPr>
            <w:pStyle w:val="Bulletpoint"/>
          </w:pPr>
          <w:proofErr w:type="gramStart"/>
          <w:r>
            <w:t>Mail services: The collection, processing and distribution of mail items.</w:t>
          </w:r>
          <w:proofErr w:type="gramEnd"/>
          <w:r>
            <w:t xml:space="preserve"> This is comprised of:</w:t>
          </w:r>
        </w:p>
        <w:p w:rsidR="001A10E7" w:rsidRDefault="001A10E7" w:rsidP="001A10E7">
          <w:pPr>
            <w:pStyle w:val="Bulletpoint2"/>
          </w:pPr>
          <w:r>
            <w:t xml:space="preserve">reserved mail - the collection, processing and distribution of domestic letters defined as reserved by the APCA </w:t>
          </w:r>
        </w:p>
        <w:p w:rsidR="001A10E7" w:rsidRDefault="001A10E7" w:rsidP="001A10E7">
          <w:pPr>
            <w:pStyle w:val="Bulletpoint2"/>
          </w:pPr>
          <w:r>
            <w:t xml:space="preserve">non-reserved mail - the processing and distribution of non-reserved domestic letter services </w:t>
          </w:r>
        </w:p>
        <w:p w:rsidR="001A10E7" w:rsidRDefault="001A10E7" w:rsidP="001A10E7">
          <w:pPr>
            <w:pStyle w:val="Bulletpoint"/>
          </w:pPr>
          <w:r>
            <w:t xml:space="preserve">Parcel services: The processing and distribution of parcel and express products along with freight forwarding operations. </w:t>
          </w:r>
        </w:p>
        <w:p w:rsidR="001A10E7" w:rsidRDefault="001A10E7" w:rsidP="001A10E7">
          <w:pPr>
            <w:pStyle w:val="Bulletpoint"/>
          </w:pPr>
          <w:proofErr w:type="gramStart"/>
          <w:r>
            <w:t>Retail and agency services: Providing services across identity, digital, receiver and agency service offerings, as well as the sale of financial and retail merchandise products, principally philatelic, stationery, telephony, greeting cards, gifts and souvenirs.</w:t>
          </w:r>
          <w:proofErr w:type="gramEnd"/>
          <w:r>
            <w:t xml:space="preserve"> </w:t>
          </w:r>
        </w:p>
        <w:p w:rsidR="001A10E7" w:rsidRDefault="001A10E7" w:rsidP="001A10E7">
          <w:pPr>
            <w:pStyle w:val="Bulletpoint"/>
          </w:pPr>
          <w:r>
            <w:t xml:space="preserve">Other services: This includes services that are incidental to Australia Post’s core products and services, principally those </w:t>
          </w:r>
          <w:proofErr w:type="gramStart"/>
          <w:r>
            <w:t>which</w:t>
          </w:r>
          <w:proofErr w:type="gramEnd"/>
          <w:r>
            <w:t xml:space="preserve"> generate rental income, license fees, and other miscellaneous amounts. </w:t>
          </w:r>
        </w:p>
        <w:p w:rsidR="001A10E7" w:rsidRDefault="001A10E7" w:rsidP="001A10E7">
          <w:r>
            <w:t xml:space="preserve">The ACCC has applied the incremental cost test and the stand-alone cost test to each of the service groups, and the broader segments. The overall conclusion based on Australia Post’s regulatory accounts, after taking into account capital costs, is that the non-reserved services did not receive a subsidy from reserved services. Revenue from reserved services was not sufficient to cover the lower or upper bound of the stand-alone costs test, which needs to </w:t>
          </w:r>
          <w:proofErr w:type="gramStart"/>
          <w:r>
            <w:t>be met</w:t>
          </w:r>
          <w:proofErr w:type="gramEnd"/>
          <w:r>
            <w:t xml:space="preserve"> for a service to be a potential source of subsidy. </w:t>
          </w:r>
        </w:p>
        <w:p w:rsidR="001A10E7" w:rsidRDefault="001A10E7" w:rsidP="001A10E7">
          <w:r>
            <w:t xml:space="preserve">The ACCC is therefore satisfied that reserved services were not a source of subsidy.  </w:t>
          </w:r>
        </w:p>
        <w:p w:rsidR="001A10E7" w:rsidRDefault="001A10E7" w:rsidP="001A10E7">
          <w:r>
            <w:t xml:space="preserve">In 2014–15, </w:t>
          </w:r>
          <w:proofErr w:type="gramStart"/>
          <w:r>
            <w:t>Australia Post’s financial position was affected by significant provisions for future redundancies</w:t>
          </w:r>
          <w:proofErr w:type="gramEnd"/>
          <w:r>
            <w:t xml:space="preserve">, and the company reported its first ever operating loss. The provisions mainly relate to Australia Post’s letters business, which is in </w:t>
          </w:r>
          <w:proofErr w:type="gramStart"/>
          <w:r>
            <w:t>decline,</w:t>
          </w:r>
          <w:proofErr w:type="gramEnd"/>
          <w:r>
            <w:t xml:space="preserve"> and its reserved letter services in particular. In fact, Australia Post’s overall revenues were less than its operating costs. This is the first time Australia Post has been unable to recover its operating costs since the ACCC started monitoring for cross-subsidy in 2004–05. The level of cost recovery of reserved services has been declining together with letter volumes over time, which has increasingly affected the ability of the overall business to recover its costs. For example, in 2013–14 Australia Post also did not recover all of its costs (after a capital adjustment).</w:t>
          </w:r>
        </w:p>
        <w:p w:rsidR="001A10E7" w:rsidRDefault="001A10E7" w:rsidP="001A10E7">
          <w:r>
            <w:t xml:space="preserve">The following table presents the cross-subsidy test results for 2014–15 based on the products and service types specified in Australia </w:t>
          </w:r>
          <w:proofErr w:type="gramStart"/>
          <w:r>
            <w:t>Post’s</w:t>
          </w:r>
          <w:proofErr w:type="gramEnd"/>
          <w:r>
            <w:t xml:space="preserve"> 2014–15 regulatory accounts. As discussed in Appendix A.2, the test results outlined below </w:t>
          </w:r>
          <w:proofErr w:type="gramStart"/>
          <w:r>
            <w:t>were performed</w:t>
          </w:r>
          <w:proofErr w:type="gramEnd"/>
          <w:r>
            <w:t xml:space="preserve"> using capital-adjusted costs—that is, Australia Post’s accounting costs were adjusted to include a rate of return on the capital employed for each service group. The ACCC does not endorse Australia Post’s proposed weighted average cost of capital (WACC) either for the purposes of cross-subsidy analysis or for other purposes—such as a price notification. Nor does the ACCC endorse the various input parameters used by Australia Post in its statement of WACC. However, a lower WACC, such as that used in the ACCC’s decision on the 2015 price notification, does not affect the ACCC’s key finding in this report which is that Australia Post’s reserved services were not a source of subsidy for its non-reserved services. Accordingly, it is not necessary for the ACCC to determine a precise WACC for current purposes.</w:t>
          </w:r>
        </w:p>
        <w:p w:rsidR="001A10E7" w:rsidRDefault="001A10E7" w:rsidP="001A10E7">
          <w:r>
            <w:lastRenderedPageBreak/>
            <w:t xml:space="preserve">Furthermore, the test results are generally robust </w:t>
          </w:r>
          <w:proofErr w:type="gramStart"/>
          <w:r>
            <w:t>whether or not</w:t>
          </w:r>
          <w:proofErr w:type="gramEnd"/>
          <w:r>
            <w:t xml:space="preserve"> the capital adjustment occurs (i.e. in most cases the capital adjustment only affects the size of the subsidy).</w:t>
          </w:r>
        </w:p>
        <w:p w:rsidR="001A10E7" w:rsidRDefault="001A10E7" w:rsidP="001A10E7">
          <w:r>
            <w:t xml:space="preserve">Adjusting the results for capital (based on Australia Post’s proposed WACC) does not affect the result of cross-subsidy test for each of the service groups in 2014–15. However, adjusting for capital does affect the testing for non-reserved services, mail services and non-letter services as a group. </w:t>
          </w:r>
        </w:p>
        <w:p w:rsidR="001A10E7" w:rsidRDefault="001A10E7" w:rsidP="001A10E7">
          <w:r>
            <w:t xml:space="preserve">On a capital-adjusted </w:t>
          </w:r>
          <w:proofErr w:type="gramStart"/>
          <w:r>
            <w:t>basis</w:t>
          </w:r>
          <w:proofErr w:type="gramEnd"/>
          <w:r>
            <w:t xml:space="preserve"> non-reserved services and mail services are potential recipients of a subsidy, while on a non-capital adjusted basis these services are neither the recipient or source of subsidy. Similarly, non-letter services are on a capital-adjusted </w:t>
          </w:r>
          <w:proofErr w:type="gramStart"/>
          <w:r>
            <w:t>basis  neither</w:t>
          </w:r>
          <w:proofErr w:type="gramEnd"/>
          <w:r>
            <w:t xml:space="preserve"> a recipient or source subsidy but are a potential source of subsidy on a non- capital-adjusted basis.</w:t>
          </w:r>
        </w:p>
        <w:p w:rsidR="001A10E7" w:rsidRDefault="001A10E7" w:rsidP="001A10E7">
          <w:r>
            <w:t xml:space="preserve">Despite use of the capital-adjusted costs in testing, all dollar cost figures in this section of the report </w:t>
          </w:r>
          <w:proofErr w:type="gramStart"/>
          <w:r>
            <w:t>are reported</w:t>
          </w:r>
          <w:proofErr w:type="gramEnd"/>
          <w:r>
            <w:t xml:space="preserve"> on a non-capital adjusted basis. This approach allows readers to reconcile the figures presented with Australia Post’s annual report, and recognises Australia Post’s claim of confidentiality over the information contained in the statement of capital employed.</w:t>
          </w:r>
        </w:p>
        <w:p w:rsidR="001A10E7" w:rsidRDefault="001A10E7" w:rsidP="00C043A7">
          <w:pPr>
            <w:pStyle w:val="Tabletitle"/>
          </w:pPr>
          <w:r>
            <w:t>Results of 2014–15 cross-subsidy tests on a capital adjusted basis</w:t>
          </w:r>
        </w:p>
        <w:tbl>
          <w:tblPr>
            <w:tblW w:w="0" w:type="auto"/>
            <w:tblLayout w:type="fixed"/>
            <w:tblCellMar>
              <w:left w:w="0" w:type="dxa"/>
              <w:right w:w="0" w:type="dxa"/>
            </w:tblCellMar>
            <w:tblLook w:val="0000" w:firstRow="0" w:lastRow="0" w:firstColumn="0" w:lastColumn="0" w:noHBand="0" w:noVBand="0"/>
          </w:tblPr>
          <w:tblGrid>
            <w:gridCol w:w="2721"/>
            <w:gridCol w:w="1871"/>
            <w:gridCol w:w="1871"/>
            <w:gridCol w:w="1871"/>
            <w:gridCol w:w="1871"/>
          </w:tblGrid>
          <w:tr w:rsidR="001A10E7" w:rsidTr="001A10E7">
            <w:tblPrEx>
              <w:tblCellMar>
                <w:top w:w="0" w:type="dxa"/>
                <w:left w:w="0" w:type="dxa"/>
                <w:bottom w:w="0" w:type="dxa"/>
                <w:right w:w="0" w:type="dxa"/>
              </w:tblCellMar>
            </w:tblPrEx>
            <w:trPr>
              <w:trHeight w:val="62"/>
              <w:tblHeader/>
            </w:trPr>
            <w:tc>
              <w:tcPr>
                <w:tcW w:w="2721" w:type="dxa"/>
                <w:vMerge w:val="restart"/>
                <w:tcBorders>
                  <w:top w:val="single" w:sz="8" w:space="0" w:color="000000"/>
                  <w:left w:val="nil"/>
                  <w:bottom w:val="single" w:sz="4" w:space="0" w:color="000000"/>
                  <w:right w:val="nil"/>
                </w:tcBorders>
                <w:tcMar>
                  <w:top w:w="113" w:type="dxa"/>
                  <w:left w:w="0" w:type="dxa"/>
                  <w:bottom w:w="113" w:type="dxa"/>
                  <w:right w:w="57"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3742" w:type="dxa"/>
                <w:gridSpan w:val="2"/>
                <w:tcBorders>
                  <w:top w:val="single" w:sz="8" w:space="0" w:color="000000"/>
                  <w:left w:val="nil"/>
                  <w:bottom w:val="single" w:sz="2" w:space="0" w:color="000000"/>
                  <w:right w:val="nil"/>
                </w:tcBorders>
                <w:tcMar>
                  <w:top w:w="113" w:type="dxa"/>
                  <w:left w:w="113" w:type="dxa"/>
                  <w:bottom w:w="113" w:type="dxa"/>
                  <w:right w:w="57" w:type="dxa"/>
                </w:tcMar>
              </w:tcPr>
              <w:p w:rsidR="001A10E7" w:rsidRPr="001A10E7" w:rsidRDefault="001A10E7" w:rsidP="001A10E7">
                <w:pPr>
                  <w:pStyle w:val="03tabletextC"/>
                  <w:rPr>
                    <w:rStyle w:val="Strong"/>
                  </w:rPr>
                </w:pPr>
                <w:r w:rsidRPr="001A10E7">
                  <w:rPr>
                    <w:rStyle w:val="Strong"/>
                  </w:rPr>
                  <w:t>Is the service group a recipient of a subsidy?</w:t>
                </w:r>
              </w:p>
              <w:p w:rsidR="001A10E7" w:rsidRDefault="001A10E7" w:rsidP="001A10E7">
                <w:pPr>
                  <w:pStyle w:val="03tabletextC"/>
                </w:pPr>
                <w:r>
                  <w:t>(Revenues less than incremental costs)</w:t>
                </w:r>
              </w:p>
            </w:tc>
            <w:tc>
              <w:tcPr>
                <w:tcW w:w="3742" w:type="dxa"/>
                <w:gridSpan w:val="2"/>
                <w:tcBorders>
                  <w:top w:val="single" w:sz="8" w:space="0" w:color="000000"/>
                  <w:left w:val="nil"/>
                  <w:bottom w:val="single" w:sz="2" w:space="0" w:color="000000"/>
                  <w:right w:val="nil"/>
                </w:tcBorders>
                <w:tcMar>
                  <w:top w:w="113" w:type="dxa"/>
                  <w:left w:w="113" w:type="dxa"/>
                  <w:bottom w:w="113" w:type="dxa"/>
                  <w:right w:w="57" w:type="dxa"/>
                </w:tcMar>
              </w:tcPr>
              <w:p w:rsidR="001A10E7" w:rsidRPr="001A10E7" w:rsidRDefault="001A10E7" w:rsidP="001A10E7">
                <w:pPr>
                  <w:pStyle w:val="03tabletextC"/>
                  <w:rPr>
                    <w:rStyle w:val="Strong"/>
                  </w:rPr>
                </w:pPr>
                <w:r w:rsidRPr="001A10E7">
                  <w:rPr>
                    <w:rStyle w:val="Strong"/>
                  </w:rPr>
                  <w:t>Is the service group a source of a subsidy?</w:t>
                </w:r>
              </w:p>
              <w:p w:rsidR="001A10E7" w:rsidRDefault="001A10E7" w:rsidP="001A10E7">
                <w:pPr>
                  <w:pStyle w:val="03tabletextC"/>
                </w:pPr>
                <w:r>
                  <w:t>(Revenues greater than stand-alone costs)</w:t>
                </w:r>
              </w:p>
            </w:tc>
          </w:tr>
          <w:tr w:rsidR="001A10E7" w:rsidTr="001A10E7">
            <w:tblPrEx>
              <w:tblCellMar>
                <w:top w:w="0" w:type="dxa"/>
                <w:left w:w="0" w:type="dxa"/>
                <w:bottom w:w="0" w:type="dxa"/>
                <w:right w:w="0" w:type="dxa"/>
              </w:tblCellMar>
            </w:tblPrEx>
            <w:trPr>
              <w:trHeight w:val="62"/>
              <w:tblHeader/>
            </w:trPr>
            <w:tc>
              <w:tcPr>
                <w:tcW w:w="2721" w:type="dxa"/>
                <w:vMerge/>
                <w:tcBorders>
                  <w:top w:val="single" w:sz="4" w:space="0" w:color="000000"/>
                  <w:left w:val="nil"/>
                  <w:bottom w:val="single" w:sz="4" w:space="0" w:color="000000"/>
                  <w:right w:val="nil"/>
                </w:tcBorders>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1871" w:type="dxa"/>
                <w:tcBorders>
                  <w:top w:val="single" w:sz="2" w:space="0" w:color="000000"/>
                  <w:left w:val="nil"/>
                  <w:bottom w:val="single" w:sz="2" w:space="0" w:color="000000"/>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Definitely</w:t>
                </w:r>
              </w:p>
            </w:tc>
            <w:tc>
              <w:tcPr>
                <w:tcW w:w="1871" w:type="dxa"/>
                <w:tcBorders>
                  <w:top w:val="single" w:sz="2" w:space="0" w:color="000000"/>
                  <w:left w:val="nil"/>
                  <w:bottom w:val="single" w:sz="2" w:space="0" w:color="000000"/>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Potentially</w:t>
                </w:r>
              </w:p>
            </w:tc>
            <w:tc>
              <w:tcPr>
                <w:tcW w:w="1871" w:type="dxa"/>
                <w:tcBorders>
                  <w:top w:val="single" w:sz="2" w:space="0" w:color="000000"/>
                  <w:left w:val="nil"/>
                  <w:bottom w:val="single" w:sz="2" w:space="0" w:color="000000"/>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Definitely</w:t>
                </w:r>
              </w:p>
            </w:tc>
            <w:tc>
              <w:tcPr>
                <w:tcW w:w="1871" w:type="dxa"/>
                <w:tcBorders>
                  <w:top w:val="single" w:sz="2" w:space="0" w:color="000000"/>
                  <w:left w:val="nil"/>
                  <w:bottom w:val="single" w:sz="2" w:space="0" w:color="000000"/>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Potentially</w:t>
                </w:r>
              </w:p>
            </w:tc>
          </w:tr>
          <w:tr w:rsidR="001A10E7" w:rsidTr="001A10E7">
            <w:tblPrEx>
              <w:tblCellMar>
                <w:top w:w="0" w:type="dxa"/>
                <w:left w:w="0" w:type="dxa"/>
                <w:bottom w:w="0" w:type="dxa"/>
                <w:right w:w="0" w:type="dxa"/>
              </w:tblCellMar>
            </w:tblPrEx>
            <w:trPr>
              <w:trHeight w:val="62"/>
              <w:tblHeader/>
            </w:trPr>
            <w:tc>
              <w:tcPr>
                <w:tcW w:w="2721" w:type="dxa"/>
                <w:vMerge/>
                <w:tcBorders>
                  <w:top w:val="single" w:sz="4" w:space="0" w:color="000000"/>
                  <w:left w:val="nil"/>
                  <w:bottom w:val="single" w:sz="2" w:space="0" w:color="000000"/>
                  <w:right w:val="nil"/>
                </w:tcBorders>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1871" w:type="dxa"/>
                <w:tcBorders>
                  <w:top w:val="single" w:sz="2" w:space="0" w:color="000000"/>
                  <w:left w:val="nil"/>
                  <w:bottom w:val="single" w:sz="2" w:space="0" w:color="000000"/>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(revenues less than the lower bound of incremental cost: i.e. direct costs)</w:t>
                </w:r>
              </w:p>
            </w:tc>
            <w:tc>
              <w:tcPr>
                <w:tcW w:w="1871" w:type="dxa"/>
                <w:tcBorders>
                  <w:top w:val="single" w:sz="2" w:space="0" w:color="000000"/>
                  <w:left w:val="nil"/>
                  <w:bottom w:val="single" w:sz="2" w:space="0" w:color="000000"/>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(revenues less than the upper bound of incremental cost: i.e. direct and attributable costs)</w:t>
                </w:r>
              </w:p>
            </w:tc>
            <w:tc>
              <w:tcPr>
                <w:tcW w:w="1871" w:type="dxa"/>
                <w:tcBorders>
                  <w:top w:val="single" w:sz="2" w:space="0" w:color="000000"/>
                  <w:left w:val="nil"/>
                  <w:bottom w:val="single" w:sz="2" w:space="0" w:color="000000"/>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 xml:space="preserve">(revenues greater than the upper bound of stand-alone cost: i.e. fully distributed costs plus all other </w:t>
                </w:r>
                <w:proofErr w:type="spellStart"/>
                <w:r w:rsidRPr="001A10E7">
                  <w:rPr>
                    <w:rStyle w:val="Strong"/>
                  </w:rPr>
                  <w:t>unattributable</w:t>
                </w:r>
                <w:proofErr w:type="spellEnd"/>
                <w:r w:rsidRPr="001A10E7">
                  <w:rPr>
                    <w:rStyle w:val="Strong"/>
                  </w:rPr>
                  <w:t xml:space="preserve"> costs)</w:t>
                </w:r>
              </w:p>
            </w:tc>
            <w:tc>
              <w:tcPr>
                <w:tcW w:w="1871" w:type="dxa"/>
                <w:tcBorders>
                  <w:top w:val="single" w:sz="2" w:space="0" w:color="000000"/>
                  <w:left w:val="nil"/>
                  <w:bottom w:val="single" w:sz="2" w:space="0" w:color="000000"/>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(revenues greater than the lower bound of stand-alone cost: i.e. fully distributed costs)</w:t>
                </w:r>
              </w:p>
            </w:tc>
          </w:tr>
          <w:tr w:rsidR="001A10E7" w:rsidTr="001A10E7">
            <w:tblPrEx>
              <w:tblCellMar>
                <w:top w:w="0" w:type="dxa"/>
                <w:left w:w="0" w:type="dxa"/>
                <w:bottom w:w="0" w:type="dxa"/>
                <w:right w:w="0" w:type="dxa"/>
              </w:tblCellMar>
            </w:tblPrEx>
            <w:trPr>
              <w:trHeight w:val="62"/>
            </w:trPr>
            <w:tc>
              <w:tcPr>
                <w:tcW w:w="2721" w:type="dxa"/>
                <w:tcBorders>
                  <w:top w:val="single" w:sz="8" w:space="0" w:color="000000"/>
                  <w:left w:val="nil"/>
                  <w:bottom w:val="nil"/>
                  <w:right w:val="nil"/>
                </w:tcBorders>
                <w:tcMar>
                  <w:top w:w="113" w:type="dxa"/>
                  <w:left w:w="0" w:type="dxa"/>
                  <w:bottom w:w="113" w:type="dxa"/>
                  <w:right w:w="0" w:type="dxa"/>
                </w:tcMar>
              </w:tcPr>
              <w:p w:rsidR="001A10E7" w:rsidRPr="001A10E7" w:rsidRDefault="001A10E7" w:rsidP="001A10E7">
                <w:pPr>
                  <w:pStyle w:val="03tabletextLH"/>
                  <w:rPr>
                    <w:rStyle w:val="Strong"/>
                  </w:rPr>
                </w:pPr>
                <w:r w:rsidRPr="001A10E7">
                  <w:rPr>
                    <w:rStyle w:val="Strong"/>
                  </w:rPr>
                  <w:t>Total reserved mail</w:t>
                </w:r>
              </w:p>
            </w:tc>
            <w:tc>
              <w:tcPr>
                <w:tcW w:w="1871" w:type="dxa"/>
                <w:tcBorders>
                  <w:top w:val="single" w:sz="8" w:space="0" w:color="000000"/>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c>
              <w:tcPr>
                <w:tcW w:w="1871" w:type="dxa"/>
                <w:tcBorders>
                  <w:top w:val="single" w:sz="8" w:space="0" w:color="000000"/>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YES</w:t>
                </w:r>
              </w:p>
            </w:tc>
            <w:tc>
              <w:tcPr>
                <w:tcW w:w="1871" w:type="dxa"/>
                <w:tcBorders>
                  <w:top w:val="single" w:sz="8" w:space="0" w:color="000000"/>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c>
              <w:tcPr>
                <w:tcW w:w="1871" w:type="dxa"/>
                <w:tcBorders>
                  <w:top w:val="single" w:sz="8" w:space="0" w:color="000000"/>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Default="001A10E7" w:rsidP="001A10E7">
                <w:pPr>
                  <w:pStyle w:val="03tabletextLHindented"/>
                </w:pPr>
                <w:r>
                  <w:t>small letters ordinary</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YES</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Default="001A10E7" w:rsidP="001A10E7">
                <w:pPr>
                  <w:pStyle w:val="03tabletextLHindented"/>
                </w:pPr>
                <w:r>
                  <w:t>large letters ordinary</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YES</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Default="001A10E7" w:rsidP="001A10E7">
                <w:pPr>
                  <w:pStyle w:val="03tabletextLHindented"/>
                </w:pPr>
                <w:r>
                  <w:t xml:space="preserve">small letters </w:t>
                </w:r>
                <w:proofErr w:type="spellStart"/>
                <w:r>
                  <w:t>PreSortort</w:t>
                </w:r>
                <w:proofErr w:type="spellEnd"/>
              </w:p>
            </w:tc>
            <w:tc>
              <w:tcPr>
                <w:tcW w:w="1871" w:type="dxa"/>
                <w:tcBorders>
                  <w:top w:val="nil"/>
                  <w:left w:val="nil"/>
                  <w:bottom w:val="nil"/>
                  <w:right w:val="nil"/>
                </w:tcBorders>
                <w:tcMar>
                  <w:top w:w="113" w:type="dxa"/>
                  <w:left w:w="80" w:type="dxa"/>
                  <w:bottom w:w="113" w:type="dxa"/>
                  <w:right w:w="80"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0" w:type="dxa"/>
                  <w:bottom w:w="113" w:type="dxa"/>
                  <w:right w:w="80" w:type="dxa"/>
                </w:tcMar>
              </w:tcPr>
              <w:p w:rsidR="001A10E7" w:rsidRDefault="001A10E7" w:rsidP="001A10E7">
                <w:pPr>
                  <w:pStyle w:val="03tabletextC"/>
                </w:pPr>
                <w:r>
                  <w:t>YES</w:t>
                </w:r>
              </w:p>
            </w:tc>
            <w:tc>
              <w:tcPr>
                <w:tcW w:w="1871" w:type="dxa"/>
                <w:tcBorders>
                  <w:top w:val="nil"/>
                  <w:left w:val="nil"/>
                  <w:bottom w:val="nil"/>
                  <w:right w:val="nil"/>
                </w:tcBorders>
                <w:tcMar>
                  <w:top w:w="113" w:type="dxa"/>
                  <w:left w:w="80" w:type="dxa"/>
                  <w:bottom w:w="113" w:type="dxa"/>
                  <w:right w:w="80"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0" w:type="dxa"/>
                  <w:bottom w:w="113" w:type="dxa"/>
                  <w:right w:w="80" w:type="dxa"/>
                </w:tcMar>
              </w:tcPr>
              <w:p w:rsidR="001A10E7" w:rsidRDefault="001A10E7" w:rsidP="001A10E7">
                <w:pPr>
                  <w:pStyle w:val="03tabletextC"/>
                </w:pPr>
                <w:r>
                  <w:t>NO</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Default="001A10E7" w:rsidP="001A10E7">
                <w:pPr>
                  <w:pStyle w:val="03tabletextLHindented"/>
                </w:pPr>
                <w:r>
                  <w:t xml:space="preserve">large letters </w:t>
                </w:r>
                <w:proofErr w:type="spellStart"/>
                <w:r>
                  <w:t>PreSort</w:t>
                </w:r>
                <w:proofErr w:type="spellEnd"/>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YES</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283" w:type="dxa"/>
                  <w:left w:w="0" w:type="dxa"/>
                  <w:bottom w:w="113" w:type="dxa"/>
                  <w:right w:w="0" w:type="dxa"/>
                </w:tcMar>
              </w:tcPr>
              <w:p w:rsidR="001A10E7" w:rsidRPr="001A10E7" w:rsidRDefault="001A10E7" w:rsidP="001A10E7">
                <w:pPr>
                  <w:pStyle w:val="03tabletextLH"/>
                  <w:rPr>
                    <w:rStyle w:val="Strong"/>
                  </w:rPr>
                </w:pPr>
                <w:r w:rsidRPr="001A10E7">
                  <w:rPr>
                    <w:rStyle w:val="Strong"/>
                  </w:rPr>
                  <w:t>Total non-reserved mail</w:t>
                </w:r>
              </w:p>
            </w:tc>
            <w:tc>
              <w:tcPr>
                <w:tcW w:w="1871" w:type="dxa"/>
                <w:tcBorders>
                  <w:top w:val="nil"/>
                  <w:left w:val="nil"/>
                  <w:bottom w:val="nil"/>
                  <w:right w:val="nil"/>
                </w:tcBorders>
                <w:tcMar>
                  <w:top w:w="28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283" w:type="dxa"/>
                  <w:left w:w="0" w:type="dxa"/>
                  <w:bottom w:w="113" w:type="dxa"/>
                  <w:right w:w="0" w:type="dxa"/>
                </w:tcMar>
              </w:tcPr>
              <w:p w:rsidR="001A10E7" w:rsidRPr="001A10E7" w:rsidRDefault="001A10E7" w:rsidP="001A10E7">
                <w:pPr>
                  <w:pStyle w:val="03tabletextC"/>
                  <w:rPr>
                    <w:rStyle w:val="Strong"/>
                  </w:rPr>
                </w:pPr>
                <w:r w:rsidRPr="001A10E7">
                  <w:rPr>
                    <w:rStyle w:val="Strong"/>
                  </w:rPr>
                  <w:t>YES</w:t>
                </w:r>
              </w:p>
            </w:tc>
            <w:tc>
              <w:tcPr>
                <w:tcW w:w="1871" w:type="dxa"/>
                <w:tcBorders>
                  <w:top w:val="nil"/>
                  <w:left w:val="nil"/>
                  <w:bottom w:val="nil"/>
                  <w:right w:val="nil"/>
                </w:tcBorders>
                <w:tcMar>
                  <w:top w:w="28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28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Default="001A10E7" w:rsidP="001A10E7">
                <w:pPr>
                  <w:pStyle w:val="03tabletextLHindented"/>
                </w:pPr>
                <w:r>
                  <w:t>large letters ordinary</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YES</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Default="001A10E7" w:rsidP="001A10E7">
                <w:pPr>
                  <w:pStyle w:val="03tabletextLHindented"/>
                </w:pPr>
                <w:r>
                  <w:t xml:space="preserve">large letters </w:t>
                </w:r>
                <w:proofErr w:type="spellStart"/>
                <w:r>
                  <w:t>PreSort</w:t>
                </w:r>
                <w:proofErr w:type="spellEnd"/>
              </w:p>
            </w:tc>
            <w:tc>
              <w:tcPr>
                <w:tcW w:w="1871" w:type="dxa"/>
                <w:tcBorders>
                  <w:top w:val="nil"/>
                  <w:left w:val="nil"/>
                  <w:bottom w:val="nil"/>
                  <w:right w:val="nil"/>
                </w:tcBorders>
                <w:tcMar>
                  <w:top w:w="113" w:type="dxa"/>
                  <w:left w:w="0" w:type="dxa"/>
                  <w:bottom w:w="113" w:type="dxa"/>
                  <w:right w:w="0" w:type="dxa"/>
                </w:tcMar>
              </w:tcPr>
              <w:p w:rsidR="001A10E7" w:rsidRDefault="001A10E7" w:rsidP="001A10E7">
                <w:pPr>
                  <w:pStyle w:val="03tabletextC"/>
                </w:pPr>
                <w:r>
                  <w:t>NO</w:t>
                </w:r>
              </w:p>
            </w:tc>
            <w:tc>
              <w:tcPr>
                <w:tcW w:w="1871" w:type="dxa"/>
                <w:tcBorders>
                  <w:top w:val="nil"/>
                  <w:left w:val="nil"/>
                  <w:bottom w:val="nil"/>
                  <w:right w:val="nil"/>
                </w:tcBorders>
                <w:tcMar>
                  <w:top w:w="113" w:type="dxa"/>
                  <w:left w:w="0" w:type="dxa"/>
                  <w:bottom w:w="113" w:type="dxa"/>
                  <w:right w:w="0" w:type="dxa"/>
                </w:tcMar>
              </w:tcPr>
              <w:p w:rsidR="001A10E7" w:rsidRDefault="001A10E7" w:rsidP="001A10E7">
                <w:pPr>
                  <w:pStyle w:val="03tabletextC"/>
                </w:pPr>
                <w:r>
                  <w:t>YES</w:t>
                </w:r>
              </w:p>
            </w:tc>
            <w:tc>
              <w:tcPr>
                <w:tcW w:w="1871" w:type="dxa"/>
                <w:tcBorders>
                  <w:top w:val="nil"/>
                  <w:left w:val="nil"/>
                  <w:bottom w:val="nil"/>
                  <w:right w:val="nil"/>
                </w:tcBorders>
                <w:tcMar>
                  <w:top w:w="113" w:type="dxa"/>
                  <w:left w:w="0" w:type="dxa"/>
                  <w:bottom w:w="113" w:type="dxa"/>
                  <w:right w:w="0" w:type="dxa"/>
                </w:tcMar>
              </w:tcPr>
              <w:p w:rsidR="001A10E7" w:rsidRDefault="001A10E7" w:rsidP="001A10E7">
                <w:pPr>
                  <w:pStyle w:val="03tabletextC"/>
                </w:pPr>
                <w:r>
                  <w:t>NO</w:t>
                </w:r>
              </w:p>
            </w:tc>
            <w:tc>
              <w:tcPr>
                <w:tcW w:w="1871" w:type="dxa"/>
                <w:tcBorders>
                  <w:top w:val="nil"/>
                  <w:left w:val="nil"/>
                  <w:bottom w:val="nil"/>
                  <w:right w:val="nil"/>
                </w:tcBorders>
                <w:tcMar>
                  <w:top w:w="113" w:type="dxa"/>
                  <w:left w:w="0" w:type="dxa"/>
                  <w:bottom w:w="113" w:type="dxa"/>
                  <w:right w:w="0" w:type="dxa"/>
                </w:tcMar>
              </w:tcPr>
              <w:p w:rsidR="001A10E7" w:rsidRDefault="001A10E7" w:rsidP="001A10E7">
                <w:pPr>
                  <w:pStyle w:val="03tabletextC"/>
                </w:pPr>
                <w:r>
                  <w:t>NO</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Default="001A10E7" w:rsidP="001A10E7">
                <w:pPr>
                  <w:pStyle w:val="03tabletextLHindented"/>
                </w:pPr>
                <w:r>
                  <w:t>other letter mail services</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YES</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283" w:type="dxa"/>
                  <w:left w:w="0" w:type="dxa"/>
                  <w:bottom w:w="113" w:type="dxa"/>
                  <w:right w:w="0" w:type="dxa"/>
                </w:tcMar>
              </w:tcPr>
              <w:p w:rsidR="001A10E7" w:rsidRPr="001A10E7" w:rsidRDefault="001A10E7" w:rsidP="001A10E7">
                <w:pPr>
                  <w:pStyle w:val="03tabletextLH"/>
                  <w:rPr>
                    <w:rStyle w:val="Strong"/>
                  </w:rPr>
                </w:pPr>
                <w:r w:rsidRPr="001A10E7">
                  <w:rPr>
                    <w:rStyle w:val="Strong"/>
                  </w:rPr>
                  <w:t>Total parcels</w:t>
                </w:r>
              </w:p>
            </w:tc>
            <w:tc>
              <w:tcPr>
                <w:tcW w:w="1871" w:type="dxa"/>
                <w:tcBorders>
                  <w:top w:val="nil"/>
                  <w:left w:val="nil"/>
                  <w:bottom w:val="nil"/>
                  <w:right w:val="nil"/>
                </w:tcBorders>
                <w:tcMar>
                  <w:top w:w="28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28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28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283" w:type="dxa"/>
                  <w:left w:w="0" w:type="dxa"/>
                  <w:bottom w:w="113" w:type="dxa"/>
                  <w:right w:w="0" w:type="dxa"/>
                </w:tcMar>
              </w:tcPr>
              <w:p w:rsidR="001A10E7" w:rsidRPr="001A10E7" w:rsidRDefault="001A10E7" w:rsidP="001A10E7">
                <w:pPr>
                  <w:pStyle w:val="03tabletextC"/>
                  <w:rPr>
                    <w:rStyle w:val="Strong"/>
                  </w:rPr>
                </w:pPr>
                <w:r w:rsidRPr="001A10E7">
                  <w:rPr>
                    <w:rStyle w:val="Strong"/>
                  </w:rPr>
                  <w:t>YES</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Default="001A10E7" w:rsidP="001A10E7">
                <w:pPr>
                  <w:pStyle w:val="03tabletextLHindented"/>
                </w:pPr>
                <w:r>
                  <w:t>international outward letters</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YES</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Default="001A10E7" w:rsidP="001A10E7">
                <w:pPr>
                  <w:pStyle w:val="03tabletextLHindented"/>
                </w:pPr>
                <w:r>
                  <w:t>international inward letters</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YES</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Default="001A10E7" w:rsidP="001A10E7">
                <w:pPr>
                  <w:pStyle w:val="03tabletextLHindented"/>
                </w:pPr>
                <w:r>
                  <w:t>parcels</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YES</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Default="001A10E7" w:rsidP="001A10E7">
                <w:pPr>
                  <w:pStyle w:val="03tabletextLHindented"/>
                </w:pPr>
                <w:r>
                  <w:t>international outward parcels</w:t>
                </w:r>
              </w:p>
            </w:tc>
            <w:tc>
              <w:tcPr>
                <w:tcW w:w="1871" w:type="dxa"/>
                <w:tcBorders>
                  <w:top w:val="nil"/>
                  <w:left w:val="nil"/>
                  <w:bottom w:val="nil"/>
                  <w:right w:val="nil"/>
                </w:tcBorders>
                <w:tcMar>
                  <w:top w:w="113" w:type="dxa"/>
                  <w:left w:w="0" w:type="dxa"/>
                  <w:bottom w:w="113" w:type="dxa"/>
                  <w:right w:w="0" w:type="dxa"/>
                </w:tcMar>
              </w:tcPr>
              <w:p w:rsidR="001A10E7" w:rsidRDefault="001A10E7" w:rsidP="001A10E7">
                <w:pPr>
                  <w:pStyle w:val="03tabletextC"/>
                </w:pPr>
                <w:r>
                  <w:t>NO</w:t>
                </w:r>
              </w:p>
            </w:tc>
            <w:tc>
              <w:tcPr>
                <w:tcW w:w="1871" w:type="dxa"/>
                <w:tcBorders>
                  <w:top w:val="nil"/>
                  <w:left w:val="nil"/>
                  <w:bottom w:val="nil"/>
                  <w:right w:val="nil"/>
                </w:tcBorders>
                <w:tcMar>
                  <w:top w:w="113" w:type="dxa"/>
                  <w:left w:w="0" w:type="dxa"/>
                  <w:bottom w:w="113" w:type="dxa"/>
                  <w:right w:w="0" w:type="dxa"/>
                </w:tcMar>
              </w:tcPr>
              <w:p w:rsidR="001A10E7" w:rsidRDefault="001A10E7" w:rsidP="001A10E7">
                <w:pPr>
                  <w:pStyle w:val="03tabletextC"/>
                </w:pPr>
                <w:r>
                  <w:t>NO</w:t>
                </w:r>
              </w:p>
            </w:tc>
            <w:tc>
              <w:tcPr>
                <w:tcW w:w="1871" w:type="dxa"/>
                <w:tcBorders>
                  <w:top w:val="nil"/>
                  <w:left w:val="nil"/>
                  <w:bottom w:val="nil"/>
                  <w:right w:val="nil"/>
                </w:tcBorders>
                <w:tcMar>
                  <w:top w:w="113" w:type="dxa"/>
                  <w:left w:w="0" w:type="dxa"/>
                  <w:bottom w:w="113" w:type="dxa"/>
                  <w:right w:w="0" w:type="dxa"/>
                </w:tcMar>
              </w:tcPr>
              <w:p w:rsidR="001A10E7" w:rsidRDefault="001A10E7" w:rsidP="001A10E7">
                <w:pPr>
                  <w:pStyle w:val="03tabletextC"/>
                </w:pPr>
                <w:r>
                  <w:t>NO</w:t>
                </w:r>
              </w:p>
            </w:tc>
            <w:tc>
              <w:tcPr>
                <w:tcW w:w="1871" w:type="dxa"/>
                <w:tcBorders>
                  <w:top w:val="nil"/>
                  <w:left w:val="nil"/>
                  <w:bottom w:val="nil"/>
                  <w:right w:val="nil"/>
                </w:tcBorders>
                <w:tcMar>
                  <w:top w:w="113" w:type="dxa"/>
                  <w:left w:w="0" w:type="dxa"/>
                  <w:bottom w:w="113" w:type="dxa"/>
                  <w:right w:w="0" w:type="dxa"/>
                </w:tcMar>
              </w:tcPr>
              <w:p w:rsidR="001A10E7" w:rsidRDefault="001A10E7" w:rsidP="001A10E7">
                <w:pPr>
                  <w:pStyle w:val="03tabletextC"/>
                </w:pPr>
                <w:r>
                  <w:t>YES</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Default="001A10E7" w:rsidP="001A10E7">
                <w:pPr>
                  <w:pStyle w:val="03tabletextLHindented"/>
                </w:pPr>
                <w:r>
                  <w:lastRenderedPageBreak/>
                  <w:t>international inward parcels</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YES</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Default="001A10E7" w:rsidP="001A10E7">
                <w:pPr>
                  <w:pStyle w:val="03tabletextLHindented"/>
                </w:pPr>
                <w:proofErr w:type="spellStart"/>
                <w:r>
                  <w:t>StarTrack</w:t>
                </w:r>
                <w:proofErr w:type="spellEnd"/>
                <w:r>
                  <w:t xml:space="preserve"> and Express</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YES</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283" w:type="dxa"/>
                  <w:left w:w="0" w:type="dxa"/>
                  <w:bottom w:w="113" w:type="dxa"/>
                  <w:right w:w="0" w:type="dxa"/>
                </w:tcMar>
              </w:tcPr>
              <w:p w:rsidR="001A10E7" w:rsidRPr="001A10E7" w:rsidRDefault="001A10E7" w:rsidP="001A10E7">
                <w:pPr>
                  <w:pStyle w:val="03tabletextLH"/>
                  <w:rPr>
                    <w:rStyle w:val="Strong"/>
                  </w:rPr>
                </w:pPr>
                <w:r w:rsidRPr="001A10E7">
                  <w:rPr>
                    <w:rStyle w:val="Strong"/>
                  </w:rPr>
                  <w:t>Total retail and agency</w:t>
                </w:r>
              </w:p>
            </w:tc>
            <w:tc>
              <w:tcPr>
                <w:tcW w:w="1871" w:type="dxa"/>
                <w:tcBorders>
                  <w:top w:val="nil"/>
                  <w:left w:val="nil"/>
                  <w:bottom w:val="nil"/>
                  <w:right w:val="nil"/>
                </w:tcBorders>
                <w:tcMar>
                  <w:top w:w="28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28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28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283" w:type="dxa"/>
                  <w:left w:w="0" w:type="dxa"/>
                  <w:bottom w:w="113" w:type="dxa"/>
                  <w:right w:w="0" w:type="dxa"/>
                </w:tcMar>
              </w:tcPr>
              <w:p w:rsidR="001A10E7" w:rsidRPr="001A10E7" w:rsidRDefault="001A10E7" w:rsidP="001A10E7">
                <w:pPr>
                  <w:pStyle w:val="03tabletextC"/>
                  <w:rPr>
                    <w:rStyle w:val="Strong"/>
                  </w:rPr>
                </w:pPr>
                <w:r w:rsidRPr="001A10E7">
                  <w:rPr>
                    <w:rStyle w:val="Strong"/>
                  </w:rPr>
                  <w:t>YES</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Default="001A10E7" w:rsidP="001A10E7">
                <w:pPr>
                  <w:pStyle w:val="03tabletextLHindented"/>
                </w:pPr>
                <w:r>
                  <w:t>consumer and financial products</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YES</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Default="001A10E7" w:rsidP="001A10E7">
                <w:pPr>
                  <w:pStyle w:val="03tabletextLHindented"/>
                </w:pPr>
                <w:r>
                  <w:t>government and agency services</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NO</w:t>
                </w:r>
              </w:p>
            </w:tc>
            <w:tc>
              <w:tcPr>
                <w:tcW w:w="1871" w:type="dxa"/>
                <w:tcBorders>
                  <w:top w:val="nil"/>
                  <w:left w:val="nil"/>
                  <w:bottom w:val="nil"/>
                  <w:right w:val="nil"/>
                </w:tcBorders>
                <w:tcMar>
                  <w:top w:w="113" w:type="dxa"/>
                  <w:left w:w="85" w:type="dxa"/>
                  <w:bottom w:w="113" w:type="dxa"/>
                  <w:right w:w="85" w:type="dxa"/>
                </w:tcMar>
              </w:tcPr>
              <w:p w:rsidR="001A10E7" w:rsidRDefault="001A10E7" w:rsidP="001A10E7">
                <w:pPr>
                  <w:pStyle w:val="03tabletextC"/>
                </w:pPr>
                <w:r>
                  <w:t>YES</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LH"/>
                  <w:rPr>
                    <w:rStyle w:val="Strong"/>
                  </w:rPr>
                </w:pPr>
                <w:r w:rsidRPr="001A10E7">
                  <w:rPr>
                    <w:rStyle w:val="Strong"/>
                  </w:rPr>
                  <w:t>Total other services</w:t>
                </w:r>
              </w:p>
            </w:tc>
            <w:tc>
              <w:tcPr>
                <w:tcW w:w="187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YES</w:t>
                </w:r>
              </w:p>
            </w:tc>
            <w:tc>
              <w:tcPr>
                <w:tcW w:w="187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YES</w:t>
                </w:r>
              </w:p>
            </w:tc>
            <w:tc>
              <w:tcPr>
                <w:tcW w:w="187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LH"/>
                  <w:rPr>
                    <w:rStyle w:val="Strong"/>
                  </w:rPr>
                </w:pPr>
                <w:r w:rsidRPr="001A10E7">
                  <w:rPr>
                    <w:rStyle w:val="Strong"/>
                  </w:rPr>
                  <w:t>Total reserved services</w:t>
                </w:r>
              </w:p>
            </w:tc>
            <w:tc>
              <w:tcPr>
                <w:tcW w:w="187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YES</w:t>
                </w:r>
              </w:p>
            </w:tc>
            <w:tc>
              <w:tcPr>
                <w:tcW w:w="187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LH"/>
                  <w:rPr>
                    <w:rStyle w:val="Strong"/>
                  </w:rPr>
                </w:pPr>
                <w:r w:rsidRPr="001A10E7">
                  <w:rPr>
                    <w:rStyle w:val="Strong"/>
                  </w:rPr>
                  <w:t>Total non-reserved services</w:t>
                </w:r>
              </w:p>
            </w:tc>
            <w:tc>
              <w:tcPr>
                <w:tcW w:w="1871" w:type="dxa"/>
                <w:tcBorders>
                  <w:top w:val="nil"/>
                  <w:left w:val="nil"/>
                  <w:bottom w:val="nil"/>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YES</w:t>
                </w:r>
              </w:p>
            </w:tc>
            <w:tc>
              <w:tcPr>
                <w:tcW w:w="1871" w:type="dxa"/>
                <w:tcBorders>
                  <w:top w:val="nil"/>
                  <w:left w:val="nil"/>
                  <w:bottom w:val="nil"/>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NO</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LH"/>
                  <w:rPr>
                    <w:rStyle w:val="Strong"/>
                  </w:rPr>
                </w:pPr>
                <w:r w:rsidRPr="001A10E7">
                  <w:rPr>
                    <w:rStyle w:val="Strong"/>
                  </w:rPr>
                  <w:t>Total letter services</w:t>
                </w:r>
              </w:p>
            </w:tc>
            <w:tc>
              <w:tcPr>
                <w:tcW w:w="187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YES</w:t>
                </w:r>
              </w:p>
            </w:tc>
            <w:tc>
              <w:tcPr>
                <w:tcW w:w="187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LH"/>
                  <w:rPr>
                    <w:rStyle w:val="Strong"/>
                  </w:rPr>
                </w:pPr>
                <w:r w:rsidRPr="001A10E7">
                  <w:rPr>
                    <w:rStyle w:val="Strong"/>
                  </w:rPr>
                  <w:t>Total non-letter services</w:t>
                </w:r>
              </w:p>
            </w:tc>
            <w:tc>
              <w:tcPr>
                <w:tcW w:w="1871" w:type="dxa"/>
                <w:tcBorders>
                  <w:top w:val="nil"/>
                  <w:left w:val="nil"/>
                  <w:bottom w:val="nil"/>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NO</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LH"/>
                  <w:rPr>
                    <w:rStyle w:val="Strong"/>
                  </w:rPr>
                </w:pPr>
                <w:r w:rsidRPr="001A10E7">
                  <w:rPr>
                    <w:rStyle w:val="Strong"/>
                  </w:rPr>
                  <w:t>Total mail services</w:t>
                </w:r>
              </w:p>
            </w:tc>
            <w:tc>
              <w:tcPr>
                <w:tcW w:w="187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YES</w:t>
                </w:r>
              </w:p>
            </w:tc>
            <w:tc>
              <w:tcPr>
                <w:tcW w:w="187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nil"/>
                  <w:right w:val="nil"/>
                </w:tcBorders>
                <w:tcMar>
                  <w:top w:w="113" w:type="dxa"/>
                  <w:left w:w="0" w:type="dxa"/>
                  <w:bottom w:w="113" w:type="dxa"/>
                  <w:right w:w="0" w:type="dxa"/>
                </w:tcMar>
              </w:tcPr>
              <w:p w:rsidR="001A10E7" w:rsidRPr="001A10E7" w:rsidRDefault="001A10E7" w:rsidP="001A10E7">
                <w:pPr>
                  <w:pStyle w:val="03tabletextC"/>
                  <w:rPr>
                    <w:rStyle w:val="Strong"/>
                  </w:rPr>
                </w:pPr>
                <w:r w:rsidRPr="001A10E7">
                  <w:rPr>
                    <w:rStyle w:val="Strong"/>
                  </w:rPr>
                  <w:t>NO</w:t>
                </w:r>
              </w:p>
            </w:tc>
          </w:tr>
          <w:tr w:rsidR="001A10E7" w:rsidTr="001A10E7">
            <w:tblPrEx>
              <w:tblCellMar>
                <w:top w:w="0" w:type="dxa"/>
                <w:left w:w="0" w:type="dxa"/>
                <w:bottom w:w="0" w:type="dxa"/>
                <w:right w:w="0" w:type="dxa"/>
              </w:tblCellMar>
            </w:tblPrEx>
            <w:trPr>
              <w:trHeight w:val="62"/>
            </w:trPr>
            <w:tc>
              <w:tcPr>
                <w:tcW w:w="2721" w:type="dxa"/>
                <w:tcBorders>
                  <w:top w:val="nil"/>
                  <w:left w:val="nil"/>
                  <w:bottom w:val="single" w:sz="4" w:space="0" w:color="000000"/>
                  <w:right w:val="single" w:sz="6" w:space="0" w:color="auto"/>
                </w:tcBorders>
                <w:tcMar>
                  <w:top w:w="113" w:type="dxa"/>
                  <w:left w:w="0" w:type="dxa"/>
                  <w:bottom w:w="113" w:type="dxa"/>
                  <w:right w:w="0" w:type="dxa"/>
                </w:tcMar>
              </w:tcPr>
              <w:p w:rsidR="001A10E7" w:rsidRPr="001A10E7" w:rsidRDefault="001A10E7" w:rsidP="001A10E7">
                <w:pPr>
                  <w:pStyle w:val="03tabletextLH"/>
                  <w:rPr>
                    <w:rStyle w:val="Strong"/>
                  </w:rPr>
                </w:pPr>
                <w:r w:rsidRPr="001A10E7">
                  <w:rPr>
                    <w:rStyle w:val="Strong"/>
                  </w:rPr>
                  <w:t>Total non-mail services</w:t>
                </w:r>
              </w:p>
            </w:tc>
            <w:tc>
              <w:tcPr>
                <w:tcW w:w="1871" w:type="dxa"/>
                <w:tcBorders>
                  <w:top w:val="nil"/>
                  <w:left w:val="single" w:sz="6" w:space="0" w:color="auto"/>
                  <w:bottom w:val="single" w:sz="4" w:space="0" w:color="000000"/>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single" w:sz="4" w:space="0" w:color="000000"/>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YES</w:t>
                </w:r>
              </w:p>
            </w:tc>
            <w:tc>
              <w:tcPr>
                <w:tcW w:w="1871" w:type="dxa"/>
                <w:tcBorders>
                  <w:top w:val="nil"/>
                  <w:left w:val="nil"/>
                  <w:bottom w:val="single" w:sz="4" w:space="0" w:color="000000"/>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NO</w:t>
                </w:r>
              </w:p>
            </w:tc>
            <w:tc>
              <w:tcPr>
                <w:tcW w:w="1871" w:type="dxa"/>
                <w:tcBorders>
                  <w:top w:val="nil"/>
                  <w:left w:val="nil"/>
                  <w:bottom w:val="single" w:sz="4" w:space="0" w:color="000000"/>
                  <w:right w:val="nil"/>
                </w:tcBorders>
                <w:tcMar>
                  <w:top w:w="113" w:type="dxa"/>
                  <w:left w:w="85" w:type="dxa"/>
                  <w:bottom w:w="113" w:type="dxa"/>
                  <w:right w:w="85" w:type="dxa"/>
                </w:tcMar>
              </w:tcPr>
              <w:p w:rsidR="001A10E7" w:rsidRPr="001A10E7" w:rsidRDefault="001A10E7" w:rsidP="001A10E7">
                <w:pPr>
                  <w:pStyle w:val="03tabletextC"/>
                  <w:rPr>
                    <w:rStyle w:val="Strong"/>
                  </w:rPr>
                </w:pPr>
                <w:r w:rsidRPr="001A10E7">
                  <w:rPr>
                    <w:rStyle w:val="Strong"/>
                  </w:rPr>
                  <w:t>NO</w:t>
                </w:r>
              </w:p>
            </w:tc>
          </w:tr>
        </w:tbl>
        <w:p w:rsidR="001A10E7" w:rsidRDefault="001A10E7" w:rsidP="001A10E7">
          <w:pPr>
            <w:pStyle w:val="NoParagraphStyle"/>
            <w:suppressAutoHyphens/>
          </w:pPr>
        </w:p>
        <w:p w:rsidR="001A10E7" w:rsidRDefault="001A10E7" w:rsidP="00C043A7">
          <w:pPr>
            <w:pStyle w:val="Numbered11"/>
          </w:pPr>
          <w:bookmarkStart w:id="16" w:name="_Toc447275824"/>
          <w:r>
            <w:t>Did any service group receive a subsidy in 2014–15?</w:t>
          </w:r>
          <w:bookmarkEnd w:id="16"/>
        </w:p>
        <w:p w:rsidR="001A10E7" w:rsidRDefault="001A10E7" w:rsidP="001A10E7">
          <w:r>
            <w:t xml:space="preserve">Revenue for the following services in Australia </w:t>
          </w:r>
          <w:proofErr w:type="gramStart"/>
          <w:r>
            <w:t>Post’s</w:t>
          </w:r>
          <w:proofErr w:type="gramEnd"/>
          <w:r>
            <w:t xml:space="preserve"> submitted 2014–15 regulatory accounts did not recover the direct and attributable costs of providing them, and the services were therefore recipients of a subsidy or potential recipients of a subsidy in 2014–15:</w:t>
          </w:r>
        </w:p>
        <w:p w:rsidR="001A10E7" w:rsidRDefault="001A10E7" w:rsidP="001A10E7">
          <w:pPr>
            <w:pStyle w:val="Bulletpoint"/>
          </w:pPr>
          <w:r>
            <w:t>international inward letters (non-reserved) (Section 4.1.1)</w:t>
          </w:r>
        </w:p>
        <w:p w:rsidR="001A10E7" w:rsidRDefault="001A10E7" w:rsidP="001A10E7">
          <w:pPr>
            <w:pStyle w:val="Bulletpoint"/>
          </w:pPr>
          <w:r>
            <w:t>international inward parcels (non-reserved) (Section 4.1.2)</w:t>
          </w:r>
        </w:p>
        <w:p w:rsidR="001A10E7" w:rsidRDefault="001A10E7" w:rsidP="001A10E7">
          <w:pPr>
            <w:pStyle w:val="Bulletpoint"/>
          </w:pPr>
          <w:r>
            <w:t xml:space="preserve">large </w:t>
          </w:r>
          <w:proofErr w:type="spellStart"/>
          <w:r>
            <w:t>PreSort</w:t>
          </w:r>
          <w:proofErr w:type="spellEnd"/>
          <w:r>
            <w:t xml:space="preserve"> letters (non-reserved) (Section 4.1.3)</w:t>
          </w:r>
        </w:p>
        <w:p w:rsidR="001A10E7" w:rsidRDefault="001A10E7" w:rsidP="001A10E7">
          <w:pPr>
            <w:pStyle w:val="Bulletpoint"/>
          </w:pPr>
          <w:r>
            <w:t>other letter mail services (non-reserved) (Section 4.1.4)</w:t>
          </w:r>
        </w:p>
        <w:p w:rsidR="001A10E7" w:rsidRDefault="001A10E7" w:rsidP="001A10E7">
          <w:pPr>
            <w:pStyle w:val="Bulletpoint"/>
          </w:pPr>
          <w:r>
            <w:t>other services (non-reserved) (Section 4.1.5)</w:t>
          </w:r>
        </w:p>
        <w:p w:rsidR="001A10E7" w:rsidRDefault="001A10E7" w:rsidP="001A10E7">
          <w:pPr>
            <w:pStyle w:val="Bulletpoint"/>
          </w:pPr>
          <w:r>
            <w:t>small ordinary letters (reserved) (Section 4.1.6)</w:t>
          </w:r>
        </w:p>
        <w:p w:rsidR="001A10E7" w:rsidRDefault="001A10E7" w:rsidP="001A10E7">
          <w:pPr>
            <w:pStyle w:val="Bulletpoint"/>
          </w:pPr>
          <w:r>
            <w:t>large ordinary letters (reserved) (Section 4.1.6)</w:t>
          </w:r>
        </w:p>
        <w:p w:rsidR="001A10E7" w:rsidRDefault="001A10E7" w:rsidP="001A10E7">
          <w:pPr>
            <w:pStyle w:val="Bulletpoint"/>
          </w:pPr>
          <w:r>
            <w:t xml:space="preserve">small </w:t>
          </w:r>
          <w:proofErr w:type="spellStart"/>
          <w:r>
            <w:t>PreSort</w:t>
          </w:r>
          <w:proofErr w:type="spellEnd"/>
          <w:r>
            <w:t xml:space="preserve"> letters (reserved) (Section 4.1.6)</w:t>
          </w:r>
        </w:p>
        <w:p w:rsidR="001A10E7" w:rsidRDefault="001A10E7" w:rsidP="001A10E7">
          <w:pPr>
            <w:pStyle w:val="Bulletpoint"/>
          </w:pPr>
          <w:r>
            <w:t xml:space="preserve">large </w:t>
          </w:r>
          <w:proofErr w:type="spellStart"/>
          <w:r>
            <w:t>PreSort</w:t>
          </w:r>
          <w:proofErr w:type="spellEnd"/>
          <w:r>
            <w:t xml:space="preserve"> letters (reserved) (Section 4.1.6)</w:t>
          </w:r>
        </w:p>
        <w:p w:rsidR="001A10E7" w:rsidRDefault="001A10E7" w:rsidP="00C043A7">
          <w:pPr>
            <w:pStyle w:val="Numbered111"/>
          </w:pPr>
          <w:bookmarkStart w:id="17" w:name="_Toc447275825"/>
          <w:r>
            <w:t>International inward letters (non-reserved)</w:t>
          </w:r>
          <w:bookmarkEnd w:id="17"/>
        </w:p>
        <w:p w:rsidR="001A10E7" w:rsidRDefault="001A10E7" w:rsidP="001A10E7">
          <w:proofErr w:type="gramStart"/>
          <w:r>
            <w:lastRenderedPageBreak/>
            <w:t>Payment for the delivery of most international mail is overseen by the Universal Postal Union (UPU)</w:t>
          </w:r>
          <w:proofErr w:type="gramEnd"/>
          <w:r>
            <w:t xml:space="preserve"> under a system known as ‘terminal dues’. The terminal dues payable to the destination postal operator </w:t>
          </w:r>
          <w:proofErr w:type="gramStart"/>
          <w:r>
            <w:t>are not based</w:t>
          </w:r>
          <w:proofErr w:type="gramEnd"/>
          <w:r>
            <w:t xml:space="preserve"> on the actual costs incurred in delivering this mail. Rather, terminal dues remuneration </w:t>
          </w:r>
          <w:proofErr w:type="gramStart"/>
          <w:r>
            <w:t>is linked</w:t>
          </w:r>
          <w:proofErr w:type="gramEnd"/>
          <w:r>
            <w:t xml:space="preserve"> to a formula that uses a percentage of the basic postage rate.</w:t>
          </w:r>
        </w:p>
        <w:p w:rsidR="001A10E7" w:rsidRDefault="001A10E7" w:rsidP="001A10E7">
          <w:r>
            <w:t>Revenues from the international inward letters were below the direct and attributable costs of providing these services in 2014–15. Previous cross-subsidy reports showed that while there was an under-recovery of fully distributed costs in international inward letters, international outward letters over-recovered its fully distributable costs for each of the years the ACCC has been monitoring cross-subsidy.</w:t>
          </w:r>
        </w:p>
        <w:p w:rsidR="001A10E7" w:rsidRDefault="001A10E7" w:rsidP="001A10E7">
          <w:r>
            <w:t xml:space="preserve">International letters as a group (both international inward and outward letters) recovered its fully distributed costs in 2013–14 and 2014–15, which had not occurred since 2004–05. This is partially due to increased terminal dues, which took effect from 1 January 2015. </w:t>
          </w:r>
        </w:p>
        <w:p w:rsidR="001A10E7" w:rsidRDefault="001A10E7" w:rsidP="00C043A7">
          <w:pPr>
            <w:pStyle w:val="Numbered111"/>
          </w:pPr>
          <w:bookmarkStart w:id="18" w:name="_Toc447275826"/>
          <w:r>
            <w:t>International inward parcels (non-reserved)</w:t>
          </w:r>
          <w:bookmarkEnd w:id="18"/>
        </w:p>
        <w:p w:rsidR="001A10E7" w:rsidRDefault="001A10E7" w:rsidP="001A10E7">
          <w:r>
            <w:t xml:space="preserve">The inward international parcels service group relates to the receipt, handling, delivery and </w:t>
          </w:r>
          <w:proofErr w:type="gramStart"/>
          <w:r>
            <w:t>on-forwarding</w:t>
          </w:r>
          <w:proofErr w:type="gramEnd"/>
          <w:r>
            <w:t xml:space="preserve"> of inbound international parcels and related mail articles within Australia. For small parcels (i.e. less than 2kg) the remuneration Australia Post receives for these services </w:t>
          </w:r>
          <w:proofErr w:type="gramStart"/>
          <w:r>
            <w:t>is determined</w:t>
          </w:r>
          <w:proofErr w:type="gramEnd"/>
          <w:r>
            <w:t xml:space="preserve"> by the terminal dues system.</w:t>
          </w:r>
        </w:p>
        <w:p w:rsidR="001A10E7" w:rsidRDefault="001A10E7" w:rsidP="001A10E7">
          <w:r>
            <w:t>Revenue from the international inward parcels was below the direct and attributable costs of providing the services in 2014–15.</w:t>
          </w:r>
        </w:p>
        <w:p w:rsidR="001A10E7" w:rsidRDefault="001A10E7" w:rsidP="001A10E7">
          <w:r>
            <w:t>According to Australia Post, the performance of the service group is dependent on parcel volumes,</w:t>
          </w:r>
        </w:p>
        <w:p w:rsidR="001A10E7" w:rsidRDefault="001A10E7" w:rsidP="00C043A7">
          <w:pPr>
            <w:pStyle w:val="Numbered111"/>
          </w:pPr>
          <w:bookmarkStart w:id="19" w:name="_Toc447275827"/>
          <w:proofErr w:type="gramStart"/>
          <w:r>
            <w:t>the</w:t>
          </w:r>
          <w:proofErr w:type="gramEnd"/>
          <w:r>
            <w:t xml:space="preserve"> $A/SDR exchange rate and domestic delivery costs.</w:t>
          </w:r>
          <w:bookmarkEnd w:id="19"/>
        </w:p>
        <w:p w:rsidR="001A10E7" w:rsidRDefault="001A10E7" w:rsidP="001A10E7">
          <w:r>
            <w:t xml:space="preserve">Australia Post has advised that the decline in the performance in this service group has been due to a shift in volume mix towards the parcels less than 2kg category, which forms part of the terminal dues stream. The recent decline in the Australian dollar has negatively </w:t>
          </w:r>
          <w:proofErr w:type="gramStart"/>
          <w:r>
            <w:t>impacted</w:t>
          </w:r>
          <w:proofErr w:type="gramEnd"/>
          <w:r>
            <w:t xml:space="preserve"> volumes in this category.</w:t>
          </w:r>
        </w:p>
        <w:p w:rsidR="001A10E7" w:rsidRDefault="001A10E7" w:rsidP="00C043A7">
          <w:pPr>
            <w:pStyle w:val="Numbered111"/>
          </w:pPr>
          <w:bookmarkStart w:id="20" w:name="_Toc447275828"/>
          <w:r>
            <w:t xml:space="preserve">Large </w:t>
          </w:r>
          <w:proofErr w:type="spellStart"/>
          <w:r>
            <w:t>PreSort</w:t>
          </w:r>
          <w:proofErr w:type="spellEnd"/>
          <w:r>
            <w:t xml:space="preserve"> letters (non-reserved)</w:t>
          </w:r>
          <w:bookmarkEnd w:id="20"/>
        </w:p>
        <w:p w:rsidR="001A10E7" w:rsidRDefault="001A10E7" w:rsidP="001A10E7">
          <w:r>
            <w:t xml:space="preserve">This service relates to the collection and delivery of </w:t>
          </w:r>
          <w:proofErr w:type="gramStart"/>
          <w:r>
            <w:t>letters which</w:t>
          </w:r>
          <w:proofErr w:type="gramEnd"/>
          <w:r>
            <w:t xml:space="preserve"> fall within the weight and price definition of an Ordinary Large Letter – non-reserved</w:t>
          </w:r>
          <w:r w:rsidRPr="001A10E7">
            <w:rPr>
              <w:vertAlign w:val="superscript"/>
            </w:rPr>
            <w:footnoteReference w:id="21"/>
          </w:r>
          <w:r>
            <w:t>, but where the customer has undertaken a sorting exercise to organise the letters according to pre-defined criteria by Australia Post.</w:t>
          </w:r>
        </w:p>
        <w:p w:rsidR="001A10E7" w:rsidRDefault="001A10E7" w:rsidP="001A10E7">
          <w:r>
            <w:t xml:space="preserve">The service, like most of Australia Post’s letter services, was a potential recipient of a subsidy in 2014–15. </w:t>
          </w:r>
        </w:p>
        <w:p w:rsidR="001A10E7" w:rsidRDefault="001A10E7" w:rsidP="00C043A7">
          <w:pPr>
            <w:pStyle w:val="Numbered111"/>
          </w:pPr>
          <w:bookmarkStart w:id="21" w:name="_Toc447275829"/>
          <w:r>
            <w:t>Other letter mail services (non-reserved)</w:t>
          </w:r>
          <w:bookmarkEnd w:id="21"/>
        </w:p>
        <w:p w:rsidR="001A10E7" w:rsidRDefault="001A10E7" w:rsidP="001A10E7">
          <w:r>
            <w:t>The ‘other letter mail services category contains a range of non-reserved letter services, such as Unaddressed Mail and Periodicals.</w:t>
          </w:r>
        </w:p>
        <w:p w:rsidR="001A10E7" w:rsidRDefault="001A10E7" w:rsidP="001A10E7">
          <w:r>
            <w:t>This service group was a potential recipient of a subsidy in 2014–15. Australia Post has advised that this is due to the fact that, compared to volume, revenue for the service group is proportionally lower as it contains some low unit revenue products such as Unaddressed Mail.</w:t>
          </w:r>
        </w:p>
        <w:p w:rsidR="001A10E7" w:rsidRDefault="001A10E7" w:rsidP="00C043A7">
          <w:pPr>
            <w:pStyle w:val="Numbered111"/>
          </w:pPr>
          <w:bookmarkStart w:id="22" w:name="_Toc447275830"/>
          <w:r>
            <w:lastRenderedPageBreak/>
            <w:t>Other services (non-reserved)</w:t>
          </w:r>
          <w:bookmarkEnd w:id="22"/>
        </w:p>
        <w:p w:rsidR="001A10E7" w:rsidRDefault="001A10E7" w:rsidP="001A10E7">
          <w:r>
            <w:t xml:space="preserve">‘Other services’ is a category used by Australia Post that relates to non-product-specific operations of Australia Post’s business, so there is no direct relationship between revenues, costs, profit and asset allocations. Revenue from ‘other services’ includes miscellaneous revenue that cannot be attributed to other products, such as property rents, license fees and other revenue such as unclaimed money orders. </w:t>
          </w:r>
          <w:proofErr w:type="gramStart"/>
          <w:r>
            <w:t>Costs under ‘other services’ consist of an allocation of corporate overheads and include property management for external leases.</w:t>
          </w:r>
          <w:proofErr w:type="gramEnd"/>
          <w:r>
            <w:t xml:space="preserve"> Assets purchased for future use are also included under ‘other services’.</w:t>
          </w:r>
        </w:p>
        <w:p w:rsidR="001A10E7" w:rsidRDefault="001A10E7" w:rsidP="001A10E7">
          <w:r>
            <w:t>This service was a recipient of a subsidy on both a non-capital and capital-adjusted basis. Australia Post advises that the reason for this is that there was an increase in operational and administration expenses, and costs relating to real estate due to vacant building space not let.</w:t>
          </w:r>
        </w:p>
        <w:p w:rsidR="001A10E7" w:rsidRDefault="001A10E7" w:rsidP="00C043A7">
          <w:pPr>
            <w:pStyle w:val="Numbered111"/>
          </w:pPr>
          <w:bookmarkStart w:id="23" w:name="_Toc447275831"/>
          <w:r>
            <w:t>Reserved services</w:t>
          </w:r>
          <w:bookmarkEnd w:id="23"/>
        </w:p>
        <w:p w:rsidR="001A10E7" w:rsidRDefault="001A10E7" w:rsidP="001A10E7">
          <w:r>
            <w:t xml:space="preserve">In 2014–15, revenue from each of Australia Post’s four reserved letter services was below their respective direct and attributable costs. The individual letter service trends </w:t>
          </w:r>
          <w:proofErr w:type="gramStart"/>
          <w:r>
            <w:t>are summarised</w:t>
          </w:r>
          <w:proofErr w:type="gramEnd"/>
          <w:r>
            <w:t xml:space="preserve"> below.</w:t>
          </w:r>
        </w:p>
        <w:p w:rsidR="001A10E7" w:rsidRDefault="001A10E7" w:rsidP="001A10E7">
          <w:pPr>
            <w:pStyle w:val="Bulletpoint"/>
          </w:pPr>
          <w:r>
            <w:t>Small ordinary letter services have failed to recover their fully distributable costs since the ACCC began monitoring cross-subsidy in 2004–05. Revenue from small ordinary letters was below direct and attributable costs in each of the years from 2005–06 to 2014–15. The recovery of direct and attributable costs has generally been decreasing since the ACCC began monitoring cross-subsidy, which may reflect the decline in letter volumes experienced in recent years.</w:t>
          </w:r>
        </w:p>
        <w:p w:rsidR="001A10E7" w:rsidRDefault="001A10E7" w:rsidP="001A10E7">
          <w:pPr>
            <w:pStyle w:val="Bulletpoint"/>
          </w:pPr>
          <w:r>
            <w:t>Revenue from large ordinary letter revenues was also less than fully distributable costs, meaning that these services were a potential recipient of subsidy in 2014–15. Prior to 2013–14, this service has been able to recover its fully distributable costs and has been a potential source of subsidy.</w:t>
          </w:r>
        </w:p>
        <w:p w:rsidR="001A10E7" w:rsidRDefault="001A10E7" w:rsidP="001A10E7">
          <w:pPr>
            <w:pStyle w:val="Bulletpoint"/>
          </w:pPr>
          <w:r>
            <w:t xml:space="preserve">Small </w:t>
          </w:r>
          <w:proofErr w:type="spellStart"/>
          <w:r>
            <w:t>PreSort</w:t>
          </w:r>
          <w:proofErr w:type="spellEnd"/>
          <w:r>
            <w:t xml:space="preserve"> letter services failed to recover their fully distributable costs in each of the years from 2007–08 to 2014–15. Revenue from small </w:t>
          </w:r>
          <w:proofErr w:type="spellStart"/>
          <w:r>
            <w:t>PreSort</w:t>
          </w:r>
          <w:proofErr w:type="spellEnd"/>
          <w:r>
            <w:t xml:space="preserve"> letters had been above the direct and attributable costs of providing these services from 2004–05 to 2008–09, but from 2009–10 to 2014–15 the service did not recover its direct and attributable costs. </w:t>
          </w:r>
        </w:p>
        <w:p w:rsidR="001A10E7" w:rsidRDefault="001A10E7" w:rsidP="001A10E7">
          <w:pPr>
            <w:pStyle w:val="Bulletpoint"/>
          </w:pPr>
          <w:r>
            <w:t xml:space="preserve">Large </w:t>
          </w:r>
          <w:proofErr w:type="spellStart"/>
          <w:r>
            <w:t>PreSort</w:t>
          </w:r>
          <w:proofErr w:type="spellEnd"/>
          <w:r>
            <w:t xml:space="preserve"> letter revenues have failed to recover fully distributed costs in each of the years from 2008–09 until 2014–15. In 2009–10, 2010–11, and 2012–13 to 2014–15 the service also under-recovered </w:t>
          </w:r>
          <w:proofErr w:type="gramStart"/>
          <w:r>
            <w:t>its</w:t>
          </w:r>
          <w:proofErr w:type="gramEnd"/>
          <w:r>
            <w:t xml:space="preserve"> direct and attributable costs.</w:t>
          </w:r>
        </w:p>
        <w:p w:rsidR="001A10E7" w:rsidRDefault="001A10E7" w:rsidP="001A10E7">
          <w:r>
            <w:t xml:space="preserve">In summary, the ACCC’s cross-subsidy analysis shows that each of the four reserved letter services potentially received a subsidy in 2014–15. </w:t>
          </w:r>
          <w:proofErr w:type="gramStart"/>
          <w:r>
            <w:t>However</w:t>
          </w:r>
          <w:proofErr w:type="gramEnd"/>
          <w:r>
            <w:t xml:space="preserve"> the ACCC’s cross-subsidy assessment is focused on detecting the situation where Australia Post is able to cross-subsidise its contestable services by revenues from its monopoly services. Such a situation may damage competition in the markets in which Australia Post competes, because it is able to maintain prices in those markets below cost. This situation does not arise when the reverse form of cross-subsidy occurs (i.e. where contestable </w:t>
          </w:r>
          <w:proofErr w:type="gramStart"/>
          <w:r>
            <w:t>services on the whole</w:t>
          </w:r>
          <w:proofErr w:type="gramEnd"/>
          <w:r>
            <w:t xml:space="preserve"> appear to be subsidising the monopoly services), or where the business as a whole does not recover all of its costs.</w:t>
          </w:r>
        </w:p>
        <w:p w:rsidR="001A10E7" w:rsidRDefault="001A10E7" w:rsidP="00C043A7">
          <w:pPr>
            <w:pStyle w:val="Numbered11"/>
          </w:pPr>
          <w:bookmarkStart w:id="24" w:name="_Toc447275832"/>
          <w:r>
            <w:t>Are reserved services a source of subsidy?</w:t>
          </w:r>
          <w:bookmarkEnd w:id="24"/>
        </w:p>
        <w:p w:rsidR="001A10E7" w:rsidRDefault="001A10E7" w:rsidP="001A10E7">
          <w:r>
            <w:t xml:space="preserve">In 2014–15, there were no reserved service </w:t>
          </w:r>
          <w:proofErr w:type="gramStart"/>
          <w:r>
            <w:t>groups which</w:t>
          </w:r>
          <w:proofErr w:type="gramEnd"/>
          <w:r>
            <w:t xml:space="preserve"> were able to recover fully distributed costs, or even their respective direct and attributable costs. The reserved services as a whole also did not recover their total direct and attributable costs. Thus, they were not a source of subsidy, but a potential recipient of a subsidy.</w:t>
          </w:r>
        </w:p>
        <w:p w:rsidR="001A10E7" w:rsidRDefault="001A10E7" w:rsidP="001A10E7">
          <w:r>
            <w:lastRenderedPageBreak/>
            <w:t xml:space="preserve">Table 2 shows the 2014–15 revenue and cost recovery for total reserved services in comparison to total non-reserved services prior to a capital adjustment (2013–14 revenues and costs </w:t>
          </w:r>
          <w:proofErr w:type="gramStart"/>
          <w:r>
            <w:t>are provided</w:t>
          </w:r>
          <w:proofErr w:type="gramEnd"/>
          <w:r>
            <w:t xml:space="preserve"> for context). </w:t>
          </w:r>
        </w:p>
        <w:p w:rsidR="001A10E7" w:rsidRDefault="001A10E7" w:rsidP="001A10E7">
          <w:r>
            <w:t xml:space="preserve">The fully distributed cost of reserved services is likely to underestimate the actual stand-alone cost of providing these services. In that case it is necessary to add back some of the </w:t>
          </w:r>
          <w:proofErr w:type="spellStart"/>
          <w:r>
            <w:t>unattributable</w:t>
          </w:r>
          <w:proofErr w:type="spellEnd"/>
          <w:r>
            <w:t xml:space="preserve"> costs that were allocated to non-reserved services (i.e. the </w:t>
          </w:r>
          <w:proofErr w:type="spellStart"/>
          <w:r>
            <w:t>unattributable</w:t>
          </w:r>
          <w:proofErr w:type="spellEnd"/>
          <w:r>
            <w:t xml:space="preserve"> costs that may be incurred by Australia Post whether non-reserved services were provided or not). However, identifying the appropriate amount to </w:t>
          </w:r>
          <w:proofErr w:type="gramStart"/>
          <w:r>
            <w:t>be added</w:t>
          </w:r>
          <w:proofErr w:type="gramEnd"/>
          <w:r>
            <w:t xml:space="preserve"> back is problematic. As discussed in Section 3, one approach is to establish an upper bound on the stand-alone cost. This </w:t>
          </w:r>
          <w:proofErr w:type="gramStart"/>
          <w:r>
            <w:t>could be done</w:t>
          </w:r>
          <w:proofErr w:type="gramEnd"/>
          <w:r>
            <w:t xml:space="preserve"> by adding back all the </w:t>
          </w:r>
          <w:proofErr w:type="spellStart"/>
          <w:r>
            <w:t>unattributable</w:t>
          </w:r>
          <w:proofErr w:type="spellEnd"/>
          <w:r>
            <w:t xml:space="preserve"> costs that were allocated to all other services. Since reserved services revenue was substantially lower than the fully distributed costs of providing reserved services, adding back other </w:t>
          </w:r>
          <w:proofErr w:type="spellStart"/>
          <w:r>
            <w:t>unattributable</w:t>
          </w:r>
          <w:proofErr w:type="spellEnd"/>
          <w:r>
            <w:t xml:space="preserve"> costs will only increase the under-recovery. </w:t>
          </w:r>
        </w:p>
        <w:p w:rsidR="001A10E7" w:rsidRPr="001A10E7" w:rsidRDefault="001A10E7" w:rsidP="00C043A7">
          <w:pPr>
            <w:pStyle w:val="Tabletitle"/>
            <w:rPr>
              <w:rStyle w:val="Strong"/>
            </w:rPr>
          </w:pPr>
          <w:r>
            <w:t>Reserved and non-reserved services revenues and costs ($million) on a non-capital-adjusted basis</w:t>
          </w:r>
        </w:p>
        <w:tbl>
          <w:tblPr>
            <w:tblStyle w:val="LightShading"/>
            <w:tblW w:w="0" w:type="auto"/>
            <w:tblLayout w:type="fixed"/>
            <w:tblLook w:val="0000" w:firstRow="0" w:lastRow="0" w:firstColumn="0" w:lastColumn="0" w:noHBand="0" w:noVBand="0"/>
          </w:tblPr>
          <w:tblGrid>
            <w:gridCol w:w="3940"/>
            <w:gridCol w:w="1318"/>
            <w:gridCol w:w="1772"/>
            <w:gridCol w:w="1464"/>
            <w:gridCol w:w="1701"/>
          </w:tblGrid>
          <w:tr w:rsidR="001A10E7" w:rsidTr="00C043A7">
            <w:trPr>
              <w:trHeight w:val="113"/>
            </w:trPr>
            <w:tc>
              <w:tcPr>
                <w:tcW w:w="3940" w:type="dxa"/>
              </w:tcPr>
              <w:p w:rsidR="001A10E7" w:rsidRDefault="001A10E7" w:rsidP="00C043A7">
                <w:pPr>
                  <w:pStyle w:val="Tabletext"/>
                </w:pPr>
              </w:p>
            </w:tc>
            <w:tc>
              <w:tcPr>
                <w:tcW w:w="1318" w:type="dxa"/>
              </w:tcPr>
              <w:p w:rsidR="001A10E7" w:rsidRDefault="001A10E7" w:rsidP="00C043A7">
                <w:pPr>
                  <w:pStyle w:val="Tabletext-right"/>
                </w:pPr>
                <w:r>
                  <w:t>2013–14 reserved services</w:t>
                </w:r>
              </w:p>
            </w:tc>
            <w:tc>
              <w:tcPr>
                <w:tcW w:w="1772" w:type="dxa"/>
              </w:tcPr>
              <w:p w:rsidR="001A10E7" w:rsidRDefault="001A10E7" w:rsidP="00C043A7">
                <w:pPr>
                  <w:pStyle w:val="Tabletext-right"/>
                </w:pPr>
                <w:r>
                  <w:t>2013–14  non</w:t>
                </w:r>
                <w:r>
                  <w:rPr>
                    <w:rFonts w:ascii="MS Gothic" w:eastAsia="MS Gothic" w:hAnsi="MS Gothic" w:cs="MS Gothic" w:hint="eastAsia"/>
                  </w:rPr>
                  <w:t>‑</w:t>
                </w:r>
                <w:r>
                  <w:t>reserved services</w:t>
                </w:r>
              </w:p>
            </w:tc>
            <w:tc>
              <w:tcPr>
                <w:tcW w:w="1464" w:type="dxa"/>
              </w:tcPr>
              <w:p w:rsidR="001A10E7" w:rsidRDefault="001A10E7" w:rsidP="00C043A7">
                <w:pPr>
                  <w:pStyle w:val="Tabletext-right"/>
                </w:pPr>
                <w:r>
                  <w:t>2014–15 reserved services</w:t>
                </w:r>
              </w:p>
            </w:tc>
            <w:tc>
              <w:tcPr>
                <w:tcW w:w="1701" w:type="dxa"/>
              </w:tcPr>
              <w:p w:rsidR="001A10E7" w:rsidRDefault="001A10E7" w:rsidP="00C043A7">
                <w:pPr>
                  <w:pStyle w:val="Tabletext-right"/>
                </w:pPr>
                <w:r>
                  <w:t>2014–15  non</w:t>
                </w:r>
                <w:r>
                  <w:rPr>
                    <w:rFonts w:ascii="MS Gothic" w:eastAsia="MS Gothic" w:hAnsi="MS Gothic" w:cs="MS Gothic" w:hint="eastAsia"/>
                  </w:rPr>
                  <w:t>‑</w:t>
                </w:r>
                <w:r>
                  <w:t>reserved services</w:t>
                </w:r>
              </w:p>
            </w:tc>
          </w:tr>
          <w:tr w:rsidR="001A10E7" w:rsidTr="00C043A7">
            <w:trPr>
              <w:trHeight w:val="298"/>
            </w:trPr>
            <w:tc>
              <w:tcPr>
                <w:tcW w:w="3940" w:type="dxa"/>
              </w:tcPr>
              <w:p w:rsidR="001A10E7" w:rsidRDefault="001A10E7" w:rsidP="00C043A7">
                <w:pPr>
                  <w:pStyle w:val="Tabletext"/>
                </w:pPr>
                <w:r>
                  <w:t>Revenue</w:t>
                </w:r>
              </w:p>
            </w:tc>
            <w:tc>
              <w:tcPr>
                <w:tcW w:w="1318" w:type="dxa"/>
              </w:tcPr>
              <w:p w:rsidR="001A10E7" w:rsidRDefault="001A10E7" w:rsidP="00C043A7">
                <w:pPr>
                  <w:pStyle w:val="Tabletext-right"/>
                </w:pPr>
                <w:r>
                  <w:t>1771.2</w:t>
                </w:r>
              </w:p>
            </w:tc>
            <w:tc>
              <w:tcPr>
                <w:tcW w:w="1772" w:type="dxa"/>
              </w:tcPr>
              <w:p w:rsidR="001A10E7" w:rsidRDefault="001A10E7" w:rsidP="00C043A7">
                <w:pPr>
                  <w:pStyle w:val="Tabletext-right"/>
                </w:pPr>
                <w:r>
                  <w:t>4463.4</w:t>
                </w:r>
              </w:p>
            </w:tc>
            <w:tc>
              <w:tcPr>
                <w:tcW w:w="1464" w:type="dxa"/>
              </w:tcPr>
              <w:p w:rsidR="001A10E7" w:rsidRDefault="001A10E7" w:rsidP="00C043A7">
                <w:pPr>
                  <w:pStyle w:val="Tabletext-right"/>
                </w:pPr>
                <w:r>
                  <w:t>1734.7</w:t>
                </w:r>
              </w:p>
            </w:tc>
            <w:tc>
              <w:tcPr>
                <w:tcW w:w="1701" w:type="dxa"/>
              </w:tcPr>
              <w:p w:rsidR="001A10E7" w:rsidRDefault="001A10E7" w:rsidP="00C043A7">
                <w:pPr>
                  <w:pStyle w:val="Tabletext-right"/>
                </w:pPr>
                <w:r>
                  <w:t>4545.8</w:t>
                </w:r>
              </w:p>
            </w:tc>
          </w:tr>
          <w:tr w:rsidR="001A10E7" w:rsidTr="00C043A7">
            <w:trPr>
              <w:trHeight w:val="113"/>
            </w:trPr>
            <w:tc>
              <w:tcPr>
                <w:tcW w:w="3940" w:type="dxa"/>
              </w:tcPr>
              <w:p w:rsidR="001A10E7" w:rsidRDefault="001A10E7" w:rsidP="00C043A7">
                <w:pPr>
                  <w:pStyle w:val="Tabletext"/>
                </w:pPr>
                <w:r>
                  <w:t>Direct cost</w:t>
                </w:r>
              </w:p>
            </w:tc>
            <w:tc>
              <w:tcPr>
                <w:tcW w:w="1318" w:type="dxa"/>
              </w:tcPr>
              <w:p w:rsidR="001A10E7" w:rsidRDefault="001A10E7" w:rsidP="00C043A7">
                <w:pPr>
                  <w:pStyle w:val="Tabletext-right"/>
                </w:pPr>
                <w:r>
                  <w:t>6.0</w:t>
                </w:r>
              </w:p>
            </w:tc>
            <w:tc>
              <w:tcPr>
                <w:tcW w:w="1772" w:type="dxa"/>
              </w:tcPr>
              <w:p w:rsidR="001A10E7" w:rsidRDefault="001A10E7" w:rsidP="00C043A7">
                <w:pPr>
                  <w:pStyle w:val="Tabletext-right"/>
                </w:pPr>
                <w:r>
                  <w:t>1607.9</w:t>
                </w:r>
              </w:p>
            </w:tc>
            <w:tc>
              <w:tcPr>
                <w:tcW w:w="1464" w:type="dxa"/>
              </w:tcPr>
              <w:p w:rsidR="001A10E7" w:rsidRDefault="001A10E7" w:rsidP="00C043A7">
                <w:pPr>
                  <w:pStyle w:val="Tabletext-right"/>
                </w:pPr>
                <w:r>
                  <w:t>5.0</w:t>
                </w:r>
              </w:p>
            </w:tc>
            <w:tc>
              <w:tcPr>
                <w:tcW w:w="1701" w:type="dxa"/>
              </w:tcPr>
              <w:p w:rsidR="001A10E7" w:rsidRDefault="001A10E7" w:rsidP="00C043A7">
                <w:pPr>
                  <w:pStyle w:val="Tabletext-right"/>
                </w:pPr>
                <w:r>
                  <w:t>1976.9</w:t>
                </w:r>
              </w:p>
            </w:tc>
          </w:tr>
          <w:tr w:rsidR="001A10E7" w:rsidTr="00C043A7">
            <w:trPr>
              <w:trHeight w:val="113"/>
            </w:trPr>
            <w:tc>
              <w:tcPr>
                <w:tcW w:w="3940" w:type="dxa"/>
              </w:tcPr>
              <w:p w:rsidR="001A10E7" w:rsidRDefault="001A10E7" w:rsidP="00C043A7">
                <w:pPr>
                  <w:pStyle w:val="Tabletext"/>
                </w:pPr>
                <w:r>
                  <w:t>Attributable cost</w:t>
                </w:r>
              </w:p>
            </w:tc>
            <w:tc>
              <w:tcPr>
                <w:tcW w:w="1318" w:type="dxa"/>
              </w:tcPr>
              <w:p w:rsidR="001A10E7" w:rsidRDefault="001A10E7" w:rsidP="00C043A7">
                <w:pPr>
                  <w:pStyle w:val="Tabletext-right"/>
                </w:pPr>
                <w:r>
                  <w:t>1943.3</w:t>
                </w:r>
              </w:p>
            </w:tc>
            <w:tc>
              <w:tcPr>
                <w:tcW w:w="1772" w:type="dxa"/>
              </w:tcPr>
              <w:p w:rsidR="001A10E7" w:rsidRDefault="001A10E7" w:rsidP="00C043A7">
                <w:pPr>
                  <w:pStyle w:val="Tabletext-right"/>
                </w:pPr>
                <w:r>
                  <w:t>2380.2</w:t>
                </w:r>
              </w:p>
            </w:tc>
            <w:tc>
              <w:tcPr>
                <w:tcW w:w="1464" w:type="dxa"/>
              </w:tcPr>
              <w:p w:rsidR="001A10E7" w:rsidRDefault="001A10E7" w:rsidP="00C043A7">
                <w:pPr>
                  <w:pStyle w:val="Tabletext-right"/>
                </w:pPr>
                <w:r>
                  <w:t>1872.6</w:t>
                </w:r>
              </w:p>
            </w:tc>
            <w:tc>
              <w:tcPr>
                <w:tcW w:w="1701" w:type="dxa"/>
              </w:tcPr>
              <w:p w:rsidR="001A10E7" w:rsidRDefault="001A10E7" w:rsidP="00C043A7">
                <w:pPr>
                  <w:pStyle w:val="Tabletext-right"/>
                </w:pPr>
                <w:r>
                  <w:t>2371.8</w:t>
                </w:r>
              </w:p>
            </w:tc>
          </w:tr>
          <w:tr w:rsidR="001A10E7" w:rsidTr="00C043A7">
            <w:trPr>
              <w:trHeight w:val="113"/>
            </w:trPr>
            <w:tc>
              <w:tcPr>
                <w:tcW w:w="3940" w:type="dxa"/>
              </w:tcPr>
              <w:p w:rsidR="001A10E7" w:rsidRDefault="001A10E7" w:rsidP="00C043A7">
                <w:pPr>
                  <w:pStyle w:val="Tabletext"/>
                </w:pPr>
                <w:proofErr w:type="spellStart"/>
                <w:r>
                  <w:t>Unattributable</w:t>
                </w:r>
                <w:proofErr w:type="spellEnd"/>
                <w:r>
                  <w:t xml:space="preserve"> cost</w:t>
                </w:r>
              </w:p>
            </w:tc>
            <w:tc>
              <w:tcPr>
                <w:tcW w:w="1318" w:type="dxa"/>
              </w:tcPr>
              <w:p w:rsidR="001A10E7" w:rsidRDefault="001A10E7" w:rsidP="00C043A7">
                <w:pPr>
                  <w:pStyle w:val="Tabletext-right"/>
                </w:pPr>
                <w:r>
                  <w:t>64.5</w:t>
                </w:r>
              </w:p>
            </w:tc>
            <w:tc>
              <w:tcPr>
                <w:tcW w:w="1772" w:type="dxa"/>
              </w:tcPr>
              <w:p w:rsidR="001A10E7" w:rsidRDefault="001A10E7" w:rsidP="00C043A7">
                <w:pPr>
                  <w:pStyle w:val="Tabletext-right"/>
                </w:pPr>
                <w:r>
                  <w:t>186.9</w:t>
                </w:r>
              </w:p>
            </w:tc>
            <w:tc>
              <w:tcPr>
                <w:tcW w:w="1464" w:type="dxa"/>
              </w:tcPr>
              <w:p w:rsidR="001A10E7" w:rsidRDefault="001A10E7" w:rsidP="00C043A7">
                <w:pPr>
                  <w:pStyle w:val="Tabletext-right"/>
                </w:pPr>
                <w:r>
                  <w:t>143.2</w:t>
                </w:r>
              </w:p>
            </w:tc>
            <w:tc>
              <w:tcPr>
                <w:tcW w:w="1701" w:type="dxa"/>
              </w:tcPr>
              <w:p w:rsidR="001A10E7" w:rsidRDefault="001A10E7" w:rsidP="00C043A7">
                <w:pPr>
                  <w:pStyle w:val="Tabletext-right"/>
                </w:pPr>
                <w:r>
                  <w:t>277.4</w:t>
                </w:r>
              </w:p>
            </w:tc>
          </w:tr>
          <w:tr w:rsidR="001A10E7" w:rsidTr="00C043A7">
            <w:trPr>
              <w:trHeight w:val="113"/>
            </w:trPr>
            <w:tc>
              <w:tcPr>
                <w:tcW w:w="3940" w:type="dxa"/>
              </w:tcPr>
              <w:p w:rsidR="001A10E7" w:rsidRDefault="001A10E7" w:rsidP="00C043A7">
                <w:pPr>
                  <w:pStyle w:val="Tabletext"/>
                </w:pPr>
                <w:r>
                  <w:t>Fully distributed cost</w:t>
                </w:r>
              </w:p>
            </w:tc>
            <w:tc>
              <w:tcPr>
                <w:tcW w:w="1318" w:type="dxa"/>
              </w:tcPr>
              <w:p w:rsidR="001A10E7" w:rsidRDefault="001A10E7" w:rsidP="00C043A7">
                <w:pPr>
                  <w:pStyle w:val="Tabletext-right"/>
                </w:pPr>
                <w:r>
                  <w:t>2013.8</w:t>
                </w:r>
              </w:p>
            </w:tc>
            <w:tc>
              <w:tcPr>
                <w:tcW w:w="1772" w:type="dxa"/>
              </w:tcPr>
              <w:p w:rsidR="001A10E7" w:rsidRDefault="001A10E7" w:rsidP="00C043A7">
                <w:pPr>
                  <w:pStyle w:val="Tabletext-right"/>
                </w:pPr>
                <w:r>
                  <w:t>4175.0</w:t>
                </w:r>
              </w:p>
            </w:tc>
            <w:tc>
              <w:tcPr>
                <w:tcW w:w="1464" w:type="dxa"/>
              </w:tcPr>
              <w:p w:rsidR="001A10E7" w:rsidRDefault="001A10E7" w:rsidP="00C043A7">
                <w:pPr>
                  <w:pStyle w:val="Tabletext-right"/>
                </w:pPr>
                <w:r>
                  <w:t>2020.7</w:t>
                </w:r>
              </w:p>
            </w:tc>
            <w:tc>
              <w:tcPr>
                <w:tcW w:w="1701" w:type="dxa"/>
              </w:tcPr>
              <w:p w:rsidR="001A10E7" w:rsidRDefault="001A10E7" w:rsidP="00C043A7">
                <w:pPr>
                  <w:pStyle w:val="Tabletext-right"/>
                </w:pPr>
                <w:r>
                  <w:t>4626.2</w:t>
                </w:r>
              </w:p>
            </w:tc>
          </w:tr>
          <w:tr w:rsidR="001A10E7" w:rsidTr="00C043A7">
            <w:trPr>
              <w:trHeight w:val="113"/>
            </w:trPr>
            <w:tc>
              <w:tcPr>
                <w:tcW w:w="3940" w:type="dxa"/>
              </w:tcPr>
              <w:p w:rsidR="001A10E7" w:rsidRDefault="001A10E7" w:rsidP="00C043A7">
                <w:pPr>
                  <w:pStyle w:val="Tabletext"/>
                </w:pPr>
                <w:r>
                  <w:t>Revenue less direct cost</w:t>
                </w:r>
              </w:p>
            </w:tc>
            <w:tc>
              <w:tcPr>
                <w:tcW w:w="1318" w:type="dxa"/>
              </w:tcPr>
              <w:p w:rsidR="001A10E7" w:rsidRDefault="001A10E7" w:rsidP="00C043A7">
                <w:pPr>
                  <w:pStyle w:val="Tabletext-right"/>
                </w:pPr>
                <w:r>
                  <w:t>1765.2</w:t>
                </w:r>
              </w:p>
            </w:tc>
            <w:tc>
              <w:tcPr>
                <w:tcW w:w="1772" w:type="dxa"/>
              </w:tcPr>
              <w:p w:rsidR="001A10E7" w:rsidRDefault="001A10E7" w:rsidP="00C043A7">
                <w:pPr>
                  <w:pStyle w:val="Tabletext-right"/>
                </w:pPr>
                <w:r>
                  <w:t>2885.4</w:t>
                </w:r>
              </w:p>
            </w:tc>
            <w:tc>
              <w:tcPr>
                <w:tcW w:w="1464" w:type="dxa"/>
              </w:tcPr>
              <w:p w:rsidR="001A10E7" w:rsidRDefault="001A10E7" w:rsidP="00C043A7">
                <w:pPr>
                  <w:pStyle w:val="Tabletext-right"/>
                </w:pPr>
                <w:r>
                  <w:t>1729.7</w:t>
                </w:r>
              </w:p>
            </w:tc>
            <w:tc>
              <w:tcPr>
                <w:tcW w:w="1701" w:type="dxa"/>
              </w:tcPr>
              <w:p w:rsidR="001A10E7" w:rsidRDefault="001A10E7" w:rsidP="00C043A7">
                <w:pPr>
                  <w:pStyle w:val="Tabletext-right"/>
                </w:pPr>
                <w:r>
                  <w:t>2568.8</w:t>
                </w:r>
              </w:p>
            </w:tc>
          </w:tr>
          <w:tr w:rsidR="001A10E7" w:rsidTr="00C043A7">
            <w:trPr>
              <w:trHeight w:val="113"/>
            </w:trPr>
            <w:tc>
              <w:tcPr>
                <w:tcW w:w="3940" w:type="dxa"/>
              </w:tcPr>
              <w:p w:rsidR="001A10E7" w:rsidRDefault="001A10E7" w:rsidP="00C043A7">
                <w:pPr>
                  <w:pStyle w:val="Tabletext"/>
                </w:pPr>
                <w:r>
                  <w:t>Revenue less direct and attributable costs</w:t>
                </w:r>
              </w:p>
            </w:tc>
            <w:tc>
              <w:tcPr>
                <w:tcW w:w="1318" w:type="dxa"/>
              </w:tcPr>
              <w:p w:rsidR="001A10E7" w:rsidRDefault="001A10E7" w:rsidP="00C043A7">
                <w:pPr>
                  <w:pStyle w:val="Tabletext-right"/>
                </w:pPr>
                <w:r>
                  <w:rPr>
                    <w:color w:val="C3002F"/>
                  </w:rPr>
                  <w:t>(178.1)</w:t>
                </w:r>
              </w:p>
            </w:tc>
            <w:tc>
              <w:tcPr>
                <w:tcW w:w="1772" w:type="dxa"/>
              </w:tcPr>
              <w:p w:rsidR="001A10E7" w:rsidRDefault="001A10E7" w:rsidP="00C043A7">
                <w:pPr>
                  <w:pStyle w:val="Tabletext-right"/>
                </w:pPr>
                <w:r>
                  <w:t>475.2</w:t>
                </w:r>
              </w:p>
            </w:tc>
            <w:tc>
              <w:tcPr>
                <w:tcW w:w="1464" w:type="dxa"/>
              </w:tcPr>
              <w:p w:rsidR="001A10E7" w:rsidRDefault="001A10E7" w:rsidP="00C043A7">
                <w:pPr>
                  <w:pStyle w:val="Tabletext-right"/>
                </w:pPr>
                <w:r>
                  <w:rPr>
                    <w:color w:val="C3002F"/>
                  </w:rPr>
                  <w:t>(142.8)</w:t>
                </w:r>
              </w:p>
            </w:tc>
            <w:tc>
              <w:tcPr>
                <w:tcW w:w="1701" w:type="dxa"/>
              </w:tcPr>
              <w:p w:rsidR="001A10E7" w:rsidRDefault="001A10E7" w:rsidP="00C043A7">
                <w:pPr>
                  <w:pStyle w:val="Tabletext-right"/>
                </w:pPr>
                <w:r>
                  <w:t>197.0</w:t>
                </w:r>
              </w:p>
            </w:tc>
          </w:tr>
          <w:tr w:rsidR="001A10E7" w:rsidTr="00C043A7">
            <w:trPr>
              <w:trHeight w:val="113"/>
            </w:trPr>
            <w:tc>
              <w:tcPr>
                <w:tcW w:w="3940" w:type="dxa"/>
              </w:tcPr>
              <w:p w:rsidR="001A10E7" w:rsidRDefault="001A10E7" w:rsidP="00C043A7">
                <w:pPr>
                  <w:pStyle w:val="Tabletext"/>
                </w:pPr>
                <w:r>
                  <w:t>Revenue less fully distributed cost</w:t>
                </w:r>
              </w:p>
            </w:tc>
            <w:tc>
              <w:tcPr>
                <w:tcW w:w="1318" w:type="dxa"/>
              </w:tcPr>
              <w:p w:rsidR="001A10E7" w:rsidRDefault="001A10E7" w:rsidP="00C043A7">
                <w:pPr>
                  <w:pStyle w:val="Tabletext-right"/>
                </w:pPr>
                <w:r>
                  <w:rPr>
                    <w:color w:val="C3002F"/>
                  </w:rPr>
                  <w:t>(242.6)</w:t>
                </w:r>
              </w:p>
            </w:tc>
            <w:tc>
              <w:tcPr>
                <w:tcW w:w="1772" w:type="dxa"/>
              </w:tcPr>
              <w:p w:rsidR="001A10E7" w:rsidRDefault="001A10E7" w:rsidP="00C043A7">
                <w:pPr>
                  <w:pStyle w:val="Tabletext-right"/>
                </w:pPr>
                <w:r>
                  <w:t>288.3</w:t>
                </w:r>
              </w:p>
            </w:tc>
            <w:tc>
              <w:tcPr>
                <w:tcW w:w="1464" w:type="dxa"/>
              </w:tcPr>
              <w:p w:rsidR="001A10E7" w:rsidRDefault="001A10E7" w:rsidP="00C043A7">
                <w:pPr>
                  <w:pStyle w:val="Tabletext-right"/>
                </w:pPr>
                <w:r>
                  <w:rPr>
                    <w:color w:val="C3002F"/>
                  </w:rPr>
                  <w:t>(286.0)</w:t>
                </w:r>
              </w:p>
            </w:tc>
            <w:tc>
              <w:tcPr>
                <w:tcW w:w="1701" w:type="dxa"/>
              </w:tcPr>
              <w:p w:rsidR="001A10E7" w:rsidRDefault="001A10E7" w:rsidP="00C043A7">
                <w:pPr>
                  <w:pStyle w:val="Tabletext-right"/>
                </w:pPr>
                <w:r>
                  <w:rPr>
                    <w:color w:val="C3002F"/>
                  </w:rPr>
                  <w:t>(80.4)</w:t>
                </w:r>
              </w:p>
            </w:tc>
          </w:tr>
          <w:tr w:rsidR="001A10E7" w:rsidTr="00C043A7">
            <w:trPr>
              <w:trHeight w:val="113"/>
            </w:trPr>
            <w:tc>
              <w:tcPr>
                <w:tcW w:w="3940" w:type="dxa"/>
              </w:tcPr>
              <w:p w:rsidR="001A10E7" w:rsidRDefault="001A10E7" w:rsidP="00C043A7">
                <w:pPr>
                  <w:pStyle w:val="Tabletext"/>
                </w:pPr>
                <w:r>
                  <w:t xml:space="preserve">Revenue less fully distributed cost and all other </w:t>
                </w:r>
                <w:proofErr w:type="spellStart"/>
                <w:r>
                  <w:t>unattributable</w:t>
                </w:r>
                <w:proofErr w:type="spellEnd"/>
                <w:r>
                  <w:t xml:space="preserve"> costs</w:t>
                </w:r>
              </w:p>
            </w:tc>
            <w:tc>
              <w:tcPr>
                <w:tcW w:w="1318" w:type="dxa"/>
              </w:tcPr>
              <w:p w:rsidR="001A10E7" w:rsidRDefault="001A10E7" w:rsidP="00C043A7">
                <w:pPr>
                  <w:pStyle w:val="Tabletext-right"/>
                </w:pPr>
                <w:r>
                  <w:rPr>
                    <w:color w:val="C3002F"/>
                  </w:rPr>
                  <w:t>(429.5)</w:t>
                </w:r>
              </w:p>
            </w:tc>
            <w:tc>
              <w:tcPr>
                <w:tcW w:w="1772" w:type="dxa"/>
              </w:tcPr>
              <w:p w:rsidR="001A10E7" w:rsidRDefault="001A10E7" w:rsidP="00C043A7">
                <w:pPr>
                  <w:pStyle w:val="Tabletext-right"/>
                </w:pPr>
                <w:r>
                  <w:t>223.8</w:t>
                </w:r>
              </w:p>
            </w:tc>
            <w:tc>
              <w:tcPr>
                <w:tcW w:w="1464" w:type="dxa"/>
              </w:tcPr>
              <w:p w:rsidR="001A10E7" w:rsidRDefault="001A10E7" w:rsidP="00C043A7">
                <w:pPr>
                  <w:pStyle w:val="Tabletext-right"/>
                </w:pPr>
                <w:r>
                  <w:rPr>
                    <w:color w:val="C3002F"/>
                  </w:rPr>
                  <w:t>(563.5)</w:t>
                </w:r>
              </w:p>
            </w:tc>
            <w:tc>
              <w:tcPr>
                <w:tcW w:w="1701" w:type="dxa"/>
              </w:tcPr>
              <w:p w:rsidR="001A10E7" w:rsidRDefault="001A10E7" w:rsidP="00C043A7">
                <w:pPr>
                  <w:pStyle w:val="Tabletext-right"/>
                </w:pPr>
                <w:r>
                  <w:rPr>
                    <w:color w:val="C3002F"/>
                  </w:rPr>
                  <w:t>(223.6)</w:t>
                </w:r>
              </w:p>
            </w:tc>
          </w:tr>
        </w:tbl>
        <w:p w:rsidR="001A10E7" w:rsidRDefault="001A10E7" w:rsidP="001A10E7">
          <w:r>
            <w:t xml:space="preserve">The ACCC has also applied the stand-alone cost test to other groups of services in order to identify possible sources of subsidy. </w:t>
          </w:r>
        </w:p>
        <w:p w:rsidR="001A10E7" w:rsidRDefault="001A10E7" w:rsidP="001A10E7">
          <w:r>
            <w:t xml:space="preserve">Table 3 shows the cost recovery in 2014–15 for all of Australia Post’s business segments (prior to a capital adjustment). The parcels and retail and agency services segments were the only two business segments able to recover their fully distributed </w:t>
          </w:r>
          <w:proofErr w:type="gramStart"/>
          <w:r>
            <w:t>costs, which means</w:t>
          </w:r>
          <w:proofErr w:type="gramEnd"/>
          <w:r>
            <w:t xml:space="preserve"> that they were potential sources of subsidy. However, neither segment had revenue sufficient to recover all the </w:t>
          </w:r>
          <w:proofErr w:type="spellStart"/>
          <w:r>
            <w:t>unattributable</w:t>
          </w:r>
          <w:proofErr w:type="spellEnd"/>
          <w:r>
            <w:t xml:space="preserve"> costs allocated to all other services, so neither was a definite source of subsidy. </w:t>
          </w:r>
        </w:p>
        <w:p w:rsidR="001A10E7" w:rsidRPr="001A10E7" w:rsidRDefault="001A10E7" w:rsidP="00C043A7">
          <w:pPr>
            <w:pStyle w:val="Tabletitle"/>
            <w:rPr>
              <w:rStyle w:val="Strong"/>
            </w:rPr>
          </w:pPr>
          <w:r>
            <w:t>Australia Post’s revenues and costs by segment totals ($million) on a non-capital-adjusted basis</w:t>
          </w:r>
        </w:p>
        <w:tbl>
          <w:tblPr>
            <w:tblStyle w:val="LightShading"/>
            <w:tblW w:w="0" w:type="auto"/>
            <w:tblLayout w:type="fixed"/>
            <w:tblLook w:val="0000" w:firstRow="0" w:lastRow="0" w:firstColumn="0" w:lastColumn="0" w:noHBand="0" w:noVBand="0"/>
          </w:tblPr>
          <w:tblGrid>
            <w:gridCol w:w="2126"/>
            <w:gridCol w:w="1531"/>
            <w:gridCol w:w="1757"/>
            <w:gridCol w:w="1758"/>
            <w:gridCol w:w="1530"/>
            <w:gridCol w:w="1503"/>
          </w:tblGrid>
          <w:tr w:rsidR="001A10E7" w:rsidTr="00C043A7">
            <w:trPr>
              <w:trHeight w:val="113"/>
            </w:trPr>
            <w:tc>
              <w:tcPr>
                <w:tcW w:w="2126" w:type="dxa"/>
              </w:tcPr>
              <w:p w:rsidR="001A10E7" w:rsidRDefault="001A10E7" w:rsidP="00C043A7">
                <w:pPr>
                  <w:pStyle w:val="Tabletext"/>
                </w:pPr>
              </w:p>
            </w:tc>
            <w:tc>
              <w:tcPr>
                <w:tcW w:w="1531" w:type="dxa"/>
              </w:tcPr>
              <w:p w:rsidR="001A10E7" w:rsidRDefault="001A10E7" w:rsidP="00C043A7">
                <w:pPr>
                  <w:pStyle w:val="Tabletext-right"/>
                </w:pPr>
                <w:r>
                  <w:t>Reserved letter services</w:t>
                </w:r>
              </w:p>
            </w:tc>
            <w:tc>
              <w:tcPr>
                <w:tcW w:w="1757" w:type="dxa"/>
              </w:tcPr>
              <w:p w:rsidR="001A10E7" w:rsidRDefault="001A10E7" w:rsidP="00C043A7">
                <w:pPr>
                  <w:pStyle w:val="Tabletext-right"/>
                </w:pPr>
                <w:r>
                  <w:t>Non-reserved mail services</w:t>
                </w:r>
              </w:p>
            </w:tc>
            <w:tc>
              <w:tcPr>
                <w:tcW w:w="1758" w:type="dxa"/>
              </w:tcPr>
              <w:p w:rsidR="001A10E7" w:rsidRDefault="001A10E7" w:rsidP="00C043A7">
                <w:pPr>
                  <w:pStyle w:val="Tabletext-right"/>
                </w:pPr>
                <w:r>
                  <w:t>Parcels</w:t>
                </w:r>
              </w:p>
            </w:tc>
            <w:tc>
              <w:tcPr>
                <w:tcW w:w="1530" w:type="dxa"/>
              </w:tcPr>
              <w:p w:rsidR="001A10E7" w:rsidRDefault="001A10E7" w:rsidP="00C043A7">
                <w:pPr>
                  <w:pStyle w:val="Tabletext-right"/>
                </w:pPr>
                <w:r>
                  <w:t>Retail and agency services</w:t>
                </w:r>
              </w:p>
            </w:tc>
            <w:tc>
              <w:tcPr>
                <w:tcW w:w="1503" w:type="dxa"/>
              </w:tcPr>
              <w:p w:rsidR="001A10E7" w:rsidRDefault="001A10E7" w:rsidP="00C043A7">
                <w:pPr>
                  <w:pStyle w:val="Tabletext-right"/>
                </w:pPr>
                <w:r>
                  <w:t>Other services</w:t>
                </w:r>
              </w:p>
            </w:tc>
          </w:tr>
          <w:tr w:rsidR="001A10E7" w:rsidTr="00C043A7">
            <w:trPr>
              <w:trHeight w:val="298"/>
            </w:trPr>
            <w:tc>
              <w:tcPr>
                <w:tcW w:w="2126" w:type="dxa"/>
              </w:tcPr>
              <w:p w:rsidR="001A10E7" w:rsidRDefault="001A10E7" w:rsidP="00C043A7">
                <w:pPr>
                  <w:pStyle w:val="Tabletext"/>
                </w:pPr>
                <w:r>
                  <w:t>Revenue</w:t>
                </w:r>
              </w:p>
            </w:tc>
            <w:tc>
              <w:tcPr>
                <w:tcW w:w="1531" w:type="dxa"/>
              </w:tcPr>
              <w:p w:rsidR="001A10E7" w:rsidRDefault="001A10E7" w:rsidP="00C043A7">
                <w:pPr>
                  <w:pStyle w:val="Tabletext-right"/>
                </w:pPr>
                <w:r>
                  <w:t>1734.7</w:t>
                </w:r>
              </w:p>
            </w:tc>
            <w:tc>
              <w:tcPr>
                <w:tcW w:w="1757" w:type="dxa"/>
              </w:tcPr>
              <w:p w:rsidR="001A10E7" w:rsidRDefault="001A10E7" w:rsidP="00C043A7">
                <w:pPr>
                  <w:pStyle w:val="Tabletext-right"/>
                </w:pPr>
                <w:r>
                  <w:t>340.2</w:t>
                </w:r>
              </w:p>
            </w:tc>
            <w:tc>
              <w:tcPr>
                <w:tcW w:w="1758" w:type="dxa"/>
              </w:tcPr>
              <w:p w:rsidR="001A10E7" w:rsidRDefault="001A10E7" w:rsidP="00C043A7">
                <w:pPr>
                  <w:pStyle w:val="Tabletext-right"/>
                </w:pPr>
                <w:r>
                  <w:t>3207.0</w:t>
                </w:r>
              </w:p>
            </w:tc>
            <w:tc>
              <w:tcPr>
                <w:tcW w:w="1530" w:type="dxa"/>
              </w:tcPr>
              <w:p w:rsidR="001A10E7" w:rsidRDefault="001A10E7" w:rsidP="00C043A7">
                <w:pPr>
                  <w:pStyle w:val="Tabletext-right"/>
                </w:pPr>
                <w:r>
                  <w:t>1012.3</w:t>
                </w:r>
              </w:p>
            </w:tc>
            <w:tc>
              <w:tcPr>
                <w:tcW w:w="1503" w:type="dxa"/>
              </w:tcPr>
              <w:p w:rsidR="001A10E7" w:rsidRDefault="001A10E7" w:rsidP="00C043A7">
                <w:pPr>
                  <w:pStyle w:val="Tabletext-right"/>
                </w:pPr>
                <w:r>
                  <w:rPr>
                    <w:rStyle w:val="01tablered"/>
                  </w:rPr>
                  <w:t>(13.7)</w:t>
                </w:r>
              </w:p>
            </w:tc>
          </w:tr>
          <w:tr w:rsidR="001A10E7" w:rsidTr="00C043A7">
            <w:trPr>
              <w:trHeight w:val="113"/>
            </w:trPr>
            <w:tc>
              <w:tcPr>
                <w:tcW w:w="2126" w:type="dxa"/>
              </w:tcPr>
              <w:p w:rsidR="001A10E7" w:rsidRDefault="001A10E7" w:rsidP="00C043A7">
                <w:pPr>
                  <w:pStyle w:val="Tabletext"/>
                </w:pPr>
                <w:r>
                  <w:lastRenderedPageBreak/>
                  <w:t>Direct cost</w:t>
                </w:r>
              </w:p>
            </w:tc>
            <w:tc>
              <w:tcPr>
                <w:tcW w:w="1531" w:type="dxa"/>
              </w:tcPr>
              <w:p w:rsidR="001A10E7" w:rsidRDefault="001A10E7" w:rsidP="00C043A7">
                <w:pPr>
                  <w:pStyle w:val="Tabletext-right"/>
                </w:pPr>
                <w:r>
                  <w:t>5.0</w:t>
                </w:r>
              </w:p>
            </w:tc>
            <w:tc>
              <w:tcPr>
                <w:tcW w:w="1757" w:type="dxa"/>
              </w:tcPr>
              <w:p w:rsidR="001A10E7" w:rsidRDefault="001A10E7" w:rsidP="00C043A7">
                <w:pPr>
                  <w:pStyle w:val="Tabletext-right"/>
                </w:pPr>
                <w:r>
                  <w:t>0.5</w:t>
                </w:r>
              </w:p>
            </w:tc>
            <w:tc>
              <w:tcPr>
                <w:tcW w:w="1758" w:type="dxa"/>
              </w:tcPr>
              <w:p w:rsidR="001A10E7" w:rsidRDefault="001A10E7" w:rsidP="00C043A7">
                <w:pPr>
                  <w:pStyle w:val="Tabletext-right"/>
                </w:pPr>
                <w:r>
                  <w:t>1209.4</w:t>
                </w:r>
              </w:p>
            </w:tc>
            <w:tc>
              <w:tcPr>
                <w:tcW w:w="1530" w:type="dxa"/>
              </w:tcPr>
              <w:p w:rsidR="001A10E7" w:rsidRDefault="001A10E7" w:rsidP="00C043A7">
                <w:pPr>
                  <w:pStyle w:val="Tabletext-right"/>
                </w:pPr>
                <w:r>
                  <w:t>388.5</w:t>
                </w:r>
              </w:p>
            </w:tc>
            <w:tc>
              <w:tcPr>
                <w:tcW w:w="1503" w:type="dxa"/>
              </w:tcPr>
              <w:p w:rsidR="001A10E7" w:rsidRDefault="001A10E7" w:rsidP="00C043A7">
                <w:pPr>
                  <w:pStyle w:val="Tabletext-right"/>
                </w:pPr>
                <w:r>
                  <w:t>378.6</w:t>
                </w:r>
              </w:p>
            </w:tc>
          </w:tr>
          <w:tr w:rsidR="001A10E7" w:rsidTr="00C043A7">
            <w:trPr>
              <w:trHeight w:val="113"/>
            </w:trPr>
            <w:tc>
              <w:tcPr>
                <w:tcW w:w="2126" w:type="dxa"/>
              </w:tcPr>
              <w:p w:rsidR="001A10E7" w:rsidRDefault="001A10E7" w:rsidP="00C043A7">
                <w:pPr>
                  <w:pStyle w:val="Tabletext"/>
                </w:pPr>
                <w:r>
                  <w:t>Attributable cost</w:t>
                </w:r>
              </w:p>
            </w:tc>
            <w:tc>
              <w:tcPr>
                <w:tcW w:w="1531" w:type="dxa"/>
              </w:tcPr>
              <w:p w:rsidR="001A10E7" w:rsidRDefault="001A10E7" w:rsidP="00C043A7">
                <w:pPr>
                  <w:pStyle w:val="Tabletext-right"/>
                </w:pPr>
                <w:r>
                  <w:t>1872.6</w:t>
                </w:r>
              </w:p>
            </w:tc>
            <w:tc>
              <w:tcPr>
                <w:tcW w:w="1757" w:type="dxa"/>
              </w:tcPr>
              <w:p w:rsidR="001A10E7" w:rsidRDefault="001A10E7" w:rsidP="00C043A7">
                <w:pPr>
                  <w:pStyle w:val="Tabletext-right"/>
                </w:pPr>
                <w:r>
                  <w:t>400.1</w:t>
                </w:r>
              </w:p>
            </w:tc>
            <w:tc>
              <w:tcPr>
                <w:tcW w:w="1758" w:type="dxa"/>
              </w:tcPr>
              <w:p w:rsidR="001A10E7" w:rsidRDefault="001A10E7" w:rsidP="00C043A7">
                <w:pPr>
                  <w:pStyle w:val="Tabletext-right"/>
                </w:pPr>
                <w:r>
                  <w:t>1608.1</w:t>
                </w:r>
              </w:p>
            </w:tc>
            <w:tc>
              <w:tcPr>
                <w:tcW w:w="1530" w:type="dxa"/>
              </w:tcPr>
              <w:p w:rsidR="001A10E7" w:rsidRDefault="001A10E7" w:rsidP="00C043A7">
                <w:pPr>
                  <w:pStyle w:val="Tabletext-right"/>
                </w:pPr>
                <w:r>
                  <w:t>363.5</w:t>
                </w:r>
              </w:p>
            </w:tc>
            <w:tc>
              <w:tcPr>
                <w:tcW w:w="1503" w:type="dxa"/>
              </w:tcPr>
              <w:p w:rsidR="001A10E7" w:rsidRDefault="001A10E7" w:rsidP="00C043A7">
                <w:pPr>
                  <w:pStyle w:val="Tabletext-right"/>
                </w:pPr>
                <w:r>
                  <w:t>–</w:t>
                </w:r>
              </w:p>
            </w:tc>
          </w:tr>
          <w:tr w:rsidR="001A10E7" w:rsidTr="00C043A7">
            <w:trPr>
              <w:trHeight w:val="113"/>
            </w:trPr>
            <w:tc>
              <w:tcPr>
                <w:tcW w:w="2126" w:type="dxa"/>
              </w:tcPr>
              <w:p w:rsidR="001A10E7" w:rsidRDefault="001A10E7" w:rsidP="00C043A7">
                <w:pPr>
                  <w:pStyle w:val="Tabletext"/>
                </w:pPr>
                <w:proofErr w:type="spellStart"/>
                <w:r>
                  <w:t>Unattributable</w:t>
                </w:r>
                <w:proofErr w:type="spellEnd"/>
                <w:r>
                  <w:t xml:space="preserve"> cost</w:t>
                </w:r>
              </w:p>
            </w:tc>
            <w:tc>
              <w:tcPr>
                <w:tcW w:w="1531" w:type="dxa"/>
              </w:tcPr>
              <w:p w:rsidR="001A10E7" w:rsidRDefault="001A10E7" w:rsidP="00C043A7">
                <w:pPr>
                  <w:pStyle w:val="Tabletext-right"/>
                </w:pPr>
                <w:r>
                  <w:t>143.2</w:t>
                </w:r>
              </w:p>
            </w:tc>
            <w:tc>
              <w:tcPr>
                <w:tcW w:w="1757" w:type="dxa"/>
              </w:tcPr>
              <w:p w:rsidR="001A10E7" w:rsidRDefault="001A10E7" w:rsidP="00C043A7">
                <w:pPr>
                  <w:pStyle w:val="Tabletext-right"/>
                </w:pPr>
                <w:r>
                  <w:t>28.9</w:t>
                </w:r>
              </w:p>
            </w:tc>
            <w:tc>
              <w:tcPr>
                <w:tcW w:w="1758" w:type="dxa"/>
              </w:tcPr>
              <w:p w:rsidR="001A10E7" w:rsidRDefault="001A10E7" w:rsidP="00C043A7">
                <w:pPr>
                  <w:pStyle w:val="Tabletext-right"/>
                </w:pPr>
                <w:r>
                  <w:t>144.4</w:t>
                </w:r>
              </w:p>
            </w:tc>
            <w:tc>
              <w:tcPr>
                <w:tcW w:w="1530" w:type="dxa"/>
              </w:tcPr>
              <w:p w:rsidR="001A10E7" w:rsidRDefault="001A10E7" w:rsidP="00C043A7">
                <w:pPr>
                  <w:pStyle w:val="Tabletext-right"/>
                </w:pPr>
                <w:r>
                  <w:t>115.2</w:t>
                </w:r>
              </w:p>
            </w:tc>
            <w:tc>
              <w:tcPr>
                <w:tcW w:w="1503" w:type="dxa"/>
              </w:tcPr>
              <w:p w:rsidR="001A10E7" w:rsidRDefault="001A10E7" w:rsidP="00C043A7">
                <w:pPr>
                  <w:pStyle w:val="Tabletext-right"/>
                </w:pPr>
                <w:r>
                  <w:rPr>
                    <w:rStyle w:val="01tablered"/>
                  </w:rPr>
                  <w:t>(11.0)</w:t>
                </w:r>
              </w:p>
            </w:tc>
          </w:tr>
          <w:tr w:rsidR="001A10E7" w:rsidTr="00C043A7">
            <w:trPr>
              <w:trHeight w:val="113"/>
            </w:trPr>
            <w:tc>
              <w:tcPr>
                <w:tcW w:w="2126" w:type="dxa"/>
              </w:tcPr>
              <w:p w:rsidR="001A10E7" w:rsidRDefault="001A10E7" w:rsidP="00C043A7">
                <w:pPr>
                  <w:pStyle w:val="Tabletext"/>
                </w:pPr>
                <w:r>
                  <w:t>Fully distributed cost</w:t>
                </w:r>
              </w:p>
            </w:tc>
            <w:tc>
              <w:tcPr>
                <w:tcW w:w="1531" w:type="dxa"/>
              </w:tcPr>
              <w:p w:rsidR="001A10E7" w:rsidRDefault="001A10E7" w:rsidP="00C043A7">
                <w:pPr>
                  <w:pStyle w:val="Tabletext-right"/>
                </w:pPr>
                <w:r>
                  <w:t>2020.7</w:t>
                </w:r>
              </w:p>
            </w:tc>
            <w:tc>
              <w:tcPr>
                <w:tcW w:w="1757" w:type="dxa"/>
              </w:tcPr>
              <w:p w:rsidR="001A10E7" w:rsidRDefault="001A10E7" w:rsidP="00C043A7">
                <w:pPr>
                  <w:pStyle w:val="Tabletext-right"/>
                </w:pPr>
                <w:r>
                  <w:t>429.5</w:t>
                </w:r>
              </w:p>
            </w:tc>
            <w:tc>
              <w:tcPr>
                <w:tcW w:w="1758" w:type="dxa"/>
              </w:tcPr>
              <w:p w:rsidR="001A10E7" w:rsidRDefault="001A10E7" w:rsidP="00C043A7">
                <w:pPr>
                  <w:pStyle w:val="Tabletext-right"/>
                </w:pPr>
                <w:r>
                  <w:t>2961.9</w:t>
                </w:r>
              </w:p>
            </w:tc>
            <w:tc>
              <w:tcPr>
                <w:tcW w:w="1530" w:type="dxa"/>
              </w:tcPr>
              <w:p w:rsidR="001A10E7" w:rsidRDefault="001A10E7" w:rsidP="00C043A7">
                <w:pPr>
                  <w:pStyle w:val="Tabletext-right"/>
                </w:pPr>
                <w:r>
                  <w:t>867.2</w:t>
                </w:r>
              </w:p>
            </w:tc>
            <w:tc>
              <w:tcPr>
                <w:tcW w:w="1503" w:type="dxa"/>
              </w:tcPr>
              <w:p w:rsidR="001A10E7" w:rsidRDefault="001A10E7" w:rsidP="00C043A7">
                <w:pPr>
                  <w:pStyle w:val="Tabletext-right"/>
                </w:pPr>
                <w:r>
                  <w:t>367.6</w:t>
                </w:r>
              </w:p>
            </w:tc>
          </w:tr>
          <w:tr w:rsidR="001A10E7" w:rsidTr="00C043A7">
            <w:trPr>
              <w:trHeight w:val="113"/>
            </w:trPr>
            <w:tc>
              <w:tcPr>
                <w:tcW w:w="2126" w:type="dxa"/>
              </w:tcPr>
              <w:p w:rsidR="001A10E7" w:rsidRDefault="001A10E7" w:rsidP="00C043A7">
                <w:pPr>
                  <w:pStyle w:val="Tabletext"/>
                </w:pPr>
                <w:r>
                  <w:t>Revenue less direct cost</w:t>
                </w:r>
              </w:p>
            </w:tc>
            <w:tc>
              <w:tcPr>
                <w:tcW w:w="1531" w:type="dxa"/>
              </w:tcPr>
              <w:p w:rsidR="001A10E7" w:rsidRDefault="001A10E7" w:rsidP="00C043A7">
                <w:pPr>
                  <w:pStyle w:val="Tabletext-right"/>
                </w:pPr>
                <w:r>
                  <w:t>1729.7</w:t>
                </w:r>
              </w:p>
            </w:tc>
            <w:tc>
              <w:tcPr>
                <w:tcW w:w="1757" w:type="dxa"/>
              </w:tcPr>
              <w:p w:rsidR="001A10E7" w:rsidRDefault="001A10E7" w:rsidP="00C043A7">
                <w:pPr>
                  <w:pStyle w:val="Tabletext-right"/>
                </w:pPr>
                <w:r>
                  <w:t>339.7</w:t>
                </w:r>
              </w:p>
            </w:tc>
            <w:tc>
              <w:tcPr>
                <w:tcW w:w="1758" w:type="dxa"/>
              </w:tcPr>
              <w:p w:rsidR="001A10E7" w:rsidRDefault="001A10E7" w:rsidP="00C043A7">
                <w:pPr>
                  <w:pStyle w:val="Tabletext-right"/>
                </w:pPr>
                <w:r>
                  <w:t>1997.6</w:t>
                </w:r>
              </w:p>
            </w:tc>
            <w:tc>
              <w:tcPr>
                <w:tcW w:w="1530" w:type="dxa"/>
              </w:tcPr>
              <w:p w:rsidR="001A10E7" w:rsidRDefault="001A10E7" w:rsidP="00C043A7">
                <w:pPr>
                  <w:pStyle w:val="Tabletext-right"/>
                </w:pPr>
                <w:r>
                  <w:t>623.9</w:t>
                </w:r>
              </w:p>
            </w:tc>
            <w:tc>
              <w:tcPr>
                <w:tcW w:w="1503" w:type="dxa"/>
              </w:tcPr>
              <w:p w:rsidR="001A10E7" w:rsidRDefault="001A10E7" w:rsidP="00C043A7">
                <w:pPr>
                  <w:pStyle w:val="Tabletext-right"/>
                </w:pPr>
                <w:r>
                  <w:rPr>
                    <w:rStyle w:val="01tablered"/>
                  </w:rPr>
                  <w:t>(392.3)</w:t>
                </w:r>
              </w:p>
            </w:tc>
          </w:tr>
          <w:tr w:rsidR="001A10E7" w:rsidTr="00C043A7">
            <w:trPr>
              <w:trHeight w:val="113"/>
            </w:trPr>
            <w:tc>
              <w:tcPr>
                <w:tcW w:w="2126" w:type="dxa"/>
              </w:tcPr>
              <w:p w:rsidR="001A10E7" w:rsidRDefault="001A10E7" w:rsidP="00C043A7">
                <w:pPr>
                  <w:pStyle w:val="Tabletext"/>
                </w:pPr>
                <w:r>
                  <w:t>Revenue less direct and attributable costs</w:t>
                </w:r>
              </w:p>
            </w:tc>
            <w:tc>
              <w:tcPr>
                <w:tcW w:w="1531" w:type="dxa"/>
              </w:tcPr>
              <w:p w:rsidR="001A10E7" w:rsidRDefault="001A10E7" w:rsidP="00C043A7">
                <w:pPr>
                  <w:pStyle w:val="Tabletext-right"/>
                </w:pPr>
                <w:r>
                  <w:rPr>
                    <w:color w:val="C3002F"/>
                  </w:rPr>
                  <w:t>(142.8)</w:t>
                </w:r>
              </w:p>
            </w:tc>
            <w:tc>
              <w:tcPr>
                <w:tcW w:w="1757" w:type="dxa"/>
              </w:tcPr>
              <w:p w:rsidR="001A10E7" w:rsidRDefault="001A10E7" w:rsidP="00C043A7">
                <w:pPr>
                  <w:pStyle w:val="Tabletext-right"/>
                </w:pPr>
                <w:r>
                  <w:rPr>
                    <w:rStyle w:val="negativefigures"/>
                  </w:rPr>
                  <w:t>(60.4)</w:t>
                </w:r>
              </w:p>
            </w:tc>
            <w:tc>
              <w:tcPr>
                <w:tcW w:w="1758" w:type="dxa"/>
              </w:tcPr>
              <w:p w:rsidR="001A10E7" w:rsidRDefault="001A10E7" w:rsidP="00C043A7">
                <w:pPr>
                  <w:pStyle w:val="Tabletext-right"/>
                </w:pPr>
                <w:r>
                  <w:rPr>
                    <w:lang w:val="en-US"/>
                  </w:rPr>
                  <w:t>389.4</w:t>
                </w:r>
              </w:p>
            </w:tc>
            <w:tc>
              <w:tcPr>
                <w:tcW w:w="1530" w:type="dxa"/>
              </w:tcPr>
              <w:p w:rsidR="001A10E7" w:rsidRDefault="001A10E7" w:rsidP="00C043A7">
                <w:pPr>
                  <w:pStyle w:val="Tabletext-right"/>
                </w:pPr>
                <w:r>
                  <w:t>260.3</w:t>
                </w:r>
              </w:p>
            </w:tc>
            <w:tc>
              <w:tcPr>
                <w:tcW w:w="1503" w:type="dxa"/>
              </w:tcPr>
              <w:p w:rsidR="001A10E7" w:rsidRDefault="001A10E7" w:rsidP="00C043A7">
                <w:pPr>
                  <w:pStyle w:val="Tabletext-right"/>
                </w:pPr>
                <w:r>
                  <w:rPr>
                    <w:rStyle w:val="01tablered"/>
                    <w:lang w:val="en-US"/>
                  </w:rPr>
                  <w:t>(392.3)</w:t>
                </w:r>
              </w:p>
            </w:tc>
          </w:tr>
          <w:tr w:rsidR="001A10E7" w:rsidTr="00C043A7">
            <w:trPr>
              <w:trHeight w:val="113"/>
            </w:trPr>
            <w:tc>
              <w:tcPr>
                <w:tcW w:w="2126" w:type="dxa"/>
              </w:tcPr>
              <w:p w:rsidR="001A10E7" w:rsidRDefault="001A10E7" w:rsidP="00C043A7">
                <w:pPr>
                  <w:pStyle w:val="Tabletext"/>
                </w:pPr>
                <w:r>
                  <w:t>Revenue less fully distributed cost</w:t>
                </w:r>
              </w:p>
            </w:tc>
            <w:tc>
              <w:tcPr>
                <w:tcW w:w="1531" w:type="dxa"/>
              </w:tcPr>
              <w:p w:rsidR="001A10E7" w:rsidRDefault="001A10E7" w:rsidP="00C043A7">
                <w:pPr>
                  <w:pStyle w:val="Tabletext-right"/>
                </w:pPr>
                <w:r>
                  <w:rPr>
                    <w:color w:val="C3002F"/>
                  </w:rPr>
                  <w:t>(286.0)</w:t>
                </w:r>
              </w:p>
            </w:tc>
            <w:tc>
              <w:tcPr>
                <w:tcW w:w="1757" w:type="dxa"/>
              </w:tcPr>
              <w:p w:rsidR="001A10E7" w:rsidRDefault="001A10E7" w:rsidP="00C043A7">
                <w:pPr>
                  <w:pStyle w:val="Tabletext-right"/>
                </w:pPr>
                <w:r>
                  <w:rPr>
                    <w:rStyle w:val="negativefigures"/>
                  </w:rPr>
                  <w:t>(89.3)</w:t>
                </w:r>
              </w:p>
            </w:tc>
            <w:tc>
              <w:tcPr>
                <w:tcW w:w="1758" w:type="dxa"/>
              </w:tcPr>
              <w:p w:rsidR="001A10E7" w:rsidRDefault="001A10E7" w:rsidP="00C043A7">
                <w:pPr>
                  <w:pStyle w:val="Tabletext-right"/>
                </w:pPr>
                <w:r>
                  <w:rPr>
                    <w:lang w:val="en-US"/>
                  </w:rPr>
                  <w:t>245.1</w:t>
                </w:r>
              </w:p>
            </w:tc>
            <w:tc>
              <w:tcPr>
                <w:tcW w:w="1530" w:type="dxa"/>
              </w:tcPr>
              <w:p w:rsidR="001A10E7" w:rsidRDefault="001A10E7" w:rsidP="00C043A7">
                <w:pPr>
                  <w:pStyle w:val="Tabletext-right"/>
                </w:pPr>
                <w:r>
                  <w:t>145.1</w:t>
                </w:r>
              </w:p>
            </w:tc>
            <w:tc>
              <w:tcPr>
                <w:tcW w:w="1503" w:type="dxa"/>
              </w:tcPr>
              <w:p w:rsidR="001A10E7" w:rsidRDefault="001A10E7" w:rsidP="00C043A7">
                <w:pPr>
                  <w:pStyle w:val="Tabletext-right"/>
                </w:pPr>
                <w:r>
                  <w:rPr>
                    <w:rStyle w:val="01tablered"/>
                    <w:lang w:val="en-US"/>
                  </w:rPr>
                  <w:t>(381.3)</w:t>
                </w:r>
              </w:p>
            </w:tc>
          </w:tr>
          <w:tr w:rsidR="001A10E7" w:rsidTr="00C043A7">
            <w:trPr>
              <w:trHeight w:val="113"/>
            </w:trPr>
            <w:tc>
              <w:tcPr>
                <w:tcW w:w="2126" w:type="dxa"/>
              </w:tcPr>
              <w:p w:rsidR="001A10E7" w:rsidRDefault="001A10E7" w:rsidP="00C043A7">
                <w:pPr>
                  <w:pStyle w:val="Tabletext"/>
                </w:pPr>
                <w:r>
                  <w:t xml:space="preserve">Revenue less fully distributed cost and all other </w:t>
                </w:r>
                <w:proofErr w:type="spellStart"/>
                <w:r>
                  <w:t>unattributable</w:t>
                </w:r>
                <w:proofErr w:type="spellEnd"/>
                <w:r>
                  <w:t xml:space="preserve"> costs</w:t>
                </w:r>
              </w:p>
            </w:tc>
            <w:tc>
              <w:tcPr>
                <w:tcW w:w="1531" w:type="dxa"/>
              </w:tcPr>
              <w:p w:rsidR="001A10E7" w:rsidRDefault="001A10E7" w:rsidP="00C043A7">
                <w:pPr>
                  <w:pStyle w:val="Tabletext-right"/>
                </w:pPr>
                <w:r>
                  <w:rPr>
                    <w:color w:val="C3002F"/>
                  </w:rPr>
                  <w:t>(563.5)</w:t>
                </w:r>
              </w:p>
            </w:tc>
            <w:tc>
              <w:tcPr>
                <w:tcW w:w="1757" w:type="dxa"/>
              </w:tcPr>
              <w:p w:rsidR="001A10E7" w:rsidRDefault="001A10E7" w:rsidP="00C043A7">
                <w:pPr>
                  <w:pStyle w:val="Tabletext-right"/>
                </w:pPr>
                <w:r>
                  <w:rPr>
                    <w:rStyle w:val="negativefigures"/>
                  </w:rPr>
                  <w:t>(481.1)</w:t>
                </w:r>
              </w:p>
            </w:tc>
            <w:tc>
              <w:tcPr>
                <w:tcW w:w="1758" w:type="dxa"/>
              </w:tcPr>
              <w:p w:rsidR="001A10E7" w:rsidRDefault="001A10E7" w:rsidP="00C043A7">
                <w:pPr>
                  <w:pStyle w:val="Tabletext-right"/>
                </w:pPr>
                <w:r>
                  <w:rPr>
                    <w:rStyle w:val="negativefigures"/>
                  </w:rPr>
                  <w:t>(31.2)</w:t>
                </w:r>
              </w:p>
            </w:tc>
            <w:tc>
              <w:tcPr>
                <w:tcW w:w="1530" w:type="dxa"/>
              </w:tcPr>
              <w:p w:rsidR="001A10E7" w:rsidRDefault="001A10E7" w:rsidP="00C043A7">
                <w:pPr>
                  <w:pStyle w:val="Tabletext-right"/>
                </w:pPr>
                <w:r>
                  <w:rPr>
                    <w:rStyle w:val="01tablered"/>
                  </w:rPr>
                  <w:t>(160.3)</w:t>
                </w:r>
              </w:p>
            </w:tc>
            <w:tc>
              <w:tcPr>
                <w:tcW w:w="1503" w:type="dxa"/>
              </w:tcPr>
              <w:p w:rsidR="001A10E7" w:rsidRDefault="001A10E7" w:rsidP="00C043A7">
                <w:pPr>
                  <w:pStyle w:val="Tabletext-right"/>
                </w:pPr>
                <w:r>
                  <w:rPr>
                    <w:rStyle w:val="negativefigures"/>
                  </w:rPr>
                  <w:t>(812.9)</w:t>
                </w:r>
              </w:p>
            </w:tc>
          </w:tr>
        </w:tbl>
        <w:p w:rsidR="001A10E7" w:rsidRDefault="001A10E7" w:rsidP="00C043A7">
          <w:pPr>
            <w:pStyle w:val="Numbered11"/>
          </w:pPr>
          <w:bookmarkStart w:id="25" w:name="_Toc447275833"/>
          <w:r>
            <w:t>Total letter services and total mail services</w:t>
          </w:r>
          <w:bookmarkEnd w:id="25"/>
        </w:p>
        <w:p w:rsidR="001A10E7" w:rsidRDefault="001A10E7" w:rsidP="001A10E7">
          <w:r>
            <w:t xml:space="preserve">Although Australia Post does not have a legislated monopoly for non-reserved letter services, it nonetheless has a strong market position in these areas due to its wide-ranging collection and distribution networks. Accordingly, to identify possible sources of subsidy, the ACCC has applied the stand-alone cost test to both total letter services and total non-letter services. </w:t>
          </w:r>
        </w:p>
        <w:p w:rsidR="001A10E7" w:rsidRDefault="001A10E7" w:rsidP="001A10E7">
          <w:r>
            <w:t xml:space="preserve">Table </w:t>
          </w:r>
          <w:proofErr w:type="gramStart"/>
          <w:r>
            <w:t>4</w:t>
          </w:r>
          <w:proofErr w:type="gramEnd"/>
          <w:r>
            <w:t xml:space="preserve"> shows that revenue from total reserved and non-reserved letter services was less than the direct and attributable costs of providing these services, so they were a potential recipient of a subsidy. Australia Post’s total non-letter services as a whole were a potential source of subsidy, prior to a capital adjustment.</w:t>
          </w:r>
        </w:p>
        <w:p w:rsidR="001A10E7" w:rsidRDefault="001A10E7" w:rsidP="00C043A7">
          <w:pPr>
            <w:pStyle w:val="Tabletitle"/>
            <w:rPr>
              <w:rFonts w:ascii="Gotham-Light" w:hAnsi="Gotham-Light" w:cs="Gotham-Light"/>
              <w:color w:val="000000"/>
              <w:spacing w:val="-5"/>
              <w:sz w:val="20"/>
            </w:rPr>
          </w:pPr>
          <w:r>
            <w:t>Letter and non-letter revenues and costs ($million) on a non-capital-adjusted basis</w:t>
          </w:r>
        </w:p>
        <w:tbl>
          <w:tblPr>
            <w:tblStyle w:val="LightShading"/>
            <w:tblW w:w="10205" w:type="dxa"/>
            <w:tblLayout w:type="fixed"/>
            <w:tblLook w:val="0000" w:firstRow="0" w:lastRow="0" w:firstColumn="0" w:lastColumn="0" w:noHBand="0" w:noVBand="0"/>
          </w:tblPr>
          <w:tblGrid>
            <w:gridCol w:w="4786"/>
            <w:gridCol w:w="2754"/>
            <w:gridCol w:w="2665"/>
          </w:tblGrid>
          <w:tr w:rsidR="001A10E7" w:rsidTr="00C043A7">
            <w:trPr>
              <w:trHeight w:val="113"/>
            </w:trPr>
            <w:tc>
              <w:tcPr>
                <w:tcW w:w="4786" w:type="dxa"/>
              </w:tcPr>
              <w:p w:rsidR="001A10E7" w:rsidRDefault="001A10E7" w:rsidP="00C043A7">
                <w:pPr>
                  <w:pStyle w:val="Tabletext"/>
                </w:pPr>
              </w:p>
            </w:tc>
            <w:tc>
              <w:tcPr>
                <w:tcW w:w="2754" w:type="dxa"/>
              </w:tcPr>
              <w:p w:rsidR="001A10E7" w:rsidRDefault="001A10E7" w:rsidP="00C043A7">
                <w:pPr>
                  <w:pStyle w:val="Tabletext-right"/>
                </w:pPr>
                <w:r>
                  <w:t>Total letter services</w:t>
                </w:r>
              </w:p>
            </w:tc>
            <w:tc>
              <w:tcPr>
                <w:tcW w:w="2665" w:type="dxa"/>
              </w:tcPr>
              <w:p w:rsidR="001A10E7" w:rsidRDefault="001A10E7" w:rsidP="00C043A7">
                <w:pPr>
                  <w:pStyle w:val="Tabletext-right"/>
                </w:pPr>
                <w:r>
                  <w:t>Total non-letter services</w:t>
                </w:r>
              </w:p>
            </w:tc>
          </w:tr>
          <w:tr w:rsidR="001A10E7" w:rsidTr="00C043A7">
            <w:trPr>
              <w:trHeight w:val="298"/>
            </w:trPr>
            <w:tc>
              <w:tcPr>
                <w:tcW w:w="4786" w:type="dxa"/>
              </w:tcPr>
              <w:p w:rsidR="001A10E7" w:rsidRDefault="001A10E7" w:rsidP="00C043A7">
                <w:pPr>
                  <w:pStyle w:val="Tabletext"/>
                </w:pPr>
                <w:r>
                  <w:t>Revenue</w:t>
                </w:r>
              </w:p>
            </w:tc>
            <w:tc>
              <w:tcPr>
                <w:tcW w:w="2754" w:type="dxa"/>
              </w:tcPr>
              <w:p w:rsidR="001A10E7" w:rsidRDefault="001A10E7" w:rsidP="00C043A7">
                <w:pPr>
                  <w:pStyle w:val="Tabletext-right"/>
                </w:pPr>
                <w:r>
                  <w:t>2074.9</w:t>
                </w:r>
              </w:p>
            </w:tc>
            <w:tc>
              <w:tcPr>
                <w:tcW w:w="2665" w:type="dxa"/>
              </w:tcPr>
              <w:p w:rsidR="001A10E7" w:rsidRDefault="001A10E7" w:rsidP="00C043A7">
                <w:pPr>
                  <w:pStyle w:val="Tabletext-right"/>
                </w:pPr>
                <w:r>
                  <w:t>4205.6</w:t>
                </w:r>
              </w:p>
            </w:tc>
          </w:tr>
          <w:tr w:rsidR="001A10E7" w:rsidTr="00C043A7">
            <w:trPr>
              <w:trHeight w:val="113"/>
            </w:trPr>
            <w:tc>
              <w:tcPr>
                <w:tcW w:w="4786" w:type="dxa"/>
              </w:tcPr>
              <w:p w:rsidR="001A10E7" w:rsidRDefault="001A10E7" w:rsidP="00C043A7">
                <w:pPr>
                  <w:pStyle w:val="Tabletext"/>
                </w:pPr>
                <w:r>
                  <w:t>Direct cost</w:t>
                </w:r>
              </w:p>
            </w:tc>
            <w:tc>
              <w:tcPr>
                <w:tcW w:w="2754" w:type="dxa"/>
              </w:tcPr>
              <w:p w:rsidR="001A10E7" w:rsidRDefault="001A10E7" w:rsidP="00C043A7">
                <w:pPr>
                  <w:pStyle w:val="Tabletext-right"/>
                </w:pPr>
                <w:r>
                  <w:t>5.5</w:t>
                </w:r>
              </w:p>
            </w:tc>
            <w:tc>
              <w:tcPr>
                <w:tcW w:w="2665" w:type="dxa"/>
              </w:tcPr>
              <w:p w:rsidR="001A10E7" w:rsidRDefault="001A10E7" w:rsidP="00C043A7">
                <w:pPr>
                  <w:pStyle w:val="Tabletext-right"/>
                </w:pPr>
                <w:r>
                  <w:t>1976.5</w:t>
                </w:r>
              </w:p>
            </w:tc>
          </w:tr>
          <w:tr w:rsidR="001A10E7" w:rsidTr="00C043A7">
            <w:trPr>
              <w:trHeight w:val="113"/>
            </w:trPr>
            <w:tc>
              <w:tcPr>
                <w:tcW w:w="4786" w:type="dxa"/>
              </w:tcPr>
              <w:p w:rsidR="001A10E7" w:rsidRDefault="001A10E7" w:rsidP="00C043A7">
                <w:pPr>
                  <w:pStyle w:val="Tabletext"/>
                </w:pPr>
                <w:r>
                  <w:t>Attributable cost</w:t>
                </w:r>
              </w:p>
            </w:tc>
            <w:tc>
              <w:tcPr>
                <w:tcW w:w="2754" w:type="dxa"/>
              </w:tcPr>
              <w:p w:rsidR="001A10E7" w:rsidRDefault="001A10E7" w:rsidP="00C043A7">
                <w:pPr>
                  <w:pStyle w:val="Tabletext-right"/>
                </w:pPr>
                <w:r>
                  <w:t>2272.7</w:t>
                </w:r>
              </w:p>
            </w:tc>
            <w:tc>
              <w:tcPr>
                <w:tcW w:w="2665" w:type="dxa"/>
              </w:tcPr>
              <w:p w:rsidR="001A10E7" w:rsidRDefault="001A10E7" w:rsidP="00C043A7">
                <w:pPr>
                  <w:pStyle w:val="Tabletext-right"/>
                </w:pPr>
                <w:r>
                  <w:t>1971.7</w:t>
                </w:r>
              </w:p>
            </w:tc>
          </w:tr>
          <w:tr w:rsidR="001A10E7" w:rsidTr="00C043A7">
            <w:trPr>
              <w:trHeight w:val="113"/>
            </w:trPr>
            <w:tc>
              <w:tcPr>
                <w:tcW w:w="4786" w:type="dxa"/>
              </w:tcPr>
              <w:p w:rsidR="001A10E7" w:rsidRDefault="001A10E7" w:rsidP="00C043A7">
                <w:pPr>
                  <w:pStyle w:val="Tabletext"/>
                </w:pPr>
                <w:proofErr w:type="spellStart"/>
                <w:r>
                  <w:t>Unattributable</w:t>
                </w:r>
                <w:proofErr w:type="spellEnd"/>
                <w:r>
                  <w:t xml:space="preserve"> cost</w:t>
                </w:r>
              </w:p>
            </w:tc>
            <w:tc>
              <w:tcPr>
                <w:tcW w:w="2754" w:type="dxa"/>
              </w:tcPr>
              <w:p w:rsidR="001A10E7" w:rsidRDefault="001A10E7" w:rsidP="00C043A7">
                <w:pPr>
                  <w:pStyle w:val="Tabletext-right"/>
                </w:pPr>
                <w:r>
                  <w:t>172.1</w:t>
                </w:r>
              </w:p>
            </w:tc>
            <w:tc>
              <w:tcPr>
                <w:tcW w:w="2665" w:type="dxa"/>
              </w:tcPr>
              <w:p w:rsidR="001A10E7" w:rsidRDefault="001A10E7" w:rsidP="00C043A7">
                <w:pPr>
                  <w:pStyle w:val="Tabletext-right"/>
                </w:pPr>
                <w:r>
                  <w:t>248.5</w:t>
                </w:r>
              </w:p>
            </w:tc>
          </w:tr>
          <w:tr w:rsidR="001A10E7" w:rsidTr="00C043A7">
            <w:trPr>
              <w:trHeight w:val="113"/>
            </w:trPr>
            <w:tc>
              <w:tcPr>
                <w:tcW w:w="4786" w:type="dxa"/>
              </w:tcPr>
              <w:p w:rsidR="001A10E7" w:rsidRDefault="001A10E7" w:rsidP="00C043A7">
                <w:pPr>
                  <w:pStyle w:val="Tabletext"/>
                </w:pPr>
                <w:r>
                  <w:t>Fully distributed cost</w:t>
                </w:r>
              </w:p>
            </w:tc>
            <w:tc>
              <w:tcPr>
                <w:tcW w:w="2754" w:type="dxa"/>
              </w:tcPr>
              <w:p w:rsidR="001A10E7" w:rsidRDefault="001A10E7" w:rsidP="00C043A7">
                <w:pPr>
                  <w:pStyle w:val="Tabletext-right"/>
                </w:pPr>
                <w:r>
                  <w:t>2450.2</w:t>
                </w:r>
              </w:p>
            </w:tc>
            <w:tc>
              <w:tcPr>
                <w:tcW w:w="2665" w:type="dxa"/>
              </w:tcPr>
              <w:p w:rsidR="001A10E7" w:rsidRDefault="001A10E7" w:rsidP="00C043A7">
                <w:pPr>
                  <w:pStyle w:val="Tabletext-right"/>
                </w:pPr>
                <w:r>
                  <w:t>4196.7</w:t>
                </w:r>
              </w:p>
            </w:tc>
          </w:tr>
          <w:tr w:rsidR="001A10E7" w:rsidTr="00C043A7">
            <w:trPr>
              <w:trHeight w:val="113"/>
            </w:trPr>
            <w:tc>
              <w:tcPr>
                <w:tcW w:w="4786" w:type="dxa"/>
              </w:tcPr>
              <w:p w:rsidR="001A10E7" w:rsidRDefault="001A10E7" w:rsidP="00C043A7">
                <w:pPr>
                  <w:pStyle w:val="Tabletext"/>
                </w:pPr>
                <w:r>
                  <w:t>Revenue less direct cost</w:t>
                </w:r>
              </w:p>
            </w:tc>
            <w:tc>
              <w:tcPr>
                <w:tcW w:w="2754" w:type="dxa"/>
              </w:tcPr>
              <w:p w:rsidR="001A10E7" w:rsidRDefault="001A10E7" w:rsidP="00C043A7">
                <w:pPr>
                  <w:pStyle w:val="Tabletext-right"/>
                </w:pPr>
                <w:r>
                  <w:t>2069.4</w:t>
                </w:r>
              </w:p>
            </w:tc>
            <w:tc>
              <w:tcPr>
                <w:tcW w:w="2665" w:type="dxa"/>
              </w:tcPr>
              <w:p w:rsidR="001A10E7" w:rsidRDefault="001A10E7" w:rsidP="00C043A7">
                <w:pPr>
                  <w:pStyle w:val="Tabletext-right"/>
                </w:pPr>
                <w:r>
                  <w:t>2229.1</w:t>
                </w:r>
              </w:p>
            </w:tc>
          </w:tr>
          <w:tr w:rsidR="001A10E7" w:rsidTr="00C043A7">
            <w:trPr>
              <w:trHeight w:val="113"/>
            </w:trPr>
            <w:tc>
              <w:tcPr>
                <w:tcW w:w="4786" w:type="dxa"/>
              </w:tcPr>
              <w:p w:rsidR="001A10E7" w:rsidRDefault="001A10E7" w:rsidP="00C043A7">
                <w:pPr>
                  <w:pStyle w:val="Tabletext"/>
                </w:pPr>
                <w:r>
                  <w:t>Revenue less direct and attributable costs</w:t>
                </w:r>
              </w:p>
            </w:tc>
            <w:tc>
              <w:tcPr>
                <w:tcW w:w="2754" w:type="dxa"/>
              </w:tcPr>
              <w:p w:rsidR="001A10E7" w:rsidRDefault="001A10E7" w:rsidP="00C043A7">
                <w:pPr>
                  <w:pStyle w:val="Tabletext-right"/>
                </w:pPr>
                <w:r>
                  <w:rPr>
                    <w:color w:val="C3002F"/>
                  </w:rPr>
                  <w:t>(203.3)</w:t>
                </w:r>
              </w:p>
            </w:tc>
            <w:tc>
              <w:tcPr>
                <w:tcW w:w="2665" w:type="dxa"/>
              </w:tcPr>
              <w:p w:rsidR="001A10E7" w:rsidRDefault="001A10E7" w:rsidP="00C043A7">
                <w:pPr>
                  <w:pStyle w:val="Tabletext-right"/>
                </w:pPr>
                <w:r>
                  <w:t>257.5</w:t>
                </w:r>
              </w:p>
            </w:tc>
          </w:tr>
          <w:tr w:rsidR="001A10E7" w:rsidTr="00C043A7">
            <w:trPr>
              <w:trHeight w:val="113"/>
            </w:trPr>
            <w:tc>
              <w:tcPr>
                <w:tcW w:w="4786" w:type="dxa"/>
              </w:tcPr>
              <w:p w:rsidR="001A10E7" w:rsidRDefault="001A10E7" w:rsidP="00C043A7">
                <w:pPr>
                  <w:pStyle w:val="Tabletext"/>
                </w:pPr>
                <w:r>
                  <w:t>Revenue less fully distributed cost</w:t>
                </w:r>
              </w:p>
            </w:tc>
            <w:tc>
              <w:tcPr>
                <w:tcW w:w="2754" w:type="dxa"/>
              </w:tcPr>
              <w:p w:rsidR="001A10E7" w:rsidRDefault="001A10E7" w:rsidP="00C043A7">
                <w:pPr>
                  <w:pStyle w:val="Tabletext-right"/>
                </w:pPr>
                <w:r>
                  <w:rPr>
                    <w:color w:val="C3002F"/>
                  </w:rPr>
                  <w:t>(375.4)</w:t>
                </w:r>
              </w:p>
            </w:tc>
            <w:tc>
              <w:tcPr>
                <w:tcW w:w="2665" w:type="dxa"/>
              </w:tcPr>
              <w:p w:rsidR="001A10E7" w:rsidRDefault="001A10E7" w:rsidP="00C043A7">
                <w:pPr>
                  <w:pStyle w:val="Tabletext-right"/>
                </w:pPr>
                <w:r>
                  <w:t>8.9</w:t>
                </w:r>
              </w:p>
            </w:tc>
          </w:tr>
          <w:tr w:rsidR="001A10E7" w:rsidTr="00C043A7">
            <w:trPr>
              <w:trHeight w:val="113"/>
            </w:trPr>
            <w:tc>
              <w:tcPr>
                <w:tcW w:w="4786" w:type="dxa"/>
              </w:tcPr>
              <w:p w:rsidR="001A10E7" w:rsidRDefault="001A10E7" w:rsidP="00C043A7">
                <w:pPr>
                  <w:pStyle w:val="Tabletext"/>
                </w:pPr>
                <w:r>
                  <w:t xml:space="preserve">Revenue less fully distributed cost and all other </w:t>
                </w:r>
                <w:proofErr w:type="spellStart"/>
                <w:r>
                  <w:t>unattributable</w:t>
                </w:r>
                <w:proofErr w:type="spellEnd"/>
                <w:r>
                  <w:t xml:space="preserve"> costs</w:t>
                </w:r>
              </w:p>
            </w:tc>
            <w:tc>
              <w:tcPr>
                <w:tcW w:w="2754" w:type="dxa"/>
              </w:tcPr>
              <w:p w:rsidR="001A10E7" w:rsidRDefault="001A10E7" w:rsidP="00C043A7">
                <w:pPr>
                  <w:pStyle w:val="Tabletext-right"/>
                </w:pPr>
                <w:r>
                  <w:rPr>
                    <w:color w:val="C3002F"/>
                  </w:rPr>
                  <w:t>(623.9)</w:t>
                </w:r>
              </w:p>
            </w:tc>
            <w:tc>
              <w:tcPr>
                <w:tcW w:w="2665" w:type="dxa"/>
              </w:tcPr>
              <w:p w:rsidR="001A10E7" w:rsidRDefault="001A10E7" w:rsidP="00C043A7">
                <w:pPr>
                  <w:pStyle w:val="Tabletext-right"/>
                </w:pPr>
                <w:r>
                  <w:rPr>
                    <w:color w:val="C3002F"/>
                  </w:rPr>
                  <w:t>(163.1)</w:t>
                </w:r>
              </w:p>
            </w:tc>
          </w:tr>
        </w:tbl>
        <w:p w:rsidR="001A10E7" w:rsidRDefault="001A10E7" w:rsidP="001A10E7">
          <w:pPr>
            <w:pStyle w:val="03tablepara"/>
            <w:rPr>
              <w:sz w:val="22"/>
              <w:szCs w:val="22"/>
              <w:lang w:val="en-US"/>
            </w:rPr>
          </w:pPr>
        </w:p>
        <w:p w:rsidR="001A10E7" w:rsidRDefault="001A10E7" w:rsidP="001A10E7">
          <w:r>
            <w:lastRenderedPageBreak/>
            <w:t xml:space="preserve">Table </w:t>
          </w:r>
          <w:proofErr w:type="gramStart"/>
          <w:r>
            <w:t>5</w:t>
          </w:r>
          <w:proofErr w:type="gramEnd"/>
          <w:r>
            <w:t xml:space="preserve"> shows that, prior to a capital adjustment, revenue from aggregate letter and parcel services was greater than the direct and attributable costs but less than the fully distributed costs of providing these services. </w:t>
          </w:r>
        </w:p>
        <w:p w:rsidR="001A10E7" w:rsidRDefault="001A10E7" w:rsidP="00C043A7">
          <w:pPr>
            <w:pStyle w:val="Tabletitle"/>
          </w:pPr>
          <w:r>
            <w:t>Letter and parcel and non-letter and non-parcel revenues and costs ($million) on a non-capital-adjusted basis</w:t>
          </w:r>
        </w:p>
        <w:tbl>
          <w:tblPr>
            <w:tblStyle w:val="LightShading"/>
            <w:tblW w:w="0" w:type="auto"/>
            <w:tblLayout w:type="fixed"/>
            <w:tblLook w:val="0000" w:firstRow="0" w:lastRow="0" w:firstColumn="0" w:lastColumn="0" w:noHBand="0" w:noVBand="0"/>
          </w:tblPr>
          <w:tblGrid>
            <w:gridCol w:w="5613"/>
            <w:gridCol w:w="1927"/>
            <w:gridCol w:w="2665"/>
          </w:tblGrid>
          <w:tr w:rsidR="001A10E7" w:rsidTr="00C043A7">
            <w:trPr>
              <w:trHeight w:val="113"/>
            </w:trPr>
            <w:tc>
              <w:tcPr>
                <w:tcW w:w="5613" w:type="dxa"/>
              </w:tcPr>
              <w:p w:rsidR="001A10E7" w:rsidRDefault="001A10E7" w:rsidP="00C043A7">
                <w:pPr>
                  <w:pStyle w:val="Tabletext"/>
                </w:pPr>
              </w:p>
            </w:tc>
            <w:tc>
              <w:tcPr>
                <w:tcW w:w="1927" w:type="dxa"/>
              </w:tcPr>
              <w:p w:rsidR="001A10E7" w:rsidRDefault="001A10E7" w:rsidP="00C043A7">
                <w:pPr>
                  <w:pStyle w:val="Tabletext-right"/>
                </w:pPr>
                <w:r>
                  <w:t>Total letter and total parcel services</w:t>
                </w:r>
                <w:r w:rsidRPr="001A10E7">
                  <w:rPr>
                    <w:vertAlign w:val="superscript"/>
                  </w:rPr>
                  <w:t>31</w:t>
                </w:r>
              </w:p>
            </w:tc>
            <w:tc>
              <w:tcPr>
                <w:tcW w:w="2665" w:type="dxa"/>
              </w:tcPr>
              <w:p w:rsidR="001A10E7" w:rsidRDefault="001A10E7" w:rsidP="00C043A7">
                <w:pPr>
                  <w:pStyle w:val="Tabletext-right"/>
                </w:pPr>
                <w:r>
                  <w:t>Total non-letter and non-parcel services</w:t>
                </w:r>
              </w:p>
            </w:tc>
          </w:tr>
          <w:tr w:rsidR="001A10E7" w:rsidTr="00C043A7">
            <w:trPr>
              <w:trHeight w:val="298"/>
            </w:trPr>
            <w:tc>
              <w:tcPr>
                <w:tcW w:w="5613" w:type="dxa"/>
              </w:tcPr>
              <w:p w:rsidR="001A10E7" w:rsidRDefault="001A10E7" w:rsidP="00C043A7">
                <w:pPr>
                  <w:pStyle w:val="Tabletext"/>
                </w:pPr>
                <w:r>
                  <w:t>Revenue</w:t>
                </w:r>
              </w:p>
            </w:tc>
            <w:tc>
              <w:tcPr>
                <w:tcW w:w="1927" w:type="dxa"/>
              </w:tcPr>
              <w:p w:rsidR="001A10E7" w:rsidRDefault="001A10E7" w:rsidP="00C043A7">
                <w:pPr>
                  <w:pStyle w:val="Tabletext-right"/>
                </w:pPr>
                <w:r>
                  <w:t>5281.9</w:t>
                </w:r>
              </w:p>
            </w:tc>
            <w:tc>
              <w:tcPr>
                <w:tcW w:w="2665" w:type="dxa"/>
              </w:tcPr>
              <w:p w:rsidR="001A10E7" w:rsidRDefault="001A10E7" w:rsidP="00C043A7">
                <w:pPr>
                  <w:pStyle w:val="Tabletext-right"/>
                </w:pPr>
                <w:r>
                  <w:t>998.6</w:t>
                </w:r>
              </w:p>
            </w:tc>
          </w:tr>
          <w:tr w:rsidR="001A10E7" w:rsidTr="00C043A7">
            <w:trPr>
              <w:trHeight w:val="113"/>
            </w:trPr>
            <w:tc>
              <w:tcPr>
                <w:tcW w:w="5613" w:type="dxa"/>
              </w:tcPr>
              <w:p w:rsidR="001A10E7" w:rsidRDefault="001A10E7" w:rsidP="00C043A7">
                <w:pPr>
                  <w:pStyle w:val="Tabletext"/>
                </w:pPr>
                <w:r>
                  <w:rPr>
                    <w:lang w:val="en-US"/>
                  </w:rPr>
                  <w:t>Direct cost</w:t>
                </w:r>
              </w:p>
            </w:tc>
            <w:tc>
              <w:tcPr>
                <w:tcW w:w="1927" w:type="dxa"/>
              </w:tcPr>
              <w:p w:rsidR="001A10E7" w:rsidRDefault="001A10E7" w:rsidP="00C043A7">
                <w:pPr>
                  <w:pStyle w:val="Tabletext-right"/>
                </w:pPr>
                <w:r>
                  <w:t>1214.9</w:t>
                </w:r>
              </w:p>
            </w:tc>
            <w:tc>
              <w:tcPr>
                <w:tcW w:w="2665" w:type="dxa"/>
              </w:tcPr>
              <w:p w:rsidR="001A10E7" w:rsidRDefault="001A10E7" w:rsidP="00C043A7">
                <w:pPr>
                  <w:pStyle w:val="Tabletext-right"/>
                </w:pPr>
                <w:r>
                  <w:t>767.1</w:t>
                </w:r>
              </w:p>
            </w:tc>
          </w:tr>
          <w:tr w:rsidR="001A10E7" w:rsidTr="00C043A7">
            <w:trPr>
              <w:trHeight w:val="113"/>
            </w:trPr>
            <w:tc>
              <w:tcPr>
                <w:tcW w:w="5613" w:type="dxa"/>
              </w:tcPr>
              <w:p w:rsidR="001A10E7" w:rsidRDefault="001A10E7" w:rsidP="00C043A7">
                <w:pPr>
                  <w:pStyle w:val="Tabletext"/>
                </w:pPr>
                <w:r>
                  <w:t>Attributable cost</w:t>
                </w:r>
              </w:p>
            </w:tc>
            <w:tc>
              <w:tcPr>
                <w:tcW w:w="1927" w:type="dxa"/>
              </w:tcPr>
              <w:p w:rsidR="001A10E7" w:rsidRDefault="001A10E7" w:rsidP="00C043A7">
                <w:pPr>
                  <w:pStyle w:val="Tabletext-right"/>
                </w:pPr>
                <w:r>
                  <w:t>3880.8</w:t>
                </w:r>
              </w:p>
            </w:tc>
            <w:tc>
              <w:tcPr>
                <w:tcW w:w="2665" w:type="dxa"/>
              </w:tcPr>
              <w:p w:rsidR="001A10E7" w:rsidRDefault="001A10E7" w:rsidP="00C043A7">
                <w:pPr>
                  <w:pStyle w:val="Tabletext-right"/>
                </w:pPr>
                <w:r>
                  <w:t>363.5</w:t>
                </w:r>
              </w:p>
            </w:tc>
          </w:tr>
          <w:tr w:rsidR="001A10E7" w:rsidTr="00C043A7">
            <w:trPr>
              <w:trHeight w:val="113"/>
            </w:trPr>
            <w:tc>
              <w:tcPr>
                <w:tcW w:w="5613" w:type="dxa"/>
              </w:tcPr>
              <w:p w:rsidR="001A10E7" w:rsidRDefault="001A10E7" w:rsidP="00C043A7">
                <w:pPr>
                  <w:pStyle w:val="Tabletext"/>
                </w:pPr>
                <w:proofErr w:type="spellStart"/>
                <w:r>
                  <w:t>Unattributable</w:t>
                </w:r>
                <w:proofErr w:type="spellEnd"/>
                <w:r>
                  <w:t xml:space="preserve"> cost</w:t>
                </w:r>
              </w:p>
            </w:tc>
            <w:tc>
              <w:tcPr>
                <w:tcW w:w="1927" w:type="dxa"/>
              </w:tcPr>
              <w:p w:rsidR="001A10E7" w:rsidRDefault="001A10E7" w:rsidP="00C043A7">
                <w:pPr>
                  <w:pStyle w:val="Tabletext-right"/>
                </w:pPr>
                <w:r>
                  <w:t>316.4</w:t>
                </w:r>
              </w:p>
            </w:tc>
            <w:tc>
              <w:tcPr>
                <w:tcW w:w="2665" w:type="dxa"/>
              </w:tcPr>
              <w:p w:rsidR="001A10E7" w:rsidRDefault="001A10E7" w:rsidP="00C043A7">
                <w:pPr>
                  <w:pStyle w:val="Tabletext-right"/>
                </w:pPr>
                <w:r>
                  <w:t>104.2</w:t>
                </w:r>
              </w:p>
            </w:tc>
          </w:tr>
          <w:tr w:rsidR="001A10E7" w:rsidTr="00C043A7">
            <w:trPr>
              <w:trHeight w:val="113"/>
            </w:trPr>
            <w:tc>
              <w:tcPr>
                <w:tcW w:w="5613" w:type="dxa"/>
              </w:tcPr>
              <w:p w:rsidR="001A10E7" w:rsidRDefault="001A10E7" w:rsidP="00C043A7">
                <w:pPr>
                  <w:pStyle w:val="Tabletext"/>
                </w:pPr>
                <w:r>
                  <w:t>Fully distributed cost</w:t>
                </w:r>
              </w:p>
            </w:tc>
            <w:tc>
              <w:tcPr>
                <w:tcW w:w="1927" w:type="dxa"/>
              </w:tcPr>
              <w:p w:rsidR="001A10E7" w:rsidRDefault="001A10E7" w:rsidP="00C043A7">
                <w:pPr>
                  <w:pStyle w:val="Tabletext-right"/>
                </w:pPr>
                <w:r>
                  <w:t>5412.1</w:t>
                </w:r>
              </w:p>
            </w:tc>
            <w:tc>
              <w:tcPr>
                <w:tcW w:w="2665" w:type="dxa"/>
              </w:tcPr>
              <w:p w:rsidR="001A10E7" w:rsidRDefault="001A10E7" w:rsidP="00C043A7">
                <w:pPr>
                  <w:pStyle w:val="Tabletext-right"/>
                </w:pPr>
                <w:r>
                  <w:t>1234.8</w:t>
                </w:r>
              </w:p>
            </w:tc>
          </w:tr>
          <w:tr w:rsidR="001A10E7" w:rsidTr="00C043A7">
            <w:trPr>
              <w:trHeight w:val="113"/>
            </w:trPr>
            <w:tc>
              <w:tcPr>
                <w:tcW w:w="5613" w:type="dxa"/>
              </w:tcPr>
              <w:p w:rsidR="001A10E7" w:rsidRDefault="001A10E7" w:rsidP="00C043A7">
                <w:pPr>
                  <w:pStyle w:val="Tabletext"/>
                </w:pPr>
                <w:r>
                  <w:t>Revenue less direct cost</w:t>
                </w:r>
              </w:p>
            </w:tc>
            <w:tc>
              <w:tcPr>
                <w:tcW w:w="1927" w:type="dxa"/>
              </w:tcPr>
              <w:p w:rsidR="001A10E7" w:rsidRDefault="001A10E7" w:rsidP="00C043A7">
                <w:pPr>
                  <w:pStyle w:val="Tabletext-right"/>
                </w:pPr>
                <w:r>
                  <w:t>4067.0</w:t>
                </w:r>
              </w:p>
            </w:tc>
            <w:tc>
              <w:tcPr>
                <w:tcW w:w="2665" w:type="dxa"/>
              </w:tcPr>
              <w:p w:rsidR="001A10E7" w:rsidRDefault="001A10E7" w:rsidP="00C043A7">
                <w:pPr>
                  <w:pStyle w:val="Tabletext-right"/>
                </w:pPr>
                <w:r>
                  <w:t>231.6</w:t>
                </w:r>
              </w:p>
            </w:tc>
          </w:tr>
          <w:tr w:rsidR="001A10E7" w:rsidTr="00C043A7">
            <w:trPr>
              <w:trHeight w:val="113"/>
            </w:trPr>
            <w:tc>
              <w:tcPr>
                <w:tcW w:w="5613" w:type="dxa"/>
              </w:tcPr>
              <w:p w:rsidR="001A10E7" w:rsidRDefault="001A10E7" w:rsidP="00C043A7">
                <w:pPr>
                  <w:pStyle w:val="Tabletext"/>
                </w:pPr>
                <w:r>
                  <w:t>Revenue less direct and attributable costs</w:t>
                </w:r>
              </w:p>
            </w:tc>
            <w:tc>
              <w:tcPr>
                <w:tcW w:w="1927" w:type="dxa"/>
              </w:tcPr>
              <w:p w:rsidR="001A10E7" w:rsidRDefault="001A10E7" w:rsidP="00C043A7">
                <w:pPr>
                  <w:pStyle w:val="Tabletext-right"/>
                </w:pPr>
                <w:r>
                  <w:t>186.2</w:t>
                </w:r>
              </w:p>
            </w:tc>
            <w:tc>
              <w:tcPr>
                <w:tcW w:w="2665" w:type="dxa"/>
              </w:tcPr>
              <w:p w:rsidR="001A10E7" w:rsidRDefault="001A10E7" w:rsidP="00C043A7">
                <w:pPr>
                  <w:pStyle w:val="Tabletext-right"/>
                </w:pPr>
                <w:r>
                  <w:t>(132.0)</w:t>
                </w:r>
              </w:p>
            </w:tc>
          </w:tr>
          <w:tr w:rsidR="001A10E7" w:rsidTr="00C043A7">
            <w:trPr>
              <w:trHeight w:val="113"/>
            </w:trPr>
            <w:tc>
              <w:tcPr>
                <w:tcW w:w="5613" w:type="dxa"/>
              </w:tcPr>
              <w:p w:rsidR="001A10E7" w:rsidRDefault="001A10E7" w:rsidP="00C043A7">
                <w:pPr>
                  <w:pStyle w:val="Tabletext"/>
                </w:pPr>
                <w:r>
                  <w:t>Revenue less fully distributed cost</w:t>
                </w:r>
              </w:p>
            </w:tc>
            <w:tc>
              <w:tcPr>
                <w:tcW w:w="1927" w:type="dxa"/>
              </w:tcPr>
              <w:p w:rsidR="001A10E7" w:rsidRDefault="001A10E7" w:rsidP="00C043A7">
                <w:pPr>
                  <w:pStyle w:val="Tabletext-right"/>
                </w:pPr>
                <w:r>
                  <w:rPr>
                    <w:color w:val="C3002F"/>
                  </w:rPr>
                  <w:t>(130.3)</w:t>
                </w:r>
              </w:p>
            </w:tc>
            <w:tc>
              <w:tcPr>
                <w:tcW w:w="2665" w:type="dxa"/>
              </w:tcPr>
              <w:p w:rsidR="001A10E7" w:rsidRDefault="001A10E7" w:rsidP="00C043A7">
                <w:pPr>
                  <w:pStyle w:val="Tabletext-right"/>
                </w:pPr>
                <w:r>
                  <w:t>(236.1)</w:t>
                </w:r>
              </w:p>
            </w:tc>
          </w:tr>
          <w:tr w:rsidR="001A10E7" w:rsidTr="00C043A7">
            <w:trPr>
              <w:trHeight w:val="113"/>
            </w:trPr>
            <w:tc>
              <w:tcPr>
                <w:tcW w:w="5613" w:type="dxa"/>
              </w:tcPr>
              <w:p w:rsidR="001A10E7" w:rsidRDefault="001A10E7" w:rsidP="00C043A7">
                <w:pPr>
                  <w:pStyle w:val="Tabletext"/>
                </w:pPr>
                <w:r>
                  <w:t xml:space="preserve">Revenue less fully distributed cost and all other </w:t>
                </w:r>
                <w:proofErr w:type="spellStart"/>
                <w:r>
                  <w:t>unattributable</w:t>
                </w:r>
                <w:proofErr w:type="spellEnd"/>
                <w:r>
                  <w:t xml:space="preserve"> costs</w:t>
                </w:r>
              </w:p>
            </w:tc>
            <w:tc>
              <w:tcPr>
                <w:tcW w:w="1927" w:type="dxa"/>
              </w:tcPr>
              <w:p w:rsidR="001A10E7" w:rsidRDefault="001A10E7" w:rsidP="00C043A7">
                <w:pPr>
                  <w:pStyle w:val="Tabletext-right"/>
                </w:pPr>
                <w:r>
                  <w:rPr>
                    <w:color w:val="C3002F"/>
                  </w:rPr>
                  <w:t>(234.5)</w:t>
                </w:r>
              </w:p>
            </w:tc>
            <w:tc>
              <w:tcPr>
                <w:tcW w:w="2665" w:type="dxa"/>
              </w:tcPr>
              <w:p w:rsidR="001A10E7" w:rsidRDefault="001A10E7" w:rsidP="00C043A7">
                <w:pPr>
                  <w:pStyle w:val="Tabletext-right"/>
                </w:pPr>
                <w:r>
                  <w:t>(552.6)</w:t>
                </w:r>
              </w:p>
            </w:tc>
          </w:tr>
        </w:tbl>
        <w:p w:rsidR="001A10E7" w:rsidRDefault="001A10E7" w:rsidP="001A10E7">
          <w:r>
            <w:t>In contrast, revenue from aggregate non-letter and non-parcel services was less than the direct and attributable cost, so it was a possible recipient of a subsidy. This group is comprised of ‘retail services’ which was a potential source of subsidy and ‘other services’, the non-product category, which was a recipient of a subsidy.</w:t>
          </w:r>
        </w:p>
        <w:p w:rsidR="001A10E7" w:rsidRDefault="001A10E7" w:rsidP="00C043A7">
          <w:pPr>
            <w:pStyle w:val="Numbered11"/>
          </w:pPr>
          <w:bookmarkStart w:id="26" w:name="_Toc447275834"/>
          <w:r>
            <w:t>Cross-subsidy assessment over time</w:t>
          </w:r>
          <w:bookmarkEnd w:id="26"/>
        </w:p>
        <w:p w:rsidR="001A10E7" w:rsidRDefault="001A10E7" w:rsidP="001A10E7">
          <w:r>
            <w:t xml:space="preserve">The following section outlines the general trends over the ten years that the ACCC has been conducting its cross-subsidy analysis. </w:t>
          </w:r>
        </w:p>
        <w:p w:rsidR="001A10E7" w:rsidRDefault="001A10E7" w:rsidP="001A10E7">
          <w:r>
            <w:t xml:space="preserve">The level of cost recovery of reserved services has been declining together with letter volumes over time. A ten-year time-series of the results of the ACCC’s cross-subsidy tests on Australia Post’s regulatory account data </w:t>
          </w:r>
          <w:proofErr w:type="gramStart"/>
          <w:r>
            <w:t>is presented</w:t>
          </w:r>
          <w:proofErr w:type="gramEnd"/>
          <w:r>
            <w:t xml:space="preserve"> in table 6. Note that changes to Australia Post’s accounting policies, and in particular the classification of service groups, will </w:t>
          </w:r>
          <w:proofErr w:type="gramStart"/>
          <w:r>
            <w:t>impact on</w:t>
          </w:r>
          <w:proofErr w:type="gramEnd"/>
          <w:r>
            <w:t xml:space="preserve"> comparison of results over time.</w:t>
          </w:r>
          <w:r w:rsidRPr="001A10E7">
            <w:rPr>
              <w:vertAlign w:val="superscript"/>
            </w:rPr>
            <w:footnoteReference w:id="22"/>
          </w:r>
        </w:p>
        <w:p w:rsidR="001A10E7" w:rsidRDefault="001A10E7" w:rsidP="00C043A7">
          <w:pPr>
            <w:pStyle w:val="Tabletitle"/>
            <w:rPr>
              <w:rFonts w:ascii="Gotham-Light" w:hAnsi="Gotham-Light" w:cs="Gotham-Light"/>
              <w:color w:val="000000"/>
              <w:spacing w:val="-5"/>
              <w:sz w:val="20"/>
            </w:rPr>
          </w:pPr>
          <w:r>
            <w:t xml:space="preserve">Results of cross-subsidy tests from 2005–06 to 2014–15 on a capital adjusted basis </w:t>
          </w:r>
        </w:p>
        <w:tbl>
          <w:tblPr>
            <w:tblW w:w="0" w:type="auto"/>
            <w:tblInd w:w="8" w:type="dxa"/>
            <w:tblLayout w:type="fixed"/>
            <w:tblCellMar>
              <w:left w:w="0" w:type="dxa"/>
              <w:right w:w="0" w:type="dxa"/>
            </w:tblCellMar>
            <w:tblLook w:val="0000" w:firstRow="0" w:lastRow="0" w:firstColumn="0" w:lastColumn="0" w:noHBand="0" w:noVBand="0"/>
          </w:tblPr>
          <w:tblGrid>
            <w:gridCol w:w="2835"/>
            <w:gridCol w:w="737"/>
            <w:gridCol w:w="737"/>
            <w:gridCol w:w="737"/>
            <w:gridCol w:w="737"/>
            <w:gridCol w:w="737"/>
            <w:gridCol w:w="737"/>
            <w:gridCol w:w="737"/>
            <w:gridCol w:w="737"/>
            <w:gridCol w:w="759"/>
            <w:gridCol w:w="737"/>
          </w:tblGrid>
          <w:tr w:rsidR="001A10E7" w:rsidTr="001A10E7">
            <w:tblPrEx>
              <w:tblCellMar>
                <w:top w:w="0" w:type="dxa"/>
                <w:left w:w="0" w:type="dxa"/>
                <w:bottom w:w="0" w:type="dxa"/>
                <w:right w:w="0" w:type="dxa"/>
              </w:tblCellMar>
            </w:tblPrEx>
            <w:trPr>
              <w:trHeight w:val="113"/>
            </w:trPr>
            <w:tc>
              <w:tcPr>
                <w:tcW w:w="2835" w:type="dxa"/>
                <w:tcBorders>
                  <w:top w:val="single" w:sz="4" w:space="0" w:color="000000"/>
                  <w:left w:val="single" w:sz="6" w:space="0" w:color="auto"/>
                  <w:bottom w:val="single" w:sz="2" w:space="0" w:color="000000"/>
                  <w:right w:val="single" w:sz="6" w:space="0" w:color="auto"/>
                </w:tcBorders>
                <w:tcMar>
                  <w:top w:w="57" w:type="dxa"/>
                  <w:left w:w="0" w:type="dxa"/>
                  <w:bottom w:w="57" w:type="dxa"/>
                  <w:right w:w="0" w:type="dxa"/>
                </w:tcMar>
                <w:vAlign w:val="center"/>
              </w:tcPr>
              <w:p w:rsidR="001A10E7" w:rsidRDefault="001A10E7" w:rsidP="001A10E7">
                <w:pPr>
                  <w:pStyle w:val="03tabletextLH"/>
                </w:pPr>
                <w:r>
                  <w:t>Service group</w:t>
                </w:r>
              </w:p>
            </w:tc>
            <w:tc>
              <w:tcPr>
                <w:tcW w:w="737" w:type="dxa"/>
                <w:tcBorders>
                  <w:top w:val="single" w:sz="4" w:space="0" w:color="000000"/>
                  <w:left w:val="single" w:sz="6" w:space="0" w:color="auto"/>
                  <w:bottom w:val="single" w:sz="2" w:space="0" w:color="000000"/>
                  <w:right w:val="single" w:sz="6" w:space="0" w:color="auto"/>
                </w:tcBorders>
                <w:tcMar>
                  <w:top w:w="80" w:type="dxa"/>
                  <w:left w:w="0" w:type="dxa"/>
                  <w:bottom w:w="80" w:type="dxa"/>
                  <w:right w:w="0" w:type="dxa"/>
                </w:tcMar>
              </w:tcPr>
              <w:p w:rsidR="001A10E7" w:rsidRDefault="001A10E7" w:rsidP="001A10E7">
                <w:pPr>
                  <w:pStyle w:val="60-tableheadingC"/>
                </w:pPr>
                <w:r>
                  <w:t>2005–06</w:t>
                </w:r>
              </w:p>
            </w:tc>
            <w:tc>
              <w:tcPr>
                <w:tcW w:w="737" w:type="dxa"/>
                <w:tcBorders>
                  <w:top w:val="single" w:sz="4" w:space="0" w:color="000000"/>
                  <w:left w:val="single" w:sz="6" w:space="0" w:color="auto"/>
                  <w:bottom w:val="single" w:sz="2" w:space="0" w:color="000000"/>
                  <w:right w:val="single" w:sz="6" w:space="0" w:color="auto"/>
                </w:tcBorders>
                <w:tcMar>
                  <w:top w:w="80" w:type="dxa"/>
                  <w:left w:w="0" w:type="dxa"/>
                  <w:bottom w:w="80" w:type="dxa"/>
                  <w:right w:w="0" w:type="dxa"/>
                </w:tcMar>
              </w:tcPr>
              <w:p w:rsidR="001A10E7" w:rsidRDefault="001A10E7" w:rsidP="001A10E7">
                <w:pPr>
                  <w:pStyle w:val="60-tableheadingC"/>
                </w:pPr>
                <w:r>
                  <w:t>2006–07</w:t>
                </w:r>
              </w:p>
            </w:tc>
            <w:tc>
              <w:tcPr>
                <w:tcW w:w="737" w:type="dxa"/>
                <w:tcBorders>
                  <w:top w:val="single" w:sz="4" w:space="0" w:color="000000"/>
                  <w:left w:val="single" w:sz="6" w:space="0" w:color="auto"/>
                  <w:bottom w:val="single" w:sz="2" w:space="0" w:color="000000"/>
                  <w:right w:val="single" w:sz="6" w:space="0" w:color="auto"/>
                </w:tcBorders>
                <w:tcMar>
                  <w:top w:w="80" w:type="dxa"/>
                  <w:left w:w="0" w:type="dxa"/>
                  <w:bottom w:w="80" w:type="dxa"/>
                  <w:right w:w="0" w:type="dxa"/>
                </w:tcMar>
              </w:tcPr>
              <w:p w:rsidR="001A10E7" w:rsidRDefault="001A10E7" w:rsidP="001A10E7">
                <w:pPr>
                  <w:pStyle w:val="60-tableheadingC"/>
                </w:pPr>
                <w:r>
                  <w:t>2007–08</w:t>
                </w:r>
              </w:p>
            </w:tc>
            <w:tc>
              <w:tcPr>
                <w:tcW w:w="737" w:type="dxa"/>
                <w:tcBorders>
                  <w:top w:val="single" w:sz="4" w:space="0" w:color="000000"/>
                  <w:left w:val="single" w:sz="6" w:space="0" w:color="auto"/>
                  <w:bottom w:val="single" w:sz="2" w:space="0" w:color="000000"/>
                  <w:right w:val="single" w:sz="6" w:space="0" w:color="auto"/>
                </w:tcBorders>
                <w:tcMar>
                  <w:top w:w="80" w:type="dxa"/>
                  <w:left w:w="0" w:type="dxa"/>
                  <w:bottom w:w="80" w:type="dxa"/>
                  <w:right w:w="0" w:type="dxa"/>
                </w:tcMar>
              </w:tcPr>
              <w:p w:rsidR="001A10E7" w:rsidRDefault="001A10E7" w:rsidP="001A10E7">
                <w:pPr>
                  <w:pStyle w:val="60-tableheadingC"/>
                </w:pPr>
                <w:r>
                  <w:t>2008–09</w:t>
                </w:r>
              </w:p>
            </w:tc>
            <w:tc>
              <w:tcPr>
                <w:tcW w:w="737" w:type="dxa"/>
                <w:tcBorders>
                  <w:top w:val="single" w:sz="4" w:space="0" w:color="000000"/>
                  <w:left w:val="single" w:sz="6" w:space="0" w:color="auto"/>
                  <w:bottom w:val="single" w:sz="2" w:space="0" w:color="000000"/>
                  <w:right w:val="single" w:sz="6" w:space="0" w:color="auto"/>
                </w:tcBorders>
                <w:tcMar>
                  <w:top w:w="80" w:type="dxa"/>
                  <w:left w:w="0" w:type="dxa"/>
                  <w:bottom w:w="80" w:type="dxa"/>
                  <w:right w:w="0" w:type="dxa"/>
                </w:tcMar>
              </w:tcPr>
              <w:p w:rsidR="001A10E7" w:rsidRDefault="001A10E7" w:rsidP="001A10E7">
                <w:pPr>
                  <w:pStyle w:val="60-tableheadingC"/>
                </w:pPr>
                <w:r>
                  <w:t>2009–10</w:t>
                </w:r>
              </w:p>
            </w:tc>
            <w:tc>
              <w:tcPr>
                <w:tcW w:w="737" w:type="dxa"/>
                <w:tcBorders>
                  <w:top w:val="single" w:sz="4" w:space="0" w:color="000000"/>
                  <w:left w:val="single" w:sz="6" w:space="0" w:color="auto"/>
                  <w:bottom w:val="single" w:sz="2" w:space="0" w:color="000000"/>
                  <w:right w:val="single" w:sz="6" w:space="0" w:color="auto"/>
                </w:tcBorders>
                <w:tcMar>
                  <w:top w:w="80" w:type="dxa"/>
                  <w:left w:w="0" w:type="dxa"/>
                  <w:bottom w:w="80" w:type="dxa"/>
                  <w:right w:w="0" w:type="dxa"/>
                </w:tcMar>
              </w:tcPr>
              <w:p w:rsidR="001A10E7" w:rsidRDefault="001A10E7" w:rsidP="001A10E7">
                <w:pPr>
                  <w:pStyle w:val="60-tableheadingC"/>
                </w:pPr>
                <w:r>
                  <w:t>2010–11</w:t>
                </w:r>
              </w:p>
            </w:tc>
            <w:tc>
              <w:tcPr>
                <w:tcW w:w="737" w:type="dxa"/>
                <w:tcBorders>
                  <w:top w:val="single" w:sz="4" w:space="0" w:color="000000"/>
                  <w:left w:val="single" w:sz="6" w:space="0" w:color="auto"/>
                  <w:bottom w:val="single" w:sz="2" w:space="0" w:color="000000"/>
                  <w:right w:val="single" w:sz="6" w:space="0" w:color="auto"/>
                </w:tcBorders>
                <w:tcMar>
                  <w:top w:w="80" w:type="dxa"/>
                  <w:left w:w="0" w:type="dxa"/>
                  <w:bottom w:w="80" w:type="dxa"/>
                  <w:right w:w="0" w:type="dxa"/>
                </w:tcMar>
              </w:tcPr>
              <w:p w:rsidR="001A10E7" w:rsidRDefault="001A10E7" w:rsidP="001A10E7">
                <w:pPr>
                  <w:pStyle w:val="60-tableheadingC"/>
                </w:pPr>
                <w:r>
                  <w:t>2011−12</w:t>
                </w:r>
              </w:p>
            </w:tc>
            <w:tc>
              <w:tcPr>
                <w:tcW w:w="737" w:type="dxa"/>
                <w:tcBorders>
                  <w:top w:val="single" w:sz="4" w:space="0" w:color="000000"/>
                  <w:left w:val="single" w:sz="6" w:space="0" w:color="auto"/>
                  <w:bottom w:val="single" w:sz="2" w:space="0" w:color="000000"/>
                  <w:right w:val="single" w:sz="6" w:space="0" w:color="auto"/>
                </w:tcBorders>
                <w:tcMar>
                  <w:top w:w="80" w:type="dxa"/>
                  <w:left w:w="0" w:type="dxa"/>
                  <w:bottom w:w="80" w:type="dxa"/>
                  <w:right w:w="0" w:type="dxa"/>
                </w:tcMar>
              </w:tcPr>
              <w:p w:rsidR="001A10E7" w:rsidRDefault="001A10E7" w:rsidP="001A10E7">
                <w:pPr>
                  <w:pStyle w:val="60-tableheadingC"/>
                </w:pPr>
                <w:r>
                  <w:t>2012−13</w:t>
                </w:r>
              </w:p>
            </w:tc>
            <w:tc>
              <w:tcPr>
                <w:tcW w:w="759" w:type="dxa"/>
                <w:tcBorders>
                  <w:top w:val="single" w:sz="4" w:space="0" w:color="000000"/>
                  <w:left w:val="single" w:sz="6" w:space="0" w:color="auto"/>
                  <w:bottom w:val="single" w:sz="2" w:space="0" w:color="000000"/>
                  <w:right w:val="single" w:sz="6" w:space="0" w:color="auto"/>
                </w:tcBorders>
                <w:tcMar>
                  <w:top w:w="80" w:type="dxa"/>
                  <w:left w:w="0" w:type="dxa"/>
                  <w:bottom w:w="80" w:type="dxa"/>
                  <w:right w:w="0" w:type="dxa"/>
                </w:tcMar>
              </w:tcPr>
              <w:p w:rsidR="001A10E7" w:rsidRDefault="001A10E7" w:rsidP="001A10E7">
                <w:pPr>
                  <w:pStyle w:val="60-tableheadingC"/>
                </w:pPr>
                <w:r>
                  <w:t>2013−14</w:t>
                </w:r>
              </w:p>
            </w:tc>
            <w:tc>
              <w:tcPr>
                <w:tcW w:w="737" w:type="dxa"/>
                <w:tcBorders>
                  <w:top w:val="single" w:sz="4" w:space="0" w:color="000000"/>
                  <w:left w:val="single" w:sz="6" w:space="0" w:color="auto"/>
                  <w:bottom w:val="single" w:sz="2" w:space="0" w:color="000000"/>
                  <w:right w:val="single" w:sz="6" w:space="0" w:color="auto"/>
                </w:tcBorders>
                <w:tcMar>
                  <w:top w:w="80" w:type="dxa"/>
                  <w:left w:w="0" w:type="dxa"/>
                  <w:bottom w:w="80" w:type="dxa"/>
                  <w:right w:w="0" w:type="dxa"/>
                </w:tcMar>
              </w:tcPr>
              <w:p w:rsidR="001A10E7" w:rsidRDefault="001A10E7" w:rsidP="001A10E7">
                <w:pPr>
                  <w:pStyle w:val="60-tableheadingC"/>
                </w:pPr>
                <w:r>
                  <w:t>2014−15</w:t>
                </w:r>
              </w:p>
            </w:tc>
          </w:tr>
          <w:tr w:rsidR="001A10E7" w:rsidTr="001A10E7">
            <w:tblPrEx>
              <w:tblCellMar>
                <w:top w:w="0" w:type="dxa"/>
                <w:left w:w="0" w:type="dxa"/>
                <w:bottom w:w="0" w:type="dxa"/>
                <w:right w:w="0" w:type="dxa"/>
              </w:tblCellMar>
            </w:tblPrEx>
            <w:trPr>
              <w:trHeight w:val="113"/>
            </w:trPr>
            <w:tc>
              <w:tcPr>
                <w:tcW w:w="2835" w:type="dxa"/>
                <w:tcBorders>
                  <w:top w:val="single" w:sz="2" w:space="0" w:color="000000"/>
                  <w:left w:val="single" w:sz="6" w:space="0" w:color="auto"/>
                  <w:bottom w:val="single" w:sz="2" w:space="0" w:color="000000"/>
                  <w:right w:val="single" w:sz="2" w:space="0" w:color="000000"/>
                </w:tcBorders>
                <w:tcMar>
                  <w:top w:w="28" w:type="dxa"/>
                  <w:left w:w="0" w:type="dxa"/>
                  <w:bottom w:w="28" w:type="dxa"/>
                  <w:right w:w="0" w:type="dxa"/>
                </w:tcMar>
                <w:vAlign w:val="center"/>
              </w:tcPr>
              <w:p w:rsidR="001A10E7" w:rsidRDefault="001A10E7" w:rsidP="001A10E7">
                <w:pPr>
                  <w:pStyle w:val="03tabletextLH"/>
                </w:pPr>
                <w:r>
                  <w:t>Total reserved mail</w:t>
                </w:r>
              </w:p>
            </w:tc>
            <w:tc>
              <w:tcPr>
                <w:tcW w:w="737" w:type="dxa"/>
                <w:tcBorders>
                  <w:top w:val="single" w:sz="2" w:space="0" w:color="000000"/>
                  <w:left w:val="single" w:sz="2" w:space="0" w:color="000000"/>
                  <w:bottom w:val="single" w:sz="2" w:space="0" w:color="000000"/>
                  <w:right w:val="single" w:sz="2" w:space="0" w:color="000000"/>
                </w:tcBorders>
                <w:shd w:val="solid" w:color="D2D0CD"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D2D0CD"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D2D0CD"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D2D0CD"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60"/>
            </w:trPr>
            <w:tc>
              <w:tcPr>
                <w:tcW w:w="2835"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113"/>
            </w:trPr>
            <w:tc>
              <w:tcPr>
                <w:tcW w:w="2835" w:type="dxa"/>
                <w:tcBorders>
                  <w:top w:val="single" w:sz="2" w:space="0" w:color="000000"/>
                  <w:left w:val="single" w:sz="6" w:space="0" w:color="auto"/>
                  <w:bottom w:val="single" w:sz="2" w:space="0" w:color="000000"/>
                  <w:right w:val="single" w:sz="2" w:space="0" w:color="000000"/>
                </w:tcBorders>
                <w:tcMar>
                  <w:top w:w="57" w:type="dxa"/>
                  <w:left w:w="0" w:type="dxa"/>
                  <w:bottom w:w="57" w:type="dxa"/>
                  <w:right w:w="0" w:type="dxa"/>
                </w:tcMar>
                <w:vAlign w:val="center"/>
              </w:tcPr>
              <w:p w:rsidR="001A10E7" w:rsidRDefault="001A10E7" w:rsidP="001A10E7">
                <w:pPr>
                  <w:pStyle w:val="03tabletextLH"/>
                </w:pPr>
                <w:r>
                  <w:t>Total non-reserved mail</w:t>
                </w: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60"/>
            </w:trPr>
            <w:tc>
              <w:tcPr>
                <w:tcW w:w="2835"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113"/>
            </w:trPr>
            <w:tc>
              <w:tcPr>
                <w:tcW w:w="2835" w:type="dxa"/>
                <w:tcBorders>
                  <w:top w:val="single" w:sz="2" w:space="0" w:color="000000"/>
                  <w:left w:val="single" w:sz="6" w:space="0" w:color="auto"/>
                  <w:bottom w:val="single" w:sz="2" w:space="0" w:color="000000"/>
                  <w:right w:val="single" w:sz="2" w:space="0" w:color="000000"/>
                </w:tcBorders>
                <w:tcMar>
                  <w:top w:w="28" w:type="dxa"/>
                  <w:left w:w="0" w:type="dxa"/>
                  <w:bottom w:w="28" w:type="dxa"/>
                  <w:right w:w="0" w:type="dxa"/>
                </w:tcMar>
                <w:vAlign w:val="center"/>
              </w:tcPr>
              <w:p w:rsidR="001A10E7" w:rsidRDefault="001A10E7" w:rsidP="001A10E7">
                <w:pPr>
                  <w:pStyle w:val="03tabletextLH"/>
                </w:pPr>
                <w:r>
                  <w:t>Total parcels services</w:t>
                </w: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60"/>
            </w:trPr>
            <w:tc>
              <w:tcPr>
                <w:tcW w:w="2835"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113"/>
            </w:trPr>
            <w:tc>
              <w:tcPr>
                <w:tcW w:w="2835" w:type="dxa"/>
                <w:tcBorders>
                  <w:top w:val="single" w:sz="2" w:space="0" w:color="000000"/>
                  <w:left w:val="single" w:sz="6" w:space="0" w:color="auto"/>
                  <w:bottom w:val="single" w:sz="2" w:space="0" w:color="000000"/>
                  <w:right w:val="single" w:sz="2" w:space="0" w:color="000000"/>
                </w:tcBorders>
                <w:tcMar>
                  <w:top w:w="57" w:type="dxa"/>
                  <w:left w:w="0" w:type="dxa"/>
                  <w:bottom w:w="57" w:type="dxa"/>
                  <w:right w:w="0" w:type="dxa"/>
                </w:tcMar>
                <w:vAlign w:val="center"/>
              </w:tcPr>
              <w:p w:rsidR="001A10E7" w:rsidRDefault="001A10E7" w:rsidP="001A10E7">
                <w:pPr>
                  <w:pStyle w:val="03tabletextLH"/>
                </w:pPr>
                <w:r>
                  <w:t>Total retail and agency</w:t>
                </w: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60"/>
            </w:trPr>
            <w:tc>
              <w:tcPr>
                <w:tcW w:w="2835"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113"/>
            </w:trPr>
            <w:tc>
              <w:tcPr>
                <w:tcW w:w="2835" w:type="dxa"/>
                <w:tcBorders>
                  <w:top w:val="single" w:sz="2" w:space="0" w:color="000000"/>
                  <w:left w:val="single" w:sz="6" w:space="0" w:color="auto"/>
                  <w:bottom w:val="single" w:sz="2" w:space="0" w:color="000000"/>
                  <w:right w:val="single" w:sz="2" w:space="0" w:color="000000"/>
                </w:tcBorders>
                <w:tcMar>
                  <w:top w:w="28" w:type="dxa"/>
                  <w:left w:w="0" w:type="dxa"/>
                  <w:bottom w:w="28" w:type="dxa"/>
                  <w:right w:w="0" w:type="dxa"/>
                </w:tcMar>
                <w:vAlign w:val="center"/>
              </w:tcPr>
              <w:p w:rsidR="001A10E7" w:rsidRDefault="001A10E7" w:rsidP="001A10E7">
                <w:pPr>
                  <w:pStyle w:val="03tabletextLH"/>
                </w:pPr>
                <w:r>
                  <w:t>Total other services</w:t>
                </w: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D2D0CD"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C3002F"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C3002F"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C3002F"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2" w:space="0" w:color="000000"/>
                  <w:bottom w:val="single" w:sz="2" w:space="0" w:color="000000"/>
                  <w:right w:val="single" w:sz="2" w:space="0" w:color="000000"/>
                </w:tcBorders>
                <w:shd w:val="solid" w:color="C3002F"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C3002F"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60"/>
            </w:trPr>
            <w:tc>
              <w:tcPr>
                <w:tcW w:w="2835"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113"/>
            </w:trPr>
            <w:tc>
              <w:tcPr>
                <w:tcW w:w="2835" w:type="dxa"/>
                <w:tcBorders>
                  <w:top w:val="single" w:sz="2" w:space="0" w:color="000000"/>
                  <w:left w:val="single" w:sz="6" w:space="0" w:color="auto"/>
                  <w:bottom w:val="single" w:sz="2" w:space="0" w:color="000000"/>
                  <w:right w:val="single" w:sz="2" w:space="0" w:color="000000"/>
                </w:tcBorders>
                <w:shd w:val="solid" w:color="FFFFFF" w:fill="auto"/>
                <w:tcMar>
                  <w:top w:w="0" w:type="dxa"/>
                  <w:left w:w="0" w:type="dxa"/>
                  <w:bottom w:w="0" w:type="dxa"/>
                  <w:right w:w="0" w:type="dxa"/>
                </w:tcMar>
                <w:vAlign w:val="center"/>
              </w:tcPr>
              <w:p w:rsidR="001A10E7" w:rsidRDefault="001A10E7" w:rsidP="001A10E7">
                <w:pPr>
                  <w:pStyle w:val="03tabletextLH"/>
                </w:pPr>
                <w:r>
                  <w:t>Total reserved services</w:t>
                </w:r>
              </w:p>
            </w:tc>
            <w:tc>
              <w:tcPr>
                <w:tcW w:w="737" w:type="dxa"/>
                <w:tcBorders>
                  <w:top w:val="single" w:sz="2" w:space="0" w:color="000000"/>
                  <w:left w:val="single" w:sz="2" w:space="0" w:color="000000"/>
                  <w:bottom w:val="single" w:sz="2" w:space="0" w:color="000000"/>
                  <w:right w:val="single" w:sz="2" w:space="0" w:color="000000"/>
                </w:tcBorders>
                <w:shd w:val="solid" w:color="D2D0CD"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D2D0CD"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D2D0CD"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D2D0CD"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113"/>
            </w:trPr>
            <w:tc>
              <w:tcPr>
                <w:tcW w:w="2835" w:type="dxa"/>
                <w:tcBorders>
                  <w:top w:val="single" w:sz="2" w:space="0" w:color="000000"/>
                  <w:left w:val="single" w:sz="6" w:space="0" w:color="auto"/>
                  <w:bottom w:val="single" w:sz="2" w:space="0" w:color="000000"/>
                  <w:right w:val="single" w:sz="2" w:space="0" w:color="000000"/>
                </w:tcBorders>
                <w:tcMar>
                  <w:top w:w="57" w:type="dxa"/>
                  <w:left w:w="0" w:type="dxa"/>
                  <w:bottom w:w="57" w:type="dxa"/>
                  <w:right w:w="0" w:type="dxa"/>
                </w:tcMar>
                <w:vAlign w:val="center"/>
              </w:tcPr>
              <w:p w:rsidR="001A10E7" w:rsidRDefault="001A10E7" w:rsidP="001A10E7">
                <w:pPr>
                  <w:pStyle w:val="03tabletextLH"/>
                </w:pPr>
                <w:r>
                  <w:t>Total non-reserved services</w:t>
                </w: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2" w:space="0" w:color="000000"/>
                  <w:bottom w:val="single" w:sz="2" w:space="0" w:color="000000"/>
                  <w:right w:val="single" w:sz="2" w:space="0" w:color="000000"/>
                </w:tcBorders>
                <w:shd w:val="solid" w:color="D2D0CD"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60"/>
            </w:trPr>
            <w:tc>
              <w:tcPr>
                <w:tcW w:w="2835"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113"/>
            </w:trPr>
            <w:tc>
              <w:tcPr>
                <w:tcW w:w="2835" w:type="dxa"/>
                <w:tcBorders>
                  <w:top w:val="single" w:sz="2" w:space="0" w:color="000000"/>
                  <w:left w:val="single" w:sz="6" w:space="0" w:color="auto"/>
                  <w:bottom w:val="single" w:sz="2" w:space="0" w:color="000000"/>
                  <w:right w:val="single" w:sz="2" w:space="0" w:color="000000"/>
                </w:tcBorders>
                <w:tcMar>
                  <w:top w:w="28" w:type="dxa"/>
                  <w:left w:w="0" w:type="dxa"/>
                  <w:bottom w:w="28" w:type="dxa"/>
                  <w:right w:w="0" w:type="dxa"/>
                </w:tcMar>
                <w:vAlign w:val="center"/>
              </w:tcPr>
              <w:p w:rsidR="001A10E7" w:rsidRDefault="001A10E7" w:rsidP="001A10E7">
                <w:pPr>
                  <w:pStyle w:val="03tabletextLH"/>
                </w:pPr>
                <w:r>
                  <w:t>Total letter services</w:t>
                </w: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D2D0CD"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113"/>
            </w:trPr>
            <w:tc>
              <w:tcPr>
                <w:tcW w:w="2835" w:type="dxa"/>
                <w:tcBorders>
                  <w:top w:val="single" w:sz="2" w:space="0" w:color="000000"/>
                  <w:left w:val="single" w:sz="6" w:space="0" w:color="auto"/>
                  <w:bottom w:val="single" w:sz="2" w:space="0" w:color="000000"/>
                  <w:right w:val="single" w:sz="2" w:space="0" w:color="000000"/>
                </w:tcBorders>
                <w:shd w:val="solid" w:color="FFFFFF" w:fill="auto"/>
                <w:tcMar>
                  <w:top w:w="0" w:type="dxa"/>
                  <w:left w:w="0" w:type="dxa"/>
                  <w:bottom w:w="0" w:type="dxa"/>
                  <w:right w:w="0" w:type="dxa"/>
                </w:tcMar>
                <w:vAlign w:val="center"/>
              </w:tcPr>
              <w:p w:rsidR="001A10E7" w:rsidRDefault="001A10E7" w:rsidP="001A10E7">
                <w:pPr>
                  <w:pStyle w:val="03tabletextLH"/>
                </w:pPr>
                <w:r>
                  <w:t>Total non-letter services</w:t>
                </w: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D2D0CD"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60"/>
            </w:trPr>
            <w:tc>
              <w:tcPr>
                <w:tcW w:w="2835"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6" w:space="0" w:color="auto"/>
                  <w:bottom w:val="single" w:sz="2" w:space="0" w:color="000000"/>
                  <w:right w:val="single" w:sz="6" w:space="0" w:color="auto"/>
                </w:tcBorders>
                <w:shd w:val="solid" w:color="FFFFFF" w:fill="auto"/>
                <w:tcMar>
                  <w:top w:w="0" w:type="dxa"/>
                  <w:left w:w="0" w:type="dxa"/>
                  <w:bottom w:w="0"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113"/>
            </w:trPr>
            <w:tc>
              <w:tcPr>
                <w:tcW w:w="2835" w:type="dxa"/>
                <w:tcBorders>
                  <w:top w:val="single" w:sz="2" w:space="0" w:color="000000"/>
                  <w:left w:val="single" w:sz="6" w:space="0" w:color="auto"/>
                  <w:bottom w:val="single" w:sz="2" w:space="0" w:color="000000"/>
                  <w:right w:val="single" w:sz="2" w:space="0" w:color="000000"/>
                </w:tcBorders>
                <w:shd w:val="solid" w:color="FFFFFF" w:fill="auto"/>
                <w:tcMar>
                  <w:top w:w="0" w:type="dxa"/>
                  <w:left w:w="0" w:type="dxa"/>
                  <w:bottom w:w="0" w:type="dxa"/>
                  <w:right w:w="0" w:type="dxa"/>
                </w:tcMar>
                <w:vAlign w:val="center"/>
              </w:tcPr>
              <w:p w:rsidR="001A10E7" w:rsidRDefault="001A10E7" w:rsidP="001A10E7">
                <w:pPr>
                  <w:pStyle w:val="03tabletextLH"/>
                </w:pPr>
                <w:r>
                  <w:t>Total mail services</w:t>
                </w: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D2D0CD"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D2D0CD"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D2D0CD"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D2D0CD"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113"/>
            </w:trPr>
            <w:tc>
              <w:tcPr>
                <w:tcW w:w="2835" w:type="dxa"/>
                <w:tcBorders>
                  <w:top w:val="single" w:sz="2" w:space="0" w:color="000000"/>
                  <w:left w:val="single" w:sz="6" w:space="0" w:color="auto"/>
                  <w:bottom w:val="single" w:sz="2" w:space="0" w:color="000000"/>
                  <w:right w:val="single" w:sz="2" w:space="0" w:color="000000"/>
                </w:tcBorders>
                <w:tcMar>
                  <w:top w:w="57" w:type="dxa"/>
                  <w:left w:w="0" w:type="dxa"/>
                  <w:bottom w:w="57" w:type="dxa"/>
                  <w:right w:w="0" w:type="dxa"/>
                </w:tcMar>
                <w:vAlign w:val="center"/>
              </w:tcPr>
              <w:p w:rsidR="001A10E7" w:rsidRDefault="001A10E7" w:rsidP="001A10E7">
                <w:pPr>
                  <w:pStyle w:val="03tabletextLH"/>
                </w:pPr>
                <w:r>
                  <w:t>Total non-mail services</w:t>
                </w: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113"/>
            </w:trPr>
            <w:tc>
              <w:tcPr>
                <w:tcW w:w="2835" w:type="dxa"/>
                <w:tcBorders>
                  <w:top w:val="single" w:sz="2" w:space="0" w:color="000000"/>
                  <w:left w:val="single" w:sz="6" w:space="0" w:color="auto"/>
                  <w:bottom w:val="single" w:sz="2" w:space="0" w:color="000000"/>
                  <w:right w:val="single" w:sz="2" w:space="0" w:color="000000"/>
                </w:tcBorders>
                <w:tcMar>
                  <w:top w:w="57" w:type="dxa"/>
                  <w:left w:w="0" w:type="dxa"/>
                  <w:bottom w:w="57" w:type="dxa"/>
                  <w:right w:w="0" w:type="dxa"/>
                </w:tcMar>
                <w:vAlign w:val="center"/>
              </w:tcPr>
              <w:p w:rsidR="001A10E7" w:rsidRDefault="001A10E7" w:rsidP="001A10E7">
                <w:pPr>
                  <w:pStyle w:val="03tabletextLH"/>
                </w:pPr>
                <w:r>
                  <w:t>TOTAL</w:t>
                </w: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D2D0CD"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59"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c>
              <w:tcPr>
                <w:tcW w:w="737"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bl>
        <w:p w:rsidR="001A10E7" w:rsidRDefault="001A10E7" w:rsidP="001A10E7">
          <w:pPr>
            <w:pStyle w:val="03tablepara"/>
          </w:pPr>
        </w:p>
        <w:p w:rsidR="001A10E7" w:rsidRPr="001A10E7" w:rsidRDefault="001A10E7" w:rsidP="001A10E7">
          <w:pPr>
            <w:pStyle w:val="01hiddenfootnote"/>
            <w:rPr>
              <w:rStyle w:val="Emphasis"/>
            </w:rPr>
          </w:pPr>
        </w:p>
        <w:tbl>
          <w:tblPr>
            <w:tblW w:w="0" w:type="auto"/>
            <w:tblInd w:w="8" w:type="dxa"/>
            <w:tblLayout w:type="fixed"/>
            <w:tblCellMar>
              <w:left w:w="0" w:type="dxa"/>
              <w:right w:w="0" w:type="dxa"/>
            </w:tblCellMar>
            <w:tblLook w:val="0000" w:firstRow="0" w:lastRow="0" w:firstColumn="0" w:lastColumn="0" w:noHBand="0" w:noVBand="0"/>
          </w:tblPr>
          <w:tblGrid>
            <w:gridCol w:w="3300"/>
            <w:gridCol w:w="793"/>
          </w:tblGrid>
          <w:tr w:rsidR="001A10E7" w:rsidTr="001A10E7">
            <w:tblPrEx>
              <w:tblCellMar>
                <w:top w:w="0" w:type="dxa"/>
                <w:left w:w="0" w:type="dxa"/>
                <w:bottom w:w="0" w:type="dxa"/>
                <w:right w:w="0" w:type="dxa"/>
              </w:tblCellMar>
            </w:tblPrEx>
            <w:trPr>
              <w:trHeight w:val="113"/>
            </w:trPr>
            <w:tc>
              <w:tcPr>
                <w:tcW w:w="4093" w:type="dxa"/>
                <w:gridSpan w:val="2"/>
                <w:tcBorders>
                  <w:top w:val="single" w:sz="6" w:space="0" w:color="auto"/>
                  <w:left w:val="single" w:sz="6" w:space="0" w:color="auto"/>
                  <w:bottom w:val="single" w:sz="2" w:space="0" w:color="000000"/>
                  <w:right w:val="single" w:sz="6" w:space="0" w:color="auto"/>
                </w:tcBorders>
                <w:shd w:val="solid" w:color="FFFFFF" w:fill="auto"/>
                <w:tcMar>
                  <w:top w:w="0" w:type="dxa"/>
                  <w:left w:w="0" w:type="dxa"/>
                  <w:bottom w:w="57" w:type="dxa"/>
                  <w:right w:w="0" w:type="dxa"/>
                </w:tcMar>
                <w:vAlign w:val="center"/>
              </w:tcPr>
              <w:p w:rsidR="001A10E7" w:rsidRDefault="001A10E7" w:rsidP="001A10E7">
                <w:pPr>
                  <w:pStyle w:val="03tabletextLH"/>
                </w:pPr>
                <w:r>
                  <w:t>LEGEND</w:t>
                </w:r>
              </w:p>
            </w:tc>
          </w:tr>
          <w:tr w:rsidR="001A10E7" w:rsidTr="001A10E7">
            <w:tblPrEx>
              <w:tblCellMar>
                <w:top w:w="0" w:type="dxa"/>
                <w:left w:w="0" w:type="dxa"/>
                <w:bottom w:w="0" w:type="dxa"/>
                <w:right w:w="0" w:type="dxa"/>
              </w:tblCellMar>
            </w:tblPrEx>
            <w:trPr>
              <w:trHeight w:val="113"/>
            </w:trPr>
            <w:tc>
              <w:tcPr>
                <w:tcW w:w="3300" w:type="dxa"/>
                <w:tcBorders>
                  <w:top w:val="single" w:sz="2" w:space="0" w:color="000000"/>
                  <w:left w:val="single" w:sz="6" w:space="0" w:color="auto"/>
                  <w:bottom w:val="single" w:sz="2" w:space="0" w:color="000000"/>
                  <w:right w:val="single" w:sz="2" w:space="0" w:color="000000"/>
                </w:tcBorders>
                <w:tcMar>
                  <w:top w:w="57" w:type="dxa"/>
                  <w:left w:w="0" w:type="dxa"/>
                  <w:bottom w:w="57" w:type="dxa"/>
                  <w:right w:w="0" w:type="dxa"/>
                </w:tcMar>
                <w:vAlign w:val="center"/>
              </w:tcPr>
              <w:p w:rsidR="001A10E7" w:rsidRDefault="001A10E7" w:rsidP="001A10E7">
                <w:pPr>
                  <w:pStyle w:val="03tablebodytext"/>
                </w:pPr>
                <w:r>
                  <w:t>Recipient of a subsidy</w:t>
                </w:r>
              </w:p>
            </w:tc>
            <w:tc>
              <w:tcPr>
                <w:tcW w:w="793" w:type="dxa"/>
                <w:tcBorders>
                  <w:top w:val="single" w:sz="2" w:space="0" w:color="000000"/>
                  <w:left w:val="single" w:sz="2" w:space="0" w:color="000000"/>
                  <w:bottom w:val="single" w:sz="2" w:space="0" w:color="000000"/>
                  <w:right w:val="single" w:sz="2" w:space="0" w:color="000000"/>
                </w:tcBorders>
                <w:shd w:val="solid" w:color="C3002F"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113"/>
            </w:trPr>
            <w:tc>
              <w:tcPr>
                <w:tcW w:w="3300" w:type="dxa"/>
                <w:tcBorders>
                  <w:top w:val="single" w:sz="2" w:space="0" w:color="000000"/>
                  <w:left w:val="single" w:sz="6" w:space="0" w:color="auto"/>
                  <w:bottom w:val="single" w:sz="2" w:space="0" w:color="000000"/>
                  <w:right w:val="single" w:sz="2" w:space="0" w:color="000000"/>
                </w:tcBorders>
                <w:tcMar>
                  <w:top w:w="57" w:type="dxa"/>
                  <w:left w:w="0" w:type="dxa"/>
                  <w:bottom w:w="57" w:type="dxa"/>
                  <w:right w:w="0" w:type="dxa"/>
                </w:tcMar>
                <w:vAlign w:val="center"/>
              </w:tcPr>
              <w:p w:rsidR="001A10E7" w:rsidRDefault="001A10E7" w:rsidP="001A10E7">
                <w:pPr>
                  <w:pStyle w:val="03tablebodytext"/>
                </w:pPr>
                <w:r>
                  <w:t>Potential recipient of a subsidy</w:t>
                </w:r>
              </w:p>
            </w:tc>
            <w:tc>
              <w:tcPr>
                <w:tcW w:w="793" w:type="dxa"/>
                <w:tcBorders>
                  <w:top w:val="single" w:sz="2" w:space="0" w:color="000000"/>
                  <w:left w:val="single" w:sz="2" w:space="0" w:color="000000"/>
                  <w:bottom w:val="single" w:sz="2" w:space="0" w:color="000000"/>
                  <w:right w:val="single" w:sz="2" w:space="0" w:color="000000"/>
                </w:tcBorders>
                <w:shd w:val="solid" w:color="E74A36"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113"/>
            </w:trPr>
            <w:tc>
              <w:tcPr>
                <w:tcW w:w="3300" w:type="dxa"/>
                <w:tcBorders>
                  <w:top w:val="single" w:sz="2" w:space="0" w:color="000000"/>
                  <w:left w:val="single" w:sz="6" w:space="0" w:color="auto"/>
                  <w:bottom w:val="single" w:sz="2" w:space="0" w:color="000000"/>
                  <w:right w:val="single" w:sz="2" w:space="0" w:color="000000"/>
                </w:tcBorders>
                <w:shd w:val="solid" w:color="FFFFFF" w:fill="auto"/>
                <w:tcMar>
                  <w:top w:w="0" w:type="dxa"/>
                  <w:left w:w="0" w:type="dxa"/>
                  <w:bottom w:w="0" w:type="dxa"/>
                  <w:right w:w="0" w:type="dxa"/>
                </w:tcMar>
                <w:vAlign w:val="center"/>
              </w:tcPr>
              <w:p w:rsidR="001A10E7" w:rsidRDefault="001A10E7" w:rsidP="001A10E7">
                <w:pPr>
                  <w:pStyle w:val="03tablebodytext"/>
                </w:pPr>
                <w:r>
                  <w:t>Neither recipient nor source of a subsidy</w:t>
                </w:r>
              </w:p>
            </w:tc>
            <w:tc>
              <w:tcPr>
                <w:tcW w:w="793" w:type="dxa"/>
                <w:tcBorders>
                  <w:top w:val="single" w:sz="2" w:space="0" w:color="000000"/>
                  <w:left w:val="single" w:sz="2" w:space="0" w:color="000000"/>
                  <w:bottom w:val="single" w:sz="2" w:space="0" w:color="000000"/>
                  <w:right w:val="single" w:sz="2" w:space="0" w:color="000000"/>
                </w:tcBorders>
                <w:shd w:val="solid" w:color="D2D0CD"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113"/>
            </w:trPr>
            <w:tc>
              <w:tcPr>
                <w:tcW w:w="3300" w:type="dxa"/>
                <w:tcBorders>
                  <w:top w:val="single" w:sz="2" w:space="0" w:color="000000"/>
                  <w:left w:val="single" w:sz="6" w:space="0" w:color="auto"/>
                  <w:bottom w:val="single" w:sz="2" w:space="0" w:color="000000"/>
                  <w:right w:val="single" w:sz="2" w:space="0" w:color="000000"/>
                </w:tcBorders>
                <w:tcMar>
                  <w:top w:w="57" w:type="dxa"/>
                  <w:left w:w="0" w:type="dxa"/>
                  <w:bottom w:w="57" w:type="dxa"/>
                  <w:right w:w="0" w:type="dxa"/>
                </w:tcMar>
                <w:vAlign w:val="center"/>
              </w:tcPr>
              <w:p w:rsidR="001A10E7" w:rsidRDefault="001A10E7" w:rsidP="001A10E7">
                <w:pPr>
                  <w:pStyle w:val="03tablebodytext"/>
                </w:pPr>
                <w:r>
                  <w:t>Potential source of a subsidy</w:t>
                </w:r>
              </w:p>
            </w:tc>
            <w:tc>
              <w:tcPr>
                <w:tcW w:w="793" w:type="dxa"/>
                <w:tcBorders>
                  <w:top w:val="single" w:sz="2" w:space="0" w:color="000000"/>
                  <w:left w:val="single" w:sz="2" w:space="0" w:color="000000"/>
                  <w:bottom w:val="single" w:sz="2" w:space="0" w:color="000000"/>
                  <w:right w:val="single" w:sz="2" w:space="0" w:color="000000"/>
                </w:tcBorders>
                <w:shd w:val="solid" w:color="5A2C81" w:fill="auto"/>
                <w:tcMar>
                  <w:top w:w="28" w:type="dxa"/>
                  <w:left w:w="0" w:type="dxa"/>
                  <w:bottom w:w="28" w:type="dxa"/>
                  <w:right w:w="0" w:type="dxa"/>
                </w:tcMa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r w:rsidR="001A10E7" w:rsidTr="001A10E7">
            <w:tblPrEx>
              <w:tblCellMar>
                <w:top w:w="0" w:type="dxa"/>
                <w:left w:w="0" w:type="dxa"/>
                <w:bottom w:w="0" w:type="dxa"/>
                <w:right w:w="0" w:type="dxa"/>
              </w:tblCellMar>
            </w:tblPrEx>
            <w:trPr>
              <w:trHeight w:val="113"/>
            </w:trPr>
            <w:tc>
              <w:tcPr>
                <w:tcW w:w="3300" w:type="dxa"/>
                <w:tcBorders>
                  <w:top w:val="single" w:sz="2" w:space="0" w:color="000000"/>
                  <w:left w:val="single" w:sz="6" w:space="0" w:color="auto"/>
                  <w:bottom w:val="single" w:sz="2" w:space="0" w:color="000000"/>
                  <w:right w:val="single" w:sz="2" w:space="0" w:color="000000"/>
                </w:tcBorders>
                <w:tcMar>
                  <w:top w:w="57" w:type="dxa"/>
                  <w:left w:w="0" w:type="dxa"/>
                  <w:bottom w:w="57" w:type="dxa"/>
                  <w:right w:w="0" w:type="dxa"/>
                </w:tcMar>
                <w:vAlign w:val="center"/>
              </w:tcPr>
              <w:p w:rsidR="001A10E7" w:rsidRDefault="001A10E7" w:rsidP="001A10E7">
                <w:pPr>
                  <w:pStyle w:val="03tablebodytext"/>
                </w:pPr>
                <w:r>
                  <w:t>Source of a subsidy</w:t>
                </w:r>
              </w:p>
            </w:tc>
            <w:tc>
              <w:tcPr>
                <w:tcW w:w="793" w:type="dxa"/>
                <w:tcBorders>
                  <w:top w:val="single" w:sz="2" w:space="0" w:color="000000"/>
                  <w:left w:val="single" w:sz="2" w:space="0" w:color="000000"/>
                  <w:bottom w:val="single" w:sz="2" w:space="0" w:color="000000"/>
                  <w:right w:val="single" w:sz="2" w:space="0" w:color="000000"/>
                </w:tcBorders>
                <w:shd w:val="solid" w:color="3BAFC8" w:fill="auto"/>
                <w:tcMar>
                  <w:top w:w="28" w:type="dxa"/>
                  <w:left w:w="0" w:type="dxa"/>
                  <w:bottom w:w="28" w:type="dxa"/>
                  <w:right w:w="0" w:type="dxa"/>
                </w:tcMar>
                <w:vAlign w:val="center"/>
              </w:tcPr>
              <w:p w:rsidR="001A10E7" w:rsidRDefault="001A10E7" w:rsidP="001A10E7">
                <w:pPr>
                  <w:pStyle w:val="NoParagraphStyle"/>
                  <w:spacing w:line="240" w:lineRule="auto"/>
                  <w:textAlignment w:val="auto"/>
                  <w:rPr>
                    <w:rFonts w:ascii="PFCentroSlabPro-Regular" w:hAnsi="PFCentroSlabPro-Regular" w:cstheme="minorBidi"/>
                    <w:color w:val="auto"/>
                    <w:lang w:val="en-AU"/>
                  </w:rPr>
                </w:pPr>
              </w:p>
            </w:tc>
          </w:tr>
        </w:tbl>
        <w:p w:rsidR="001A10E7" w:rsidRDefault="001A10E7" w:rsidP="00C043A7">
          <w:pPr>
            <w:pStyle w:val="Numbered111"/>
          </w:pPr>
          <w:bookmarkStart w:id="27" w:name="_Toc447275835"/>
          <w:r>
            <w:t>Total business</w:t>
          </w:r>
          <w:bookmarkEnd w:id="27"/>
        </w:p>
        <w:p w:rsidR="001A10E7" w:rsidRDefault="001A10E7" w:rsidP="001A10E7">
          <w:r>
            <w:t>Australia Post reported an operating loss for the first time in 2014–15.</w:t>
          </w:r>
          <w:r w:rsidRPr="001A10E7">
            <w:rPr>
              <w:vertAlign w:val="superscript"/>
            </w:rPr>
            <w:footnoteReference w:id="23"/>
          </w:r>
          <w:r>
            <w:t xml:space="preserve"> Australia Post has been unable to recover its full costs (operating costs and capital costs) on only two occasions, in 2009–10 and 2013–14.</w:t>
          </w:r>
          <w:r w:rsidRPr="001A10E7">
            <w:rPr>
              <w:vertAlign w:val="superscript"/>
            </w:rPr>
            <w:footnoteReference w:id="24"/>
          </w:r>
        </w:p>
        <w:p w:rsidR="001A10E7" w:rsidRDefault="001A10E7" w:rsidP="00C043A7">
          <w:pPr>
            <w:pStyle w:val="Numbered111"/>
          </w:pPr>
          <w:bookmarkStart w:id="28" w:name="_Toc447275836"/>
          <w:r>
            <w:t>Broad business area</w:t>
          </w:r>
          <w:bookmarkEnd w:id="28"/>
        </w:p>
        <w:p w:rsidR="001A10E7" w:rsidRDefault="001A10E7" w:rsidP="001A10E7">
          <w:r>
            <w:t>Australia Post’s business operation can be categorised into a number of broad areas where there is a similarity of products sold and/or the services provided.</w:t>
          </w:r>
        </w:p>
        <w:p w:rsidR="001A10E7" w:rsidRDefault="001A10E7" w:rsidP="001A10E7">
          <w:pPr>
            <w:pStyle w:val="Bulletpoint"/>
          </w:pPr>
          <w:r w:rsidRPr="001A10E7">
            <w:rPr>
              <w:rStyle w:val="Emphasis"/>
            </w:rPr>
            <w:t xml:space="preserve">Reserved services </w:t>
          </w:r>
          <w:r>
            <w:t xml:space="preserve">have been neither recipient nor source of a subsidy from 2005–06 to 2008–09 and a potential recipient of a subsidy from 2009–10 to 2014–15. In general, the cost recovery of reserved services has been declining together with letter volumes.  </w:t>
          </w:r>
        </w:p>
        <w:p w:rsidR="001A10E7" w:rsidRDefault="001A10E7" w:rsidP="001A10E7">
          <w:pPr>
            <w:pStyle w:val="Bulletpoint"/>
          </w:pPr>
          <w:r w:rsidRPr="001A10E7">
            <w:rPr>
              <w:rStyle w:val="Emphasis"/>
            </w:rPr>
            <w:t xml:space="preserve">Non-reserved services </w:t>
          </w:r>
          <w:r>
            <w:t xml:space="preserve">have been a source of subsidy from 2005–06 to 2008–09 and from 2010–11 to 2012–13, a potential source of subsidy in 2009–10 and </w:t>
          </w:r>
          <w:proofErr w:type="gramStart"/>
          <w:r>
            <w:t>neither recipient</w:t>
          </w:r>
          <w:proofErr w:type="gramEnd"/>
          <w:r>
            <w:t xml:space="preserve"> nor source of a subsidy in 2013–14. It was a potential recipient of a subsidy in 2014–15.</w:t>
          </w:r>
        </w:p>
        <w:p w:rsidR="001A10E7" w:rsidRDefault="001A10E7" w:rsidP="001A10E7">
          <w:pPr>
            <w:pStyle w:val="Bulletpoint"/>
          </w:pPr>
          <w:r w:rsidRPr="001A10E7">
            <w:rPr>
              <w:rStyle w:val="Emphasis"/>
            </w:rPr>
            <w:t>Letter services</w:t>
          </w:r>
          <w:r>
            <w:t xml:space="preserve"> (reserved and non-reserved) as a whole have been potentially a source of subsidy from 2005–06 to 2007–08, neither the recipient nor source of a subsidy in 2008–</w:t>
          </w:r>
          <w:r>
            <w:lastRenderedPageBreak/>
            <w:t>09 and a potential recipient of a subsidy from 2009–10 to 2014–15. Like reserved letters, letter services’ cost recovery has followed the downward trend of overall letter volumes.</w:t>
          </w:r>
        </w:p>
        <w:p w:rsidR="001A10E7" w:rsidRDefault="001A10E7" w:rsidP="001A10E7">
          <w:pPr>
            <w:pStyle w:val="Bulletpoint"/>
          </w:pPr>
          <w:r w:rsidRPr="001A10E7">
            <w:rPr>
              <w:rStyle w:val="Emphasis"/>
            </w:rPr>
            <w:t>Non-letter services</w:t>
          </w:r>
          <w:r>
            <w:t xml:space="preserve"> as a whole have been a source of subsidy from 2005–06 to 2006–07 and from 2010–11 to 2012–13 and a potential source of subsidy from 2007–08 to 2009–10 and in 2013–</w:t>
          </w:r>
          <w:proofErr w:type="gramStart"/>
          <w:r>
            <w:t>14 .</w:t>
          </w:r>
          <w:proofErr w:type="gramEnd"/>
          <w:r>
            <w:t xml:space="preserve"> It was </w:t>
          </w:r>
          <w:proofErr w:type="gramStart"/>
          <w:r>
            <w:t>neither the recipient or</w:t>
          </w:r>
          <w:proofErr w:type="gramEnd"/>
          <w:r>
            <w:t xml:space="preserve"> source of a subsidy in 2014–15.</w:t>
          </w:r>
        </w:p>
        <w:p w:rsidR="001A10E7" w:rsidRDefault="001A10E7" w:rsidP="001A10E7">
          <w:pPr>
            <w:pStyle w:val="Bulletpoint"/>
          </w:pPr>
          <w:r w:rsidRPr="001A10E7">
            <w:rPr>
              <w:rStyle w:val="Emphasis"/>
            </w:rPr>
            <w:t>Mail services</w:t>
          </w:r>
          <w:r>
            <w:t xml:space="preserve"> (includes letters and parcels services) were a potential recipient of subsidy in 2013–14 and 2014–15. Mail services were previously a source of subsidy from 2005–06 to 2008–09 and </w:t>
          </w:r>
          <w:proofErr w:type="gramStart"/>
          <w:r>
            <w:t>neither recipient</w:t>
          </w:r>
          <w:proofErr w:type="gramEnd"/>
          <w:r>
            <w:t xml:space="preserve"> nor source of a subsidy from 2009–10 to 2012–13.</w:t>
          </w:r>
        </w:p>
        <w:p w:rsidR="001A10E7" w:rsidRDefault="001A10E7" w:rsidP="001A10E7">
          <w:pPr>
            <w:pStyle w:val="Bulletpoint"/>
          </w:pPr>
          <w:r w:rsidRPr="001A10E7">
            <w:rPr>
              <w:rStyle w:val="Emphasis"/>
            </w:rPr>
            <w:t>Non-mail services</w:t>
          </w:r>
          <w:r>
            <w:t xml:space="preserve"> (all services except letters and parcels services) have been potentially a source of subsidy in all previous years the ACCC has been monitoring cross-subsidy. In </w:t>
          </w:r>
          <w:proofErr w:type="gramStart"/>
          <w:r>
            <w:t>2014–15</w:t>
          </w:r>
          <w:proofErr w:type="gramEnd"/>
          <w:r>
            <w:t xml:space="preserve"> it was a potential recipient of a subsidy.</w:t>
          </w:r>
        </w:p>
        <w:p w:rsidR="001A10E7" w:rsidRDefault="001A10E7" w:rsidP="00C043A7">
          <w:pPr>
            <w:pStyle w:val="Numbered111"/>
          </w:pPr>
          <w:bookmarkStart w:id="29" w:name="_Toc447275837"/>
          <w:r>
            <w:t>Service group</w:t>
          </w:r>
          <w:bookmarkEnd w:id="29"/>
        </w:p>
        <w:p w:rsidR="001A10E7" w:rsidRDefault="001A10E7" w:rsidP="001A10E7">
          <w:r>
            <w:t xml:space="preserve">Australia Post has a number of service </w:t>
          </w:r>
          <w:proofErr w:type="gramStart"/>
          <w:r>
            <w:t>groups which</w:t>
          </w:r>
          <w:proofErr w:type="gramEnd"/>
          <w:r>
            <w:t xml:space="preserve"> it reports on in its regulatory accounts. These services groups are either reserved or non-reserved services.</w:t>
          </w:r>
        </w:p>
        <w:p w:rsidR="001A10E7" w:rsidRDefault="001A10E7" w:rsidP="001A10E7">
          <w:pPr>
            <w:pStyle w:val="Bulletpoint"/>
          </w:pPr>
          <w:r w:rsidRPr="001A10E7">
            <w:rPr>
              <w:rStyle w:val="Emphasis"/>
            </w:rPr>
            <w:t>Reserved mail services:</w:t>
          </w:r>
          <w:r>
            <w:t xml:space="preserve"> see ‘reserved services’ above.</w:t>
          </w:r>
        </w:p>
        <w:p w:rsidR="001A10E7" w:rsidRDefault="001A10E7" w:rsidP="001A10E7">
          <w:pPr>
            <w:pStyle w:val="Bulletpoint"/>
          </w:pPr>
          <w:r w:rsidRPr="001A10E7">
            <w:rPr>
              <w:rStyle w:val="Emphasis"/>
            </w:rPr>
            <w:t xml:space="preserve">Non-reserved mail services </w:t>
          </w:r>
          <w:r>
            <w:t>segment have been a potential source of subsidy from 2005–06 to 2010–11 but were a potential recipient of subsidy from 2011–12 to 2014–15.</w:t>
          </w:r>
        </w:p>
        <w:p w:rsidR="001A10E7" w:rsidRDefault="001A10E7" w:rsidP="001A10E7">
          <w:pPr>
            <w:pStyle w:val="Bulletpoint"/>
          </w:pPr>
          <w:r w:rsidRPr="001A10E7">
            <w:rPr>
              <w:rStyle w:val="Emphasis"/>
            </w:rPr>
            <w:t xml:space="preserve">Parcels services </w:t>
          </w:r>
          <w:r>
            <w:t xml:space="preserve">segment has been potentially a source of subsidy from 2005–06 to 2010–11 and from 2013–14 to 2014–15, and were a definite source of subsidy from 2011–12 to 2012–13. </w:t>
          </w:r>
        </w:p>
        <w:p w:rsidR="001A10E7" w:rsidRDefault="001A10E7" w:rsidP="001A10E7">
          <w:pPr>
            <w:pStyle w:val="Bulletpoint"/>
          </w:pPr>
          <w:r w:rsidRPr="001A10E7">
            <w:rPr>
              <w:rStyle w:val="Emphasis"/>
            </w:rPr>
            <w:t xml:space="preserve">Retail and agency services </w:t>
          </w:r>
          <w:r>
            <w:t>have been a potential source of subsidy in all years the ACCC has been monitoring cross-subsidy with the exception of 2012–13 when it was a source of subsidy.</w:t>
          </w:r>
        </w:p>
        <w:p w:rsidR="001A10E7" w:rsidRDefault="001A10E7" w:rsidP="001A10E7">
          <w:pPr>
            <w:pStyle w:val="Bulletpoint"/>
          </w:pPr>
          <w:r w:rsidRPr="001A10E7">
            <w:rPr>
              <w:rStyle w:val="Emphasis"/>
            </w:rPr>
            <w:t xml:space="preserve">Other services’ </w:t>
          </w:r>
          <w:r>
            <w:t>segment has been a potential source of subsidy in 2005–06 and 2006–07, a potential recipient of a subsidy in 2007–08 and 2008–09, neither the recipient nor source of a subsidy in 2009–10, and a recipient of a subsidy from 2010–11 to 2014–15.</w:t>
          </w:r>
        </w:p>
        <w:p w:rsidR="00C043A7" w:rsidRDefault="00C043A7">
          <w:pPr>
            <w:rPr>
              <w:rFonts w:ascii="Lucida Fax" w:eastAsiaTheme="majorEastAsia" w:hAnsi="Lucida Fax" w:cstheme="majorBidi"/>
              <w:bCs/>
              <w:color w:val="51626F"/>
              <w:sz w:val="32"/>
              <w:szCs w:val="28"/>
            </w:rPr>
          </w:pPr>
          <w:r>
            <w:br w:type="page"/>
          </w:r>
        </w:p>
        <w:p w:rsidR="001A10E7" w:rsidRDefault="00C043A7" w:rsidP="00C043A7">
          <w:pPr>
            <w:pStyle w:val="Heading1"/>
          </w:pPr>
          <w:bookmarkStart w:id="30" w:name="_Toc447275838"/>
          <w:r>
            <w:lastRenderedPageBreak/>
            <w:t xml:space="preserve">Appendix A: </w:t>
          </w:r>
          <w:r w:rsidR="001A10E7">
            <w:t>Accounting policies and cost allocation</w:t>
          </w:r>
          <w:bookmarkEnd w:id="30"/>
        </w:p>
        <w:p w:rsidR="001A10E7" w:rsidRDefault="001A10E7" w:rsidP="001A10E7">
          <w:r>
            <w:t xml:space="preserve">The results of the cross-subsidy assessment </w:t>
          </w:r>
          <w:proofErr w:type="gramStart"/>
          <w:r>
            <w:t>will be affected</w:t>
          </w:r>
          <w:proofErr w:type="gramEnd"/>
          <w:r>
            <w:t xml:space="preserve"> by:</w:t>
          </w:r>
        </w:p>
        <w:p w:rsidR="001A10E7" w:rsidRDefault="001A10E7" w:rsidP="001A10E7">
          <w:pPr>
            <w:pStyle w:val="Bulletpoint"/>
          </w:pPr>
          <w:r>
            <w:t>the method of allocating costs to service groups (Section A.1)</w:t>
          </w:r>
        </w:p>
        <w:p w:rsidR="001A10E7" w:rsidRDefault="001A10E7" w:rsidP="001A10E7">
          <w:pPr>
            <w:pStyle w:val="Bulletpoint"/>
          </w:pPr>
          <w:r>
            <w:t>Australia Post’s accounting policies (Section A.2)</w:t>
          </w:r>
        </w:p>
        <w:p w:rsidR="001A10E7" w:rsidRDefault="001A10E7" w:rsidP="001A10E7">
          <w:r>
            <w:t xml:space="preserve">The ACCC has made a number of changes in the way it presents the cross-subsidy results in 2014–15. These changes </w:t>
          </w:r>
          <w:proofErr w:type="gramStart"/>
          <w:r>
            <w:t>are discussed</w:t>
          </w:r>
          <w:proofErr w:type="gramEnd"/>
          <w:r>
            <w:t xml:space="preserve"> in Section A.3.</w:t>
          </w:r>
        </w:p>
        <w:p w:rsidR="001A10E7" w:rsidRDefault="00C043A7" w:rsidP="00C043A7">
          <w:pPr>
            <w:pStyle w:val="Heading2"/>
          </w:pPr>
          <w:bookmarkStart w:id="31" w:name="_Toc447275839"/>
          <w:r>
            <w:t>A.1</w:t>
          </w:r>
          <w:r>
            <w:tab/>
          </w:r>
          <w:r w:rsidR="001A10E7">
            <w:t>Cost allocation</w:t>
          </w:r>
          <w:bookmarkEnd w:id="31"/>
        </w:p>
        <w:p w:rsidR="001A10E7" w:rsidRDefault="001A10E7" w:rsidP="001A10E7">
          <w:r>
            <w:t xml:space="preserve">The ACCC does not formally review Australia Post’s activity-based cost allocation methodology (CAM) as part of its annual cross-subsidy assessment process. </w:t>
          </w:r>
        </w:p>
        <w:p w:rsidR="001A10E7" w:rsidRDefault="001A10E7" w:rsidP="001A10E7">
          <w:r>
            <w:t xml:space="preserve">To undertake its annual cross-subsidy assessment, the ACCC uses information provided by Australia Post in its regulatory accounts, which are required to be prepared in accordance with the ACCC’s RKR. </w:t>
          </w:r>
          <w:proofErr w:type="gramStart"/>
          <w:r>
            <w:t>The regulatory accounts are reviewed by an independent auditor who audits Australia Post’s compliance with the RKR and Australian Auditing Standards</w:t>
          </w:r>
          <w:proofErr w:type="gramEnd"/>
          <w:r>
            <w:t>.</w:t>
          </w:r>
        </w:p>
        <w:p w:rsidR="001A10E7" w:rsidRDefault="001A10E7" w:rsidP="001A10E7">
          <w:r>
            <w:t xml:space="preserve">Australia Post allocates revenues, costs, and assets between service groups using its CAM. Australia Post </w:t>
          </w:r>
          <w:proofErr w:type="gramStart"/>
          <w:r>
            <w:t>is required</w:t>
          </w:r>
          <w:proofErr w:type="gramEnd"/>
          <w:r>
            <w:t xml:space="preserve"> by the RAF to provide revenue and cost information (regulatory accounts) disaggregated by defined service groups and reported as direct, attributable or </w:t>
          </w:r>
          <w:proofErr w:type="spellStart"/>
          <w:r>
            <w:t>unattributable</w:t>
          </w:r>
          <w:proofErr w:type="spellEnd"/>
          <w:r>
            <w:t xml:space="preserve"> account items. </w:t>
          </w:r>
        </w:p>
        <w:p w:rsidR="001A10E7" w:rsidRDefault="001A10E7" w:rsidP="001A10E7">
          <w:r>
            <w:t xml:space="preserve">Direct account items are account items that are solely associated with a particular service and will be incremental to providing that service (for example, cost of goods sold </w:t>
          </w:r>
          <w:proofErr w:type="gramStart"/>
          <w:r>
            <w:t>can be directly attributed</w:t>
          </w:r>
          <w:proofErr w:type="gramEnd"/>
          <w:r>
            <w:t xml:space="preserve"> to products sold in Australia Post’s retail stores). Due to the shared and labour-intensive nature of Australia Post’s operations, it has very few direct account items relating to its mail services (for example, most of the delivery costs would be shared by a number of mail and small parcel services, and are attributed to the product by the cost allocation methodology).</w:t>
          </w:r>
        </w:p>
        <w:p w:rsidR="001A10E7" w:rsidRDefault="001A10E7" w:rsidP="001A10E7">
          <w:r>
            <w:t xml:space="preserve">Attributable account items are part of a pool of common account items that are identifiable to a particular service by a separable cause-and-effect relationship. For example, the labour costs associated with processing and delivering letters </w:t>
          </w:r>
          <w:proofErr w:type="gramStart"/>
          <w:r>
            <w:t>can be described</w:t>
          </w:r>
          <w:proofErr w:type="gramEnd"/>
          <w:r>
            <w:t xml:space="preserve"> as attributable, as these costs are attributed to particular mail and parcel services based on their revenues, volumes, and the relative effort of delivery/processing the product.</w:t>
          </w:r>
        </w:p>
        <w:p w:rsidR="001A10E7" w:rsidRDefault="001A10E7" w:rsidP="001A10E7">
          <w:proofErr w:type="spellStart"/>
          <w:r>
            <w:t>Unattributable</w:t>
          </w:r>
          <w:proofErr w:type="spellEnd"/>
          <w:r>
            <w:t xml:space="preserve"> account items are part of a pool of common account items but are not readily identifiable (in whole or part) to any particular service by a separable cause-and-effect relationship. For example, costs associated with senior </w:t>
          </w:r>
          <w:proofErr w:type="gramStart"/>
          <w:r>
            <w:t>management and central support functions such as finance</w:t>
          </w:r>
          <w:proofErr w:type="gramEnd"/>
          <w:r>
            <w:t xml:space="preserve"> and corporate affairs are classified as </w:t>
          </w:r>
          <w:proofErr w:type="spellStart"/>
          <w:r>
            <w:t>unattributable</w:t>
          </w:r>
          <w:proofErr w:type="spellEnd"/>
          <w:r>
            <w:t xml:space="preserve"> items. </w:t>
          </w:r>
          <w:proofErr w:type="spellStart"/>
          <w:r>
            <w:t>Unattributable</w:t>
          </w:r>
          <w:proofErr w:type="spellEnd"/>
          <w:r>
            <w:t xml:space="preserve"> account items are allocated to particular service groups using some factor (such as, for example, relative use).</w:t>
          </w:r>
        </w:p>
        <w:p w:rsidR="001A10E7" w:rsidRDefault="001A10E7" w:rsidP="001A10E7">
          <w:r>
            <w:t xml:space="preserve">The ACCC engaged an external consultant with expertise in the postal industry, </w:t>
          </w:r>
          <w:proofErr w:type="spellStart"/>
          <w:r>
            <w:t>Wik</w:t>
          </w:r>
          <w:proofErr w:type="spellEnd"/>
          <w:r>
            <w:t xml:space="preserve">, to review Australia Post’s CAM in 2015 as part of its assessment of Australia Post’s price notification. Australia Post acknowledged the comments by the ACCC and </w:t>
          </w:r>
          <w:proofErr w:type="spellStart"/>
          <w:r>
            <w:t>Wik</w:t>
          </w:r>
          <w:proofErr w:type="spellEnd"/>
          <w:r>
            <w:t xml:space="preserve"> and committed to working with the ACCC in relation to its cost allocation model, and in particular regarding the accurate reflection of regular and priority cost differences. The key findings of the 2015 review </w:t>
          </w:r>
          <w:proofErr w:type="gramStart"/>
          <w:r>
            <w:t>are discussed</w:t>
          </w:r>
          <w:proofErr w:type="gramEnd"/>
          <w:r>
            <w:t xml:space="preserve"> in Section 2.6 of this report.</w:t>
          </w:r>
        </w:p>
        <w:p w:rsidR="001A10E7" w:rsidRDefault="00C043A7" w:rsidP="00C043A7">
          <w:pPr>
            <w:pStyle w:val="Heading2"/>
          </w:pPr>
          <w:bookmarkStart w:id="32" w:name="_Toc447275840"/>
          <w:r>
            <w:t>A.2</w:t>
          </w:r>
          <w:r>
            <w:tab/>
          </w:r>
          <w:r w:rsidR="001A10E7">
            <w:t>Australia Post’s accounting policies</w:t>
          </w:r>
          <w:bookmarkEnd w:id="32"/>
        </w:p>
        <w:p w:rsidR="001A10E7" w:rsidRDefault="001A10E7" w:rsidP="001A10E7">
          <w:r>
            <w:lastRenderedPageBreak/>
            <w:t>Australia Post’s 2014–15 regulatory accounts have been prepared to be consistent with, and are reconcilable with, the company’s annual report. The financial accounts in Australia Post’s annual report comply with Australian Accounting Standards.</w:t>
          </w:r>
          <w:r w:rsidRPr="001A10E7">
            <w:rPr>
              <w:vertAlign w:val="superscript"/>
            </w:rPr>
            <w:footnoteReference w:id="25"/>
          </w:r>
        </w:p>
        <w:p w:rsidR="001A10E7" w:rsidRDefault="00D376EB" w:rsidP="00D376EB">
          <w:pPr>
            <w:pStyle w:val="Heading3"/>
          </w:pPr>
          <w:bookmarkStart w:id="33" w:name="_Toc447275841"/>
          <w:r>
            <w:t>A.2.1</w:t>
          </w:r>
          <w:r>
            <w:tab/>
          </w:r>
          <w:r w:rsidR="001A10E7">
            <w:t>Accounting for a return on capital</w:t>
          </w:r>
          <w:bookmarkEnd w:id="33"/>
        </w:p>
        <w:p w:rsidR="001A10E7" w:rsidRDefault="001A10E7" w:rsidP="001A10E7">
          <w:r>
            <w:t>In conducting the tests discussed in Chapter 4 of the report, the ACCC used a ‘capital-adjusted’ statement of financial performance.</w:t>
          </w:r>
          <w:r w:rsidRPr="001A10E7">
            <w:rPr>
              <w:vertAlign w:val="superscript"/>
            </w:rPr>
            <w:footnoteReference w:id="26"/>
          </w:r>
          <w:r>
            <w:t xml:space="preserve"> The ACCC believes a return on capital is a legitimate cost to business.</w:t>
          </w:r>
          <w:r w:rsidRPr="001A10E7">
            <w:rPr>
              <w:vertAlign w:val="superscript"/>
            </w:rPr>
            <w:footnoteReference w:id="27"/>
          </w:r>
          <w:r>
            <w:t xml:space="preserve"> As part of the ACCC’s cross-subsidy assessment the cost of capital is included in the cross-subsidy tests. Accordingly, in seeking to identify the existence of cross-subsidy, it is appropriate to identify and quantify this cost.</w:t>
          </w:r>
        </w:p>
        <w:p w:rsidR="001A10E7" w:rsidRDefault="001A10E7" w:rsidP="001A10E7">
          <w:r>
            <w:t xml:space="preserve">The ACCC has applied the tests for cross-subsidy on both a capital-adjusted and a non-capital-adjusted basis and found that the results are generally robust whether capital adjustment </w:t>
          </w:r>
          <w:proofErr w:type="gramStart"/>
          <w:r>
            <w:t>is made</w:t>
          </w:r>
          <w:proofErr w:type="gramEnd"/>
          <w:r>
            <w:t xml:space="preserve"> or not. That is, adding a return on capital as a cost </w:t>
          </w:r>
          <w:proofErr w:type="gramStart"/>
          <w:r>
            <w:t>does not in most cases affect</w:t>
          </w:r>
          <w:proofErr w:type="gramEnd"/>
          <w:r>
            <w:t xml:space="preserve"> whether there is a subsidy, but only the magnitude of the subsidy.</w:t>
          </w:r>
        </w:p>
        <w:p w:rsidR="001A10E7" w:rsidRDefault="001A10E7" w:rsidP="001A10E7">
          <w:r>
            <w:t xml:space="preserve">The ACCC does not endorse Australia Post’s rate of return on capital (WACC) proposed in its statement of WACC either for the purposes of cross-subsidy analysis or for other purposes (such as a price notification). Nor does the ACCC endorse the various input parameters used by Australia Post in its statement of WACC. The ACCC notes that a lower WACC, such as that used in the ACCC’s decision on the 2015 price notification, does not affect the ACCC’s key finding in this </w:t>
          </w:r>
          <w:proofErr w:type="gramStart"/>
          <w:r>
            <w:t>report which</w:t>
          </w:r>
          <w:proofErr w:type="gramEnd"/>
          <w:r>
            <w:t xml:space="preserve"> is that Australia Post’s reserved services were not a source of subsidy for its non-reserved services.  </w:t>
          </w:r>
        </w:p>
        <w:p w:rsidR="001A10E7" w:rsidRDefault="001A10E7" w:rsidP="001A10E7">
          <w:r>
            <w:t xml:space="preserve">While the conclusions presented in this report </w:t>
          </w:r>
          <w:proofErr w:type="gramStart"/>
          <w:r>
            <w:t>are generally presented</w:t>
          </w:r>
          <w:proofErr w:type="gramEnd"/>
          <w:r>
            <w:t xml:space="preserve"> on a capital-adjusted basis, dollar figures presented in this report have not been adjusted to reflect a return on capital. This approach allows readers to reconcile the figures presented with Australia Post’s annual report, and recognises Australia Post’s claim of confidentiality over the capital employed figures.</w:t>
          </w:r>
        </w:p>
        <w:p w:rsidR="001A10E7" w:rsidRDefault="00D376EB" w:rsidP="00D376EB">
          <w:pPr>
            <w:pStyle w:val="Heading3"/>
          </w:pPr>
          <w:bookmarkStart w:id="34" w:name="_Toc447275842"/>
          <w:r>
            <w:t>A.2.2</w:t>
          </w:r>
          <w:r>
            <w:tab/>
          </w:r>
          <w:r w:rsidR="001A10E7">
            <w:t>Changes to Australia Post’s accounting policy</w:t>
          </w:r>
          <w:bookmarkEnd w:id="34"/>
        </w:p>
        <w:p w:rsidR="001A10E7" w:rsidRDefault="001A10E7" w:rsidP="001A10E7">
          <w:r>
            <w:t xml:space="preserve">As required under the RKR, Australia Post has provided the ACCC with details of material changes to the accounting policies it implemented between the submission of the 2013–14 regulatory accounts and the 2014–15 regulatory accounts. </w:t>
          </w:r>
        </w:p>
        <w:p w:rsidR="001A10E7" w:rsidRPr="001A10E7" w:rsidRDefault="001A10E7" w:rsidP="001A10E7">
          <w:pPr>
            <w:rPr>
              <w:rStyle w:val="Strong"/>
            </w:rPr>
          </w:pPr>
          <w:r w:rsidRPr="001A10E7">
            <w:rPr>
              <w:rStyle w:val="Strong"/>
            </w:rPr>
            <w:t>Organisational restructure</w:t>
          </w:r>
        </w:p>
        <w:p w:rsidR="001A10E7" w:rsidRDefault="001A10E7" w:rsidP="001A10E7">
          <w:r>
            <w:t xml:space="preserve">The structure of the 2014–15 regulatory accounts </w:t>
          </w:r>
          <w:proofErr w:type="gramStart"/>
          <w:r>
            <w:t>has been updated</w:t>
          </w:r>
          <w:proofErr w:type="gramEnd"/>
          <w:r>
            <w:t xml:space="preserve"> to align to Australia Post’s current business structure. </w:t>
          </w:r>
          <w:proofErr w:type="gramStart"/>
          <w:r>
            <w:t>Overall</w:t>
          </w:r>
          <w:proofErr w:type="gramEnd"/>
          <w:r>
            <w:t xml:space="preserve"> the four operating segments in Australia Post’s 2014–15 regulatory accounts are broadly similar to the segments contained in the 2013–14 regulatory accounts. Australia Post’s current business structure has four business groups: </w:t>
          </w:r>
        </w:p>
        <w:p w:rsidR="001A10E7" w:rsidRDefault="001A10E7" w:rsidP="001A10E7">
          <w:pPr>
            <w:pStyle w:val="Bulletpoint"/>
          </w:pPr>
          <w:proofErr w:type="gramStart"/>
          <w:r>
            <w:t>Mail services: The collection, processing and distribution of mail items.</w:t>
          </w:r>
          <w:proofErr w:type="gramEnd"/>
          <w:r>
            <w:t xml:space="preserve"> This is comprised of:</w:t>
          </w:r>
        </w:p>
        <w:p w:rsidR="001A10E7" w:rsidRDefault="001A10E7" w:rsidP="001A10E7">
          <w:pPr>
            <w:pStyle w:val="Bulletpoint2"/>
          </w:pPr>
          <w:r>
            <w:t xml:space="preserve">reserved mail - the collection, processing and distribution of domestic letters defined as reserved by the APCA </w:t>
          </w:r>
        </w:p>
        <w:p w:rsidR="001A10E7" w:rsidRDefault="001A10E7" w:rsidP="001A10E7">
          <w:pPr>
            <w:pStyle w:val="Bulletpoint2"/>
          </w:pPr>
          <w:r>
            <w:t xml:space="preserve">non-reserved mail - the processing and distribution of non-reserved domestic letter services </w:t>
          </w:r>
        </w:p>
        <w:p w:rsidR="001A10E7" w:rsidRDefault="001A10E7" w:rsidP="001A10E7">
          <w:pPr>
            <w:pStyle w:val="Bulletpoint"/>
          </w:pPr>
          <w:r>
            <w:lastRenderedPageBreak/>
            <w:t xml:space="preserve">Parcel services: The processing and distribution of parcel and express products along with freight forwarding operations. </w:t>
          </w:r>
        </w:p>
        <w:p w:rsidR="001A10E7" w:rsidRDefault="001A10E7" w:rsidP="001A10E7">
          <w:pPr>
            <w:pStyle w:val="Bulletpoint"/>
          </w:pPr>
          <w:proofErr w:type="gramStart"/>
          <w:r>
            <w:t>Retail and agency services: Providing services across identity, digital, receiver and agency service offerings, as well as the sale of financial and retail merchandise products.</w:t>
          </w:r>
          <w:proofErr w:type="gramEnd"/>
        </w:p>
        <w:p w:rsidR="001A10E7" w:rsidRDefault="001A10E7" w:rsidP="001A10E7">
          <w:pPr>
            <w:pStyle w:val="Bulletpoint"/>
          </w:pPr>
          <w:r>
            <w:t xml:space="preserve">Other services: This includes services that are incidental to Australia Post’s core products and services, principally those </w:t>
          </w:r>
          <w:proofErr w:type="gramStart"/>
          <w:r>
            <w:t>which</w:t>
          </w:r>
          <w:proofErr w:type="gramEnd"/>
          <w:r>
            <w:t xml:space="preserve"> generate rental income, license fees, and other miscellaneous amounts. </w:t>
          </w:r>
        </w:p>
        <w:p w:rsidR="001A10E7" w:rsidRDefault="001A10E7" w:rsidP="001A10E7">
          <w:r>
            <w:t xml:space="preserve">The services categorised in the business segments above are similar to 2013–14 with the exception of Other Letters Associated, Other </w:t>
          </w:r>
          <w:proofErr w:type="spellStart"/>
          <w:r>
            <w:t>Non Product</w:t>
          </w:r>
          <w:proofErr w:type="spellEnd"/>
          <w:r>
            <w:t xml:space="preserve">, </w:t>
          </w:r>
          <w:proofErr w:type="spellStart"/>
          <w:r>
            <w:t>StarTrack</w:t>
          </w:r>
          <w:proofErr w:type="spellEnd"/>
          <w:r>
            <w:t xml:space="preserve"> International, and Courier services. The products </w:t>
          </w:r>
          <w:proofErr w:type="gramStart"/>
          <w:r>
            <w:t>have been realigned</w:t>
          </w:r>
          <w:proofErr w:type="gramEnd"/>
          <w:r>
            <w:t xml:space="preserve"> to different segments in the current period to better reflect the way business unit results are analysed internally. </w:t>
          </w:r>
        </w:p>
        <w:p w:rsidR="001A10E7" w:rsidRDefault="001A10E7" w:rsidP="001A10E7">
          <w:pPr>
            <w:pStyle w:val="Bulletpoint"/>
          </w:pPr>
          <w:r>
            <w:t xml:space="preserve">‘Other Letters Associated’ (mail services) is no longer reported as a separate service and has been consolidated into ‘Consumer and Financial Products’ and Other </w:t>
          </w:r>
          <w:proofErr w:type="spellStart"/>
          <w:r>
            <w:t>Non Product</w:t>
          </w:r>
          <w:proofErr w:type="spellEnd"/>
          <w:r>
            <w:t>’ services</w:t>
          </w:r>
        </w:p>
        <w:p w:rsidR="001A10E7" w:rsidRDefault="001A10E7" w:rsidP="001A10E7">
          <w:pPr>
            <w:pStyle w:val="Bulletpoint"/>
          </w:pPr>
          <w:r>
            <w:t>‘Courier services’ (parcel services) is no longer reported as a separate service and has been consolidated into ‘</w:t>
          </w:r>
          <w:proofErr w:type="spellStart"/>
          <w:r>
            <w:t>StarTrack</w:t>
          </w:r>
          <w:proofErr w:type="spellEnd"/>
          <w:r>
            <w:t xml:space="preserve"> &amp; Express’</w:t>
          </w:r>
        </w:p>
        <w:p w:rsidR="001A10E7" w:rsidRDefault="001A10E7" w:rsidP="001A10E7">
          <w:pPr>
            <w:pStyle w:val="Bulletpoint"/>
          </w:pPr>
          <w:r>
            <w:t>The previous ‘</w:t>
          </w:r>
          <w:proofErr w:type="spellStart"/>
          <w:r>
            <w:t>StarTrack</w:t>
          </w:r>
          <w:proofErr w:type="spellEnd"/>
          <w:r>
            <w:t xml:space="preserve"> International’ (parcel services) service group </w:t>
          </w:r>
          <w:proofErr w:type="gramStart"/>
          <w:r>
            <w:t>has been renamed</w:t>
          </w:r>
          <w:proofErr w:type="gramEnd"/>
          <w:r>
            <w:t xml:space="preserve"> to ‘</w:t>
          </w:r>
          <w:proofErr w:type="spellStart"/>
          <w:r>
            <w:t>StarTrack</w:t>
          </w:r>
          <w:proofErr w:type="spellEnd"/>
          <w:r>
            <w:t xml:space="preserve"> &amp; Express’ in line with current internal reporting. Courier services and certain parcel products such as express </w:t>
          </w:r>
          <w:proofErr w:type="gramStart"/>
          <w:r>
            <w:t>have been incorporated</w:t>
          </w:r>
          <w:proofErr w:type="gramEnd"/>
          <w:r>
            <w:t xml:space="preserve"> in the new service group.</w:t>
          </w:r>
        </w:p>
        <w:p w:rsidR="001A10E7" w:rsidRDefault="001A10E7" w:rsidP="001A10E7">
          <w:pPr>
            <w:pStyle w:val="Bulletpoint"/>
          </w:pPr>
          <w:proofErr w:type="gramStart"/>
          <w:r>
            <w:t>The previous ‘Retail’ service group has been renamed to ‘Consumer and Financial Product’ in line with current internal reporting.</w:t>
          </w:r>
          <w:proofErr w:type="gramEnd"/>
          <w:r>
            <w:t xml:space="preserve"> In </w:t>
          </w:r>
          <w:proofErr w:type="gramStart"/>
          <w:r>
            <w:t>addition</w:t>
          </w:r>
          <w:proofErr w:type="gramEnd"/>
          <w:r>
            <w:t xml:space="preserve"> certain, certain products have been realigned to different segments in the current period to better reflect the way business unit results are analysed internally.</w:t>
          </w:r>
        </w:p>
        <w:p w:rsidR="001A10E7" w:rsidRDefault="001A10E7" w:rsidP="001A10E7">
          <w:pPr>
            <w:pStyle w:val="Bulletpoint"/>
          </w:pPr>
          <w:r>
            <w:t xml:space="preserve">The previous ‘Financial Services’ service group </w:t>
          </w:r>
          <w:proofErr w:type="gramStart"/>
          <w:r>
            <w:t>has been renamed</w:t>
          </w:r>
          <w:proofErr w:type="gramEnd"/>
          <w:r>
            <w:t xml:space="preserve"> to ‘Government &amp; Agency services’ in line with current internal reporting. In </w:t>
          </w:r>
          <w:proofErr w:type="gramStart"/>
          <w:r>
            <w:t>addition</w:t>
          </w:r>
          <w:proofErr w:type="gramEnd"/>
          <w:r>
            <w:t xml:space="preserve"> certain, certain products have been realigned to different segments in the current period to better reflect the way business unit results are analysed internally.</w:t>
          </w:r>
        </w:p>
        <w:p w:rsidR="001A10E7" w:rsidRPr="001A10E7" w:rsidRDefault="001A10E7" w:rsidP="001A10E7">
          <w:pPr>
            <w:rPr>
              <w:rStyle w:val="Strong"/>
            </w:rPr>
          </w:pPr>
          <w:r w:rsidRPr="001A10E7">
            <w:rPr>
              <w:rStyle w:val="Strong"/>
            </w:rPr>
            <w:t>Network Cost Allocation Update (NCAU)</w:t>
          </w:r>
        </w:p>
        <w:p w:rsidR="001A10E7" w:rsidRDefault="001A10E7" w:rsidP="001A10E7">
          <w:r>
            <w:t>Australia Post continually reviews its CAM in line with business changes. The most recent review of methodology has focused on network cost allocations – the Network Cost Allocation Update (NCAU)</w:t>
          </w:r>
        </w:p>
        <w:p w:rsidR="001A10E7" w:rsidRDefault="001A10E7" w:rsidP="001A10E7">
          <w:r>
            <w:t xml:space="preserve">NCAU was set up to review and update the CAM’s operational cost allocation drivers to reflect the reforms and changes to the business in the network, and obtain newly available sources of operational data. </w:t>
          </w:r>
        </w:p>
        <w:p w:rsidR="001A10E7" w:rsidRDefault="001A10E7" w:rsidP="001A10E7">
          <w:r>
            <w:t xml:space="preserve">NCAU commenced by verifying letter and parcel network activities and then updated, included or excluded activities to reflect current business operations. For example, vans </w:t>
          </w:r>
          <w:proofErr w:type="gramStart"/>
          <w:r>
            <w:t>have traditionally been used</w:t>
          </w:r>
          <w:proofErr w:type="gramEnd"/>
          <w:r>
            <w:t xml:space="preserve"> in the clearance of letters from street posting boxes, but are now used to also pick up customer parcels.</w:t>
          </w:r>
        </w:p>
        <w:p w:rsidR="001A10E7" w:rsidRDefault="001A10E7" w:rsidP="001A10E7">
          <w:r>
            <w:t>Australia Post expects that NCAU will result in a more accurate allocation of costs between reserved and non-reserved services.</w:t>
          </w:r>
        </w:p>
        <w:p w:rsidR="001A10E7" w:rsidRDefault="00D376EB" w:rsidP="00D376EB">
          <w:pPr>
            <w:pStyle w:val="Heading2"/>
          </w:pPr>
          <w:bookmarkStart w:id="35" w:name="_Toc447275843"/>
          <w:r>
            <w:t>A.3</w:t>
          </w:r>
          <w:r>
            <w:tab/>
          </w:r>
          <w:r w:rsidR="001A10E7">
            <w:t>Presentation of cross-subsidy results</w:t>
          </w:r>
          <w:bookmarkEnd w:id="35"/>
        </w:p>
        <w:p w:rsidR="001A10E7" w:rsidRDefault="00D376EB" w:rsidP="00D376EB">
          <w:pPr>
            <w:pStyle w:val="Heading3"/>
          </w:pPr>
          <w:bookmarkStart w:id="36" w:name="_Toc447275844"/>
          <w:r>
            <w:t>A.3.1</w:t>
          </w:r>
          <w:r>
            <w:tab/>
          </w:r>
          <w:r w:rsidR="001A10E7">
            <w:t>Australia Post’s new business units</w:t>
          </w:r>
          <w:bookmarkEnd w:id="36"/>
        </w:p>
        <w:p w:rsidR="001A10E7" w:rsidRDefault="001A10E7" w:rsidP="001A10E7">
          <w:r>
            <w:lastRenderedPageBreak/>
            <w:t xml:space="preserve">Changes to Australia Post’s accounting policies, and in particular the classification of service groups, will </w:t>
          </w:r>
          <w:proofErr w:type="gramStart"/>
          <w:r>
            <w:t>impact on</w:t>
          </w:r>
          <w:proofErr w:type="gramEnd"/>
          <w:r>
            <w:t xml:space="preserve"> comparison of results over time.</w:t>
          </w:r>
          <w:r w:rsidRPr="001A10E7">
            <w:rPr>
              <w:vertAlign w:val="superscript"/>
            </w:rPr>
            <w:footnoteReference w:id="28"/>
          </w:r>
          <w:r>
            <w:t xml:space="preserve"> For example, as noted above at A.2.2, in 2014–15 </w:t>
          </w:r>
          <w:proofErr w:type="gramStart"/>
          <w:r>
            <w:t>the classification of a number of service groups was changed by Australia Post</w:t>
          </w:r>
          <w:proofErr w:type="gramEnd"/>
          <w:r>
            <w:t xml:space="preserve">. </w:t>
          </w:r>
        </w:p>
        <w:p w:rsidR="001A10E7" w:rsidRDefault="001A10E7" w:rsidP="001A10E7">
          <w:r>
            <w:t xml:space="preserve">The 2014–15 cross-subsidy report presents the cross-subsidy results consistently with Australia Post’s current organisational structure to ensure that the cross-subsidy results are reconcilable with Australia Post’s annual report and segment note. </w:t>
          </w:r>
        </w:p>
        <w:p w:rsidR="001A10E7" w:rsidRDefault="00D376EB" w:rsidP="00D376EB">
          <w:pPr>
            <w:pStyle w:val="Heading3"/>
          </w:pPr>
          <w:bookmarkStart w:id="37" w:name="_Toc447275845"/>
          <w:r>
            <w:t>A.3.2</w:t>
          </w:r>
          <w:r>
            <w:tab/>
          </w:r>
          <w:r w:rsidR="001A10E7">
            <w:t>International inward and outward letters</w:t>
          </w:r>
          <w:bookmarkEnd w:id="37"/>
        </w:p>
        <w:p w:rsidR="001A10E7" w:rsidRDefault="001A10E7" w:rsidP="001A10E7">
          <w:r>
            <w:t>In this report, the ACCC has changed the categorisation of international inward and outward letters. Previous cross-subsidy reports have grouped these services as part of the broad category of ‘letter services’. Given that Australia Post categorises international inward and outward letters as part of the ‘Parcels’ group, in the 2014–15 cross-subsidy report these services have been included in ‘non-letter services’, which includes other parcels services.</w:t>
          </w:r>
        </w:p>
        <w:p w:rsidR="001A10E7" w:rsidRDefault="00D376EB" w:rsidP="00D376EB">
          <w:pPr>
            <w:pStyle w:val="Heading3"/>
          </w:pPr>
          <w:bookmarkStart w:id="38" w:name="_Toc447275846"/>
          <w:r>
            <w:t>A.3.3</w:t>
          </w:r>
          <w:r>
            <w:tab/>
          </w:r>
          <w:r w:rsidR="001A10E7">
            <w:t>Reply Paid fees</w:t>
          </w:r>
          <w:bookmarkEnd w:id="38"/>
        </w:p>
        <w:p w:rsidR="001A10E7" w:rsidRDefault="001A10E7" w:rsidP="001A10E7">
          <w:r>
            <w:t xml:space="preserve">In </w:t>
          </w:r>
          <w:proofErr w:type="gramStart"/>
          <w:r>
            <w:t>2014–15</w:t>
          </w:r>
          <w:proofErr w:type="gramEnd"/>
          <w:r>
            <w:t xml:space="preserve"> Australia Post included ‘Reply Paid fees’ for the first time as a reserved service. </w:t>
          </w:r>
          <w:proofErr w:type="gramStart"/>
          <w:r>
            <w:t>This service is defined by Australia Post</w:t>
          </w:r>
          <w:proofErr w:type="gramEnd"/>
          <w:r>
            <w:t xml:space="preserve"> as a fee charged for reply paid services such as Reply Paid Letters (Domestic). An annual fee of $100 applies for every domestic Reply Paid permit, which </w:t>
          </w:r>
          <w:proofErr w:type="gramStart"/>
          <w:r>
            <w:t>is charged</w:t>
          </w:r>
          <w:proofErr w:type="gramEnd"/>
          <w:r>
            <w:t xml:space="preserve"> to a customer’s account. </w:t>
          </w:r>
        </w:p>
        <w:p w:rsidR="001A10E7" w:rsidRDefault="001A10E7" w:rsidP="001A10E7">
          <w:r>
            <w:t xml:space="preserve">The ACCC considers that these fees are not a reserved service and has included these fees under ‘other letter mail services’, a non-reserved service. In future, Australia Post has agreed to classify this service as a non-reserved service (under ‘other letter mail services’) to reflect the fact that the fee </w:t>
          </w:r>
          <w:proofErr w:type="gramStart"/>
          <w:r>
            <w:t>would not be covered</w:t>
          </w:r>
          <w:proofErr w:type="gramEnd"/>
          <w:r>
            <w:t xml:space="preserve"> by the statutory monopoly.</w:t>
          </w:r>
        </w:p>
        <w:p w:rsidR="001A10E7" w:rsidRDefault="00D376EB" w:rsidP="00D376EB">
          <w:pPr>
            <w:pStyle w:val="Heading3"/>
          </w:pPr>
          <w:bookmarkStart w:id="39" w:name="_Toc447275847"/>
          <w:r>
            <w:t>A.3.4</w:t>
          </w:r>
          <w:r>
            <w:tab/>
          </w:r>
          <w:r w:rsidR="001A10E7">
            <w:t>Inter-segment fees</w:t>
          </w:r>
          <w:bookmarkEnd w:id="39"/>
        </w:p>
        <w:p w:rsidR="001A10E7" w:rsidRDefault="001A10E7" w:rsidP="001A10E7">
          <w:r>
            <w:t xml:space="preserve">Australia Post’s annual and regulatory accounts included ‘Inter-segment fees’ as a service for the first time in 2014–15. Australia Post has noted that inter-segment costs and revenues are a way of establishing an internal transfer price between the Mail, Parcel and Retail and agency segments, equivalent to the market price paid to the licensed post offices for distributing mail and parcel products. </w:t>
          </w:r>
        </w:p>
        <w:p w:rsidR="001A10E7" w:rsidRDefault="001A10E7" w:rsidP="001A10E7">
          <w:r>
            <w:t xml:space="preserve">The ACCC has excluded the inter-segment costs and revenues from its cross-subsidy testing in 2014–15 as the inclusion of ‘inter-segment fees’ (which include significant negative revenue and negative cost components) would have produced non-meaningful cross-subsidy results. </w:t>
          </w:r>
        </w:p>
        <w:p w:rsidR="00303C4A" w:rsidRDefault="001A10E7"/>
      </w:sdtContent>
    </w:sdt>
    <w:sectPr w:rsidR="00303C4A" w:rsidSect="001A10E7">
      <w:footerReference w:type="first" r:id="rId13"/>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E7" w:rsidRDefault="001A10E7" w:rsidP="004B4412">
      <w:pPr>
        <w:spacing w:before="0"/>
      </w:pPr>
      <w:r>
        <w:separator/>
      </w:r>
    </w:p>
  </w:endnote>
  <w:endnote w:type="continuationSeparator" w:id="0">
    <w:p w:rsidR="001A10E7" w:rsidRDefault="001A10E7"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PFCentroSlabPro-Regular">
    <w:panose1 w:val="00000000000000000000"/>
    <w:charset w:val="4D"/>
    <w:family w:val="auto"/>
    <w:notTrueType/>
    <w:pitch w:val="default"/>
    <w:sig w:usb0="00000003" w:usb1="00000000" w:usb2="00000000" w:usb3="00000000" w:csb0="00000001" w:csb1="00000000"/>
  </w:font>
  <w:font w:name="Gotham-Medium">
    <w:panose1 w:val="00000000000000000000"/>
    <w:charset w:val="4D"/>
    <w:family w:val="auto"/>
    <w:notTrueType/>
    <w:pitch w:val="default"/>
    <w:sig w:usb0="00000003" w:usb1="00000000" w:usb2="00000000" w:usb3="00000000" w:csb0="00000001" w:csb1="00000000"/>
  </w:font>
  <w:font w:name="Gotham-Book">
    <w:panose1 w:val="00000000000000000000"/>
    <w:charset w:val="4D"/>
    <w:family w:val="auto"/>
    <w:notTrueType/>
    <w:pitch w:val="default"/>
    <w:sig w:usb0="00000003" w:usb1="00000000" w:usb2="00000000" w:usb3="00000000" w:csb0="00000001" w:csb1="00000000"/>
  </w:font>
  <w:font w:name="Gotham-Light">
    <w:panose1 w:val="00000000000000000000"/>
    <w:charset w:val="4D"/>
    <w:family w:val="auto"/>
    <w:notTrueType/>
    <w:pitch w:val="default"/>
    <w:sig w:usb0="00000003" w:usb1="00000000" w:usb2="00000000" w:usb3="00000000" w:csb0="00000001" w:csb1="00000000"/>
  </w:font>
  <w:font w:name="GothamNarrow-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1A10E7" w:rsidRDefault="001A10E7">
        <w:pPr>
          <w:pStyle w:val="Footer"/>
        </w:pPr>
        <w:r>
          <w:fldChar w:fldCharType="begin"/>
        </w:r>
        <w:r>
          <w:instrText xml:space="preserve"> PAGE   \* MERGEFORMAT </w:instrText>
        </w:r>
        <w:r>
          <w:fldChar w:fldCharType="separate"/>
        </w:r>
        <w:r w:rsidR="00D376EB">
          <w:rPr>
            <w:noProof/>
          </w:rPr>
          <w:t>0</w:t>
        </w:r>
        <w:r>
          <w:rPr>
            <w:noProof/>
          </w:rPr>
          <w:fldChar w:fldCharType="end"/>
        </w:r>
      </w:p>
    </w:sdtContent>
  </w:sdt>
  <w:p w:rsidR="001A10E7" w:rsidRDefault="001A1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E7" w:rsidRDefault="001A10E7" w:rsidP="004B4412">
      <w:pPr>
        <w:spacing w:before="0"/>
      </w:pPr>
      <w:r>
        <w:separator/>
      </w:r>
    </w:p>
  </w:footnote>
  <w:footnote w:type="continuationSeparator" w:id="0">
    <w:p w:rsidR="001A10E7" w:rsidRDefault="001A10E7" w:rsidP="004B4412">
      <w:pPr>
        <w:spacing w:before="0"/>
      </w:pPr>
      <w:r>
        <w:continuationSeparator/>
      </w:r>
    </w:p>
  </w:footnote>
  <w:footnote w:id="1">
    <w:p w:rsidR="001A10E7" w:rsidRDefault="001A10E7" w:rsidP="001A10E7">
      <w:pPr>
        <w:pStyle w:val="04footnote"/>
        <w:tabs>
          <w:tab w:val="clear" w:pos="283"/>
          <w:tab w:val="left" w:pos="340"/>
        </w:tabs>
      </w:pPr>
      <w:r>
        <w:rPr>
          <w:vertAlign w:val="superscript"/>
        </w:rPr>
        <w:footnoteRef/>
      </w:r>
      <w:r>
        <w:tab/>
      </w:r>
      <w:r>
        <w:rPr>
          <w:lang w:val="en-AU"/>
        </w:rPr>
        <w:t xml:space="preserve">A monopolist may be able </w:t>
      </w:r>
      <w:proofErr w:type="gramStart"/>
      <w:r>
        <w:rPr>
          <w:lang w:val="en-AU"/>
        </w:rPr>
        <w:t>to sustainably maintain</w:t>
      </w:r>
      <w:proofErr w:type="gramEnd"/>
      <w:r>
        <w:rPr>
          <w:lang w:val="en-AU"/>
        </w:rPr>
        <w:t xml:space="preserve"> prices below cost in related markets using profits from its monopoly services. In such a situation, customers that use the monopoly services </w:t>
      </w:r>
      <w:proofErr w:type="gramStart"/>
      <w:r>
        <w:rPr>
          <w:lang w:val="en-AU"/>
        </w:rPr>
        <w:t>are charged</w:t>
      </w:r>
      <w:proofErr w:type="gramEnd"/>
      <w:r>
        <w:rPr>
          <w:lang w:val="en-AU"/>
        </w:rPr>
        <w:t xml:space="preserve"> higher prices that contain a subsidy for the customers that use the monopolist’s competitive services. This may result in economically inefficient over-consumption of non-reserved services, and </w:t>
      </w:r>
      <w:proofErr w:type="gramStart"/>
      <w:r>
        <w:rPr>
          <w:lang w:val="en-AU"/>
        </w:rPr>
        <w:t>may also</w:t>
      </w:r>
      <w:proofErr w:type="gramEnd"/>
      <w:r>
        <w:rPr>
          <w:lang w:val="en-AU"/>
        </w:rPr>
        <w:t xml:space="preserve"> negatively affect the competitiveness of the non-reserved service market. Additionally, in such a situation an economic inefficiency arises because prices for the monopoly services are, on the whole, at higher than competitive levels.</w:t>
      </w:r>
    </w:p>
  </w:footnote>
  <w:footnote w:id="2">
    <w:p w:rsidR="001A10E7" w:rsidRDefault="001A10E7" w:rsidP="001A10E7">
      <w:pPr>
        <w:pStyle w:val="04footnote"/>
        <w:tabs>
          <w:tab w:val="clear" w:pos="283"/>
          <w:tab w:val="left" w:pos="340"/>
        </w:tabs>
        <w:rPr>
          <w:lang w:val="en-AU"/>
        </w:rPr>
      </w:pPr>
      <w:r>
        <w:rPr>
          <w:vertAlign w:val="superscript"/>
        </w:rPr>
        <w:footnoteRef/>
      </w:r>
      <w:r>
        <w:tab/>
      </w:r>
      <w:proofErr w:type="gramStart"/>
      <w:r>
        <w:rPr>
          <w:lang w:val="en-AU"/>
        </w:rPr>
        <w:t xml:space="preserve">Explanatory memorandum for the </w:t>
      </w:r>
      <w:r>
        <w:rPr>
          <w:spacing w:val="-1"/>
          <w:lang w:val="en-AU"/>
        </w:rPr>
        <w:t>Postal Services Legislation Amendment Bill 2003</w:t>
      </w:r>
      <w:r>
        <w:rPr>
          <w:lang w:val="en-AU"/>
        </w:rPr>
        <w:t>, p. 40.</w:t>
      </w:r>
      <w:proofErr w:type="gramEnd"/>
      <w:r>
        <w:rPr>
          <w:lang w:val="en-AU"/>
        </w:rPr>
        <w:t xml:space="preserve"> Section </w:t>
      </w:r>
      <w:proofErr w:type="gramStart"/>
      <w:r>
        <w:rPr>
          <w:lang w:val="en-AU"/>
        </w:rPr>
        <w:t>50H(</w:t>
      </w:r>
      <w:proofErr w:type="gramEnd"/>
      <w:r>
        <w:rPr>
          <w:lang w:val="en-AU"/>
        </w:rPr>
        <w:t>2) of the APCA provides the ACCC with authority to require Australia Post to keep certain records about its  reserved services.</w:t>
      </w:r>
    </w:p>
    <w:p w:rsidR="001A10E7" w:rsidRDefault="001A10E7" w:rsidP="001A10E7">
      <w:pPr>
        <w:pStyle w:val="04footnote"/>
        <w:tabs>
          <w:tab w:val="clear" w:pos="283"/>
          <w:tab w:val="left" w:pos="340"/>
        </w:tabs>
      </w:pPr>
    </w:p>
  </w:footnote>
  <w:footnote w:id="3">
    <w:p w:rsidR="001A10E7" w:rsidRDefault="001A10E7" w:rsidP="001A10E7">
      <w:pPr>
        <w:pStyle w:val="04footnote"/>
      </w:pPr>
      <w:r>
        <w:rPr>
          <w:vertAlign w:val="superscript"/>
        </w:rPr>
        <w:footnoteRef/>
      </w:r>
      <w:r>
        <w:tab/>
      </w:r>
      <w:proofErr w:type="gramStart"/>
      <w:r>
        <w:t>Australia Post annual report 2014–15, p. 1.</w:t>
      </w:r>
      <w:proofErr w:type="gramEnd"/>
    </w:p>
    <w:p w:rsidR="001A10E7" w:rsidRDefault="001A10E7" w:rsidP="001A10E7">
      <w:pPr>
        <w:pStyle w:val="04footnote"/>
      </w:pPr>
    </w:p>
  </w:footnote>
  <w:footnote w:id="4">
    <w:p w:rsidR="001A10E7" w:rsidRDefault="001A10E7" w:rsidP="001A10E7">
      <w:pPr>
        <w:pStyle w:val="04footnote"/>
        <w:tabs>
          <w:tab w:val="clear" w:pos="283"/>
          <w:tab w:val="left" w:pos="340"/>
        </w:tabs>
        <w:rPr>
          <w:lang w:val="en-AU"/>
        </w:rPr>
      </w:pPr>
      <w:r>
        <w:rPr>
          <w:vertAlign w:val="superscript"/>
        </w:rPr>
        <w:footnoteRef/>
      </w:r>
      <w:r>
        <w:tab/>
      </w:r>
      <w:r>
        <w:rPr>
          <w:lang w:val="en-AU"/>
        </w:rPr>
        <w:t xml:space="preserve"> </w:t>
      </w:r>
      <w:proofErr w:type="spellStart"/>
      <w:proofErr w:type="gramStart"/>
      <w:r>
        <w:rPr>
          <w:lang w:val="en-AU"/>
        </w:rPr>
        <w:t>ustralia</w:t>
      </w:r>
      <w:proofErr w:type="spellEnd"/>
      <w:proofErr w:type="gramEnd"/>
      <w:r>
        <w:rPr>
          <w:lang w:val="en-AU"/>
        </w:rPr>
        <w:t xml:space="preserve"> Post annual report 2014–15, p. 1.</w:t>
      </w:r>
    </w:p>
    <w:p w:rsidR="001A10E7" w:rsidRDefault="001A10E7" w:rsidP="001A10E7">
      <w:pPr>
        <w:pStyle w:val="04footnote"/>
        <w:tabs>
          <w:tab w:val="clear" w:pos="283"/>
          <w:tab w:val="left" w:pos="340"/>
        </w:tabs>
      </w:pPr>
    </w:p>
  </w:footnote>
  <w:footnote w:id="5">
    <w:p w:rsidR="001A10E7" w:rsidRDefault="001A10E7" w:rsidP="001A10E7">
      <w:pPr>
        <w:pStyle w:val="04footnote"/>
        <w:tabs>
          <w:tab w:val="clear" w:pos="283"/>
          <w:tab w:val="left" w:pos="340"/>
        </w:tabs>
        <w:rPr>
          <w:lang w:val="en-AU"/>
        </w:rPr>
      </w:pPr>
      <w:r>
        <w:rPr>
          <w:vertAlign w:val="superscript"/>
        </w:rPr>
        <w:footnoteRef/>
      </w:r>
      <w:r>
        <w:tab/>
      </w:r>
      <w:proofErr w:type="gramStart"/>
      <w:r>
        <w:rPr>
          <w:lang w:val="en-AU"/>
        </w:rPr>
        <w:t>Australia Post annual report 2014–15, p. 27.</w:t>
      </w:r>
      <w:proofErr w:type="gramEnd"/>
    </w:p>
    <w:p w:rsidR="001A10E7" w:rsidRDefault="001A10E7" w:rsidP="001A10E7">
      <w:pPr>
        <w:pStyle w:val="04footnote"/>
        <w:tabs>
          <w:tab w:val="clear" w:pos="283"/>
          <w:tab w:val="left" w:pos="340"/>
        </w:tabs>
      </w:pPr>
    </w:p>
  </w:footnote>
  <w:footnote w:id="6">
    <w:p w:rsidR="001A10E7" w:rsidRDefault="001A10E7" w:rsidP="001A10E7">
      <w:pPr>
        <w:pStyle w:val="04footnote"/>
        <w:tabs>
          <w:tab w:val="clear" w:pos="283"/>
          <w:tab w:val="left" w:pos="340"/>
        </w:tabs>
        <w:rPr>
          <w:lang w:val="en-AU"/>
        </w:rPr>
      </w:pPr>
      <w:r>
        <w:rPr>
          <w:vertAlign w:val="superscript"/>
        </w:rPr>
        <w:footnoteRef/>
      </w:r>
      <w:r>
        <w:tab/>
      </w:r>
      <w:proofErr w:type="gramStart"/>
      <w:r>
        <w:rPr>
          <w:lang w:val="en-AU"/>
        </w:rPr>
        <w:t>Section 26 of the APCA.</w:t>
      </w:r>
      <w:proofErr w:type="gramEnd"/>
    </w:p>
    <w:p w:rsidR="001A10E7" w:rsidRDefault="001A10E7" w:rsidP="001A10E7">
      <w:pPr>
        <w:pStyle w:val="04footnote"/>
        <w:tabs>
          <w:tab w:val="clear" w:pos="283"/>
          <w:tab w:val="left" w:pos="340"/>
        </w:tabs>
      </w:pPr>
    </w:p>
  </w:footnote>
  <w:footnote w:id="7">
    <w:p w:rsidR="001A10E7" w:rsidRDefault="001A10E7" w:rsidP="001A10E7">
      <w:pPr>
        <w:pStyle w:val="04footnote"/>
        <w:tabs>
          <w:tab w:val="clear" w:pos="283"/>
          <w:tab w:val="left" w:pos="340"/>
        </w:tabs>
        <w:rPr>
          <w:lang w:val="en-AU"/>
        </w:rPr>
      </w:pPr>
      <w:r>
        <w:rPr>
          <w:vertAlign w:val="superscript"/>
        </w:rPr>
        <w:footnoteRef/>
      </w:r>
      <w:r>
        <w:tab/>
      </w:r>
      <w:proofErr w:type="gramStart"/>
      <w:r>
        <w:rPr>
          <w:lang w:val="en-AU"/>
        </w:rPr>
        <w:t>Section 27 of the APCA.</w:t>
      </w:r>
      <w:proofErr w:type="gramEnd"/>
    </w:p>
    <w:p w:rsidR="001A10E7" w:rsidRDefault="001A10E7" w:rsidP="001A10E7">
      <w:pPr>
        <w:pStyle w:val="04footnote"/>
        <w:tabs>
          <w:tab w:val="clear" w:pos="283"/>
          <w:tab w:val="left" w:pos="340"/>
        </w:tabs>
      </w:pPr>
    </w:p>
  </w:footnote>
  <w:footnote w:id="8">
    <w:p w:rsidR="001A10E7" w:rsidRDefault="001A10E7" w:rsidP="001A10E7">
      <w:pPr>
        <w:pStyle w:val="04footnote"/>
        <w:tabs>
          <w:tab w:val="clear" w:pos="283"/>
          <w:tab w:val="left" w:pos="340"/>
        </w:tabs>
        <w:rPr>
          <w:lang w:val="en-AU"/>
        </w:rPr>
      </w:pPr>
      <w:r>
        <w:rPr>
          <w:vertAlign w:val="superscript"/>
        </w:rPr>
        <w:footnoteRef/>
      </w:r>
      <w:r>
        <w:tab/>
      </w:r>
      <w:proofErr w:type="gramStart"/>
      <w:r>
        <w:rPr>
          <w:lang w:val="en-AU"/>
        </w:rPr>
        <w:t>Section 28 of the APCA.</w:t>
      </w:r>
      <w:proofErr w:type="gramEnd"/>
    </w:p>
    <w:p w:rsidR="001A10E7" w:rsidRDefault="001A10E7" w:rsidP="001A10E7">
      <w:pPr>
        <w:pStyle w:val="04footnote"/>
        <w:tabs>
          <w:tab w:val="clear" w:pos="283"/>
          <w:tab w:val="left" w:pos="340"/>
        </w:tabs>
      </w:pPr>
    </w:p>
  </w:footnote>
  <w:footnote w:id="9">
    <w:p w:rsidR="001A10E7" w:rsidRDefault="001A10E7" w:rsidP="001A10E7">
      <w:pPr>
        <w:pStyle w:val="04footnote"/>
        <w:tabs>
          <w:tab w:val="clear" w:pos="283"/>
          <w:tab w:val="left" w:pos="340"/>
        </w:tabs>
        <w:rPr>
          <w:lang w:val="en-AU"/>
        </w:rPr>
      </w:pPr>
      <w:r>
        <w:rPr>
          <w:vertAlign w:val="superscript"/>
        </w:rPr>
        <w:footnoteRef/>
      </w:r>
      <w:r>
        <w:tab/>
      </w:r>
      <w:proofErr w:type="gramStart"/>
      <w:r>
        <w:rPr>
          <w:lang w:val="en-AU"/>
        </w:rPr>
        <w:t>Section 27 of the APCA.</w:t>
      </w:r>
      <w:proofErr w:type="gramEnd"/>
    </w:p>
    <w:p w:rsidR="001A10E7" w:rsidRDefault="001A10E7" w:rsidP="001A10E7">
      <w:pPr>
        <w:pStyle w:val="04footnote"/>
        <w:tabs>
          <w:tab w:val="clear" w:pos="283"/>
          <w:tab w:val="left" w:pos="340"/>
        </w:tabs>
      </w:pPr>
    </w:p>
  </w:footnote>
  <w:footnote w:id="10">
    <w:p w:rsidR="001A10E7" w:rsidRDefault="001A10E7" w:rsidP="001A10E7">
      <w:pPr>
        <w:pStyle w:val="04footnote"/>
        <w:tabs>
          <w:tab w:val="clear" w:pos="283"/>
          <w:tab w:val="left" w:pos="340"/>
        </w:tabs>
        <w:rPr>
          <w:lang w:val="en-AU"/>
        </w:rPr>
      </w:pPr>
      <w:r>
        <w:rPr>
          <w:vertAlign w:val="superscript"/>
        </w:rPr>
        <w:footnoteRef/>
      </w:r>
      <w:r>
        <w:tab/>
      </w:r>
      <w:proofErr w:type="gramStart"/>
      <w:r>
        <w:rPr>
          <w:lang w:val="en-AU"/>
        </w:rPr>
        <w:t>Section 3 of the APCA.</w:t>
      </w:r>
      <w:proofErr w:type="gramEnd"/>
    </w:p>
    <w:p w:rsidR="001A10E7" w:rsidRDefault="001A10E7" w:rsidP="001A10E7">
      <w:pPr>
        <w:pStyle w:val="04footnote"/>
        <w:tabs>
          <w:tab w:val="clear" w:pos="283"/>
          <w:tab w:val="left" w:pos="340"/>
        </w:tabs>
      </w:pPr>
    </w:p>
  </w:footnote>
  <w:footnote w:id="11">
    <w:p w:rsidR="001A10E7" w:rsidRDefault="001A10E7" w:rsidP="001A10E7">
      <w:pPr>
        <w:pStyle w:val="04footnote"/>
        <w:tabs>
          <w:tab w:val="clear" w:pos="283"/>
          <w:tab w:val="left" w:pos="340"/>
        </w:tabs>
        <w:rPr>
          <w:lang w:val="en-AU"/>
        </w:rPr>
      </w:pPr>
      <w:r>
        <w:rPr>
          <w:vertAlign w:val="superscript"/>
        </w:rPr>
        <w:footnoteRef/>
      </w:r>
      <w:r>
        <w:tab/>
      </w:r>
      <w:r>
        <w:rPr>
          <w:lang w:val="en-AU"/>
        </w:rPr>
        <w:t>Section 50H of the APCA.</w:t>
      </w:r>
    </w:p>
    <w:p w:rsidR="001A10E7" w:rsidRDefault="001A10E7" w:rsidP="001A10E7">
      <w:pPr>
        <w:pStyle w:val="04footnote"/>
        <w:tabs>
          <w:tab w:val="clear" w:pos="283"/>
          <w:tab w:val="left" w:pos="340"/>
        </w:tabs>
      </w:pPr>
    </w:p>
  </w:footnote>
  <w:footnote w:id="12">
    <w:p w:rsidR="001A10E7" w:rsidRDefault="001A10E7" w:rsidP="001A10E7">
      <w:pPr>
        <w:pStyle w:val="04footnote"/>
        <w:tabs>
          <w:tab w:val="clear" w:pos="283"/>
          <w:tab w:val="left" w:pos="340"/>
        </w:tabs>
        <w:rPr>
          <w:lang w:val="en-AU"/>
        </w:rPr>
      </w:pPr>
      <w:r>
        <w:rPr>
          <w:vertAlign w:val="superscript"/>
        </w:rPr>
        <w:footnoteRef/>
      </w:r>
      <w:r>
        <w:tab/>
      </w:r>
      <w:r>
        <w:rPr>
          <w:lang w:val="en-AU"/>
        </w:rPr>
        <w:t xml:space="preserve">In 2015, the Australian Government limited prices surveillance of Australia Post letter services to certain letter services reserved to Australia Post. For example, the $1 basic postage rate (BPR) and other Ordinary letter services carried at the new ‘regular’ timetable remain ‘notified’ and thus subject to price notification requirements. The other services currently reserved to Australia Post such as </w:t>
      </w:r>
      <w:proofErr w:type="spellStart"/>
      <w:r>
        <w:rPr>
          <w:lang w:val="en-AU"/>
        </w:rPr>
        <w:t>PreSort</w:t>
      </w:r>
      <w:proofErr w:type="spellEnd"/>
      <w:r>
        <w:rPr>
          <w:lang w:val="en-AU"/>
        </w:rPr>
        <w:t xml:space="preserve"> letters </w:t>
      </w:r>
      <w:proofErr w:type="gramStart"/>
      <w:r>
        <w:rPr>
          <w:lang w:val="en-AU"/>
        </w:rPr>
        <w:t>are no longer notified</w:t>
      </w:r>
      <w:proofErr w:type="gramEnd"/>
      <w:r>
        <w:rPr>
          <w:lang w:val="en-AU"/>
        </w:rPr>
        <w:t>. Refer Price Notification Declaration (Australia Post Letter Services) (No 2) 2015.</w:t>
      </w:r>
    </w:p>
    <w:p w:rsidR="001A10E7" w:rsidRDefault="001A10E7" w:rsidP="001A10E7">
      <w:pPr>
        <w:pStyle w:val="04footnote"/>
        <w:tabs>
          <w:tab w:val="clear" w:pos="283"/>
          <w:tab w:val="left" w:pos="340"/>
        </w:tabs>
      </w:pPr>
    </w:p>
  </w:footnote>
  <w:footnote w:id="13">
    <w:p w:rsidR="001A10E7" w:rsidRDefault="001A10E7" w:rsidP="001A10E7">
      <w:pPr>
        <w:pStyle w:val="04footnote"/>
        <w:tabs>
          <w:tab w:val="clear" w:pos="283"/>
          <w:tab w:val="left" w:pos="340"/>
        </w:tabs>
        <w:rPr>
          <w:lang w:val="en-AU"/>
        </w:rPr>
      </w:pPr>
      <w:r>
        <w:rPr>
          <w:vertAlign w:val="superscript"/>
        </w:rPr>
        <w:footnoteRef/>
      </w:r>
      <w:r>
        <w:tab/>
      </w:r>
      <w:r>
        <w:rPr>
          <w:lang w:val="en-AU"/>
        </w:rPr>
        <w:t>Regulations made under section 32B of the APCA allow the ACCC to inquire into disputes about the terms and conditions, including price of access to Australia Post’s bulk mail services.</w:t>
      </w:r>
    </w:p>
    <w:p w:rsidR="001A10E7" w:rsidRDefault="001A10E7" w:rsidP="001A10E7">
      <w:pPr>
        <w:pStyle w:val="04footnote"/>
        <w:tabs>
          <w:tab w:val="clear" w:pos="283"/>
          <w:tab w:val="left" w:pos="340"/>
        </w:tabs>
      </w:pPr>
    </w:p>
  </w:footnote>
  <w:footnote w:id="14">
    <w:p w:rsidR="001A10E7" w:rsidRDefault="001A10E7" w:rsidP="001A10E7">
      <w:pPr>
        <w:pStyle w:val="04footnote"/>
        <w:tabs>
          <w:tab w:val="clear" w:pos="283"/>
          <w:tab w:val="left" w:pos="340"/>
        </w:tabs>
        <w:rPr>
          <w:lang w:val="en-AU"/>
        </w:rPr>
      </w:pPr>
      <w:r>
        <w:rPr>
          <w:vertAlign w:val="superscript"/>
        </w:rPr>
        <w:footnoteRef/>
      </w:r>
      <w:r>
        <w:tab/>
      </w:r>
      <w:proofErr w:type="gramStart"/>
      <w:r>
        <w:rPr>
          <w:lang w:val="en-AU"/>
        </w:rPr>
        <w:t>Sections 50I and 50J of the APCA.</w:t>
      </w:r>
      <w:proofErr w:type="gramEnd"/>
    </w:p>
    <w:p w:rsidR="001A10E7" w:rsidRDefault="001A10E7" w:rsidP="001A10E7">
      <w:pPr>
        <w:pStyle w:val="04footnote"/>
        <w:tabs>
          <w:tab w:val="clear" w:pos="283"/>
          <w:tab w:val="left" w:pos="340"/>
        </w:tabs>
      </w:pPr>
    </w:p>
  </w:footnote>
  <w:footnote w:id="15">
    <w:p w:rsidR="001A10E7" w:rsidRDefault="001A10E7" w:rsidP="001A10E7">
      <w:pPr>
        <w:pStyle w:val="04footnote"/>
        <w:tabs>
          <w:tab w:val="clear" w:pos="283"/>
          <w:tab w:val="left" w:pos="340"/>
        </w:tabs>
        <w:rPr>
          <w:lang w:val="en-AU"/>
        </w:rPr>
      </w:pPr>
      <w:r>
        <w:rPr>
          <w:vertAlign w:val="superscript"/>
        </w:rPr>
        <w:footnoteRef/>
      </w:r>
      <w:r>
        <w:tab/>
      </w:r>
      <w:proofErr w:type="gramStart"/>
      <w:r>
        <w:rPr>
          <w:lang w:val="en-AU"/>
        </w:rPr>
        <w:t>Sections 50K of the APCA.</w:t>
      </w:r>
      <w:proofErr w:type="gramEnd"/>
    </w:p>
    <w:p w:rsidR="001A10E7" w:rsidRDefault="001A10E7" w:rsidP="001A10E7">
      <w:pPr>
        <w:pStyle w:val="04footnote"/>
        <w:tabs>
          <w:tab w:val="clear" w:pos="283"/>
          <w:tab w:val="left" w:pos="340"/>
        </w:tabs>
      </w:pPr>
    </w:p>
  </w:footnote>
  <w:footnote w:id="16">
    <w:p w:rsidR="001A10E7" w:rsidRDefault="001A10E7" w:rsidP="001A10E7">
      <w:pPr>
        <w:pStyle w:val="04footnote"/>
        <w:rPr>
          <w:spacing w:val="0"/>
          <w:lang w:val="en-AU"/>
        </w:rPr>
      </w:pPr>
      <w:r>
        <w:rPr>
          <w:vertAlign w:val="superscript"/>
        </w:rPr>
        <w:footnoteRef/>
      </w:r>
      <w:r>
        <w:tab/>
      </w:r>
      <w:r>
        <w:rPr>
          <w:sz w:val="16"/>
          <w:szCs w:val="16"/>
          <w:lang w:val="en-AU"/>
        </w:rPr>
        <w:t xml:space="preserve">A non-confidential summary of the 2008 </w:t>
      </w:r>
      <w:proofErr w:type="spellStart"/>
      <w:r>
        <w:rPr>
          <w:sz w:val="16"/>
          <w:szCs w:val="16"/>
          <w:lang w:val="en-AU"/>
        </w:rPr>
        <w:t>Wik</w:t>
      </w:r>
      <w:proofErr w:type="spellEnd"/>
      <w:r>
        <w:rPr>
          <w:sz w:val="16"/>
          <w:szCs w:val="16"/>
          <w:lang w:val="en-AU"/>
        </w:rPr>
        <w:t xml:space="preserve"> review of Australia Post’s CAM is available on the ACCC website at </w:t>
      </w:r>
      <w:hyperlink r:id="rId1" w:history="1">
        <w:r>
          <w:rPr>
            <w:spacing w:val="0"/>
            <w:sz w:val="16"/>
            <w:szCs w:val="16"/>
            <w:lang w:val="en-AU"/>
          </w:rPr>
          <w:t>http://www.accc.gov.au/system/files/20080529_wik_AustraliaPost_CostAllocation_Summary.pdf</w:t>
        </w:r>
      </w:hyperlink>
      <w:r>
        <w:rPr>
          <w:spacing w:val="0"/>
          <w:sz w:val="16"/>
          <w:szCs w:val="16"/>
          <w:lang w:val="en-AU"/>
        </w:rPr>
        <w:t>.</w:t>
      </w:r>
      <w:r>
        <w:rPr>
          <w:spacing w:val="0"/>
          <w:lang w:val="en-AU"/>
        </w:rPr>
        <w:t xml:space="preserve"> </w:t>
      </w:r>
    </w:p>
    <w:p w:rsidR="001A10E7" w:rsidRDefault="001A10E7" w:rsidP="001A10E7">
      <w:pPr>
        <w:pStyle w:val="04footnote"/>
      </w:pPr>
    </w:p>
  </w:footnote>
  <w:footnote w:id="17">
    <w:p w:rsidR="001A10E7" w:rsidRDefault="001A10E7" w:rsidP="001A10E7">
      <w:pPr>
        <w:pStyle w:val="04footnote"/>
        <w:tabs>
          <w:tab w:val="clear" w:pos="283"/>
          <w:tab w:val="left" w:pos="340"/>
        </w:tabs>
        <w:rPr>
          <w:lang w:val="en-AU"/>
        </w:rPr>
      </w:pPr>
      <w:r>
        <w:rPr>
          <w:vertAlign w:val="superscript"/>
        </w:rPr>
        <w:footnoteRef/>
      </w:r>
      <w:r>
        <w:tab/>
      </w:r>
      <w:r>
        <w:rPr>
          <w:lang w:val="en-AU"/>
        </w:rPr>
        <w:t xml:space="preserve">Australia Post’s 2013–14 Regulatory Accounts were the latest available at the time the </w:t>
      </w:r>
      <w:proofErr w:type="spellStart"/>
      <w:r>
        <w:rPr>
          <w:lang w:val="en-AU"/>
        </w:rPr>
        <w:t>Wik</w:t>
      </w:r>
      <w:proofErr w:type="spellEnd"/>
      <w:r>
        <w:rPr>
          <w:lang w:val="en-AU"/>
        </w:rPr>
        <w:t xml:space="preserve"> review </w:t>
      </w:r>
      <w:proofErr w:type="gramStart"/>
      <w:r>
        <w:rPr>
          <w:lang w:val="en-AU"/>
        </w:rPr>
        <w:t>was conducted</w:t>
      </w:r>
      <w:proofErr w:type="gramEnd"/>
      <w:r>
        <w:rPr>
          <w:lang w:val="en-AU"/>
        </w:rPr>
        <w:t xml:space="preserve">. These accounts provide a separation of revenues and costs between Australia Post’s reserved and non-reserved businesses and </w:t>
      </w:r>
      <w:proofErr w:type="gramStart"/>
      <w:r>
        <w:rPr>
          <w:lang w:val="en-AU"/>
        </w:rPr>
        <w:t>are used</w:t>
      </w:r>
      <w:proofErr w:type="gramEnd"/>
      <w:r>
        <w:rPr>
          <w:lang w:val="en-AU"/>
        </w:rPr>
        <w:t xml:space="preserve"> by the ACCC for monitoring the presence of cross subsidies between Australia Post’s reserved and non-reserved services.</w:t>
      </w:r>
    </w:p>
    <w:p w:rsidR="001A10E7" w:rsidRDefault="001A10E7" w:rsidP="001A10E7">
      <w:pPr>
        <w:pStyle w:val="04footnote"/>
        <w:tabs>
          <w:tab w:val="clear" w:pos="283"/>
          <w:tab w:val="left" w:pos="340"/>
        </w:tabs>
      </w:pPr>
    </w:p>
  </w:footnote>
  <w:footnote w:id="18">
    <w:p w:rsidR="001A10E7" w:rsidRDefault="001A10E7" w:rsidP="001A10E7">
      <w:pPr>
        <w:pStyle w:val="04footnote"/>
        <w:rPr>
          <w:spacing w:val="0"/>
          <w:sz w:val="16"/>
          <w:szCs w:val="16"/>
          <w:lang w:val="en-AU"/>
        </w:rPr>
      </w:pPr>
      <w:r>
        <w:rPr>
          <w:vertAlign w:val="superscript"/>
        </w:rPr>
        <w:footnoteRef/>
      </w:r>
      <w:r>
        <w:tab/>
      </w:r>
      <w:r>
        <w:rPr>
          <w:sz w:val="16"/>
          <w:szCs w:val="16"/>
          <w:lang w:val="en-AU"/>
        </w:rPr>
        <w:t xml:space="preserve">A report of the 2015 </w:t>
      </w:r>
      <w:proofErr w:type="spellStart"/>
      <w:r>
        <w:rPr>
          <w:sz w:val="16"/>
          <w:szCs w:val="16"/>
          <w:lang w:val="en-AU"/>
        </w:rPr>
        <w:t>Wik</w:t>
      </w:r>
      <w:proofErr w:type="spellEnd"/>
      <w:r>
        <w:rPr>
          <w:sz w:val="16"/>
          <w:szCs w:val="16"/>
          <w:lang w:val="en-AU"/>
        </w:rPr>
        <w:t xml:space="preserve"> review of Australia Post’s CAM is available on the ACCC website, </w:t>
      </w:r>
      <w:r>
        <w:rPr>
          <w:spacing w:val="0"/>
          <w:sz w:val="16"/>
          <w:szCs w:val="16"/>
          <w:lang w:val="en-AU"/>
        </w:rPr>
        <w:fldChar w:fldCharType="begin"/>
      </w:r>
      <w:r>
        <w:rPr>
          <w:spacing w:val="0"/>
          <w:sz w:val="16"/>
          <w:szCs w:val="16"/>
          <w:lang w:val="en-AU"/>
        </w:rPr>
        <w:instrText>HYPERLINK  "file:///Volumes/Studio/Studio_WIP/1076_Cross%20subsidy%20in%20Australia%20Post/CLIENT%20SUPPLIED%20FILES/ "</w:instrText>
      </w:r>
      <w:r>
        <w:rPr>
          <w:spacing w:val="0"/>
          <w:sz w:val="16"/>
          <w:szCs w:val="16"/>
          <w:lang w:val="en-AU"/>
        </w:rPr>
        <w:fldChar w:fldCharType="separate"/>
      </w:r>
      <w:r>
        <w:rPr>
          <w:spacing w:val="0"/>
          <w:sz w:val="16"/>
          <w:szCs w:val="16"/>
          <w:lang w:val="en-AU"/>
        </w:rPr>
        <w:t>https://www.accc.gov.au/system/files/WIK%20Cost%20Allocation%20Model%20Review%20-%20Full%20Report.PDF</w:t>
      </w:r>
    </w:p>
    <w:p w:rsidR="001A10E7" w:rsidRDefault="001A10E7" w:rsidP="001A10E7">
      <w:pPr>
        <w:pStyle w:val="04footnote"/>
      </w:pPr>
      <w:r>
        <w:rPr>
          <w:spacing w:val="0"/>
          <w:sz w:val="16"/>
          <w:szCs w:val="16"/>
          <w:lang w:val="en-AU"/>
        </w:rPr>
        <w:fldChar w:fldCharType="end"/>
      </w:r>
    </w:p>
  </w:footnote>
  <w:footnote w:id="19">
    <w:p w:rsidR="001A10E7" w:rsidRDefault="001A10E7" w:rsidP="001A10E7">
      <w:pPr>
        <w:pStyle w:val="04footnote"/>
        <w:tabs>
          <w:tab w:val="clear" w:pos="283"/>
          <w:tab w:val="left" w:pos="340"/>
        </w:tabs>
        <w:ind w:left="567" w:hanging="567"/>
        <w:rPr>
          <w:lang w:val="en-AU"/>
        </w:rPr>
      </w:pPr>
      <w:r>
        <w:rPr>
          <w:vertAlign w:val="superscript"/>
        </w:rPr>
        <w:footnoteRef/>
      </w:r>
      <w:r>
        <w:tab/>
      </w:r>
      <w:r>
        <w:rPr>
          <w:lang w:val="en-AU"/>
        </w:rPr>
        <w:t xml:space="preserve"> ACCC, Regulation impact statement, </w:t>
      </w:r>
      <w:proofErr w:type="gramStart"/>
      <w:r>
        <w:rPr>
          <w:lang w:val="en-AU"/>
        </w:rPr>
        <w:t>record keeping</w:t>
      </w:r>
      <w:proofErr w:type="gramEnd"/>
      <w:r>
        <w:rPr>
          <w:lang w:val="en-AU"/>
        </w:rPr>
        <w:t xml:space="preserve"> rules for establishing a regulatory accounting framework for Australia Post, March 2005, p. 6.</w:t>
      </w:r>
    </w:p>
    <w:p w:rsidR="001A10E7" w:rsidRDefault="001A10E7" w:rsidP="001A10E7">
      <w:pPr>
        <w:pStyle w:val="04footnote"/>
        <w:tabs>
          <w:tab w:val="clear" w:pos="283"/>
          <w:tab w:val="left" w:pos="340"/>
        </w:tabs>
        <w:ind w:left="567" w:hanging="567"/>
      </w:pPr>
    </w:p>
  </w:footnote>
  <w:footnote w:id="20">
    <w:p w:rsidR="001A10E7" w:rsidRDefault="001A10E7" w:rsidP="001A10E7">
      <w:pPr>
        <w:pStyle w:val="04footnote"/>
        <w:tabs>
          <w:tab w:val="clear" w:pos="283"/>
          <w:tab w:val="left" w:pos="340"/>
        </w:tabs>
        <w:ind w:left="567" w:hanging="567"/>
        <w:rPr>
          <w:lang w:val="en-AU"/>
        </w:rPr>
      </w:pPr>
      <w:r>
        <w:rPr>
          <w:vertAlign w:val="superscript"/>
        </w:rPr>
        <w:footnoteRef/>
      </w:r>
      <w:r>
        <w:tab/>
      </w:r>
      <w:r>
        <w:rPr>
          <w:lang w:val="en-AU"/>
        </w:rPr>
        <w:t xml:space="preserve">GR </w:t>
      </w:r>
      <w:proofErr w:type="spellStart"/>
      <w:r>
        <w:rPr>
          <w:lang w:val="en-AU"/>
        </w:rPr>
        <w:t>Faulhaber</w:t>
      </w:r>
      <w:proofErr w:type="spellEnd"/>
      <w:r>
        <w:rPr>
          <w:lang w:val="en-AU"/>
        </w:rPr>
        <w:t xml:space="preserve">, ‘Cross-subsidization: pricing in public enterprises’, American Economic Review, 65(5), </w:t>
      </w:r>
      <w:proofErr w:type="gramStart"/>
      <w:r>
        <w:rPr>
          <w:lang w:val="en-AU"/>
        </w:rPr>
        <w:t>December,</w:t>
      </w:r>
      <w:proofErr w:type="gramEnd"/>
      <w:r>
        <w:rPr>
          <w:lang w:val="en-AU"/>
        </w:rPr>
        <w:t xml:space="preserve"> 1975, pp. 966–77.</w:t>
      </w:r>
    </w:p>
    <w:p w:rsidR="001A10E7" w:rsidRDefault="001A10E7" w:rsidP="001A10E7">
      <w:pPr>
        <w:pStyle w:val="04footnote"/>
        <w:tabs>
          <w:tab w:val="clear" w:pos="283"/>
          <w:tab w:val="left" w:pos="340"/>
        </w:tabs>
        <w:ind w:left="567" w:hanging="567"/>
      </w:pPr>
    </w:p>
  </w:footnote>
  <w:footnote w:id="21">
    <w:p w:rsidR="001A10E7" w:rsidRDefault="001A10E7" w:rsidP="001A10E7">
      <w:pPr>
        <w:pStyle w:val="04footnote"/>
        <w:tabs>
          <w:tab w:val="clear" w:pos="283"/>
          <w:tab w:val="left" w:pos="340"/>
        </w:tabs>
      </w:pPr>
      <w:r>
        <w:rPr>
          <w:vertAlign w:val="superscript"/>
        </w:rPr>
        <w:footnoteRef/>
      </w:r>
      <w:r>
        <w:tab/>
      </w:r>
      <w:r>
        <w:rPr>
          <w:lang w:val="en-AU"/>
        </w:rPr>
        <w:t xml:space="preserve">Letters weighing more than 250 grams and that </w:t>
      </w:r>
      <w:proofErr w:type="gramStart"/>
      <w:r>
        <w:rPr>
          <w:lang w:val="en-AU"/>
        </w:rPr>
        <w:t>are priced</w:t>
      </w:r>
      <w:proofErr w:type="gramEnd"/>
      <w:r>
        <w:rPr>
          <w:lang w:val="en-AU"/>
        </w:rPr>
        <w:t xml:space="preserve"> at least four times the basic postage rate are non-reserved services.  </w:t>
      </w:r>
    </w:p>
  </w:footnote>
  <w:footnote w:id="22">
    <w:p w:rsidR="001A10E7" w:rsidRDefault="001A10E7" w:rsidP="001A10E7">
      <w:pPr>
        <w:pStyle w:val="04footnote"/>
        <w:tabs>
          <w:tab w:val="clear" w:pos="283"/>
          <w:tab w:val="left" w:pos="340"/>
        </w:tabs>
        <w:rPr>
          <w:lang w:val="en-AU"/>
        </w:rPr>
      </w:pPr>
      <w:r>
        <w:rPr>
          <w:vertAlign w:val="superscript"/>
        </w:rPr>
        <w:footnoteRef/>
      </w:r>
      <w:r>
        <w:tab/>
      </w:r>
      <w:r>
        <w:rPr>
          <w:lang w:val="en-AU"/>
        </w:rPr>
        <w:t>For more information on the ACCC’s historical tests, and on material changes to Australia Post’s accounting policies refer to ACCC cross-subsidy reports for 2004–05 to 2013–14 (available on the ACCC website).</w:t>
      </w:r>
    </w:p>
    <w:p w:rsidR="001A10E7" w:rsidRDefault="001A10E7" w:rsidP="001A10E7">
      <w:pPr>
        <w:pStyle w:val="04footnote"/>
        <w:tabs>
          <w:tab w:val="clear" w:pos="283"/>
          <w:tab w:val="left" w:pos="340"/>
        </w:tabs>
      </w:pPr>
    </w:p>
  </w:footnote>
  <w:footnote w:id="23">
    <w:p w:rsidR="001A10E7" w:rsidRDefault="001A10E7" w:rsidP="001A10E7">
      <w:pPr>
        <w:pStyle w:val="04footnote"/>
        <w:tabs>
          <w:tab w:val="clear" w:pos="283"/>
          <w:tab w:val="left" w:pos="340"/>
        </w:tabs>
        <w:rPr>
          <w:lang w:val="en-AU"/>
        </w:rPr>
      </w:pPr>
      <w:r>
        <w:rPr>
          <w:vertAlign w:val="superscript"/>
        </w:rPr>
        <w:footnoteRef/>
      </w:r>
      <w:r>
        <w:tab/>
      </w:r>
      <w:r>
        <w:rPr>
          <w:lang w:val="en-AU"/>
        </w:rPr>
        <w:t xml:space="preserve">A significant factor </w:t>
      </w:r>
      <w:proofErr w:type="gramStart"/>
      <w:r>
        <w:rPr>
          <w:lang w:val="en-AU"/>
        </w:rPr>
        <w:t>affecting  Australia</w:t>
      </w:r>
      <w:proofErr w:type="gramEnd"/>
      <w:r>
        <w:rPr>
          <w:lang w:val="en-AU"/>
        </w:rPr>
        <w:t xml:space="preserve"> Post’s profitability in 2014–15 is the $200 million provision for restructuring costs associated with the reform of its letters business.</w:t>
      </w:r>
    </w:p>
    <w:p w:rsidR="001A10E7" w:rsidRDefault="001A10E7" w:rsidP="001A10E7">
      <w:pPr>
        <w:pStyle w:val="04footnote"/>
        <w:tabs>
          <w:tab w:val="clear" w:pos="283"/>
          <w:tab w:val="left" w:pos="340"/>
        </w:tabs>
      </w:pPr>
    </w:p>
  </w:footnote>
  <w:footnote w:id="24">
    <w:p w:rsidR="001A10E7" w:rsidRDefault="001A10E7" w:rsidP="001A10E7">
      <w:pPr>
        <w:pStyle w:val="04footnote"/>
        <w:tabs>
          <w:tab w:val="clear" w:pos="283"/>
          <w:tab w:val="left" w:pos="340"/>
        </w:tabs>
        <w:rPr>
          <w:lang w:val="en-AU"/>
        </w:rPr>
      </w:pPr>
      <w:r>
        <w:rPr>
          <w:vertAlign w:val="superscript"/>
        </w:rPr>
        <w:footnoteRef/>
      </w:r>
      <w:r>
        <w:tab/>
      </w:r>
      <w:r>
        <w:rPr>
          <w:lang w:val="en-AU"/>
        </w:rPr>
        <w:t xml:space="preserve">In 2009–10, </w:t>
      </w:r>
      <w:proofErr w:type="gramStart"/>
      <w:r>
        <w:rPr>
          <w:lang w:val="en-AU"/>
        </w:rPr>
        <w:t>Australia Post’s regulatory accounts were affected by $150 million of restructuring costs</w:t>
      </w:r>
      <w:proofErr w:type="gramEnd"/>
      <w:r>
        <w:rPr>
          <w:lang w:val="en-AU"/>
        </w:rPr>
        <w:t xml:space="preserve">. </w:t>
      </w:r>
    </w:p>
    <w:p w:rsidR="001A10E7" w:rsidRDefault="001A10E7" w:rsidP="001A10E7">
      <w:pPr>
        <w:pStyle w:val="04footnote"/>
        <w:tabs>
          <w:tab w:val="clear" w:pos="283"/>
          <w:tab w:val="left" w:pos="340"/>
        </w:tabs>
      </w:pPr>
    </w:p>
  </w:footnote>
  <w:footnote w:id="25">
    <w:p w:rsidR="001A10E7" w:rsidRDefault="001A10E7" w:rsidP="001A10E7">
      <w:pPr>
        <w:pStyle w:val="04footnote"/>
        <w:tabs>
          <w:tab w:val="clear" w:pos="283"/>
          <w:tab w:val="left" w:pos="340"/>
        </w:tabs>
        <w:rPr>
          <w:lang w:val="en-AU"/>
        </w:rPr>
      </w:pPr>
      <w:r>
        <w:rPr>
          <w:vertAlign w:val="superscript"/>
        </w:rPr>
        <w:footnoteRef/>
      </w:r>
      <w:r>
        <w:tab/>
      </w:r>
      <w:proofErr w:type="gramStart"/>
      <w:r>
        <w:rPr>
          <w:lang w:val="en-AU"/>
        </w:rPr>
        <w:t>Australia Post annual report 2014–15, p. 62–63.</w:t>
      </w:r>
      <w:proofErr w:type="gramEnd"/>
    </w:p>
    <w:p w:rsidR="001A10E7" w:rsidRDefault="001A10E7" w:rsidP="001A10E7">
      <w:pPr>
        <w:pStyle w:val="04footnote"/>
        <w:tabs>
          <w:tab w:val="clear" w:pos="283"/>
          <w:tab w:val="left" w:pos="340"/>
        </w:tabs>
      </w:pPr>
    </w:p>
  </w:footnote>
  <w:footnote w:id="26">
    <w:p w:rsidR="001A10E7" w:rsidRDefault="001A10E7" w:rsidP="001A10E7">
      <w:pPr>
        <w:pStyle w:val="04footnote"/>
        <w:tabs>
          <w:tab w:val="clear" w:pos="283"/>
          <w:tab w:val="left" w:pos="340"/>
        </w:tabs>
        <w:rPr>
          <w:lang w:val="en-AU"/>
        </w:rPr>
      </w:pPr>
      <w:r>
        <w:rPr>
          <w:vertAlign w:val="superscript"/>
        </w:rPr>
        <w:footnoteRef/>
      </w:r>
      <w:r>
        <w:tab/>
      </w:r>
      <w:r>
        <w:rPr>
          <w:lang w:val="en-AU"/>
        </w:rPr>
        <w:t xml:space="preserve">The WACC </w:t>
      </w:r>
      <w:proofErr w:type="gramStart"/>
      <w:r>
        <w:rPr>
          <w:lang w:val="en-AU"/>
        </w:rPr>
        <w:t>is applied</w:t>
      </w:r>
      <w:proofErr w:type="gramEnd"/>
      <w:r>
        <w:rPr>
          <w:lang w:val="en-AU"/>
        </w:rPr>
        <w:t xml:space="preserve"> to the value of capital employed for each service group, and this cost of capital is added to the statement of financial performance to derive a ‘capital-adjusted’ statement of financial performance for each of the service groups.</w:t>
      </w:r>
    </w:p>
    <w:p w:rsidR="001A10E7" w:rsidRDefault="001A10E7" w:rsidP="001A10E7">
      <w:pPr>
        <w:pStyle w:val="04footnote"/>
        <w:tabs>
          <w:tab w:val="clear" w:pos="283"/>
          <w:tab w:val="left" w:pos="340"/>
        </w:tabs>
      </w:pPr>
    </w:p>
  </w:footnote>
  <w:footnote w:id="27">
    <w:p w:rsidR="001A10E7" w:rsidRDefault="001A10E7" w:rsidP="001A10E7">
      <w:pPr>
        <w:pStyle w:val="04footnote"/>
        <w:rPr>
          <w:sz w:val="16"/>
          <w:szCs w:val="16"/>
          <w:lang w:val="en-AU"/>
        </w:rPr>
      </w:pPr>
      <w:r>
        <w:rPr>
          <w:vertAlign w:val="superscript"/>
        </w:rPr>
        <w:footnoteRef/>
      </w:r>
      <w:r>
        <w:tab/>
      </w:r>
      <w:r>
        <w:rPr>
          <w:sz w:val="16"/>
          <w:szCs w:val="16"/>
          <w:lang w:val="en-AU"/>
        </w:rPr>
        <w:t xml:space="preserve">ACCC, </w:t>
      </w:r>
      <w:r>
        <w:rPr>
          <w:spacing w:val="-2"/>
          <w:sz w:val="16"/>
          <w:szCs w:val="16"/>
          <w:lang w:val="en-AU"/>
        </w:rPr>
        <w:t>Issues raised during consultation: Record-keeping rules establishing a regulatory accounting framework for Australia Post</w:t>
      </w:r>
      <w:r>
        <w:rPr>
          <w:sz w:val="16"/>
          <w:szCs w:val="16"/>
          <w:lang w:val="en-AU"/>
        </w:rPr>
        <w:t xml:space="preserve">, March 2005 (published on the </w:t>
      </w:r>
      <w:hyperlink r:id="rId2" w:history="1">
        <w:r>
          <w:rPr>
            <w:sz w:val="16"/>
            <w:szCs w:val="16"/>
            <w:lang w:val="en-AU"/>
          </w:rPr>
          <w:t>ACCC website</w:t>
        </w:r>
      </w:hyperlink>
      <w:r>
        <w:rPr>
          <w:sz w:val="16"/>
          <w:szCs w:val="16"/>
          <w:lang w:val="en-AU"/>
        </w:rPr>
        <w:t xml:space="preserve">), p. 3. </w:t>
      </w:r>
    </w:p>
    <w:p w:rsidR="001A10E7" w:rsidRDefault="001A10E7" w:rsidP="001A10E7">
      <w:pPr>
        <w:pStyle w:val="04footnote"/>
      </w:pPr>
    </w:p>
  </w:footnote>
  <w:footnote w:id="28">
    <w:p w:rsidR="001A10E7" w:rsidRDefault="001A10E7" w:rsidP="001A10E7">
      <w:pPr>
        <w:pStyle w:val="04footnote"/>
        <w:tabs>
          <w:tab w:val="clear" w:pos="283"/>
          <w:tab w:val="left" w:pos="340"/>
        </w:tabs>
        <w:rPr>
          <w:lang w:val="en-AU"/>
        </w:rPr>
      </w:pPr>
      <w:r>
        <w:rPr>
          <w:vertAlign w:val="superscript"/>
        </w:rPr>
        <w:footnoteRef/>
      </w:r>
      <w:r>
        <w:tab/>
      </w:r>
      <w:r>
        <w:rPr>
          <w:lang w:val="en-AU"/>
        </w:rPr>
        <w:t>Refer to ACCC cross-subsidy reports for 2004–05 to 2013–14 (available on the ACCC website) for details of changes to accounting policies over time.</w:t>
      </w:r>
    </w:p>
    <w:p w:rsidR="001A10E7" w:rsidRDefault="001A10E7" w:rsidP="001A10E7">
      <w:pPr>
        <w:pStyle w:val="04footnote"/>
        <w:tabs>
          <w:tab w:val="clear" w:pos="283"/>
          <w:tab w:val="left" w:pos="340"/>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Continue4"/>
      <w:lvlText w:val="%1."/>
      <w:lvlJc w:val="left"/>
      <w:pPr>
        <w:ind w:left="1701" w:hanging="340"/>
      </w:pPr>
      <w:rPr>
        <w:rFonts w:hint="default"/>
      </w:rPr>
    </w:lvl>
  </w:abstractNum>
  <w:abstractNum w:abstractNumId="1">
    <w:nsid w:val="FFFFFF7D"/>
    <w:multiLevelType w:val="singleLevel"/>
    <w:tmpl w:val="33EA20A0"/>
    <w:lvl w:ilvl="0">
      <w:start w:val="1"/>
      <w:numFmt w:val="decimal"/>
      <w:pStyle w:val="ListContinue3"/>
      <w:lvlText w:val="%1."/>
      <w:lvlJc w:val="left"/>
      <w:pPr>
        <w:ind w:left="1361" w:hanging="340"/>
      </w:pPr>
      <w:rPr>
        <w:rFonts w:hint="default"/>
      </w:rPr>
    </w:lvl>
  </w:abstractNum>
  <w:abstractNum w:abstractNumId="2">
    <w:nsid w:val="FFFFFF7E"/>
    <w:multiLevelType w:val="singleLevel"/>
    <w:tmpl w:val="91FCDF1E"/>
    <w:lvl w:ilvl="0">
      <w:start w:val="1"/>
      <w:numFmt w:val="decimal"/>
      <w:pStyle w:val="ListContinue2"/>
      <w:lvlText w:val="%1."/>
      <w:lvlJc w:val="left"/>
      <w:pPr>
        <w:ind w:left="1021" w:hanging="341"/>
      </w:pPr>
      <w:rPr>
        <w:rFonts w:hint="default"/>
      </w:rPr>
    </w:lvl>
  </w:abstractNum>
  <w:abstractNum w:abstractNumId="3">
    <w:nsid w:val="FFFFFF7F"/>
    <w:multiLevelType w:val="singleLevel"/>
    <w:tmpl w:val="C1DEEDE0"/>
    <w:lvl w:ilvl="0">
      <w:start w:val="1"/>
      <w:numFmt w:val="decimal"/>
      <w:pStyle w:val="Quote"/>
      <w:lvlText w:val="%1."/>
      <w:lvlJc w:val="left"/>
      <w:pPr>
        <w:ind w:left="680" w:hanging="340"/>
      </w:pPr>
      <w:rPr>
        <w:rFonts w:hint="default"/>
      </w:rPr>
    </w:lvl>
  </w:abstractNum>
  <w:abstractNum w:abstractNumId="4">
    <w:nsid w:val="FFFFFF80"/>
    <w:multiLevelType w:val="singleLevel"/>
    <w:tmpl w:val="E38619F2"/>
    <w:lvl w:ilvl="0">
      <w:start w:val="1"/>
      <w:numFmt w:val="bullet"/>
      <w:pStyle w:val="Lis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FootnoteTextChar"/>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FootnoteText"/>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Number"/>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Copyrighttext"/>
      <w:lvlText w:val="%1."/>
      <w:lvlJc w:val="left"/>
      <w:pPr>
        <w:ind w:left="360" w:hanging="360"/>
      </w:pPr>
    </w:lvl>
    <w:lvl w:ilvl="1">
      <w:start w:val="1"/>
      <w:numFmt w:val="decimal"/>
      <w:pStyle w:val="CopyrighttextChar"/>
      <w:lvlText w:val="%1.%2."/>
      <w:lvlJc w:val="left"/>
      <w:pPr>
        <w:ind w:left="792" w:hanging="432"/>
      </w:pPr>
    </w:lvl>
    <w:lvl w:ilvl="2">
      <w:start w:val="1"/>
      <w:numFmt w:val="decimal"/>
      <w:pStyle w:val="TOC8"/>
      <w:lvlText w:val="%1.%2.%3."/>
      <w:lvlJc w:val="left"/>
      <w:pPr>
        <w:ind w:left="1224" w:hanging="504"/>
      </w:pPr>
    </w:lvl>
    <w:lvl w:ilvl="3">
      <w:start w:val="1"/>
      <w:numFmt w:val="decimal"/>
      <w:pStyle w:val="TOC9"/>
      <w:lvlText w:val="%1.%2.%3.%4."/>
      <w:lvlJc w:val="left"/>
      <w:pPr>
        <w:ind w:left="1728" w:hanging="648"/>
      </w:pPr>
    </w:lvl>
    <w:lvl w:ilvl="4">
      <w:start w:val="1"/>
      <w:numFmt w:val="decimal"/>
      <w:pStyle w:val="Numbered1"/>
      <w:lvlText w:val="%1.%2.%3.%4.%5."/>
      <w:lvlJc w:val="left"/>
      <w:pPr>
        <w:ind w:left="2232" w:hanging="792"/>
      </w:pPr>
    </w:lvl>
    <w:lvl w:ilvl="5">
      <w:start w:val="1"/>
      <w:numFmt w:val="decimal"/>
      <w:pStyle w:val="Numbered1Char"/>
      <w:lvlText w:val="%1.%2.%3.%4.%5.%6."/>
      <w:lvlJc w:val="left"/>
      <w:pPr>
        <w:ind w:left="2736" w:hanging="936"/>
      </w:pPr>
    </w:lvl>
    <w:lvl w:ilvl="6">
      <w:start w:val="1"/>
      <w:numFmt w:val="decimal"/>
      <w:pStyle w:val="BalloonText"/>
      <w:lvlText w:val="%1.%2.%3.%4.%5.%6.%7."/>
      <w:lvlJc w:val="left"/>
      <w:pPr>
        <w:ind w:left="3240" w:hanging="1080"/>
      </w:pPr>
    </w:lvl>
    <w:lvl w:ilvl="7">
      <w:start w:val="1"/>
      <w:numFmt w:val="decimal"/>
      <w:pStyle w:val="BalloonTextChar"/>
      <w:lvlText w:val="%1.%2.%3.%4.%5.%6.%7.%8."/>
      <w:lvlJc w:val="left"/>
      <w:pPr>
        <w:ind w:left="3744" w:hanging="1224"/>
      </w:pPr>
    </w:lvl>
    <w:lvl w:ilvl="8">
      <w:start w:val="1"/>
      <w:numFmt w:val="decimal"/>
      <w:pStyle w:val="LightGrid-Accent4"/>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SourceChar"/>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Footnotes"/>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Source"/>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1A10E7"/>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10E7"/>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43A7"/>
    <w:rsid w:val="00C058AB"/>
    <w:rsid w:val="00C06739"/>
    <w:rsid w:val="00C538A9"/>
    <w:rsid w:val="00C53B5A"/>
    <w:rsid w:val="00C54F5A"/>
    <w:rsid w:val="00C755AD"/>
    <w:rsid w:val="00C86679"/>
    <w:rsid w:val="00CB666B"/>
    <w:rsid w:val="00CF799E"/>
    <w:rsid w:val="00D01CF0"/>
    <w:rsid w:val="00D0442A"/>
    <w:rsid w:val="00D203E1"/>
    <w:rsid w:val="00D376EB"/>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character" w:customStyle="1" w:styleId="TabletextChar">
    <w:name w:val="Table text Char"/>
    <w:basedOn w:val="DefaultParagraphFont"/>
    <w:link w:val="Tabletext"/>
    <w:uiPriority w:val="1"/>
    <w:rsid w:val="00584D8F"/>
    <w:rPr>
      <w:rFonts w:ascii="Arial" w:hAnsi="Arial"/>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character" w:customStyle="1" w:styleId="TableHeadingChar">
    <w:name w:val="Table Heading Char"/>
    <w:basedOn w:val="TabletextChar"/>
    <w:link w:val="TableHeading"/>
    <w:rsid w:val="00584D8F"/>
    <w:rPr>
      <w:rFonts w:ascii="Arial" w:hAnsi="Arial"/>
      <w:b/>
      <w:sz w:val="20"/>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paragraph" w:customStyle="1" w:styleId="Tabletext-centred">
    <w:name w:val="Table text - centred"/>
    <w:basedOn w:val="Tabletext-right"/>
    <w:link w:val="Tabletext-centredChar"/>
    <w:rsid w:val="00063247"/>
    <w:pPr>
      <w:jc w:val="center"/>
    </w:p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NoParagraphStyle">
    <w:name w:val="[No Paragraph Style]"/>
    <w:rsid w:val="001A10E7"/>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GB" w:eastAsia="en-AU"/>
    </w:rPr>
  </w:style>
  <w:style w:type="paragraph" w:customStyle="1" w:styleId="02heading2">
    <w:name w:val="02 heading 2"/>
    <w:basedOn w:val="NoParagraphStyle"/>
    <w:uiPriority w:val="99"/>
    <w:rsid w:val="001A10E7"/>
    <w:pPr>
      <w:keepNext/>
      <w:keepLines/>
      <w:tabs>
        <w:tab w:val="left" w:pos="680"/>
      </w:tabs>
      <w:suppressAutoHyphens/>
      <w:spacing w:before="283" w:after="113" w:line="360" w:lineRule="atLeast"/>
      <w:ind w:left="680" w:hanging="680"/>
    </w:pPr>
    <w:rPr>
      <w:rFonts w:ascii="PFCentroSlabPro-Regular" w:hAnsi="PFCentroSlabPro-Regular" w:cs="PFCentroSlabPro-Regular"/>
      <w:color w:val="3BAFC8"/>
      <w:sz w:val="32"/>
      <w:szCs w:val="32"/>
      <w:lang w:val="en-AU"/>
    </w:rPr>
  </w:style>
  <w:style w:type="paragraph" w:customStyle="1" w:styleId="03charttitle">
    <w:name w:val="03 chart title"/>
    <w:basedOn w:val="NoParagraphStyle"/>
    <w:uiPriority w:val="99"/>
    <w:rsid w:val="001A10E7"/>
    <w:pPr>
      <w:keepNext/>
      <w:keepLines/>
      <w:tabs>
        <w:tab w:val="left" w:pos="794"/>
        <w:tab w:val="left" w:pos="850"/>
      </w:tabs>
      <w:suppressAutoHyphens/>
      <w:spacing w:before="227" w:line="200" w:lineRule="atLeast"/>
      <w:ind w:left="794" w:hanging="794"/>
    </w:pPr>
    <w:rPr>
      <w:rFonts w:ascii="Gotham-Medium" w:hAnsi="Gotham-Medium" w:cs="Gotham-Medium"/>
      <w:color w:val="002684"/>
      <w:sz w:val="16"/>
      <w:szCs w:val="16"/>
    </w:rPr>
  </w:style>
  <w:style w:type="paragraph" w:customStyle="1" w:styleId="03tabletitle">
    <w:name w:val="03 table title"/>
    <w:basedOn w:val="NoParagraphStyle"/>
    <w:uiPriority w:val="99"/>
    <w:rsid w:val="001A10E7"/>
    <w:pPr>
      <w:keepNext/>
      <w:keepLines/>
      <w:tabs>
        <w:tab w:val="left" w:pos="794"/>
        <w:tab w:val="left" w:pos="850"/>
      </w:tabs>
      <w:suppressAutoHyphens/>
      <w:spacing w:before="227" w:line="220" w:lineRule="atLeast"/>
      <w:ind w:left="794" w:hanging="794"/>
    </w:pPr>
    <w:rPr>
      <w:rFonts w:ascii="Gotham-Medium" w:hAnsi="Gotham-Medium" w:cs="Gotham-Medium"/>
      <w:color w:val="002684"/>
      <w:sz w:val="18"/>
      <w:szCs w:val="18"/>
    </w:rPr>
  </w:style>
  <w:style w:type="paragraph" w:customStyle="1" w:styleId="02heading3nos">
    <w:name w:val="02 heading 3 nos"/>
    <w:basedOn w:val="NoParagraphStyle"/>
    <w:uiPriority w:val="99"/>
    <w:rsid w:val="001A10E7"/>
    <w:pPr>
      <w:keepNext/>
      <w:keepLines/>
      <w:tabs>
        <w:tab w:val="left" w:pos="680"/>
      </w:tabs>
      <w:suppressAutoHyphens/>
      <w:spacing w:before="113" w:line="320" w:lineRule="atLeast"/>
      <w:ind w:left="680" w:hanging="680"/>
    </w:pPr>
    <w:rPr>
      <w:rFonts w:ascii="Gotham-Medium" w:hAnsi="Gotham-Medium" w:cs="Gotham-Medium"/>
      <w:color w:val="425566"/>
      <w:sz w:val="22"/>
      <w:szCs w:val="22"/>
    </w:rPr>
  </w:style>
  <w:style w:type="paragraph" w:customStyle="1" w:styleId="03tablepara">
    <w:name w:val="03 table para"/>
    <w:basedOn w:val="NoParagraphStyle"/>
    <w:next w:val="NoParagraphStyle"/>
    <w:uiPriority w:val="99"/>
    <w:rsid w:val="001A10E7"/>
    <w:pPr>
      <w:keepLines/>
      <w:suppressAutoHyphens/>
      <w:spacing w:before="113"/>
    </w:pPr>
    <w:rPr>
      <w:rFonts w:ascii="Gotham-Book" w:hAnsi="Gotham-Book" w:cs="Gotham-Book"/>
      <w:sz w:val="18"/>
      <w:szCs w:val="18"/>
    </w:rPr>
  </w:style>
  <w:style w:type="paragraph" w:customStyle="1" w:styleId="01hiddenfootnote">
    <w:name w:val="01 hidden footnote"/>
    <w:basedOn w:val="NoParagraphStyle"/>
    <w:uiPriority w:val="99"/>
    <w:rsid w:val="001A10E7"/>
    <w:pPr>
      <w:keepLines/>
      <w:suppressAutoHyphens/>
      <w:spacing w:line="20" w:lineRule="atLeast"/>
    </w:pPr>
    <w:rPr>
      <w:rFonts w:ascii="Gotham-Book" w:hAnsi="Gotham-Book" w:cs="Gotham-Book"/>
      <w:outline/>
      <w:sz w:val="2"/>
      <w:szCs w:val="2"/>
    </w:rPr>
  </w:style>
  <w:style w:type="paragraph" w:customStyle="1" w:styleId="02heading2appA">
    <w:name w:val="02 heading 2 app A"/>
    <w:basedOn w:val="NoParagraphStyle"/>
    <w:uiPriority w:val="99"/>
    <w:rsid w:val="001A10E7"/>
    <w:pPr>
      <w:keepNext/>
      <w:keepLines/>
      <w:tabs>
        <w:tab w:val="left" w:pos="567"/>
      </w:tabs>
      <w:suppressAutoHyphens/>
      <w:spacing w:before="283" w:after="170" w:line="360" w:lineRule="atLeast"/>
      <w:ind w:left="567" w:hanging="567"/>
    </w:pPr>
    <w:rPr>
      <w:rFonts w:ascii="PFCentroSlabPro-Regular" w:hAnsi="PFCentroSlabPro-Regular" w:cs="PFCentroSlabPro-Regular"/>
      <w:color w:val="3BAFC8"/>
      <w:spacing w:val="-8"/>
      <w:sz w:val="32"/>
      <w:szCs w:val="32"/>
    </w:rPr>
  </w:style>
  <w:style w:type="paragraph" w:customStyle="1" w:styleId="02heading3appA">
    <w:name w:val="02 heading 3 app A"/>
    <w:basedOn w:val="NoParagraphStyle"/>
    <w:uiPriority w:val="99"/>
    <w:rsid w:val="001A10E7"/>
    <w:pPr>
      <w:keepNext/>
      <w:keepLines/>
      <w:tabs>
        <w:tab w:val="left" w:pos="850"/>
      </w:tabs>
      <w:suppressAutoHyphens/>
      <w:spacing w:before="283" w:after="113" w:line="320" w:lineRule="atLeast"/>
      <w:ind w:left="567" w:hanging="567"/>
    </w:pPr>
    <w:rPr>
      <w:rFonts w:ascii="Gotham-Medium" w:hAnsi="Gotham-Medium" w:cs="Gotham-Medium"/>
      <w:color w:val="425566"/>
      <w:spacing w:val="-6"/>
      <w:sz w:val="26"/>
      <w:szCs w:val="26"/>
    </w:rPr>
  </w:style>
  <w:style w:type="paragraph" w:customStyle="1" w:styleId="04footnote">
    <w:name w:val="04 footnote"/>
    <w:basedOn w:val="NoParagraphStyle"/>
    <w:uiPriority w:val="99"/>
    <w:rsid w:val="001A10E7"/>
    <w:pPr>
      <w:tabs>
        <w:tab w:val="left" w:pos="283"/>
      </w:tabs>
      <w:suppressAutoHyphens/>
      <w:spacing w:line="180" w:lineRule="atLeast"/>
      <w:ind w:left="283" w:hanging="283"/>
    </w:pPr>
    <w:rPr>
      <w:rFonts w:ascii="Gotham-Light" w:hAnsi="Gotham-Light" w:cs="Gotham-Light"/>
      <w:spacing w:val="-4"/>
      <w:sz w:val="14"/>
      <w:szCs w:val="14"/>
    </w:rPr>
  </w:style>
  <w:style w:type="paragraph" w:customStyle="1" w:styleId="03tabletextC">
    <w:name w:val="03 table text C"/>
    <w:basedOn w:val="NoParagraphStyle"/>
    <w:uiPriority w:val="99"/>
    <w:rsid w:val="001A10E7"/>
    <w:pPr>
      <w:suppressAutoHyphens/>
      <w:spacing w:line="200" w:lineRule="atLeast"/>
      <w:jc w:val="center"/>
    </w:pPr>
    <w:rPr>
      <w:rFonts w:ascii="Gotham-Light" w:hAnsi="Gotham-Light" w:cs="Gotham-Light"/>
      <w:spacing w:val="-4"/>
      <w:sz w:val="16"/>
      <w:szCs w:val="16"/>
    </w:rPr>
  </w:style>
  <w:style w:type="paragraph" w:customStyle="1" w:styleId="03tabletextLH">
    <w:name w:val="03 table text LH"/>
    <w:basedOn w:val="NoParagraphStyle"/>
    <w:uiPriority w:val="99"/>
    <w:rsid w:val="001A10E7"/>
    <w:pPr>
      <w:suppressAutoHyphens/>
      <w:spacing w:line="200" w:lineRule="atLeast"/>
    </w:pPr>
    <w:rPr>
      <w:rFonts w:ascii="Gotham-Medium" w:hAnsi="Gotham-Medium" w:cs="Gotham-Medium"/>
      <w:spacing w:val="-4"/>
      <w:sz w:val="16"/>
      <w:szCs w:val="16"/>
    </w:rPr>
  </w:style>
  <w:style w:type="paragraph" w:customStyle="1" w:styleId="03tabletextLHindented">
    <w:name w:val="03 table text LH indented"/>
    <w:basedOn w:val="NoParagraphStyle"/>
    <w:uiPriority w:val="99"/>
    <w:rsid w:val="001A10E7"/>
    <w:pPr>
      <w:suppressAutoHyphens/>
      <w:spacing w:line="200" w:lineRule="atLeast"/>
      <w:ind w:left="113"/>
    </w:pPr>
    <w:rPr>
      <w:rFonts w:ascii="Gotham-Light" w:hAnsi="Gotham-Light" w:cs="Gotham-Light"/>
      <w:spacing w:val="-4"/>
      <w:sz w:val="16"/>
      <w:szCs w:val="16"/>
    </w:rPr>
  </w:style>
  <w:style w:type="paragraph" w:customStyle="1" w:styleId="03tableheadingrh">
    <w:name w:val="03 table heading rh"/>
    <w:basedOn w:val="NoParagraphStyle"/>
    <w:uiPriority w:val="99"/>
    <w:rsid w:val="001A10E7"/>
    <w:pPr>
      <w:tabs>
        <w:tab w:val="left" w:pos="567"/>
        <w:tab w:val="left" w:pos="1134"/>
      </w:tabs>
      <w:suppressAutoHyphens/>
      <w:spacing w:before="57" w:after="57" w:line="200" w:lineRule="atLeast"/>
      <w:jc w:val="right"/>
    </w:pPr>
    <w:rPr>
      <w:rFonts w:ascii="Gotham-Medium" w:hAnsi="Gotham-Medium" w:cs="Gotham-Medium"/>
      <w:spacing w:val="-4"/>
      <w:sz w:val="16"/>
      <w:szCs w:val="16"/>
      <w:lang w:val="en-AU"/>
    </w:rPr>
  </w:style>
  <w:style w:type="paragraph" w:customStyle="1" w:styleId="03tablebodytext">
    <w:name w:val="03 table body text"/>
    <w:basedOn w:val="NoParagraphStyle"/>
    <w:uiPriority w:val="99"/>
    <w:rsid w:val="001A10E7"/>
    <w:pPr>
      <w:suppressAutoHyphens/>
      <w:spacing w:before="113" w:line="200" w:lineRule="atLeast"/>
    </w:pPr>
    <w:rPr>
      <w:rFonts w:ascii="Gotham-Light" w:hAnsi="Gotham-Light" w:cs="Gotham-Light"/>
      <w:spacing w:val="-4"/>
      <w:sz w:val="16"/>
      <w:szCs w:val="16"/>
    </w:rPr>
  </w:style>
  <w:style w:type="paragraph" w:customStyle="1" w:styleId="03tablebodytextRH">
    <w:name w:val="03 table body text RH"/>
    <w:basedOn w:val="NoParagraphStyle"/>
    <w:uiPriority w:val="99"/>
    <w:rsid w:val="001A10E7"/>
    <w:pPr>
      <w:suppressAutoHyphens/>
      <w:spacing w:before="113" w:line="200" w:lineRule="atLeast"/>
      <w:jc w:val="right"/>
    </w:pPr>
    <w:rPr>
      <w:rFonts w:ascii="Gotham-Light" w:hAnsi="Gotham-Light" w:cs="Gotham-Light"/>
      <w:sz w:val="16"/>
      <w:szCs w:val="16"/>
    </w:rPr>
  </w:style>
  <w:style w:type="paragraph" w:customStyle="1" w:styleId="03Tabletextnegatives">
    <w:name w:val="03 Table text negatives"/>
    <w:basedOn w:val="03tablebodytext"/>
    <w:uiPriority w:val="99"/>
    <w:rsid w:val="001A10E7"/>
    <w:pPr>
      <w:jc w:val="right"/>
    </w:pPr>
    <w:rPr>
      <w:color w:val="C3002F"/>
      <w:lang w:val="en-AU"/>
    </w:rPr>
  </w:style>
  <w:style w:type="paragraph" w:customStyle="1" w:styleId="60-tableheadingC">
    <w:name w:val="60-table heading C"/>
    <w:basedOn w:val="NoParagraphStyle"/>
    <w:uiPriority w:val="99"/>
    <w:rsid w:val="001A10E7"/>
    <w:pPr>
      <w:tabs>
        <w:tab w:val="left" w:pos="567"/>
        <w:tab w:val="left" w:pos="1134"/>
      </w:tabs>
      <w:suppressAutoHyphens/>
      <w:spacing w:before="57" w:after="57" w:line="200" w:lineRule="atLeast"/>
      <w:jc w:val="center"/>
    </w:pPr>
    <w:rPr>
      <w:rFonts w:ascii="GothamNarrow-Medium" w:hAnsi="GothamNarrow-Medium" w:cs="GothamNarrow-Medium"/>
      <w:spacing w:val="-4"/>
      <w:sz w:val="16"/>
      <w:szCs w:val="16"/>
      <w:lang w:val="en-AU"/>
    </w:rPr>
  </w:style>
  <w:style w:type="character" w:customStyle="1" w:styleId="01tablered">
    <w:name w:val="01 table red"/>
    <w:uiPriority w:val="99"/>
    <w:rsid w:val="001A10E7"/>
    <w:rPr>
      <w:color w:val="C3002F"/>
    </w:rPr>
  </w:style>
  <w:style w:type="character" w:customStyle="1" w:styleId="negativefigures">
    <w:name w:val="negative figures"/>
    <w:uiPriority w:val="99"/>
    <w:rsid w:val="001A10E7"/>
    <w:rPr>
      <w:color w:val="C3002F"/>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character" w:customStyle="1" w:styleId="TabletextChar">
    <w:name w:val="Table text Char"/>
    <w:basedOn w:val="DefaultParagraphFont"/>
    <w:link w:val="Tabletext"/>
    <w:uiPriority w:val="1"/>
    <w:rsid w:val="00584D8F"/>
    <w:rPr>
      <w:rFonts w:ascii="Arial" w:hAnsi="Arial"/>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character" w:customStyle="1" w:styleId="TableHeadingChar">
    <w:name w:val="Table Heading Char"/>
    <w:basedOn w:val="TabletextChar"/>
    <w:link w:val="TableHeading"/>
    <w:rsid w:val="00584D8F"/>
    <w:rPr>
      <w:rFonts w:ascii="Arial" w:hAnsi="Arial"/>
      <w:b/>
      <w:sz w:val="20"/>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paragraph" w:customStyle="1" w:styleId="Tabletext-centred">
    <w:name w:val="Table text - centred"/>
    <w:basedOn w:val="Tabletext-right"/>
    <w:link w:val="Tabletext-centredChar"/>
    <w:rsid w:val="00063247"/>
    <w:pPr>
      <w:jc w:val="center"/>
    </w:p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NoParagraphStyle">
    <w:name w:val="[No Paragraph Style]"/>
    <w:rsid w:val="001A10E7"/>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GB" w:eastAsia="en-AU"/>
    </w:rPr>
  </w:style>
  <w:style w:type="paragraph" w:customStyle="1" w:styleId="02heading2">
    <w:name w:val="02 heading 2"/>
    <w:basedOn w:val="NoParagraphStyle"/>
    <w:uiPriority w:val="99"/>
    <w:rsid w:val="001A10E7"/>
    <w:pPr>
      <w:keepNext/>
      <w:keepLines/>
      <w:tabs>
        <w:tab w:val="left" w:pos="680"/>
      </w:tabs>
      <w:suppressAutoHyphens/>
      <w:spacing w:before="283" w:after="113" w:line="360" w:lineRule="atLeast"/>
      <w:ind w:left="680" w:hanging="680"/>
    </w:pPr>
    <w:rPr>
      <w:rFonts w:ascii="PFCentroSlabPro-Regular" w:hAnsi="PFCentroSlabPro-Regular" w:cs="PFCentroSlabPro-Regular"/>
      <w:color w:val="3BAFC8"/>
      <w:sz w:val="32"/>
      <w:szCs w:val="32"/>
      <w:lang w:val="en-AU"/>
    </w:rPr>
  </w:style>
  <w:style w:type="paragraph" w:customStyle="1" w:styleId="03charttitle">
    <w:name w:val="03 chart title"/>
    <w:basedOn w:val="NoParagraphStyle"/>
    <w:uiPriority w:val="99"/>
    <w:rsid w:val="001A10E7"/>
    <w:pPr>
      <w:keepNext/>
      <w:keepLines/>
      <w:tabs>
        <w:tab w:val="left" w:pos="794"/>
        <w:tab w:val="left" w:pos="850"/>
      </w:tabs>
      <w:suppressAutoHyphens/>
      <w:spacing w:before="227" w:line="200" w:lineRule="atLeast"/>
      <w:ind w:left="794" w:hanging="794"/>
    </w:pPr>
    <w:rPr>
      <w:rFonts w:ascii="Gotham-Medium" w:hAnsi="Gotham-Medium" w:cs="Gotham-Medium"/>
      <w:color w:val="002684"/>
      <w:sz w:val="16"/>
      <w:szCs w:val="16"/>
    </w:rPr>
  </w:style>
  <w:style w:type="paragraph" w:customStyle="1" w:styleId="03tabletitle">
    <w:name w:val="03 table title"/>
    <w:basedOn w:val="NoParagraphStyle"/>
    <w:uiPriority w:val="99"/>
    <w:rsid w:val="001A10E7"/>
    <w:pPr>
      <w:keepNext/>
      <w:keepLines/>
      <w:tabs>
        <w:tab w:val="left" w:pos="794"/>
        <w:tab w:val="left" w:pos="850"/>
      </w:tabs>
      <w:suppressAutoHyphens/>
      <w:spacing w:before="227" w:line="220" w:lineRule="atLeast"/>
      <w:ind w:left="794" w:hanging="794"/>
    </w:pPr>
    <w:rPr>
      <w:rFonts w:ascii="Gotham-Medium" w:hAnsi="Gotham-Medium" w:cs="Gotham-Medium"/>
      <w:color w:val="002684"/>
      <w:sz w:val="18"/>
      <w:szCs w:val="18"/>
    </w:rPr>
  </w:style>
  <w:style w:type="paragraph" w:customStyle="1" w:styleId="02heading3nos">
    <w:name w:val="02 heading 3 nos"/>
    <w:basedOn w:val="NoParagraphStyle"/>
    <w:uiPriority w:val="99"/>
    <w:rsid w:val="001A10E7"/>
    <w:pPr>
      <w:keepNext/>
      <w:keepLines/>
      <w:tabs>
        <w:tab w:val="left" w:pos="680"/>
      </w:tabs>
      <w:suppressAutoHyphens/>
      <w:spacing w:before="113" w:line="320" w:lineRule="atLeast"/>
      <w:ind w:left="680" w:hanging="680"/>
    </w:pPr>
    <w:rPr>
      <w:rFonts w:ascii="Gotham-Medium" w:hAnsi="Gotham-Medium" w:cs="Gotham-Medium"/>
      <w:color w:val="425566"/>
      <w:sz w:val="22"/>
      <w:szCs w:val="22"/>
    </w:rPr>
  </w:style>
  <w:style w:type="paragraph" w:customStyle="1" w:styleId="03tablepara">
    <w:name w:val="03 table para"/>
    <w:basedOn w:val="NoParagraphStyle"/>
    <w:next w:val="NoParagraphStyle"/>
    <w:uiPriority w:val="99"/>
    <w:rsid w:val="001A10E7"/>
    <w:pPr>
      <w:keepLines/>
      <w:suppressAutoHyphens/>
      <w:spacing w:before="113"/>
    </w:pPr>
    <w:rPr>
      <w:rFonts w:ascii="Gotham-Book" w:hAnsi="Gotham-Book" w:cs="Gotham-Book"/>
      <w:sz w:val="18"/>
      <w:szCs w:val="18"/>
    </w:rPr>
  </w:style>
  <w:style w:type="paragraph" w:customStyle="1" w:styleId="01hiddenfootnote">
    <w:name w:val="01 hidden footnote"/>
    <w:basedOn w:val="NoParagraphStyle"/>
    <w:uiPriority w:val="99"/>
    <w:rsid w:val="001A10E7"/>
    <w:pPr>
      <w:keepLines/>
      <w:suppressAutoHyphens/>
      <w:spacing w:line="20" w:lineRule="atLeast"/>
    </w:pPr>
    <w:rPr>
      <w:rFonts w:ascii="Gotham-Book" w:hAnsi="Gotham-Book" w:cs="Gotham-Book"/>
      <w:outline/>
      <w:sz w:val="2"/>
      <w:szCs w:val="2"/>
    </w:rPr>
  </w:style>
  <w:style w:type="paragraph" w:customStyle="1" w:styleId="02heading2appA">
    <w:name w:val="02 heading 2 app A"/>
    <w:basedOn w:val="NoParagraphStyle"/>
    <w:uiPriority w:val="99"/>
    <w:rsid w:val="001A10E7"/>
    <w:pPr>
      <w:keepNext/>
      <w:keepLines/>
      <w:tabs>
        <w:tab w:val="left" w:pos="567"/>
      </w:tabs>
      <w:suppressAutoHyphens/>
      <w:spacing w:before="283" w:after="170" w:line="360" w:lineRule="atLeast"/>
      <w:ind w:left="567" w:hanging="567"/>
    </w:pPr>
    <w:rPr>
      <w:rFonts w:ascii="PFCentroSlabPro-Regular" w:hAnsi="PFCentroSlabPro-Regular" w:cs="PFCentroSlabPro-Regular"/>
      <w:color w:val="3BAFC8"/>
      <w:spacing w:val="-8"/>
      <w:sz w:val="32"/>
      <w:szCs w:val="32"/>
    </w:rPr>
  </w:style>
  <w:style w:type="paragraph" w:customStyle="1" w:styleId="02heading3appA">
    <w:name w:val="02 heading 3 app A"/>
    <w:basedOn w:val="NoParagraphStyle"/>
    <w:uiPriority w:val="99"/>
    <w:rsid w:val="001A10E7"/>
    <w:pPr>
      <w:keepNext/>
      <w:keepLines/>
      <w:tabs>
        <w:tab w:val="left" w:pos="850"/>
      </w:tabs>
      <w:suppressAutoHyphens/>
      <w:spacing w:before="283" w:after="113" w:line="320" w:lineRule="atLeast"/>
      <w:ind w:left="567" w:hanging="567"/>
    </w:pPr>
    <w:rPr>
      <w:rFonts w:ascii="Gotham-Medium" w:hAnsi="Gotham-Medium" w:cs="Gotham-Medium"/>
      <w:color w:val="425566"/>
      <w:spacing w:val="-6"/>
      <w:sz w:val="26"/>
      <w:szCs w:val="26"/>
    </w:rPr>
  </w:style>
  <w:style w:type="paragraph" w:customStyle="1" w:styleId="04footnote">
    <w:name w:val="04 footnote"/>
    <w:basedOn w:val="NoParagraphStyle"/>
    <w:uiPriority w:val="99"/>
    <w:rsid w:val="001A10E7"/>
    <w:pPr>
      <w:tabs>
        <w:tab w:val="left" w:pos="283"/>
      </w:tabs>
      <w:suppressAutoHyphens/>
      <w:spacing w:line="180" w:lineRule="atLeast"/>
      <w:ind w:left="283" w:hanging="283"/>
    </w:pPr>
    <w:rPr>
      <w:rFonts w:ascii="Gotham-Light" w:hAnsi="Gotham-Light" w:cs="Gotham-Light"/>
      <w:spacing w:val="-4"/>
      <w:sz w:val="14"/>
      <w:szCs w:val="14"/>
    </w:rPr>
  </w:style>
  <w:style w:type="paragraph" w:customStyle="1" w:styleId="03tabletextC">
    <w:name w:val="03 table text C"/>
    <w:basedOn w:val="NoParagraphStyle"/>
    <w:uiPriority w:val="99"/>
    <w:rsid w:val="001A10E7"/>
    <w:pPr>
      <w:suppressAutoHyphens/>
      <w:spacing w:line="200" w:lineRule="atLeast"/>
      <w:jc w:val="center"/>
    </w:pPr>
    <w:rPr>
      <w:rFonts w:ascii="Gotham-Light" w:hAnsi="Gotham-Light" w:cs="Gotham-Light"/>
      <w:spacing w:val="-4"/>
      <w:sz w:val="16"/>
      <w:szCs w:val="16"/>
    </w:rPr>
  </w:style>
  <w:style w:type="paragraph" w:customStyle="1" w:styleId="03tabletextLH">
    <w:name w:val="03 table text LH"/>
    <w:basedOn w:val="NoParagraphStyle"/>
    <w:uiPriority w:val="99"/>
    <w:rsid w:val="001A10E7"/>
    <w:pPr>
      <w:suppressAutoHyphens/>
      <w:spacing w:line="200" w:lineRule="atLeast"/>
    </w:pPr>
    <w:rPr>
      <w:rFonts w:ascii="Gotham-Medium" w:hAnsi="Gotham-Medium" w:cs="Gotham-Medium"/>
      <w:spacing w:val="-4"/>
      <w:sz w:val="16"/>
      <w:szCs w:val="16"/>
    </w:rPr>
  </w:style>
  <w:style w:type="paragraph" w:customStyle="1" w:styleId="03tabletextLHindented">
    <w:name w:val="03 table text LH indented"/>
    <w:basedOn w:val="NoParagraphStyle"/>
    <w:uiPriority w:val="99"/>
    <w:rsid w:val="001A10E7"/>
    <w:pPr>
      <w:suppressAutoHyphens/>
      <w:spacing w:line="200" w:lineRule="atLeast"/>
      <w:ind w:left="113"/>
    </w:pPr>
    <w:rPr>
      <w:rFonts w:ascii="Gotham-Light" w:hAnsi="Gotham-Light" w:cs="Gotham-Light"/>
      <w:spacing w:val="-4"/>
      <w:sz w:val="16"/>
      <w:szCs w:val="16"/>
    </w:rPr>
  </w:style>
  <w:style w:type="paragraph" w:customStyle="1" w:styleId="03tableheadingrh">
    <w:name w:val="03 table heading rh"/>
    <w:basedOn w:val="NoParagraphStyle"/>
    <w:uiPriority w:val="99"/>
    <w:rsid w:val="001A10E7"/>
    <w:pPr>
      <w:tabs>
        <w:tab w:val="left" w:pos="567"/>
        <w:tab w:val="left" w:pos="1134"/>
      </w:tabs>
      <w:suppressAutoHyphens/>
      <w:spacing w:before="57" w:after="57" w:line="200" w:lineRule="atLeast"/>
      <w:jc w:val="right"/>
    </w:pPr>
    <w:rPr>
      <w:rFonts w:ascii="Gotham-Medium" w:hAnsi="Gotham-Medium" w:cs="Gotham-Medium"/>
      <w:spacing w:val="-4"/>
      <w:sz w:val="16"/>
      <w:szCs w:val="16"/>
      <w:lang w:val="en-AU"/>
    </w:rPr>
  </w:style>
  <w:style w:type="paragraph" w:customStyle="1" w:styleId="03tablebodytext">
    <w:name w:val="03 table body text"/>
    <w:basedOn w:val="NoParagraphStyle"/>
    <w:uiPriority w:val="99"/>
    <w:rsid w:val="001A10E7"/>
    <w:pPr>
      <w:suppressAutoHyphens/>
      <w:spacing w:before="113" w:line="200" w:lineRule="atLeast"/>
    </w:pPr>
    <w:rPr>
      <w:rFonts w:ascii="Gotham-Light" w:hAnsi="Gotham-Light" w:cs="Gotham-Light"/>
      <w:spacing w:val="-4"/>
      <w:sz w:val="16"/>
      <w:szCs w:val="16"/>
    </w:rPr>
  </w:style>
  <w:style w:type="paragraph" w:customStyle="1" w:styleId="03tablebodytextRH">
    <w:name w:val="03 table body text RH"/>
    <w:basedOn w:val="NoParagraphStyle"/>
    <w:uiPriority w:val="99"/>
    <w:rsid w:val="001A10E7"/>
    <w:pPr>
      <w:suppressAutoHyphens/>
      <w:spacing w:before="113" w:line="200" w:lineRule="atLeast"/>
      <w:jc w:val="right"/>
    </w:pPr>
    <w:rPr>
      <w:rFonts w:ascii="Gotham-Light" w:hAnsi="Gotham-Light" w:cs="Gotham-Light"/>
      <w:sz w:val="16"/>
      <w:szCs w:val="16"/>
    </w:rPr>
  </w:style>
  <w:style w:type="paragraph" w:customStyle="1" w:styleId="03Tabletextnegatives">
    <w:name w:val="03 Table text negatives"/>
    <w:basedOn w:val="03tablebodytext"/>
    <w:uiPriority w:val="99"/>
    <w:rsid w:val="001A10E7"/>
    <w:pPr>
      <w:jc w:val="right"/>
    </w:pPr>
    <w:rPr>
      <w:color w:val="C3002F"/>
      <w:lang w:val="en-AU"/>
    </w:rPr>
  </w:style>
  <w:style w:type="paragraph" w:customStyle="1" w:styleId="60-tableheadingC">
    <w:name w:val="60-table heading C"/>
    <w:basedOn w:val="NoParagraphStyle"/>
    <w:uiPriority w:val="99"/>
    <w:rsid w:val="001A10E7"/>
    <w:pPr>
      <w:tabs>
        <w:tab w:val="left" w:pos="567"/>
        <w:tab w:val="left" w:pos="1134"/>
      </w:tabs>
      <w:suppressAutoHyphens/>
      <w:spacing w:before="57" w:after="57" w:line="200" w:lineRule="atLeast"/>
      <w:jc w:val="center"/>
    </w:pPr>
    <w:rPr>
      <w:rFonts w:ascii="GothamNarrow-Medium" w:hAnsi="GothamNarrow-Medium" w:cs="GothamNarrow-Medium"/>
      <w:spacing w:val="-4"/>
      <w:sz w:val="16"/>
      <w:szCs w:val="16"/>
      <w:lang w:val="en-AU"/>
    </w:rPr>
  </w:style>
  <w:style w:type="character" w:customStyle="1" w:styleId="01tablered">
    <w:name w:val="01 table red"/>
    <w:uiPriority w:val="99"/>
    <w:rsid w:val="001A10E7"/>
    <w:rPr>
      <w:color w:val="C3002F"/>
    </w:rPr>
  </w:style>
  <w:style w:type="character" w:customStyle="1" w:styleId="negativefigures">
    <w:name w:val="negative figures"/>
    <w:uiPriority w:val="99"/>
    <w:rsid w:val="001A10E7"/>
    <w:rPr>
      <w:color w:val="C3002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Volumes/Studio/Studio_WIP/1076_Cross%20subsidy%20in%20Australia%20Post/CLIENT%20SUPPLIED%20FILES/%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file:///Volumes/Studio/Studio_WIP/1076_Cross%20subsidy%20in%20Australia%20Post/CLIENT%20SUPPLIED%20FILES/%20" TargetMode="External"/><Relationship Id="rId1" Type="http://schemas.openxmlformats.org/officeDocument/2006/relationships/hyperlink" Target="file:///Volumes/Studio/Studio_WIP/1076_Cross%20subsidy%20in%20Australia%20Post/CLIENT%20SUPPLIED%20FILES/%20"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43CCB5-388A-444B-BDDC-F8E0C568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7B82ECCF</Template>
  <TotalTime>73</TotalTime>
  <Pages>27</Pages>
  <Words>9339</Words>
  <Characters>53236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62451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Smith, Deanne</dc:creator>
  <cp:lastModifiedBy>Smith, Deanne</cp:lastModifiedBy>
  <cp:revision>1</cp:revision>
  <dcterms:created xsi:type="dcterms:W3CDTF">2016-03-31T23:54:00Z</dcterms:created>
  <dcterms:modified xsi:type="dcterms:W3CDTF">2016-04-01T01:08:00Z</dcterms:modified>
</cp:coreProperties>
</file>