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F0D" w:rsidRPr="00155119" w:rsidRDefault="00273F0D" w:rsidP="00273F0D">
      <w:bookmarkStart w:id="0" w:name="_GoBack"/>
      <w:bookmarkEnd w:id="0"/>
      <w:r>
        <w:rPr>
          <w:noProof/>
          <w:lang w:eastAsia="en-AU"/>
        </w:rPr>
        <w:drawing>
          <wp:inline distT="0" distB="0" distL="0" distR="0" wp14:anchorId="5B1429C5" wp14:editId="2F934408">
            <wp:extent cx="3416300" cy="1061085"/>
            <wp:effectExtent l="0" t="0" r="0" b="5715"/>
            <wp:docPr id="2" name="Picture 2" descr="ACCC-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CC-logo-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6300" cy="1061085"/>
                    </a:xfrm>
                    <a:prstGeom prst="rect">
                      <a:avLst/>
                    </a:prstGeom>
                    <a:noFill/>
                    <a:ln>
                      <a:noFill/>
                    </a:ln>
                  </pic:spPr>
                </pic:pic>
              </a:graphicData>
            </a:graphic>
          </wp:inline>
        </w:drawing>
      </w:r>
    </w:p>
    <w:p w:rsidR="00273F0D" w:rsidRDefault="00273F0D" w:rsidP="00273F0D">
      <w:pPr>
        <w:sectPr w:rsidR="00273F0D" w:rsidSect="001134EF">
          <w:headerReference w:type="even" r:id="rId9"/>
          <w:headerReference w:type="default" r:id="rId10"/>
          <w:footerReference w:type="even" r:id="rId11"/>
          <w:footerReference w:type="default" r:id="rId12"/>
          <w:headerReference w:type="first" r:id="rId13"/>
          <w:footerReference w:type="first" r:id="rId14"/>
          <w:pgSz w:w="11906" w:h="16838" w:code="9"/>
          <w:pgMar w:top="1440" w:right="1729" w:bottom="1582" w:left="1729" w:header="709" w:footer="709" w:gutter="0"/>
          <w:cols w:space="720"/>
          <w:titlePg/>
          <w:docGrid w:linePitch="326"/>
        </w:sectPr>
      </w:pPr>
    </w:p>
    <w:p w:rsidR="00273F0D" w:rsidRDefault="00273F0D" w:rsidP="00273F0D">
      <w:pPr>
        <w:pStyle w:val="ACCCtitle"/>
      </w:pPr>
      <w:r>
        <w:lastRenderedPageBreak/>
        <w:t xml:space="preserve">Fixed line services FAD inquiry: Disclosure </w:t>
      </w:r>
      <w:r w:rsidR="004B3221">
        <w:t xml:space="preserve">notice given to Telstra regarding </w:t>
      </w:r>
      <w:r>
        <w:t>Building Block Model Record Keeping Rule</w:t>
      </w:r>
      <w:r w:rsidR="004B3221">
        <w:t xml:space="preserve"> information</w:t>
      </w:r>
    </w:p>
    <w:p w:rsidR="000D5931" w:rsidRDefault="000D5931" w:rsidP="00273F0D">
      <w:pPr>
        <w:pStyle w:val="ACCCtitle"/>
      </w:pPr>
    </w:p>
    <w:p w:rsidR="000D5931" w:rsidRDefault="003F236C" w:rsidP="00273F0D">
      <w:pPr>
        <w:pStyle w:val="ACCCtitle"/>
      </w:pPr>
      <w:r>
        <w:t>Statement of reasons</w:t>
      </w:r>
    </w:p>
    <w:p w:rsidR="00E14941" w:rsidRDefault="00E14941" w:rsidP="00273F0D">
      <w:pPr>
        <w:pStyle w:val="ACCCtitle"/>
      </w:pPr>
    </w:p>
    <w:p w:rsidR="00E14941" w:rsidRDefault="00E14941" w:rsidP="00273F0D">
      <w:pPr>
        <w:pStyle w:val="ACCCtitle"/>
      </w:pPr>
    </w:p>
    <w:p w:rsidR="00E14941" w:rsidRDefault="00E14941" w:rsidP="00273F0D">
      <w:pPr>
        <w:pStyle w:val="ACCCtitle"/>
      </w:pPr>
    </w:p>
    <w:p w:rsidR="00E14941" w:rsidRDefault="00E14941" w:rsidP="00273F0D">
      <w:pPr>
        <w:pStyle w:val="ACCCtitle"/>
      </w:pPr>
    </w:p>
    <w:p w:rsidR="00E14941" w:rsidRDefault="00E14941" w:rsidP="00273F0D">
      <w:pPr>
        <w:pStyle w:val="ACCCtitle"/>
      </w:pPr>
    </w:p>
    <w:p w:rsidR="00E14941" w:rsidRPr="00755A22" w:rsidRDefault="00E14941" w:rsidP="00273F0D">
      <w:pPr>
        <w:pStyle w:val="ACCCtitle"/>
        <w:rPr>
          <w:szCs w:val="36"/>
        </w:rPr>
      </w:pPr>
    </w:p>
    <w:p w:rsidR="00273F0D" w:rsidRPr="00E14941" w:rsidRDefault="003235E2" w:rsidP="00273F0D">
      <w:pPr>
        <w:jc w:val="center"/>
        <w:rPr>
          <w:sz w:val="32"/>
          <w:szCs w:val="32"/>
        </w:rPr>
      </w:pPr>
      <w:r w:rsidRPr="00E14941">
        <w:rPr>
          <w:sz w:val="32"/>
          <w:szCs w:val="32"/>
        </w:rPr>
        <w:t xml:space="preserve">June </w:t>
      </w:r>
      <w:r w:rsidR="00273F0D" w:rsidRPr="00E14941">
        <w:rPr>
          <w:sz w:val="32"/>
          <w:szCs w:val="32"/>
        </w:rPr>
        <w:t>2014</w:t>
      </w:r>
    </w:p>
    <w:p w:rsidR="00273F0D" w:rsidRDefault="00273F0D" w:rsidP="00273F0D"/>
    <w:p w:rsidR="00273F0D" w:rsidRDefault="00273F0D" w:rsidP="00273F0D">
      <w:pPr>
        <w:sectPr w:rsidR="00273F0D" w:rsidSect="00EF069A">
          <w:footerReference w:type="even" r:id="rId15"/>
          <w:footerReference w:type="default" r:id="rId16"/>
          <w:type w:val="continuous"/>
          <w:pgSz w:w="11906" w:h="16838" w:code="9"/>
          <w:pgMar w:top="1440" w:right="1729" w:bottom="1582" w:left="1729" w:header="720" w:footer="1009" w:gutter="0"/>
          <w:pgNumType w:start="1"/>
          <w:cols w:space="720"/>
          <w:docGrid w:linePitch="326"/>
        </w:sectPr>
      </w:pPr>
      <w:bookmarkStart w:id="1" w:name="OLE_LINK3"/>
      <w:bookmarkStart w:id="2" w:name="OLE_LINK4"/>
    </w:p>
    <w:p w:rsidR="00273F0D" w:rsidRPr="00273F0D" w:rsidRDefault="00273F0D" w:rsidP="00273F0D">
      <w:pPr>
        <w:rPr>
          <w:sz w:val="20"/>
        </w:rPr>
      </w:pPr>
      <w:r w:rsidRPr="00273F0D">
        <w:rPr>
          <w:sz w:val="20"/>
        </w:rPr>
        <w:lastRenderedPageBreak/>
        <w:t>Australian Competition and Consumer Commission</w:t>
      </w:r>
      <w:r w:rsidRPr="00273F0D">
        <w:rPr>
          <w:sz w:val="20"/>
        </w:rPr>
        <w:br/>
        <w:t>23 Marcus Clarke Street, Canberra, Australian Capital Territory, 2601</w:t>
      </w:r>
    </w:p>
    <w:p w:rsidR="00273F0D" w:rsidRPr="00273F0D" w:rsidRDefault="00273F0D" w:rsidP="00273F0D">
      <w:pPr>
        <w:rPr>
          <w:sz w:val="20"/>
        </w:rPr>
      </w:pPr>
      <w:r w:rsidRPr="00273F0D">
        <w:rPr>
          <w:sz w:val="20"/>
        </w:rPr>
        <w:t>First published by the ACCC 2014</w:t>
      </w:r>
    </w:p>
    <w:p w:rsidR="00273F0D" w:rsidRPr="00273F0D" w:rsidRDefault="00273F0D" w:rsidP="00273F0D">
      <w:pPr>
        <w:rPr>
          <w:sz w:val="20"/>
        </w:rPr>
      </w:pPr>
      <w:r w:rsidRPr="00273F0D">
        <w:rPr>
          <w:sz w:val="20"/>
        </w:rPr>
        <w:t>© Commonwealth of Australia 2014</w:t>
      </w:r>
    </w:p>
    <w:p w:rsidR="00273F0D" w:rsidRPr="00273F0D" w:rsidRDefault="00273F0D" w:rsidP="00273F0D">
      <w:pPr>
        <w:rPr>
          <w:sz w:val="20"/>
        </w:rPr>
      </w:pPr>
      <w:r w:rsidRPr="00273F0D">
        <w:rPr>
          <w:sz w:val="20"/>
        </w:rPr>
        <w:t xml:space="preserve">This work is copyright. In addition to any use permitted under the Copyright Act 1968, all material contained within this work is provided under a Creative Commons Attribution 3.0 Australia licence, with the exception of: </w:t>
      </w:r>
    </w:p>
    <w:p w:rsidR="00273F0D" w:rsidRPr="003F236C" w:rsidRDefault="00273F0D" w:rsidP="0053163C">
      <w:pPr>
        <w:pStyle w:val="ListBullet"/>
        <w:rPr>
          <w:sz w:val="20"/>
          <w:szCs w:val="20"/>
        </w:rPr>
      </w:pPr>
      <w:r w:rsidRPr="003F236C">
        <w:rPr>
          <w:sz w:val="20"/>
          <w:szCs w:val="20"/>
        </w:rPr>
        <w:t xml:space="preserve">the Commonwealth Coat of Arms </w:t>
      </w:r>
    </w:p>
    <w:p w:rsidR="00273F0D" w:rsidRPr="003F236C" w:rsidRDefault="00273F0D" w:rsidP="0053163C">
      <w:pPr>
        <w:pStyle w:val="ListBullet"/>
        <w:rPr>
          <w:sz w:val="20"/>
          <w:szCs w:val="20"/>
        </w:rPr>
      </w:pPr>
      <w:r w:rsidRPr="003F236C">
        <w:rPr>
          <w:sz w:val="20"/>
          <w:szCs w:val="20"/>
        </w:rPr>
        <w:t>the ACCC and AER logo</w:t>
      </w:r>
    </w:p>
    <w:p w:rsidR="00273F0D" w:rsidRPr="003F236C" w:rsidRDefault="00273F0D" w:rsidP="0053163C">
      <w:pPr>
        <w:pStyle w:val="ListBullet"/>
        <w:rPr>
          <w:sz w:val="20"/>
          <w:szCs w:val="20"/>
        </w:rPr>
      </w:pPr>
      <w:r w:rsidRPr="003F236C">
        <w:rPr>
          <w:sz w:val="20"/>
          <w:szCs w:val="20"/>
        </w:rPr>
        <w:t>any illustration, diagram, photograph or graphic over which the Australian Competition and Consumer Commission does not hold copyright, but which may be part of or contained within this publication.</w:t>
      </w:r>
    </w:p>
    <w:p w:rsidR="00273F0D" w:rsidRPr="00273F0D" w:rsidRDefault="00273F0D" w:rsidP="00273F0D">
      <w:pPr>
        <w:rPr>
          <w:sz w:val="20"/>
        </w:rPr>
      </w:pPr>
      <w:r w:rsidRPr="00273F0D">
        <w:rPr>
          <w:sz w:val="20"/>
        </w:rPr>
        <w:t xml:space="preserve">The details of the relevant licence conditions are available on the Creative Commons website, as is the full legal code for the CC BY 3.0 AU licence. </w:t>
      </w:r>
      <w:r w:rsidRPr="00273F0D">
        <w:rPr>
          <w:sz w:val="20"/>
        </w:rPr>
        <w:br/>
      </w:r>
      <w:r w:rsidRPr="00273F0D">
        <w:rPr>
          <w:sz w:val="20"/>
        </w:rPr>
        <w:br/>
        <w:t xml:space="preserve">Requests and inquiries concerning reproduction and rights should be addressed to the Director, Corporate Communications, ACCC, GPO Box 3131, Canberra ACT 2601, or </w:t>
      </w:r>
      <w:hyperlink r:id="rId17" w:history="1">
        <w:r w:rsidRPr="00273F0D">
          <w:rPr>
            <w:rStyle w:val="Hyperlink"/>
            <w:sz w:val="20"/>
          </w:rPr>
          <w:t>publishing.unit@accc.gov.au</w:t>
        </w:r>
      </w:hyperlink>
    </w:p>
    <w:p w:rsidR="00273F0D" w:rsidRPr="00273F0D" w:rsidRDefault="002F594E" w:rsidP="00273F0D">
      <w:pPr>
        <w:pStyle w:val="copyrighttext"/>
        <w:rPr>
          <w:sz w:val="20"/>
        </w:rPr>
      </w:pPr>
      <w:hyperlink r:id="rId18" w:history="1">
        <w:r w:rsidR="00273F0D" w:rsidRPr="00273F0D">
          <w:rPr>
            <w:rStyle w:val="Hyperlink"/>
            <w:sz w:val="20"/>
          </w:rPr>
          <w:t>www.accc.gov.au</w:t>
        </w:r>
      </w:hyperlink>
      <w:r w:rsidR="00273F0D" w:rsidRPr="00273F0D">
        <w:rPr>
          <w:sz w:val="20"/>
        </w:rPr>
        <w:t xml:space="preserve"> </w:t>
      </w:r>
    </w:p>
    <w:p w:rsidR="00273F0D" w:rsidRPr="00CA6B70" w:rsidRDefault="00273F0D" w:rsidP="00273F0D">
      <w:pPr>
        <w:pStyle w:val="copyrighttext"/>
      </w:pPr>
    </w:p>
    <w:p w:rsidR="00273F0D" w:rsidRPr="00542897" w:rsidRDefault="00273F0D" w:rsidP="00273F0D">
      <w:pPr>
        <w:rPr>
          <w:rStyle w:val="PageNumber"/>
        </w:rPr>
      </w:pPr>
      <w:bookmarkStart w:id="3" w:name="_Toc148174795"/>
      <w:bookmarkEnd w:id="1"/>
      <w:bookmarkEnd w:id="2"/>
    </w:p>
    <w:p w:rsidR="00273F0D" w:rsidRPr="00542897" w:rsidRDefault="00273F0D" w:rsidP="00273F0D">
      <w:pPr>
        <w:rPr>
          <w:rStyle w:val="PageNumber"/>
        </w:rPr>
        <w:sectPr w:rsidR="00273F0D" w:rsidRPr="00542897" w:rsidSect="00EF069A">
          <w:footerReference w:type="even" r:id="rId19"/>
          <w:footerReference w:type="default" r:id="rId20"/>
          <w:type w:val="evenPage"/>
          <w:pgSz w:w="11906" w:h="16838" w:code="9"/>
          <w:pgMar w:top="1440" w:right="1729" w:bottom="1582" w:left="1729" w:header="720" w:footer="1009" w:gutter="0"/>
          <w:pgNumType w:fmt="lowerRoman" w:start="2"/>
          <w:cols w:space="720"/>
          <w:vAlign w:val="bottom"/>
          <w:docGrid w:linePitch="326"/>
        </w:sectPr>
      </w:pPr>
    </w:p>
    <w:p w:rsidR="00301BB1" w:rsidRDefault="00301BB1" w:rsidP="00301BB1">
      <w:pPr>
        <w:pStyle w:val="Heading2"/>
      </w:pPr>
      <w:bookmarkStart w:id="4" w:name="_Toc388969181"/>
      <w:r>
        <w:lastRenderedPageBreak/>
        <w:t>Glossary</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6624"/>
      </w:tblGrid>
      <w:tr w:rsidR="00301BB1" w:rsidRPr="00D142DB" w:rsidTr="00427D5D">
        <w:trPr>
          <w:cantSplit/>
        </w:trPr>
        <w:tc>
          <w:tcPr>
            <w:tcW w:w="2040" w:type="dxa"/>
            <w:shd w:val="clear" w:color="auto" w:fill="auto"/>
          </w:tcPr>
          <w:p w:rsidR="00301BB1" w:rsidRPr="00BD7219" w:rsidRDefault="00301BB1" w:rsidP="00427D5D">
            <w:pPr>
              <w:spacing w:before="120" w:after="120"/>
              <w:rPr>
                <w:rFonts w:eastAsia="Times New Roman" w:cs="Arial"/>
                <w:lang w:eastAsia="en-AU"/>
              </w:rPr>
            </w:pPr>
            <w:r w:rsidRPr="00BD7219">
              <w:rPr>
                <w:rFonts w:eastAsia="Times New Roman" w:cs="Arial"/>
                <w:b/>
                <w:bCs/>
                <w:color w:val="000000"/>
                <w:lang w:eastAsia="en-AU"/>
              </w:rPr>
              <w:t>access seeker</w:t>
            </w:r>
          </w:p>
        </w:tc>
        <w:tc>
          <w:tcPr>
            <w:tcW w:w="6624" w:type="dxa"/>
            <w:shd w:val="clear" w:color="auto" w:fill="auto"/>
          </w:tcPr>
          <w:p w:rsidR="00301BB1" w:rsidRPr="00BD7219" w:rsidRDefault="00301BB1" w:rsidP="00427D5D">
            <w:pPr>
              <w:spacing w:before="120" w:after="120"/>
              <w:rPr>
                <w:rFonts w:eastAsia="Times New Roman" w:cs="Arial"/>
                <w:lang w:eastAsia="en-AU"/>
              </w:rPr>
            </w:pPr>
            <w:r w:rsidRPr="00BD7219">
              <w:rPr>
                <w:rFonts w:eastAsia="Times New Roman" w:cs="Arial"/>
                <w:lang w:eastAsia="en-AU"/>
              </w:rPr>
              <w:t xml:space="preserve">Telecommunications companies that seek access to the declared service (that is, the right to use the declared service). </w:t>
            </w:r>
          </w:p>
        </w:tc>
      </w:tr>
      <w:tr w:rsidR="00301BB1" w:rsidRPr="00D142DB" w:rsidTr="00427D5D">
        <w:trPr>
          <w:cantSplit/>
        </w:trPr>
        <w:tc>
          <w:tcPr>
            <w:tcW w:w="2040" w:type="dxa"/>
            <w:shd w:val="clear" w:color="auto" w:fill="auto"/>
          </w:tcPr>
          <w:p w:rsidR="00301BB1" w:rsidRPr="00BD7219" w:rsidRDefault="00301BB1" w:rsidP="00427D5D">
            <w:pPr>
              <w:spacing w:before="120" w:after="120"/>
              <w:rPr>
                <w:rFonts w:eastAsia="Times New Roman" w:cs="Arial"/>
                <w:b/>
                <w:bCs/>
                <w:color w:val="000000"/>
                <w:lang w:eastAsia="en-AU"/>
              </w:rPr>
            </w:pPr>
            <w:r w:rsidRPr="00BD7219">
              <w:rPr>
                <w:rFonts w:eastAsia="Times New Roman" w:cs="Arial"/>
                <w:b/>
                <w:bCs/>
                <w:color w:val="000000"/>
                <w:lang w:eastAsia="en-AU"/>
              </w:rPr>
              <w:t>ADSL</w:t>
            </w:r>
          </w:p>
        </w:tc>
        <w:tc>
          <w:tcPr>
            <w:tcW w:w="6624" w:type="dxa"/>
            <w:shd w:val="clear" w:color="auto" w:fill="auto"/>
          </w:tcPr>
          <w:p w:rsidR="00301BB1" w:rsidRPr="00BD7219" w:rsidRDefault="00301BB1" w:rsidP="00427D5D">
            <w:pPr>
              <w:spacing w:before="120" w:after="120"/>
              <w:rPr>
                <w:rFonts w:eastAsia="Times New Roman" w:cs="Arial"/>
                <w:lang w:eastAsia="en-AU"/>
              </w:rPr>
            </w:pPr>
            <w:r w:rsidRPr="00BD7219">
              <w:rPr>
                <w:rFonts w:eastAsia="Times New Roman" w:cs="Arial"/>
                <w:color w:val="000000"/>
                <w:lang w:eastAsia="en-AU"/>
              </w:rPr>
              <w:t>Asymmetric Digital Subscriber Line. A technology for transmitting digital information at high data rates on existing copper phone lines. It is called asymmetric because the download and upload speeds are not symmetrical (that is, download is faster than upload).</w:t>
            </w:r>
          </w:p>
        </w:tc>
      </w:tr>
      <w:tr w:rsidR="00301BB1" w:rsidRPr="00D142DB" w:rsidTr="00427D5D">
        <w:trPr>
          <w:cantSplit/>
        </w:trPr>
        <w:tc>
          <w:tcPr>
            <w:tcW w:w="2040" w:type="dxa"/>
            <w:shd w:val="clear" w:color="auto" w:fill="auto"/>
          </w:tcPr>
          <w:p w:rsidR="00301BB1" w:rsidRPr="00BD7219" w:rsidRDefault="00301BB1" w:rsidP="00427D5D">
            <w:pPr>
              <w:spacing w:before="120" w:after="120"/>
              <w:rPr>
                <w:rFonts w:eastAsia="Times New Roman" w:cs="Arial"/>
                <w:b/>
                <w:bCs/>
                <w:color w:val="000000"/>
                <w:lang w:eastAsia="en-AU"/>
              </w:rPr>
            </w:pPr>
            <w:r w:rsidRPr="00BD7219">
              <w:rPr>
                <w:rFonts w:eastAsia="Times New Roman" w:cs="Arial"/>
                <w:b/>
                <w:bCs/>
                <w:color w:val="000000"/>
                <w:lang w:eastAsia="en-AU"/>
              </w:rPr>
              <w:t>BBM</w:t>
            </w:r>
          </w:p>
        </w:tc>
        <w:tc>
          <w:tcPr>
            <w:tcW w:w="6624" w:type="dxa"/>
            <w:shd w:val="clear" w:color="auto" w:fill="auto"/>
          </w:tcPr>
          <w:p w:rsidR="00301BB1" w:rsidRPr="00BD7219" w:rsidRDefault="00301BB1" w:rsidP="00427D5D">
            <w:pPr>
              <w:spacing w:before="120" w:after="120"/>
              <w:rPr>
                <w:rFonts w:eastAsia="Times New Roman" w:cs="Arial"/>
                <w:color w:val="000000"/>
                <w:lang w:eastAsia="en-AU"/>
              </w:rPr>
            </w:pPr>
            <w:r w:rsidRPr="00BD7219">
              <w:rPr>
                <w:rFonts w:eastAsia="Times New Roman" w:cs="Arial"/>
                <w:color w:val="000000"/>
                <w:lang w:eastAsia="en-AU"/>
              </w:rPr>
              <w:t>Building Block Model</w:t>
            </w:r>
          </w:p>
        </w:tc>
      </w:tr>
      <w:tr w:rsidR="00D45B92" w:rsidRPr="00D142DB" w:rsidTr="00427D5D">
        <w:trPr>
          <w:cantSplit/>
        </w:trPr>
        <w:tc>
          <w:tcPr>
            <w:tcW w:w="2040" w:type="dxa"/>
            <w:shd w:val="clear" w:color="auto" w:fill="auto"/>
          </w:tcPr>
          <w:p w:rsidR="00D45B92" w:rsidRPr="00BD7219" w:rsidRDefault="00D45B92" w:rsidP="00427D5D">
            <w:pPr>
              <w:spacing w:before="120" w:after="120"/>
              <w:rPr>
                <w:rFonts w:eastAsia="Times New Roman" w:cs="Arial"/>
                <w:b/>
                <w:bCs/>
                <w:color w:val="000000"/>
                <w:lang w:eastAsia="en-AU"/>
              </w:rPr>
            </w:pPr>
            <w:r>
              <w:rPr>
                <w:rFonts w:eastAsia="Times New Roman" w:cs="Arial"/>
                <w:b/>
                <w:bCs/>
                <w:color w:val="000000"/>
                <w:lang w:eastAsia="en-AU"/>
              </w:rPr>
              <w:t>BBM RKR</w:t>
            </w:r>
          </w:p>
        </w:tc>
        <w:tc>
          <w:tcPr>
            <w:tcW w:w="6624" w:type="dxa"/>
            <w:shd w:val="clear" w:color="auto" w:fill="auto"/>
          </w:tcPr>
          <w:p w:rsidR="00D45B92" w:rsidRPr="00BD7219" w:rsidRDefault="00D45B92" w:rsidP="00427D5D">
            <w:pPr>
              <w:spacing w:before="120" w:after="120"/>
              <w:rPr>
                <w:rFonts w:eastAsia="Times New Roman" w:cs="Arial"/>
                <w:color w:val="000000"/>
                <w:lang w:eastAsia="en-AU"/>
              </w:rPr>
            </w:pPr>
            <w:r>
              <w:rPr>
                <w:rFonts w:eastAsia="Times New Roman" w:cs="Arial"/>
                <w:color w:val="000000"/>
                <w:lang w:eastAsia="en-AU"/>
              </w:rPr>
              <w:t>BBM record keeping rule</w:t>
            </w:r>
          </w:p>
        </w:tc>
      </w:tr>
      <w:tr w:rsidR="00301BB1" w:rsidRPr="00D142DB" w:rsidTr="00427D5D">
        <w:trPr>
          <w:cantSplit/>
        </w:trPr>
        <w:tc>
          <w:tcPr>
            <w:tcW w:w="2040" w:type="dxa"/>
            <w:shd w:val="clear" w:color="auto" w:fill="auto"/>
          </w:tcPr>
          <w:p w:rsidR="00301BB1" w:rsidRPr="00BD7219" w:rsidRDefault="00301BB1" w:rsidP="00427D5D">
            <w:pPr>
              <w:spacing w:before="120" w:after="120"/>
              <w:rPr>
                <w:rFonts w:eastAsia="Times New Roman" w:cs="Arial"/>
                <w:b/>
                <w:bCs/>
                <w:color w:val="000000"/>
                <w:lang w:eastAsia="en-AU"/>
              </w:rPr>
            </w:pPr>
            <w:r w:rsidRPr="00BD7219">
              <w:rPr>
                <w:rFonts w:eastAsia="Times New Roman" w:cs="Arial"/>
                <w:b/>
                <w:bCs/>
                <w:color w:val="000000"/>
                <w:lang w:eastAsia="en-AU"/>
              </w:rPr>
              <w:t>CCA</w:t>
            </w:r>
          </w:p>
        </w:tc>
        <w:tc>
          <w:tcPr>
            <w:tcW w:w="6624" w:type="dxa"/>
            <w:shd w:val="clear" w:color="auto" w:fill="auto"/>
          </w:tcPr>
          <w:p w:rsidR="00301BB1" w:rsidRPr="00BD7219" w:rsidRDefault="00301BB1" w:rsidP="00427D5D">
            <w:pPr>
              <w:spacing w:before="120" w:after="120"/>
              <w:rPr>
                <w:rFonts w:eastAsia="Times New Roman" w:cs="Arial"/>
                <w:color w:val="000000"/>
                <w:lang w:eastAsia="en-AU"/>
              </w:rPr>
            </w:pPr>
            <w:r w:rsidRPr="00BD7219">
              <w:rPr>
                <w:rFonts w:eastAsia="Times New Roman" w:cs="Arial"/>
                <w:color w:val="000000"/>
                <w:lang w:eastAsia="en-AU"/>
              </w:rPr>
              <w:t>Competition and Consumer Act 2010</w:t>
            </w:r>
          </w:p>
        </w:tc>
      </w:tr>
      <w:tr w:rsidR="00301BB1" w:rsidRPr="00D142DB" w:rsidTr="00427D5D">
        <w:trPr>
          <w:cantSplit/>
        </w:trPr>
        <w:tc>
          <w:tcPr>
            <w:tcW w:w="2040" w:type="dxa"/>
            <w:shd w:val="clear" w:color="auto" w:fill="auto"/>
          </w:tcPr>
          <w:p w:rsidR="00301BB1" w:rsidRPr="00BD7219" w:rsidRDefault="00301BB1" w:rsidP="00427D5D">
            <w:pPr>
              <w:spacing w:before="120" w:after="120"/>
              <w:rPr>
                <w:rFonts w:eastAsia="Times New Roman" w:cs="Arial"/>
                <w:b/>
                <w:bCs/>
                <w:color w:val="000000"/>
                <w:lang w:eastAsia="en-AU"/>
              </w:rPr>
            </w:pPr>
            <w:r w:rsidRPr="00BD7219">
              <w:rPr>
                <w:rFonts w:eastAsia="Times New Roman" w:cs="Arial"/>
                <w:b/>
                <w:bCs/>
                <w:color w:val="000000"/>
                <w:lang w:eastAsia="en-AU"/>
              </w:rPr>
              <w:t>declared service</w:t>
            </w:r>
          </w:p>
        </w:tc>
        <w:tc>
          <w:tcPr>
            <w:tcW w:w="6624" w:type="dxa"/>
            <w:shd w:val="clear" w:color="auto" w:fill="auto"/>
          </w:tcPr>
          <w:p w:rsidR="00301BB1" w:rsidRPr="00BD7219" w:rsidRDefault="00301BB1" w:rsidP="00427D5D">
            <w:pPr>
              <w:spacing w:before="120" w:after="120"/>
              <w:rPr>
                <w:rFonts w:eastAsia="Times New Roman" w:cs="Arial"/>
                <w:color w:val="000000"/>
                <w:lang w:eastAsia="en-AU"/>
              </w:rPr>
            </w:pPr>
            <w:r w:rsidRPr="00BD7219">
              <w:rPr>
                <w:rFonts w:eastAsia="Times New Roman" w:cs="Arial"/>
                <w:color w:val="000000"/>
                <w:lang w:eastAsia="en-AU"/>
              </w:rPr>
              <w:t>A service that the ACCC regulates under Part XIC of the CCA. Once declared, a service provider must supply the service to other parties in accordance with the standard access obligations and the terms and conditions set in the final access determination.</w:t>
            </w:r>
          </w:p>
        </w:tc>
      </w:tr>
      <w:tr w:rsidR="00301BB1" w:rsidRPr="00D142DB" w:rsidTr="00427D5D">
        <w:trPr>
          <w:cantSplit/>
        </w:trPr>
        <w:tc>
          <w:tcPr>
            <w:tcW w:w="2040" w:type="dxa"/>
            <w:shd w:val="clear" w:color="auto" w:fill="auto"/>
          </w:tcPr>
          <w:p w:rsidR="00301BB1" w:rsidRPr="00BD7219" w:rsidRDefault="00301BB1" w:rsidP="00427D5D">
            <w:pPr>
              <w:spacing w:before="120" w:after="120"/>
              <w:rPr>
                <w:rFonts w:eastAsia="Times New Roman" w:cs="Arial"/>
                <w:b/>
                <w:bCs/>
                <w:color w:val="000000"/>
                <w:lang w:eastAsia="en-AU"/>
              </w:rPr>
            </w:pPr>
            <w:r w:rsidRPr="00BD7219">
              <w:rPr>
                <w:rFonts w:eastAsia="Times New Roman" w:cs="Arial"/>
                <w:b/>
                <w:bCs/>
                <w:color w:val="000000"/>
                <w:lang w:eastAsia="en-AU"/>
              </w:rPr>
              <w:t>downstream</w:t>
            </w:r>
          </w:p>
        </w:tc>
        <w:tc>
          <w:tcPr>
            <w:tcW w:w="6624" w:type="dxa"/>
            <w:shd w:val="clear" w:color="auto" w:fill="auto"/>
          </w:tcPr>
          <w:p w:rsidR="00301BB1" w:rsidRPr="00BD7219" w:rsidRDefault="00301BB1" w:rsidP="00427D5D">
            <w:pPr>
              <w:spacing w:before="120" w:after="120"/>
              <w:rPr>
                <w:rFonts w:eastAsia="Times New Roman" w:cs="Arial"/>
                <w:color w:val="000000"/>
                <w:lang w:eastAsia="en-AU"/>
              </w:rPr>
            </w:pPr>
            <w:r w:rsidRPr="00BD7219">
              <w:rPr>
                <w:rFonts w:eastAsia="Times New Roman" w:cs="Arial"/>
                <w:lang w:eastAsia="en-AU"/>
              </w:rPr>
              <w:t>Further along the supply chain. For example, mandating access to network services can promote competition in downstream retail broadband services.</w:t>
            </w:r>
          </w:p>
        </w:tc>
      </w:tr>
      <w:tr w:rsidR="00037FF3" w:rsidRPr="00D142DB" w:rsidTr="00376C9A">
        <w:trPr>
          <w:cantSplit/>
        </w:trPr>
        <w:tc>
          <w:tcPr>
            <w:tcW w:w="2040" w:type="dxa"/>
            <w:shd w:val="clear" w:color="auto" w:fill="auto"/>
            <w:vAlign w:val="center"/>
          </w:tcPr>
          <w:p w:rsidR="00037FF3" w:rsidRPr="00037FF3" w:rsidRDefault="00037FF3" w:rsidP="00427D5D">
            <w:pPr>
              <w:spacing w:before="120" w:after="120"/>
              <w:rPr>
                <w:rFonts w:eastAsia="Times New Roman" w:cs="Arial"/>
                <w:b/>
                <w:bCs/>
                <w:color w:val="000000"/>
                <w:lang w:eastAsia="en-AU"/>
              </w:rPr>
            </w:pPr>
            <w:r w:rsidRPr="00376C9A">
              <w:rPr>
                <w:b/>
                <w:bCs/>
                <w:iCs/>
                <w:color w:val="000000"/>
              </w:rPr>
              <w:t>FOAS</w:t>
            </w:r>
          </w:p>
        </w:tc>
        <w:tc>
          <w:tcPr>
            <w:tcW w:w="6624" w:type="dxa"/>
            <w:shd w:val="clear" w:color="auto" w:fill="auto"/>
            <w:vAlign w:val="center"/>
          </w:tcPr>
          <w:p w:rsidR="00037FF3" w:rsidRPr="00037FF3" w:rsidRDefault="00037FF3" w:rsidP="00427D5D">
            <w:pPr>
              <w:spacing w:before="120" w:after="120"/>
              <w:rPr>
                <w:rFonts w:eastAsia="Times New Roman" w:cs="Arial"/>
                <w:lang w:eastAsia="en-AU"/>
              </w:rPr>
            </w:pPr>
            <w:r w:rsidRPr="00376C9A">
              <w:t>Fixed Originating Access Service. The new name of the currently declared PSTN OA service.</w:t>
            </w:r>
          </w:p>
        </w:tc>
      </w:tr>
      <w:tr w:rsidR="00037FF3" w:rsidRPr="00D142DB" w:rsidTr="00376C9A">
        <w:trPr>
          <w:cantSplit/>
        </w:trPr>
        <w:tc>
          <w:tcPr>
            <w:tcW w:w="2040" w:type="dxa"/>
            <w:shd w:val="clear" w:color="auto" w:fill="auto"/>
            <w:vAlign w:val="center"/>
          </w:tcPr>
          <w:p w:rsidR="00037FF3" w:rsidRPr="00037FF3" w:rsidRDefault="00037FF3" w:rsidP="00427D5D">
            <w:pPr>
              <w:spacing w:before="120" w:after="120"/>
              <w:rPr>
                <w:rFonts w:eastAsia="Times New Roman" w:cs="Arial"/>
                <w:b/>
                <w:bCs/>
                <w:color w:val="000000"/>
                <w:lang w:eastAsia="en-AU"/>
              </w:rPr>
            </w:pPr>
            <w:r w:rsidRPr="00376C9A">
              <w:rPr>
                <w:b/>
                <w:bCs/>
                <w:iCs/>
                <w:color w:val="000000"/>
              </w:rPr>
              <w:t>FTAS</w:t>
            </w:r>
          </w:p>
        </w:tc>
        <w:tc>
          <w:tcPr>
            <w:tcW w:w="6624" w:type="dxa"/>
            <w:shd w:val="clear" w:color="auto" w:fill="auto"/>
            <w:vAlign w:val="center"/>
          </w:tcPr>
          <w:p w:rsidR="00037FF3" w:rsidRPr="00037FF3" w:rsidRDefault="00037FF3" w:rsidP="00427D5D">
            <w:pPr>
              <w:spacing w:before="120" w:after="120"/>
              <w:rPr>
                <w:rFonts w:eastAsia="Times New Roman" w:cs="Arial"/>
                <w:lang w:eastAsia="en-AU"/>
              </w:rPr>
            </w:pPr>
            <w:r w:rsidRPr="00376C9A">
              <w:t>Fixed Terminating Access Service. The new name for the currently declared PSTN TA service.</w:t>
            </w:r>
          </w:p>
        </w:tc>
      </w:tr>
      <w:tr w:rsidR="00301BB1" w:rsidRPr="00D142DB" w:rsidTr="00427D5D">
        <w:trPr>
          <w:cantSplit/>
        </w:trPr>
        <w:tc>
          <w:tcPr>
            <w:tcW w:w="2040" w:type="dxa"/>
            <w:shd w:val="clear" w:color="auto" w:fill="auto"/>
          </w:tcPr>
          <w:p w:rsidR="00301BB1" w:rsidRPr="00BD7219" w:rsidRDefault="00301BB1" w:rsidP="00427D5D">
            <w:pPr>
              <w:spacing w:before="120" w:after="120"/>
              <w:rPr>
                <w:rFonts w:eastAsia="Times New Roman" w:cs="Arial"/>
                <w:b/>
                <w:bCs/>
                <w:color w:val="000000"/>
                <w:lang w:eastAsia="en-AU"/>
              </w:rPr>
            </w:pPr>
            <w:r w:rsidRPr="00BD7219">
              <w:rPr>
                <w:rFonts w:eastAsia="Times New Roman" w:cs="Arial"/>
                <w:b/>
                <w:bCs/>
                <w:color w:val="000000"/>
                <w:lang w:eastAsia="en-AU"/>
              </w:rPr>
              <w:t>FAD</w:t>
            </w:r>
          </w:p>
        </w:tc>
        <w:tc>
          <w:tcPr>
            <w:tcW w:w="6624" w:type="dxa"/>
            <w:shd w:val="clear" w:color="auto" w:fill="auto"/>
          </w:tcPr>
          <w:p w:rsidR="00301BB1" w:rsidRPr="00BD7219" w:rsidRDefault="00301BB1" w:rsidP="00427D5D">
            <w:pPr>
              <w:spacing w:before="120" w:after="120"/>
              <w:rPr>
                <w:rFonts w:eastAsia="Times New Roman" w:cs="Arial"/>
                <w:color w:val="000000"/>
                <w:lang w:eastAsia="en-AU"/>
              </w:rPr>
            </w:pPr>
            <w:r w:rsidRPr="00BD7219">
              <w:rPr>
                <w:rFonts w:eastAsia="Times New Roman" w:cs="Arial"/>
                <w:color w:val="000000"/>
                <w:lang w:eastAsia="en-AU"/>
              </w:rPr>
              <w:t>Final Access Determination. The FAD is made by the ACCC and sets the terms and conditions (including prices) on which a service provider must supply a declared service.</w:t>
            </w:r>
          </w:p>
        </w:tc>
      </w:tr>
      <w:tr w:rsidR="00301BB1" w:rsidRPr="00D142DB" w:rsidTr="00427D5D">
        <w:trPr>
          <w:cantSplit/>
        </w:trPr>
        <w:tc>
          <w:tcPr>
            <w:tcW w:w="2040" w:type="dxa"/>
            <w:shd w:val="clear" w:color="auto" w:fill="auto"/>
          </w:tcPr>
          <w:p w:rsidR="00301BB1" w:rsidRPr="00BD7219" w:rsidRDefault="00301BB1" w:rsidP="00427D5D">
            <w:pPr>
              <w:spacing w:before="120" w:after="120"/>
              <w:rPr>
                <w:rFonts w:eastAsia="Times New Roman" w:cs="Arial"/>
                <w:b/>
                <w:bCs/>
                <w:color w:val="000000"/>
                <w:lang w:eastAsia="en-AU"/>
              </w:rPr>
            </w:pPr>
            <w:r w:rsidRPr="00BD7219">
              <w:rPr>
                <w:rFonts w:eastAsia="Times New Roman" w:cs="Arial"/>
                <w:b/>
                <w:bCs/>
                <w:color w:val="000000"/>
                <w:lang w:eastAsia="en-AU"/>
              </w:rPr>
              <w:t>fixed line services</w:t>
            </w:r>
          </w:p>
        </w:tc>
        <w:tc>
          <w:tcPr>
            <w:tcW w:w="6624" w:type="dxa"/>
            <w:shd w:val="clear" w:color="auto" w:fill="auto"/>
          </w:tcPr>
          <w:p w:rsidR="00301BB1" w:rsidRPr="00BD7219" w:rsidRDefault="00301BB1" w:rsidP="00EE59EB">
            <w:pPr>
              <w:spacing w:before="120" w:after="120"/>
              <w:rPr>
                <w:rFonts w:eastAsia="Times New Roman" w:cs="Arial"/>
                <w:color w:val="000000"/>
                <w:lang w:eastAsia="en-AU"/>
              </w:rPr>
            </w:pPr>
            <w:r w:rsidRPr="00BD7219">
              <w:rPr>
                <w:rFonts w:eastAsia="Times New Roman" w:cs="Arial"/>
                <w:color w:val="000000"/>
                <w:lang w:eastAsia="en-AU"/>
              </w:rPr>
              <w:t xml:space="preserve">Telecommunications services provided over fixed networks, such as Telstra’s copper network. The ‘declared fixed line services’ are the </w:t>
            </w:r>
            <w:r w:rsidR="004D68EC">
              <w:rPr>
                <w:rFonts w:eastAsia="Times New Roman" w:cs="Arial"/>
                <w:color w:val="000000"/>
                <w:lang w:eastAsia="en-AU"/>
              </w:rPr>
              <w:t xml:space="preserve">seven </w:t>
            </w:r>
            <w:r w:rsidRPr="00BD7219">
              <w:rPr>
                <w:rFonts w:eastAsia="Times New Roman" w:cs="Arial"/>
                <w:color w:val="000000"/>
                <w:lang w:eastAsia="en-AU"/>
              </w:rPr>
              <w:t xml:space="preserve">fixed line services declared in </w:t>
            </w:r>
            <w:r w:rsidR="004D68EC" w:rsidRPr="00BD7219">
              <w:rPr>
                <w:rFonts w:eastAsia="Times New Roman" w:cs="Arial"/>
                <w:color w:val="000000"/>
                <w:lang w:eastAsia="en-AU"/>
              </w:rPr>
              <w:t>20</w:t>
            </w:r>
            <w:r w:rsidR="004D68EC">
              <w:rPr>
                <w:rFonts w:eastAsia="Times New Roman" w:cs="Arial"/>
                <w:color w:val="000000"/>
                <w:lang w:eastAsia="en-AU"/>
              </w:rPr>
              <w:t>12 and 2014 respectively. They are</w:t>
            </w:r>
            <w:r w:rsidR="004D68EC" w:rsidRPr="00BD7219">
              <w:rPr>
                <w:rFonts w:eastAsia="Times New Roman" w:cs="Arial"/>
                <w:color w:val="000000"/>
                <w:lang w:eastAsia="en-AU"/>
              </w:rPr>
              <w:t xml:space="preserve"> </w:t>
            </w:r>
            <w:r w:rsidRPr="00BD7219">
              <w:rPr>
                <w:rFonts w:eastAsia="Times New Roman" w:cs="Arial"/>
                <w:color w:val="000000"/>
                <w:lang w:eastAsia="en-AU"/>
              </w:rPr>
              <w:t xml:space="preserve">the ULLS, LSS, WLR, LCS, </w:t>
            </w:r>
            <w:proofErr w:type="gramStart"/>
            <w:r w:rsidR="004D68EC">
              <w:rPr>
                <w:rFonts w:eastAsia="Times New Roman" w:cs="Arial"/>
                <w:color w:val="000000"/>
                <w:lang w:eastAsia="en-AU"/>
              </w:rPr>
              <w:t>FOAS</w:t>
            </w:r>
            <w:r w:rsidRPr="00BD7219">
              <w:rPr>
                <w:rFonts w:eastAsia="Times New Roman" w:cs="Arial"/>
                <w:color w:val="000000"/>
                <w:lang w:eastAsia="en-AU"/>
              </w:rPr>
              <w:t xml:space="preserve">  </w:t>
            </w:r>
            <w:r w:rsidR="004D68EC">
              <w:rPr>
                <w:rFonts w:eastAsia="Times New Roman" w:cs="Arial"/>
                <w:color w:val="000000"/>
                <w:lang w:eastAsia="en-AU"/>
              </w:rPr>
              <w:t>FTAS</w:t>
            </w:r>
            <w:proofErr w:type="gramEnd"/>
            <w:r w:rsidR="00EE59EB">
              <w:rPr>
                <w:rFonts w:eastAsia="Times New Roman" w:cs="Arial"/>
                <w:color w:val="000000"/>
                <w:lang w:eastAsia="en-AU"/>
              </w:rPr>
              <w:t xml:space="preserve"> and Wholesale ADSL</w:t>
            </w:r>
            <w:r w:rsidRPr="00BD7219">
              <w:rPr>
                <w:rFonts w:eastAsia="Times New Roman" w:cs="Arial"/>
                <w:color w:val="000000"/>
                <w:lang w:eastAsia="en-AU"/>
              </w:rPr>
              <w:t xml:space="preserve">. </w:t>
            </w:r>
          </w:p>
        </w:tc>
      </w:tr>
      <w:tr w:rsidR="00301BB1" w:rsidRPr="00D142DB" w:rsidTr="00427D5D">
        <w:trPr>
          <w:cantSplit/>
        </w:trPr>
        <w:tc>
          <w:tcPr>
            <w:tcW w:w="2040" w:type="dxa"/>
            <w:shd w:val="clear" w:color="auto" w:fill="auto"/>
          </w:tcPr>
          <w:p w:rsidR="00301BB1" w:rsidRPr="00BD7219" w:rsidRDefault="00301BB1" w:rsidP="00427D5D">
            <w:pPr>
              <w:spacing w:before="120" w:after="120"/>
              <w:rPr>
                <w:rFonts w:eastAsia="Times New Roman" w:cs="Arial"/>
                <w:b/>
                <w:bCs/>
                <w:color w:val="000000"/>
                <w:lang w:eastAsia="en-AU"/>
              </w:rPr>
            </w:pPr>
            <w:r w:rsidRPr="00BD7219">
              <w:rPr>
                <w:rFonts w:eastAsia="Times New Roman" w:cs="Arial"/>
                <w:b/>
                <w:bCs/>
                <w:color w:val="000000"/>
                <w:lang w:eastAsia="en-AU"/>
              </w:rPr>
              <w:t>FLSM</w:t>
            </w:r>
          </w:p>
        </w:tc>
        <w:tc>
          <w:tcPr>
            <w:tcW w:w="6624" w:type="dxa"/>
            <w:shd w:val="clear" w:color="auto" w:fill="auto"/>
          </w:tcPr>
          <w:p w:rsidR="00301BB1" w:rsidRPr="00BD7219" w:rsidRDefault="00301BB1" w:rsidP="00427D5D">
            <w:pPr>
              <w:spacing w:before="120" w:after="120"/>
              <w:rPr>
                <w:rFonts w:eastAsia="Times New Roman" w:cs="Arial"/>
                <w:color w:val="000000"/>
                <w:lang w:eastAsia="en-AU"/>
              </w:rPr>
            </w:pPr>
            <w:r w:rsidRPr="00BD7219">
              <w:rPr>
                <w:rFonts w:eastAsia="Times New Roman" w:cs="Arial"/>
                <w:color w:val="000000"/>
                <w:lang w:eastAsia="en-AU"/>
              </w:rPr>
              <w:t>Fixed Line Services Model</w:t>
            </w:r>
          </w:p>
        </w:tc>
      </w:tr>
      <w:tr w:rsidR="00301BB1" w:rsidRPr="00D142DB" w:rsidTr="00427D5D">
        <w:trPr>
          <w:cantSplit/>
        </w:trPr>
        <w:tc>
          <w:tcPr>
            <w:tcW w:w="2040" w:type="dxa"/>
            <w:shd w:val="clear" w:color="auto" w:fill="auto"/>
          </w:tcPr>
          <w:p w:rsidR="00301BB1" w:rsidRPr="00BD7219" w:rsidRDefault="00301BB1" w:rsidP="00427D5D">
            <w:pPr>
              <w:spacing w:before="120" w:after="120"/>
              <w:rPr>
                <w:rFonts w:eastAsia="Times New Roman" w:cs="Arial"/>
                <w:b/>
                <w:bCs/>
                <w:color w:val="000000"/>
                <w:lang w:eastAsia="en-AU"/>
              </w:rPr>
            </w:pPr>
            <w:r w:rsidRPr="00BD7219">
              <w:rPr>
                <w:rFonts w:eastAsia="Times New Roman" w:cs="Arial"/>
                <w:b/>
                <w:bCs/>
                <w:color w:val="000000"/>
                <w:lang w:eastAsia="en-AU"/>
              </w:rPr>
              <w:t>LSS</w:t>
            </w:r>
          </w:p>
        </w:tc>
        <w:tc>
          <w:tcPr>
            <w:tcW w:w="6624" w:type="dxa"/>
            <w:shd w:val="clear" w:color="auto" w:fill="auto"/>
          </w:tcPr>
          <w:p w:rsidR="00301BB1" w:rsidRPr="00BD7219" w:rsidRDefault="00301BB1" w:rsidP="00427D5D">
            <w:pPr>
              <w:spacing w:before="120" w:after="120"/>
              <w:rPr>
                <w:rFonts w:eastAsia="Times New Roman" w:cs="Arial"/>
                <w:color w:val="000000"/>
                <w:lang w:eastAsia="en-AU"/>
              </w:rPr>
            </w:pPr>
            <w:r w:rsidRPr="00BD7219">
              <w:rPr>
                <w:rFonts w:eastAsia="Times New Roman" w:cs="Arial"/>
                <w:color w:val="000000"/>
                <w:lang w:eastAsia="en-AU"/>
              </w:rPr>
              <w:t>The declared Line Sharing Service. Allows access seekers to share the use of the copper line connecting consumers to the telephone exchange, allowing them to provide fixed internet services using their own equipment. An alternative provider provides the voice services.</w:t>
            </w:r>
          </w:p>
        </w:tc>
      </w:tr>
      <w:tr w:rsidR="00301BB1" w:rsidRPr="00D142DB" w:rsidTr="00427D5D">
        <w:trPr>
          <w:cantSplit/>
        </w:trPr>
        <w:tc>
          <w:tcPr>
            <w:tcW w:w="2040" w:type="dxa"/>
            <w:shd w:val="clear" w:color="auto" w:fill="auto"/>
          </w:tcPr>
          <w:p w:rsidR="00301BB1" w:rsidRPr="00BD7219" w:rsidRDefault="00301BB1" w:rsidP="00427D5D">
            <w:pPr>
              <w:spacing w:before="120" w:after="120"/>
              <w:rPr>
                <w:rFonts w:eastAsia="Times New Roman" w:cs="Arial"/>
                <w:b/>
                <w:bCs/>
                <w:color w:val="000000"/>
                <w:lang w:eastAsia="en-AU"/>
              </w:rPr>
            </w:pPr>
            <w:r w:rsidRPr="00BD7219">
              <w:rPr>
                <w:rFonts w:eastAsia="Times New Roman" w:cs="Arial"/>
                <w:b/>
                <w:bCs/>
                <w:color w:val="000000"/>
                <w:lang w:eastAsia="en-AU"/>
              </w:rPr>
              <w:lastRenderedPageBreak/>
              <w:t>PSTN</w:t>
            </w:r>
          </w:p>
        </w:tc>
        <w:tc>
          <w:tcPr>
            <w:tcW w:w="6624" w:type="dxa"/>
            <w:shd w:val="clear" w:color="auto" w:fill="auto"/>
          </w:tcPr>
          <w:p w:rsidR="00301BB1" w:rsidRPr="00BD7219" w:rsidRDefault="00301BB1" w:rsidP="00427D5D">
            <w:pPr>
              <w:spacing w:before="120" w:after="120"/>
              <w:rPr>
                <w:rFonts w:eastAsia="Times New Roman" w:cs="Arial"/>
                <w:color w:val="000000"/>
                <w:lang w:eastAsia="en-AU"/>
              </w:rPr>
            </w:pPr>
            <w:r w:rsidRPr="00BD7219">
              <w:rPr>
                <w:rFonts w:eastAsia="Times New Roman" w:cs="Arial"/>
                <w:color w:val="000000"/>
                <w:lang w:eastAsia="en-AU"/>
              </w:rPr>
              <w:t xml:space="preserve">Public Switched Telephone Network. The telephone network that allows the public to make and receive telephone calls via switching and transmission facilities and utilising analogue and digital technologies. </w:t>
            </w:r>
          </w:p>
        </w:tc>
      </w:tr>
      <w:tr w:rsidR="00301BB1" w:rsidRPr="00D142DB" w:rsidTr="00427D5D">
        <w:trPr>
          <w:cantSplit/>
        </w:trPr>
        <w:tc>
          <w:tcPr>
            <w:tcW w:w="2040" w:type="dxa"/>
            <w:shd w:val="clear" w:color="auto" w:fill="auto"/>
          </w:tcPr>
          <w:p w:rsidR="00301BB1" w:rsidRPr="00BD7219" w:rsidRDefault="00301BB1" w:rsidP="00427D5D">
            <w:pPr>
              <w:spacing w:before="120" w:after="120"/>
              <w:rPr>
                <w:rFonts w:eastAsia="Times New Roman" w:cs="Arial"/>
                <w:b/>
                <w:bCs/>
                <w:color w:val="000000"/>
                <w:lang w:eastAsia="en-AU"/>
              </w:rPr>
            </w:pPr>
            <w:r w:rsidRPr="00BD7219">
              <w:rPr>
                <w:rFonts w:eastAsia="Times New Roman" w:cs="Arial"/>
                <w:b/>
                <w:bCs/>
                <w:color w:val="000000"/>
                <w:lang w:eastAsia="en-AU"/>
              </w:rPr>
              <w:t>PSTN OA</w:t>
            </w:r>
          </w:p>
        </w:tc>
        <w:tc>
          <w:tcPr>
            <w:tcW w:w="6624" w:type="dxa"/>
            <w:shd w:val="clear" w:color="auto" w:fill="auto"/>
          </w:tcPr>
          <w:p w:rsidR="00301BB1" w:rsidRPr="00BD7219" w:rsidRDefault="00504E1C" w:rsidP="00427D5D">
            <w:pPr>
              <w:spacing w:before="120" w:after="120"/>
              <w:rPr>
                <w:rFonts w:eastAsia="Times New Roman" w:cs="Arial"/>
                <w:color w:val="000000"/>
                <w:lang w:eastAsia="en-AU"/>
              </w:rPr>
            </w:pPr>
            <w:r>
              <w:rPr>
                <w:rFonts w:eastAsia="Times New Roman" w:cs="Arial"/>
                <w:color w:val="000000"/>
                <w:lang w:eastAsia="en-AU"/>
              </w:rPr>
              <w:t xml:space="preserve">This declared service is now referred to as FOAS. </w:t>
            </w:r>
            <w:r w:rsidR="00301BB1" w:rsidRPr="00BD7219">
              <w:rPr>
                <w:rFonts w:eastAsia="Times New Roman" w:cs="Arial"/>
                <w:color w:val="000000"/>
                <w:lang w:eastAsia="en-AU"/>
              </w:rPr>
              <w:t xml:space="preserve">The declared PSTN Originating Access service. Allows a telephone call to be connected from the caller to a point of interconnection with another network. </w:t>
            </w:r>
          </w:p>
        </w:tc>
      </w:tr>
      <w:tr w:rsidR="00301BB1" w:rsidRPr="00D142DB" w:rsidTr="00427D5D">
        <w:trPr>
          <w:cantSplit/>
        </w:trPr>
        <w:tc>
          <w:tcPr>
            <w:tcW w:w="2040" w:type="dxa"/>
            <w:shd w:val="clear" w:color="auto" w:fill="auto"/>
          </w:tcPr>
          <w:p w:rsidR="00301BB1" w:rsidRPr="00BD7219" w:rsidRDefault="00301BB1" w:rsidP="00427D5D">
            <w:pPr>
              <w:spacing w:before="120" w:after="120"/>
              <w:rPr>
                <w:rFonts w:eastAsia="Times New Roman" w:cs="Arial"/>
                <w:b/>
                <w:bCs/>
                <w:color w:val="000000"/>
                <w:lang w:eastAsia="en-AU"/>
              </w:rPr>
            </w:pPr>
            <w:r w:rsidRPr="00BD7219">
              <w:rPr>
                <w:rFonts w:eastAsia="Times New Roman" w:cs="Arial"/>
                <w:b/>
                <w:bCs/>
                <w:color w:val="000000"/>
                <w:lang w:eastAsia="en-AU"/>
              </w:rPr>
              <w:t>PSTN TA</w:t>
            </w:r>
          </w:p>
        </w:tc>
        <w:tc>
          <w:tcPr>
            <w:tcW w:w="6624" w:type="dxa"/>
            <w:shd w:val="clear" w:color="auto" w:fill="auto"/>
          </w:tcPr>
          <w:p w:rsidR="00301BB1" w:rsidRPr="00BD7219" w:rsidRDefault="00504E1C" w:rsidP="00427D5D">
            <w:pPr>
              <w:spacing w:before="120" w:after="120"/>
              <w:rPr>
                <w:rFonts w:eastAsia="Times New Roman" w:cs="Arial"/>
                <w:color w:val="000000"/>
                <w:lang w:eastAsia="en-AU"/>
              </w:rPr>
            </w:pPr>
            <w:r>
              <w:rPr>
                <w:rFonts w:eastAsia="Times New Roman" w:cs="Arial"/>
                <w:color w:val="000000"/>
                <w:lang w:eastAsia="en-AU"/>
              </w:rPr>
              <w:t xml:space="preserve">This declared service is now referred to as FTAS. </w:t>
            </w:r>
            <w:r w:rsidR="00301BB1" w:rsidRPr="00BD7219">
              <w:rPr>
                <w:rFonts w:eastAsia="Times New Roman" w:cs="Arial"/>
                <w:color w:val="000000"/>
                <w:lang w:eastAsia="en-AU"/>
              </w:rPr>
              <w:t>The declared PSTN terminating access service. Allows a telephone call to be carried from the point of interconnection to the party being called on another network.</w:t>
            </w:r>
          </w:p>
        </w:tc>
      </w:tr>
      <w:tr w:rsidR="00301BB1" w:rsidRPr="00D142DB" w:rsidTr="00427D5D">
        <w:trPr>
          <w:cantSplit/>
        </w:trPr>
        <w:tc>
          <w:tcPr>
            <w:tcW w:w="2040" w:type="dxa"/>
            <w:shd w:val="clear" w:color="auto" w:fill="auto"/>
          </w:tcPr>
          <w:p w:rsidR="00301BB1" w:rsidRPr="00BD7219" w:rsidRDefault="00301BB1" w:rsidP="00427D5D">
            <w:pPr>
              <w:spacing w:before="120" w:after="120"/>
              <w:rPr>
                <w:rFonts w:eastAsia="Times New Roman" w:cs="Arial"/>
                <w:b/>
                <w:bCs/>
                <w:color w:val="000000"/>
                <w:lang w:eastAsia="en-AU"/>
              </w:rPr>
            </w:pPr>
            <w:r w:rsidRPr="00BD7219">
              <w:rPr>
                <w:rFonts w:eastAsia="Times New Roman" w:cs="Arial"/>
                <w:b/>
                <w:bCs/>
                <w:color w:val="000000"/>
                <w:lang w:eastAsia="en-AU"/>
              </w:rPr>
              <w:t>RAF</w:t>
            </w:r>
          </w:p>
        </w:tc>
        <w:tc>
          <w:tcPr>
            <w:tcW w:w="6624" w:type="dxa"/>
            <w:shd w:val="clear" w:color="auto" w:fill="auto"/>
          </w:tcPr>
          <w:p w:rsidR="00301BB1" w:rsidRPr="00BD7219" w:rsidRDefault="00301BB1" w:rsidP="00427D5D">
            <w:pPr>
              <w:spacing w:before="120" w:after="120"/>
              <w:rPr>
                <w:rFonts w:eastAsia="Times New Roman" w:cs="Arial"/>
                <w:color w:val="000000"/>
                <w:lang w:eastAsia="en-AU"/>
              </w:rPr>
            </w:pPr>
            <w:r w:rsidRPr="00BD7219">
              <w:rPr>
                <w:rFonts w:eastAsia="Times New Roman" w:cs="Arial"/>
                <w:color w:val="000000"/>
                <w:lang w:eastAsia="en-AU"/>
              </w:rPr>
              <w:t>The RAF is a Record Keeping Rule that specifies the information that carriers and CSPs are required to report on, how these reports are prepared and the timeframes associated with preparation and lodgement of reports to the ACCC.</w:t>
            </w:r>
          </w:p>
        </w:tc>
      </w:tr>
      <w:tr w:rsidR="00301BB1" w:rsidRPr="00D142DB" w:rsidTr="00427D5D">
        <w:trPr>
          <w:cantSplit/>
        </w:trPr>
        <w:tc>
          <w:tcPr>
            <w:tcW w:w="2040" w:type="dxa"/>
            <w:shd w:val="clear" w:color="auto" w:fill="auto"/>
          </w:tcPr>
          <w:p w:rsidR="00301BB1" w:rsidRPr="00BD7219" w:rsidRDefault="00301BB1" w:rsidP="00427D5D">
            <w:pPr>
              <w:spacing w:before="120" w:after="120"/>
              <w:rPr>
                <w:rFonts w:eastAsia="Times New Roman" w:cs="Arial"/>
                <w:b/>
                <w:bCs/>
                <w:color w:val="000000"/>
                <w:lang w:eastAsia="en-AU"/>
              </w:rPr>
            </w:pPr>
            <w:r w:rsidRPr="00BD7219">
              <w:rPr>
                <w:rFonts w:eastAsia="Times New Roman" w:cs="Arial"/>
                <w:b/>
                <w:bCs/>
                <w:color w:val="000000"/>
                <w:lang w:eastAsia="en-AU"/>
              </w:rPr>
              <w:t>ULLS</w:t>
            </w:r>
          </w:p>
        </w:tc>
        <w:tc>
          <w:tcPr>
            <w:tcW w:w="6624" w:type="dxa"/>
            <w:shd w:val="clear" w:color="auto" w:fill="auto"/>
          </w:tcPr>
          <w:p w:rsidR="00301BB1" w:rsidRPr="00BD7219" w:rsidRDefault="00301BB1" w:rsidP="00427D5D">
            <w:pPr>
              <w:spacing w:before="120" w:after="120"/>
              <w:rPr>
                <w:rFonts w:eastAsia="Times New Roman" w:cs="Arial"/>
                <w:color w:val="000000"/>
                <w:lang w:eastAsia="en-AU"/>
              </w:rPr>
            </w:pPr>
            <w:r w:rsidRPr="00BD7219">
              <w:rPr>
                <w:rFonts w:eastAsia="Times New Roman" w:cs="Arial"/>
                <w:color w:val="000000"/>
                <w:lang w:eastAsia="en-AU"/>
              </w:rPr>
              <w:t>The declared Unconditioned Local Loop Service. Allows access seekers to use the copper line connecting end-users to the local telephone exchange, allowing them provide both fixed internet (broadband) and voice services using their own DSLAMs and other exchange equipment.</w:t>
            </w:r>
          </w:p>
        </w:tc>
      </w:tr>
      <w:tr w:rsidR="00301BB1" w:rsidRPr="00D142DB" w:rsidTr="00427D5D">
        <w:trPr>
          <w:cantSplit/>
        </w:trPr>
        <w:tc>
          <w:tcPr>
            <w:tcW w:w="2040" w:type="dxa"/>
            <w:shd w:val="clear" w:color="auto" w:fill="auto"/>
          </w:tcPr>
          <w:p w:rsidR="00301BB1" w:rsidRPr="00BD7219" w:rsidRDefault="00301BB1" w:rsidP="00427D5D">
            <w:pPr>
              <w:spacing w:before="120" w:after="120"/>
              <w:rPr>
                <w:rFonts w:eastAsia="Times New Roman" w:cs="Arial"/>
                <w:b/>
                <w:bCs/>
                <w:color w:val="000000"/>
                <w:lang w:eastAsia="en-AU"/>
              </w:rPr>
            </w:pPr>
            <w:r w:rsidRPr="00BD7219">
              <w:rPr>
                <w:rFonts w:eastAsia="Times New Roman" w:cs="Arial"/>
                <w:b/>
                <w:bCs/>
                <w:color w:val="000000"/>
                <w:lang w:eastAsia="en-AU"/>
              </w:rPr>
              <w:t>Wholesale ADSL</w:t>
            </w:r>
          </w:p>
        </w:tc>
        <w:tc>
          <w:tcPr>
            <w:tcW w:w="6624" w:type="dxa"/>
            <w:shd w:val="clear" w:color="auto" w:fill="auto"/>
          </w:tcPr>
          <w:p w:rsidR="00301BB1" w:rsidRPr="00BD7219" w:rsidRDefault="00301BB1" w:rsidP="00427D5D">
            <w:pPr>
              <w:spacing w:before="120" w:after="120"/>
              <w:rPr>
                <w:rFonts w:eastAsia="Times New Roman" w:cs="Arial"/>
                <w:color w:val="000000"/>
                <w:lang w:eastAsia="en-AU"/>
              </w:rPr>
            </w:pPr>
            <w:r w:rsidRPr="00BD7219">
              <w:rPr>
                <w:rFonts w:eastAsia="Times New Roman" w:cs="Arial"/>
                <w:color w:val="000000"/>
                <w:lang w:eastAsia="en-AU"/>
              </w:rPr>
              <w:t xml:space="preserve">The declared Wholesale ADSL service. Allows access seekers to purchase a Wholesale ADSL product from Telstra and resell internet services to end-users. </w:t>
            </w:r>
          </w:p>
        </w:tc>
      </w:tr>
      <w:tr w:rsidR="00301BB1" w:rsidRPr="00D142DB" w:rsidTr="00427D5D">
        <w:trPr>
          <w:cantSplit/>
        </w:trPr>
        <w:tc>
          <w:tcPr>
            <w:tcW w:w="2040" w:type="dxa"/>
            <w:shd w:val="clear" w:color="auto" w:fill="auto"/>
          </w:tcPr>
          <w:p w:rsidR="00301BB1" w:rsidRPr="00BD7219" w:rsidRDefault="00301BB1" w:rsidP="00427D5D">
            <w:pPr>
              <w:spacing w:before="120" w:after="120"/>
              <w:rPr>
                <w:rFonts w:eastAsia="Times New Roman" w:cs="Arial"/>
                <w:b/>
                <w:bCs/>
                <w:color w:val="000000"/>
                <w:lang w:eastAsia="en-AU"/>
              </w:rPr>
            </w:pPr>
            <w:r w:rsidRPr="00BD7219">
              <w:rPr>
                <w:rFonts w:eastAsia="Times New Roman" w:cs="Arial"/>
                <w:b/>
                <w:bCs/>
                <w:color w:val="000000"/>
                <w:lang w:eastAsia="en-AU"/>
              </w:rPr>
              <w:t>WLR</w:t>
            </w:r>
          </w:p>
        </w:tc>
        <w:tc>
          <w:tcPr>
            <w:tcW w:w="6624" w:type="dxa"/>
            <w:shd w:val="clear" w:color="auto" w:fill="auto"/>
          </w:tcPr>
          <w:p w:rsidR="00301BB1" w:rsidRPr="00BD7219" w:rsidRDefault="00301BB1" w:rsidP="00427D5D">
            <w:pPr>
              <w:spacing w:before="120" w:after="120"/>
              <w:rPr>
                <w:rFonts w:eastAsia="Times New Roman" w:cs="Arial"/>
                <w:color w:val="000000"/>
                <w:lang w:eastAsia="en-AU"/>
              </w:rPr>
            </w:pPr>
            <w:r w:rsidRPr="00BD7219">
              <w:rPr>
                <w:rFonts w:eastAsia="Times New Roman" w:cs="Arial"/>
                <w:color w:val="000000"/>
                <w:lang w:eastAsia="en-AU"/>
              </w:rPr>
              <w:t xml:space="preserve">The declared Wholesale Line Rental service. For a monthly ‘per-user’ charge, it allows access seekers to purchase a line rental service from Telstra, which includes access to the copper line and associated services (including a dial tone and telephone number) supplied using Telstra’s equipment. </w:t>
            </w:r>
          </w:p>
        </w:tc>
      </w:tr>
    </w:tbl>
    <w:p w:rsidR="00301BB1" w:rsidRDefault="00301BB1" w:rsidP="00301BB1">
      <w:pPr>
        <w:pStyle w:val="Heading2"/>
      </w:pPr>
      <w:r>
        <w:br w:type="page"/>
      </w:r>
    </w:p>
    <w:p w:rsidR="00273F0D" w:rsidRPr="00C23B5F" w:rsidRDefault="00273F0D" w:rsidP="00273F0D">
      <w:pPr>
        <w:pStyle w:val="Tableheading"/>
        <w:rPr>
          <w:rStyle w:val="Bold"/>
          <w:b/>
        </w:rPr>
      </w:pPr>
      <w:r w:rsidRPr="00C23B5F">
        <w:rPr>
          <w:rStyle w:val="Bold"/>
          <w:b/>
        </w:rPr>
        <w:lastRenderedPageBreak/>
        <w:t>Contents</w:t>
      </w:r>
      <w:bookmarkEnd w:id="3"/>
    </w:p>
    <w:p w:rsidR="007E3D15" w:rsidRDefault="00273F0D">
      <w:pPr>
        <w:pStyle w:val="TOC2"/>
        <w:rPr>
          <w:rFonts w:asciiTheme="minorHAnsi" w:eastAsiaTheme="minorEastAsia" w:hAnsiTheme="minorHAnsi" w:cstheme="minorBidi"/>
          <w:noProof/>
          <w:sz w:val="22"/>
          <w:szCs w:val="22"/>
        </w:rPr>
      </w:pPr>
      <w:r>
        <w:rPr>
          <w:b/>
        </w:rPr>
        <w:fldChar w:fldCharType="begin"/>
      </w:r>
      <w:r>
        <w:rPr>
          <w:b/>
        </w:rPr>
        <w:instrText xml:space="preserve"> TOC \o "1-2" \f \h \z </w:instrText>
      </w:r>
      <w:r>
        <w:rPr>
          <w:b/>
        </w:rPr>
        <w:fldChar w:fldCharType="separate"/>
      </w:r>
      <w:hyperlink w:anchor="_Toc388969181" w:history="1">
        <w:r w:rsidR="007E3D15" w:rsidRPr="00CA4ED3">
          <w:rPr>
            <w:rStyle w:val="Hyperlink"/>
          </w:rPr>
          <w:t>Glossary</w:t>
        </w:r>
        <w:r w:rsidR="007E3D15">
          <w:rPr>
            <w:noProof/>
            <w:webHidden/>
          </w:rPr>
          <w:tab/>
        </w:r>
        <w:r w:rsidR="007E3D15">
          <w:rPr>
            <w:noProof/>
            <w:webHidden/>
          </w:rPr>
          <w:fldChar w:fldCharType="begin"/>
        </w:r>
        <w:r w:rsidR="007E3D15">
          <w:rPr>
            <w:noProof/>
            <w:webHidden/>
          </w:rPr>
          <w:instrText xml:space="preserve"> PAGEREF _Toc388969181 \h </w:instrText>
        </w:r>
        <w:r w:rsidR="007E3D15">
          <w:rPr>
            <w:noProof/>
            <w:webHidden/>
          </w:rPr>
        </w:r>
        <w:r w:rsidR="007E3D15">
          <w:rPr>
            <w:noProof/>
            <w:webHidden/>
          </w:rPr>
          <w:fldChar w:fldCharType="separate"/>
        </w:r>
        <w:r w:rsidR="002F594E">
          <w:rPr>
            <w:noProof/>
            <w:webHidden/>
          </w:rPr>
          <w:t>iii</w:t>
        </w:r>
        <w:r w:rsidR="007E3D15">
          <w:rPr>
            <w:noProof/>
            <w:webHidden/>
          </w:rPr>
          <w:fldChar w:fldCharType="end"/>
        </w:r>
      </w:hyperlink>
    </w:p>
    <w:p w:rsidR="007E3D15" w:rsidRDefault="002F594E">
      <w:pPr>
        <w:pStyle w:val="TOC2"/>
        <w:rPr>
          <w:rFonts w:asciiTheme="minorHAnsi" w:eastAsiaTheme="minorEastAsia" w:hAnsiTheme="minorHAnsi" w:cstheme="minorBidi"/>
          <w:noProof/>
          <w:sz w:val="22"/>
          <w:szCs w:val="22"/>
        </w:rPr>
      </w:pPr>
      <w:hyperlink w:anchor="_Toc388969182" w:history="1">
        <w:r w:rsidR="007E3D15" w:rsidRPr="00CA4ED3">
          <w:rPr>
            <w:rStyle w:val="Hyperlink"/>
          </w:rPr>
          <w:t>Introduction</w:t>
        </w:r>
        <w:r w:rsidR="007E3D15">
          <w:rPr>
            <w:noProof/>
            <w:webHidden/>
          </w:rPr>
          <w:tab/>
        </w:r>
        <w:r w:rsidR="007E3D15">
          <w:rPr>
            <w:noProof/>
            <w:webHidden/>
          </w:rPr>
          <w:fldChar w:fldCharType="begin"/>
        </w:r>
        <w:r w:rsidR="007E3D15">
          <w:rPr>
            <w:noProof/>
            <w:webHidden/>
          </w:rPr>
          <w:instrText xml:space="preserve"> PAGEREF _Toc388969182 \h </w:instrText>
        </w:r>
        <w:r w:rsidR="007E3D15">
          <w:rPr>
            <w:noProof/>
            <w:webHidden/>
          </w:rPr>
        </w:r>
        <w:r w:rsidR="007E3D15">
          <w:rPr>
            <w:noProof/>
            <w:webHidden/>
          </w:rPr>
          <w:fldChar w:fldCharType="separate"/>
        </w:r>
        <w:r>
          <w:rPr>
            <w:noProof/>
            <w:webHidden/>
          </w:rPr>
          <w:t>1</w:t>
        </w:r>
        <w:r w:rsidR="007E3D15">
          <w:rPr>
            <w:noProof/>
            <w:webHidden/>
          </w:rPr>
          <w:fldChar w:fldCharType="end"/>
        </w:r>
      </w:hyperlink>
    </w:p>
    <w:p w:rsidR="007E3D15" w:rsidRDefault="002F594E">
      <w:pPr>
        <w:pStyle w:val="TOC2"/>
        <w:rPr>
          <w:rFonts w:asciiTheme="minorHAnsi" w:eastAsiaTheme="minorEastAsia" w:hAnsiTheme="minorHAnsi" w:cstheme="minorBidi"/>
          <w:noProof/>
          <w:sz w:val="22"/>
          <w:szCs w:val="22"/>
        </w:rPr>
      </w:pPr>
      <w:hyperlink w:anchor="_Toc388969183" w:history="1">
        <w:r w:rsidR="007E3D15" w:rsidRPr="00CA4ED3">
          <w:rPr>
            <w:rStyle w:val="Hyperlink"/>
          </w:rPr>
          <w:t>Background</w:t>
        </w:r>
        <w:r w:rsidR="007E3D15">
          <w:rPr>
            <w:noProof/>
            <w:webHidden/>
          </w:rPr>
          <w:tab/>
        </w:r>
        <w:r w:rsidR="007E3D15">
          <w:rPr>
            <w:noProof/>
            <w:webHidden/>
          </w:rPr>
          <w:fldChar w:fldCharType="begin"/>
        </w:r>
        <w:r w:rsidR="007E3D15">
          <w:rPr>
            <w:noProof/>
            <w:webHidden/>
          </w:rPr>
          <w:instrText xml:space="preserve"> PAGEREF _Toc388969183 \h </w:instrText>
        </w:r>
        <w:r w:rsidR="007E3D15">
          <w:rPr>
            <w:noProof/>
            <w:webHidden/>
          </w:rPr>
        </w:r>
        <w:r w:rsidR="007E3D15">
          <w:rPr>
            <w:noProof/>
            <w:webHidden/>
          </w:rPr>
          <w:fldChar w:fldCharType="separate"/>
        </w:r>
        <w:r>
          <w:rPr>
            <w:noProof/>
            <w:webHidden/>
          </w:rPr>
          <w:t>3</w:t>
        </w:r>
        <w:r w:rsidR="007E3D15">
          <w:rPr>
            <w:noProof/>
            <w:webHidden/>
          </w:rPr>
          <w:fldChar w:fldCharType="end"/>
        </w:r>
      </w:hyperlink>
    </w:p>
    <w:p w:rsidR="007E3D15" w:rsidRDefault="002F594E">
      <w:pPr>
        <w:pStyle w:val="TOC2"/>
        <w:rPr>
          <w:rFonts w:asciiTheme="minorHAnsi" w:eastAsiaTheme="minorEastAsia" w:hAnsiTheme="minorHAnsi" w:cstheme="minorBidi"/>
          <w:noProof/>
          <w:sz w:val="22"/>
          <w:szCs w:val="22"/>
        </w:rPr>
      </w:pPr>
      <w:hyperlink w:anchor="_Toc388969184" w:history="1">
        <w:r w:rsidR="007E3D15" w:rsidRPr="00CA4ED3">
          <w:rPr>
            <w:rStyle w:val="Hyperlink"/>
          </w:rPr>
          <w:t>Reasons</w:t>
        </w:r>
        <w:r w:rsidR="007E3D15">
          <w:rPr>
            <w:noProof/>
            <w:webHidden/>
          </w:rPr>
          <w:tab/>
        </w:r>
        <w:r w:rsidR="007E3D15">
          <w:rPr>
            <w:noProof/>
            <w:webHidden/>
          </w:rPr>
          <w:fldChar w:fldCharType="begin"/>
        </w:r>
        <w:r w:rsidR="007E3D15">
          <w:rPr>
            <w:noProof/>
            <w:webHidden/>
          </w:rPr>
          <w:instrText xml:space="preserve"> PAGEREF _Toc388969184 \h </w:instrText>
        </w:r>
        <w:r w:rsidR="007E3D15">
          <w:rPr>
            <w:noProof/>
            <w:webHidden/>
          </w:rPr>
        </w:r>
        <w:r w:rsidR="007E3D15">
          <w:rPr>
            <w:noProof/>
            <w:webHidden/>
          </w:rPr>
          <w:fldChar w:fldCharType="separate"/>
        </w:r>
        <w:r>
          <w:rPr>
            <w:noProof/>
            <w:webHidden/>
          </w:rPr>
          <w:t>4</w:t>
        </w:r>
        <w:r w:rsidR="007E3D15">
          <w:rPr>
            <w:noProof/>
            <w:webHidden/>
          </w:rPr>
          <w:fldChar w:fldCharType="end"/>
        </w:r>
      </w:hyperlink>
    </w:p>
    <w:p w:rsidR="007E3D15" w:rsidRDefault="002F594E">
      <w:pPr>
        <w:pStyle w:val="TOC2"/>
        <w:rPr>
          <w:rFonts w:asciiTheme="minorHAnsi" w:eastAsiaTheme="minorEastAsia" w:hAnsiTheme="minorHAnsi" w:cstheme="minorBidi"/>
          <w:noProof/>
          <w:sz w:val="22"/>
          <w:szCs w:val="22"/>
        </w:rPr>
      </w:pPr>
      <w:hyperlink w:anchor="_Toc388969185" w:history="1">
        <w:r w:rsidR="007E3D15" w:rsidRPr="00CA4ED3">
          <w:rPr>
            <w:rStyle w:val="Hyperlink"/>
          </w:rPr>
          <w:t>Appendix A – Information submitted by Telstra</w:t>
        </w:r>
        <w:r w:rsidR="007E3D15">
          <w:rPr>
            <w:noProof/>
            <w:webHidden/>
          </w:rPr>
          <w:tab/>
        </w:r>
        <w:r w:rsidR="007E3D15">
          <w:rPr>
            <w:noProof/>
            <w:webHidden/>
          </w:rPr>
          <w:fldChar w:fldCharType="begin"/>
        </w:r>
        <w:r w:rsidR="007E3D15">
          <w:rPr>
            <w:noProof/>
            <w:webHidden/>
          </w:rPr>
          <w:instrText xml:space="preserve"> PAGEREF _Toc388969185 \h </w:instrText>
        </w:r>
        <w:r w:rsidR="007E3D15">
          <w:rPr>
            <w:noProof/>
            <w:webHidden/>
          </w:rPr>
        </w:r>
        <w:r w:rsidR="007E3D15">
          <w:rPr>
            <w:noProof/>
            <w:webHidden/>
          </w:rPr>
          <w:fldChar w:fldCharType="separate"/>
        </w:r>
        <w:r>
          <w:rPr>
            <w:noProof/>
            <w:webHidden/>
          </w:rPr>
          <w:t>12</w:t>
        </w:r>
        <w:r w:rsidR="007E3D15">
          <w:rPr>
            <w:noProof/>
            <w:webHidden/>
          </w:rPr>
          <w:fldChar w:fldCharType="end"/>
        </w:r>
      </w:hyperlink>
    </w:p>
    <w:p w:rsidR="00273F0D" w:rsidRDefault="00273F0D" w:rsidP="00273F0D">
      <w:pPr>
        <w:pStyle w:val="TOC2"/>
      </w:pPr>
      <w:r>
        <w:rPr>
          <w:b/>
        </w:rPr>
        <w:fldChar w:fldCharType="end"/>
      </w:r>
      <w:r>
        <w:tab/>
      </w:r>
    </w:p>
    <w:p w:rsidR="00273F0D" w:rsidRDefault="00273F0D" w:rsidP="00273F0D">
      <w:bookmarkStart w:id="5" w:name="_Toc213047617"/>
    </w:p>
    <w:p w:rsidR="00273F0D" w:rsidRDefault="00273F0D" w:rsidP="00273F0D">
      <w:pPr>
        <w:sectPr w:rsidR="00273F0D" w:rsidSect="00EF069A">
          <w:footerReference w:type="default" r:id="rId21"/>
          <w:pgSz w:w="11906" w:h="16838" w:code="9"/>
          <w:pgMar w:top="1440" w:right="1729" w:bottom="1582" w:left="1729" w:header="720" w:footer="1009" w:gutter="0"/>
          <w:pgNumType w:fmt="lowerRoman" w:start="3"/>
          <w:cols w:space="720"/>
          <w:docGrid w:linePitch="326"/>
        </w:sectPr>
      </w:pPr>
    </w:p>
    <w:p w:rsidR="00273F0D" w:rsidRDefault="00273F0D" w:rsidP="00273F0D">
      <w:pPr>
        <w:pStyle w:val="Heading2"/>
      </w:pPr>
      <w:bookmarkStart w:id="6" w:name="_Toc388969182"/>
      <w:bookmarkEnd w:id="5"/>
      <w:r>
        <w:lastRenderedPageBreak/>
        <w:t>Introduction</w:t>
      </w:r>
      <w:bookmarkEnd w:id="6"/>
    </w:p>
    <w:p w:rsidR="00273F0D" w:rsidRPr="00EA7D98" w:rsidRDefault="00273F0D" w:rsidP="00273F0D">
      <w:r w:rsidRPr="00EA7D98">
        <w:t xml:space="preserve">On 11 July 2013, the ACCC commenced a combined public inquiry into making final access determinations (FADs) for the </w:t>
      </w:r>
      <w:r w:rsidR="00E14941">
        <w:t xml:space="preserve">seven </w:t>
      </w:r>
      <w:r w:rsidRPr="00EA7D98">
        <w:t>declared fixed line services</w:t>
      </w:r>
      <w:r w:rsidR="00E14941">
        <w:t>,</w:t>
      </w:r>
      <w:r w:rsidRPr="00EA7D98">
        <w:t xml:space="preserve"> </w:t>
      </w:r>
      <w:r w:rsidR="00907DB4">
        <w:t>(FAD inquiry)</w:t>
      </w:r>
      <w:r w:rsidRPr="00EA7D98">
        <w:t>.</w:t>
      </w:r>
      <w:r w:rsidRPr="00EA7D98">
        <w:rPr>
          <w:rStyle w:val="FootnoteReference"/>
        </w:rPr>
        <w:footnoteReference w:id="1"/>
      </w:r>
      <w:r w:rsidRPr="00EA7D98">
        <w:t xml:space="preserve"> </w:t>
      </w:r>
      <w:r w:rsidRPr="000C4388">
        <w:t xml:space="preserve">This inquiry is part of the overall review of the </w:t>
      </w:r>
      <w:r>
        <w:t xml:space="preserve">regulated </w:t>
      </w:r>
      <w:r w:rsidRPr="000C4388">
        <w:t xml:space="preserve">fixed line services </w:t>
      </w:r>
      <w:r>
        <w:t xml:space="preserve">— </w:t>
      </w:r>
      <w:r w:rsidRPr="000C4388">
        <w:t>the Fixed Services Review.</w:t>
      </w:r>
      <w:r w:rsidR="00F35F9D">
        <w:t xml:space="preserve"> </w:t>
      </w:r>
      <w:r w:rsidRPr="00EA7D98">
        <w:t xml:space="preserve">The FAD inquiry </w:t>
      </w:r>
      <w:r w:rsidR="00F35F9D">
        <w:t xml:space="preserve">includes </w:t>
      </w:r>
      <w:r w:rsidRPr="00EA7D98">
        <w:t xml:space="preserve">a pricing review in relation to </w:t>
      </w:r>
      <w:r w:rsidR="00E14941">
        <w:t xml:space="preserve">declared </w:t>
      </w:r>
      <w:r w:rsidRPr="00EA7D98">
        <w:t>services</w:t>
      </w:r>
      <w:r w:rsidR="00FD57FF">
        <w:t xml:space="preserve"> delivered over </w:t>
      </w:r>
      <w:r w:rsidR="00907DB4">
        <w:t xml:space="preserve">Telstra’s copper network </w:t>
      </w:r>
      <w:r w:rsidR="00FD57FF">
        <w:t>infrastructure.</w:t>
      </w:r>
    </w:p>
    <w:p w:rsidR="00273F0D" w:rsidRPr="000708A2" w:rsidRDefault="00273F0D" w:rsidP="00273F0D">
      <w:r>
        <w:t>T</w:t>
      </w:r>
      <w:r w:rsidRPr="006E1021">
        <w:t>he ACCC use</w:t>
      </w:r>
      <w:r>
        <w:t>s</w:t>
      </w:r>
      <w:r w:rsidRPr="006E1021">
        <w:t xml:space="preserve"> a </w:t>
      </w:r>
      <w:r>
        <w:t>building block model (</w:t>
      </w:r>
      <w:r w:rsidRPr="006E1021">
        <w:t>BBM</w:t>
      </w:r>
      <w:r>
        <w:t>)</w:t>
      </w:r>
      <w:r w:rsidRPr="006E1021">
        <w:t xml:space="preserve"> </w:t>
      </w:r>
      <w:r w:rsidRPr="00B04930">
        <w:t>known as the Fixed Line Services Model (FLSM)</w:t>
      </w:r>
      <w:r w:rsidRPr="006E1021">
        <w:t xml:space="preserve"> to determine prices for the declared </w:t>
      </w:r>
      <w:r>
        <w:t>f</w:t>
      </w:r>
      <w:r w:rsidRPr="006E1021">
        <w:t xml:space="preserve">ixed </w:t>
      </w:r>
      <w:r>
        <w:t>l</w:t>
      </w:r>
      <w:r w:rsidRPr="006E1021">
        <w:t xml:space="preserve">ine </w:t>
      </w:r>
      <w:r>
        <w:t>s</w:t>
      </w:r>
      <w:r w:rsidRPr="006E1021">
        <w:t>ervices</w:t>
      </w:r>
      <w:r>
        <w:t>.</w:t>
      </w:r>
      <w:r>
        <w:rPr>
          <w:rStyle w:val="FootnoteReference"/>
        </w:rPr>
        <w:footnoteReference w:id="2"/>
      </w:r>
      <w:r>
        <w:t xml:space="preserve"> In order </w:t>
      </w:r>
      <w:r w:rsidRPr="00697417">
        <w:t xml:space="preserve">to obtain </w:t>
      </w:r>
      <w:r>
        <w:t xml:space="preserve">the required inputs for </w:t>
      </w:r>
      <w:r w:rsidRPr="00697417">
        <w:t>the FLSM</w:t>
      </w:r>
      <w:r>
        <w:t xml:space="preserve">, the ACCC </w:t>
      </w:r>
      <w:r w:rsidR="00571828" w:rsidRPr="000708A2">
        <w:t>issued a written information request to Telstra pursuant to Rule 15 of the</w:t>
      </w:r>
      <w:r w:rsidR="00571828">
        <w:t xml:space="preserve"> </w:t>
      </w:r>
      <w:hyperlink r:id="rId22" w:history="1">
        <w:r w:rsidRPr="00053703">
          <w:rPr>
            <w:rStyle w:val="Hyperlink"/>
            <w:noProof w:val="0"/>
          </w:rPr>
          <w:t>BBM Record Keeping Rule</w:t>
        </w:r>
      </w:hyperlink>
      <w:r w:rsidRPr="00697417">
        <w:t xml:space="preserve"> (BBM RKR)</w:t>
      </w:r>
      <w:r>
        <w:t xml:space="preserve"> </w:t>
      </w:r>
      <w:r w:rsidR="00053703">
        <w:t xml:space="preserve">on </w:t>
      </w:r>
      <w:r w:rsidR="00053703" w:rsidRPr="000708A2">
        <w:t>13 September 20</w:t>
      </w:r>
      <w:r w:rsidR="00053703">
        <w:t>1</w:t>
      </w:r>
      <w:r w:rsidR="00053703" w:rsidRPr="000708A2">
        <w:t>3</w:t>
      </w:r>
      <w:r w:rsidRPr="000708A2">
        <w:t>.</w:t>
      </w:r>
    </w:p>
    <w:p w:rsidR="00273F0D" w:rsidRDefault="00273F0D" w:rsidP="00273F0D">
      <w:r>
        <w:t>O</w:t>
      </w:r>
      <w:r w:rsidRPr="000708A2">
        <w:t>n 2</w:t>
      </w:r>
      <w:r>
        <w:t>5</w:t>
      </w:r>
      <w:r w:rsidRPr="000708A2">
        <w:t xml:space="preserve"> November 2013</w:t>
      </w:r>
      <w:r>
        <w:t xml:space="preserve">, </w:t>
      </w:r>
      <w:r w:rsidRPr="00D56A0D">
        <w:t xml:space="preserve">Telstra </w:t>
      </w:r>
      <w:r>
        <w:t xml:space="preserve">responded to </w:t>
      </w:r>
      <w:r w:rsidRPr="00D56A0D">
        <w:t>the ACCC’s request</w:t>
      </w:r>
      <w:r>
        <w:t xml:space="preserve"> and lodged a report ('the report')</w:t>
      </w:r>
      <w:r w:rsidRPr="00D56A0D">
        <w:t>.</w:t>
      </w:r>
      <w:r>
        <w:t xml:space="preserve"> Telstra also provided </w:t>
      </w:r>
      <w:r w:rsidRPr="00D56A0D">
        <w:t xml:space="preserve">further explanatory material to assist </w:t>
      </w:r>
      <w:r>
        <w:t xml:space="preserve">the ACCC's </w:t>
      </w:r>
      <w:r w:rsidRPr="00D56A0D">
        <w:t>understanding of the report</w:t>
      </w:r>
      <w:r>
        <w:t xml:space="preserve"> </w:t>
      </w:r>
      <w:r w:rsidRPr="00D56A0D">
        <w:t xml:space="preserve">on </w:t>
      </w:r>
      <w:r>
        <w:t>10</w:t>
      </w:r>
      <w:r w:rsidRPr="00D56A0D">
        <w:t xml:space="preserve"> February 2014</w:t>
      </w:r>
      <w:r>
        <w:t xml:space="preserve"> ('other relevant material')</w:t>
      </w:r>
      <w:r w:rsidR="00AD7DA9">
        <w:t>.</w:t>
      </w:r>
      <w:r>
        <w:t xml:space="preserve"> The report and other relevant material (collectively 'the Telstra material') comprises both historical and forecast information about capital expenditure, operating expenditure and demand relating to the declared fixed line services.</w:t>
      </w:r>
    </w:p>
    <w:p w:rsidR="00F35F9D" w:rsidRDefault="00571828" w:rsidP="00273F0D">
      <w:r>
        <w:t xml:space="preserve">On 19 March 2014, the ACCC gave Telstra a notice </w:t>
      </w:r>
      <w:r w:rsidR="00A64A5E">
        <w:t xml:space="preserve">in accordance with </w:t>
      </w:r>
      <w:r>
        <w:t xml:space="preserve">subsection </w:t>
      </w:r>
      <w:proofErr w:type="gramStart"/>
      <w:r>
        <w:t>151BUA(</w:t>
      </w:r>
      <w:proofErr w:type="gramEnd"/>
      <w:r>
        <w:t xml:space="preserve">5) of the </w:t>
      </w:r>
      <w:r w:rsidRPr="003C54AF">
        <w:rPr>
          <w:rStyle w:val="Italic"/>
        </w:rPr>
        <w:t>Competition and Consumer Act 2010</w:t>
      </w:r>
      <w:r>
        <w:t xml:space="preserve"> (CCA). The notice </w:t>
      </w:r>
      <w:r w:rsidR="00A64A5E">
        <w:t xml:space="preserve">included a draft version of the disclosure notice that stated the </w:t>
      </w:r>
      <w:r>
        <w:t>ACCC</w:t>
      </w:r>
      <w:r w:rsidR="00A64A5E">
        <w:t xml:space="preserve">’s intention to </w:t>
      </w:r>
      <w:r w:rsidR="00F35F9D">
        <w:t xml:space="preserve">disclose the Telstra material to </w:t>
      </w:r>
      <w:r w:rsidR="00A64A5E">
        <w:t xml:space="preserve">certain persons, including </w:t>
      </w:r>
      <w:r w:rsidR="00F35F9D">
        <w:t>access seekers</w:t>
      </w:r>
      <w:r w:rsidR="00A64A5E">
        <w:t>, on terms and conditions</w:t>
      </w:r>
      <w:r w:rsidR="00F35F9D">
        <w:t xml:space="preserve">, and to disclose certain extracts to the public. The </w:t>
      </w:r>
      <w:r w:rsidR="00DB10B3">
        <w:t xml:space="preserve">ACCC </w:t>
      </w:r>
      <w:r w:rsidR="00F35F9D">
        <w:t xml:space="preserve">invited Telstra to provide submissions on </w:t>
      </w:r>
      <w:r w:rsidR="000D2FB1">
        <w:t xml:space="preserve">the </w:t>
      </w:r>
      <w:r w:rsidR="00F35F9D">
        <w:t>draft version of the disclosure notice by 17 April 2014.</w:t>
      </w:r>
    </w:p>
    <w:p w:rsidR="00F35F9D" w:rsidRDefault="003B15AB" w:rsidP="00273F0D">
      <w:r>
        <w:t>On 20 March 2014, t</w:t>
      </w:r>
      <w:r w:rsidR="000D2FB1">
        <w:t>he ACCC also issued a consultation paper outlining the factors that the ACCC intends to consider in deciding whether and how to disclose the Telstra material under s151BUA of the CCA.</w:t>
      </w:r>
      <w:r>
        <w:t xml:space="preserve"> Interested parties were invited to provide submissions by 17 April 2014.</w:t>
      </w:r>
      <w:r w:rsidR="00F35F9D">
        <w:t xml:space="preserve">Telstra gave the ACCC a submission on the draft version of the disclosure notice on 17 April 2014. </w:t>
      </w:r>
      <w:r w:rsidR="00956394" w:rsidRPr="00956394">
        <w:t>Macquarie Telecom</w:t>
      </w:r>
      <w:r w:rsidR="00F35F9D" w:rsidRPr="00956394">
        <w:t xml:space="preserve">, </w:t>
      </w:r>
      <w:r w:rsidR="00956394" w:rsidRPr="00956394">
        <w:t>Optus</w:t>
      </w:r>
      <w:r w:rsidR="002E209C">
        <w:t>,</w:t>
      </w:r>
      <w:r w:rsidR="00F35F9D" w:rsidRPr="00956394">
        <w:t xml:space="preserve"> </w:t>
      </w:r>
      <w:proofErr w:type="spellStart"/>
      <w:r w:rsidR="00956394" w:rsidRPr="00956394">
        <w:t>iiNet</w:t>
      </w:r>
      <w:proofErr w:type="spellEnd"/>
      <w:r w:rsidR="002E209C">
        <w:t xml:space="preserve"> and Telstra</w:t>
      </w:r>
      <w:r w:rsidR="00F35F9D" w:rsidRPr="00956394">
        <w:t xml:space="preserve"> gave the ACCC submissions in response to the consultation paper </w:t>
      </w:r>
      <w:r w:rsidR="007E0D9E">
        <w:t>by the due date of 17</w:t>
      </w:r>
      <w:r w:rsidR="00F35F9D" w:rsidRPr="00956394">
        <w:t xml:space="preserve"> A</w:t>
      </w:r>
      <w:r w:rsidR="00956394" w:rsidRPr="00956394">
        <w:t>pril 2014.</w:t>
      </w:r>
    </w:p>
    <w:p w:rsidR="00A602B0" w:rsidRDefault="00571828" w:rsidP="00273F0D">
      <w:r>
        <w:t xml:space="preserve">On </w:t>
      </w:r>
      <w:r w:rsidR="00790070" w:rsidRPr="00B471F5">
        <w:rPr>
          <w:b/>
        </w:rPr>
        <w:t>11</w:t>
      </w:r>
      <w:r w:rsidR="00C03741" w:rsidRPr="00B471F5">
        <w:rPr>
          <w:b/>
        </w:rPr>
        <w:t xml:space="preserve"> </w:t>
      </w:r>
      <w:r w:rsidR="00790070" w:rsidRPr="00B471F5">
        <w:rPr>
          <w:b/>
        </w:rPr>
        <w:t>June</w:t>
      </w:r>
      <w:r w:rsidRPr="00B471F5">
        <w:rPr>
          <w:b/>
        </w:rPr>
        <w:t xml:space="preserve"> 2014</w:t>
      </w:r>
      <w:r>
        <w:t xml:space="preserve">, </w:t>
      </w:r>
      <w:r w:rsidR="00273F0D">
        <w:t xml:space="preserve">the ACCC </w:t>
      </w:r>
      <w:r w:rsidR="00A602B0">
        <w:t xml:space="preserve">gave Telstra a final version of the subsection </w:t>
      </w:r>
      <w:proofErr w:type="gramStart"/>
      <w:r w:rsidR="00A602B0">
        <w:t>151BUA(</w:t>
      </w:r>
      <w:proofErr w:type="gramEnd"/>
      <w:r w:rsidR="00A602B0">
        <w:t xml:space="preserve">2) disclosure notice. The notice states </w:t>
      </w:r>
      <w:r w:rsidR="00A602B0" w:rsidRPr="00E14941">
        <w:t>th</w:t>
      </w:r>
      <w:r w:rsidR="00A602B0">
        <w:t>at the ACCC will disclose:</w:t>
      </w:r>
    </w:p>
    <w:p w:rsidR="00A602B0" w:rsidRDefault="004B5C4F" w:rsidP="00A602B0">
      <w:pPr>
        <w:pStyle w:val="ListBullet"/>
      </w:pPr>
      <w:r>
        <w:t xml:space="preserve">the whole of </w:t>
      </w:r>
      <w:r w:rsidR="00A602B0">
        <w:t xml:space="preserve">the Telstra material </w:t>
      </w:r>
      <w:r w:rsidR="00A64A5E">
        <w:t xml:space="preserve">on certain terms and conditions, including the execution of </w:t>
      </w:r>
      <w:r w:rsidR="00A602B0">
        <w:t>confidentiality undertakings</w:t>
      </w:r>
      <w:r w:rsidR="00A64A5E">
        <w:t>,</w:t>
      </w:r>
      <w:r>
        <w:t xml:space="preserve"> to legal and regulatory employees of access seekers, or consultants engaged by access seekers</w:t>
      </w:r>
    </w:p>
    <w:p w:rsidR="00FE5DDE" w:rsidRDefault="00A602B0" w:rsidP="00FE5DDE">
      <w:pPr>
        <w:pStyle w:val="ListBullet"/>
      </w:pPr>
      <w:proofErr w:type="gramStart"/>
      <w:r>
        <w:t>extracts</w:t>
      </w:r>
      <w:proofErr w:type="gramEnd"/>
      <w:r>
        <w:t xml:space="preserve"> from the Telstra material that are not commercially sensitive</w:t>
      </w:r>
      <w:r w:rsidR="004B5C4F">
        <w:t xml:space="preserve"> to the general public</w:t>
      </w:r>
      <w:r w:rsidR="00FE5DDE">
        <w:t>.</w:t>
      </w:r>
    </w:p>
    <w:p w:rsidR="00FE5DDE" w:rsidRPr="00FE5DDE" w:rsidRDefault="00FE5DDE" w:rsidP="00FE5DDE">
      <w:r>
        <w:t xml:space="preserve">The ACCC will disclose the Telstra material from </w:t>
      </w:r>
      <w:r w:rsidR="005F2FB7">
        <w:t>9</w:t>
      </w:r>
      <w:r w:rsidR="00C82E95">
        <w:t xml:space="preserve"> July</w:t>
      </w:r>
      <w:r>
        <w:t xml:space="preserve"> 2014.</w:t>
      </w:r>
    </w:p>
    <w:p w:rsidR="00273F0D" w:rsidRDefault="00273F0D" w:rsidP="00FE5DDE">
      <w:r w:rsidRPr="00657D4D">
        <w:lastRenderedPageBreak/>
        <w:t xml:space="preserve">This </w:t>
      </w:r>
      <w:r w:rsidR="00571828">
        <w:t>statement sets out the reasons for</w:t>
      </w:r>
      <w:r>
        <w:t xml:space="preserve"> </w:t>
      </w:r>
      <w:r w:rsidR="00571828">
        <w:t xml:space="preserve">the </w:t>
      </w:r>
      <w:r w:rsidRPr="00657D4D">
        <w:t>ACCC</w:t>
      </w:r>
      <w:r w:rsidR="00571828">
        <w:t>’s decision under</w:t>
      </w:r>
      <w:r>
        <w:t xml:space="preserve"> section 151BUA of the CCA.</w:t>
      </w:r>
      <w:bookmarkStart w:id="7" w:name="_Toc213047618"/>
      <w:r>
        <w:br w:type="page"/>
      </w:r>
    </w:p>
    <w:p w:rsidR="0027419F" w:rsidRDefault="00FE5DDE" w:rsidP="00FE5DDE">
      <w:pPr>
        <w:pStyle w:val="Heading2"/>
      </w:pPr>
      <w:bookmarkStart w:id="8" w:name="_Toc388969183"/>
      <w:bookmarkEnd w:id="7"/>
      <w:r>
        <w:lastRenderedPageBreak/>
        <w:t>Background</w:t>
      </w:r>
      <w:bookmarkEnd w:id="8"/>
    </w:p>
    <w:p w:rsidR="00FE5DDE" w:rsidRPr="00EC2E35" w:rsidRDefault="00FE5DDE" w:rsidP="00FE5DDE">
      <w:r w:rsidRPr="00EC2E35">
        <w:t>The ACCC may issue a notice to a carrier or carriage service provider under section 151BUA of the CCA stating that it intends to disclose a report or particular extracts of a report lodged by that carrier or carriage service provider (disclosure notice).</w:t>
      </w:r>
      <w:r w:rsidRPr="00EC2E35">
        <w:rPr>
          <w:rStyle w:val="FootnoteReference"/>
        </w:rPr>
        <w:footnoteReference w:id="3"/>
      </w:r>
      <w:r w:rsidRPr="00EC2E35">
        <w:t xml:space="preserve"> </w:t>
      </w:r>
    </w:p>
    <w:p w:rsidR="0027419F" w:rsidRPr="0013364C" w:rsidRDefault="00FC6722" w:rsidP="0027419F">
      <w:r>
        <w:t xml:space="preserve">In order to </w:t>
      </w:r>
      <w:r w:rsidR="00FE5DDE">
        <w:t>issue a disclosure notice</w:t>
      </w:r>
      <w:r>
        <w:t>, the ACCC must be</w:t>
      </w:r>
      <w:r w:rsidR="0027419F" w:rsidRPr="0013364C">
        <w:t xml:space="preserve"> satisfied that the disclosure would be likely to:</w:t>
      </w:r>
    </w:p>
    <w:p w:rsidR="0027419F" w:rsidRPr="0013364C" w:rsidRDefault="0027419F" w:rsidP="0027419F">
      <w:pPr>
        <w:pStyle w:val="ListBullet"/>
        <w:tabs>
          <w:tab w:val="clear" w:pos="360"/>
          <w:tab w:val="num" w:pos="717"/>
        </w:tabs>
      </w:pPr>
      <w:r w:rsidRPr="0013364C">
        <w:t>promote competition in markets for listed carriage services; or</w:t>
      </w:r>
    </w:p>
    <w:p w:rsidR="0027419F" w:rsidRPr="0013364C" w:rsidRDefault="0027419F" w:rsidP="0027419F">
      <w:pPr>
        <w:pStyle w:val="ListBullet"/>
        <w:tabs>
          <w:tab w:val="clear" w:pos="360"/>
          <w:tab w:val="num" w:pos="717"/>
        </w:tabs>
      </w:pPr>
      <w:r w:rsidRPr="0013364C">
        <w:t>facilitate the operation of any of:</w:t>
      </w:r>
    </w:p>
    <w:p w:rsidR="0027419F" w:rsidRPr="0013364C" w:rsidRDefault="0027419F" w:rsidP="0027419F">
      <w:pPr>
        <w:numPr>
          <w:ilvl w:val="0"/>
          <w:numId w:val="2"/>
        </w:numPr>
      </w:pPr>
      <w:r w:rsidRPr="0013364C">
        <w:t xml:space="preserve"> Parts XIB or XIC of the CCA</w:t>
      </w:r>
    </w:p>
    <w:p w:rsidR="0027419F" w:rsidRPr="0013364C" w:rsidRDefault="0027419F" w:rsidP="0027419F">
      <w:pPr>
        <w:numPr>
          <w:ilvl w:val="0"/>
          <w:numId w:val="2"/>
        </w:numPr>
      </w:pPr>
      <w:r w:rsidRPr="0013364C">
        <w:t xml:space="preserve">the </w:t>
      </w:r>
      <w:r w:rsidRPr="0013364C">
        <w:rPr>
          <w:rStyle w:val="Italic"/>
        </w:rPr>
        <w:t>National Broadband Network Companies Act 2011</w:t>
      </w:r>
      <w:r w:rsidRPr="0013364C">
        <w:t xml:space="preserve"> or regulations under that Act</w:t>
      </w:r>
    </w:p>
    <w:p w:rsidR="0027419F" w:rsidRPr="0013364C" w:rsidRDefault="0027419F" w:rsidP="0027419F">
      <w:pPr>
        <w:numPr>
          <w:ilvl w:val="0"/>
          <w:numId w:val="2"/>
        </w:numPr>
      </w:pPr>
      <w:r w:rsidRPr="0013364C">
        <w:t xml:space="preserve">Division 3 of Part 20 of the </w:t>
      </w:r>
      <w:r w:rsidRPr="0013364C">
        <w:rPr>
          <w:rStyle w:val="Italic"/>
        </w:rPr>
        <w:t>Telecommunications Act 1997</w:t>
      </w:r>
    </w:p>
    <w:p w:rsidR="0027419F" w:rsidRPr="0013364C" w:rsidRDefault="0027419F" w:rsidP="0027419F">
      <w:pPr>
        <w:numPr>
          <w:ilvl w:val="0"/>
          <w:numId w:val="2"/>
        </w:numPr>
      </w:pPr>
      <w:r w:rsidRPr="0013364C">
        <w:t xml:space="preserve">Part 9 of the </w:t>
      </w:r>
      <w:r w:rsidRPr="0013364C">
        <w:rPr>
          <w:rStyle w:val="Italic"/>
        </w:rPr>
        <w:t>Telecommunications (Consumer Protection and Service Standards) Act 1999</w:t>
      </w:r>
      <w:r w:rsidRPr="0013364C">
        <w:t>.</w:t>
      </w:r>
    </w:p>
    <w:p w:rsidR="0027419F" w:rsidRPr="00D11322" w:rsidRDefault="0027419F" w:rsidP="00FE5DDE">
      <w:r w:rsidRPr="00D11322">
        <w:t xml:space="preserve">In deciding whether to issue a disclosure notice, the ACCC must have regard to the legitimate commercial interests of the carrier or carriage service provider </w:t>
      </w:r>
      <w:r>
        <w:t>that</w:t>
      </w:r>
      <w:r w:rsidRPr="00D11322">
        <w:t xml:space="preserve"> provided the report and any other matter it considers relevant.</w:t>
      </w:r>
      <w:r w:rsidRPr="00D11322">
        <w:rPr>
          <w:rStyle w:val="FootnoteReference"/>
        </w:rPr>
        <w:footnoteReference w:id="4"/>
      </w:r>
      <w:r w:rsidRPr="00D11322">
        <w:t xml:space="preserve"> </w:t>
      </w:r>
    </w:p>
    <w:p w:rsidR="0027419F" w:rsidRPr="00D11322" w:rsidRDefault="0027419F" w:rsidP="0027419F">
      <w:r w:rsidRPr="00D11322">
        <w:t xml:space="preserve">Before issuing a disclosure notice, the ACCC must also invite the carrier or carriage service provider concerned to make a submission on a draft of the disclosure notice, and consider any submission made </w:t>
      </w:r>
      <w:r>
        <w:t xml:space="preserve">by it </w:t>
      </w:r>
      <w:r w:rsidRPr="00D11322">
        <w:t>within the time limit.</w:t>
      </w:r>
      <w:r w:rsidRPr="00D11322">
        <w:rPr>
          <w:rStyle w:val="FootnoteReference"/>
        </w:rPr>
        <w:footnoteReference w:id="5"/>
      </w:r>
      <w:r w:rsidRPr="00D11322">
        <w:t xml:space="preserve"> </w:t>
      </w:r>
    </w:p>
    <w:p w:rsidR="000E0B49" w:rsidRPr="00D11322" w:rsidRDefault="000E0B49" w:rsidP="000E0B49">
      <w:r w:rsidRPr="00D11322">
        <w:t xml:space="preserve">The ACCC may disclose the </w:t>
      </w:r>
      <w:r w:rsidRPr="00EF6B8F">
        <w:t xml:space="preserve">Telstra material </w:t>
      </w:r>
      <w:r w:rsidRPr="00D11322">
        <w:t xml:space="preserve">to the general public under </w:t>
      </w:r>
      <w:r w:rsidR="00745A3B">
        <w:t>paragraph</w:t>
      </w:r>
      <w:r w:rsidRPr="00D11322">
        <w:t xml:space="preserve"> </w:t>
      </w:r>
      <w:proofErr w:type="gramStart"/>
      <w:r w:rsidRPr="00D11322">
        <w:t>151BUA(</w:t>
      </w:r>
      <w:proofErr w:type="gramEnd"/>
      <w:r w:rsidRPr="00D11322">
        <w:t xml:space="preserve">2)(c) of the CCA. </w:t>
      </w:r>
    </w:p>
    <w:p w:rsidR="00745A3B" w:rsidRDefault="00745A3B">
      <w:pPr>
        <w:spacing w:line="276" w:lineRule="auto"/>
      </w:pPr>
      <w:r w:rsidRPr="00D11322">
        <w:t xml:space="preserve">The ACCC may disclose the </w:t>
      </w:r>
      <w:r>
        <w:t xml:space="preserve">Telstra material </w:t>
      </w:r>
      <w:r w:rsidRPr="00D11322">
        <w:t xml:space="preserve">to specified persons under </w:t>
      </w:r>
      <w:r>
        <w:t>paragraph</w:t>
      </w:r>
      <w:r w:rsidRPr="00D11322">
        <w:t xml:space="preserve"> </w:t>
      </w:r>
      <w:proofErr w:type="gramStart"/>
      <w:r w:rsidRPr="00D11322">
        <w:t>151BUA(</w:t>
      </w:r>
      <w:proofErr w:type="gramEnd"/>
      <w:r w:rsidRPr="00D11322">
        <w:t>2)(d) of the CCA. The notice may specify a class of persons</w:t>
      </w:r>
      <w:r>
        <w:t>, and the terms and conditions that apply to the disclosure</w:t>
      </w:r>
      <w:r w:rsidRPr="00D11322">
        <w:t>.</w:t>
      </w:r>
      <w:r>
        <w:t xml:space="preserve"> </w:t>
      </w:r>
    </w:p>
    <w:p w:rsidR="0087655E" w:rsidRPr="00D11322" w:rsidRDefault="0087655E" w:rsidP="0087655E">
      <w:r w:rsidRPr="00D11322">
        <w:t>S</w:t>
      </w:r>
      <w:r>
        <w:t>ubs</w:t>
      </w:r>
      <w:r w:rsidRPr="00D11322">
        <w:t xml:space="preserve">ection </w:t>
      </w:r>
      <w:proofErr w:type="gramStart"/>
      <w:r w:rsidRPr="00D11322">
        <w:t>151BUA(</w:t>
      </w:r>
      <w:proofErr w:type="gramEnd"/>
      <w:r>
        <w:t>8</w:t>
      </w:r>
      <w:r w:rsidRPr="00D11322">
        <w:t xml:space="preserve">) of the CCA states that the ACCC </w:t>
      </w:r>
      <w:r>
        <w:t>must</w:t>
      </w:r>
      <w:r w:rsidRPr="00D11322">
        <w:t xml:space="preserve"> make </w:t>
      </w:r>
      <w:r>
        <w:t xml:space="preserve">the </w:t>
      </w:r>
      <w:r w:rsidRPr="00D11322">
        <w:t xml:space="preserve">material </w:t>
      </w:r>
      <w:r>
        <w:t xml:space="preserve">specified in its disclosure notice </w:t>
      </w:r>
      <w:r w:rsidRPr="00D11322">
        <w:t>available for inspection and purchase.</w:t>
      </w:r>
    </w:p>
    <w:p w:rsidR="0087655E" w:rsidRDefault="0087655E">
      <w:pPr>
        <w:spacing w:line="276" w:lineRule="auto"/>
      </w:pPr>
    </w:p>
    <w:p w:rsidR="00FE5DDE" w:rsidRDefault="00FE5DDE">
      <w:pPr>
        <w:spacing w:line="276" w:lineRule="auto"/>
        <w:rPr>
          <w:rFonts w:eastAsia="Times New Roman" w:cs="Times New Roman"/>
          <w:sz w:val="40"/>
          <w:szCs w:val="20"/>
          <w:lang w:eastAsia="en-AU"/>
        </w:rPr>
      </w:pPr>
      <w:r>
        <w:br w:type="page"/>
      </w:r>
    </w:p>
    <w:p w:rsidR="00FE5DDE" w:rsidRDefault="00FE5DDE" w:rsidP="00FE5DDE">
      <w:pPr>
        <w:pStyle w:val="Heading2"/>
      </w:pPr>
      <w:bookmarkStart w:id="9" w:name="_Toc388969184"/>
      <w:r>
        <w:lastRenderedPageBreak/>
        <w:t>Reasons</w:t>
      </w:r>
      <w:bookmarkEnd w:id="9"/>
    </w:p>
    <w:p w:rsidR="00C8177D" w:rsidRDefault="00C8177D" w:rsidP="00273F0D">
      <w:pPr>
        <w:pStyle w:val="Heading3"/>
      </w:pPr>
      <w:r>
        <w:t>Purpose of disclosure</w:t>
      </w:r>
    </w:p>
    <w:p w:rsidR="00C8177D" w:rsidRPr="0013364C" w:rsidRDefault="00C8177D" w:rsidP="00C8177D">
      <w:r>
        <w:t xml:space="preserve">The ACCC is </w:t>
      </w:r>
      <w:r w:rsidRPr="0013364C">
        <w:t xml:space="preserve">satisfied that the disclosure </w:t>
      </w:r>
      <w:r>
        <w:t xml:space="preserve">of the Telstra material </w:t>
      </w:r>
      <w:r w:rsidRPr="0013364C">
        <w:t>would be likely to:</w:t>
      </w:r>
    </w:p>
    <w:p w:rsidR="00C8177D" w:rsidRPr="0013364C" w:rsidRDefault="00C8177D" w:rsidP="00C8177D">
      <w:pPr>
        <w:pStyle w:val="ListBullet"/>
        <w:tabs>
          <w:tab w:val="clear" w:pos="360"/>
          <w:tab w:val="num" w:pos="717"/>
        </w:tabs>
      </w:pPr>
      <w:r w:rsidRPr="0013364C">
        <w:t xml:space="preserve">promote competition in markets for listed carriage services; </w:t>
      </w:r>
      <w:r>
        <w:t>and</w:t>
      </w:r>
    </w:p>
    <w:p w:rsidR="00C8177D" w:rsidRPr="0013364C" w:rsidRDefault="00C8177D" w:rsidP="00C8177D">
      <w:pPr>
        <w:pStyle w:val="ListBullet"/>
        <w:tabs>
          <w:tab w:val="clear" w:pos="360"/>
          <w:tab w:val="num" w:pos="717"/>
        </w:tabs>
      </w:pPr>
      <w:proofErr w:type="gramStart"/>
      <w:r w:rsidRPr="0013364C">
        <w:t>facilitate</w:t>
      </w:r>
      <w:proofErr w:type="gramEnd"/>
      <w:r w:rsidRPr="0013364C">
        <w:t xml:space="preserve"> the operation of </w:t>
      </w:r>
      <w:r>
        <w:t>Part XIC of the CCA.</w:t>
      </w:r>
    </w:p>
    <w:p w:rsidR="00504F31" w:rsidRPr="002C4B3F" w:rsidRDefault="00504F31" w:rsidP="00504F31">
      <w:r w:rsidRPr="002C4B3F">
        <w:t>The ACCC notes that information disclosure will be likely to promote competition where it is likely to improve conditions or the environment for competition by addressing information asymmetries. Disclosure will be likely to facilitate the operation of Part</w:t>
      </w:r>
      <w:r>
        <w:t xml:space="preserve"> </w:t>
      </w:r>
      <w:r w:rsidRPr="002C4B3F">
        <w:t xml:space="preserve">XIC where it is likely to improve the quality and timeliness of </w:t>
      </w:r>
      <w:r w:rsidR="003D554E">
        <w:t>ACCC</w:t>
      </w:r>
      <w:r w:rsidR="003D554E" w:rsidRPr="002C4B3F">
        <w:t xml:space="preserve"> </w:t>
      </w:r>
      <w:r w:rsidRPr="002C4B3F">
        <w:t>decisions and the timely implementation of the standard access obligations.</w:t>
      </w:r>
    </w:p>
    <w:p w:rsidR="00C8177D" w:rsidRPr="005D1FBF" w:rsidRDefault="00504F31" w:rsidP="00C8177D">
      <w:r>
        <w:t xml:space="preserve">The </w:t>
      </w:r>
      <w:r w:rsidR="00B04DF3">
        <w:t xml:space="preserve">ACCC considers that the </w:t>
      </w:r>
      <w:r>
        <w:t xml:space="preserve">disclosure of the Telstra material </w:t>
      </w:r>
      <w:r w:rsidR="00B04DF3">
        <w:t xml:space="preserve">will </w:t>
      </w:r>
      <w:r w:rsidR="000E0B49">
        <w:t>enable</w:t>
      </w:r>
      <w:r w:rsidR="00B04DF3">
        <w:t xml:space="preserve"> access seekers and the public to provide informed submissions to the FAD inquiry. As a result of this inquiry</w:t>
      </w:r>
      <w:r w:rsidR="00C8177D">
        <w:t>, t</w:t>
      </w:r>
      <w:r w:rsidR="00C8177D" w:rsidRPr="005D1FBF">
        <w:t xml:space="preserve">he ACCC </w:t>
      </w:r>
      <w:r w:rsidR="00B04DF3">
        <w:t xml:space="preserve">will </w:t>
      </w:r>
      <w:r w:rsidR="00C8177D" w:rsidRPr="005D1FBF">
        <w:t xml:space="preserve">make access determinations </w:t>
      </w:r>
      <w:r w:rsidR="00C8177D">
        <w:t xml:space="preserve">setting terms and conditions for </w:t>
      </w:r>
      <w:r w:rsidR="00C8177D" w:rsidRPr="005D1FBF">
        <w:t>access to a declared service.</w:t>
      </w:r>
      <w:r w:rsidR="00C8177D" w:rsidRPr="006C1869">
        <w:rPr>
          <w:rStyle w:val="FootnoteReference"/>
        </w:rPr>
        <w:footnoteReference w:id="6"/>
      </w:r>
      <w:r w:rsidR="00C8177D" w:rsidRPr="005D1FBF">
        <w:t xml:space="preserve"> </w:t>
      </w:r>
      <w:r w:rsidR="00B04DF3">
        <w:t xml:space="preserve">These </w:t>
      </w:r>
      <w:r w:rsidR="00C8177D">
        <w:t>access determination</w:t>
      </w:r>
      <w:r w:rsidR="00B04DF3">
        <w:t>s</w:t>
      </w:r>
      <w:r w:rsidR="00C8177D">
        <w:t xml:space="preserve"> </w:t>
      </w:r>
      <w:r w:rsidR="00B04DF3">
        <w:t xml:space="preserve">will </w:t>
      </w:r>
      <w:r w:rsidR="00C8177D" w:rsidRPr="006C1869">
        <w:t>include terms and conditions relating to price or a method of ascertaining price</w:t>
      </w:r>
      <w:r w:rsidR="00C8177D">
        <w:t>.</w:t>
      </w:r>
      <w:r w:rsidR="00C8177D">
        <w:rPr>
          <w:rStyle w:val="FootnoteReference"/>
        </w:rPr>
        <w:footnoteReference w:id="7"/>
      </w:r>
      <w:r w:rsidR="00C8177D" w:rsidRPr="00C8177D">
        <w:t xml:space="preserve"> </w:t>
      </w:r>
    </w:p>
    <w:p w:rsidR="00C8177D" w:rsidRPr="00D11322" w:rsidRDefault="00B04DF3" w:rsidP="00C8177D">
      <w:r>
        <w:t>D</w:t>
      </w:r>
      <w:r w:rsidR="00C8177D" w:rsidRPr="00D11322">
        <w:t xml:space="preserve">isclosing the </w:t>
      </w:r>
      <w:r w:rsidR="00C8177D" w:rsidRPr="00EF6B8F">
        <w:t xml:space="preserve">Telstra material </w:t>
      </w:r>
      <w:r>
        <w:t xml:space="preserve">will </w:t>
      </w:r>
      <w:r w:rsidR="00C8177D" w:rsidRPr="00D11322">
        <w:t xml:space="preserve">promote transparency about the inputs to the FLSM and assist the ACCC in determining prices for the declared fixed line services. Greater transparency about the inputs and assumptions in the </w:t>
      </w:r>
      <w:r w:rsidR="00C8177D" w:rsidRPr="00EF6B8F">
        <w:t xml:space="preserve">Telstra material </w:t>
      </w:r>
      <w:r w:rsidR="00C8177D" w:rsidRPr="00D11322">
        <w:t xml:space="preserve">will </w:t>
      </w:r>
      <w:r w:rsidR="00C8177D">
        <w:t xml:space="preserve">reduce information asymmetries and </w:t>
      </w:r>
      <w:r w:rsidR="00C8177D" w:rsidRPr="00D11322">
        <w:t xml:space="preserve">enable </w:t>
      </w:r>
      <w:r w:rsidR="003D554E">
        <w:t xml:space="preserve">interested parties to make </w:t>
      </w:r>
      <w:r w:rsidR="00C8177D">
        <w:t xml:space="preserve">informed </w:t>
      </w:r>
      <w:r w:rsidR="00C8177D" w:rsidRPr="00D11322">
        <w:t xml:space="preserve">submissions </w:t>
      </w:r>
      <w:r w:rsidR="00C8177D">
        <w:t>to the public inquiry</w:t>
      </w:r>
      <w:r w:rsidR="00C8177D" w:rsidRPr="00D11322">
        <w:t xml:space="preserve">. This </w:t>
      </w:r>
      <w:r w:rsidR="00C8177D">
        <w:t>will</w:t>
      </w:r>
      <w:r w:rsidR="00C8177D" w:rsidRPr="00D11322">
        <w:t xml:space="preserve"> assist the ACCC in ensuring that the inputs to the FLSM reflect the efficient costs of supplying the fixed line services</w:t>
      </w:r>
      <w:r w:rsidR="000407C8">
        <w:t xml:space="preserve">, thereby allowing </w:t>
      </w:r>
      <w:r w:rsidR="00C8177D">
        <w:t xml:space="preserve">the ACCC </w:t>
      </w:r>
      <w:r w:rsidR="00C8177D" w:rsidRPr="00D11322">
        <w:t xml:space="preserve">to </w:t>
      </w:r>
      <w:r w:rsidR="000407C8">
        <w:t xml:space="preserve">determine </w:t>
      </w:r>
      <w:r w:rsidR="00C8177D" w:rsidRPr="00D11322">
        <w:t>efficient prices</w:t>
      </w:r>
      <w:r w:rsidR="003D554E">
        <w:t xml:space="preserve"> </w:t>
      </w:r>
      <w:r w:rsidR="000407C8">
        <w:t>in the</w:t>
      </w:r>
      <w:r w:rsidR="00C8177D">
        <w:t xml:space="preserve"> </w:t>
      </w:r>
      <w:r w:rsidR="002B6A22">
        <w:t>FADs</w:t>
      </w:r>
      <w:r w:rsidR="000407C8">
        <w:t>.</w:t>
      </w:r>
      <w:r w:rsidR="00C8177D" w:rsidRPr="00D11322">
        <w:t xml:space="preserve"> </w:t>
      </w:r>
      <w:r w:rsidR="000407C8">
        <w:t xml:space="preserve">In turn, this will be </w:t>
      </w:r>
      <w:r w:rsidR="00C8177D" w:rsidRPr="00D11322">
        <w:t xml:space="preserve">more likely to promote competition in markets for downstream services and facilitate the operation of the access regime in Part XIC of the CCA than would otherwise be the case if the </w:t>
      </w:r>
      <w:r w:rsidR="00C8177D" w:rsidRPr="00EF6B8F">
        <w:t xml:space="preserve">Telstra material </w:t>
      </w:r>
      <w:r w:rsidR="00C8177D" w:rsidRPr="00D11322">
        <w:t>was not disclosed.</w:t>
      </w:r>
    </w:p>
    <w:p w:rsidR="00C8177D" w:rsidRDefault="00C8177D" w:rsidP="00273F0D">
      <w:pPr>
        <w:pStyle w:val="Heading3"/>
      </w:pPr>
      <w:r>
        <w:t>Legitimate commercial interests of Telstra and other relevant matters</w:t>
      </w:r>
    </w:p>
    <w:p w:rsidR="00C8177D" w:rsidRPr="00D11322" w:rsidRDefault="00C8177D" w:rsidP="00C8177D">
      <w:r w:rsidRPr="00D11322">
        <w:t xml:space="preserve">In deciding whether to issue </w:t>
      </w:r>
      <w:r w:rsidR="00B04DF3">
        <w:t xml:space="preserve">the </w:t>
      </w:r>
      <w:r w:rsidRPr="00D11322">
        <w:t xml:space="preserve">disclosure notice, the ACCC </w:t>
      </w:r>
      <w:r w:rsidR="00B04DF3">
        <w:t xml:space="preserve">has had </w:t>
      </w:r>
      <w:r w:rsidRPr="00D11322">
        <w:t xml:space="preserve">regard to the legitimate commercial interests of </w:t>
      </w:r>
      <w:r w:rsidR="00B04DF3">
        <w:t xml:space="preserve">Telstra </w:t>
      </w:r>
      <w:r w:rsidRPr="00D11322">
        <w:t>and other matter</w:t>
      </w:r>
      <w:r w:rsidR="00B04DF3">
        <w:t>s that the ACCC</w:t>
      </w:r>
      <w:r w:rsidRPr="00D11322">
        <w:t xml:space="preserve"> considers relevant.</w:t>
      </w:r>
      <w:r w:rsidRPr="00D11322">
        <w:rPr>
          <w:rStyle w:val="FootnoteReference"/>
        </w:rPr>
        <w:footnoteReference w:id="8"/>
      </w:r>
      <w:r w:rsidRPr="00D11322">
        <w:t xml:space="preserve"> </w:t>
      </w:r>
    </w:p>
    <w:p w:rsidR="00C8177D" w:rsidRPr="00D11322" w:rsidRDefault="000E0B49" w:rsidP="00C8177D">
      <w:r>
        <w:t>T</w:t>
      </w:r>
      <w:r w:rsidR="00C8177D" w:rsidRPr="00D11322">
        <w:t xml:space="preserve">he ACCC </w:t>
      </w:r>
      <w:r w:rsidR="000407C8">
        <w:t xml:space="preserve">recognises </w:t>
      </w:r>
      <w:r w:rsidR="00C8177D" w:rsidRPr="00D11322">
        <w:t xml:space="preserve">that </w:t>
      </w:r>
      <w:r w:rsidR="000407C8">
        <w:t xml:space="preserve">the </w:t>
      </w:r>
      <w:r>
        <w:t xml:space="preserve">disclosure of </w:t>
      </w:r>
      <w:r w:rsidR="00C8177D" w:rsidRPr="00D11322">
        <w:t>information that is commercially sensitive to Telstra</w:t>
      </w:r>
      <w:r>
        <w:t xml:space="preserve"> </w:t>
      </w:r>
      <w:r w:rsidR="00745A3B">
        <w:t>has the potential to</w:t>
      </w:r>
      <w:r w:rsidR="00C8177D">
        <w:t xml:space="preserve"> </w:t>
      </w:r>
      <w:r>
        <w:t xml:space="preserve">cause harm </w:t>
      </w:r>
      <w:r w:rsidR="00C8177D" w:rsidRPr="00D11322">
        <w:t>to Telstra</w:t>
      </w:r>
      <w:r w:rsidR="00C8177D">
        <w:t>’s legitimate commercial interests</w:t>
      </w:r>
      <w:r>
        <w:t xml:space="preserve">. </w:t>
      </w:r>
      <w:r w:rsidR="00D85EB0">
        <w:t>For example, it might affect Telstra’s ability to compete effectively in downstream markets or negotiate commercial agreements with suppliers or customers.</w:t>
      </w:r>
    </w:p>
    <w:p w:rsidR="000E0B49" w:rsidRDefault="005F6ADD" w:rsidP="000E0B49">
      <w:r>
        <w:t>In addition</w:t>
      </w:r>
      <w:r w:rsidR="00D85EB0">
        <w:t>, t</w:t>
      </w:r>
      <w:r w:rsidR="000E0B49" w:rsidRPr="00D11322">
        <w:t xml:space="preserve">he ACCC </w:t>
      </w:r>
      <w:r w:rsidR="00745A3B">
        <w:t>considers that the</w:t>
      </w:r>
      <w:r>
        <w:t xml:space="preserve">re are other matters relevant to the ACCC’s decision to </w:t>
      </w:r>
      <w:r w:rsidR="00094907">
        <w:t xml:space="preserve">give a notice under subsection </w:t>
      </w:r>
      <w:proofErr w:type="gramStart"/>
      <w:r w:rsidR="00094907">
        <w:t>151BUA(</w:t>
      </w:r>
      <w:proofErr w:type="gramEnd"/>
      <w:r w:rsidR="00094907">
        <w:t>2)</w:t>
      </w:r>
      <w:r w:rsidR="000E0B49">
        <w:t>.</w:t>
      </w:r>
      <w:r>
        <w:t xml:space="preserve"> In particular, there is a public interest in having</w:t>
      </w:r>
      <w:r w:rsidRPr="00FC495E">
        <w:t xml:space="preserve"> </w:t>
      </w:r>
      <w:r>
        <w:t xml:space="preserve">public inquiries that are </w:t>
      </w:r>
      <w:r w:rsidRPr="00727517">
        <w:t>open and transparent</w:t>
      </w:r>
      <w:r w:rsidR="004C0F92">
        <w:t>. The ACCC considers that i</w:t>
      </w:r>
      <w:r w:rsidR="000E0B49" w:rsidRPr="00727517">
        <w:t xml:space="preserve">nterested parties should be given an opportunity to consider, review and comment on </w:t>
      </w:r>
      <w:r w:rsidR="000E0B49">
        <w:t xml:space="preserve">the </w:t>
      </w:r>
      <w:r w:rsidR="000E0B49" w:rsidRPr="00727517">
        <w:t xml:space="preserve">material </w:t>
      </w:r>
      <w:r w:rsidR="000E0B49">
        <w:t xml:space="preserve">that is </w:t>
      </w:r>
      <w:r w:rsidR="000E0B49" w:rsidRPr="00727517">
        <w:t xml:space="preserve">provided to </w:t>
      </w:r>
      <w:r w:rsidR="000E0B49">
        <w:t xml:space="preserve">and relied on by </w:t>
      </w:r>
      <w:r w:rsidR="000E0B49" w:rsidRPr="00727517">
        <w:t xml:space="preserve">the ACCC in the course of </w:t>
      </w:r>
      <w:r w:rsidR="000E0B49">
        <w:t>the Fixed Services Review</w:t>
      </w:r>
      <w:r w:rsidR="000E0B49" w:rsidRPr="00727517">
        <w:t>.</w:t>
      </w:r>
      <w:r w:rsidR="00745A3B">
        <w:t xml:space="preserve"> </w:t>
      </w:r>
      <w:r w:rsidR="00094907">
        <w:t xml:space="preserve">Disclosure would </w:t>
      </w:r>
      <w:r w:rsidR="00D85EB0">
        <w:t xml:space="preserve">also </w:t>
      </w:r>
      <w:r w:rsidR="00094907">
        <w:t xml:space="preserve">ensure that stakeholders are fully </w:t>
      </w:r>
      <w:r w:rsidR="00094907">
        <w:lastRenderedPageBreak/>
        <w:t>informed about the basis on which the ACCC is making its decision, and are in a better position to make submissions that enable the ACCC to assess the accuracy and reliability of information that has been provided.</w:t>
      </w:r>
    </w:p>
    <w:p w:rsidR="00094907" w:rsidRDefault="00094907" w:rsidP="00094907">
      <w:r w:rsidRPr="00D11322">
        <w:t xml:space="preserve">The ACCC </w:t>
      </w:r>
      <w:r>
        <w:t>must</w:t>
      </w:r>
      <w:r w:rsidRPr="00D11322">
        <w:t xml:space="preserve"> balance the </w:t>
      </w:r>
      <w:r>
        <w:t xml:space="preserve">public </w:t>
      </w:r>
      <w:r w:rsidRPr="00D11322">
        <w:t>benefits that would result from disclosure against any harm</w:t>
      </w:r>
      <w:r>
        <w:t>s</w:t>
      </w:r>
      <w:r w:rsidRPr="00D11322">
        <w:t xml:space="preserve"> that might be caused to Telstra</w:t>
      </w:r>
      <w:r>
        <w:t>’s legitimate commercial interests</w:t>
      </w:r>
      <w:r w:rsidRPr="00D11322">
        <w:t>. Th</w:t>
      </w:r>
      <w:r>
        <w:t xml:space="preserve">e ACCC </w:t>
      </w:r>
      <w:r w:rsidR="00255BD6">
        <w:t xml:space="preserve">considers that this should be </w:t>
      </w:r>
      <w:r w:rsidR="000407C8">
        <w:t xml:space="preserve">first </w:t>
      </w:r>
      <w:r w:rsidR="00255BD6">
        <w:t xml:space="preserve">accomplished </w:t>
      </w:r>
      <w:r>
        <w:t xml:space="preserve">by </w:t>
      </w:r>
      <w:r w:rsidR="000407C8">
        <w:t xml:space="preserve">identifying </w:t>
      </w:r>
      <w:r w:rsidR="009F5ABD">
        <w:t>those</w:t>
      </w:r>
      <w:r w:rsidR="000407C8">
        <w:t xml:space="preserve"> </w:t>
      </w:r>
      <w:r>
        <w:t xml:space="preserve">parts of the </w:t>
      </w:r>
      <w:r w:rsidRPr="00EF6B8F">
        <w:t xml:space="preserve">Telstra material </w:t>
      </w:r>
      <w:r w:rsidR="009F5ABD">
        <w:t xml:space="preserve">that </w:t>
      </w:r>
      <w:r w:rsidR="000407C8">
        <w:t xml:space="preserve">are </w:t>
      </w:r>
      <w:r>
        <w:t>commercial</w:t>
      </w:r>
      <w:r w:rsidR="0050672C">
        <w:t xml:space="preserve">ly </w:t>
      </w:r>
      <w:r>
        <w:t>sensitiv</w:t>
      </w:r>
      <w:r w:rsidR="0050672C">
        <w:t>e</w:t>
      </w:r>
      <w:r>
        <w:t xml:space="preserve"> </w:t>
      </w:r>
      <w:r w:rsidR="00255BD6">
        <w:t>in the disclosure notice</w:t>
      </w:r>
      <w:r>
        <w:t>.</w:t>
      </w:r>
    </w:p>
    <w:p w:rsidR="00745A3B" w:rsidRDefault="00745A3B" w:rsidP="00745A3B">
      <w:r>
        <w:t xml:space="preserve">The ACCC considers that </w:t>
      </w:r>
      <w:r w:rsidR="00094907">
        <w:t xml:space="preserve">some of the Telstra material </w:t>
      </w:r>
      <w:r>
        <w:t>should be disclosed</w:t>
      </w:r>
      <w:r w:rsidR="00094907">
        <w:t xml:space="preserve"> to the public </w:t>
      </w:r>
      <w:r w:rsidR="00935308">
        <w:t>pursuant to subsection</w:t>
      </w:r>
      <w:r w:rsidR="00094907" w:rsidRPr="00D11322">
        <w:t xml:space="preserve"> </w:t>
      </w:r>
      <w:proofErr w:type="gramStart"/>
      <w:r w:rsidR="00094907" w:rsidRPr="00D11322">
        <w:t>151BUA(</w:t>
      </w:r>
      <w:proofErr w:type="gramEnd"/>
      <w:r w:rsidR="00094907" w:rsidRPr="00D11322">
        <w:t xml:space="preserve">2)(c) of the CCA. </w:t>
      </w:r>
      <w:r>
        <w:t xml:space="preserve">These parts of the Telstra material are referred to as 'public extracts' in the remainder of this </w:t>
      </w:r>
      <w:r w:rsidR="00094907">
        <w:t>statement of reasons</w:t>
      </w:r>
      <w:r w:rsidR="00255BD6" w:rsidRPr="00255BD6">
        <w:t xml:space="preserve"> </w:t>
      </w:r>
      <w:r w:rsidR="00255BD6">
        <w:t>and are discussed further below</w:t>
      </w:r>
      <w:r>
        <w:t>.</w:t>
      </w:r>
    </w:p>
    <w:p w:rsidR="003325D8" w:rsidRDefault="00094907" w:rsidP="00745A3B">
      <w:r>
        <w:t>T</w:t>
      </w:r>
      <w:r w:rsidR="00745A3B">
        <w:t>he ACCC considers that</w:t>
      </w:r>
      <w:r>
        <w:t xml:space="preserve"> disclosure of the remainder of the Telstra material</w:t>
      </w:r>
      <w:r w:rsidRPr="00094907">
        <w:t xml:space="preserve"> </w:t>
      </w:r>
      <w:r>
        <w:t xml:space="preserve">should be limited to specified persons and subject to restrictions </w:t>
      </w:r>
      <w:r w:rsidR="00935308">
        <w:t>pursuant to subsection</w:t>
      </w:r>
      <w:r w:rsidR="00935308" w:rsidRPr="00D11322">
        <w:t xml:space="preserve"> </w:t>
      </w:r>
      <w:r w:rsidRPr="00D11322">
        <w:t>151BUA(2)(d) of the CCA</w:t>
      </w:r>
      <w:r w:rsidR="00745A3B">
        <w:t>, in order to protect Telstra's legitimate commercial interests</w:t>
      </w:r>
      <w:r w:rsidR="00745A3B" w:rsidRPr="00EF1EEA">
        <w:t>.</w:t>
      </w:r>
      <w:r w:rsidR="00745A3B" w:rsidRPr="003752B7">
        <w:t xml:space="preserve"> These parts of the Telstra material are referred to as '</w:t>
      </w:r>
      <w:r w:rsidR="00745A3B">
        <w:t xml:space="preserve">restricted </w:t>
      </w:r>
      <w:r w:rsidR="00745A3B" w:rsidRPr="003752B7">
        <w:t xml:space="preserve">extracts' in the remainder of this </w:t>
      </w:r>
      <w:r>
        <w:t>statement of reasons</w:t>
      </w:r>
      <w:r w:rsidR="00255BD6" w:rsidRPr="00255BD6">
        <w:t xml:space="preserve"> </w:t>
      </w:r>
      <w:r w:rsidR="00255BD6">
        <w:t>and are discussed further below</w:t>
      </w:r>
      <w:r w:rsidR="00745A3B" w:rsidRPr="003752B7">
        <w:t>.</w:t>
      </w:r>
      <w:r w:rsidR="00FC0FA7" w:rsidRPr="00FC0FA7">
        <w:t xml:space="preserve"> </w:t>
      </w:r>
    </w:p>
    <w:p w:rsidR="00745A3B" w:rsidRDefault="003325D8" w:rsidP="00745A3B">
      <w:r>
        <w:t>T</w:t>
      </w:r>
      <w:r w:rsidR="00FC0FA7">
        <w:t xml:space="preserve">he ACCC </w:t>
      </w:r>
      <w:r>
        <w:t>confirms</w:t>
      </w:r>
      <w:r w:rsidR="00FC0FA7">
        <w:t xml:space="preserve"> that </w:t>
      </w:r>
      <w:r>
        <w:t xml:space="preserve">all of the Telstra </w:t>
      </w:r>
      <w:r w:rsidR="00FC0FA7">
        <w:t xml:space="preserve">material </w:t>
      </w:r>
      <w:r>
        <w:t>can be classified as either public extracts or restricted extracts</w:t>
      </w:r>
      <w:r w:rsidR="00FC0FA7">
        <w:t>.</w:t>
      </w:r>
    </w:p>
    <w:p w:rsidR="004C0F92" w:rsidRPr="00C8177D" w:rsidRDefault="004C0F92" w:rsidP="00745A3B">
      <w:pPr>
        <w:rPr>
          <w:lang w:eastAsia="en-AU"/>
        </w:rPr>
      </w:pPr>
      <w:r>
        <w:t xml:space="preserve">The ACCC notes that submissions </w:t>
      </w:r>
      <w:r w:rsidRPr="003325D8">
        <w:t xml:space="preserve">from </w:t>
      </w:r>
      <w:r w:rsidRPr="00D45B92">
        <w:t>Telstra,</w:t>
      </w:r>
      <w:r>
        <w:t xml:space="preserve"> Macquarie Telecom</w:t>
      </w:r>
      <w:r w:rsidR="00C25C17">
        <w:t>, Optus</w:t>
      </w:r>
      <w:r>
        <w:t xml:space="preserve"> and </w:t>
      </w:r>
      <w:proofErr w:type="spellStart"/>
      <w:r>
        <w:t>iiNet</w:t>
      </w:r>
      <w:proofErr w:type="spellEnd"/>
      <w:r>
        <w:t xml:space="preserve"> agree with </w:t>
      </w:r>
      <w:r w:rsidR="008A40FB">
        <w:t xml:space="preserve">the </w:t>
      </w:r>
      <w:r>
        <w:t xml:space="preserve">approach to </w:t>
      </w:r>
      <w:r w:rsidR="008A40FB">
        <w:t xml:space="preserve">distinguish </w:t>
      </w:r>
      <w:r>
        <w:t>the public extracts and the restricted extracts</w:t>
      </w:r>
      <w:r w:rsidR="008A40FB">
        <w:t xml:space="preserve"> in the disclosure notice</w:t>
      </w:r>
      <w:r>
        <w:t>.</w:t>
      </w:r>
      <w:r>
        <w:rPr>
          <w:rStyle w:val="FootnoteReference"/>
        </w:rPr>
        <w:footnoteReference w:id="9"/>
      </w:r>
    </w:p>
    <w:p w:rsidR="00273F0D" w:rsidRDefault="00745A3B" w:rsidP="00273F0D">
      <w:pPr>
        <w:pStyle w:val="Heading3"/>
      </w:pPr>
      <w:r>
        <w:t>Public extracts</w:t>
      </w:r>
    </w:p>
    <w:p w:rsidR="0087655E" w:rsidRDefault="00273F0D" w:rsidP="00273F0D">
      <w:r>
        <w:t xml:space="preserve">The ACCC </w:t>
      </w:r>
      <w:r w:rsidR="0087655E">
        <w:t>considers that the following parts of the Telstra material are not commercially sensitive and should be included in the public extracts:</w:t>
      </w:r>
    </w:p>
    <w:p w:rsidR="0087655E" w:rsidRDefault="0087655E" w:rsidP="0087655E">
      <w:pPr>
        <w:pStyle w:val="ListBullet"/>
      </w:pPr>
      <w:r>
        <w:t>T</w:t>
      </w:r>
      <w:r w:rsidRPr="00D11322">
        <w:t xml:space="preserve">he </w:t>
      </w:r>
      <w:r w:rsidRPr="00EF6B8F">
        <w:t xml:space="preserve">Telstra material </w:t>
      </w:r>
      <w:r w:rsidRPr="00D11322">
        <w:t xml:space="preserve">contains </w:t>
      </w:r>
      <w:r>
        <w:t xml:space="preserve">some </w:t>
      </w:r>
      <w:r w:rsidRPr="00D11322">
        <w:t>information that is already in the public domain. For example, some of the information is available in Telstra's annual reports or has been released to analysts or the media.</w:t>
      </w:r>
      <w:r>
        <w:rPr>
          <w:rStyle w:val="FootnoteReference"/>
        </w:rPr>
        <w:footnoteReference w:id="10"/>
      </w:r>
      <w:r w:rsidRPr="00D11322">
        <w:t xml:space="preserve"> Similarly, some of the information has been published (albeit in a slightly different form) </w:t>
      </w:r>
      <w:r>
        <w:t xml:space="preserve">by the ACCC </w:t>
      </w:r>
      <w:r w:rsidRPr="00D11322">
        <w:t>under the accounting separation regime</w:t>
      </w:r>
      <w:r>
        <w:t>.</w:t>
      </w:r>
      <w:r>
        <w:rPr>
          <w:rStyle w:val="FootnoteReference"/>
        </w:rPr>
        <w:footnoteReference w:id="11"/>
      </w:r>
      <w:r>
        <w:t xml:space="preserve"> Other information has been published by Telstra or by third parties on the Internet.</w:t>
      </w:r>
      <w:r>
        <w:rPr>
          <w:rStyle w:val="FootnoteReference"/>
        </w:rPr>
        <w:footnoteReference w:id="12"/>
      </w:r>
      <w:r w:rsidRPr="00D11322">
        <w:t xml:space="preserve"> </w:t>
      </w:r>
      <w:r>
        <w:t>Finally, some of the information relates to matters of public record, such as the legal and regulatory obligations that apply to Telstra.</w:t>
      </w:r>
      <w:r w:rsidRPr="00FF58E3">
        <w:t xml:space="preserve"> </w:t>
      </w:r>
      <w:r>
        <w:t xml:space="preserve">The ACCC considers that publicly available information </w:t>
      </w:r>
      <w:r w:rsidR="005A0DA0">
        <w:t xml:space="preserve">is not </w:t>
      </w:r>
      <w:r>
        <w:t>commercially sensitive.</w:t>
      </w:r>
    </w:p>
    <w:p w:rsidR="0087655E" w:rsidRDefault="0087655E" w:rsidP="0087655E">
      <w:pPr>
        <w:pStyle w:val="ListBullet"/>
      </w:pPr>
      <w:r>
        <w:lastRenderedPageBreak/>
        <w:t xml:space="preserve">Some </w:t>
      </w:r>
      <w:r w:rsidRPr="00D11322">
        <w:t xml:space="preserve">of the </w:t>
      </w:r>
      <w:r w:rsidRPr="00EF6B8F">
        <w:t xml:space="preserve">Telstra material </w:t>
      </w:r>
      <w:r>
        <w:t xml:space="preserve">consists of </w:t>
      </w:r>
      <w:r w:rsidRPr="00D11322">
        <w:t xml:space="preserve">information </w:t>
      </w:r>
      <w:r>
        <w:t>that is not specific to Telstra.</w:t>
      </w:r>
      <w:r w:rsidRPr="00D11322">
        <w:t xml:space="preserve"> </w:t>
      </w:r>
      <w:r>
        <w:t xml:space="preserve">For example, </w:t>
      </w:r>
      <w:r w:rsidRPr="00D3070B">
        <w:t xml:space="preserve">CPI estimates and the methodology by which they were derived </w:t>
      </w:r>
      <w:r>
        <w:t xml:space="preserve">by Telstra </w:t>
      </w:r>
      <w:r w:rsidRPr="00D3070B">
        <w:t xml:space="preserve">are </w:t>
      </w:r>
      <w:r>
        <w:t xml:space="preserve">included in the Telstra material. The ACCC considers that national </w:t>
      </w:r>
      <w:r w:rsidRPr="002808E5">
        <w:t xml:space="preserve">economic factors </w:t>
      </w:r>
      <w:r>
        <w:t xml:space="preserve">are </w:t>
      </w:r>
      <w:r w:rsidR="005A0DA0">
        <w:t xml:space="preserve">not </w:t>
      </w:r>
      <w:r>
        <w:t xml:space="preserve">commercially </w:t>
      </w:r>
      <w:r w:rsidRPr="00D3070B">
        <w:t>sensitive.</w:t>
      </w:r>
      <w:r>
        <w:t xml:space="preserve"> </w:t>
      </w:r>
    </w:p>
    <w:p w:rsidR="0087655E" w:rsidRDefault="0087655E" w:rsidP="0087655E">
      <w:pPr>
        <w:pStyle w:val="ListBullet"/>
      </w:pPr>
      <w:r>
        <w:t>Disclosure of the general assumptions and the high-level approach used to prepare the Telstra material for lodgement to the ACCC is unlikely to reveal sensitive information about Telstra's operations or commercial intentions.</w:t>
      </w:r>
      <w:r w:rsidR="005A0DA0">
        <w:t xml:space="preserve"> The ACCC therefore considers that general assumptions and the high-level approach used by Telstra </w:t>
      </w:r>
      <w:r w:rsidR="005F2FB7">
        <w:t>are</w:t>
      </w:r>
      <w:r w:rsidR="005A0DA0">
        <w:t xml:space="preserve"> not commercially sensitive.</w:t>
      </w:r>
    </w:p>
    <w:p w:rsidR="00D85EB0" w:rsidRDefault="00D85EB0" w:rsidP="00D85EB0">
      <w:r>
        <w:t>The ACCC considers that information that is not commercially sensitive should be disclosed to the public</w:t>
      </w:r>
      <w:r w:rsidRPr="00D85EB0">
        <w:t xml:space="preserve"> </w:t>
      </w:r>
      <w:r w:rsidR="00935308">
        <w:t>pursuant to subsection</w:t>
      </w:r>
      <w:r>
        <w:t xml:space="preserve"> </w:t>
      </w:r>
      <w:proofErr w:type="gramStart"/>
      <w:r>
        <w:t>151BUA(</w:t>
      </w:r>
      <w:proofErr w:type="gramEnd"/>
      <w:r>
        <w:t xml:space="preserve">2)(c) of the CCA. Given that there is little or no likelihood of harm to Telstra's legitimate commercial interests, </w:t>
      </w:r>
      <w:r w:rsidRPr="0016093B">
        <w:t xml:space="preserve">the </w:t>
      </w:r>
      <w:r>
        <w:t>balance clearly tilts towards the public benefits of disclosure.</w:t>
      </w:r>
      <w:r w:rsidR="008C6683">
        <w:t xml:space="preserve"> This position was supported in submissions by </w:t>
      </w:r>
      <w:r w:rsidR="00CB39FF">
        <w:t xml:space="preserve">Telstra, </w:t>
      </w:r>
      <w:r w:rsidR="008C6683">
        <w:t xml:space="preserve">Optus, </w:t>
      </w:r>
      <w:proofErr w:type="spellStart"/>
      <w:r w:rsidR="008C6683">
        <w:t>iiNet</w:t>
      </w:r>
      <w:proofErr w:type="spellEnd"/>
      <w:r w:rsidR="008C6683">
        <w:t xml:space="preserve"> and Macquarie Telecom.</w:t>
      </w:r>
      <w:r w:rsidR="008C6683">
        <w:rPr>
          <w:rStyle w:val="FootnoteReference"/>
        </w:rPr>
        <w:footnoteReference w:id="13"/>
      </w:r>
    </w:p>
    <w:p w:rsidR="0087655E" w:rsidRDefault="00E22A90" w:rsidP="0087655E">
      <w:r>
        <w:t xml:space="preserve">The ACCC will </w:t>
      </w:r>
      <w:r w:rsidR="0087655E">
        <w:t>make the public extracts of the Telstra material available for inspection by appointment at the Melbourne</w:t>
      </w:r>
      <w:r>
        <w:t>, Canberra and Sydney</w:t>
      </w:r>
      <w:r w:rsidR="0087655E">
        <w:t xml:space="preserve"> offices of the ACCC during standard business hours, and $1 per page for purchase of a physical copy.</w:t>
      </w:r>
      <w:r>
        <w:rPr>
          <w:rStyle w:val="FootnoteReference"/>
        </w:rPr>
        <w:footnoteReference w:id="14"/>
      </w:r>
      <w:r w:rsidR="0087655E">
        <w:t xml:space="preserve"> The ACCC also proposes to make the public extracts available for inspection and purchase on its website at no charge.</w:t>
      </w:r>
    </w:p>
    <w:p w:rsidR="0087655E" w:rsidRDefault="0087655E" w:rsidP="0087655E">
      <w:r>
        <w:t xml:space="preserve">Electronic copies may include a copy of the Excel </w:t>
      </w:r>
      <w:r w:rsidR="00F610DF">
        <w:t xml:space="preserve">workbook </w:t>
      </w:r>
      <w:r>
        <w:t>containing the FLSM model and the relevant level of data from the extracts.</w:t>
      </w:r>
    </w:p>
    <w:p w:rsidR="00273F0D" w:rsidRDefault="00745A3B" w:rsidP="00273F0D">
      <w:pPr>
        <w:pStyle w:val="Heading3"/>
      </w:pPr>
      <w:r>
        <w:t>Restricted extracts</w:t>
      </w:r>
    </w:p>
    <w:p w:rsidR="00273F0D" w:rsidRDefault="00D85EB0" w:rsidP="00D85EB0">
      <w:r>
        <w:t>The ACCC considers that the following parts of the Telstra material are commercially sensitive and should be included in the restricted extracts:</w:t>
      </w:r>
    </w:p>
    <w:p w:rsidR="00273F0D" w:rsidRDefault="00273F0D" w:rsidP="000B494A">
      <w:pPr>
        <w:pStyle w:val="ListBullet"/>
        <w:tabs>
          <w:tab w:val="clear" w:pos="360"/>
          <w:tab w:val="num" w:pos="717"/>
        </w:tabs>
      </w:pPr>
      <w:r>
        <w:t>Actual capital expenditure, operati</w:t>
      </w:r>
      <w:r w:rsidR="00810DC8">
        <w:t>ng</w:t>
      </w:r>
      <w:r>
        <w:t xml:space="preserve"> expenditure and demand </w:t>
      </w:r>
      <w:r w:rsidR="001B02ED">
        <w:t xml:space="preserve">data </w:t>
      </w:r>
    </w:p>
    <w:p w:rsidR="008A53BE" w:rsidRDefault="00273F0D" w:rsidP="00D45B92">
      <w:pPr>
        <w:pStyle w:val="ListBullet"/>
        <w:tabs>
          <w:tab w:val="clear" w:pos="360"/>
          <w:tab w:val="num" w:pos="717"/>
        </w:tabs>
        <w:ind w:left="357" w:hanging="357"/>
      </w:pPr>
      <w:r>
        <w:t xml:space="preserve">Forecast capital </w:t>
      </w:r>
      <w:r w:rsidRPr="00FD5CF2">
        <w:t xml:space="preserve">expenditure, </w:t>
      </w:r>
      <w:r w:rsidR="00935308">
        <w:t xml:space="preserve">operating expenditure </w:t>
      </w:r>
      <w:r w:rsidRPr="00FD5CF2">
        <w:t>and demand data</w:t>
      </w:r>
      <w:r>
        <w:t xml:space="preserve"> for 2013</w:t>
      </w:r>
      <w:r w:rsidR="00F854BF">
        <w:noBreakHyphen/>
        <w:t>14</w:t>
      </w:r>
      <w:r>
        <w:t xml:space="preserve"> and the next regulatory </w:t>
      </w:r>
      <w:r w:rsidR="005F2FB7">
        <w:t>period. Specifically</w:t>
      </w:r>
      <w:r w:rsidR="008A53BE">
        <w:t xml:space="preserve"> Excel workbook (provided 25 November 2013) including:</w:t>
      </w:r>
    </w:p>
    <w:p w:rsidR="008A53BE" w:rsidRDefault="008A53BE" w:rsidP="00D45B92">
      <w:pPr>
        <w:pStyle w:val="ListBullet"/>
        <w:tabs>
          <w:tab w:val="clear" w:pos="360"/>
          <w:tab w:val="num" w:pos="717"/>
        </w:tabs>
        <w:ind w:left="717"/>
      </w:pPr>
      <w:r>
        <w:t>Table B1: Historic cost by vintage</w:t>
      </w:r>
    </w:p>
    <w:p w:rsidR="008A53BE" w:rsidRDefault="008A53BE" w:rsidP="00D45B92">
      <w:pPr>
        <w:pStyle w:val="ListBullet"/>
        <w:tabs>
          <w:tab w:val="clear" w:pos="360"/>
          <w:tab w:val="num" w:pos="717"/>
        </w:tabs>
        <w:ind w:left="717"/>
      </w:pPr>
      <w:r>
        <w:t>Table B2: Written down values by vintage</w:t>
      </w:r>
    </w:p>
    <w:p w:rsidR="008A53BE" w:rsidRDefault="008A53BE" w:rsidP="00D45B92">
      <w:pPr>
        <w:pStyle w:val="ListBullet"/>
        <w:tabs>
          <w:tab w:val="clear" w:pos="360"/>
          <w:tab w:val="num" w:pos="717"/>
        </w:tabs>
        <w:ind w:left="717"/>
      </w:pPr>
      <w:r>
        <w:t>Table C1: Forecast Operating Expenditure for the Regulatory Period</w:t>
      </w:r>
    </w:p>
    <w:p w:rsidR="008A53BE" w:rsidRDefault="008A53BE" w:rsidP="00D45B92">
      <w:pPr>
        <w:pStyle w:val="ListBullet"/>
        <w:tabs>
          <w:tab w:val="clear" w:pos="360"/>
          <w:tab w:val="num" w:pos="717"/>
        </w:tabs>
        <w:ind w:left="717"/>
      </w:pPr>
      <w:r>
        <w:lastRenderedPageBreak/>
        <w:t>Table C2: Forecast Capital Expenditure for the Regulatory Period</w:t>
      </w:r>
    </w:p>
    <w:p w:rsidR="008A53BE" w:rsidRDefault="008A53BE" w:rsidP="00D45B92">
      <w:pPr>
        <w:pStyle w:val="ListBullet"/>
        <w:tabs>
          <w:tab w:val="clear" w:pos="360"/>
          <w:tab w:val="num" w:pos="717"/>
        </w:tabs>
        <w:ind w:left="717"/>
      </w:pPr>
      <w:r>
        <w:t xml:space="preserve">Table C3: Total </w:t>
      </w:r>
      <w:r w:rsidR="005F2FB7">
        <w:t>asset</w:t>
      </w:r>
      <w:r>
        <w:t xml:space="preserve"> lives for forecast Capital Expenditure during the Regulatory Period</w:t>
      </w:r>
    </w:p>
    <w:p w:rsidR="008A53BE" w:rsidRDefault="008A53BE" w:rsidP="00D45B92">
      <w:pPr>
        <w:pStyle w:val="ListBullet"/>
        <w:tabs>
          <w:tab w:val="clear" w:pos="360"/>
          <w:tab w:val="num" w:pos="717"/>
        </w:tabs>
        <w:ind w:left="717"/>
      </w:pPr>
      <w:r>
        <w:t>Table C4: Forecast Demand for the Regulatory Period</w:t>
      </w:r>
    </w:p>
    <w:p w:rsidR="00627246" w:rsidRDefault="00273F0D" w:rsidP="000B494A">
      <w:pPr>
        <w:pStyle w:val="ListBullet"/>
        <w:tabs>
          <w:tab w:val="clear" w:pos="360"/>
          <w:tab w:val="num" w:pos="717"/>
        </w:tabs>
      </w:pPr>
      <w:r>
        <w:t xml:space="preserve">Proprietary information </w:t>
      </w:r>
    </w:p>
    <w:p w:rsidR="00273F0D" w:rsidRDefault="00273F0D" w:rsidP="000B494A">
      <w:pPr>
        <w:pStyle w:val="ListBullet"/>
        <w:tabs>
          <w:tab w:val="clear" w:pos="360"/>
          <w:tab w:val="num" w:pos="717"/>
        </w:tabs>
      </w:pPr>
      <w:r>
        <w:t>Fault data.</w:t>
      </w:r>
    </w:p>
    <w:p w:rsidR="00806CEA" w:rsidRDefault="00627246" w:rsidP="00273F0D">
      <w:r>
        <w:t xml:space="preserve">The ACCC accepts Telstra’s submission that the </w:t>
      </w:r>
      <w:r w:rsidR="00273F0D">
        <w:t xml:space="preserve">public </w:t>
      </w:r>
      <w:r w:rsidR="00273F0D" w:rsidRPr="0016093B">
        <w:t xml:space="preserve">disclosure </w:t>
      </w:r>
      <w:r w:rsidR="00273F0D">
        <w:t xml:space="preserve">of </w:t>
      </w:r>
      <w:r>
        <w:t xml:space="preserve">this </w:t>
      </w:r>
      <w:r w:rsidR="00273F0D">
        <w:t xml:space="preserve">commercially sensitive information </w:t>
      </w:r>
      <w:r w:rsidR="00806CEA">
        <w:t>c</w:t>
      </w:r>
      <w:r w:rsidR="00273F0D" w:rsidRPr="0016093B">
        <w:t xml:space="preserve">ould give its competitors </w:t>
      </w:r>
      <w:r w:rsidR="005A0DA0">
        <w:t xml:space="preserve">an </w:t>
      </w:r>
      <w:r w:rsidR="00273F0D" w:rsidRPr="0016093B">
        <w:t>unfair advantage.</w:t>
      </w:r>
      <w:r>
        <w:rPr>
          <w:rStyle w:val="FootnoteReference"/>
        </w:rPr>
        <w:footnoteReference w:id="15"/>
      </w:r>
      <w:r w:rsidR="00806CEA">
        <w:t xml:space="preserve"> T</w:t>
      </w:r>
      <w:r w:rsidR="00273F0D">
        <w:t>here is a risk of harm to Telstra's ability to compete with access seekers in downstream markets for voice and broadband services.</w:t>
      </w:r>
      <w:r w:rsidR="00806CEA">
        <w:t xml:space="preserve"> The ACCC also accepts Telstra’s submission that there may also be an adverse impact on its contract negotiations with suppliers, wholesale customers and NBN Co.</w:t>
      </w:r>
      <w:r w:rsidR="00806CEA">
        <w:rPr>
          <w:rStyle w:val="FootnoteReference"/>
        </w:rPr>
        <w:footnoteReference w:id="16"/>
      </w:r>
    </w:p>
    <w:p w:rsidR="00273F0D" w:rsidRDefault="00273F0D" w:rsidP="00273F0D">
      <w:r>
        <w:t xml:space="preserve">The ACCC </w:t>
      </w:r>
      <w:r w:rsidR="005A0DA0">
        <w:t xml:space="preserve">also </w:t>
      </w:r>
      <w:r w:rsidR="00F854BF">
        <w:t>accepts</w:t>
      </w:r>
      <w:r>
        <w:t xml:space="preserve"> that there is some potential for confusion due to the different methods for preparation of BBM RKR data and Telstra's published financial statements, for example, due to t</w:t>
      </w:r>
      <w:r w:rsidRPr="00A81E02">
        <w:t>he longer-range forecasts required by the BBM RKR</w:t>
      </w:r>
      <w:r>
        <w:t xml:space="preserve">. </w:t>
      </w:r>
      <w:r w:rsidR="00F854BF">
        <w:t xml:space="preserve">Any such confusion </w:t>
      </w:r>
      <w:r>
        <w:t xml:space="preserve">could </w:t>
      </w:r>
      <w:r w:rsidR="006F7628">
        <w:t>impact</w:t>
      </w:r>
      <w:r>
        <w:t xml:space="preserve"> on</w:t>
      </w:r>
      <w:r w:rsidRPr="00A81E02">
        <w:t xml:space="preserve"> Telstra's share price </w:t>
      </w:r>
      <w:r>
        <w:t xml:space="preserve">and ASX reporting obligations </w:t>
      </w:r>
      <w:r w:rsidRPr="00A81E02">
        <w:t>if disclosed publicly.</w:t>
      </w:r>
    </w:p>
    <w:p w:rsidR="00051B22" w:rsidRDefault="00051B22" w:rsidP="00051B22">
      <w:r>
        <w:t>The ACCC notes the submission from Macquarie Telecom, which recommends that the ACCC closely scrutinise Telstra’s claims in relation to confidentiality and the commercial harm that would arise from disclosure.</w:t>
      </w:r>
      <w:r>
        <w:rPr>
          <w:rStyle w:val="FootnoteReference"/>
        </w:rPr>
        <w:footnoteReference w:id="17"/>
      </w:r>
      <w:r>
        <w:t xml:space="preserve"> Macquarie Telecom submits that the disclosure of the restricted extracts should not cause material harm to Telstra because Telstra has a dominant position in the fixed services business, which Telstra “has effectively agreed to decommission in its $11 billion deal with the government”.</w:t>
      </w:r>
      <w:r>
        <w:rPr>
          <w:rStyle w:val="FootnoteReference"/>
        </w:rPr>
        <w:footnoteReference w:id="18"/>
      </w:r>
      <w:r>
        <w:t xml:space="preserve"> The ACCC has closely scrutinised Telstra’s claims in making this decision, and remains of the view that disclosure of the restricted extracts could harm Telstra’s legitimate commercial interests in the ongoing renegotiations with the government and NBN Co, as well as its ability to compete in downstream markets.</w:t>
      </w:r>
    </w:p>
    <w:p w:rsidR="00993564" w:rsidRDefault="00051B22" w:rsidP="00273F0D">
      <w:r>
        <w:t>T</w:t>
      </w:r>
      <w:r w:rsidR="00993564">
        <w:t>he ACCC’s view is that the four categories of information specified above are likely to be commercially sensitive and could cause harm to Telstra’s legitimate commercial interests. Hence</w:t>
      </w:r>
      <w:r w:rsidR="008C5AF8">
        <w:t>, this information</w:t>
      </w:r>
      <w:r w:rsidR="00993564">
        <w:t xml:space="preserve"> should not be disclosed without restrictions.</w:t>
      </w:r>
    </w:p>
    <w:p w:rsidR="00F038BA" w:rsidRDefault="00273F0D" w:rsidP="00273F0D">
      <w:r>
        <w:t xml:space="preserve">Subsection </w:t>
      </w:r>
      <w:proofErr w:type="gramStart"/>
      <w:r>
        <w:t>151BUA(</w:t>
      </w:r>
      <w:proofErr w:type="gramEnd"/>
      <w:r>
        <w:t>2)(d) of the CCA provides a way for the ACCC to impose restrictions on the persons to whom the information is disclosed and to require those persons to comply with specified terms and conditions.</w:t>
      </w:r>
      <w:r w:rsidR="00512667" w:rsidRPr="00512667">
        <w:t xml:space="preserve"> </w:t>
      </w:r>
      <w:r w:rsidR="00512667">
        <w:t>The ACCC considers that the harm to Telstra from disclosure of the commercially sensitive information in the Telstra material could be mitigated by placing restrictions on</w:t>
      </w:r>
      <w:r w:rsidR="00F038BA">
        <w:t>:</w:t>
      </w:r>
    </w:p>
    <w:p w:rsidR="00F038BA" w:rsidRDefault="00454AC8" w:rsidP="00F038BA">
      <w:pPr>
        <w:pStyle w:val="ListBullet"/>
      </w:pPr>
      <w:r>
        <w:t>t</w:t>
      </w:r>
      <w:r w:rsidR="00F038BA">
        <w:t>he persons to whom the restricted extracts will be disclosed</w:t>
      </w:r>
    </w:p>
    <w:p w:rsidR="00273F0D" w:rsidRDefault="00454AC8" w:rsidP="00F038BA">
      <w:pPr>
        <w:pStyle w:val="ListBullet"/>
      </w:pPr>
      <w:proofErr w:type="gramStart"/>
      <w:r>
        <w:t>t</w:t>
      </w:r>
      <w:r w:rsidR="00512667">
        <w:t>he</w:t>
      </w:r>
      <w:proofErr w:type="gramEnd"/>
      <w:r w:rsidR="00512667">
        <w:t xml:space="preserve"> way in which the information is disclosed</w:t>
      </w:r>
      <w:r w:rsidR="00F038BA">
        <w:t xml:space="preserve"> through terms and conditions</w:t>
      </w:r>
      <w:r w:rsidR="00512667">
        <w:t>.</w:t>
      </w:r>
    </w:p>
    <w:p w:rsidR="00512667" w:rsidRDefault="00512667" w:rsidP="00512667">
      <w:pPr>
        <w:pStyle w:val="Heading4"/>
      </w:pPr>
      <w:r>
        <w:lastRenderedPageBreak/>
        <w:t>Persons to whom the restricted extracts will be disclosed</w:t>
      </w:r>
    </w:p>
    <w:p w:rsidR="00273F0D" w:rsidRDefault="00512667" w:rsidP="00273F0D">
      <w:r>
        <w:t>T</w:t>
      </w:r>
      <w:r w:rsidR="00273F0D">
        <w:t xml:space="preserve">he ACCC notes that the main purpose of the disclosure is to </w:t>
      </w:r>
      <w:r w:rsidR="005A0DA0">
        <w:t xml:space="preserve">enable </w:t>
      </w:r>
      <w:r w:rsidR="00273F0D">
        <w:t xml:space="preserve">stakeholders to make </w:t>
      </w:r>
      <w:r w:rsidR="005A0DA0">
        <w:t xml:space="preserve">informed </w:t>
      </w:r>
      <w:r w:rsidR="00273F0D">
        <w:t xml:space="preserve">submissions </w:t>
      </w:r>
      <w:r w:rsidR="005A0DA0">
        <w:t>to the FAD Inquiry</w:t>
      </w:r>
      <w:r w:rsidR="00273F0D">
        <w:t xml:space="preserve">. In this way, disclosure </w:t>
      </w:r>
      <w:r w:rsidR="005A0DA0">
        <w:t xml:space="preserve">reduces issues of information asymmetries and </w:t>
      </w:r>
      <w:r w:rsidR="00273F0D">
        <w:t xml:space="preserve">will </w:t>
      </w:r>
      <w:r w:rsidR="005A0DA0">
        <w:t xml:space="preserve">ultimately benefit </w:t>
      </w:r>
      <w:r w:rsidR="00273F0D">
        <w:t xml:space="preserve">the public </w:t>
      </w:r>
      <w:r w:rsidR="005A0DA0">
        <w:t xml:space="preserve">by </w:t>
      </w:r>
      <w:r w:rsidR="00273F0D">
        <w:t>promoting competition in markets for downstream services and facilitating the operation of Part XIC of the CCA.</w:t>
      </w:r>
    </w:p>
    <w:p w:rsidR="00273F0D" w:rsidRDefault="00273F0D" w:rsidP="00273F0D">
      <w:r>
        <w:t>T</w:t>
      </w:r>
      <w:r w:rsidRPr="00411DBC">
        <w:t>he ACCC notes</w:t>
      </w:r>
      <w:r>
        <w:t xml:space="preserve"> that</w:t>
      </w:r>
      <w:r w:rsidRPr="00411DBC">
        <w:t xml:space="preserve"> the determination of prices using the FLSM is a complex and technical process, requiring substantial knowledge of the operations of a carrier and economic forecasting.</w:t>
      </w:r>
      <w:r>
        <w:t xml:space="preserve"> </w:t>
      </w:r>
      <w:r w:rsidRPr="009206A4">
        <w:t xml:space="preserve">The ACCC notes that the Telstra material contains quantitative data as well as an explanation of the </w:t>
      </w:r>
      <w:r>
        <w:t xml:space="preserve">detailed </w:t>
      </w:r>
      <w:r w:rsidRPr="009206A4">
        <w:t xml:space="preserve">methodology and assumptions on which that data has been derived </w:t>
      </w:r>
      <w:r w:rsidR="00F854BF">
        <w:t>using</w:t>
      </w:r>
      <w:r w:rsidR="00F854BF" w:rsidRPr="009206A4">
        <w:t xml:space="preserve"> </w:t>
      </w:r>
      <w:r w:rsidRPr="009206A4">
        <w:t xml:space="preserve">Telstra's internal systems. The ACCC considers that it would be valuable for stakeholders with expertise in forecasting </w:t>
      </w:r>
      <w:r w:rsidR="00BA7577">
        <w:t xml:space="preserve">the demand for telecommunications services </w:t>
      </w:r>
      <w:r w:rsidRPr="009206A4">
        <w:t>and estimating</w:t>
      </w:r>
      <w:r w:rsidR="00F854BF">
        <w:t xml:space="preserve"> the</w:t>
      </w:r>
      <w:r w:rsidRPr="009206A4">
        <w:t xml:space="preserve"> costs </w:t>
      </w:r>
      <w:r>
        <w:t xml:space="preserve">of operating telecommunications networks </w:t>
      </w:r>
      <w:r w:rsidRPr="009206A4">
        <w:t xml:space="preserve">to comment on this data. </w:t>
      </w:r>
    </w:p>
    <w:p w:rsidR="00273F0D" w:rsidRDefault="00273F0D" w:rsidP="00273F0D">
      <w:r w:rsidRPr="00D11322">
        <w:t xml:space="preserve">The ACCC considers that </w:t>
      </w:r>
      <w:r w:rsidR="00512667">
        <w:t xml:space="preserve">the </w:t>
      </w:r>
      <w:r>
        <w:t xml:space="preserve">class of </w:t>
      </w:r>
      <w:r w:rsidRPr="00D11322">
        <w:t xml:space="preserve">persons </w:t>
      </w:r>
      <w:r w:rsidR="00512667">
        <w:t xml:space="preserve">most </w:t>
      </w:r>
      <w:r w:rsidRPr="00D11322">
        <w:t xml:space="preserve">likely to have the expertise to assist the ACCC in this process </w:t>
      </w:r>
      <w:r>
        <w:t>is the class comprised of</w:t>
      </w:r>
      <w:r w:rsidRPr="00D11322">
        <w:t xml:space="preserve"> access seekers.</w:t>
      </w:r>
      <w:r w:rsidR="00512667">
        <w:rPr>
          <w:rStyle w:val="FootnoteReference"/>
        </w:rPr>
        <w:footnoteReference w:id="19"/>
      </w:r>
      <w:r w:rsidR="00512667" w:rsidRPr="00512667">
        <w:t xml:space="preserve"> </w:t>
      </w:r>
      <w:r w:rsidR="000D615A">
        <w:t xml:space="preserve"> </w:t>
      </w:r>
      <w:r w:rsidR="00512667">
        <w:t xml:space="preserve">The ACCC considers that the stakeholders who could best assist the ACCC in its task are access seekers. </w:t>
      </w:r>
      <w:r w:rsidRPr="00D11322">
        <w:t>Access seekers, being carriers or carriage service providers, are likely to have experience and knowledge of the costs of building and operating telecommunications networks. This experience and knowledge</w:t>
      </w:r>
      <w:r w:rsidR="007C3C09">
        <w:t xml:space="preserve"> particularly in demand forecasting</w:t>
      </w:r>
      <w:r w:rsidRPr="00D11322">
        <w:t xml:space="preserve"> is likely to enable access seekers to review and critique the information in the </w:t>
      </w:r>
      <w:r w:rsidRPr="00EF6B8F">
        <w:t>Telstra material</w:t>
      </w:r>
      <w:r w:rsidRPr="00D11322">
        <w:t xml:space="preserve"> and to provide additional information that may assist the ACCC.</w:t>
      </w:r>
      <w:r>
        <w:t xml:space="preserve"> Access seekers have also demonstrated their interest in participating in previous ACCC inquiries into the pricing of regulated services and making submissions on the economic models and inputs used to determine prices.</w:t>
      </w:r>
      <w:r w:rsidRPr="00772728">
        <w:t xml:space="preserve"> </w:t>
      </w:r>
      <w:r>
        <w:t>In addition, access seekers are the persons whose interests could be most directly affected by the pricing of the fixed line services other than Telstra, and who should therefore have the opportunity to make well-informed submissions to the ACCC.</w:t>
      </w:r>
    </w:p>
    <w:p w:rsidR="00273F0D" w:rsidRDefault="00273F0D" w:rsidP="00273F0D">
      <w:r>
        <w:t xml:space="preserve">The ACCC </w:t>
      </w:r>
      <w:r w:rsidR="005A0DA0">
        <w:t xml:space="preserve">has </w:t>
      </w:r>
      <w:r w:rsidR="0043523F">
        <w:t xml:space="preserve">also </w:t>
      </w:r>
      <w:r>
        <w:t>incorporate</w:t>
      </w:r>
      <w:r w:rsidR="005A0DA0">
        <w:t>d</w:t>
      </w:r>
      <w:r>
        <w:t xml:space="preserve"> the </w:t>
      </w:r>
      <w:r w:rsidR="00F875AC">
        <w:t xml:space="preserve">expression </w:t>
      </w:r>
      <w:r>
        <w:t xml:space="preserve">‘access seeker’ </w:t>
      </w:r>
      <w:r w:rsidR="00F875AC">
        <w:t xml:space="preserve">as defined </w:t>
      </w:r>
      <w:r>
        <w:t xml:space="preserve">in section 152AG in Part XIC of the CCA. The ACCC considers that the use of this definition ensures consistency with the object and structure of Part XIC for the purposes of the public inquiry, as well as being well understood by stakeholders. </w:t>
      </w:r>
    </w:p>
    <w:p w:rsidR="00273F0D" w:rsidRDefault="00273F0D" w:rsidP="00273F0D">
      <w:r w:rsidRPr="00D11322">
        <w:t xml:space="preserve">However, the ACCC notes that access seekers are direct competitors of Telstra in downstream markets for fixed line services. There is therefore a risk that access seekers could use the information in the </w:t>
      </w:r>
      <w:r w:rsidRPr="00EF6B8F">
        <w:t>Telstra material</w:t>
      </w:r>
      <w:r w:rsidRPr="00D11322">
        <w:t>, whether deliberately or inadvertently, to gain a competitive advantage in downstream markets. The ACCC considers that this has the potential to adversely affect Telstra's legitimate commercial interest</w:t>
      </w:r>
      <w:r>
        <w:t xml:space="preserve"> in preserving its ability to compete in downstream markets</w:t>
      </w:r>
      <w:r w:rsidRPr="00D11322">
        <w:t>.</w:t>
      </w:r>
    </w:p>
    <w:p w:rsidR="00273F0D" w:rsidRDefault="00F875AC" w:rsidP="00273F0D">
      <w:r>
        <w:t>To address this risk</w:t>
      </w:r>
      <w:r w:rsidR="00273F0D" w:rsidRPr="00D11322">
        <w:t xml:space="preserve">, the ACCC </w:t>
      </w:r>
      <w:r w:rsidR="0099367E">
        <w:t>has</w:t>
      </w:r>
      <w:r w:rsidR="00897A13">
        <w:t xml:space="preserve"> </w:t>
      </w:r>
      <w:r w:rsidR="00273F0D" w:rsidRPr="00D11322">
        <w:t>limit</w:t>
      </w:r>
      <w:r w:rsidR="0099367E">
        <w:t>ed</w:t>
      </w:r>
      <w:r w:rsidR="00273F0D" w:rsidRPr="00D11322">
        <w:t xml:space="preserve"> the class of persons to those </w:t>
      </w:r>
      <w:r w:rsidR="00273F0D">
        <w:t>who require access to the Telstra material</w:t>
      </w:r>
      <w:r w:rsidR="0099367E">
        <w:t xml:space="preserve"> to make submissions to the FAD inquiry</w:t>
      </w:r>
      <w:r w:rsidR="00273F0D">
        <w:t xml:space="preserve">. Specifically, the ACCC considers that this class comprises </w:t>
      </w:r>
      <w:r w:rsidR="00273F0D" w:rsidRPr="00D11322">
        <w:t>employees of access seekers responsible for managing the regulatory or legal affairs of access seekers (regulatory</w:t>
      </w:r>
      <w:r w:rsidR="00541847">
        <w:t xml:space="preserve"> </w:t>
      </w:r>
      <w:r w:rsidR="00BA7577">
        <w:t xml:space="preserve">and </w:t>
      </w:r>
      <w:r w:rsidR="00273F0D" w:rsidRPr="00D11322">
        <w:t xml:space="preserve">legal </w:t>
      </w:r>
      <w:r w:rsidR="00273F0D">
        <w:t>staff</w:t>
      </w:r>
      <w:r w:rsidR="00273F0D" w:rsidRPr="00D11322">
        <w:t xml:space="preserve">). </w:t>
      </w:r>
      <w:r w:rsidR="00273F0D">
        <w:t>T</w:t>
      </w:r>
      <w:r w:rsidR="00273F0D" w:rsidRPr="00D11322">
        <w:t xml:space="preserve">he ACCC </w:t>
      </w:r>
      <w:r w:rsidR="00273F0D">
        <w:t xml:space="preserve">also </w:t>
      </w:r>
      <w:r w:rsidR="00273F0D" w:rsidRPr="00D11322">
        <w:t xml:space="preserve">considers that </w:t>
      </w:r>
      <w:r w:rsidR="00DB0BE0">
        <w:t>access seekers</w:t>
      </w:r>
      <w:r w:rsidR="00273F0D" w:rsidRPr="00D11322">
        <w:t xml:space="preserve"> should be permitted to engage consultants with expertise in the telecommunications industry in order to assist with the preparation of submissions that may require complex economic </w:t>
      </w:r>
      <w:r w:rsidR="00103894">
        <w:t xml:space="preserve">and engineering </w:t>
      </w:r>
      <w:r w:rsidR="00273F0D" w:rsidRPr="00D11322">
        <w:t>analysis.</w:t>
      </w:r>
      <w:r w:rsidR="001F256A">
        <w:t xml:space="preserve"> </w:t>
      </w:r>
    </w:p>
    <w:p w:rsidR="00273F0D" w:rsidRDefault="00273F0D" w:rsidP="00273F0D">
      <w:r>
        <w:lastRenderedPageBreak/>
        <w:t>To the extent that a member of a regulatory</w:t>
      </w:r>
      <w:r w:rsidR="00541847">
        <w:t xml:space="preserve"> </w:t>
      </w:r>
      <w:r w:rsidR="00E463D0">
        <w:t xml:space="preserve">or </w:t>
      </w:r>
      <w:r>
        <w:t xml:space="preserve">legal team also has commercial or operational responsibilities relating to services delivered over the copper network, the ACCC </w:t>
      </w:r>
      <w:r w:rsidR="00F875AC">
        <w:t xml:space="preserve">recognises </w:t>
      </w:r>
      <w:r>
        <w:t xml:space="preserve">that there </w:t>
      </w:r>
      <w:r w:rsidR="00904454">
        <w:t xml:space="preserve">is </w:t>
      </w:r>
      <w:r w:rsidR="00F875AC">
        <w:t xml:space="preserve">also the </w:t>
      </w:r>
      <w:r>
        <w:t>risk</w:t>
      </w:r>
      <w:r w:rsidR="00F875AC">
        <w:t xml:space="preserve"> to </w:t>
      </w:r>
      <w:r>
        <w:t>Telstra's legitimate commercial interests</w:t>
      </w:r>
      <w:r w:rsidR="00F875AC">
        <w:t xml:space="preserve"> that </w:t>
      </w:r>
      <w:r>
        <w:t xml:space="preserve">commercially sensitive information </w:t>
      </w:r>
      <w:r w:rsidR="004B006C">
        <w:t xml:space="preserve">may </w:t>
      </w:r>
      <w:r>
        <w:t>be used for commercial purposes</w:t>
      </w:r>
      <w:r w:rsidR="00C66841">
        <w:t xml:space="preserve">. </w:t>
      </w:r>
      <w:r>
        <w:t>For this</w:t>
      </w:r>
      <w:r w:rsidR="00E46F5E">
        <w:t xml:space="preserve"> reason</w:t>
      </w:r>
      <w:r>
        <w:t>,</w:t>
      </w:r>
      <w:r w:rsidR="00A853E8">
        <w:t xml:space="preserve"> the</w:t>
      </w:r>
      <w:r>
        <w:t xml:space="preserve"> ACCC </w:t>
      </w:r>
      <w:r w:rsidR="00F875AC">
        <w:t>has</w:t>
      </w:r>
      <w:r>
        <w:t xml:space="preserve"> impose</w:t>
      </w:r>
      <w:r w:rsidR="00F875AC">
        <w:t>d</w:t>
      </w:r>
      <w:r>
        <w:t xml:space="preserve"> </w:t>
      </w:r>
      <w:r w:rsidR="00651F77">
        <w:t xml:space="preserve">a specific restriction in the terms and conditions that limits </w:t>
      </w:r>
      <w:r>
        <w:t>the use of the restricted extracts</w:t>
      </w:r>
      <w:r w:rsidR="00651F77">
        <w:t xml:space="preserve"> to the preparation of submissions to the ACCC</w:t>
      </w:r>
      <w:r>
        <w:t>.</w:t>
      </w:r>
    </w:p>
    <w:p w:rsidR="00163817" w:rsidRDefault="003C3B44" w:rsidP="00273F0D">
      <w:r>
        <w:t xml:space="preserve">Macquarie Telecom, </w:t>
      </w:r>
      <w:proofErr w:type="spellStart"/>
      <w:r>
        <w:t>iiNet</w:t>
      </w:r>
      <w:proofErr w:type="spellEnd"/>
      <w:r>
        <w:t xml:space="preserve"> and </w:t>
      </w:r>
      <w:r w:rsidR="000449BF">
        <w:t>Optus made submissions supporting this approach to disclosure of the restricted extracts.</w:t>
      </w:r>
      <w:r w:rsidR="000449BF">
        <w:rPr>
          <w:rStyle w:val="FootnoteReference"/>
        </w:rPr>
        <w:footnoteReference w:id="20"/>
      </w:r>
      <w:r w:rsidR="00C66841">
        <w:t xml:space="preserve"> </w:t>
      </w:r>
    </w:p>
    <w:p w:rsidR="00E463D0" w:rsidRDefault="00C66841" w:rsidP="00273F0D">
      <w:r>
        <w:t>Telstra broadly supported this approach to disclosure of the restricted extracts</w:t>
      </w:r>
      <w:r w:rsidR="00163817">
        <w:t>.</w:t>
      </w:r>
      <w:r>
        <w:t xml:space="preserve"> </w:t>
      </w:r>
      <w:r w:rsidR="00163817">
        <w:t xml:space="preserve">However, </w:t>
      </w:r>
      <w:r w:rsidR="00A45152">
        <w:t>it submitted</w:t>
      </w:r>
      <w:r w:rsidR="00E463D0">
        <w:t xml:space="preserve"> </w:t>
      </w:r>
      <w:r>
        <w:t>that access should be provided to persons approved by the information provider</w:t>
      </w:r>
      <w:r w:rsidR="00783448">
        <w:t xml:space="preserve"> and </w:t>
      </w:r>
      <w:r w:rsidR="00E463D0" w:rsidRPr="00E463D0">
        <w:t xml:space="preserve">that access should </w:t>
      </w:r>
      <w:r w:rsidR="00783448">
        <w:t xml:space="preserve">not </w:t>
      </w:r>
      <w:r w:rsidR="00E463D0">
        <w:t xml:space="preserve">be provided </w:t>
      </w:r>
      <w:r w:rsidR="00783448">
        <w:t xml:space="preserve">to </w:t>
      </w:r>
      <w:r w:rsidR="00E463D0">
        <w:t xml:space="preserve">persons </w:t>
      </w:r>
      <w:r w:rsidR="00783448">
        <w:t>with dual legal/</w:t>
      </w:r>
      <w:r w:rsidR="00783448" w:rsidRPr="00783448">
        <w:t xml:space="preserve">regulatory </w:t>
      </w:r>
      <w:r w:rsidR="00783448">
        <w:t>and commercial/</w:t>
      </w:r>
      <w:r w:rsidR="00783448" w:rsidRPr="00783448">
        <w:t xml:space="preserve">operational </w:t>
      </w:r>
      <w:r w:rsidR="00783448">
        <w:t>roles</w:t>
      </w:r>
      <w:r>
        <w:t>.</w:t>
      </w:r>
      <w:r>
        <w:rPr>
          <w:rStyle w:val="FootnoteReference"/>
        </w:rPr>
        <w:footnoteReference w:id="21"/>
      </w:r>
      <w:r w:rsidR="00E82C01">
        <w:t xml:space="preserve"> </w:t>
      </w:r>
    </w:p>
    <w:p w:rsidR="004D7896" w:rsidRDefault="004D7896" w:rsidP="004D7896">
      <w:r>
        <w:t xml:space="preserve">The ACCC does not consider it appropriate for Telstra to have such an approval role and that the classes of persons for disclosure are suitably defined and limited. The ACCC considers that the most expedient and transparent way of providing the confidential information to access seekers is through a process where access seekers submit signed confidentiality undertakings (between itself and Telstra) to the ACCC and Telstra. The ACCC then provides the confidential information to access seekers. </w:t>
      </w:r>
    </w:p>
    <w:p w:rsidR="003C3B44" w:rsidRDefault="00E82C01" w:rsidP="00273F0D">
      <w:r>
        <w:t xml:space="preserve">For clarity, the ACCC notes that </w:t>
      </w:r>
      <w:r w:rsidR="008A192F">
        <w:t xml:space="preserve">only </w:t>
      </w:r>
      <w:r>
        <w:t xml:space="preserve">the </w:t>
      </w:r>
      <w:r w:rsidR="0030517A">
        <w:t>ACCC</w:t>
      </w:r>
      <w:r w:rsidR="008A192F">
        <w:t xml:space="preserve"> </w:t>
      </w:r>
      <w:r w:rsidR="0030517A">
        <w:t xml:space="preserve">will approve the </w:t>
      </w:r>
      <w:r>
        <w:t xml:space="preserve">persons </w:t>
      </w:r>
      <w:r w:rsidR="0030517A">
        <w:t>to have access</w:t>
      </w:r>
      <w:r w:rsidR="002E209C">
        <w:t xml:space="preserve"> </w:t>
      </w:r>
      <w:r w:rsidR="0030517A">
        <w:t>to</w:t>
      </w:r>
      <w:r>
        <w:t xml:space="preserve"> restricted extracts.</w:t>
      </w:r>
      <w:r w:rsidR="001411DB">
        <w:t xml:space="preserve"> Under section </w:t>
      </w:r>
      <w:proofErr w:type="gramStart"/>
      <w:r w:rsidR="001411DB">
        <w:t>152BUA(</w:t>
      </w:r>
      <w:proofErr w:type="gramEnd"/>
      <w:r w:rsidR="001411DB">
        <w:t>2) the ACCC has the power to issue a carrier with a disclosure notice that it will disclose information provided under an RKR.</w:t>
      </w:r>
    </w:p>
    <w:p w:rsidR="00430130" w:rsidRDefault="00B972A8" w:rsidP="00273F0D">
      <w:r>
        <w:t>In specifying this class of persons, t</w:t>
      </w:r>
      <w:r w:rsidR="0099367E">
        <w:t xml:space="preserve">he ACCC </w:t>
      </w:r>
      <w:r w:rsidR="000E2732">
        <w:t xml:space="preserve">has specifically excluded a class of persons </w:t>
      </w:r>
      <w:r w:rsidR="00430130">
        <w:t xml:space="preserve">who </w:t>
      </w:r>
      <w:r w:rsidR="00E42D99">
        <w:t xml:space="preserve">may have an </w:t>
      </w:r>
      <w:r w:rsidR="00430130">
        <w:t xml:space="preserve">interest in </w:t>
      </w:r>
      <w:r w:rsidR="00E42D99">
        <w:t xml:space="preserve">obtaining </w:t>
      </w:r>
      <w:r w:rsidR="00430130">
        <w:t>access to the Telstra material</w:t>
      </w:r>
      <w:r w:rsidR="00E463D0">
        <w:t>—</w:t>
      </w:r>
      <w:r w:rsidR="00430130">
        <w:t>persons</w:t>
      </w:r>
      <w:r w:rsidR="00E463D0">
        <w:t xml:space="preserve"> </w:t>
      </w:r>
      <w:r w:rsidR="00430130">
        <w:t xml:space="preserve">who are or will be engaged in commercial negotiations with Telstra. </w:t>
      </w:r>
    </w:p>
    <w:p w:rsidR="00912652" w:rsidRDefault="00273F0D" w:rsidP="00273F0D">
      <w:r>
        <w:t xml:space="preserve">The ACCC notes that the BBM RKR requires Telstra to lodge information regarding internal guidelines relating to the </w:t>
      </w:r>
      <w:r w:rsidRPr="00176316">
        <w:t xml:space="preserve">tendering or contracting out </w:t>
      </w:r>
      <w:r>
        <w:t>of c</w:t>
      </w:r>
      <w:r w:rsidRPr="00176316">
        <w:t xml:space="preserve">apital </w:t>
      </w:r>
      <w:r>
        <w:t>e</w:t>
      </w:r>
      <w:r w:rsidRPr="00176316">
        <w:t>xpenditure projects.</w:t>
      </w:r>
      <w:r>
        <w:rPr>
          <w:rStyle w:val="FootnoteReference"/>
        </w:rPr>
        <w:footnoteReference w:id="22"/>
      </w:r>
      <w:r w:rsidRPr="00176316">
        <w:t xml:space="preserve"> </w:t>
      </w:r>
      <w:r w:rsidR="00430130">
        <w:t xml:space="preserve">In addition, the Telstra material contains forecasts about Telstra’s expenditure over the next regulatory period. </w:t>
      </w:r>
      <w:r>
        <w:t xml:space="preserve">The ACCC considers that such information could be used by potential suppliers or contractors </w:t>
      </w:r>
      <w:r w:rsidR="00163817">
        <w:t xml:space="preserve">to gain a commercial advantage </w:t>
      </w:r>
      <w:r w:rsidR="00F875AC">
        <w:t xml:space="preserve">in negotiations with Telstra </w:t>
      </w:r>
      <w:r w:rsidR="00163817">
        <w:t xml:space="preserve">and </w:t>
      </w:r>
      <w:r w:rsidR="00F875AC">
        <w:t xml:space="preserve">that </w:t>
      </w:r>
      <w:r w:rsidR="00163817">
        <w:t xml:space="preserve">this would be </w:t>
      </w:r>
      <w:r w:rsidR="00F875AC">
        <w:t xml:space="preserve">adverse to </w:t>
      </w:r>
      <w:r w:rsidR="00163817">
        <w:t xml:space="preserve">Telstra’s </w:t>
      </w:r>
      <w:r w:rsidR="00F875AC">
        <w:t>legitimate commercial interests</w:t>
      </w:r>
      <w:r>
        <w:t>.</w:t>
      </w:r>
    </w:p>
    <w:p w:rsidR="00430130" w:rsidRDefault="003C3B44" w:rsidP="00273F0D">
      <w:r>
        <w:t xml:space="preserve">The ACCC notes Macquarie Telecom’s submission that potential suppliers and contractors would not be able to use confidential information to Telstra’s </w:t>
      </w:r>
      <w:r w:rsidR="00912652">
        <w:t xml:space="preserve">material </w:t>
      </w:r>
      <w:r>
        <w:t>detriment because Telstra has strong bargaining power.</w:t>
      </w:r>
      <w:r>
        <w:rPr>
          <w:rStyle w:val="FootnoteReference"/>
        </w:rPr>
        <w:footnoteReference w:id="23"/>
      </w:r>
      <w:r>
        <w:t xml:space="preserve"> </w:t>
      </w:r>
      <w:r w:rsidR="00912652">
        <w:t xml:space="preserve">The ACCC notes that any </w:t>
      </w:r>
      <w:r w:rsidR="00912652">
        <w:lastRenderedPageBreak/>
        <w:t xml:space="preserve">detriment needs to be balanced against the public interest in the disclosure. </w:t>
      </w:r>
      <w:r w:rsidR="0067410E">
        <w:t xml:space="preserve">The ACCC considers that </w:t>
      </w:r>
      <w:r w:rsidR="00B972A8">
        <w:t xml:space="preserve">suppliers and contractors have limited access to information that would be able to assist the ACCC, due to the aggregation of costs into asset classes under the BBM RKR. In addition, they do not have an incentive to </w:t>
      </w:r>
      <w:r w:rsidR="0067410E">
        <w:t xml:space="preserve">challenge the </w:t>
      </w:r>
      <w:r w:rsidR="00B972A8">
        <w:t xml:space="preserve">cost </w:t>
      </w:r>
      <w:r w:rsidR="0067410E">
        <w:t xml:space="preserve">information provided by Telstra, because this might lower the amount that they would be able to charge Telstra for their goods and services. For this reason, the ACCC does not consider that </w:t>
      </w:r>
      <w:r w:rsidR="00B972A8">
        <w:t xml:space="preserve">the benefits of </w:t>
      </w:r>
      <w:r w:rsidR="0067410E">
        <w:t xml:space="preserve">disclosure to potential suppliers and contractors would </w:t>
      </w:r>
      <w:r w:rsidR="00B972A8">
        <w:t>outweigh detriments to Telstra’s legitimate commercial interests</w:t>
      </w:r>
      <w:r w:rsidR="0067410E">
        <w:t>.</w:t>
      </w:r>
    </w:p>
    <w:p w:rsidR="0067410E" w:rsidRDefault="00273F0D" w:rsidP="00273F0D">
      <w:r>
        <w:t>Similarly, the ACCC notes that the historical costs and forecasts in the Telstra material</w:t>
      </w:r>
      <w:r w:rsidR="00E044DC">
        <w:t>,</w:t>
      </w:r>
      <w:r>
        <w:t xml:space="preserve"> </w:t>
      </w:r>
      <w:r w:rsidR="00E044DC">
        <w:t xml:space="preserve">and </w:t>
      </w:r>
      <w:r w:rsidR="00E044DC" w:rsidRPr="00E044DC">
        <w:t>data on the incidence and causes of faults on Telstra's network</w:t>
      </w:r>
      <w:r w:rsidR="00E044DC">
        <w:t>,</w:t>
      </w:r>
      <w:r w:rsidR="00E044DC" w:rsidRPr="00E044DC">
        <w:t xml:space="preserve"> </w:t>
      </w:r>
      <w:r>
        <w:t xml:space="preserve">could be used in a manner </w:t>
      </w:r>
      <w:r w:rsidR="00F875AC">
        <w:t xml:space="preserve">adverse </w:t>
      </w:r>
      <w:r>
        <w:t>to Telstra</w:t>
      </w:r>
      <w:r w:rsidR="00F875AC">
        <w:t xml:space="preserve">’s commercial interest in the context of </w:t>
      </w:r>
      <w:r>
        <w:t xml:space="preserve">its ongoing negotiations with NBN Co in relation to the NBN. </w:t>
      </w:r>
      <w:r w:rsidR="00812D87">
        <w:t>The condition</w:t>
      </w:r>
      <w:r w:rsidR="00E044DC">
        <w:t xml:space="preserve"> and costs</w:t>
      </w:r>
      <w:r w:rsidR="00812D87">
        <w:t xml:space="preserve"> of </w:t>
      </w:r>
      <w:r w:rsidR="00E044DC">
        <w:t xml:space="preserve">operating </w:t>
      </w:r>
      <w:r w:rsidR="00812D87">
        <w:t xml:space="preserve">the network </w:t>
      </w:r>
      <w:r w:rsidR="00E044DC">
        <w:t>are</w:t>
      </w:r>
      <w:r w:rsidR="00812D87">
        <w:t xml:space="preserve"> likely to be factor</w:t>
      </w:r>
      <w:r w:rsidR="00E044DC">
        <w:t>s</w:t>
      </w:r>
      <w:r w:rsidR="00812D87">
        <w:t xml:space="preserve"> in the renegotiation of the Definitive Agreements between Telstra and NBN Co. These agreements were estimated to have a net present value of approximately $11 billion</w:t>
      </w:r>
      <w:r w:rsidR="00812D87" w:rsidRPr="007075A3">
        <w:t xml:space="preserve"> </w:t>
      </w:r>
      <w:r w:rsidR="00812D87">
        <w:t xml:space="preserve">when signed in June 2011. </w:t>
      </w:r>
      <w:r w:rsidR="0067410E">
        <w:t>For this reason, t</w:t>
      </w:r>
      <w:r w:rsidR="00EF069A">
        <w:t xml:space="preserve">he ACCC </w:t>
      </w:r>
      <w:r w:rsidR="0067410E">
        <w:t xml:space="preserve">has </w:t>
      </w:r>
      <w:r w:rsidR="00EF069A">
        <w:t>specifically exclude</w:t>
      </w:r>
      <w:r w:rsidR="0067410E">
        <w:t>d</w:t>
      </w:r>
      <w:r w:rsidR="00EF069A">
        <w:t xml:space="preserve"> employees of NBN Co and its related bodies</w:t>
      </w:r>
      <w:r w:rsidR="002225AB">
        <w:t xml:space="preserve"> corporate</w:t>
      </w:r>
      <w:r w:rsidR="00EF069A">
        <w:t xml:space="preserve"> from the class of persons</w:t>
      </w:r>
      <w:r w:rsidR="00812D87">
        <w:t xml:space="preserve"> to whom the restricted extracts will be disclosed</w:t>
      </w:r>
      <w:r w:rsidR="0067410E">
        <w:t>.</w:t>
      </w:r>
    </w:p>
    <w:p w:rsidR="00F60CE5" w:rsidRPr="00D11322" w:rsidRDefault="00F60CE5" w:rsidP="00F60CE5">
      <w:r>
        <w:t xml:space="preserve">The ACCC notes no other parties (besides </w:t>
      </w:r>
      <w:r w:rsidR="00F801D1">
        <w:t xml:space="preserve">Telstra and </w:t>
      </w:r>
      <w:r>
        <w:t xml:space="preserve">access seekers) took the opportunity provided by the consultation paper to provide their views on whether and how to disclose </w:t>
      </w:r>
      <w:r w:rsidR="008C5AF8">
        <w:t xml:space="preserve">the </w:t>
      </w:r>
      <w:r>
        <w:t>Telstra material.</w:t>
      </w:r>
    </w:p>
    <w:p w:rsidR="00CE25DB" w:rsidRDefault="00BE7FBF" w:rsidP="00273F0D">
      <w:r>
        <w:t>In conclusion, t</w:t>
      </w:r>
      <w:r w:rsidR="00273F0D">
        <w:t xml:space="preserve">he ACCC considers that the restricted extracts should be disclosed exclusively to the legal </w:t>
      </w:r>
      <w:r w:rsidR="004A6C27">
        <w:t xml:space="preserve">and </w:t>
      </w:r>
      <w:r w:rsidR="00273F0D">
        <w:t>regulatory teams of access seekers</w:t>
      </w:r>
      <w:r w:rsidR="00BE2EA8">
        <w:t xml:space="preserve"> (including </w:t>
      </w:r>
      <w:r w:rsidR="004A6C27">
        <w:t xml:space="preserve">persons in </w:t>
      </w:r>
      <w:r w:rsidR="00BE2EA8">
        <w:t xml:space="preserve">those </w:t>
      </w:r>
      <w:r w:rsidR="004A6C27">
        <w:t xml:space="preserve">teams who have </w:t>
      </w:r>
      <w:r w:rsidR="00BE2EA8">
        <w:t>dual legal/</w:t>
      </w:r>
      <w:r w:rsidR="00BE2EA8" w:rsidRPr="00783448">
        <w:t xml:space="preserve">regulatory </w:t>
      </w:r>
      <w:r w:rsidR="00BE2EA8">
        <w:t>and commercial/</w:t>
      </w:r>
      <w:r w:rsidR="00BE2EA8" w:rsidRPr="00783448">
        <w:t xml:space="preserve">operational </w:t>
      </w:r>
      <w:r w:rsidR="00BE2EA8">
        <w:t>roles)</w:t>
      </w:r>
      <w:r w:rsidR="00273F0D">
        <w:t xml:space="preserve">, and consultants engaged by access seekers, </w:t>
      </w:r>
      <w:r w:rsidR="00B972A8">
        <w:t>excluding any employees of NBN Co and its related bodies corporate</w:t>
      </w:r>
      <w:r w:rsidR="00273F0D">
        <w:t xml:space="preserve">. </w:t>
      </w:r>
      <w:r w:rsidR="00BE2EA8">
        <w:t xml:space="preserve">The ACCC notes that this disclosure </w:t>
      </w:r>
      <w:r w:rsidR="00916411">
        <w:t>is</w:t>
      </w:r>
      <w:r w:rsidR="00BE2EA8">
        <w:t xml:space="preserve"> subject to the protections set out in the terms and conditions </w:t>
      </w:r>
      <w:r w:rsidR="00087A00">
        <w:t>included in the disclosure notice</w:t>
      </w:r>
      <w:r w:rsidR="00197547">
        <w:t xml:space="preserve"> and confidentiality undertaking</w:t>
      </w:r>
      <w:r w:rsidR="00BE2EA8">
        <w:t xml:space="preserve">. </w:t>
      </w:r>
      <w:r w:rsidR="00273F0D">
        <w:t>The ACCC considers that this is an appropriate balance between the public interest in disclosure of the information and Telstra's legitimate commercial interests.</w:t>
      </w:r>
    </w:p>
    <w:p w:rsidR="00F038BA" w:rsidRDefault="00F038BA" w:rsidP="00F038BA">
      <w:pPr>
        <w:pStyle w:val="Heading4"/>
      </w:pPr>
      <w:r>
        <w:t>Terms and conditions of disclosure of the restricted extracts</w:t>
      </w:r>
    </w:p>
    <w:p w:rsidR="00052BFE" w:rsidRDefault="00052BFE" w:rsidP="00DB52BE">
      <w:r>
        <w:t xml:space="preserve">The ACCC has specified terms and conditions in the disclosure notice that </w:t>
      </w:r>
      <w:r w:rsidRPr="00D11322">
        <w:t>allow for disclosure while providing protection for Telstra's legitimate commercial interests</w:t>
      </w:r>
      <w:r w:rsidR="00887A62">
        <w:t>.</w:t>
      </w:r>
    </w:p>
    <w:p w:rsidR="00770641" w:rsidRDefault="00273F0D" w:rsidP="00DB52BE">
      <w:r w:rsidRPr="00D11322">
        <w:t xml:space="preserve">The ACCC considers that imposing terms and conditions </w:t>
      </w:r>
      <w:r w:rsidR="00E46F5E">
        <w:t xml:space="preserve">under subsection </w:t>
      </w:r>
      <w:proofErr w:type="gramStart"/>
      <w:r w:rsidR="00E46F5E">
        <w:t>151BUA(</w:t>
      </w:r>
      <w:proofErr w:type="gramEnd"/>
      <w:r w:rsidR="00E46F5E">
        <w:t xml:space="preserve">2)(d) </w:t>
      </w:r>
      <w:r w:rsidR="00F46E5C">
        <w:t>(that is</w:t>
      </w:r>
      <w:r w:rsidR="00C53628">
        <w:t>,</w:t>
      </w:r>
      <w:r w:rsidR="00F46E5C">
        <w:t xml:space="preserve"> requiring a signed confidentiality undertaking prior to disclosure) </w:t>
      </w:r>
      <w:r w:rsidR="00C25C17">
        <w:t>would achieve this outcome</w:t>
      </w:r>
      <w:r w:rsidR="00F46E5C">
        <w:t xml:space="preserve">. Any breach can </w:t>
      </w:r>
      <w:r w:rsidR="00F875AC">
        <w:t>be enforced in court</w:t>
      </w:r>
      <w:r w:rsidRPr="00D11322">
        <w:t>.</w:t>
      </w:r>
      <w:r w:rsidR="00770641" w:rsidRPr="00770641">
        <w:t xml:space="preserve"> </w:t>
      </w:r>
    </w:p>
    <w:p w:rsidR="00DB52BE" w:rsidRDefault="00770641" w:rsidP="00DB52BE">
      <w:r>
        <w:t xml:space="preserve">The ACCC </w:t>
      </w:r>
      <w:r w:rsidR="00052BFE">
        <w:t xml:space="preserve">has also included </w:t>
      </w:r>
      <w:r>
        <w:t xml:space="preserve">a term and condition on recipients of </w:t>
      </w:r>
      <w:r w:rsidR="00C53628">
        <w:t xml:space="preserve">the restricted extracts </w:t>
      </w:r>
      <w:r>
        <w:t>that they must comply with the confidentiality undertaking. T</w:t>
      </w:r>
      <w:r w:rsidR="00DB52BE">
        <w:t>he ACCC notes that failure to comply with such terms and conditions is a criminal offence punishable on conviction by a fine of up to 100 penalty units.</w:t>
      </w:r>
      <w:r w:rsidR="00DB52BE">
        <w:rPr>
          <w:rStyle w:val="FootnoteReference"/>
        </w:rPr>
        <w:footnoteReference w:id="24"/>
      </w:r>
      <w:r>
        <w:t xml:space="preserve"> </w:t>
      </w:r>
    </w:p>
    <w:p w:rsidR="00273F0D" w:rsidRDefault="00273F0D" w:rsidP="00273F0D">
      <w:r>
        <w:t xml:space="preserve">The ACCC </w:t>
      </w:r>
      <w:r w:rsidR="00052BFE">
        <w:t xml:space="preserve">has specified </w:t>
      </w:r>
      <w:r>
        <w:t xml:space="preserve">the following limitations </w:t>
      </w:r>
      <w:r w:rsidR="00052BFE">
        <w:t>on use of the restricted extracts</w:t>
      </w:r>
      <w:r>
        <w:t>:</w:t>
      </w:r>
    </w:p>
    <w:p w:rsidR="00273F0D" w:rsidRDefault="00273F0D" w:rsidP="0053163C">
      <w:pPr>
        <w:pStyle w:val="ListBullet"/>
      </w:pPr>
      <w:r>
        <w:t xml:space="preserve">The use of the information in the </w:t>
      </w:r>
      <w:r w:rsidRPr="00411DBC">
        <w:t>Telstra material</w:t>
      </w:r>
      <w:r w:rsidRPr="00411DBC" w:rsidDel="00411DBC">
        <w:t xml:space="preserve"> </w:t>
      </w:r>
      <w:r w:rsidR="000215A7">
        <w:t xml:space="preserve">is to </w:t>
      </w:r>
      <w:r>
        <w:t xml:space="preserve">be limited to the purpose of providing input and submissions to the current public inquiry on pricing of the </w:t>
      </w:r>
      <w:r w:rsidR="00C53628">
        <w:t xml:space="preserve">seven </w:t>
      </w:r>
      <w:r>
        <w:t>declared fixed line services.</w:t>
      </w:r>
    </w:p>
    <w:p w:rsidR="00273F0D" w:rsidRDefault="00273F0D" w:rsidP="0053163C">
      <w:pPr>
        <w:pStyle w:val="ListBullet"/>
      </w:pPr>
      <w:r>
        <w:t xml:space="preserve">The further disclosure of the Telstra material </w:t>
      </w:r>
      <w:r w:rsidR="002225AB">
        <w:t xml:space="preserve">to persons who do not fall within the specified class of persons </w:t>
      </w:r>
      <w:r w:rsidR="000215A7">
        <w:t xml:space="preserve">is </w:t>
      </w:r>
      <w:r>
        <w:t xml:space="preserve">prohibited, except that the disclosure of conclusions </w:t>
      </w:r>
      <w:r>
        <w:lastRenderedPageBreak/>
        <w:t xml:space="preserve">or recommendations based on the Telstra material may be </w:t>
      </w:r>
      <w:r w:rsidR="00E46F5E">
        <w:t xml:space="preserve">made </w:t>
      </w:r>
      <w:r>
        <w:t>in order to obtain executive and board approval for making submissions to the ACCC</w:t>
      </w:r>
      <w:r w:rsidR="006A4B5B">
        <w:t xml:space="preserve"> provided it does not reveal Telstra’s confidential information</w:t>
      </w:r>
      <w:r>
        <w:t>.</w:t>
      </w:r>
    </w:p>
    <w:p w:rsidR="00273F0D" w:rsidRDefault="00273F0D" w:rsidP="0053163C">
      <w:pPr>
        <w:pStyle w:val="ListBullet"/>
      </w:pPr>
      <w:r>
        <w:t xml:space="preserve">The </w:t>
      </w:r>
      <w:r w:rsidRPr="00411DBC">
        <w:t>Telstra material</w:t>
      </w:r>
      <w:r w:rsidRPr="00411DBC" w:rsidDel="00411DBC">
        <w:t xml:space="preserve"> </w:t>
      </w:r>
      <w:r>
        <w:t xml:space="preserve">and all material derived from the </w:t>
      </w:r>
      <w:r w:rsidRPr="00411DBC">
        <w:t>Telstra material</w:t>
      </w:r>
      <w:r w:rsidRPr="00411DBC" w:rsidDel="00411DBC">
        <w:t xml:space="preserve"> </w:t>
      </w:r>
      <w:r w:rsidR="000215A7">
        <w:t xml:space="preserve">is to </w:t>
      </w:r>
      <w:r>
        <w:t xml:space="preserve">be clearly marked confidential, </w:t>
      </w:r>
      <w:r w:rsidR="002225AB">
        <w:t xml:space="preserve">security measures should be taken </w:t>
      </w:r>
      <w:r>
        <w:t xml:space="preserve">at all times, and </w:t>
      </w:r>
      <w:r w:rsidR="002225AB">
        <w:t xml:space="preserve">the information </w:t>
      </w:r>
      <w:r w:rsidR="000215A7">
        <w:t xml:space="preserve">is to </w:t>
      </w:r>
      <w:r w:rsidR="002225AB">
        <w:t xml:space="preserve">be destroyed or </w:t>
      </w:r>
      <w:r>
        <w:t xml:space="preserve">returned to </w:t>
      </w:r>
      <w:r w:rsidR="002225AB">
        <w:t>Telstra at the conclusion of the public inquiry</w:t>
      </w:r>
      <w:r>
        <w:t>.</w:t>
      </w:r>
    </w:p>
    <w:p w:rsidR="00273F0D" w:rsidRPr="005B1E2B" w:rsidRDefault="00273F0D" w:rsidP="0053163C">
      <w:pPr>
        <w:pStyle w:val="ListBullet"/>
      </w:pPr>
      <w:r>
        <w:t xml:space="preserve">For submissions to the ACCC, any confidential information used from the Telstra material </w:t>
      </w:r>
      <w:r w:rsidR="000215A7">
        <w:t xml:space="preserve">is to </w:t>
      </w:r>
      <w:r>
        <w:t>be redacted from public versions and marked as confidential to Telstra in confidential versions.</w:t>
      </w:r>
    </w:p>
    <w:p w:rsidR="00273F0D" w:rsidRDefault="00273F0D" w:rsidP="00273F0D">
      <w:r>
        <w:t xml:space="preserve">The ACCC </w:t>
      </w:r>
      <w:r w:rsidR="00956394">
        <w:t>will</w:t>
      </w:r>
      <w:r>
        <w:t xml:space="preserve"> make the restricted extracts of the Telstra material available for purchase electronically at no charge, upon lodgement by the recipient of a copy of the signed confidentiality undertaking with the ACCC.</w:t>
      </w:r>
      <w:r w:rsidR="0009439C">
        <w:t xml:space="preserve"> A copy </w:t>
      </w:r>
      <w:r w:rsidR="00C53628" w:rsidRPr="00C53628">
        <w:t xml:space="preserve">of the signed confidentiality undertaking </w:t>
      </w:r>
      <w:r w:rsidR="0009439C">
        <w:t>should also be provided to Telstra.</w:t>
      </w:r>
    </w:p>
    <w:p w:rsidR="00273F0D" w:rsidRDefault="00625A46" w:rsidP="00273F0D">
      <w:r>
        <w:t>The ACCC may make a copy of the excel workbook containing the FLSM and</w:t>
      </w:r>
      <w:r w:rsidR="00273F0D">
        <w:t xml:space="preserve"> data from the </w:t>
      </w:r>
      <w:r>
        <w:t xml:space="preserve">restricted </w:t>
      </w:r>
      <w:r w:rsidR="00273F0D">
        <w:t>extracts.</w:t>
      </w:r>
    </w:p>
    <w:p w:rsidR="00273F0D" w:rsidRPr="00695B00" w:rsidRDefault="00956394" w:rsidP="00273F0D">
      <w:r>
        <w:t xml:space="preserve">Submissions </w:t>
      </w:r>
      <w:r w:rsidR="00E22A90">
        <w:t xml:space="preserve">from Macquarie Telecom, </w:t>
      </w:r>
      <w:proofErr w:type="spellStart"/>
      <w:r w:rsidR="00E22A90">
        <w:t>iiNet</w:t>
      </w:r>
      <w:proofErr w:type="spellEnd"/>
      <w:r w:rsidR="00E22A90">
        <w:t xml:space="preserve"> </w:t>
      </w:r>
      <w:r w:rsidR="00BE7FBF">
        <w:t xml:space="preserve">and Optus </w:t>
      </w:r>
      <w:r>
        <w:t xml:space="preserve">supported the above </w:t>
      </w:r>
      <w:r w:rsidR="00E22A90">
        <w:t>terms and conditions of disclosure.</w:t>
      </w:r>
      <w:r w:rsidR="00E22A90">
        <w:rPr>
          <w:rStyle w:val="FootnoteReference"/>
        </w:rPr>
        <w:footnoteReference w:id="25"/>
      </w:r>
      <w:r w:rsidR="009412FD">
        <w:t xml:space="preserve"> Telstra also broadly supported these terms and conditions.</w:t>
      </w:r>
      <w:r w:rsidR="009412FD">
        <w:rPr>
          <w:rStyle w:val="FootnoteReference"/>
        </w:rPr>
        <w:footnoteReference w:id="26"/>
      </w:r>
    </w:p>
    <w:p w:rsidR="00273F0D" w:rsidRDefault="00273F0D" w:rsidP="000B494A">
      <w:pPr>
        <w:pStyle w:val="Heading2"/>
      </w:pPr>
      <w:r>
        <w:br w:type="page"/>
      </w:r>
      <w:bookmarkStart w:id="10" w:name="_Toc388969185"/>
      <w:r>
        <w:lastRenderedPageBreak/>
        <w:t xml:space="preserve">Appendix A – </w:t>
      </w:r>
      <w:r w:rsidR="00C53628">
        <w:t>I</w:t>
      </w:r>
      <w:r>
        <w:t>nformation submitted by Telstra</w:t>
      </w:r>
      <w:bookmarkEnd w:id="10"/>
    </w:p>
    <w:p w:rsidR="00611FFC" w:rsidRDefault="00611FFC" w:rsidP="00611FFC">
      <w:pPr>
        <w:rPr>
          <w:lang w:val="en-GB" w:eastAsia="en-AU"/>
        </w:rPr>
      </w:pPr>
      <w:r>
        <w:rPr>
          <w:lang w:val="en-GB" w:eastAsia="en-AU"/>
        </w:rPr>
        <w:t>The report submitted by Telstra complies with the requirements specified for requests under Rule 15 of the BBM RKR. However, it does not include a comparison of actual and forecast Operating Expenditure, Capital Expenditure and Demand for 2013-14 because the data was not yet available</w:t>
      </w:r>
      <w:r w:rsidR="00197547">
        <w:rPr>
          <w:lang w:val="en-GB" w:eastAsia="en-AU"/>
        </w:rPr>
        <w:t xml:space="preserve"> at the time the report was submitted</w:t>
      </w:r>
      <w:r>
        <w:rPr>
          <w:lang w:val="en-GB" w:eastAsia="en-AU"/>
        </w:rPr>
        <w:t>.</w:t>
      </w:r>
    </w:p>
    <w:p w:rsidR="00611FFC" w:rsidRDefault="00611FFC" w:rsidP="00611FFC">
      <w:pPr>
        <w:rPr>
          <w:lang w:val="en-GB" w:eastAsia="en-AU"/>
        </w:rPr>
      </w:pPr>
      <w:r>
        <w:rPr>
          <w:lang w:val="en-GB" w:eastAsia="en-AU"/>
        </w:rPr>
        <w:t>In addition, Telstra has provided other relevant material requested by the ACCC on 17</w:t>
      </w:r>
      <w:r w:rsidR="00DD5F4A">
        <w:rPr>
          <w:lang w:val="en-GB" w:eastAsia="en-AU"/>
        </w:rPr>
        <w:t> </w:t>
      </w:r>
      <w:r>
        <w:rPr>
          <w:lang w:val="en-GB" w:eastAsia="en-AU"/>
        </w:rPr>
        <w:t>January 2014. This comprises:</w:t>
      </w:r>
    </w:p>
    <w:p w:rsidR="00611FFC" w:rsidRDefault="00611FFC" w:rsidP="00C23B5F">
      <w:pPr>
        <w:pStyle w:val="ListBullet"/>
        <w:spacing w:before="120" w:after="120"/>
        <w:rPr>
          <w:lang w:val="en-GB" w:eastAsia="en-AU"/>
        </w:rPr>
      </w:pPr>
      <w:r>
        <w:rPr>
          <w:lang w:val="en-GB" w:eastAsia="en-AU"/>
        </w:rPr>
        <w:t>In relation to Operating Expenditure:</w:t>
      </w:r>
    </w:p>
    <w:p w:rsidR="00611FFC" w:rsidRDefault="00611FFC" w:rsidP="00C23B5F">
      <w:pPr>
        <w:pStyle w:val="ListBullet"/>
        <w:tabs>
          <w:tab w:val="clear" w:pos="360"/>
          <w:tab w:val="num" w:pos="720"/>
        </w:tabs>
        <w:spacing w:before="120" w:after="120"/>
        <w:ind w:left="720"/>
        <w:rPr>
          <w:lang w:val="en-GB"/>
        </w:rPr>
      </w:pPr>
      <w:r w:rsidRPr="00C25D47">
        <w:rPr>
          <w:lang w:val="en-GB"/>
        </w:rPr>
        <w:t xml:space="preserve">operating expenditure forecasts in terms of costs relevant to the FLSM asset classes for Telstra Wholesale, </w:t>
      </w:r>
      <w:proofErr w:type="spellStart"/>
      <w:r w:rsidRPr="00C25D47">
        <w:rPr>
          <w:lang w:val="en-GB"/>
        </w:rPr>
        <w:t>unattributable</w:t>
      </w:r>
      <w:proofErr w:type="spellEnd"/>
      <w:r w:rsidRPr="00C25D47">
        <w:rPr>
          <w:lang w:val="en-GB"/>
        </w:rPr>
        <w:t xml:space="preserve"> costs</w:t>
      </w:r>
      <w:r>
        <w:rPr>
          <w:lang w:val="en-GB"/>
        </w:rPr>
        <w:t xml:space="preserve"> and the Service Operations </w:t>
      </w:r>
      <w:r w:rsidR="00DD5F4A">
        <w:rPr>
          <w:lang w:val="en-GB"/>
        </w:rPr>
        <w:t>line of business</w:t>
      </w:r>
    </w:p>
    <w:p w:rsidR="00611FFC" w:rsidRPr="00DC1537" w:rsidRDefault="00E42D99" w:rsidP="00C23B5F">
      <w:pPr>
        <w:pStyle w:val="ListBullet"/>
        <w:spacing w:before="120" w:after="120"/>
        <w:ind w:left="720"/>
        <w:rPr>
          <w:lang w:val="en-GB"/>
        </w:rPr>
      </w:pPr>
      <w:proofErr w:type="gramStart"/>
      <w:r>
        <w:rPr>
          <w:lang w:val="en-GB"/>
        </w:rPr>
        <w:t>e</w:t>
      </w:r>
      <w:r w:rsidR="00611FFC" w:rsidRPr="00DC1537">
        <w:rPr>
          <w:lang w:val="en-GB"/>
        </w:rPr>
        <w:t>vidence</w:t>
      </w:r>
      <w:proofErr w:type="gramEnd"/>
      <w:r w:rsidR="00611FFC" w:rsidRPr="00DC1537">
        <w:rPr>
          <w:lang w:val="en-GB"/>
        </w:rPr>
        <w:t xml:space="preserve"> to support the view that recent levels of the key drivers of aggregate operating expenditure form the best basis on which to forecast operating expenditure for the forecast period. </w:t>
      </w:r>
    </w:p>
    <w:p w:rsidR="00611FFC" w:rsidRPr="00DC1537" w:rsidRDefault="00E42D99" w:rsidP="00C23B5F">
      <w:pPr>
        <w:pStyle w:val="ListBullet"/>
        <w:spacing w:before="120" w:after="120"/>
        <w:ind w:left="720"/>
        <w:rPr>
          <w:lang w:val="en-GB"/>
        </w:rPr>
      </w:pPr>
      <w:proofErr w:type="gramStart"/>
      <w:r>
        <w:rPr>
          <w:lang w:val="en-GB"/>
        </w:rPr>
        <w:t>h</w:t>
      </w:r>
      <w:r w:rsidR="00611FFC" w:rsidRPr="00DC1537">
        <w:rPr>
          <w:lang w:val="en-GB"/>
        </w:rPr>
        <w:t>ow</w:t>
      </w:r>
      <w:proofErr w:type="gramEnd"/>
      <w:r w:rsidR="00611FFC" w:rsidRPr="00DC1537">
        <w:rPr>
          <w:lang w:val="en-GB"/>
        </w:rPr>
        <w:t xml:space="preserve"> the key drivers of aggregate operating expenditure and </w:t>
      </w:r>
      <w:r>
        <w:rPr>
          <w:lang w:val="en-GB"/>
        </w:rPr>
        <w:t xml:space="preserve">future levels of </w:t>
      </w:r>
      <w:r w:rsidR="00611FFC" w:rsidRPr="00DC1537">
        <w:rPr>
          <w:lang w:val="en-GB"/>
        </w:rPr>
        <w:t xml:space="preserve">operating expenditure are forecast to be impacted by the NBN rollout over the forecast period. </w:t>
      </w:r>
    </w:p>
    <w:p w:rsidR="00611FFC" w:rsidRDefault="00611FFC" w:rsidP="00C23B5F">
      <w:pPr>
        <w:pStyle w:val="ListBullet"/>
        <w:spacing w:before="120" w:after="120"/>
        <w:rPr>
          <w:lang w:val="en-GB" w:eastAsia="en-AU"/>
        </w:rPr>
      </w:pPr>
      <w:r>
        <w:rPr>
          <w:lang w:val="en-GB" w:eastAsia="en-AU"/>
        </w:rPr>
        <w:t>In relation to Operating Expenditure for the ‘LSS Equipment’ asset class:</w:t>
      </w:r>
    </w:p>
    <w:p w:rsidR="00611FFC" w:rsidRDefault="00611FFC" w:rsidP="00C23B5F">
      <w:pPr>
        <w:pStyle w:val="ListBullet"/>
        <w:tabs>
          <w:tab w:val="clear" w:pos="360"/>
          <w:tab w:val="num" w:pos="720"/>
        </w:tabs>
        <w:spacing w:before="120" w:after="120"/>
        <w:ind w:left="720"/>
        <w:rPr>
          <w:lang w:val="en-GB"/>
        </w:rPr>
      </w:pPr>
      <w:r w:rsidRPr="00DC1537">
        <w:rPr>
          <w:lang w:val="en-GB"/>
        </w:rPr>
        <w:t>the data used to estimate the operating expenditure forecasts for the ‘LSS Equipment’ FLSM asset class, disaggregated by each ‘line item’ in the RAF</w:t>
      </w:r>
    </w:p>
    <w:p w:rsidR="00611FFC" w:rsidRPr="00DC1537" w:rsidRDefault="00611FFC" w:rsidP="00C23B5F">
      <w:pPr>
        <w:pStyle w:val="ListBullet"/>
        <w:spacing w:before="120" w:after="120"/>
        <w:ind w:left="720"/>
        <w:rPr>
          <w:lang w:val="en-GB"/>
        </w:rPr>
      </w:pPr>
      <w:r>
        <w:rPr>
          <w:lang w:val="en-GB"/>
        </w:rPr>
        <w:t>f</w:t>
      </w:r>
      <w:r w:rsidRPr="00DC1537">
        <w:rPr>
          <w:lang w:val="en-GB"/>
        </w:rPr>
        <w:t xml:space="preserve">or </w:t>
      </w:r>
      <w:r>
        <w:rPr>
          <w:lang w:val="en-GB"/>
        </w:rPr>
        <w:t xml:space="preserve">each of </w:t>
      </w:r>
      <w:r w:rsidRPr="00DC1537">
        <w:rPr>
          <w:lang w:val="en-GB"/>
        </w:rPr>
        <w:t>the three largest RAF ‘line items’ making up the total ‘LSS Equipment’ operating expenditure, a disaggregation of the components of the ‘line items’, if available, and how they have been allocated. In addition:</w:t>
      </w:r>
    </w:p>
    <w:p w:rsidR="00611FFC" w:rsidRPr="00DC1537" w:rsidRDefault="00611FFC" w:rsidP="00C23B5F">
      <w:pPr>
        <w:pStyle w:val="ListBullet3"/>
        <w:spacing w:after="120"/>
        <w:ind w:hanging="357"/>
        <w:rPr>
          <w:lang w:val="en-GB"/>
        </w:rPr>
      </w:pPr>
      <w:r w:rsidRPr="00DC1537">
        <w:rPr>
          <w:lang w:val="en-GB"/>
        </w:rPr>
        <w:t xml:space="preserve">information on whether costs are direct, attributable or </w:t>
      </w:r>
      <w:proofErr w:type="spellStart"/>
      <w:r w:rsidRPr="00DC1537">
        <w:rPr>
          <w:lang w:val="en-GB"/>
        </w:rPr>
        <w:t>unattributable</w:t>
      </w:r>
      <w:proofErr w:type="spellEnd"/>
      <w:r w:rsidRPr="00DC1537">
        <w:rPr>
          <w:lang w:val="en-GB"/>
        </w:rPr>
        <w:t>, and</w:t>
      </w:r>
    </w:p>
    <w:p w:rsidR="00611FFC" w:rsidRDefault="00611FFC" w:rsidP="00C23B5F">
      <w:pPr>
        <w:pStyle w:val="ListBullet3"/>
        <w:spacing w:after="120"/>
        <w:ind w:hanging="357"/>
        <w:rPr>
          <w:lang w:val="en-GB"/>
        </w:rPr>
      </w:pPr>
      <w:proofErr w:type="gramStart"/>
      <w:r w:rsidRPr="00DC1537">
        <w:rPr>
          <w:lang w:val="en-GB"/>
        </w:rPr>
        <w:t>for</w:t>
      </w:r>
      <w:proofErr w:type="gramEnd"/>
      <w:r w:rsidRPr="00DC1537">
        <w:rPr>
          <w:lang w:val="en-GB"/>
        </w:rPr>
        <w:t xml:space="preserve"> attributable and </w:t>
      </w:r>
      <w:proofErr w:type="spellStart"/>
      <w:r w:rsidRPr="00DC1537">
        <w:rPr>
          <w:lang w:val="en-GB"/>
        </w:rPr>
        <w:t>unattributable</w:t>
      </w:r>
      <w:proofErr w:type="spellEnd"/>
      <w:r w:rsidRPr="00DC1537">
        <w:rPr>
          <w:lang w:val="en-GB"/>
        </w:rPr>
        <w:t xml:space="preserve"> costs, information on how the costs were allocated (e.g. what drivers are used).</w:t>
      </w:r>
    </w:p>
    <w:p w:rsidR="00611FFC" w:rsidRDefault="00611FFC" w:rsidP="00C23B5F">
      <w:pPr>
        <w:pStyle w:val="ListBullet"/>
        <w:spacing w:before="120" w:after="120"/>
        <w:rPr>
          <w:lang w:val="en-GB"/>
        </w:rPr>
      </w:pPr>
      <w:r>
        <w:rPr>
          <w:lang w:val="en-GB"/>
        </w:rPr>
        <w:t>In relation to Operating Expenditure, an explanation of the approach in the explanatory statement compared with the information provided by Telstra’s C</w:t>
      </w:r>
      <w:r w:rsidR="00E42D99">
        <w:rPr>
          <w:lang w:val="en-GB"/>
        </w:rPr>
        <w:t xml:space="preserve">hief </w:t>
      </w:r>
      <w:r>
        <w:rPr>
          <w:lang w:val="en-GB"/>
        </w:rPr>
        <w:t>F</w:t>
      </w:r>
      <w:r w:rsidR="00E42D99">
        <w:rPr>
          <w:lang w:val="en-GB"/>
        </w:rPr>
        <w:t xml:space="preserve">inancial </w:t>
      </w:r>
      <w:r>
        <w:rPr>
          <w:lang w:val="en-GB"/>
        </w:rPr>
        <w:t>O</w:t>
      </w:r>
      <w:r w:rsidR="00E42D99">
        <w:rPr>
          <w:lang w:val="en-GB"/>
        </w:rPr>
        <w:t>fficer</w:t>
      </w:r>
      <w:r>
        <w:rPr>
          <w:lang w:val="en-GB"/>
        </w:rPr>
        <w:t xml:space="preserve"> and C</w:t>
      </w:r>
      <w:r w:rsidR="00E42D99">
        <w:rPr>
          <w:lang w:val="en-GB"/>
        </w:rPr>
        <w:t xml:space="preserve">hief </w:t>
      </w:r>
      <w:r>
        <w:rPr>
          <w:lang w:val="en-GB"/>
        </w:rPr>
        <w:t>E</w:t>
      </w:r>
      <w:r w:rsidR="00E42D99">
        <w:rPr>
          <w:lang w:val="en-GB"/>
        </w:rPr>
        <w:t xml:space="preserve">xecutive </w:t>
      </w:r>
      <w:r>
        <w:rPr>
          <w:lang w:val="en-GB"/>
        </w:rPr>
        <w:t>O</w:t>
      </w:r>
      <w:r w:rsidR="00E42D99">
        <w:rPr>
          <w:lang w:val="en-GB"/>
        </w:rPr>
        <w:t>fficer</w:t>
      </w:r>
      <w:r>
        <w:rPr>
          <w:lang w:val="en-GB"/>
        </w:rPr>
        <w:t xml:space="preserve"> in Telstra’s 2013 financial year analyst briefing on productivity improvements.</w:t>
      </w:r>
    </w:p>
    <w:p w:rsidR="00611FFC" w:rsidRDefault="00611FFC" w:rsidP="00C23B5F">
      <w:pPr>
        <w:pStyle w:val="ListBullet"/>
        <w:spacing w:before="120" w:after="120"/>
        <w:rPr>
          <w:lang w:val="en-GB"/>
        </w:rPr>
      </w:pPr>
      <w:r>
        <w:rPr>
          <w:lang w:val="en-GB"/>
        </w:rPr>
        <w:t>In relation to Capital Expenditure:</w:t>
      </w:r>
    </w:p>
    <w:p w:rsidR="00611FFC" w:rsidRDefault="00611FFC" w:rsidP="00C23B5F">
      <w:pPr>
        <w:pStyle w:val="ListBullet"/>
        <w:tabs>
          <w:tab w:val="clear" w:pos="360"/>
          <w:tab w:val="num" w:pos="720"/>
        </w:tabs>
        <w:spacing w:before="120" w:after="120"/>
        <w:ind w:left="720"/>
        <w:rPr>
          <w:lang w:val="en-GB"/>
        </w:rPr>
      </w:pPr>
      <w:r>
        <w:rPr>
          <w:lang w:val="en-GB"/>
        </w:rPr>
        <w:t>For the nine most significant capital expenditure programs, a breakdown of total capital expenditure by driver for each year of the forecast period.</w:t>
      </w:r>
    </w:p>
    <w:p w:rsidR="00611FFC" w:rsidRDefault="00611FFC" w:rsidP="00C23B5F">
      <w:pPr>
        <w:pStyle w:val="ListBullet"/>
        <w:spacing w:before="120" w:after="120"/>
        <w:ind w:left="720"/>
        <w:rPr>
          <w:lang w:val="en-GB"/>
        </w:rPr>
      </w:pPr>
      <w:r>
        <w:rPr>
          <w:lang w:val="en-GB"/>
        </w:rPr>
        <w:t xml:space="preserve">Steps and calculations to demonstrate </w:t>
      </w:r>
      <w:r w:rsidRPr="00D210B0">
        <w:rPr>
          <w:lang w:val="en-GB"/>
        </w:rPr>
        <w:t xml:space="preserve">how Telstra has mapped the expenditure forecasts from the initial </w:t>
      </w:r>
      <w:r w:rsidR="00E42D99">
        <w:rPr>
          <w:lang w:val="en-GB"/>
        </w:rPr>
        <w:t xml:space="preserve">project code </w:t>
      </w:r>
      <w:r w:rsidRPr="00D210B0">
        <w:rPr>
          <w:lang w:val="en-GB"/>
        </w:rPr>
        <w:t>to the final ‘FLSM asset class’ format.</w:t>
      </w:r>
    </w:p>
    <w:p w:rsidR="00611FFC" w:rsidRDefault="00611FFC" w:rsidP="00C23B5F">
      <w:pPr>
        <w:pStyle w:val="ListBullet"/>
        <w:spacing w:before="120" w:after="120"/>
        <w:rPr>
          <w:lang w:val="en-GB"/>
        </w:rPr>
      </w:pPr>
      <w:r>
        <w:rPr>
          <w:lang w:val="en-GB"/>
        </w:rPr>
        <w:t>In relation to Demand:</w:t>
      </w:r>
    </w:p>
    <w:p w:rsidR="00C23B5F" w:rsidRPr="00956394" w:rsidRDefault="00611FFC" w:rsidP="00956394">
      <w:pPr>
        <w:pStyle w:val="ListBullet"/>
        <w:tabs>
          <w:tab w:val="clear" w:pos="360"/>
          <w:tab w:val="num" w:pos="720"/>
        </w:tabs>
        <w:spacing w:before="120" w:after="120"/>
        <w:ind w:left="720"/>
        <w:rPr>
          <w:rFonts w:ascii="Times New Roman" w:hAnsi="Times New Roman" w:cs="Times New Roman"/>
          <w:sz w:val="24"/>
          <w:szCs w:val="24"/>
        </w:rPr>
      </w:pPr>
      <w:proofErr w:type="gramStart"/>
      <w:r w:rsidRPr="00956394">
        <w:rPr>
          <w:lang w:val="en-GB"/>
        </w:rPr>
        <w:t>an</w:t>
      </w:r>
      <w:proofErr w:type="gramEnd"/>
      <w:r w:rsidRPr="00956394">
        <w:rPr>
          <w:lang w:val="en-GB"/>
        </w:rPr>
        <w:t xml:space="preserve"> historical comparison of past period forecasts to actual outcomes for the services, based on the forecasts used by Telstra for the purposes of its corporate planning, for each of the service categories listed in Table C4 of the BBM RKR for the 2010-11 to 2012-13 years.</w:t>
      </w:r>
    </w:p>
    <w:p w:rsidR="00C23B5F" w:rsidRDefault="00C23B5F"/>
    <w:sectPr w:rsidR="00C23B5F" w:rsidSect="00B36D3A">
      <w:pgSz w:w="11906" w:h="16838" w:code="9"/>
      <w:pgMar w:top="1440" w:right="1729" w:bottom="1582" w:left="1729" w:header="720" w:footer="603"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7B7" w:rsidRDefault="007E77B7" w:rsidP="000F3ADB">
      <w:pPr>
        <w:spacing w:after="0"/>
      </w:pPr>
      <w:r>
        <w:separator/>
      </w:r>
    </w:p>
  </w:endnote>
  <w:endnote w:type="continuationSeparator" w:id="0">
    <w:p w:rsidR="007E77B7" w:rsidRDefault="007E77B7" w:rsidP="000F3A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HelveticaNeueLT Std Lt">
    <w:altName w:val="Univers 45 Light"/>
    <w:panose1 w:val="00000000000000000000"/>
    <w:charset w:val="00"/>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08A" w:rsidRDefault="00A540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08A" w:rsidRDefault="00A540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08A" w:rsidRDefault="00A5408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7B7" w:rsidRDefault="007E77B7" w:rsidP="00EF069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7B7" w:rsidRPr="00716BF8" w:rsidRDefault="007E77B7" w:rsidP="00EF069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7B7" w:rsidRPr="00416B89" w:rsidRDefault="007E77B7">
    <w:pPr>
      <w:pStyle w:val="Footer"/>
    </w:pPr>
    <w:r w:rsidRPr="00416B89">
      <w:fldChar w:fldCharType="begin"/>
    </w:r>
    <w:r w:rsidRPr="00416B89">
      <w:instrText xml:space="preserve"> PAGE   \* MERGEFORMAT </w:instrText>
    </w:r>
    <w:r w:rsidRPr="00416B89">
      <w:fldChar w:fldCharType="separate"/>
    </w:r>
    <w:r>
      <w:rPr>
        <w:noProof/>
      </w:rPr>
      <w:t>ii</w:t>
    </w:r>
    <w:r w:rsidRPr="00416B89">
      <w:fldChar w:fldCharType="end"/>
    </w:r>
  </w:p>
  <w:p w:rsidR="007E77B7" w:rsidRPr="00A91A9E" w:rsidRDefault="007E77B7" w:rsidP="00EF069A">
    <w:pPr>
      <w:rPr>
        <w:rStyle w:val="PageNumber"/>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7B7" w:rsidRPr="00C01F12" w:rsidRDefault="007E77B7" w:rsidP="00C01F12">
    <w:pPr>
      <w:pStyle w:val="Footer"/>
      <w:jc w:val="center"/>
    </w:pPr>
    <w:r>
      <w:rPr>
        <w:noProof/>
      </w:rPr>
      <w:t>ii</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7B7" w:rsidRDefault="007E77B7" w:rsidP="00EF069A">
    <w:pPr>
      <w:pBdr>
        <w:top w:val="single" w:sz="2" w:space="1" w:color="auto"/>
      </w:pBdr>
      <w:tabs>
        <w:tab w:val="right" w:pos="8448"/>
      </w:tabs>
      <w:spacing w:after="0"/>
    </w:pPr>
  </w:p>
  <w:sdt>
    <w:sdtPr>
      <w:id w:val="1951352684"/>
      <w:docPartObj>
        <w:docPartGallery w:val="Page Numbers (Bottom of Page)"/>
        <w:docPartUnique/>
      </w:docPartObj>
    </w:sdtPr>
    <w:sdtEndPr/>
    <w:sdtContent>
      <w:p w:rsidR="007E77B7" w:rsidRPr="00C01F12" w:rsidRDefault="007E77B7" w:rsidP="00C01F12">
        <w:pPr>
          <w:pBdr>
            <w:top w:val="single" w:sz="2" w:space="1" w:color="auto"/>
          </w:pBdr>
          <w:tabs>
            <w:tab w:val="right" w:pos="8448"/>
          </w:tabs>
          <w:spacing w:after="0"/>
          <w:jc w:val="center"/>
        </w:pPr>
        <w:r w:rsidRPr="00C01F12">
          <w:fldChar w:fldCharType="begin"/>
        </w:r>
        <w:r w:rsidRPr="00C01F12">
          <w:instrText xml:space="preserve"> PAGE   \* MERGEFORMAT </w:instrText>
        </w:r>
        <w:r w:rsidRPr="00C01F12">
          <w:fldChar w:fldCharType="separate"/>
        </w:r>
        <w:r w:rsidR="002F594E">
          <w:rPr>
            <w:noProof/>
          </w:rPr>
          <w:t>v</w:t>
        </w:r>
        <w:r w:rsidRPr="00C01F12">
          <w:fldChar w:fldCharType="end"/>
        </w:r>
      </w:p>
    </w:sdtContent>
  </w:sdt>
  <w:p w:rsidR="007E77B7" w:rsidRPr="00D34063" w:rsidRDefault="007E77B7" w:rsidP="00EF069A">
    <w:pPr>
      <w:pBdr>
        <w:top w:val="single" w:sz="2" w:space="1" w:color="auto"/>
      </w:pBdr>
      <w:tabs>
        <w:tab w:val="right" w:pos="8448"/>
      </w:tabs>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7B7" w:rsidRDefault="007E77B7" w:rsidP="000F3ADB">
      <w:pPr>
        <w:spacing w:after="0"/>
      </w:pPr>
      <w:r>
        <w:separator/>
      </w:r>
    </w:p>
  </w:footnote>
  <w:footnote w:type="continuationSeparator" w:id="0">
    <w:p w:rsidR="007E77B7" w:rsidRDefault="007E77B7" w:rsidP="000F3ADB">
      <w:pPr>
        <w:spacing w:after="0"/>
      </w:pPr>
      <w:r>
        <w:continuationSeparator/>
      </w:r>
    </w:p>
  </w:footnote>
  <w:footnote w:id="1">
    <w:p w:rsidR="007E77B7" w:rsidRPr="0080676A" w:rsidRDefault="007E77B7" w:rsidP="00273F0D">
      <w:pPr>
        <w:pStyle w:val="FootnoteText"/>
      </w:pPr>
      <w:r>
        <w:rPr>
          <w:rStyle w:val="FootnoteReference"/>
        </w:rPr>
        <w:footnoteRef/>
      </w:r>
      <w:r>
        <w:t xml:space="preserve"> </w:t>
      </w:r>
      <w:r>
        <w:tab/>
      </w:r>
      <w:r>
        <w:tab/>
      </w:r>
      <w:r w:rsidRPr="0080676A">
        <w:t>The declared fixed line services are the unconditioned local loop service (ULLS), line sharing service (LSS), wholesale line rental service (WLR)</w:t>
      </w:r>
      <w:r>
        <w:t>,</w:t>
      </w:r>
      <w:r w:rsidRPr="0080676A">
        <w:t xml:space="preserve"> local carriage service (LCS), public switched telephone network originating access service (PSTN OA), and the public switched telephone network terminating access service (PSTN TA).</w:t>
      </w:r>
    </w:p>
  </w:footnote>
  <w:footnote w:id="2">
    <w:p w:rsidR="007E77B7" w:rsidRDefault="007E77B7" w:rsidP="00273F0D">
      <w:pPr>
        <w:pStyle w:val="FootnoteText"/>
      </w:pPr>
      <w:r>
        <w:rPr>
          <w:rStyle w:val="FootnoteReference"/>
        </w:rPr>
        <w:footnoteRef/>
      </w:r>
      <w:r>
        <w:t xml:space="preserve"> </w:t>
      </w:r>
      <w:r>
        <w:tab/>
      </w:r>
      <w:r>
        <w:tab/>
      </w:r>
      <w:r w:rsidRPr="001C51FB">
        <w:t xml:space="preserve">ACCC, </w:t>
      </w:r>
      <w:r w:rsidRPr="0065105B">
        <w:rPr>
          <w:rStyle w:val="Italic"/>
        </w:rPr>
        <w:t>Inquiry to make final access determinations for the declared fixed line services – final report, July 2011</w:t>
      </w:r>
      <w:r>
        <w:t xml:space="preserve">, p. 130; ACCC, </w:t>
      </w:r>
      <w:r w:rsidRPr="0065105B">
        <w:rPr>
          <w:rStyle w:val="Italic"/>
        </w:rPr>
        <w:t>Public inquiry to make a final access determination for the Wholesale ADSL service - final report</w:t>
      </w:r>
      <w:r>
        <w:t>, May 2013, p. 6.</w:t>
      </w:r>
    </w:p>
  </w:footnote>
  <w:footnote w:id="3">
    <w:p w:rsidR="007E77B7" w:rsidRDefault="007E77B7" w:rsidP="00FE5DDE">
      <w:pPr>
        <w:pStyle w:val="FootnoteText"/>
      </w:pPr>
      <w:r>
        <w:rPr>
          <w:rStyle w:val="FootnoteReference"/>
        </w:rPr>
        <w:footnoteRef/>
      </w:r>
      <w:r>
        <w:t xml:space="preserve"> </w:t>
      </w:r>
      <w:r>
        <w:tab/>
        <w:t xml:space="preserve">CCA s </w:t>
      </w:r>
      <w:proofErr w:type="gramStart"/>
      <w:r>
        <w:t>151BUA(</w:t>
      </w:r>
      <w:proofErr w:type="gramEnd"/>
      <w:r>
        <w:t>2).</w:t>
      </w:r>
    </w:p>
  </w:footnote>
  <w:footnote w:id="4">
    <w:p w:rsidR="007E77B7" w:rsidRDefault="007E77B7" w:rsidP="0027419F">
      <w:pPr>
        <w:pStyle w:val="FootnoteText"/>
      </w:pPr>
      <w:r>
        <w:rPr>
          <w:rStyle w:val="FootnoteReference"/>
        </w:rPr>
        <w:footnoteRef/>
      </w:r>
      <w:r>
        <w:t xml:space="preserve"> </w:t>
      </w:r>
      <w:r>
        <w:tab/>
        <w:t xml:space="preserve">Ibid s </w:t>
      </w:r>
      <w:proofErr w:type="gramStart"/>
      <w:r>
        <w:t>151BUA(</w:t>
      </w:r>
      <w:proofErr w:type="gramEnd"/>
      <w:r>
        <w:t>4).</w:t>
      </w:r>
    </w:p>
  </w:footnote>
  <w:footnote w:id="5">
    <w:p w:rsidR="007E77B7" w:rsidRDefault="007E77B7" w:rsidP="0027419F">
      <w:pPr>
        <w:pStyle w:val="FootnoteText"/>
      </w:pPr>
      <w:r>
        <w:rPr>
          <w:rStyle w:val="FootnoteReference"/>
        </w:rPr>
        <w:footnoteRef/>
      </w:r>
      <w:r>
        <w:t xml:space="preserve"> </w:t>
      </w:r>
      <w:r>
        <w:tab/>
        <w:t xml:space="preserve">Ibid s </w:t>
      </w:r>
      <w:proofErr w:type="gramStart"/>
      <w:r>
        <w:t>151BUA(</w:t>
      </w:r>
      <w:proofErr w:type="gramEnd"/>
      <w:r>
        <w:t>5).</w:t>
      </w:r>
    </w:p>
  </w:footnote>
  <w:footnote w:id="6">
    <w:p w:rsidR="007E77B7" w:rsidRDefault="007E77B7" w:rsidP="00C8177D">
      <w:pPr>
        <w:pStyle w:val="FootnoteText"/>
      </w:pPr>
      <w:r>
        <w:rPr>
          <w:rStyle w:val="FootnoteReference"/>
        </w:rPr>
        <w:footnoteRef/>
      </w:r>
      <w:r>
        <w:t xml:space="preserve"> </w:t>
      </w:r>
      <w:r>
        <w:tab/>
        <w:t xml:space="preserve">CCA s </w:t>
      </w:r>
      <w:proofErr w:type="gramStart"/>
      <w:r>
        <w:t>152BC(</w:t>
      </w:r>
      <w:proofErr w:type="gramEnd"/>
      <w:r>
        <w:t>3).</w:t>
      </w:r>
    </w:p>
  </w:footnote>
  <w:footnote w:id="7">
    <w:p w:rsidR="007E77B7" w:rsidRDefault="007E77B7" w:rsidP="00C8177D">
      <w:pPr>
        <w:pStyle w:val="FootnoteText"/>
      </w:pPr>
      <w:r>
        <w:rPr>
          <w:rStyle w:val="FootnoteReference"/>
        </w:rPr>
        <w:footnoteRef/>
      </w:r>
      <w:r>
        <w:t xml:space="preserve"> </w:t>
      </w:r>
      <w:r>
        <w:tab/>
      </w:r>
      <w:r w:rsidRPr="006C1869">
        <w:t xml:space="preserve">CCA s </w:t>
      </w:r>
      <w:proofErr w:type="gramStart"/>
      <w:r w:rsidRPr="006C1869">
        <w:t>152BC(</w:t>
      </w:r>
      <w:proofErr w:type="gramEnd"/>
      <w:r>
        <w:t>8</w:t>
      </w:r>
      <w:r w:rsidRPr="006C1869">
        <w:t>).</w:t>
      </w:r>
    </w:p>
  </w:footnote>
  <w:footnote w:id="8">
    <w:p w:rsidR="007E77B7" w:rsidRDefault="007E77B7" w:rsidP="00C8177D">
      <w:pPr>
        <w:pStyle w:val="FootnoteText"/>
      </w:pPr>
      <w:r>
        <w:rPr>
          <w:rStyle w:val="FootnoteReference"/>
        </w:rPr>
        <w:footnoteRef/>
      </w:r>
      <w:r>
        <w:t xml:space="preserve"> </w:t>
      </w:r>
      <w:r>
        <w:tab/>
        <w:t xml:space="preserve">Ibid s </w:t>
      </w:r>
      <w:proofErr w:type="gramStart"/>
      <w:r>
        <w:t>151BUA(</w:t>
      </w:r>
      <w:proofErr w:type="gramEnd"/>
      <w:r>
        <w:t>4).</w:t>
      </w:r>
    </w:p>
  </w:footnote>
  <w:footnote w:id="9">
    <w:p w:rsidR="007E77B7" w:rsidRPr="004C0F92" w:rsidRDefault="007E77B7" w:rsidP="004C0F92">
      <w:pPr>
        <w:pStyle w:val="FootnoteText"/>
      </w:pPr>
      <w:r>
        <w:rPr>
          <w:rStyle w:val="FootnoteReference"/>
        </w:rPr>
        <w:footnoteRef/>
      </w:r>
      <w:r>
        <w:t xml:space="preserve"> </w:t>
      </w:r>
      <w:r>
        <w:tab/>
      </w:r>
      <w:r>
        <w:tab/>
        <w:t xml:space="preserve">Macquarie Telecom, </w:t>
      </w:r>
      <w:r w:rsidRPr="004C0F92">
        <w:rPr>
          <w:i/>
        </w:rPr>
        <w:t>Submission: Fixed Line Services FAD Inquiry – Disclosure of Report Provided by Telstra</w:t>
      </w:r>
      <w:r>
        <w:t xml:space="preserve">, 16 April 2014, p. 2; </w:t>
      </w:r>
      <w:r w:rsidR="00C25C17">
        <w:t xml:space="preserve">Optus, </w:t>
      </w:r>
      <w:r w:rsidR="00C25C17">
        <w:rPr>
          <w:i/>
        </w:rPr>
        <w:t>Submission in response to ACCC’s consultation paper ‘Fixed line services FAD inquiry: Disclosure of report provided by Telstra under the Building Block Model Record Keeping Rule’</w:t>
      </w:r>
      <w:r w:rsidR="00C25C17">
        <w:t xml:space="preserve">, 16 April 2014, p. 1-2; </w:t>
      </w:r>
      <w:proofErr w:type="spellStart"/>
      <w:r>
        <w:t>iiNet</w:t>
      </w:r>
      <w:proofErr w:type="spellEnd"/>
      <w:r>
        <w:t xml:space="preserve"> Limited, </w:t>
      </w:r>
      <w:r>
        <w:rPr>
          <w:i/>
        </w:rPr>
        <w:t xml:space="preserve">Fixed Line Services FAD inquiry: Disclosure of report provided by Telstra under the Building Block Model Record Keeping Rule, Consultation Paper Submission by Thomson Geer Lawyers on behalf of </w:t>
      </w:r>
      <w:proofErr w:type="spellStart"/>
      <w:r>
        <w:rPr>
          <w:i/>
        </w:rPr>
        <w:t>iiNet</w:t>
      </w:r>
      <w:proofErr w:type="spellEnd"/>
      <w:r>
        <w:rPr>
          <w:i/>
        </w:rPr>
        <w:t xml:space="preserve"> Limited</w:t>
      </w:r>
      <w:r>
        <w:t xml:space="preserve">, 16 April 2014, p. </w:t>
      </w:r>
      <w:r w:rsidR="003471B6">
        <w:t>1</w:t>
      </w:r>
      <w:r>
        <w:t>.</w:t>
      </w:r>
    </w:p>
  </w:footnote>
  <w:footnote w:id="10">
    <w:p w:rsidR="007E77B7" w:rsidRDefault="007E77B7" w:rsidP="0087655E">
      <w:pPr>
        <w:pStyle w:val="FootnoteText"/>
      </w:pPr>
      <w:r>
        <w:rPr>
          <w:rStyle w:val="FootnoteReference"/>
        </w:rPr>
        <w:footnoteRef/>
      </w:r>
      <w:r>
        <w:t xml:space="preserve"> </w:t>
      </w:r>
      <w:r>
        <w:tab/>
      </w:r>
      <w:r>
        <w:tab/>
        <w:t xml:space="preserve">See, for example, percentage changes to key product revenue on page 13 of the </w:t>
      </w:r>
      <w:r w:rsidRPr="00943A0E">
        <w:rPr>
          <w:rStyle w:val="Italic"/>
        </w:rPr>
        <w:t>Telstra Annual Report 2013</w:t>
      </w:r>
      <w:r>
        <w:t xml:space="preserve"> and the capital expenditure to sales ratio on </w:t>
      </w:r>
      <w:r w:rsidRPr="00943A0E">
        <w:t>page 1</w:t>
      </w:r>
      <w:r>
        <w:t>2.</w:t>
      </w:r>
    </w:p>
  </w:footnote>
  <w:footnote w:id="11">
    <w:p w:rsidR="007E77B7" w:rsidRDefault="007E77B7" w:rsidP="0087655E">
      <w:pPr>
        <w:pStyle w:val="FootnoteText"/>
      </w:pPr>
      <w:r>
        <w:rPr>
          <w:rStyle w:val="FootnoteReference"/>
        </w:rPr>
        <w:footnoteRef/>
      </w:r>
      <w:r>
        <w:t xml:space="preserve"> </w:t>
      </w:r>
      <w:r>
        <w:tab/>
      </w:r>
      <w:r>
        <w:tab/>
      </w:r>
      <w:r w:rsidRPr="005959BB">
        <w:t xml:space="preserve">For example, see ACCC, </w:t>
      </w:r>
      <w:r w:rsidRPr="005959BB">
        <w:rPr>
          <w:rStyle w:val="Italic"/>
        </w:rPr>
        <w:t>Current Cost Accounting Record Keeping and Reporting Rules Report - 2H 2012-13 and FY 2012-13</w:t>
      </w:r>
      <w:r w:rsidRPr="005959BB">
        <w:t xml:space="preserve">, </w:t>
      </w:r>
      <w:hyperlink r:id="rId1" w:history="1">
        <w:r w:rsidRPr="005959BB">
          <w:rPr>
            <w:rStyle w:val="Hyperlink"/>
          </w:rPr>
          <w:t>http://www.accc.gov.au/publications/current-cost-accounting-report-cca/current-cost-accounting-record-keeping-and-reporting-rules-report-2h-2012-13-and-fy-2012-13</w:t>
        </w:r>
      </w:hyperlink>
      <w:r>
        <w:t xml:space="preserve"> </w:t>
      </w:r>
    </w:p>
  </w:footnote>
  <w:footnote w:id="12">
    <w:p w:rsidR="007E77B7" w:rsidRDefault="007E77B7" w:rsidP="0087655E">
      <w:pPr>
        <w:pStyle w:val="FootnoteText"/>
      </w:pPr>
      <w:r>
        <w:rPr>
          <w:rStyle w:val="FootnoteReference"/>
        </w:rPr>
        <w:footnoteRef/>
      </w:r>
      <w:r>
        <w:t xml:space="preserve"> </w:t>
      </w:r>
      <w:r>
        <w:tab/>
      </w:r>
      <w:r>
        <w:tab/>
        <w:t xml:space="preserve">For example, information about the names of Telstra's databases is available here: </w:t>
      </w:r>
      <w:hyperlink r:id="rId2" w:history="1">
        <w:r w:rsidRPr="005D7A4A">
          <w:rPr>
            <w:rStyle w:val="Hyperlink"/>
          </w:rPr>
          <w:t>http://www.wahlstrom.com.au/database_management.php</w:t>
        </w:r>
      </w:hyperlink>
      <w:r>
        <w:t xml:space="preserve"> </w:t>
      </w:r>
    </w:p>
  </w:footnote>
  <w:footnote w:id="13">
    <w:p w:rsidR="008C6683" w:rsidRDefault="008C6683">
      <w:pPr>
        <w:pStyle w:val="FootnoteText"/>
      </w:pPr>
      <w:r>
        <w:rPr>
          <w:rStyle w:val="FootnoteReference"/>
        </w:rPr>
        <w:footnoteRef/>
      </w:r>
      <w:r>
        <w:t xml:space="preserve"> </w:t>
      </w:r>
      <w:r>
        <w:tab/>
      </w:r>
      <w:r>
        <w:tab/>
      </w:r>
      <w:r w:rsidR="00CB39FF">
        <w:t xml:space="preserve">Telstra, </w:t>
      </w:r>
      <w:r w:rsidR="00CB39FF">
        <w:rPr>
          <w:i/>
        </w:rPr>
        <w:t>Submission: Fixed Line Services FAD Inquiry – Response to ACCC Consultation Paper on Disclosure of Report Provided by Telstra under the Building Block Model Record Keeping Rule</w:t>
      </w:r>
      <w:r w:rsidR="00CB39FF">
        <w:t xml:space="preserve">, 17 April 2014, p.5. </w:t>
      </w:r>
      <w:r>
        <w:t xml:space="preserve">Optus, </w:t>
      </w:r>
      <w:r>
        <w:rPr>
          <w:i/>
        </w:rPr>
        <w:t>Submission in response to ACCC’s consultation paper ‘Fixed line services FAD inquiry: Disclosure of report provided by Telstra under the Building Block Model Record Keeping Rule’</w:t>
      </w:r>
      <w:r>
        <w:t xml:space="preserve">, 16 April 2014, p. 1; Macquarie Telecom, </w:t>
      </w:r>
      <w:r w:rsidRPr="004C0F92">
        <w:rPr>
          <w:i/>
        </w:rPr>
        <w:t>Submission: Fixed Line Services FAD Inquiry – Disclosure of Report Provided by Telstra</w:t>
      </w:r>
      <w:r>
        <w:t xml:space="preserve">, 16 April 2014, p. </w:t>
      </w:r>
      <w:r w:rsidR="00BE7FBF">
        <w:t>2</w:t>
      </w:r>
      <w:r>
        <w:t>-</w:t>
      </w:r>
      <w:r w:rsidR="00BE7FBF">
        <w:t>3</w:t>
      </w:r>
      <w:r>
        <w:t xml:space="preserve">; </w:t>
      </w:r>
      <w:proofErr w:type="spellStart"/>
      <w:r>
        <w:t>iiNet</w:t>
      </w:r>
      <w:proofErr w:type="spellEnd"/>
      <w:r>
        <w:t xml:space="preserve"> Limited, </w:t>
      </w:r>
      <w:r>
        <w:rPr>
          <w:i/>
        </w:rPr>
        <w:t xml:space="preserve">Fixed Line Services FAD inquiry: Disclosure of report provided by Telstra under the Building Block Model Record Keeping Rule, Consultation Paper Submission by Thomson Geer Lawyers on behalf of </w:t>
      </w:r>
      <w:proofErr w:type="spellStart"/>
      <w:r>
        <w:rPr>
          <w:i/>
        </w:rPr>
        <w:t>iiNet</w:t>
      </w:r>
      <w:proofErr w:type="spellEnd"/>
      <w:r>
        <w:rPr>
          <w:i/>
        </w:rPr>
        <w:t xml:space="preserve"> Limited</w:t>
      </w:r>
      <w:r>
        <w:t>, 16 April 2014, p. 1.</w:t>
      </w:r>
    </w:p>
  </w:footnote>
  <w:footnote w:id="14">
    <w:p w:rsidR="00E22A90" w:rsidRDefault="00E22A90">
      <w:pPr>
        <w:pStyle w:val="FootnoteText"/>
      </w:pPr>
      <w:r>
        <w:rPr>
          <w:rStyle w:val="FootnoteReference"/>
        </w:rPr>
        <w:footnoteRef/>
      </w:r>
      <w:r>
        <w:t xml:space="preserve"> </w:t>
      </w:r>
      <w:r>
        <w:tab/>
      </w:r>
      <w:r>
        <w:tab/>
        <w:t xml:space="preserve">The ACCC agrees with Macquarie Telecom’s submission that the public extracts should also be available for inspection at the ACCC’s Sydney and Canberra offices: Macquarie Telecom, </w:t>
      </w:r>
      <w:r w:rsidRPr="004C0F92">
        <w:rPr>
          <w:i/>
        </w:rPr>
        <w:t>Submission: Fixed Line Services FAD Inquiry – Disclosure of Report Provided by Telstra</w:t>
      </w:r>
      <w:r>
        <w:t>, 16 April 2014, p. 5.</w:t>
      </w:r>
    </w:p>
  </w:footnote>
  <w:footnote w:id="15">
    <w:p w:rsidR="00627246" w:rsidRDefault="00627246" w:rsidP="00627246">
      <w:pPr>
        <w:pStyle w:val="FootnoteText"/>
      </w:pPr>
      <w:r>
        <w:rPr>
          <w:rStyle w:val="FootnoteReference"/>
        </w:rPr>
        <w:footnoteRef/>
      </w:r>
      <w:r>
        <w:t xml:space="preserve"> </w:t>
      </w:r>
      <w:r w:rsidR="00E22A90">
        <w:tab/>
      </w:r>
      <w:r w:rsidR="00E22A90">
        <w:tab/>
      </w:r>
      <w:r w:rsidR="009155E5">
        <w:t xml:space="preserve">Telstra, </w:t>
      </w:r>
      <w:r w:rsidR="009155E5">
        <w:rPr>
          <w:i/>
        </w:rPr>
        <w:t>Submission: Fixed Line Services FAD Inquiry – Response to ACCC Consultation Paper on Disclosure of Report Provided by Telstra under the Building Block Model Record Keeping Rule</w:t>
      </w:r>
      <w:r w:rsidR="009155E5">
        <w:t>, 17 April 2014, p.4.</w:t>
      </w:r>
    </w:p>
  </w:footnote>
  <w:footnote w:id="16">
    <w:p w:rsidR="00806CEA" w:rsidRDefault="00806CEA" w:rsidP="00806CEA">
      <w:pPr>
        <w:pStyle w:val="FootnoteText"/>
      </w:pPr>
      <w:r>
        <w:rPr>
          <w:rStyle w:val="FootnoteReference"/>
        </w:rPr>
        <w:footnoteRef/>
      </w:r>
      <w:r>
        <w:t xml:space="preserve"> </w:t>
      </w:r>
      <w:r w:rsidR="00E22A90">
        <w:tab/>
      </w:r>
      <w:r w:rsidR="00E22A90">
        <w:tab/>
      </w:r>
      <w:r w:rsidR="00A72643">
        <w:t>Ibid</w:t>
      </w:r>
    </w:p>
  </w:footnote>
  <w:footnote w:id="17">
    <w:p w:rsidR="00051B22" w:rsidRDefault="00051B22" w:rsidP="00051B22">
      <w:pPr>
        <w:pStyle w:val="FootnoteText"/>
      </w:pPr>
      <w:r>
        <w:rPr>
          <w:rStyle w:val="FootnoteReference"/>
        </w:rPr>
        <w:footnoteRef/>
      </w:r>
      <w:r>
        <w:t xml:space="preserve"> </w:t>
      </w:r>
      <w:r>
        <w:tab/>
      </w:r>
      <w:r>
        <w:tab/>
        <w:t xml:space="preserve">Macquarie Telecom, </w:t>
      </w:r>
      <w:r w:rsidRPr="004C0F92">
        <w:rPr>
          <w:i/>
        </w:rPr>
        <w:t>Submission: Fixed Line Services FAD Inquiry – Disclosure of Report Provided by Telstra</w:t>
      </w:r>
      <w:r>
        <w:t>, 16 April 2014, p. 2.</w:t>
      </w:r>
    </w:p>
  </w:footnote>
  <w:footnote w:id="18">
    <w:p w:rsidR="00051B22" w:rsidRDefault="00051B22" w:rsidP="00051B22">
      <w:pPr>
        <w:pStyle w:val="FootnoteText"/>
      </w:pPr>
      <w:r>
        <w:rPr>
          <w:rStyle w:val="FootnoteReference"/>
        </w:rPr>
        <w:footnoteRef/>
      </w:r>
      <w:r>
        <w:t xml:space="preserve"> </w:t>
      </w:r>
      <w:r>
        <w:tab/>
      </w:r>
      <w:r>
        <w:tab/>
        <w:t>Ibid.</w:t>
      </w:r>
    </w:p>
  </w:footnote>
  <w:footnote w:id="19">
    <w:p w:rsidR="00512667" w:rsidRDefault="00512667" w:rsidP="00512667">
      <w:pPr>
        <w:pStyle w:val="FootnoteText"/>
      </w:pPr>
      <w:r>
        <w:rPr>
          <w:rStyle w:val="FootnoteReference"/>
        </w:rPr>
        <w:footnoteRef/>
      </w:r>
      <w:r>
        <w:t xml:space="preserve"> </w:t>
      </w:r>
      <w:r w:rsidR="000449BF">
        <w:tab/>
      </w:r>
      <w:r w:rsidR="000449BF">
        <w:tab/>
      </w:r>
      <w:r>
        <w:t>Section 152AG of the CCA defines an 'access seeker' to be a service</w:t>
      </w:r>
      <w:r w:rsidRPr="002058A1">
        <w:t xml:space="preserve"> provider </w:t>
      </w:r>
      <w:r>
        <w:t xml:space="preserve">who </w:t>
      </w:r>
      <w:r w:rsidRPr="002058A1">
        <w:t xml:space="preserve">makes, or proposes to make, a request </w:t>
      </w:r>
      <w:r>
        <w:t xml:space="preserve">for access or interconnection </w:t>
      </w:r>
      <w:r w:rsidRPr="002058A1">
        <w:t>in relation to that service</w:t>
      </w:r>
      <w:r>
        <w:t>.</w:t>
      </w:r>
    </w:p>
  </w:footnote>
  <w:footnote w:id="20">
    <w:p w:rsidR="000449BF" w:rsidRPr="000449BF" w:rsidRDefault="000449BF">
      <w:pPr>
        <w:pStyle w:val="FootnoteText"/>
      </w:pPr>
      <w:r>
        <w:rPr>
          <w:rStyle w:val="FootnoteReference"/>
        </w:rPr>
        <w:footnoteRef/>
      </w:r>
      <w:r>
        <w:t xml:space="preserve"> </w:t>
      </w:r>
      <w:r>
        <w:tab/>
      </w:r>
      <w:r>
        <w:tab/>
        <w:t xml:space="preserve">Optus, </w:t>
      </w:r>
      <w:r>
        <w:rPr>
          <w:i/>
        </w:rPr>
        <w:t>Submission in response to ACCC’s consultation paper ‘Fixed line services FAD inquiry: Disclosure of report provided by Telstra under the Building Block Model Record Keeping Rule’</w:t>
      </w:r>
      <w:r>
        <w:t xml:space="preserve">, 16 April 2014, p. 2; Macquarie Telecom, </w:t>
      </w:r>
      <w:r w:rsidRPr="004C0F92">
        <w:rPr>
          <w:i/>
        </w:rPr>
        <w:t>Submission: Fixed Line Services FAD Inquiry – Disclosure of Report Provided by Telstra</w:t>
      </w:r>
      <w:r>
        <w:t xml:space="preserve">, 16 April 2014, p. </w:t>
      </w:r>
      <w:r w:rsidR="00912652">
        <w:t>3</w:t>
      </w:r>
      <w:r>
        <w:t xml:space="preserve">; </w:t>
      </w:r>
      <w:proofErr w:type="spellStart"/>
      <w:r>
        <w:t>iiNet</w:t>
      </w:r>
      <w:proofErr w:type="spellEnd"/>
      <w:r>
        <w:t xml:space="preserve"> Limited, </w:t>
      </w:r>
      <w:r>
        <w:rPr>
          <w:i/>
        </w:rPr>
        <w:t xml:space="preserve">Fixed Line Services FAD inquiry: Disclosure of report provided by Telstra under the Building Block Model Record Keeping Rule, Consultation Paper Submission by Thomson Geer Lawyers on behalf of </w:t>
      </w:r>
      <w:proofErr w:type="spellStart"/>
      <w:r>
        <w:rPr>
          <w:i/>
        </w:rPr>
        <w:t>iiNet</w:t>
      </w:r>
      <w:proofErr w:type="spellEnd"/>
      <w:r>
        <w:rPr>
          <w:i/>
        </w:rPr>
        <w:t xml:space="preserve"> Limited</w:t>
      </w:r>
      <w:r>
        <w:t xml:space="preserve">, 16 April 2014, p. </w:t>
      </w:r>
      <w:r w:rsidR="00D3767E">
        <w:t>1</w:t>
      </w:r>
      <w:r>
        <w:t>.</w:t>
      </w:r>
    </w:p>
  </w:footnote>
  <w:footnote w:id="21">
    <w:p w:rsidR="00C66841" w:rsidRPr="00C66841" w:rsidRDefault="00C66841">
      <w:pPr>
        <w:pStyle w:val="FootnoteText"/>
      </w:pPr>
      <w:r>
        <w:rPr>
          <w:rStyle w:val="FootnoteReference"/>
        </w:rPr>
        <w:footnoteRef/>
      </w:r>
      <w:r>
        <w:t xml:space="preserve"> </w:t>
      </w:r>
      <w:r>
        <w:tab/>
      </w:r>
      <w:r>
        <w:tab/>
        <w:t xml:space="preserve">Telstra, </w:t>
      </w:r>
      <w:r>
        <w:rPr>
          <w:i/>
        </w:rPr>
        <w:t xml:space="preserve">Submission: Fixed Line Services FAD Inquiry – </w:t>
      </w:r>
      <w:r w:rsidR="00E82C01">
        <w:rPr>
          <w:i/>
        </w:rPr>
        <w:t>Response to ACCC Consultation Paper on Disclosure</w:t>
      </w:r>
      <w:r>
        <w:rPr>
          <w:i/>
        </w:rPr>
        <w:t xml:space="preserve"> of Report Provided by Telstra</w:t>
      </w:r>
      <w:r w:rsidR="00E82C01">
        <w:rPr>
          <w:i/>
        </w:rPr>
        <w:t xml:space="preserve"> under the Building Block Model Record Keeping Rule</w:t>
      </w:r>
      <w:r>
        <w:t xml:space="preserve">, </w:t>
      </w:r>
      <w:r w:rsidR="00E82C01">
        <w:t>17 April 2014, p. 5.</w:t>
      </w:r>
    </w:p>
  </w:footnote>
  <w:footnote w:id="22">
    <w:p w:rsidR="007E77B7" w:rsidRDefault="007E77B7" w:rsidP="00273F0D">
      <w:pPr>
        <w:pStyle w:val="FootnoteText"/>
      </w:pPr>
      <w:r>
        <w:rPr>
          <w:rStyle w:val="FootnoteReference"/>
        </w:rPr>
        <w:footnoteRef/>
      </w:r>
      <w:r>
        <w:t xml:space="preserve"> </w:t>
      </w:r>
      <w:r>
        <w:tab/>
      </w:r>
      <w:r>
        <w:tab/>
        <w:t>BBM RKR, rule 9(e).</w:t>
      </w:r>
    </w:p>
  </w:footnote>
  <w:footnote w:id="23">
    <w:p w:rsidR="003C3B44" w:rsidRDefault="003C3B44" w:rsidP="003C3B44">
      <w:pPr>
        <w:pStyle w:val="FootnoteText"/>
      </w:pPr>
      <w:r>
        <w:rPr>
          <w:rStyle w:val="FootnoteReference"/>
        </w:rPr>
        <w:footnoteRef/>
      </w:r>
      <w:r>
        <w:t xml:space="preserve"> </w:t>
      </w:r>
      <w:r>
        <w:tab/>
      </w:r>
      <w:r>
        <w:tab/>
        <w:t xml:space="preserve">Macquarie Telecom, </w:t>
      </w:r>
      <w:r w:rsidRPr="004C0F92">
        <w:rPr>
          <w:i/>
        </w:rPr>
        <w:t>Submission: Fixed Line Services FAD Inquiry – Disclosure of Report Provided by Telstra</w:t>
      </w:r>
      <w:r>
        <w:t xml:space="preserve">, 16 April 2014, p. </w:t>
      </w:r>
      <w:r w:rsidR="00912652">
        <w:t>3</w:t>
      </w:r>
      <w:r w:rsidR="000449BF">
        <w:t>.</w:t>
      </w:r>
    </w:p>
  </w:footnote>
  <w:footnote w:id="24">
    <w:p w:rsidR="007E77B7" w:rsidRDefault="007E77B7" w:rsidP="00DB52BE">
      <w:pPr>
        <w:pStyle w:val="FootnoteText"/>
      </w:pPr>
      <w:r>
        <w:rPr>
          <w:rStyle w:val="FootnoteReference"/>
        </w:rPr>
        <w:footnoteRef/>
      </w:r>
      <w:r>
        <w:t xml:space="preserve"> </w:t>
      </w:r>
      <w:r>
        <w:tab/>
      </w:r>
      <w:r>
        <w:tab/>
        <w:t xml:space="preserve">CCA, subs. </w:t>
      </w:r>
      <w:proofErr w:type="gramStart"/>
      <w:r>
        <w:t>151BUA(</w:t>
      </w:r>
      <w:proofErr w:type="gramEnd"/>
      <w:r>
        <w:t>11).</w:t>
      </w:r>
    </w:p>
  </w:footnote>
  <w:footnote w:id="25">
    <w:p w:rsidR="00E22A90" w:rsidRDefault="00E22A90">
      <w:pPr>
        <w:pStyle w:val="FootnoteText"/>
      </w:pPr>
      <w:r>
        <w:rPr>
          <w:rStyle w:val="FootnoteReference"/>
        </w:rPr>
        <w:footnoteRef/>
      </w:r>
      <w:r>
        <w:t xml:space="preserve"> </w:t>
      </w:r>
      <w:r>
        <w:tab/>
      </w:r>
      <w:r>
        <w:tab/>
        <w:t xml:space="preserve">Optus, </w:t>
      </w:r>
      <w:r>
        <w:rPr>
          <w:i/>
        </w:rPr>
        <w:t>Submission in response to ACCC’s consultation paper ‘Fixed line services FAD inquiry: Disclosure of report provided by Telstra under the Building Block Model Record Keeping Rule’</w:t>
      </w:r>
      <w:r>
        <w:t>, 16 April 2014, p</w:t>
      </w:r>
      <w:r w:rsidR="0033502C">
        <w:t>p</w:t>
      </w:r>
      <w:r>
        <w:t>.</w:t>
      </w:r>
      <w:r w:rsidR="0033502C">
        <w:t>1-</w:t>
      </w:r>
      <w:r>
        <w:t xml:space="preserve"> 2; Macquarie Telecom, </w:t>
      </w:r>
      <w:r w:rsidRPr="004C0F92">
        <w:rPr>
          <w:i/>
        </w:rPr>
        <w:t>Submission: Fixed Line Services FAD Inquiry – Disclosure of Report Provided by Telstra</w:t>
      </w:r>
      <w:r>
        <w:t xml:space="preserve">, 16 April 2014, p. 4-5; </w:t>
      </w:r>
      <w:proofErr w:type="spellStart"/>
      <w:r>
        <w:t>iiNet</w:t>
      </w:r>
      <w:proofErr w:type="spellEnd"/>
      <w:r>
        <w:t xml:space="preserve"> Limited, </w:t>
      </w:r>
      <w:r>
        <w:rPr>
          <w:i/>
        </w:rPr>
        <w:t xml:space="preserve">Fixed Line Services FAD inquiry: Disclosure of report provided by Telstra under the Building Block Model Record Keeping Rule, Consultation Paper Submission by Thomson Geer Lawyers on behalf of </w:t>
      </w:r>
      <w:proofErr w:type="spellStart"/>
      <w:r>
        <w:rPr>
          <w:i/>
        </w:rPr>
        <w:t>iiNet</w:t>
      </w:r>
      <w:proofErr w:type="spellEnd"/>
      <w:r>
        <w:rPr>
          <w:i/>
        </w:rPr>
        <w:t xml:space="preserve"> Limited</w:t>
      </w:r>
      <w:r>
        <w:t>, 16 April 2014, p. 1.</w:t>
      </w:r>
    </w:p>
  </w:footnote>
  <w:footnote w:id="26">
    <w:p w:rsidR="009412FD" w:rsidRDefault="009412FD">
      <w:pPr>
        <w:pStyle w:val="FootnoteText"/>
      </w:pPr>
      <w:r>
        <w:rPr>
          <w:rStyle w:val="FootnoteReference"/>
        </w:rPr>
        <w:footnoteRef/>
      </w:r>
      <w:r>
        <w:t xml:space="preserve"> </w:t>
      </w:r>
      <w:r>
        <w:tab/>
        <w:t xml:space="preserve">Telstra, </w:t>
      </w:r>
      <w:r>
        <w:rPr>
          <w:i/>
        </w:rPr>
        <w:t>Submission: Fixed Line Services FAD Inquiry – Response to ACCC Consultation Paper on Disclosure of Report Provided by Telstra under the Building Block Model Record Keeping Rule</w:t>
      </w:r>
      <w:r>
        <w:t xml:space="preserve">, 17 April 2014, </w:t>
      </w:r>
      <w:r w:rsidR="0037689B">
        <w:t>p</w:t>
      </w:r>
      <w:r>
        <w:t>p.</w:t>
      </w:r>
      <w:r w:rsidR="0037689B">
        <w:t>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08A" w:rsidRDefault="00A540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08A" w:rsidRDefault="00A540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4EF" w:rsidRPr="001134EF" w:rsidRDefault="001134EF" w:rsidP="001134EF">
    <w:pPr>
      <w:pStyle w:val="Header"/>
      <w:jc w:val="right"/>
      <w:rPr>
        <w:rFonts w:ascii="Times New Roman" w:hAnsi="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1ED75C"/>
    <w:lvl w:ilvl="0">
      <w:start w:val="1"/>
      <w:numFmt w:val="decimal"/>
      <w:lvlText w:val="%1."/>
      <w:lvlJc w:val="left"/>
      <w:pPr>
        <w:tabs>
          <w:tab w:val="num" w:pos="1492"/>
        </w:tabs>
        <w:ind w:left="1492" w:hanging="360"/>
      </w:pPr>
    </w:lvl>
  </w:abstractNum>
  <w:abstractNum w:abstractNumId="1">
    <w:nsid w:val="FFFFFF7D"/>
    <w:multiLevelType w:val="singleLevel"/>
    <w:tmpl w:val="2F122498"/>
    <w:lvl w:ilvl="0">
      <w:start w:val="1"/>
      <w:numFmt w:val="decimal"/>
      <w:lvlText w:val="%1."/>
      <w:lvlJc w:val="left"/>
      <w:pPr>
        <w:tabs>
          <w:tab w:val="num" w:pos="1209"/>
        </w:tabs>
        <w:ind w:left="1209" w:hanging="360"/>
      </w:pPr>
    </w:lvl>
  </w:abstractNum>
  <w:abstractNum w:abstractNumId="2">
    <w:nsid w:val="FFFFFF7E"/>
    <w:multiLevelType w:val="singleLevel"/>
    <w:tmpl w:val="1A52284C"/>
    <w:lvl w:ilvl="0">
      <w:start w:val="1"/>
      <w:numFmt w:val="decimal"/>
      <w:lvlText w:val="%1."/>
      <w:lvlJc w:val="left"/>
      <w:pPr>
        <w:tabs>
          <w:tab w:val="num" w:pos="926"/>
        </w:tabs>
        <w:ind w:left="926" w:hanging="360"/>
      </w:pPr>
    </w:lvl>
  </w:abstractNum>
  <w:abstractNum w:abstractNumId="3">
    <w:nsid w:val="FFFFFF7F"/>
    <w:multiLevelType w:val="singleLevel"/>
    <w:tmpl w:val="B93E2F6A"/>
    <w:lvl w:ilvl="0">
      <w:start w:val="1"/>
      <w:numFmt w:val="decimal"/>
      <w:lvlText w:val="%1."/>
      <w:lvlJc w:val="left"/>
      <w:pPr>
        <w:tabs>
          <w:tab w:val="num" w:pos="643"/>
        </w:tabs>
        <w:ind w:left="643" w:hanging="360"/>
      </w:pPr>
    </w:lvl>
  </w:abstractNum>
  <w:abstractNum w:abstractNumId="4">
    <w:nsid w:val="FFFFFF80"/>
    <w:multiLevelType w:val="singleLevel"/>
    <w:tmpl w:val="344CB3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4EF816"/>
    <w:lvl w:ilvl="0">
      <w:start w:val="1"/>
      <w:numFmt w:val="bullet"/>
      <w:lvlText w:val=""/>
      <w:lvlJc w:val="left"/>
      <w:pPr>
        <w:tabs>
          <w:tab w:val="num" w:pos="1209"/>
        </w:tabs>
        <w:ind w:left="1209" w:hanging="360"/>
      </w:pPr>
      <w:rPr>
        <w:rFonts w:ascii="Symbol" w:hAnsi="Symbol" w:hint="default"/>
      </w:rPr>
    </w:lvl>
  </w:abstractNum>
  <w:abstractNum w:abstractNumId="6">
    <w:nsid w:val="FFFFFF83"/>
    <w:multiLevelType w:val="singleLevel"/>
    <w:tmpl w:val="203ABD18"/>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07E416A2"/>
    <w:lvl w:ilvl="0">
      <w:start w:val="1"/>
      <w:numFmt w:val="decimal"/>
      <w:lvlText w:val="%1."/>
      <w:lvlJc w:val="left"/>
      <w:pPr>
        <w:tabs>
          <w:tab w:val="num" w:pos="360"/>
        </w:tabs>
        <w:ind w:left="360" w:hanging="360"/>
      </w:pPr>
    </w:lvl>
  </w:abstractNum>
  <w:abstractNum w:abstractNumId="8">
    <w:nsid w:val="FFFFFF89"/>
    <w:multiLevelType w:val="singleLevel"/>
    <w:tmpl w:val="D06C6D5C"/>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63D703A"/>
    <w:multiLevelType w:val="hybridMultilevel"/>
    <w:tmpl w:val="B58A01DC"/>
    <w:lvl w:ilvl="0" w:tplc="B87C24C6">
      <w:start w:val="1"/>
      <w:numFmt w:val="decimal"/>
      <w:pStyle w:val="NormalNumbered5"/>
      <w:lvlText w:val="5.%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79025BA"/>
    <w:multiLevelType w:val="hybridMultilevel"/>
    <w:tmpl w:val="C0287A38"/>
    <w:lvl w:ilvl="0" w:tplc="1390F12C">
      <w:start w:val="1"/>
      <w:numFmt w:val="bullet"/>
      <w:pStyle w:val="ListBullet3"/>
      <w:lvlText w:val=""/>
      <w:lvlJc w:val="left"/>
      <w:pPr>
        <w:ind w:left="1494" w:hanging="360"/>
      </w:pPr>
      <w:rPr>
        <w:rFonts w:ascii="Wingdings" w:hAnsi="Wingdings" w:hint="default"/>
        <w:sz w:val="22"/>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1">
    <w:nsid w:val="33352FA9"/>
    <w:multiLevelType w:val="hybridMultilevel"/>
    <w:tmpl w:val="DC6A682E"/>
    <w:lvl w:ilvl="0" w:tplc="418A9808">
      <w:start w:val="1"/>
      <w:numFmt w:val="bullet"/>
      <w:lvlText w:val=""/>
      <w:lvlJc w:val="left"/>
      <w:pPr>
        <w:ind w:left="360" w:hanging="360"/>
      </w:pPr>
      <w:rPr>
        <w:rFonts w:ascii="Symbol" w:hAnsi="Symbol" w:hint="default"/>
        <w:sz w:val="22"/>
      </w:rPr>
    </w:lvl>
    <w:lvl w:ilvl="1" w:tplc="0C090003">
      <w:start w:val="1"/>
      <w:numFmt w:val="bullet"/>
      <w:lvlText w:val="o"/>
      <w:lvlJc w:val="left"/>
      <w:pPr>
        <w:tabs>
          <w:tab w:val="num" w:pos="723"/>
        </w:tabs>
        <w:ind w:left="723" w:hanging="360"/>
      </w:pPr>
      <w:rPr>
        <w:rFonts w:ascii="Courier New" w:hAnsi="Courier New" w:cs="Courier New" w:hint="default"/>
      </w:rPr>
    </w:lvl>
    <w:lvl w:ilvl="2" w:tplc="0C090005" w:tentative="1">
      <w:start w:val="1"/>
      <w:numFmt w:val="bullet"/>
      <w:lvlText w:val=""/>
      <w:lvlJc w:val="left"/>
      <w:pPr>
        <w:tabs>
          <w:tab w:val="num" w:pos="1443"/>
        </w:tabs>
        <w:ind w:left="1443" w:hanging="360"/>
      </w:pPr>
      <w:rPr>
        <w:rFonts w:ascii="Wingdings" w:hAnsi="Wingdings" w:hint="default"/>
      </w:rPr>
    </w:lvl>
    <w:lvl w:ilvl="3" w:tplc="0C090001" w:tentative="1">
      <w:start w:val="1"/>
      <w:numFmt w:val="bullet"/>
      <w:lvlText w:val=""/>
      <w:lvlJc w:val="left"/>
      <w:pPr>
        <w:tabs>
          <w:tab w:val="num" w:pos="2163"/>
        </w:tabs>
        <w:ind w:left="2163" w:hanging="360"/>
      </w:pPr>
      <w:rPr>
        <w:rFonts w:ascii="Symbol" w:hAnsi="Symbol" w:hint="default"/>
      </w:rPr>
    </w:lvl>
    <w:lvl w:ilvl="4" w:tplc="0C090003" w:tentative="1">
      <w:start w:val="1"/>
      <w:numFmt w:val="bullet"/>
      <w:lvlText w:val="o"/>
      <w:lvlJc w:val="left"/>
      <w:pPr>
        <w:tabs>
          <w:tab w:val="num" w:pos="2883"/>
        </w:tabs>
        <w:ind w:left="2883" w:hanging="360"/>
      </w:pPr>
      <w:rPr>
        <w:rFonts w:ascii="Courier New" w:hAnsi="Courier New" w:cs="Courier New" w:hint="default"/>
      </w:rPr>
    </w:lvl>
    <w:lvl w:ilvl="5" w:tplc="0C090005" w:tentative="1">
      <w:start w:val="1"/>
      <w:numFmt w:val="bullet"/>
      <w:lvlText w:val=""/>
      <w:lvlJc w:val="left"/>
      <w:pPr>
        <w:tabs>
          <w:tab w:val="num" w:pos="3603"/>
        </w:tabs>
        <w:ind w:left="3603" w:hanging="360"/>
      </w:pPr>
      <w:rPr>
        <w:rFonts w:ascii="Wingdings" w:hAnsi="Wingdings" w:hint="default"/>
      </w:rPr>
    </w:lvl>
    <w:lvl w:ilvl="6" w:tplc="0C090001" w:tentative="1">
      <w:start w:val="1"/>
      <w:numFmt w:val="bullet"/>
      <w:lvlText w:val=""/>
      <w:lvlJc w:val="left"/>
      <w:pPr>
        <w:tabs>
          <w:tab w:val="num" w:pos="4323"/>
        </w:tabs>
        <w:ind w:left="4323" w:hanging="360"/>
      </w:pPr>
      <w:rPr>
        <w:rFonts w:ascii="Symbol" w:hAnsi="Symbol" w:hint="default"/>
      </w:rPr>
    </w:lvl>
    <w:lvl w:ilvl="7" w:tplc="0C090003" w:tentative="1">
      <w:start w:val="1"/>
      <w:numFmt w:val="bullet"/>
      <w:lvlText w:val="o"/>
      <w:lvlJc w:val="left"/>
      <w:pPr>
        <w:tabs>
          <w:tab w:val="num" w:pos="5043"/>
        </w:tabs>
        <w:ind w:left="5043" w:hanging="360"/>
      </w:pPr>
      <w:rPr>
        <w:rFonts w:ascii="Courier New" w:hAnsi="Courier New" w:cs="Courier New" w:hint="default"/>
      </w:rPr>
    </w:lvl>
    <w:lvl w:ilvl="8" w:tplc="0C090005" w:tentative="1">
      <w:start w:val="1"/>
      <w:numFmt w:val="bullet"/>
      <w:lvlText w:val=""/>
      <w:lvlJc w:val="left"/>
      <w:pPr>
        <w:tabs>
          <w:tab w:val="num" w:pos="5763"/>
        </w:tabs>
        <w:ind w:left="5763" w:hanging="360"/>
      </w:pPr>
      <w:rPr>
        <w:rFonts w:ascii="Wingdings" w:hAnsi="Wingdings" w:hint="default"/>
      </w:rPr>
    </w:lvl>
  </w:abstractNum>
  <w:abstractNum w:abstractNumId="12">
    <w:nsid w:val="3B0A2260"/>
    <w:multiLevelType w:val="hybridMultilevel"/>
    <w:tmpl w:val="3C68CC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ED47B72"/>
    <w:multiLevelType w:val="hybridMultilevel"/>
    <w:tmpl w:val="50A4FB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81100D5"/>
    <w:multiLevelType w:val="hybridMultilevel"/>
    <w:tmpl w:val="371ECC96"/>
    <w:lvl w:ilvl="0" w:tplc="DCBA8916">
      <w:start w:val="1"/>
      <w:numFmt w:val="bullet"/>
      <w:pStyle w:val="tabletextindentbullet"/>
      <w:lvlText w:val="•"/>
      <w:lvlJc w:val="left"/>
      <w:pPr>
        <w:ind w:left="720" w:hanging="360"/>
      </w:pPr>
      <w:rPr>
        <w:rFonts w:ascii="Times New Roman" w:hAnsi="Times New Roman" w:cs="Times New Roman"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9C01B22"/>
    <w:multiLevelType w:val="hybridMultilevel"/>
    <w:tmpl w:val="36E44840"/>
    <w:lvl w:ilvl="0" w:tplc="139EFC5E">
      <w:start w:val="1"/>
      <w:numFmt w:val="bullet"/>
      <w:lvlText w:val="o"/>
      <w:lvlJc w:val="left"/>
      <w:pPr>
        <w:ind w:left="927" w:hanging="360"/>
      </w:pPr>
      <w:rPr>
        <w:rFonts w:ascii="Courier New" w:hAnsi="Courier New" w:cs="Courier New" w:hint="default"/>
        <w:sz w:val="22"/>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6">
    <w:nsid w:val="4DEA3F09"/>
    <w:multiLevelType w:val="hybridMultilevel"/>
    <w:tmpl w:val="D4A2FE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4EF010E2"/>
    <w:multiLevelType w:val="multilevel"/>
    <w:tmpl w:val="32F2F47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8E46B80"/>
    <w:multiLevelType w:val="hybridMultilevel"/>
    <w:tmpl w:val="E7F2DD4C"/>
    <w:lvl w:ilvl="0" w:tplc="4ECA0A42">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F0A5DB3"/>
    <w:multiLevelType w:val="multilevel"/>
    <w:tmpl w:val="B094CBF6"/>
    <w:lvl w:ilvl="0">
      <w:start w:val="1"/>
      <w:numFmt w:val="decimal"/>
      <w:pStyle w:val="Multi-levellist1"/>
      <w:isLgl/>
      <w:lvlText w:val="%1."/>
      <w:lvlJc w:val="left"/>
      <w:pPr>
        <w:tabs>
          <w:tab w:val="num" w:pos="567"/>
        </w:tabs>
        <w:ind w:left="567" w:hanging="567"/>
      </w:pPr>
      <w:rPr>
        <w:rFonts w:hint="default"/>
      </w:rPr>
    </w:lvl>
    <w:lvl w:ilvl="1">
      <w:start w:val="1"/>
      <w:numFmt w:val="decimal"/>
      <w:pStyle w:val="Multi-levellist2"/>
      <w:lvlText w:val="%1.%2."/>
      <w:lvlJc w:val="left"/>
      <w:pPr>
        <w:tabs>
          <w:tab w:val="num" w:pos="567"/>
        </w:tabs>
        <w:ind w:left="567" w:hanging="567"/>
      </w:pPr>
      <w:rPr>
        <w:rFonts w:hint="default"/>
      </w:rPr>
    </w:lvl>
    <w:lvl w:ilvl="2">
      <w:start w:val="1"/>
      <w:numFmt w:val="decimal"/>
      <w:pStyle w:val="Multilevellist3"/>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0">
    <w:nsid w:val="62BF0998"/>
    <w:multiLevelType w:val="hybridMultilevel"/>
    <w:tmpl w:val="4CB89E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472440D"/>
    <w:multiLevelType w:val="multilevel"/>
    <w:tmpl w:val="E4DECE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6A45309E"/>
    <w:multiLevelType w:val="multilevel"/>
    <w:tmpl w:val="EE50071E"/>
    <w:lvl w:ilvl="0">
      <w:start w:val="1"/>
      <w:numFmt w:val="decimal"/>
      <w:lvlText w:val="(%1)"/>
      <w:lvlJc w:val="left"/>
      <w:pPr>
        <w:tabs>
          <w:tab w:val="num" w:pos="720"/>
        </w:tabs>
        <w:ind w:left="720" w:hanging="436"/>
      </w:pPr>
      <w:rPr>
        <w:rFonts w:hint="default"/>
        <w:b w:val="0"/>
      </w:rPr>
    </w:lvl>
    <w:lvl w:ilvl="1">
      <w:start w:val="1"/>
      <w:numFmt w:val="lowerLetter"/>
      <w:lvlText w:val="(%2)"/>
      <w:lvlJc w:val="left"/>
      <w:pPr>
        <w:tabs>
          <w:tab w:val="num" w:pos="1247"/>
        </w:tabs>
        <w:ind w:left="1247" w:hanging="453"/>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1"/>
  </w:num>
  <w:num w:numId="2">
    <w:abstractNumId w:val="15"/>
  </w:num>
  <w:num w:numId="3">
    <w:abstractNumId w:val="10"/>
  </w:num>
  <w:num w:numId="4">
    <w:abstractNumId w:val="14"/>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21"/>
  </w:num>
  <w:num w:numId="15">
    <w:abstractNumId w:val="8"/>
  </w:num>
  <w:num w:numId="16">
    <w:abstractNumId w:val="16"/>
  </w:num>
  <w:num w:numId="17">
    <w:abstractNumId w:val="12"/>
  </w:num>
  <w:num w:numId="18">
    <w:abstractNumId w:val="22"/>
  </w:num>
  <w:num w:numId="19">
    <w:abstractNumId w:val="6"/>
  </w:num>
  <w:num w:numId="20">
    <w:abstractNumId w:val="11"/>
  </w:num>
  <w:num w:numId="21">
    <w:abstractNumId w:val="8"/>
  </w:num>
  <w:num w:numId="22">
    <w:abstractNumId w:val="17"/>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9"/>
  </w:num>
  <w:num w:numId="26">
    <w:abstractNumId w:val="20"/>
  </w:num>
  <w:num w:numId="27">
    <w:abstractNumId w:val="1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SCBRFS001\home$\zsoti\apfa-publish - fsr fad - state (D2014-00037350).docx"/>
  </w:docVars>
  <w:rsids>
    <w:rsidRoot w:val="000F3ADB"/>
    <w:rsid w:val="00006264"/>
    <w:rsid w:val="00012DF9"/>
    <w:rsid w:val="00013B60"/>
    <w:rsid w:val="00014E0D"/>
    <w:rsid w:val="00017CB6"/>
    <w:rsid w:val="00020F97"/>
    <w:rsid w:val="000215A7"/>
    <w:rsid w:val="000260BD"/>
    <w:rsid w:val="00037FF3"/>
    <w:rsid w:val="00040659"/>
    <w:rsid w:val="000407C8"/>
    <w:rsid w:val="0004167D"/>
    <w:rsid w:val="00042F13"/>
    <w:rsid w:val="00044218"/>
    <w:rsid w:val="000449BF"/>
    <w:rsid w:val="0004524B"/>
    <w:rsid w:val="0005188A"/>
    <w:rsid w:val="00051B22"/>
    <w:rsid w:val="00052BFE"/>
    <w:rsid w:val="00053703"/>
    <w:rsid w:val="0005760A"/>
    <w:rsid w:val="00064369"/>
    <w:rsid w:val="00066FD2"/>
    <w:rsid w:val="00072F24"/>
    <w:rsid w:val="00074A2A"/>
    <w:rsid w:val="00076B53"/>
    <w:rsid w:val="00081B16"/>
    <w:rsid w:val="00082E5D"/>
    <w:rsid w:val="0008359C"/>
    <w:rsid w:val="00083DDD"/>
    <w:rsid w:val="00087A00"/>
    <w:rsid w:val="00090593"/>
    <w:rsid w:val="0009439C"/>
    <w:rsid w:val="00094907"/>
    <w:rsid w:val="000950C9"/>
    <w:rsid w:val="0009745D"/>
    <w:rsid w:val="000A14EC"/>
    <w:rsid w:val="000A690D"/>
    <w:rsid w:val="000B05E7"/>
    <w:rsid w:val="000B419B"/>
    <w:rsid w:val="000B494A"/>
    <w:rsid w:val="000C047E"/>
    <w:rsid w:val="000C3A01"/>
    <w:rsid w:val="000C3A04"/>
    <w:rsid w:val="000D2FB1"/>
    <w:rsid w:val="000D5931"/>
    <w:rsid w:val="000D615A"/>
    <w:rsid w:val="000E0B49"/>
    <w:rsid w:val="000E2732"/>
    <w:rsid w:val="000E283C"/>
    <w:rsid w:val="000E498B"/>
    <w:rsid w:val="000E4F6E"/>
    <w:rsid w:val="000F3ADB"/>
    <w:rsid w:val="000F3DA1"/>
    <w:rsid w:val="001023D9"/>
    <w:rsid w:val="00103894"/>
    <w:rsid w:val="00103DE1"/>
    <w:rsid w:val="001134EF"/>
    <w:rsid w:val="00116957"/>
    <w:rsid w:val="00123AE5"/>
    <w:rsid w:val="00140845"/>
    <w:rsid w:val="001411DB"/>
    <w:rsid w:val="001446E5"/>
    <w:rsid w:val="00144964"/>
    <w:rsid w:val="00150538"/>
    <w:rsid w:val="001511A1"/>
    <w:rsid w:val="00153C45"/>
    <w:rsid w:val="00163817"/>
    <w:rsid w:val="001708B4"/>
    <w:rsid w:val="00175222"/>
    <w:rsid w:val="00192FC3"/>
    <w:rsid w:val="00195C51"/>
    <w:rsid w:val="00197547"/>
    <w:rsid w:val="001A3B26"/>
    <w:rsid w:val="001B02ED"/>
    <w:rsid w:val="001B074F"/>
    <w:rsid w:val="001B0751"/>
    <w:rsid w:val="001B3C6B"/>
    <w:rsid w:val="001B6ED5"/>
    <w:rsid w:val="001C6280"/>
    <w:rsid w:val="001C673D"/>
    <w:rsid w:val="001D54D1"/>
    <w:rsid w:val="001F256A"/>
    <w:rsid w:val="001F4F12"/>
    <w:rsid w:val="001F7FD3"/>
    <w:rsid w:val="00213F30"/>
    <w:rsid w:val="00215964"/>
    <w:rsid w:val="00217DC2"/>
    <w:rsid w:val="002225AB"/>
    <w:rsid w:val="00232CF7"/>
    <w:rsid w:val="00236F2D"/>
    <w:rsid w:val="00240D64"/>
    <w:rsid w:val="00244CC9"/>
    <w:rsid w:val="00246787"/>
    <w:rsid w:val="00250846"/>
    <w:rsid w:val="00255BD6"/>
    <w:rsid w:val="00261D84"/>
    <w:rsid w:val="00263170"/>
    <w:rsid w:val="00263D25"/>
    <w:rsid w:val="00273F0D"/>
    <w:rsid w:val="0027419F"/>
    <w:rsid w:val="00275F95"/>
    <w:rsid w:val="002863A5"/>
    <w:rsid w:val="00287E8E"/>
    <w:rsid w:val="002906B1"/>
    <w:rsid w:val="00291189"/>
    <w:rsid w:val="002933C2"/>
    <w:rsid w:val="0029502F"/>
    <w:rsid w:val="002952B1"/>
    <w:rsid w:val="00297048"/>
    <w:rsid w:val="002A4A0F"/>
    <w:rsid w:val="002A760C"/>
    <w:rsid w:val="002A7B16"/>
    <w:rsid w:val="002B3952"/>
    <w:rsid w:val="002B418B"/>
    <w:rsid w:val="002B55D7"/>
    <w:rsid w:val="002B5814"/>
    <w:rsid w:val="002B6A22"/>
    <w:rsid w:val="002E209C"/>
    <w:rsid w:val="002E45B5"/>
    <w:rsid w:val="002E4BF8"/>
    <w:rsid w:val="002F317D"/>
    <w:rsid w:val="002F594E"/>
    <w:rsid w:val="002F6D0C"/>
    <w:rsid w:val="00301BB1"/>
    <w:rsid w:val="0030517A"/>
    <w:rsid w:val="00323444"/>
    <w:rsid w:val="003235E2"/>
    <w:rsid w:val="00324AE5"/>
    <w:rsid w:val="003258F2"/>
    <w:rsid w:val="003325D8"/>
    <w:rsid w:val="0033502C"/>
    <w:rsid w:val="003361A6"/>
    <w:rsid w:val="003437D7"/>
    <w:rsid w:val="003471B6"/>
    <w:rsid w:val="00347ADF"/>
    <w:rsid w:val="003515C9"/>
    <w:rsid w:val="003518E8"/>
    <w:rsid w:val="003545B3"/>
    <w:rsid w:val="00355E8A"/>
    <w:rsid w:val="003756E1"/>
    <w:rsid w:val="0037689B"/>
    <w:rsid w:val="00376C9A"/>
    <w:rsid w:val="00377721"/>
    <w:rsid w:val="00381C77"/>
    <w:rsid w:val="003946F5"/>
    <w:rsid w:val="00395ECE"/>
    <w:rsid w:val="003A52E6"/>
    <w:rsid w:val="003B15AB"/>
    <w:rsid w:val="003C088D"/>
    <w:rsid w:val="003C3B44"/>
    <w:rsid w:val="003C5C6B"/>
    <w:rsid w:val="003D554E"/>
    <w:rsid w:val="003D6CBB"/>
    <w:rsid w:val="003D7545"/>
    <w:rsid w:val="003E49E2"/>
    <w:rsid w:val="003E6C23"/>
    <w:rsid w:val="003F236C"/>
    <w:rsid w:val="00406F79"/>
    <w:rsid w:val="004100CF"/>
    <w:rsid w:val="00413928"/>
    <w:rsid w:val="00415B0E"/>
    <w:rsid w:val="00420420"/>
    <w:rsid w:val="00420BFD"/>
    <w:rsid w:val="004235DF"/>
    <w:rsid w:val="00423B3A"/>
    <w:rsid w:val="00424704"/>
    <w:rsid w:val="00426CD0"/>
    <w:rsid w:val="00427D5D"/>
    <w:rsid w:val="00430130"/>
    <w:rsid w:val="0043523F"/>
    <w:rsid w:val="00437F78"/>
    <w:rsid w:val="00441719"/>
    <w:rsid w:val="00454947"/>
    <w:rsid w:val="00454AC8"/>
    <w:rsid w:val="00457AFE"/>
    <w:rsid w:val="00461B45"/>
    <w:rsid w:val="0046729A"/>
    <w:rsid w:val="00480BCE"/>
    <w:rsid w:val="00483769"/>
    <w:rsid w:val="00484C1C"/>
    <w:rsid w:val="004865CA"/>
    <w:rsid w:val="004A1697"/>
    <w:rsid w:val="004A2CA9"/>
    <w:rsid w:val="004A35C9"/>
    <w:rsid w:val="004A6C27"/>
    <w:rsid w:val="004A6F4A"/>
    <w:rsid w:val="004A71D5"/>
    <w:rsid w:val="004B006C"/>
    <w:rsid w:val="004B3221"/>
    <w:rsid w:val="004B5C4F"/>
    <w:rsid w:val="004C0F92"/>
    <w:rsid w:val="004C4879"/>
    <w:rsid w:val="004C6A30"/>
    <w:rsid w:val="004C74AC"/>
    <w:rsid w:val="004D0C8B"/>
    <w:rsid w:val="004D68EC"/>
    <w:rsid w:val="004D73F7"/>
    <w:rsid w:val="004D7896"/>
    <w:rsid w:val="004E2176"/>
    <w:rsid w:val="004E218E"/>
    <w:rsid w:val="004F577B"/>
    <w:rsid w:val="00501A9B"/>
    <w:rsid w:val="00504E1C"/>
    <w:rsid w:val="00504F31"/>
    <w:rsid w:val="0050672C"/>
    <w:rsid w:val="005076DF"/>
    <w:rsid w:val="00512667"/>
    <w:rsid w:val="00512DFD"/>
    <w:rsid w:val="00513612"/>
    <w:rsid w:val="00523201"/>
    <w:rsid w:val="005241AC"/>
    <w:rsid w:val="0053163C"/>
    <w:rsid w:val="00531764"/>
    <w:rsid w:val="00537AA2"/>
    <w:rsid w:val="00541847"/>
    <w:rsid w:val="00541C8D"/>
    <w:rsid w:val="00544014"/>
    <w:rsid w:val="00555F8A"/>
    <w:rsid w:val="00556D50"/>
    <w:rsid w:val="005622A8"/>
    <w:rsid w:val="00566247"/>
    <w:rsid w:val="00571828"/>
    <w:rsid w:val="00577A4A"/>
    <w:rsid w:val="00585025"/>
    <w:rsid w:val="00590127"/>
    <w:rsid w:val="0059350C"/>
    <w:rsid w:val="005945C3"/>
    <w:rsid w:val="005A0DA0"/>
    <w:rsid w:val="005A23B6"/>
    <w:rsid w:val="005B0024"/>
    <w:rsid w:val="005B006B"/>
    <w:rsid w:val="005B1F44"/>
    <w:rsid w:val="005B2E1A"/>
    <w:rsid w:val="005C34ED"/>
    <w:rsid w:val="005C4871"/>
    <w:rsid w:val="005C6926"/>
    <w:rsid w:val="005C74DE"/>
    <w:rsid w:val="005D0247"/>
    <w:rsid w:val="005D22F0"/>
    <w:rsid w:val="005D7528"/>
    <w:rsid w:val="005E22FE"/>
    <w:rsid w:val="005E298D"/>
    <w:rsid w:val="005E58AE"/>
    <w:rsid w:val="005E7B5E"/>
    <w:rsid w:val="005F2FB7"/>
    <w:rsid w:val="005F3465"/>
    <w:rsid w:val="005F4095"/>
    <w:rsid w:val="005F5E49"/>
    <w:rsid w:val="005F6ADD"/>
    <w:rsid w:val="005F7345"/>
    <w:rsid w:val="00605F17"/>
    <w:rsid w:val="006106CF"/>
    <w:rsid w:val="00610F22"/>
    <w:rsid w:val="00611829"/>
    <w:rsid w:val="00611FFC"/>
    <w:rsid w:val="006246AA"/>
    <w:rsid w:val="00625A46"/>
    <w:rsid w:val="00627246"/>
    <w:rsid w:val="006349CB"/>
    <w:rsid w:val="00636C17"/>
    <w:rsid w:val="00642D97"/>
    <w:rsid w:val="00651F77"/>
    <w:rsid w:val="00654B7A"/>
    <w:rsid w:val="00661729"/>
    <w:rsid w:val="00663A93"/>
    <w:rsid w:val="00666761"/>
    <w:rsid w:val="0066737F"/>
    <w:rsid w:val="00670DA5"/>
    <w:rsid w:val="0067410E"/>
    <w:rsid w:val="006765A4"/>
    <w:rsid w:val="006801BE"/>
    <w:rsid w:val="006801FC"/>
    <w:rsid w:val="006847A4"/>
    <w:rsid w:val="00696A2D"/>
    <w:rsid w:val="00697BD6"/>
    <w:rsid w:val="006A46AD"/>
    <w:rsid w:val="006A4B5B"/>
    <w:rsid w:val="006A5205"/>
    <w:rsid w:val="006B1179"/>
    <w:rsid w:val="006B2D03"/>
    <w:rsid w:val="006B4407"/>
    <w:rsid w:val="006B63DA"/>
    <w:rsid w:val="006B74B2"/>
    <w:rsid w:val="006C0F77"/>
    <w:rsid w:val="006C3EB2"/>
    <w:rsid w:val="006C4294"/>
    <w:rsid w:val="006C6513"/>
    <w:rsid w:val="006C72D8"/>
    <w:rsid w:val="006D16B3"/>
    <w:rsid w:val="006D2839"/>
    <w:rsid w:val="006D5D42"/>
    <w:rsid w:val="006E11D1"/>
    <w:rsid w:val="006E1FC3"/>
    <w:rsid w:val="006E223D"/>
    <w:rsid w:val="006E5B09"/>
    <w:rsid w:val="006E6A09"/>
    <w:rsid w:val="006F1F08"/>
    <w:rsid w:val="006F7628"/>
    <w:rsid w:val="00701492"/>
    <w:rsid w:val="00713E1B"/>
    <w:rsid w:val="00714BA0"/>
    <w:rsid w:val="00720020"/>
    <w:rsid w:val="00720434"/>
    <w:rsid w:val="00724184"/>
    <w:rsid w:val="00725F2E"/>
    <w:rsid w:val="00736B52"/>
    <w:rsid w:val="0074132B"/>
    <w:rsid w:val="0074137C"/>
    <w:rsid w:val="00741415"/>
    <w:rsid w:val="00745A3B"/>
    <w:rsid w:val="00770641"/>
    <w:rsid w:val="007753AB"/>
    <w:rsid w:val="00783448"/>
    <w:rsid w:val="00785E8F"/>
    <w:rsid w:val="00790070"/>
    <w:rsid w:val="00793E6D"/>
    <w:rsid w:val="007A2552"/>
    <w:rsid w:val="007A70CD"/>
    <w:rsid w:val="007B1F8C"/>
    <w:rsid w:val="007B4855"/>
    <w:rsid w:val="007B4E32"/>
    <w:rsid w:val="007C21FC"/>
    <w:rsid w:val="007C3C09"/>
    <w:rsid w:val="007D2212"/>
    <w:rsid w:val="007D6237"/>
    <w:rsid w:val="007D6257"/>
    <w:rsid w:val="007E02E6"/>
    <w:rsid w:val="007E0D9E"/>
    <w:rsid w:val="007E3D15"/>
    <w:rsid w:val="007E535A"/>
    <w:rsid w:val="007E77B7"/>
    <w:rsid w:val="00806CEA"/>
    <w:rsid w:val="00810DC8"/>
    <w:rsid w:val="00812D87"/>
    <w:rsid w:val="008170F4"/>
    <w:rsid w:val="00820689"/>
    <w:rsid w:val="00822F8E"/>
    <w:rsid w:val="00825B61"/>
    <w:rsid w:val="00825F15"/>
    <w:rsid w:val="00826446"/>
    <w:rsid w:val="00836CED"/>
    <w:rsid w:val="00837DF5"/>
    <w:rsid w:val="0084390E"/>
    <w:rsid w:val="00850EF9"/>
    <w:rsid w:val="008551E0"/>
    <w:rsid w:val="00855DFF"/>
    <w:rsid w:val="008600E8"/>
    <w:rsid w:val="00861A2F"/>
    <w:rsid w:val="008633C5"/>
    <w:rsid w:val="00864AB9"/>
    <w:rsid w:val="00865AB9"/>
    <w:rsid w:val="00875601"/>
    <w:rsid w:val="0087655E"/>
    <w:rsid w:val="00882833"/>
    <w:rsid w:val="00883597"/>
    <w:rsid w:val="0088511B"/>
    <w:rsid w:val="00886889"/>
    <w:rsid w:val="00887A62"/>
    <w:rsid w:val="0089298F"/>
    <w:rsid w:val="00897A13"/>
    <w:rsid w:val="008A192F"/>
    <w:rsid w:val="008A40FB"/>
    <w:rsid w:val="008A4A01"/>
    <w:rsid w:val="008A53BE"/>
    <w:rsid w:val="008B4431"/>
    <w:rsid w:val="008C5AF8"/>
    <w:rsid w:val="008C6683"/>
    <w:rsid w:val="008C7CF4"/>
    <w:rsid w:val="008D205C"/>
    <w:rsid w:val="008D76DF"/>
    <w:rsid w:val="008D79CD"/>
    <w:rsid w:val="008E6261"/>
    <w:rsid w:val="008E645C"/>
    <w:rsid w:val="008E6E77"/>
    <w:rsid w:val="00901583"/>
    <w:rsid w:val="00901804"/>
    <w:rsid w:val="00904454"/>
    <w:rsid w:val="00905597"/>
    <w:rsid w:val="00907DB4"/>
    <w:rsid w:val="00912650"/>
    <w:rsid w:val="00912652"/>
    <w:rsid w:val="009155E5"/>
    <w:rsid w:val="00915D76"/>
    <w:rsid w:val="00916411"/>
    <w:rsid w:val="009319C9"/>
    <w:rsid w:val="00935308"/>
    <w:rsid w:val="00937B3C"/>
    <w:rsid w:val="009412FD"/>
    <w:rsid w:val="009469FE"/>
    <w:rsid w:val="009530D7"/>
    <w:rsid w:val="00954694"/>
    <w:rsid w:val="00956394"/>
    <w:rsid w:val="009702A9"/>
    <w:rsid w:val="0097037A"/>
    <w:rsid w:val="00971619"/>
    <w:rsid w:val="0097313E"/>
    <w:rsid w:val="00975F9A"/>
    <w:rsid w:val="00980206"/>
    <w:rsid w:val="00981384"/>
    <w:rsid w:val="0098583A"/>
    <w:rsid w:val="00993564"/>
    <w:rsid w:val="0099367E"/>
    <w:rsid w:val="00994EA2"/>
    <w:rsid w:val="009C244F"/>
    <w:rsid w:val="009C35EE"/>
    <w:rsid w:val="009E2FA0"/>
    <w:rsid w:val="009F5ABD"/>
    <w:rsid w:val="009F683A"/>
    <w:rsid w:val="009F7F8E"/>
    <w:rsid w:val="00A02356"/>
    <w:rsid w:val="00A02F93"/>
    <w:rsid w:val="00A044EF"/>
    <w:rsid w:val="00A05106"/>
    <w:rsid w:val="00A14FD6"/>
    <w:rsid w:val="00A16CAF"/>
    <w:rsid w:val="00A23522"/>
    <w:rsid w:val="00A246A4"/>
    <w:rsid w:val="00A26C54"/>
    <w:rsid w:val="00A3023F"/>
    <w:rsid w:val="00A323D5"/>
    <w:rsid w:val="00A32F27"/>
    <w:rsid w:val="00A402F4"/>
    <w:rsid w:val="00A45152"/>
    <w:rsid w:val="00A5408A"/>
    <w:rsid w:val="00A602B0"/>
    <w:rsid w:val="00A61010"/>
    <w:rsid w:val="00A61794"/>
    <w:rsid w:val="00A64A5E"/>
    <w:rsid w:val="00A72643"/>
    <w:rsid w:val="00A73473"/>
    <w:rsid w:val="00A754B2"/>
    <w:rsid w:val="00A853E8"/>
    <w:rsid w:val="00AA56A5"/>
    <w:rsid w:val="00AD727C"/>
    <w:rsid w:val="00AD7DA9"/>
    <w:rsid w:val="00AE482B"/>
    <w:rsid w:val="00AE4CE2"/>
    <w:rsid w:val="00AF1612"/>
    <w:rsid w:val="00AF6EB5"/>
    <w:rsid w:val="00AF79F7"/>
    <w:rsid w:val="00B0121D"/>
    <w:rsid w:val="00B01B35"/>
    <w:rsid w:val="00B04DF3"/>
    <w:rsid w:val="00B04F6D"/>
    <w:rsid w:val="00B10E5E"/>
    <w:rsid w:val="00B1605E"/>
    <w:rsid w:val="00B25CA8"/>
    <w:rsid w:val="00B32799"/>
    <w:rsid w:val="00B330D3"/>
    <w:rsid w:val="00B36D3A"/>
    <w:rsid w:val="00B46EC9"/>
    <w:rsid w:val="00B471F5"/>
    <w:rsid w:val="00B47502"/>
    <w:rsid w:val="00B62762"/>
    <w:rsid w:val="00B72382"/>
    <w:rsid w:val="00B8547C"/>
    <w:rsid w:val="00B857C0"/>
    <w:rsid w:val="00B867D9"/>
    <w:rsid w:val="00B8714C"/>
    <w:rsid w:val="00B96C25"/>
    <w:rsid w:val="00B972A8"/>
    <w:rsid w:val="00BA060B"/>
    <w:rsid w:val="00BA13E1"/>
    <w:rsid w:val="00BA5AFC"/>
    <w:rsid w:val="00BA7577"/>
    <w:rsid w:val="00BB0D95"/>
    <w:rsid w:val="00BB3178"/>
    <w:rsid w:val="00BB365D"/>
    <w:rsid w:val="00BB7FC7"/>
    <w:rsid w:val="00BC0975"/>
    <w:rsid w:val="00BD06C1"/>
    <w:rsid w:val="00BD2821"/>
    <w:rsid w:val="00BD3BB0"/>
    <w:rsid w:val="00BD4095"/>
    <w:rsid w:val="00BD530A"/>
    <w:rsid w:val="00BD7219"/>
    <w:rsid w:val="00BE0036"/>
    <w:rsid w:val="00BE2EA8"/>
    <w:rsid w:val="00BE7FBF"/>
    <w:rsid w:val="00BF385E"/>
    <w:rsid w:val="00BF4AFE"/>
    <w:rsid w:val="00C01F12"/>
    <w:rsid w:val="00C03741"/>
    <w:rsid w:val="00C10B15"/>
    <w:rsid w:val="00C10C3B"/>
    <w:rsid w:val="00C23B5F"/>
    <w:rsid w:val="00C25C17"/>
    <w:rsid w:val="00C2607B"/>
    <w:rsid w:val="00C31462"/>
    <w:rsid w:val="00C3225E"/>
    <w:rsid w:val="00C42CCD"/>
    <w:rsid w:val="00C44EF2"/>
    <w:rsid w:val="00C531B7"/>
    <w:rsid w:val="00C53277"/>
    <w:rsid w:val="00C53628"/>
    <w:rsid w:val="00C56316"/>
    <w:rsid w:val="00C606B8"/>
    <w:rsid w:val="00C64FBF"/>
    <w:rsid w:val="00C65077"/>
    <w:rsid w:val="00C66841"/>
    <w:rsid w:val="00C70525"/>
    <w:rsid w:val="00C717C8"/>
    <w:rsid w:val="00C742BF"/>
    <w:rsid w:val="00C80515"/>
    <w:rsid w:val="00C80603"/>
    <w:rsid w:val="00C8177D"/>
    <w:rsid w:val="00C82919"/>
    <w:rsid w:val="00C82E95"/>
    <w:rsid w:val="00C9141C"/>
    <w:rsid w:val="00CA2609"/>
    <w:rsid w:val="00CB1249"/>
    <w:rsid w:val="00CB145A"/>
    <w:rsid w:val="00CB39FF"/>
    <w:rsid w:val="00CC16F8"/>
    <w:rsid w:val="00CC57A6"/>
    <w:rsid w:val="00CC7F6C"/>
    <w:rsid w:val="00CD23E4"/>
    <w:rsid w:val="00CD416C"/>
    <w:rsid w:val="00CD7A05"/>
    <w:rsid w:val="00CE25DB"/>
    <w:rsid w:val="00CE28C0"/>
    <w:rsid w:val="00CE728D"/>
    <w:rsid w:val="00CE7B5F"/>
    <w:rsid w:val="00CF25EA"/>
    <w:rsid w:val="00D07C6A"/>
    <w:rsid w:val="00D1210E"/>
    <w:rsid w:val="00D14938"/>
    <w:rsid w:val="00D14A4E"/>
    <w:rsid w:val="00D238EF"/>
    <w:rsid w:val="00D246FC"/>
    <w:rsid w:val="00D27070"/>
    <w:rsid w:val="00D278B3"/>
    <w:rsid w:val="00D3767E"/>
    <w:rsid w:val="00D4484C"/>
    <w:rsid w:val="00D45B92"/>
    <w:rsid w:val="00D5102D"/>
    <w:rsid w:val="00D520D7"/>
    <w:rsid w:val="00D60C7E"/>
    <w:rsid w:val="00D808BB"/>
    <w:rsid w:val="00D8345E"/>
    <w:rsid w:val="00D84EA3"/>
    <w:rsid w:val="00D85EB0"/>
    <w:rsid w:val="00D87CBE"/>
    <w:rsid w:val="00D90F8F"/>
    <w:rsid w:val="00D93FF1"/>
    <w:rsid w:val="00D970FD"/>
    <w:rsid w:val="00DB0BE0"/>
    <w:rsid w:val="00DB10B3"/>
    <w:rsid w:val="00DB3E8D"/>
    <w:rsid w:val="00DB52BE"/>
    <w:rsid w:val="00DC09C3"/>
    <w:rsid w:val="00DC20F0"/>
    <w:rsid w:val="00DD5F4A"/>
    <w:rsid w:val="00DE4ECA"/>
    <w:rsid w:val="00DF4A4A"/>
    <w:rsid w:val="00DF52C5"/>
    <w:rsid w:val="00DF69E2"/>
    <w:rsid w:val="00DF6D67"/>
    <w:rsid w:val="00E044DC"/>
    <w:rsid w:val="00E05647"/>
    <w:rsid w:val="00E1042C"/>
    <w:rsid w:val="00E111FD"/>
    <w:rsid w:val="00E14941"/>
    <w:rsid w:val="00E2137D"/>
    <w:rsid w:val="00E22A90"/>
    <w:rsid w:val="00E26E78"/>
    <w:rsid w:val="00E31EF2"/>
    <w:rsid w:val="00E42D99"/>
    <w:rsid w:val="00E463D0"/>
    <w:rsid w:val="00E46F5E"/>
    <w:rsid w:val="00E563DA"/>
    <w:rsid w:val="00E575CC"/>
    <w:rsid w:val="00E60CC7"/>
    <w:rsid w:val="00E62116"/>
    <w:rsid w:val="00E64C4F"/>
    <w:rsid w:val="00E71105"/>
    <w:rsid w:val="00E75591"/>
    <w:rsid w:val="00E8297D"/>
    <w:rsid w:val="00E82C01"/>
    <w:rsid w:val="00E84AD1"/>
    <w:rsid w:val="00E87140"/>
    <w:rsid w:val="00E94384"/>
    <w:rsid w:val="00E95639"/>
    <w:rsid w:val="00EA030A"/>
    <w:rsid w:val="00EA0F2E"/>
    <w:rsid w:val="00EA1870"/>
    <w:rsid w:val="00EA18A0"/>
    <w:rsid w:val="00EA39AD"/>
    <w:rsid w:val="00EA4164"/>
    <w:rsid w:val="00EA75BE"/>
    <w:rsid w:val="00EA7617"/>
    <w:rsid w:val="00EB312E"/>
    <w:rsid w:val="00EB7975"/>
    <w:rsid w:val="00EC6810"/>
    <w:rsid w:val="00ED6AB4"/>
    <w:rsid w:val="00EE0EDA"/>
    <w:rsid w:val="00EE36AF"/>
    <w:rsid w:val="00EE3F42"/>
    <w:rsid w:val="00EE436C"/>
    <w:rsid w:val="00EE48BB"/>
    <w:rsid w:val="00EE59EB"/>
    <w:rsid w:val="00EF069A"/>
    <w:rsid w:val="00EF34D6"/>
    <w:rsid w:val="00EF5B88"/>
    <w:rsid w:val="00EF5ECF"/>
    <w:rsid w:val="00EF6D5B"/>
    <w:rsid w:val="00F00772"/>
    <w:rsid w:val="00F02D23"/>
    <w:rsid w:val="00F03006"/>
    <w:rsid w:val="00F038BA"/>
    <w:rsid w:val="00F03DB6"/>
    <w:rsid w:val="00F147B3"/>
    <w:rsid w:val="00F24376"/>
    <w:rsid w:val="00F33CB6"/>
    <w:rsid w:val="00F35F9D"/>
    <w:rsid w:val="00F40883"/>
    <w:rsid w:val="00F443D0"/>
    <w:rsid w:val="00F46E5C"/>
    <w:rsid w:val="00F5049E"/>
    <w:rsid w:val="00F54F84"/>
    <w:rsid w:val="00F55D6F"/>
    <w:rsid w:val="00F5745F"/>
    <w:rsid w:val="00F60CE5"/>
    <w:rsid w:val="00F610DF"/>
    <w:rsid w:val="00F612F6"/>
    <w:rsid w:val="00F6257F"/>
    <w:rsid w:val="00F66212"/>
    <w:rsid w:val="00F77CA6"/>
    <w:rsid w:val="00F801D1"/>
    <w:rsid w:val="00F854BF"/>
    <w:rsid w:val="00F875AC"/>
    <w:rsid w:val="00F93F8D"/>
    <w:rsid w:val="00F9607C"/>
    <w:rsid w:val="00FA0BFB"/>
    <w:rsid w:val="00FB1965"/>
    <w:rsid w:val="00FB429C"/>
    <w:rsid w:val="00FB7685"/>
    <w:rsid w:val="00FC0FA7"/>
    <w:rsid w:val="00FC1105"/>
    <w:rsid w:val="00FC20B3"/>
    <w:rsid w:val="00FC21F8"/>
    <w:rsid w:val="00FC276A"/>
    <w:rsid w:val="00FC6722"/>
    <w:rsid w:val="00FD16A8"/>
    <w:rsid w:val="00FD57FF"/>
    <w:rsid w:val="00FD6193"/>
    <w:rsid w:val="00FD6415"/>
    <w:rsid w:val="00FE04E8"/>
    <w:rsid w:val="00FE0868"/>
    <w:rsid w:val="00FE33F2"/>
    <w:rsid w:val="00FE5044"/>
    <w:rsid w:val="00FE5DDE"/>
    <w:rsid w:val="00FF3097"/>
    <w:rsid w:val="00FF6419"/>
    <w:rsid w:val="00FF71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oa heading" w:uiPriority="0"/>
    <w:lsdException w:name="List Bullet" w:uiPriority="0"/>
    <w:lsdException w:name="List Bullet 2"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55E"/>
    <w:pPr>
      <w:spacing w:line="240" w:lineRule="auto"/>
    </w:pPr>
    <w:rPr>
      <w:rFonts w:ascii="Arial" w:hAnsi="Arial"/>
    </w:rPr>
  </w:style>
  <w:style w:type="paragraph" w:styleId="Heading1">
    <w:name w:val="heading 1"/>
    <w:next w:val="Heading2"/>
    <w:link w:val="Heading1Char"/>
    <w:autoRedefine/>
    <w:qFormat/>
    <w:rsid w:val="00273F0D"/>
    <w:pPr>
      <w:keepNext/>
      <w:tabs>
        <w:tab w:val="left" w:pos="567"/>
      </w:tabs>
      <w:spacing w:before="40" w:after="480" w:line="240" w:lineRule="auto"/>
      <w:ind w:left="567" w:hanging="567"/>
      <w:outlineLvl w:val="0"/>
    </w:pPr>
    <w:rPr>
      <w:rFonts w:ascii="Arial" w:eastAsia="Times New Roman" w:hAnsi="Arial" w:cs="Times New Roman"/>
      <w:sz w:val="48"/>
      <w:szCs w:val="20"/>
      <w:lang w:eastAsia="en-AU"/>
    </w:rPr>
  </w:style>
  <w:style w:type="paragraph" w:styleId="Heading2">
    <w:name w:val="heading 2"/>
    <w:basedOn w:val="Normal"/>
    <w:next w:val="Normal"/>
    <w:link w:val="Heading2Char"/>
    <w:autoRedefine/>
    <w:qFormat/>
    <w:rsid w:val="00301BB1"/>
    <w:pPr>
      <w:keepNext/>
      <w:tabs>
        <w:tab w:val="left" w:pos="567"/>
      </w:tabs>
      <w:spacing w:before="240" w:after="120"/>
      <w:outlineLvl w:val="1"/>
    </w:pPr>
    <w:rPr>
      <w:rFonts w:eastAsia="Times New Roman" w:cs="Times New Roman"/>
      <w:sz w:val="40"/>
      <w:szCs w:val="20"/>
      <w:lang w:eastAsia="en-AU"/>
    </w:rPr>
  </w:style>
  <w:style w:type="paragraph" w:styleId="Heading3">
    <w:name w:val="heading 3"/>
    <w:basedOn w:val="Normal"/>
    <w:next w:val="Normal"/>
    <w:link w:val="Heading3Char"/>
    <w:autoRedefine/>
    <w:qFormat/>
    <w:rsid w:val="00273F0D"/>
    <w:pPr>
      <w:keepNext/>
      <w:spacing w:before="240" w:after="120"/>
      <w:outlineLvl w:val="2"/>
    </w:pPr>
    <w:rPr>
      <w:rFonts w:eastAsia="Times New Roman" w:cs="Times New Roman"/>
      <w:sz w:val="30"/>
      <w:szCs w:val="20"/>
      <w:lang w:eastAsia="en-AU"/>
    </w:rPr>
  </w:style>
  <w:style w:type="paragraph" w:styleId="Heading4">
    <w:name w:val="heading 4"/>
    <w:basedOn w:val="Normal"/>
    <w:next w:val="Normal"/>
    <w:link w:val="Heading4Char"/>
    <w:autoRedefine/>
    <w:qFormat/>
    <w:rsid w:val="00273F0D"/>
    <w:pPr>
      <w:keepNext/>
      <w:spacing w:before="240" w:after="0"/>
      <w:outlineLvl w:val="3"/>
    </w:pPr>
    <w:rPr>
      <w:rFonts w:eastAsia="Times New Roman" w:cs="Times New Roman"/>
      <w:b/>
      <w:szCs w:val="20"/>
      <w:lang w:eastAsia="en-AU"/>
    </w:rPr>
  </w:style>
  <w:style w:type="paragraph" w:styleId="Heading5">
    <w:name w:val="heading 5"/>
    <w:basedOn w:val="Normal"/>
    <w:next w:val="Normal"/>
    <w:link w:val="Heading5Char"/>
    <w:autoRedefine/>
    <w:qFormat/>
    <w:rsid w:val="00273F0D"/>
    <w:pPr>
      <w:spacing w:before="120" w:after="0"/>
      <w:outlineLvl w:val="4"/>
    </w:pPr>
    <w:rPr>
      <w:rFonts w:eastAsia="Times New Roman" w:cs="Times New Roman"/>
      <w:i/>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F0D"/>
    <w:rPr>
      <w:rFonts w:ascii="Arial" w:eastAsia="Times New Roman" w:hAnsi="Arial" w:cs="Times New Roman"/>
      <w:sz w:val="48"/>
      <w:szCs w:val="20"/>
      <w:lang w:eastAsia="en-AU"/>
    </w:rPr>
  </w:style>
  <w:style w:type="character" w:customStyle="1" w:styleId="Heading2Char">
    <w:name w:val="Heading 2 Char"/>
    <w:basedOn w:val="DefaultParagraphFont"/>
    <w:link w:val="Heading2"/>
    <w:rsid w:val="00301BB1"/>
    <w:rPr>
      <w:rFonts w:ascii="Arial" w:eastAsia="Times New Roman" w:hAnsi="Arial" w:cs="Times New Roman"/>
      <w:sz w:val="40"/>
      <w:szCs w:val="20"/>
      <w:lang w:eastAsia="en-AU"/>
    </w:rPr>
  </w:style>
  <w:style w:type="character" w:customStyle="1" w:styleId="Heading3Char">
    <w:name w:val="Heading 3 Char"/>
    <w:basedOn w:val="DefaultParagraphFont"/>
    <w:link w:val="Heading3"/>
    <w:rsid w:val="00273F0D"/>
    <w:rPr>
      <w:rFonts w:ascii="Arial" w:eastAsia="Times New Roman" w:hAnsi="Arial" w:cs="Times New Roman"/>
      <w:sz w:val="30"/>
      <w:szCs w:val="20"/>
      <w:lang w:eastAsia="en-AU"/>
    </w:rPr>
  </w:style>
  <w:style w:type="character" w:customStyle="1" w:styleId="Heading4Char">
    <w:name w:val="Heading 4 Char"/>
    <w:basedOn w:val="DefaultParagraphFont"/>
    <w:link w:val="Heading4"/>
    <w:rsid w:val="00273F0D"/>
    <w:rPr>
      <w:rFonts w:ascii="Arial" w:eastAsia="Times New Roman" w:hAnsi="Arial" w:cs="Times New Roman"/>
      <w:b/>
      <w:szCs w:val="20"/>
      <w:lang w:eastAsia="en-AU"/>
    </w:rPr>
  </w:style>
  <w:style w:type="character" w:customStyle="1" w:styleId="Heading5Char">
    <w:name w:val="Heading 5 Char"/>
    <w:basedOn w:val="DefaultParagraphFont"/>
    <w:link w:val="Heading5"/>
    <w:rsid w:val="00273F0D"/>
    <w:rPr>
      <w:rFonts w:ascii="Arial" w:eastAsia="Times New Roman" w:hAnsi="Arial" w:cs="Times New Roman"/>
      <w:i/>
      <w:szCs w:val="20"/>
      <w:lang w:eastAsia="en-AU"/>
    </w:rPr>
  </w:style>
  <w:style w:type="paragraph" w:styleId="Footer">
    <w:name w:val="footer"/>
    <w:basedOn w:val="Normal"/>
    <w:link w:val="FooterChar"/>
    <w:uiPriority w:val="99"/>
    <w:rsid w:val="00273F0D"/>
    <w:pPr>
      <w:tabs>
        <w:tab w:val="center" w:pos="4513"/>
        <w:tab w:val="right" w:pos="9026"/>
      </w:tabs>
      <w:spacing w:before="120" w:after="120"/>
    </w:pPr>
    <w:rPr>
      <w:rFonts w:eastAsia="Times New Roman" w:cs="Times New Roman"/>
      <w:sz w:val="20"/>
      <w:szCs w:val="20"/>
      <w:lang w:eastAsia="en-AU"/>
    </w:rPr>
  </w:style>
  <w:style w:type="character" w:customStyle="1" w:styleId="FooterChar">
    <w:name w:val="Footer Char"/>
    <w:basedOn w:val="DefaultParagraphFont"/>
    <w:link w:val="Footer"/>
    <w:uiPriority w:val="99"/>
    <w:rsid w:val="00273F0D"/>
    <w:rPr>
      <w:rFonts w:ascii="Arial" w:eastAsia="Times New Roman" w:hAnsi="Arial" w:cs="Times New Roman"/>
      <w:sz w:val="20"/>
      <w:szCs w:val="20"/>
      <w:lang w:eastAsia="en-AU"/>
    </w:rPr>
  </w:style>
  <w:style w:type="paragraph" w:styleId="Caption">
    <w:name w:val="caption"/>
    <w:next w:val="Normal"/>
    <w:qFormat/>
    <w:rsid w:val="00273F0D"/>
    <w:pPr>
      <w:keepNext/>
      <w:spacing w:before="360" w:after="240" w:line="240" w:lineRule="auto"/>
      <w:ind w:left="454" w:hanging="454"/>
      <w:jc w:val="center"/>
    </w:pPr>
    <w:rPr>
      <w:rFonts w:ascii="Arial" w:eastAsia="Times New Roman" w:hAnsi="Arial" w:cs="Times New Roman"/>
      <w:b/>
      <w:sz w:val="24"/>
      <w:szCs w:val="20"/>
      <w:lang w:eastAsia="en-AU"/>
    </w:rPr>
  </w:style>
  <w:style w:type="paragraph" w:customStyle="1" w:styleId="copyrighttext">
    <w:name w:val="copyright text"/>
    <w:basedOn w:val="Normal"/>
    <w:link w:val="copyrighttextChar"/>
    <w:autoRedefine/>
    <w:qFormat/>
    <w:rsid w:val="00273F0D"/>
    <w:pPr>
      <w:spacing w:before="120" w:after="120"/>
    </w:pPr>
    <w:rPr>
      <w:rFonts w:eastAsia="Times New Roman" w:cs="Times New Roman"/>
      <w:sz w:val="18"/>
      <w:szCs w:val="18"/>
      <w:lang w:eastAsia="en-AU"/>
    </w:rPr>
  </w:style>
  <w:style w:type="paragraph" w:styleId="BalloonText">
    <w:name w:val="Balloon Text"/>
    <w:basedOn w:val="Normal"/>
    <w:link w:val="BalloonTextChar"/>
    <w:semiHidden/>
    <w:rsid w:val="00273F0D"/>
    <w:pPr>
      <w:spacing w:before="120" w:after="120"/>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semiHidden/>
    <w:rsid w:val="00273F0D"/>
    <w:rPr>
      <w:rFonts w:ascii="Tahoma" w:eastAsia="Times New Roman" w:hAnsi="Tahoma" w:cs="Tahoma"/>
      <w:sz w:val="16"/>
      <w:szCs w:val="16"/>
      <w:lang w:eastAsia="en-AU"/>
    </w:rPr>
  </w:style>
  <w:style w:type="paragraph" w:customStyle="1" w:styleId="Quotes">
    <w:name w:val="Quotes"/>
    <w:basedOn w:val="Normal"/>
    <w:rsid w:val="00273F0D"/>
    <w:pPr>
      <w:spacing w:before="120" w:after="120"/>
      <w:ind w:left="567" w:right="793"/>
    </w:pPr>
    <w:rPr>
      <w:rFonts w:eastAsia="Times New Roman" w:cs="Times New Roman"/>
      <w:sz w:val="20"/>
      <w:szCs w:val="20"/>
      <w:lang w:eastAsia="en-AU"/>
    </w:rPr>
  </w:style>
  <w:style w:type="paragraph" w:styleId="TOC1">
    <w:name w:val="toc 1"/>
    <w:basedOn w:val="Normal"/>
    <w:next w:val="Normal"/>
    <w:uiPriority w:val="39"/>
    <w:rsid w:val="00273F0D"/>
    <w:pPr>
      <w:tabs>
        <w:tab w:val="right" w:leader="dot" w:pos="8453"/>
      </w:tabs>
      <w:spacing w:before="240" w:after="0"/>
      <w:ind w:left="357" w:hanging="357"/>
    </w:pPr>
    <w:rPr>
      <w:rFonts w:eastAsia="Times New Roman" w:cs="Times New Roman"/>
      <w:b/>
      <w:sz w:val="20"/>
      <w:szCs w:val="20"/>
      <w:lang w:eastAsia="en-AU"/>
    </w:rPr>
  </w:style>
  <w:style w:type="paragraph" w:styleId="TOC2">
    <w:name w:val="toc 2"/>
    <w:basedOn w:val="Normal"/>
    <w:next w:val="Normal"/>
    <w:uiPriority w:val="39"/>
    <w:rsid w:val="00273F0D"/>
    <w:pPr>
      <w:tabs>
        <w:tab w:val="left" w:pos="851"/>
        <w:tab w:val="right" w:leader="dot" w:pos="8453"/>
      </w:tabs>
      <w:spacing w:before="120" w:after="0"/>
      <w:ind w:left="284"/>
    </w:pPr>
    <w:rPr>
      <w:rFonts w:eastAsia="Times New Roman" w:cs="Times New Roman"/>
      <w:sz w:val="20"/>
      <w:szCs w:val="20"/>
      <w:lang w:eastAsia="en-AU"/>
    </w:rPr>
  </w:style>
  <w:style w:type="paragraph" w:styleId="TOC3">
    <w:name w:val="toc 3"/>
    <w:basedOn w:val="Normal"/>
    <w:next w:val="Normal"/>
    <w:semiHidden/>
    <w:rsid w:val="00273F0D"/>
    <w:pPr>
      <w:tabs>
        <w:tab w:val="left" w:pos="1276"/>
        <w:tab w:val="right" w:leader="dot" w:pos="8454"/>
      </w:tabs>
      <w:spacing w:before="120" w:after="120"/>
      <w:ind w:left="567"/>
    </w:pPr>
    <w:rPr>
      <w:rFonts w:eastAsia="Times New Roman" w:cs="Times New Roman"/>
      <w:lang w:eastAsia="en-AU"/>
    </w:rPr>
  </w:style>
  <w:style w:type="paragraph" w:styleId="TOC4">
    <w:name w:val="toc 4"/>
    <w:basedOn w:val="Normal"/>
    <w:next w:val="Normal"/>
    <w:semiHidden/>
    <w:rsid w:val="00273F0D"/>
    <w:pPr>
      <w:tabs>
        <w:tab w:val="right" w:leader="dot" w:pos="8453"/>
      </w:tabs>
      <w:spacing w:before="120" w:after="0"/>
      <w:ind w:left="720"/>
    </w:pPr>
    <w:rPr>
      <w:rFonts w:eastAsia="Times New Roman" w:cs="Times New Roman"/>
      <w:sz w:val="20"/>
      <w:szCs w:val="20"/>
      <w:lang w:eastAsia="en-AU"/>
    </w:rPr>
  </w:style>
  <w:style w:type="character" w:styleId="PageNumber">
    <w:name w:val="page number"/>
    <w:basedOn w:val="DefaultParagraphFont"/>
    <w:rsid w:val="00273F0D"/>
  </w:style>
  <w:style w:type="paragraph" w:styleId="Header">
    <w:name w:val="header"/>
    <w:basedOn w:val="Normal"/>
    <w:link w:val="HeaderChar"/>
    <w:rsid w:val="00273F0D"/>
    <w:pPr>
      <w:tabs>
        <w:tab w:val="center" w:pos="4153"/>
        <w:tab w:val="right" w:pos="8306"/>
      </w:tabs>
      <w:spacing w:before="120" w:after="120"/>
    </w:pPr>
    <w:rPr>
      <w:rFonts w:eastAsia="Times New Roman" w:cs="Times New Roman"/>
      <w:sz w:val="20"/>
      <w:szCs w:val="20"/>
      <w:lang w:eastAsia="en-AU"/>
    </w:rPr>
  </w:style>
  <w:style w:type="character" w:customStyle="1" w:styleId="HeaderChar">
    <w:name w:val="Header Char"/>
    <w:basedOn w:val="DefaultParagraphFont"/>
    <w:link w:val="Header"/>
    <w:rsid w:val="00273F0D"/>
    <w:rPr>
      <w:rFonts w:ascii="Arial" w:eastAsia="Times New Roman" w:hAnsi="Arial" w:cs="Times New Roman"/>
      <w:sz w:val="20"/>
      <w:szCs w:val="20"/>
      <w:lang w:eastAsia="en-AU"/>
    </w:rPr>
  </w:style>
  <w:style w:type="paragraph" w:styleId="ListBullet">
    <w:name w:val="List Bullet"/>
    <w:basedOn w:val="Normal"/>
    <w:unhideWhenUsed/>
    <w:rsid w:val="004F577B"/>
    <w:pPr>
      <w:numPr>
        <w:numId w:val="15"/>
      </w:numPr>
    </w:pPr>
  </w:style>
  <w:style w:type="table" w:styleId="TableGrid">
    <w:name w:val="Table Grid"/>
    <w:basedOn w:val="TableNormal"/>
    <w:rsid w:val="00273F0D"/>
    <w:pPr>
      <w:spacing w:after="0" w:line="240" w:lineRule="auto"/>
    </w:pPr>
    <w:rPr>
      <w:rFonts w:ascii="Arial" w:eastAsia="Times New Roman" w:hAnsi="Arial" w:cs="Times New Roman"/>
      <w:sz w:val="20"/>
      <w:szCs w:val="20"/>
      <w:lang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3">
    <w:name w:val="List Bullet 3"/>
    <w:basedOn w:val="Normal"/>
    <w:rsid w:val="00611FFC"/>
    <w:pPr>
      <w:numPr>
        <w:numId w:val="3"/>
      </w:numPr>
      <w:tabs>
        <w:tab w:val="left" w:pos="1701"/>
      </w:tabs>
      <w:spacing w:before="120" w:after="60"/>
      <w:ind w:right="1077"/>
    </w:pPr>
    <w:rPr>
      <w:rFonts w:eastAsia="Times New Roman" w:cs="Times New Roman"/>
      <w:szCs w:val="20"/>
      <w:lang w:eastAsia="en-AU"/>
    </w:rPr>
  </w:style>
  <w:style w:type="character" w:styleId="Hyperlink">
    <w:name w:val="Hyperlink"/>
    <w:uiPriority w:val="99"/>
    <w:rsid w:val="00273F0D"/>
    <w:rPr>
      <w:noProof/>
      <w:color w:val="0000FF"/>
      <w:u w:val="single"/>
    </w:rPr>
  </w:style>
  <w:style w:type="character" w:styleId="FollowedHyperlink">
    <w:name w:val="FollowedHyperlink"/>
    <w:rsid w:val="00273F0D"/>
    <w:rPr>
      <w:color w:val="800080"/>
      <w:u w:val="single"/>
    </w:rPr>
  </w:style>
  <w:style w:type="paragraph" w:customStyle="1" w:styleId="Sourceandnotes">
    <w:name w:val="Source and notes"/>
    <w:basedOn w:val="Normal"/>
    <w:next w:val="Normal"/>
    <w:qFormat/>
    <w:rsid w:val="00273F0D"/>
    <w:pPr>
      <w:tabs>
        <w:tab w:val="left" w:pos="284"/>
      </w:tabs>
      <w:spacing w:before="40"/>
      <w:ind w:left="284" w:hanging="284"/>
    </w:pPr>
  </w:style>
  <w:style w:type="paragraph" w:customStyle="1" w:styleId="Footnotes">
    <w:name w:val="Footnotes"/>
    <w:qFormat/>
    <w:rsid w:val="00273F0D"/>
    <w:pPr>
      <w:tabs>
        <w:tab w:val="left" w:pos="284"/>
      </w:tabs>
      <w:spacing w:before="120" w:after="120" w:line="240" w:lineRule="auto"/>
      <w:ind w:left="454" w:hanging="454"/>
      <w:contextualSpacing/>
      <w:jc w:val="center"/>
    </w:pPr>
    <w:rPr>
      <w:rFonts w:ascii="Arial" w:eastAsia="Times New Roman" w:hAnsi="Arial" w:cs="Times New Roman"/>
      <w:sz w:val="20"/>
      <w:szCs w:val="20"/>
      <w:lang w:eastAsia="en-AU"/>
    </w:rPr>
  </w:style>
  <w:style w:type="paragraph" w:customStyle="1" w:styleId="Tableheading">
    <w:name w:val="Table heading"/>
    <w:basedOn w:val="Caption"/>
    <w:autoRedefine/>
    <w:qFormat/>
    <w:rsid w:val="00273F0D"/>
    <w:pPr>
      <w:jc w:val="left"/>
    </w:pPr>
  </w:style>
  <w:style w:type="paragraph" w:styleId="FootnoteText">
    <w:name w:val="footnote text"/>
    <w:basedOn w:val="Footnotes"/>
    <w:link w:val="FootnoteTextChar"/>
    <w:autoRedefine/>
    <w:uiPriority w:val="99"/>
    <w:rsid w:val="00273F0D"/>
    <w:pPr>
      <w:jc w:val="left"/>
    </w:pPr>
  </w:style>
  <w:style w:type="character" w:customStyle="1" w:styleId="FootnoteTextChar">
    <w:name w:val="Footnote Text Char"/>
    <w:basedOn w:val="DefaultParagraphFont"/>
    <w:link w:val="FootnoteText"/>
    <w:uiPriority w:val="99"/>
    <w:rsid w:val="00273F0D"/>
    <w:rPr>
      <w:rFonts w:ascii="Arial" w:eastAsia="Times New Roman" w:hAnsi="Arial" w:cs="Times New Roman"/>
      <w:sz w:val="20"/>
      <w:szCs w:val="20"/>
      <w:lang w:eastAsia="en-AU"/>
    </w:rPr>
  </w:style>
  <w:style w:type="character" w:styleId="FootnoteReference">
    <w:name w:val="footnote reference"/>
    <w:uiPriority w:val="99"/>
    <w:rsid w:val="00273F0D"/>
    <w:rPr>
      <w:rFonts w:ascii="Arial" w:hAnsi="Arial"/>
      <w:kern w:val="22"/>
      <w:sz w:val="22"/>
      <w:vertAlign w:val="superscript"/>
    </w:rPr>
  </w:style>
  <w:style w:type="paragraph" w:customStyle="1" w:styleId="Tabletextindentroman">
    <w:name w:val="Table text indent roman"/>
    <w:basedOn w:val="Normal"/>
    <w:rsid w:val="00273F0D"/>
    <w:pPr>
      <w:spacing w:before="40" w:after="40"/>
      <w:ind w:left="459" w:hanging="283"/>
    </w:pPr>
    <w:rPr>
      <w:rFonts w:eastAsia="Times New Roman" w:cs="Times New Roman"/>
      <w:szCs w:val="20"/>
      <w:lang w:eastAsia="en-AU"/>
    </w:rPr>
  </w:style>
  <w:style w:type="paragraph" w:customStyle="1" w:styleId="Tabletextheading">
    <w:name w:val="Table text heading"/>
    <w:basedOn w:val="Normal"/>
    <w:qFormat/>
    <w:rsid w:val="00273F0D"/>
    <w:pPr>
      <w:spacing w:before="60" w:after="60"/>
    </w:pPr>
    <w:rPr>
      <w:rFonts w:eastAsia="Times New Roman" w:cs="Times New Roman"/>
      <w:b/>
      <w:sz w:val="20"/>
      <w:szCs w:val="20"/>
      <w:lang w:eastAsia="en-AU"/>
    </w:rPr>
  </w:style>
  <w:style w:type="paragraph" w:customStyle="1" w:styleId="Tabletextleftcolumn">
    <w:name w:val="Table text left column"/>
    <w:qFormat/>
    <w:rsid w:val="00273F0D"/>
    <w:pPr>
      <w:spacing w:before="60" w:after="60" w:line="240" w:lineRule="auto"/>
      <w:ind w:left="454" w:hanging="454"/>
    </w:pPr>
    <w:rPr>
      <w:rFonts w:ascii="Arial" w:eastAsia="Times New Roman" w:hAnsi="Arial" w:cs="Times New Roman"/>
      <w:sz w:val="20"/>
      <w:szCs w:val="20"/>
      <w:lang w:eastAsia="en-AU"/>
    </w:rPr>
  </w:style>
  <w:style w:type="paragraph" w:styleId="TOAHeading">
    <w:name w:val="toa heading"/>
    <w:basedOn w:val="Normal"/>
    <w:next w:val="Normal"/>
    <w:rsid w:val="00273F0D"/>
    <w:pPr>
      <w:spacing w:before="120" w:after="120"/>
    </w:pPr>
    <w:rPr>
      <w:rFonts w:ascii="Cambria" w:eastAsia="Times New Roman" w:hAnsi="Cambria" w:cs="Times New Roman"/>
      <w:b/>
      <w:bCs/>
      <w:sz w:val="20"/>
      <w:szCs w:val="24"/>
      <w:lang w:eastAsia="en-AU"/>
    </w:rPr>
  </w:style>
  <w:style w:type="paragraph" w:customStyle="1" w:styleId="Contentsheading">
    <w:name w:val="Contents heading"/>
    <w:autoRedefine/>
    <w:rsid w:val="00273F0D"/>
    <w:pPr>
      <w:spacing w:before="120" w:after="480" w:line="240" w:lineRule="auto"/>
      <w:ind w:left="454" w:hanging="454"/>
    </w:pPr>
    <w:rPr>
      <w:rFonts w:ascii="Arial" w:eastAsia="Times New Roman" w:hAnsi="Arial" w:cs="Times New Roman"/>
      <w:b/>
      <w:bCs/>
      <w:sz w:val="36"/>
      <w:szCs w:val="20"/>
      <w:lang w:eastAsia="en-AU"/>
    </w:rPr>
  </w:style>
  <w:style w:type="paragraph" w:customStyle="1" w:styleId="ACCCtitle">
    <w:name w:val="ACCC title"/>
    <w:autoRedefine/>
    <w:rsid w:val="00273F0D"/>
    <w:pPr>
      <w:spacing w:before="4200" w:after="240" w:line="240" w:lineRule="auto"/>
      <w:ind w:left="454" w:hanging="454"/>
      <w:contextualSpacing/>
      <w:jc w:val="center"/>
    </w:pPr>
    <w:rPr>
      <w:rFonts w:ascii="Arial" w:eastAsia="Times New Roman" w:hAnsi="Arial" w:cs="Times New Roman"/>
      <w:bCs/>
      <w:sz w:val="48"/>
      <w:szCs w:val="20"/>
      <w:lang w:eastAsia="en-AU"/>
    </w:rPr>
  </w:style>
  <w:style w:type="paragraph" w:customStyle="1" w:styleId="Contactsheading1">
    <w:name w:val="Contacts heading  1"/>
    <w:basedOn w:val="Normal"/>
    <w:autoRedefine/>
    <w:qFormat/>
    <w:rsid w:val="00273F0D"/>
    <w:pPr>
      <w:keepNext/>
      <w:spacing w:before="120" w:after="0"/>
    </w:pPr>
    <w:rPr>
      <w:rFonts w:eastAsia="Times New Roman" w:cs="Times New Roman"/>
      <w:b/>
      <w:sz w:val="20"/>
      <w:szCs w:val="20"/>
      <w:lang w:eastAsia="en-AU"/>
    </w:rPr>
  </w:style>
  <w:style w:type="paragraph" w:customStyle="1" w:styleId="Contactstext">
    <w:name w:val="Contacts text"/>
    <w:autoRedefine/>
    <w:qFormat/>
    <w:rsid w:val="00273F0D"/>
    <w:pPr>
      <w:spacing w:before="60" w:after="60" w:line="240" w:lineRule="auto"/>
    </w:pPr>
    <w:rPr>
      <w:rFonts w:ascii="Arial" w:eastAsia="Times New Roman" w:hAnsi="Arial" w:cs="Times New Roman"/>
      <w:sz w:val="20"/>
      <w:szCs w:val="20"/>
      <w:lang w:eastAsia="en-AU"/>
    </w:rPr>
  </w:style>
  <w:style w:type="paragraph" w:customStyle="1" w:styleId="Contactsheading2">
    <w:name w:val="Contacts heading 2"/>
    <w:basedOn w:val="Contactstext"/>
    <w:autoRedefine/>
    <w:qFormat/>
    <w:rsid w:val="00273F0D"/>
    <w:pPr>
      <w:keepNext/>
    </w:pPr>
    <w:rPr>
      <w:i/>
    </w:rPr>
  </w:style>
  <w:style w:type="paragraph" w:customStyle="1" w:styleId="ContactsheadingAER">
    <w:name w:val="Contacts heading AER"/>
    <w:basedOn w:val="Contactsheading1"/>
    <w:rsid w:val="00273F0D"/>
    <w:pPr>
      <w:ind w:right="-1136"/>
    </w:pPr>
    <w:rPr>
      <w:bCs/>
    </w:rPr>
  </w:style>
  <w:style w:type="paragraph" w:customStyle="1" w:styleId="Contactsaddresses">
    <w:name w:val="Contacts addresses"/>
    <w:autoRedefine/>
    <w:qFormat/>
    <w:rsid w:val="00273F0D"/>
    <w:pPr>
      <w:pBdr>
        <w:bottom w:val="single" w:sz="2" w:space="1" w:color="auto"/>
      </w:pBdr>
      <w:spacing w:before="120" w:after="120" w:line="240" w:lineRule="auto"/>
      <w:ind w:left="454" w:hanging="454"/>
    </w:pPr>
    <w:rPr>
      <w:rFonts w:ascii="Arial" w:eastAsia="Times New Roman" w:hAnsi="Arial" w:cs="Times New Roman"/>
      <w:b/>
      <w:sz w:val="24"/>
      <w:szCs w:val="20"/>
      <w:lang w:eastAsia="en-AU"/>
    </w:rPr>
  </w:style>
  <w:style w:type="paragraph" w:customStyle="1" w:styleId="Tabletextindentalph">
    <w:name w:val="Table text indent alph"/>
    <w:basedOn w:val="tabletext"/>
    <w:qFormat/>
    <w:rsid w:val="00273F0D"/>
    <w:pPr>
      <w:tabs>
        <w:tab w:val="left" w:pos="454"/>
      </w:tabs>
    </w:pPr>
  </w:style>
  <w:style w:type="paragraph" w:customStyle="1" w:styleId="tabletext">
    <w:name w:val="table text"/>
    <w:qFormat/>
    <w:rsid w:val="00273F0D"/>
    <w:pPr>
      <w:spacing w:before="60" w:after="60" w:line="240" w:lineRule="auto"/>
    </w:pPr>
    <w:rPr>
      <w:rFonts w:ascii="Arial" w:eastAsia="Times New Roman" w:hAnsi="Arial" w:cs="Times New Roman"/>
      <w:szCs w:val="20"/>
      <w:lang w:eastAsia="en-AU"/>
    </w:rPr>
  </w:style>
  <w:style w:type="paragraph" w:customStyle="1" w:styleId="tabletextindentbullet">
    <w:name w:val="table text indent bullet"/>
    <w:basedOn w:val="tabletext"/>
    <w:qFormat/>
    <w:rsid w:val="00273F0D"/>
    <w:pPr>
      <w:numPr>
        <w:numId w:val="4"/>
      </w:numPr>
      <w:tabs>
        <w:tab w:val="left" w:pos="454"/>
      </w:tabs>
    </w:pPr>
  </w:style>
  <w:style w:type="paragraph" w:customStyle="1" w:styleId="listalpha">
    <w:name w:val="list alpha"/>
    <w:basedOn w:val="Normal"/>
    <w:rsid w:val="00273F0D"/>
    <w:pPr>
      <w:spacing w:before="60" w:after="60"/>
      <w:ind w:left="567" w:hanging="567"/>
    </w:pPr>
    <w:rPr>
      <w:rFonts w:eastAsia="Times New Roman" w:cs="Times New Roman"/>
      <w:sz w:val="20"/>
      <w:szCs w:val="20"/>
      <w:lang w:eastAsia="en-AU"/>
    </w:rPr>
  </w:style>
  <w:style w:type="paragraph" w:customStyle="1" w:styleId="Multi-levellist1">
    <w:name w:val="Multi-level list 1"/>
    <w:autoRedefine/>
    <w:qFormat/>
    <w:rsid w:val="00273F0D"/>
    <w:pPr>
      <w:numPr>
        <w:numId w:val="5"/>
      </w:numPr>
      <w:spacing w:before="240" w:after="120" w:line="240" w:lineRule="auto"/>
    </w:pPr>
    <w:rPr>
      <w:rFonts w:ascii="Arial" w:eastAsia="Times New Roman" w:hAnsi="Arial" w:cs="Times New Roman"/>
      <w:sz w:val="24"/>
      <w:szCs w:val="24"/>
    </w:rPr>
  </w:style>
  <w:style w:type="paragraph" w:customStyle="1" w:styleId="Multi-levellist2">
    <w:name w:val="Multi-level list 2"/>
    <w:basedOn w:val="Multi-levellist1"/>
    <w:rsid w:val="00273F0D"/>
    <w:pPr>
      <w:numPr>
        <w:ilvl w:val="1"/>
      </w:numPr>
      <w:tabs>
        <w:tab w:val="clear" w:pos="567"/>
        <w:tab w:val="num" w:pos="680"/>
      </w:tabs>
    </w:pPr>
  </w:style>
  <w:style w:type="paragraph" w:customStyle="1" w:styleId="Multilevellist3">
    <w:name w:val="Multilevel list 3"/>
    <w:basedOn w:val="Multi-levellist2"/>
    <w:autoRedefine/>
    <w:qFormat/>
    <w:rsid w:val="00273F0D"/>
    <w:pPr>
      <w:numPr>
        <w:ilvl w:val="2"/>
      </w:numPr>
      <w:ind w:left="680" w:hanging="680"/>
    </w:pPr>
  </w:style>
  <w:style w:type="paragraph" w:styleId="DocumentMap">
    <w:name w:val="Document Map"/>
    <w:basedOn w:val="Normal"/>
    <w:link w:val="DocumentMapChar"/>
    <w:rsid w:val="00273F0D"/>
    <w:pPr>
      <w:spacing w:before="120" w:after="120"/>
    </w:pPr>
    <w:rPr>
      <w:rFonts w:ascii="Tahoma" w:eastAsia="Times New Roman" w:hAnsi="Tahoma" w:cs="Tahoma"/>
      <w:sz w:val="16"/>
      <w:szCs w:val="16"/>
      <w:lang w:eastAsia="en-AU"/>
    </w:rPr>
  </w:style>
  <w:style w:type="character" w:customStyle="1" w:styleId="DocumentMapChar">
    <w:name w:val="Document Map Char"/>
    <w:basedOn w:val="DefaultParagraphFont"/>
    <w:link w:val="DocumentMap"/>
    <w:rsid w:val="00273F0D"/>
    <w:rPr>
      <w:rFonts w:ascii="Tahoma" w:eastAsia="Times New Roman" w:hAnsi="Tahoma" w:cs="Tahoma"/>
      <w:sz w:val="16"/>
      <w:szCs w:val="16"/>
      <w:lang w:eastAsia="en-AU"/>
    </w:rPr>
  </w:style>
  <w:style w:type="paragraph" w:customStyle="1" w:styleId="StyleContactsheading1TimesNewRomanBefore0pt">
    <w:name w:val="Style Contacts heading  1 + Times New Roman Before:  0 pt"/>
    <w:basedOn w:val="Contactsheading1"/>
    <w:locked/>
    <w:rsid w:val="00273F0D"/>
    <w:pPr>
      <w:spacing w:before="0"/>
    </w:pPr>
    <w:rPr>
      <w:bCs/>
    </w:rPr>
  </w:style>
  <w:style w:type="paragraph" w:customStyle="1" w:styleId="StyleContactsheading1TimesNewRoman">
    <w:name w:val="Style Contacts heading  1 + Times New Roman"/>
    <w:basedOn w:val="Contactsheading1"/>
    <w:locked/>
    <w:rsid w:val="00273F0D"/>
    <w:rPr>
      <w:bCs/>
    </w:rPr>
  </w:style>
  <w:style w:type="paragraph" w:customStyle="1" w:styleId="Pa13">
    <w:name w:val="Pa13"/>
    <w:basedOn w:val="Normal"/>
    <w:next w:val="Normal"/>
    <w:uiPriority w:val="99"/>
    <w:locked/>
    <w:rsid w:val="00273F0D"/>
    <w:pPr>
      <w:autoSpaceDE w:val="0"/>
      <w:autoSpaceDN w:val="0"/>
      <w:adjustRightInd w:val="0"/>
      <w:spacing w:after="0" w:line="161" w:lineRule="atLeast"/>
    </w:pPr>
    <w:rPr>
      <w:rFonts w:ascii="HelveticaNeueLT Std Lt" w:eastAsia="Calibri" w:hAnsi="HelveticaNeueLT Std Lt" w:cs="Times New Roman"/>
      <w:sz w:val="20"/>
      <w:szCs w:val="24"/>
    </w:rPr>
  </w:style>
  <w:style w:type="paragraph" w:customStyle="1" w:styleId="Copyrightbullet">
    <w:name w:val="Copyright bullet"/>
    <w:basedOn w:val="copyrighttext"/>
    <w:link w:val="CopyrightbulletChar"/>
    <w:autoRedefine/>
    <w:qFormat/>
    <w:locked/>
    <w:rsid w:val="00273F0D"/>
    <w:pPr>
      <w:spacing w:before="0" w:after="0"/>
    </w:pPr>
  </w:style>
  <w:style w:type="character" w:customStyle="1" w:styleId="copyrighttextChar">
    <w:name w:val="copyright text Char"/>
    <w:link w:val="copyrighttext"/>
    <w:rsid w:val="00273F0D"/>
    <w:rPr>
      <w:rFonts w:ascii="Arial" w:eastAsia="Times New Roman" w:hAnsi="Arial" w:cs="Times New Roman"/>
      <w:sz w:val="18"/>
      <w:szCs w:val="18"/>
      <w:lang w:eastAsia="en-AU"/>
    </w:rPr>
  </w:style>
  <w:style w:type="paragraph" w:customStyle="1" w:styleId="Tablefigures">
    <w:name w:val="Table figures"/>
    <w:basedOn w:val="Normal"/>
    <w:link w:val="TablefiguresChar"/>
    <w:qFormat/>
    <w:rsid w:val="00273F0D"/>
    <w:pPr>
      <w:spacing w:before="60" w:after="60"/>
      <w:ind w:right="598"/>
      <w:jc w:val="right"/>
    </w:pPr>
    <w:rPr>
      <w:rFonts w:eastAsia="Times New Roman" w:cs="Times New Roman"/>
      <w:sz w:val="20"/>
      <w:szCs w:val="20"/>
      <w:lang w:eastAsia="en-AU"/>
    </w:rPr>
  </w:style>
  <w:style w:type="character" w:customStyle="1" w:styleId="CopyrightbulletChar">
    <w:name w:val="Copyright bullet Char"/>
    <w:link w:val="Copyrightbullet"/>
    <w:rsid w:val="00273F0D"/>
    <w:rPr>
      <w:rFonts w:ascii="Arial" w:eastAsia="Times New Roman" w:hAnsi="Arial" w:cs="Times New Roman"/>
      <w:sz w:val="18"/>
      <w:szCs w:val="18"/>
      <w:lang w:eastAsia="en-AU"/>
    </w:rPr>
  </w:style>
  <w:style w:type="paragraph" w:customStyle="1" w:styleId="Tablenumbersright">
    <w:name w:val="Table numbers right"/>
    <w:basedOn w:val="Normal"/>
    <w:link w:val="TablenumbersrightChar"/>
    <w:qFormat/>
    <w:rsid w:val="00273F0D"/>
    <w:pPr>
      <w:spacing w:before="60" w:after="60"/>
      <w:ind w:right="598"/>
      <w:jc w:val="right"/>
    </w:pPr>
    <w:rPr>
      <w:rFonts w:eastAsia="Times New Roman" w:cs="Times New Roman"/>
      <w:sz w:val="20"/>
      <w:szCs w:val="20"/>
      <w:lang w:eastAsia="en-AU"/>
    </w:rPr>
  </w:style>
  <w:style w:type="character" w:customStyle="1" w:styleId="TablefiguresChar">
    <w:name w:val="Table figures Char"/>
    <w:link w:val="Tablefigures"/>
    <w:rsid w:val="00273F0D"/>
    <w:rPr>
      <w:rFonts w:ascii="Arial" w:eastAsia="Times New Roman" w:hAnsi="Arial" w:cs="Times New Roman"/>
      <w:sz w:val="20"/>
      <w:szCs w:val="20"/>
      <w:lang w:eastAsia="en-AU"/>
    </w:rPr>
  </w:style>
  <w:style w:type="paragraph" w:styleId="NormalWeb">
    <w:name w:val="Normal (Web)"/>
    <w:basedOn w:val="Normal"/>
    <w:uiPriority w:val="99"/>
    <w:unhideWhenUsed/>
    <w:rsid w:val="00273F0D"/>
    <w:pPr>
      <w:spacing w:after="100" w:afterAutospacing="1"/>
    </w:pPr>
    <w:rPr>
      <w:rFonts w:eastAsia="Times New Roman" w:cs="Times New Roman"/>
      <w:sz w:val="20"/>
      <w:szCs w:val="24"/>
      <w:lang w:eastAsia="en-AU"/>
    </w:rPr>
  </w:style>
  <w:style w:type="character" w:customStyle="1" w:styleId="TablenumbersrightChar">
    <w:name w:val="Table numbers right Char"/>
    <w:link w:val="Tablenumbersright"/>
    <w:rsid w:val="00273F0D"/>
    <w:rPr>
      <w:rFonts w:ascii="Arial" w:eastAsia="Times New Roman" w:hAnsi="Arial" w:cs="Times New Roman"/>
      <w:sz w:val="20"/>
      <w:szCs w:val="20"/>
      <w:lang w:eastAsia="en-AU"/>
    </w:rPr>
  </w:style>
  <w:style w:type="character" w:customStyle="1" w:styleId="Italic">
    <w:name w:val="Italic"/>
    <w:uiPriority w:val="1"/>
    <w:qFormat/>
    <w:rsid w:val="00273F0D"/>
    <w:rPr>
      <w:i/>
    </w:rPr>
  </w:style>
  <w:style w:type="paragraph" w:customStyle="1" w:styleId="StyleContactsheading1Before0pt">
    <w:name w:val="Style Contacts heading  1 + Before:  0 pt"/>
    <w:basedOn w:val="Contactsheading1"/>
    <w:autoRedefine/>
    <w:locked/>
    <w:rsid w:val="00273F0D"/>
    <w:pPr>
      <w:spacing w:before="0"/>
    </w:pPr>
    <w:rPr>
      <w:bCs/>
    </w:rPr>
  </w:style>
  <w:style w:type="paragraph" w:customStyle="1" w:styleId="StylecopyrighttextBoldCustomColorRGB22710810">
    <w:name w:val="Style copyright text + Bold Custom Color(RGB(22710810))"/>
    <w:basedOn w:val="copyrighttext"/>
    <w:autoRedefine/>
    <w:locked/>
    <w:rsid w:val="00273F0D"/>
    <w:rPr>
      <w:b/>
      <w:bCs/>
      <w:color w:val="E36C0A"/>
    </w:rPr>
  </w:style>
  <w:style w:type="character" w:customStyle="1" w:styleId="StyleBold">
    <w:name w:val="Style Bold"/>
    <w:rsid w:val="00273F0D"/>
    <w:rPr>
      <w:b/>
      <w:bCs/>
    </w:rPr>
  </w:style>
  <w:style w:type="character" w:customStyle="1" w:styleId="Bold">
    <w:name w:val="Bold"/>
    <w:rsid w:val="00273F0D"/>
    <w:rPr>
      <w:b/>
      <w:bCs/>
    </w:rPr>
  </w:style>
  <w:style w:type="character" w:styleId="CommentReference">
    <w:name w:val="annotation reference"/>
    <w:uiPriority w:val="99"/>
    <w:rsid w:val="00273F0D"/>
    <w:rPr>
      <w:sz w:val="16"/>
      <w:szCs w:val="16"/>
    </w:rPr>
  </w:style>
  <w:style w:type="paragraph" w:styleId="CommentText">
    <w:name w:val="annotation text"/>
    <w:basedOn w:val="Normal"/>
    <w:link w:val="CommentTextChar"/>
    <w:uiPriority w:val="99"/>
    <w:rsid w:val="00273F0D"/>
    <w:pPr>
      <w:spacing w:before="120" w:after="120"/>
    </w:pPr>
    <w:rPr>
      <w:rFonts w:eastAsia="Times New Roman" w:cs="Times New Roman"/>
      <w:sz w:val="20"/>
      <w:szCs w:val="20"/>
      <w:lang w:eastAsia="en-AU"/>
    </w:rPr>
  </w:style>
  <w:style w:type="character" w:customStyle="1" w:styleId="CommentTextChar">
    <w:name w:val="Comment Text Char"/>
    <w:basedOn w:val="DefaultParagraphFont"/>
    <w:link w:val="CommentText"/>
    <w:uiPriority w:val="99"/>
    <w:rsid w:val="00273F0D"/>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rsid w:val="00273F0D"/>
    <w:rPr>
      <w:b/>
      <w:bCs/>
    </w:rPr>
  </w:style>
  <w:style w:type="character" w:customStyle="1" w:styleId="CommentSubjectChar">
    <w:name w:val="Comment Subject Char"/>
    <w:basedOn w:val="CommentTextChar"/>
    <w:link w:val="CommentSubject"/>
    <w:rsid w:val="00273F0D"/>
    <w:rPr>
      <w:rFonts w:ascii="Arial" w:eastAsia="Times New Roman" w:hAnsi="Arial" w:cs="Times New Roman"/>
      <w:b/>
      <w:bCs/>
      <w:sz w:val="20"/>
      <w:szCs w:val="20"/>
      <w:lang w:eastAsia="en-AU"/>
    </w:rPr>
  </w:style>
  <w:style w:type="paragraph" w:styleId="ListParagraph">
    <w:name w:val="List Paragraph"/>
    <w:basedOn w:val="Normal"/>
    <w:uiPriority w:val="34"/>
    <w:qFormat/>
    <w:rsid w:val="00273F0D"/>
    <w:pPr>
      <w:ind w:left="720"/>
      <w:contextualSpacing/>
    </w:pPr>
    <w:rPr>
      <w:rFonts w:ascii="Calibri" w:eastAsia="Calibri" w:hAnsi="Calibri" w:cs="Calibri"/>
    </w:rPr>
  </w:style>
  <w:style w:type="paragraph" w:styleId="Revision">
    <w:name w:val="Revision"/>
    <w:hidden/>
    <w:uiPriority w:val="99"/>
    <w:semiHidden/>
    <w:rsid w:val="00E46F5E"/>
    <w:pPr>
      <w:spacing w:after="0" w:line="240" w:lineRule="auto"/>
    </w:pPr>
    <w:rPr>
      <w:rFonts w:ascii="Arial" w:hAnsi="Arial"/>
    </w:rPr>
  </w:style>
  <w:style w:type="table" w:styleId="LightList">
    <w:name w:val="Light List"/>
    <w:basedOn w:val="TableNormal"/>
    <w:uiPriority w:val="61"/>
    <w:rsid w:val="008A53B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semiHidden/>
    <w:unhideWhenUsed/>
    <w:rsid w:val="00D3767E"/>
    <w:pPr>
      <w:spacing w:after="0"/>
    </w:pPr>
    <w:rPr>
      <w:sz w:val="20"/>
      <w:szCs w:val="20"/>
    </w:rPr>
  </w:style>
  <w:style w:type="character" w:customStyle="1" w:styleId="EndnoteTextChar">
    <w:name w:val="Endnote Text Char"/>
    <w:basedOn w:val="DefaultParagraphFont"/>
    <w:link w:val="EndnoteText"/>
    <w:uiPriority w:val="99"/>
    <w:semiHidden/>
    <w:rsid w:val="00D3767E"/>
    <w:rPr>
      <w:rFonts w:ascii="Arial" w:hAnsi="Arial"/>
      <w:sz w:val="20"/>
      <w:szCs w:val="20"/>
    </w:rPr>
  </w:style>
  <w:style w:type="character" w:styleId="EndnoteReference">
    <w:name w:val="endnote reference"/>
    <w:basedOn w:val="DefaultParagraphFont"/>
    <w:uiPriority w:val="99"/>
    <w:semiHidden/>
    <w:unhideWhenUsed/>
    <w:rsid w:val="00D3767E"/>
    <w:rPr>
      <w:vertAlign w:val="superscript"/>
    </w:rPr>
  </w:style>
  <w:style w:type="paragraph" w:customStyle="1" w:styleId="NormalNumbered5">
    <w:name w:val="Normal Numbered 5"/>
    <w:basedOn w:val="Normal"/>
    <w:qFormat/>
    <w:rsid w:val="00CE25DB"/>
    <w:pPr>
      <w:numPr>
        <w:numId w:val="25"/>
      </w:numPr>
      <w:spacing w:before="120" w:after="120"/>
    </w:pPr>
    <w:rPr>
      <w:rFonts w:eastAsia="Times New Roman" w:cs="Times New Roman"/>
      <w:sz w:val="20"/>
      <w:szCs w:val="24"/>
    </w:rPr>
  </w:style>
  <w:style w:type="paragraph" w:customStyle="1" w:styleId="NormalNumbered5-RED">
    <w:name w:val="Normal Numbered 5 - RED"/>
    <w:basedOn w:val="NormalNumbered5"/>
    <w:qFormat/>
    <w:rsid w:val="00CE25DB"/>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oa heading" w:uiPriority="0"/>
    <w:lsdException w:name="List Bullet" w:uiPriority="0"/>
    <w:lsdException w:name="List Bullet 2"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55E"/>
    <w:pPr>
      <w:spacing w:line="240" w:lineRule="auto"/>
    </w:pPr>
    <w:rPr>
      <w:rFonts w:ascii="Arial" w:hAnsi="Arial"/>
    </w:rPr>
  </w:style>
  <w:style w:type="paragraph" w:styleId="Heading1">
    <w:name w:val="heading 1"/>
    <w:next w:val="Heading2"/>
    <w:link w:val="Heading1Char"/>
    <w:autoRedefine/>
    <w:qFormat/>
    <w:rsid w:val="00273F0D"/>
    <w:pPr>
      <w:keepNext/>
      <w:tabs>
        <w:tab w:val="left" w:pos="567"/>
      </w:tabs>
      <w:spacing w:before="40" w:after="480" w:line="240" w:lineRule="auto"/>
      <w:ind w:left="567" w:hanging="567"/>
      <w:outlineLvl w:val="0"/>
    </w:pPr>
    <w:rPr>
      <w:rFonts w:ascii="Arial" w:eastAsia="Times New Roman" w:hAnsi="Arial" w:cs="Times New Roman"/>
      <w:sz w:val="48"/>
      <w:szCs w:val="20"/>
      <w:lang w:eastAsia="en-AU"/>
    </w:rPr>
  </w:style>
  <w:style w:type="paragraph" w:styleId="Heading2">
    <w:name w:val="heading 2"/>
    <w:basedOn w:val="Normal"/>
    <w:next w:val="Normal"/>
    <w:link w:val="Heading2Char"/>
    <w:autoRedefine/>
    <w:qFormat/>
    <w:rsid w:val="00301BB1"/>
    <w:pPr>
      <w:keepNext/>
      <w:tabs>
        <w:tab w:val="left" w:pos="567"/>
      </w:tabs>
      <w:spacing w:before="240" w:after="120"/>
      <w:outlineLvl w:val="1"/>
    </w:pPr>
    <w:rPr>
      <w:rFonts w:eastAsia="Times New Roman" w:cs="Times New Roman"/>
      <w:sz w:val="40"/>
      <w:szCs w:val="20"/>
      <w:lang w:eastAsia="en-AU"/>
    </w:rPr>
  </w:style>
  <w:style w:type="paragraph" w:styleId="Heading3">
    <w:name w:val="heading 3"/>
    <w:basedOn w:val="Normal"/>
    <w:next w:val="Normal"/>
    <w:link w:val="Heading3Char"/>
    <w:autoRedefine/>
    <w:qFormat/>
    <w:rsid w:val="00273F0D"/>
    <w:pPr>
      <w:keepNext/>
      <w:spacing w:before="240" w:after="120"/>
      <w:outlineLvl w:val="2"/>
    </w:pPr>
    <w:rPr>
      <w:rFonts w:eastAsia="Times New Roman" w:cs="Times New Roman"/>
      <w:sz w:val="30"/>
      <w:szCs w:val="20"/>
      <w:lang w:eastAsia="en-AU"/>
    </w:rPr>
  </w:style>
  <w:style w:type="paragraph" w:styleId="Heading4">
    <w:name w:val="heading 4"/>
    <w:basedOn w:val="Normal"/>
    <w:next w:val="Normal"/>
    <w:link w:val="Heading4Char"/>
    <w:autoRedefine/>
    <w:qFormat/>
    <w:rsid w:val="00273F0D"/>
    <w:pPr>
      <w:keepNext/>
      <w:spacing w:before="240" w:after="0"/>
      <w:outlineLvl w:val="3"/>
    </w:pPr>
    <w:rPr>
      <w:rFonts w:eastAsia="Times New Roman" w:cs="Times New Roman"/>
      <w:b/>
      <w:szCs w:val="20"/>
      <w:lang w:eastAsia="en-AU"/>
    </w:rPr>
  </w:style>
  <w:style w:type="paragraph" w:styleId="Heading5">
    <w:name w:val="heading 5"/>
    <w:basedOn w:val="Normal"/>
    <w:next w:val="Normal"/>
    <w:link w:val="Heading5Char"/>
    <w:autoRedefine/>
    <w:qFormat/>
    <w:rsid w:val="00273F0D"/>
    <w:pPr>
      <w:spacing w:before="120" w:after="0"/>
      <w:outlineLvl w:val="4"/>
    </w:pPr>
    <w:rPr>
      <w:rFonts w:eastAsia="Times New Roman" w:cs="Times New Roman"/>
      <w:i/>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F0D"/>
    <w:rPr>
      <w:rFonts w:ascii="Arial" w:eastAsia="Times New Roman" w:hAnsi="Arial" w:cs="Times New Roman"/>
      <w:sz w:val="48"/>
      <w:szCs w:val="20"/>
      <w:lang w:eastAsia="en-AU"/>
    </w:rPr>
  </w:style>
  <w:style w:type="character" w:customStyle="1" w:styleId="Heading2Char">
    <w:name w:val="Heading 2 Char"/>
    <w:basedOn w:val="DefaultParagraphFont"/>
    <w:link w:val="Heading2"/>
    <w:rsid w:val="00301BB1"/>
    <w:rPr>
      <w:rFonts w:ascii="Arial" w:eastAsia="Times New Roman" w:hAnsi="Arial" w:cs="Times New Roman"/>
      <w:sz w:val="40"/>
      <w:szCs w:val="20"/>
      <w:lang w:eastAsia="en-AU"/>
    </w:rPr>
  </w:style>
  <w:style w:type="character" w:customStyle="1" w:styleId="Heading3Char">
    <w:name w:val="Heading 3 Char"/>
    <w:basedOn w:val="DefaultParagraphFont"/>
    <w:link w:val="Heading3"/>
    <w:rsid w:val="00273F0D"/>
    <w:rPr>
      <w:rFonts w:ascii="Arial" w:eastAsia="Times New Roman" w:hAnsi="Arial" w:cs="Times New Roman"/>
      <w:sz w:val="30"/>
      <w:szCs w:val="20"/>
      <w:lang w:eastAsia="en-AU"/>
    </w:rPr>
  </w:style>
  <w:style w:type="character" w:customStyle="1" w:styleId="Heading4Char">
    <w:name w:val="Heading 4 Char"/>
    <w:basedOn w:val="DefaultParagraphFont"/>
    <w:link w:val="Heading4"/>
    <w:rsid w:val="00273F0D"/>
    <w:rPr>
      <w:rFonts w:ascii="Arial" w:eastAsia="Times New Roman" w:hAnsi="Arial" w:cs="Times New Roman"/>
      <w:b/>
      <w:szCs w:val="20"/>
      <w:lang w:eastAsia="en-AU"/>
    </w:rPr>
  </w:style>
  <w:style w:type="character" w:customStyle="1" w:styleId="Heading5Char">
    <w:name w:val="Heading 5 Char"/>
    <w:basedOn w:val="DefaultParagraphFont"/>
    <w:link w:val="Heading5"/>
    <w:rsid w:val="00273F0D"/>
    <w:rPr>
      <w:rFonts w:ascii="Arial" w:eastAsia="Times New Roman" w:hAnsi="Arial" w:cs="Times New Roman"/>
      <w:i/>
      <w:szCs w:val="20"/>
      <w:lang w:eastAsia="en-AU"/>
    </w:rPr>
  </w:style>
  <w:style w:type="paragraph" w:styleId="Footer">
    <w:name w:val="footer"/>
    <w:basedOn w:val="Normal"/>
    <w:link w:val="FooterChar"/>
    <w:uiPriority w:val="99"/>
    <w:rsid w:val="00273F0D"/>
    <w:pPr>
      <w:tabs>
        <w:tab w:val="center" w:pos="4513"/>
        <w:tab w:val="right" w:pos="9026"/>
      </w:tabs>
      <w:spacing w:before="120" w:after="120"/>
    </w:pPr>
    <w:rPr>
      <w:rFonts w:eastAsia="Times New Roman" w:cs="Times New Roman"/>
      <w:sz w:val="20"/>
      <w:szCs w:val="20"/>
      <w:lang w:eastAsia="en-AU"/>
    </w:rPr>
  </w:style>
  <w:style w:type="character" w:customStyle="1" w:styleId="FooterChar">
    <w:name w:val="Footer Char"/>
    <w:basedOn w:val="DefaultParagraphFont"/>
    <w:link w:val="Footer"/>
    <w:uiPriority w:val="99"/>
    <w:rsid w:val="00273F0D"/>
    <w:rPr>
      <w:rFonts w:ascii="Arial" w:eastAsia="Times New Roman" w:hAnsi="Arial" w:cs="Times New Roman"/>
      <w:sz w:val="20"/>
      <w:szCs w:val="20"/>
      <w:lang w:eastAsia="en-AU"/>
    </w:rPr>
  </w:style>
  <w:style w:type="paragraph" w:styleId="Caption">
    <w:name w:val="caption"/>
    <w:next w:val="Normal"/>
    <w:qFormat/>
    <w:rsid w:val="00273F0D"/>
    <w:pPr>
      <w:keepNext/>
      <w:spacing w:before="360" w:after="240" w:line="240" w:lineRule="auto"/>
      <w:ind w:left="454" w:hanging="454"/>
      <w:jc w:val="center"/>
    </w:pPr>
    <w:rPr>
      <w:rFonts w:ascii="Arial" w:eastAsia="Times New Roman" w:hAnsi="Arial" w:cs="Times New Roman"/>
      <w:b/>
      <w:sz w:val="24"/>
      <w:szCs w:val="20"/>
      <w:lang w:eastAsia="en-AU"/>
    </w:rPr>
  </w:style>
  <w:style w:type="paragraph" w:customStyle="1" w:styleId="copyrighttext">
    <w:name w:val="copyright text"/>
    <w:basedOn w:val="Normal"/>
    <w:link w:val="copyrighttextChar"/>
    <w:autoRedefine/>
    <w:qFormat/>
    <w:rsid w:val="00273F0D"/>
    <w:pPr>
      <w:spacing w:before="120" w:after="120"/>
    </w:pPr>
    <w:rPr>
      <w:rFonts w:eastAsia="Times New Roman" w:cs="Times New Roman"/>
      <w:sz w:val="18"/>
      <w:szCs w:val="18"/>
      <w:lang w:eastAsia="en-AU"/>
    </w:rPr>
  </w:style>
  <w:style w:type="paragraph" w:styleId="BalloonText">
    <w:name w:val="Balloon Text"/>
    <w:basedOn w:val="Normal"/>
    <w:link w:val="BalloonTextChar"/>
    <w:semiHidden/>
    <w:rsid w:val="00273F0D"/>
    <w:pPr>
      <w:spacing w:before="120" w:after="120"/>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semiHidden/>
    <w:rsid w:val="00273F0D"/>
    <w:rPr>
      <w:rFonts w:ascii="Tahoma" w:eastAsia="Times New Roman" w:hAnsi="Tahoma" w:cs="Tahoma"/>
      <w:sz w:val="16"/>
      <w:szCs w:val="16"/>
      <w:lang w:eastAsia="en-AU"/>
    </w:rPr>
  </w:style>
  <w:style w:type="paragraph" w:customStyle="1" w:styleId="Quotes">
    <w:name w:val="Quotes"/>
    <w:basedOn w:val="Normal"/>
    <w:rsid w:val="00273F0D"/>
    <w:pPr>
      <w:spacing w:before="120" w:after="120"/>
      <w:ind w:left="567" w:right="793"/>
    </w:pPr>
    <w:rPr>
      <w:rFonts w:eastAsia="Times New Roman" w:cs="Times New Roman"/>
      <w:sz w:val="20"/>
      <w:szCs w:val="20"/>
      <w:lang w:eastAsia="en-AU"/>
    </w:rPr>
  </w:style>
  <w:style w:type="paragraph" w:styleId="TOC1">
    <w:name w:val="toc 1"/>
    <w:basedOn w:val="Normal"/>
    <w:next w:val="Normal"/>
    <w:uiPriority w:val="39"/>
    <w:rsid w:val="00273F0D"/>
    <w:pPr>
      <w:tabs>
        <w:tab w:val="right" w:leader="dot" w:pos="8453"/>
      </w:tabs>
      <w:spacing w:before="240" w:after="0"/>
      <w:ind w:left="357" w:hanging="357"/>
    </w:pPr>
    <w:rPr>
      <w:rFonts w:eastAsia="Times New Roman" w:cs="Times New Roman"/>
      <w:b/>
      <w:sz w:val="20"/>
      <w:szCs w:val="20"/>
      <w:lang w:eastAsia="en-AU"/>
    </w:rPr>
  </w:style>
  <w:style w:type="paragraph" w:styleId="TOC2">
    <w:name w:val="toc 2"/>
    <w:basedOn w:val="Normal"/>
    <w:next w:val="Normal"/>
    <w:uiPriority w:val="39"/>
    <w:rsid w:val="00273F0D"/>
    <w:pPr>
      <w:tabs>
        <w:tab w:val="left" w:pos="851"/>
        <w:tab w:val="right" w:leader="dot" w:pos="8453"/>
      </w:tabs>
      <w:spacing w:before="120" w:after="0"/>
      <w:ind w:left="284"/>
    </w:pPr>
    <w:rPr>
      <w:rFonts w:eastAsia="Times New Roman" w:cs="Times New Roman"/>
      <w:sz w:val="20"/>
      <w:szCs w:val="20"/>
      <w:lang w:eastAsia="en-AU"/>
    </w:rPr>
  </w:style>
  <w:style w:type="paragraph" w:styleId="TOC3">
    <w:name w:val="toc 3"/>
    <w:basedOn w:val="Normal"/>
    <w:next w:val="Normal"/>
    <w:semiHidden/>
    <w:rsid w:val="00273F0D"/>
    <w:pPr>
      <w:tabs>
        <w:tab w:val="left" w:pos="1276"/>
        <w:tab w:val="right" w:leader="dot" w:pos="8454"/>
      </w:tabs>
      <w:spacing w:before="120" w:after="120"/>
      <w:ind w:left="567"/>
    </w:pPr>
    <w:rPr>
      <w:rFonts w:eastAsia="Times New Roman" w:cs="Times New Roman"/>
      <w:lang w:eastAsia="en-AU"/>
    </w:rPr>
  </w:style>
  <w:style w:type="paragraph" w:styleId="TOC4">
    <w:name w:val="toc 4"/>
    <w:basedOn w:val="Normal"/>
    <w:next w:val="Normal"/>
    <w:semiHidden/>
    <w:rsid w:val="00273F0D"/>
    <w:pPr>
      <w:tabs>
        <w:tab w:val="right" w:leader="dot" w:pos="8453"/>
      </w:tabs>
      <w:spacing w:before="120" w:after="0"/>
      <w:ind w:left="720"/>
    </w:pPr>
    <w:rPr>
      <w:rFonts w:eastAsia="Times New Roman" w:cs="Times New Roman"/>
      <w:sz w:val="20"/>
      <w:szCs w:val="20"/>
      <w:lang w:eastAsia="en-AU"/>
    </w:rPr>
  </w:style>
  <w:style w:type="character" w:styleId="PageNumber">
    <w:name w:val="page number"/>
    <w:basedOn w:val="DefaultParagraphFont"/>
    <w:rsid w:val="00273F0D"/>
  </w:style>
  <w:style w:type="paragraph" w:styleId="Header">
    <w:name w:val="header"/>
    <w:basedOn w:val="Normal"/>
    <w:link w:val="HeaderChar"/>
    <w:rsid w:val="00273F0D"/>
    <w:pPr>
      <w:tabs>
        <w:tab w:val="center" w:pos="4153"/>
        <w:tab w:val="right" w:pos="8306"/>
      </w:tabs>
      <w:spacing w:before="120" w:after="120"/>
    </w:pPr>
    <w:rPr>
      <w:rFonts w:eastAsia="Times New Roman" w:cs="Times New Roman"/>
      <w:sz w:val="20"/>
      <w:szCs w:val="20"/>
      <w:lang w:eastAsia="en-AU"/>
    </w:rPr>
  </w:style>
  <w:style w:type="character" w:customStyle="1" w:styleId="HeaderChar">
    <w:name w:val="Header Char"/>
    <w:basedOn w:val="DefaultParagraphFont"/>
    <w:link w:val="Header"/>
    <w:rsid w:val="00273F0D"/>
    <w:rPr>
      <w:rFonts w:ascii="Arial" w:eastAsia="Times New Roman" w:hAnsi="Arial" w:cs="Times New Roman"/>
      <w:sz w:val="20"/>
      <w:szCs w:val="20"/>
      <w:lang w:eastAsia="en-AU"/>
    </w:rPr>
  </w:style>
  <w:style w:type="paragraph" w:styleId="ListBullet">
    <w:name w:val="List Bullet"/>
    <w:basedOn w:val="Normal"/>
    <w:unhideWhenUsed/>
    <w:rsid w:val="004F577B"/>
    <w:pPr>
      <w:numPr>
        <w:numId w:val="15"/>
      </w:numPr>
    </w:pPr>
  </w:style>
  <w:style w:type="table" w:styleId="TableGrid">
    <w:name w:val="Table Grid"/>
    <w:basedOn w:val="TableNormal"/>
    <w:rsid w:val="00273F0D"/>
    <w:pPr>
      <w:spacing w:after="0" w:line="240" w:lineRule="auto"/>
    </w:pPr>
    <w:rPr>
      <w:rFonts w:ascii="Arial" w:eastAsia="Times New Roman" w:hAnsi="Arial" w:cs="Times New Roman"/>
      <w:sz w:val="20"/>
      <w:szCs w:val="20"/>
      <w:lang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3">
    <w:name w:val="List Bullet 3"/>
    <w:basedOn w:val="Normal"/>
    <w:rsid w:val="00611FFC"/>
    <w:pPr>
      <w:numPr>
        <w:numId w:val="3"/>
      </w:numPr>
      <w:tabs>
        <w:tab w:val="left" w:pos="1701"/>
      </w:tabs>
      <w:spacing w:before="120" w:after="60"/>
      <w:ind w:right="1077"/>
    </w:pPr>
    <w:rPr>
      <w:rFonts w:eastAsia="Times New Roman" w:cs="Times New Roman"/>
      <w:szCs w:val="20"/>
      <w:lang w:eastAsia="en-AU"/>
    </w:rPr>
  </w:style>
  <w:style w:type="character" w:styleId="Hyperlink">
    <w:name w:val="Hyperlink"/>
    <w:uiPriority w:val="99"/>
    <w:rsid w:val="00273F0D"/>
    <w:rPr>
      <w:noProof/>
      <w:color w:val="0000FF"/>
      <w:u w:val="single"/>
    </w:rPr>
  </w:style>
  <w:style w:type="character" w:styleId="FollowedHyperlink">
    <w:name w:val="FollowedHyperlink"/>
    <w:rsid w:val="00273F0D"/>
    <w:rPr>
      <w:color w:val="800080"/>
      <w:u w:val="single"/>
    </w:rPr>
  </w:style>
  <w:style w:type="paragraph" w:customStyle="1" w:styleId="Sourceandnotes">
    <w:name w:val="Source and notes"/>
    <w:basedOn w:val="Normal"/>
    <w:next w:val="Normal"/>
    <w:qFormat/>
    <w:rsid w:val="00273F0D"/>
    <w:pPr>
      <w:tabs>
        <w:tab w:val="left" w:pos="284"/>
      </w:tabs>
      <w:spacing w:before="40"/>
      <w:ind w:left="284" w:hanging="284"/>
    </w:pPr>
  </w:style>
  <w:style w:type="paragraph" w:customStyle="1" w:styleId="Footnotes">
    <w:name w:val="Footnotes"/>
    <w:qFormat/>
    <w:rsid w:val="00273F0D"/>
    <w:pPr>
      <w:tabs>
        <w:tab w:val="left" w:pos="284"/>
      </w:tabs>
      <w:spacing w:before="120" w:after="120" w:line="240" w:lineRule="auto"/>
      <w:ind w:left="454" w:hanging="454"/>
      <w:contextualSpacing/>
      <w:jc w:val="center"/>
    </w:pPr>
    <w:rPr>
      <w:rFonts w:ascii="Arial" w:eastAsia="Times New Roman" w:hAnsi="Arial" w:cs="Times New Roman"/>
      <w:sz w:val="20"/>
      <w:szCs w:val="20"/>
      <w:lang w:eastAsia="en-AU"/>
    </w:rPr>
  </w:style>
  <w:style w:type="paragraph" w:customStyle="1" w:styleId="Tableheading">
    <w:name w:val="Table heading"/>
    <w:basedOn w:val="Caption"/>
    <w:autoRedefine/>
    <w:qFormat/>
    <w:rsid w:val="00273F0D"/>
    <w:pPr>
      <w:jc w:val="left"/>
    </w:pPr>
  </w:style>
  <w:style w:type="paragraph" w:styleId="FootnoteText">
    <w:name w:val="footnote text"/>
    <w:basedOn w:val="Footnotes"/>
    <w:link w:val="FootnoteTextChar"/>
    <w:autoRedefine/>
    <w:uiPriority w:val="99"/>
    <w:rsid w:val="00273F0D"/>
    <w:pPr>
      <w:jc w:val="left"/>
    </w:pPr>
  </w:style>
  <w:style w:type="character" w:customStyle="1" w:styleId="FootnoteTextChar">
    <w:name w:val="Footnote Text Char"/>
    <w:basedOn w:val="DefaultParagraphFont"/>
    <w:link w:val="FootnoteText"/>
    <w:uiPriority w:val="99"/>
    <w:rsid w:val="00273F0D"/>
    <w:rPr>
      <w:rFonts w:ascii="Arial" w:eastAsia="Times New Roman" w:hAnsi="Arial" w:cs="Times New Roman"/>
      <w:sz w:val="20"/>
      <w:szCs w:val="20"/>
      <w:lang w:eastAsia="en-AU"/>
    </w:rPr>
  </w:style>
  <w:style w:type="character" w:styleId="FootnoteReference">
    <w:name w:val="footnote reference"/>
    <w:uiPriority w:val="99"/>
    <w:rsid w:val="00273F0D"/>
    <w:rPr>
      <w:rFonts w:ascii="Arial" w:hAnsi="Arial"/>
      <w:kern w:val="22"/>
      <w:sz w:val="22"/>
      <w:vertAlign w:val="superscript"/>
    </w:rPr>
  </w:style>
  <w:style w:type="paragraph" w:customStyle="1" w:styleId="Tabletextindentroman">
    <w:name w:val="Table text indent roman"/>
    <w:basedOn w:val="Normal"/>
    <w:rsid w:val="00273F0D"/>
    <w:pPr>
      <w:spacing w:before="40" w:after="40"/>
      <w:ind w:left="459" w:hanging="283"/>
    </w:pPr>
    <w:rPr>
      <w:rFonts w:eastAsia="Times New Roman" w:cs="Times New Roman"/>
      <w:szCs w:val="20"/>
      <w:lang w:eastAsia="en-AU"/>
    </w:rPr>
  </w:style>
  <w:style w:type="paragraph" w:customStyle="1" w:styleId="Tabletextheading">
    <w:name w:val="Table text heading"/>
    <w:basedOn w:val="Normal"/>
    <w:qFormat/>
    <w:rsid w:val="00273F0D"/>
    <w:pPr>
      <w:spacing w:before="60" w:after="60"/>
    </w:pPr>
    <w:rPr>
      <w:rFonts w:eastAsia="Times New Roman" w:cs="Times New Roman"/>
      <w:b/>
      <w:sz w:val="20"/>
      <w:szCs w:val="20"/>
      <w:lang w:eastAsia="en-AU"/>
    </w:rPr>
  </w:style>
  <w:style w:type="paragraph" w:customStyle="1" w:styleId="Tabletextleftcolumn">
    <w:name w:val="Table text left column"/>
    <w:qFormat/>
    <w:rsid w:val="00273F0D"/>
    <w:pPr>
      <w:spacing w:before="60" w:after="60" w:line="240" w:lineRule="auto"/>
      <w:ind w:left="454" w:hanging="454"/>
    </w:pPr>
    <w:rPr>
      <w:rFonts w:ascii="Arial" w:eastAsia="Times New Roman" w:hAnsi="Arial" w:cs="Times New Roman"/>
      <w:sz w:val="20"/>
      <w:szCs w:val="20"/>
      <w:lang w:eastAsia="en-AU"/>
    </w:rPr>
  </w:style>
  <w:style w:type="paragraph" w:styleId="TOAHeading">
    <w:name w:val="toa heading"/>
    <w:basedOn w:val="Normal"/>
    <w:next w:val="Normal"/>
    <w:rsid w:val="00273F0D"/>
    <w:pPr>
      <w:spacing w:before="120" w:after="120"/>
    </w:pPr>
    <w:rPr>
      <w:rFonts w:ascii="Cambria" w:eastAsia="Times New Roman" w:hAnsi="Cambria" w:cs="Times New Roman"/>
      <w:b/>
      <w:bCs/>
      <w:sz w:val="20"/>
      <w:szCs w:val="24"/>
      <w:lang w:eastAsia="en-AU"/>
    </w:rPr>
  </w:style>
  <w:style w:type="paragraph" w:customStyle="1" w:styleId="Contentsheading">
    <w:name w:val="Contents heading"/>
    <w:autoRedefine/>
    <w:rsid w:val="00273F0D"/>
    <w:pPr>
      <w:spacing w:before="120" w:after="480" w:line="240" w:lineRule="auto"/>
      <w:ind w:left="454" w:hanging="454"/>
    </w:pPr>
    <w:rPr>
      <w:rFonts w:ascii="Arial" w:eastAsia="Times New Roman" w:hAnsi="Arial" w:cs="Times New Roman"/>
      <w:b/>
      <w:bCs/>
      <w:sz w:val="36"/>
      <w:szCs w:val="20"/>
      <w:lang w:eastAsia="en-AU"/>
    </w:rPr>
  </w:style>
  <w:style w:type="paragraph" w:customStyle="1" w:styleId="ACCCtitle">
    <w:name w:val="ACCC title"/>
    <w:autoRedefine/>
    <w:rsid w:val="00273F0D"/>
    <w:pPr>
      <w:spacing w:before="4200" w:after="240" w:line="240" w:lineRule="auto"/>
      <w:ind w:left="454" w:hanging="454"/>
      <w:contextualSpacing/>
      <w:jc w:val="center"/>
    </w:pPr>
    <w:rPr>
      <w:rFonts w:ascii="Arial" w:eastAsia="Times New Roman" w:hAnsi="Arial" w:cs="Times New Roman"/>
      <w:bCs/>
      <w:sz w:val="48"/>
      <w:szCs w:val="20"/>
      <w:lang w:eastAsia="en-AU"/>
    </w:rPr>
  </w:style>
  <w:style w:type="paragraph" w:customStyle="1" w:styleId="Contactsheading1">
    <w:name w:val="Contacts heading  1"/>
    <w:basedOn w:val="Normal"/>
    <w:autoRedefine/>
    <w:qFormat/>
    <w:rsid w:val="00273F0D"/>
    <w:pPr>
      <w:keepNext/>
      <w:spacing w:before="120" w:after="0"/>
    </w:pPr>
    <w:rPr>
      <w:rFonts w:eastAsia="Times New Roman" w:cs="Times New Roman"/>
      <w:b/>
      <w:sz w:val="20"/>
      <w:szCs w:val="20"/>
      <w:lang w:eastAsia="en-AU"/>
    </w:rPr>
  </w:style>
  <w:style w:type="paragraph" w:customStyle="1" w:styleId="Contactstext">
    <w:name w:val="Contacts text"/>
    <w:autoRedefine/>
    <w:qFormat/>
    <w:rsid w:val="00273F0D"/>
    <w:pPr>
      <w:spacing w:before="60" w:after="60" w:line="240" w:lineRule="auto"/>
    </w:pPr>
    <w:rPr>
      <w:rFonts w:ascii="Arial" w:eastAsia="Times New Roman" w:hAnsi="Arial" w:cs="Times New Roman"/>
      <w:sz w:val="20"/>
      <w:szCs w:val="20"/>
      <w:lang w:eastAsia="en-AU"/>
    </w:rPr>
  </w:style>
  <w:style w:type="paragraph" w:customStyle="1" w:styleId="Contactsheading2">
    <w:name w:val="Contacts heading 2"/>
    <w:basedOn w:val="Contactstext"/>
    <w:autoRedefine/>
    <w:qFormat/>
    <w:rsid w:val="00273F0D"/>
    <w:pPr>
      <w:keepNext/>
    </w:pPr>
    <w:rPr>
      <w:i/>
    </w:rPr>
  </w:style>
  <w:style w:type="paragraph" w:customStyle="1" w:styleId="ContactsheadingAER">
    <w:name w:val="Contacts heading AER"/>
    <w:basedOn w:val="Contactsheading1"/>
    <w:rsid w:val="00273F0D"/>
    <w:pPr>
      <w:ind w:right="-1136"/>
    </w:pPr>
    <w:rPr>
      <w:bCs/>
    </w:rPr>
  </w:style>
  <w:style w:type="paragraph" w:customStyle="1" w:styleId="Contactsaddresses">
    <w:name w:val="Contacts addresses"/>
    <w:autoRedefine/>
    <w:qFormat/>
    <w:rsid w:val="00273F0D"/>
    <w:pPr>
      <w:pBdr>
        <w:bottom w:val="single" w:sz="2" w:space="1" w:color="auto"/>
      </w:pBdr>
      <w:spacing w:before="120" w:after="120" w:line="240" w:lineRule="auto"/>
      <w:ind w:left="454" w:hanging="454"/>
    </w:pPr>
    <w:rPr>
      <w:rFonts w:ascii="Arial" w:eastAsia="Times New Roman" w:hAnsi="Arial" w:cs="Times New Roman"/>
      <w:b/>
      <w:sz w:val="24"/>
      <w:szCs w:val="20"/>
      <w:lang w:eastAsia="en-AU"/>
    </w:rPr>
  </w:style>
  <w:style w:type="paragraph" w:customStyle="1" w:styleId="Tabletextindentalph">
    <w:name w:val="Table text indent alph"/>
    <w:basedOn w:val="tabletext"/>
    <w:qFormat/>
    <w:rsid w:val="00273F0D"/>
    <w:pPr>
      <w:tabs>
        <w:tab w:val="left" w:pos="454"/>
      </w:tabs>
    </w:pPr>
  </w:style>
  <w:style w:type="paragraph" w:customStyle="1" w:styleId="tabletext">
    <w:name w:val="table text"/>
    <w:qFormat/>
    <w:rsid w:val="00273F0D"/>
    <w:pPr>
      <w:spacing w:before="60" w:after="60" w:line="240" w:lineRule="auto"/>
    </w:pPr>
    <w:rPr>
      <w:rFonts w:ascii="Arial" w:eastAsia="Times New Roman" w:hAnsi="Arial" w:cs="Times New Roman"/>
      <w:szCs w:val="20"/>
      <w:lang w:eastAsia="en-AU"/>
    </w:rPr>
  </w:style>
  <w:style w:type="paragraph" w:customStyle="1" w:styleId="tabletextindentbullet">
    <w:name w:val="table text indent bullet"/>
    <w:basedOn w:val="tabletext"/>
    <w:qFormat/>
    <w:rsid w:val="00273F0D"/>
    <w:pPr>
      <w:numPr>
        <w:numId w:val="4"/>
      </w:numPr>
      <w:tabs>
        <w:tab w:val="left" w:pos="454"/>
      </w:tabs>
    </w:pPr>
  </w:style>
  <w:style w:type="paragraph" w:customStyle="1" w:styleId="listalpha">
    <w:name w:val="list alpha"/>
    <w:basedOn w:val="Normal"/>
    <w:rsid w:val="00273F0D"/>
    <w:pPr>
      <w:spacing w:before="60" w:after="60"/>
      <w:ind w:left="567" w:hanging="567"/>
    </w:pPr>
    <w:rPr>
      <w:rFonts w:eastAsia="Times New Roman" w:cs="Times New Roman"/>
      <w:sz w:val="20"/>
      <w:szCs w:val="20"/>
      <w:lang w:eastAsia="en-AU"/>
    </w:rPr>
  </w:style>
  <w:style w:type="paragraph" w:customStyle="1" w:styleId="Multi-levellist1">
    <w:name w:val="Multi-level list 1"/>
    <w:autoRedefine/>
    <w:qFormat/>
    <w:rsid w:val="00273F0D"/>
    <w:pPr>
      <w:numPr>
        <w:numId w:val="5"/>
      </w:numPr>
      <w:spacing w:before="240" w:after="120" w:line="240" w:lineRule="auto"/>
    </w:pPr>
    <w:rPr>
      <w:rFonts w:ascii="Arial" w:eastAsia="Times New Roman" w:hAnsi="Arial" w:cs="Times New Roman"/>
      <w:sz w:val="24"/>
      <w:szCs w:val="24"/>
    </w:rPr>
  </w:style>
  <w:style w:type="paragraph" w:customStyle="1" w:styleId="Multi-levellist2">
    <w:name w:val="Multi-level list 2"/>
    <w:basedOn w:val="Multi-levellist1"/>
    <w:rsid w:val="00273F0D"/>
    <w:pPr>
      <w:numPr>
        <w:ilvl w:val="1"/>
      </w:numPr>
      <w:tabs>
        <w:tab w:val="clear" w:pos="567"/>
        <w:tab w:val="num" w:pos="680"/>
      </w:tabs>
    </w:pPr>
  </w:style>
  <w:style w:type="paragraph" w:customStyle="1" w:styleId="Multilevellist3">
    <w:name w:val="Multilevel list 3"/>
    <w:basedOn w:val="Multi-levellist2"/>
    <w:autoRedefine/>
    <w:qFormat/>
    <w:rsid w:val="00273F0D"/>
    <w:pPr>
      <w:numPr>
        <w:ilvl w:val="2"/>
      </w:numPr>
      <w:ind w:left="680" w:hanging="680"/>
    </w:pPr>
  </w:style>
  <w:style w:type="paragraph" w:styleId="DocumentMap">
    <w:name w:val="Document Map"/>
    <w:basedOn w:val="Normal"/>
    <w:link w:val="DocumentMapChar"/>
    <w:rsid w:val="00273F0D"/>
    <w:pPr>
      <w:spacing w:before="120" w:after="120"/>
    </w:pPr>
    <w:rPr>
      <w:rFonts w:ascii="Tahoma" w:eastAsia="Times New Roman" w:hAnsi="Tahoma" w:cs="Tahoma"/>
      <w:sz w:val="16"/>
      <w:szCs w:val="16"/>
      <w:lang w:eastAsia="en-AU"/>
    </w:rPr>
  </w:style>
  <w:style w:type="character" w:customStyle="1" w:styleId="DocumentMapChar">
    <w:name w:val="Document Map Char"/>
    <w:basedOn w:val="DefaultParagraphFont"/>
    <w:link w:val="DocumentMap"/>
    <w:rsid w:val="00273F0D"/>
    <w:rPr>
      <w:rFonts w:ascii="Tahoma" w:eastAsia="Times New Roman" w:hAnsi="Tahoma" w:cs="Tahoma"/>
      <w:sz w:val="16"/>
      <w:szCs w:val="16"/>
      <w:lang w:eastAsia="en-AU"/>
    </w:rPr>
  </w:style>
  <w:style w:type="paragraph" w:customStyle="1" w:styleId="StyleContactsheading1TimesNewRomanBefore0pt">
    <w:name w:val="Style Contacts heading  1 + Times New Roman Before:  0 pt"/>
    <w:basedOn w:val="Contactsheading1"/>
    <w:locked/>
    <w:rsid w:val="00273F0D"/>
    <w:pPr>
      <w:spacing w:before="0"/>
    </w:pPr>
    <w:rPr>
      <w:bCs/>
    </w:rPr>
  </w:style>
  <w:style w:type="paragraph" w:customStyle="1" w:styleId="StyleContactsheading1TimesNewRoman">
    <w:name w:val="Style Contacts heading  1 + Times New Roman"/>
    <w:basedOn w:val="Contactsheading1"/>
    <w:locked/>
    <w:rsid w:val="00273F0D"/>
    <w:rPr>
      <w:bCs/>
    </w:rPr>
  </w:style>
  <w:style w:type="paragraph" w:customStyle="1" w:styleId="Pa13">
    <w:name w:val="Pa13"/>
    <w:basedOn w:val="Normal"/>
    <w:next w:val="Normal"/>
    <w:uiPriority w:val="99"/>
    <w:locked/>
    <w:rsid w:val="00273F0D"/>
    <w:pPr>
      <w:autoSpaceDE w:val="0"/>
      <w:autoSpaceDN w:val="0"/>
      <w:adjustRightInd w:val="0"/>
      <w:spacing w:after="0" w:line="161" w:lineRule="atLeast"/>
    </w:pPr>
    <w:rPr>
      <w:rFonts w:ascii="HelveticaNeueLT Std Lt" w:eastAsia="Calibri" w:hAnsi="HelveticaNeueLT Std Lt" w:cs="Times New Roman"/>
      <w:sz w:val="20"/>
      <w:szCs w:val="24"/>
    </w:rPr>
  </w:style>
  <w:style w:type="paragraph" w:customStyle="1" w:styleId="Copyrightbullet">
    <w:name w:val="Copyright bullet"/>
    <w:basedOn w:val="copyrighttext"/>
    <w:link w:val="CopyrightbulletChar"/>
    <w:autoRedefine/>
    <w:qFormat/>
    <w:locked/>
    <w:rsid w:val="00273F0D"/>
    <w:pPr>
      <w:spacing w:before="0" w:after="0"/>
    </w:pPr>
  </w:style>
  <w:style w:type="character" w:customStyle="1" w:styleId="copyrighttextChar">
    <w:name w:val="copyright text Char"/>
    <w:link w:val="copyrighttext"/>
    <w:rsid w:val="00273F0D"/>
    <w:rPr>
      <w:rFonts w:ascii="Arial" w:eastAsia="Times New Roman" w:hAnsi="Arial" w:cs="Times New Roman"/>
      <w:sz w:val="18"/>
      <w:szCs w:val="18"/>
      <w:lang w:eastAsia="en-AU"/>
    </w:rPr>
  </w:style>
  <w:style w:type="paragraph" w:customStyle="1" w:styleId="Tablefigures">
    <w:name w:val="Table figures"/>
    <w:basedOn w:val="Normal"/>
    <w:link w:val="TablefiguresChar"/>
    <w:qFormat/>
    <w:rsid w:val="00273F0D"/>
    <w:pPr>
      <w:spacing w:before="60" w:after="60"/>
      <w:ind w:right="598"/>
      <w:jc w:val="right"/>
    </w:pPr>
    <w:rPr>
      <w:rFonts w:eastAsia="Times New Roman" w:cs="Times New Roman"/>
      <w:sz w:val="20"/>
      <w:szCs w:val="20"/>
      <w:lang w:eastAsia="en-AU"/>
    </w:rPr>
  </w:style>
  <w:style w:type="character" w:customStyle="1" w:styleId="CopyrightbulletChar">
    <w:name w:val="Copyright bullet Char"/>
    <w:link w:val="Copyrightbullet"/>
    <w:rsid w:val="00273F0D"/>
    <w:rPr>
      <w:rFonts w:ascii="Arial" w:eastAsia="Times New Roman" w:hAnsi="Arial" w:cs="Times New Roman"/>
      <w:sz w:val="18"/>
      <w:szCs w:val="18"/>
      <w:lang w:eastAsia="en-AU"/>
    </w:rPr>
  </w:style>
  <w:style w:type="paragraph" w:customStyle="1" w:styleId="Tablenumbersright">
    <w:name w:val="Table numbers right"/>
    <w:basedOn w:val="Normal"/>
    <w:link w:val="TablenumbersrightChar"/>
    <w:qFormat/>
    <w:rsid w:val="00273F0D"/>
    <w:pPr>
      <w:spacing w:before="60" w:after="60"/>
      <w:ind w:right="598"/>
      <w:jc w:val="right"/>
    </w:pPr>
    <w:rPr>
      <w:rFonts w:eastAsia="Times New Roman" w:cs="Times New Roman"/>
      <w:sz w:val="20"/>
      <w:szCs w:val="20"/>
      <w:lang w:eastAsia="en-AU"/>
    </w:rPr>
  </w:style>
  <w:style w:type="character" w:customStyle="1" w:styleId="TablefiguresChar">
    <w:name w:val="Table figures Char"/>
    <w:link w:val="Tablefigures"/>
    <w:rsid w:val="00273F0D"/>
    <w:rPr>
      <w:rFonts w:ascii="Arial" w:eastAsia="Times New Roman" w:hAnsi="Arial" w:cs="Times New Roman"/>
      <w:sz w:val="20"/>
      <w:szCs w:val="20"/>
      <w:lang w:eastAsia="en-AU"/>
    </w:rPr>
  </w:style>
  <w:style w:type="paragraph" w:styleId="NormalWeb">
    <w:name w:val="Normal (Web)"/>
    <w:basedOn w:val="Normal"/>
    <w:uiPriority w:val="99"/>
    <w:unhideWhenUsed/>
    <w:rsid w:val="00273F0D"/>
    <w:pPr>
      <w:spacing w:after="100" w:afterAutospacing="1"/>
    </w:pPr>
    <w:rPr>
      <w:rFonts w:eastAsia="Times New Roman" w:cs="Times New Roman"/>
      <w:sz w:val="20"/>
      <w:szCs w:val="24"/>
      <w:lang w:eastAsia="en-AU"/>
    </w:rPr>
  </w:style>
  <w:style w:type="character" w:customStyle="1" w:styleId="TablenumbersrightChar">
    <w:name w:val="Table numbers right Char"/>
    <w:link w:val="Tablenumbersright"/>
    <w:rsid w:val="00273F0D"/>
    <w:rPr>
      <w:rFonts w:ascii="Arial" w:eastAsia="Times New Roman" w:hAnsi="Arial" w:cs="Times New Roman"/>
      <w:sz w:val="20"/>
      <w:szCs w:val="20"/>
      <w:lang w:eastAsia="en-AU"/>
    </w:rPr>
  </w:style>
  <w:style w:type="character" w:customStyle="1" w:styleId="Italic">
    <w:name w:val="Italic"/>
    <w:uiPriority w:val="1"/>
    <w:qFormat/>
    <w:rsid w:val="00273F0D"/>
    <w:rPr>
      <w:i/>
    </w:rPr>
  </w:style>
  <w:style w:type="paragraph" w:customStyle="1" w:styleId="StyleContactsheading1Before0pt">
    <w:name w:val="Style Contacts heading  1 + Before:  0 pt"/>
    <w:basedOn w:val="Contactsheading1"/>
    <w:autoRedefine/>
    <w:locked/>
    <w:rsid w:val="00273F0D"/>
    <w:pPr>
      <w:spacing w:before="0"/>
    </w:pPr>
    <w:rPr>
      <w:bCs/>
    </w:rPr>
  </w:style>
  <w:style w:type="paragraph" w:customStyle="1" w:styleId="StylecopyrighttextBoldCustomColorRGB22710810">
    <w:name w:val="Style copyright text + Bold Custom Color(RGB(22710810))"/>
    <w:basedOn w:val="copyrighttext"/>
    <w:autoRedefine/>
    <w:locked/>
    <w:rsid w:val="00273F0D"/>
    <w:rPr>
      <w:b/>
      <w:bCs/>
      <w:color w:val="E36C0A"/>
    </w:rPr>
  </w:style>
  <w:style w:type="character" w:customStyle="1" w:styleId="StyleBold">
    <w:name w:val="Style Bold"/>
    <w:rsid w:val="00273F0D"/>
    <w:rPr>
      <w:b/>
      <w:bCs/>
    </w:rPr>
  </w:style>
  <w:style w:type="character" w:customStyle="1" w:styleId="Bold">
    <w:name w:val="Bold"/>
    <w:rsid w:val="00273F0D"/>
    <w:rPr>
      <w:b/>
      <w:bCs/>
    </w:rPr>
  </w:style>
  <w:style w:type="character" w:styleId="CommentReference">
    <w:name w:val="annotation reference"/>
    <w:uiPriority w:val="99"/>
    <w:rsid w:val="00273F0D"/>
    <w:rPr>
      <w:sz w:val="16"/>
      <w:szCs w:val="16"/>
    </w:rPr>
  </w:style>
  <w:style w:type="paragraph" w:styleId="CommentText">
    <w:name w:val="annotation text"/>
    <w:basedOn w:val="Normal"/>
    <w:link w:val="CommentTextChar"/>
    <w:uiPriority w:val="99"/>
    <w:rsid w:val="00273F0D"/>
    <w:pPr>
      <w:spacing w:before="120" w:after="120"/>
    </w:pPr>
    <w:rPr>
      <w:rFonts w:eastAsia="Times New Roman" w:cs="Times New Roman"/>
      <w:sz w:val="20"/>
      <w:szCs w:val="20"/>
      <w:lang w:eastAsia="en-AU"/>
    </w:rPr>
  </w:style>
  <w:style w:type="character" w:customStyle="1" w:styleId="CommentTextChar">
    <w:name w:val="Comment Text Char"/>
    <w:basedOn w:val="DefaultParagraphFont"/>
    <w:link w:val="CommentText"/>
    <w:uiPriority w:val="99"/>
    <w:rsid w:val="00273F0D"/>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rsid w:val="00273F0D"/>
    <w:rPr>
      <w:b/>
      <w:bCs/>
    </w:rPr>
  </w:style>
  <w:style w:type="character" w:customStyle="1" w:styleId="CommentSubjectChar">
    <w:name w:val="Comment Subject Char"/>
    <w:basedOn w:val="CommentTextChar"/>
    <w:link w:val="CommentSubject"/>
    <w:rsid w:val="00273F0D"/>
    <w:rPr>
      <w:rFonts w:ascii="Arial" w:eastAsia="Times New Roman" w:hAnsi="Arial" w:cs="Times New Roman"/>
      <w:b/>
      <w:bCs/>
      <w:sz w:val="20"/>
      <w:szCs w:val="20"/>
      <w:lang w:eastAsia="en-AU"/>
    </w:rPr>
  </w:style>
  <w:style w:type="paragraph" w:styleId="ListParagraph">
    <w:name w:val="List Paragraph"/>
    <w:basedOn w:val="Normal"/>
    <w:uiPriority w:val="34"/>
    <w:qFormat/>
    <w:rsid w:val="00273F0D"/>
    <w:pPr>
      <w:ind w:left="720"/>
      <w:contextualSpacing/>
    </w:pPr>
    <w:rPr>
      <w:rFonts w:ascii="Calibri" w:eastAsia="Calibri" w:hAnsi="Calibri" w:cs="Calibri"/>
    </w:rPr>
  </w:style>
  <w:style w:type="paragraph" w:styleId="Revision">
    <w:name w:val="Revision"/>
    <w:hidden/>
    <w:uiPriority w:val="99"/>
    <w:semiHidden/>
    <w:rsid w:val="00E46F5E"/>
    <w:pPr>
      <w:spacing w:after="0" w:line="240" w:lineRule="auto"/>
    </w:pPr>
    <w:rPr>
      <w:rFonts w:ascii="Arial" w:hAnsi="Arial"/>
    </w:rPr>
  </w:style>
  <w:style w:type="table" w:styleId="LightList">
    <w:name w:val="Light List"/>
    <w:basedOn w:val="TableNormal"/>
    <w:uiPriority w:val="61"/>
    <w:rsid w:val="008A53B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semiHidden/>
    <w:unhideWhenUsed/>
    <w:rsid w:val="00D3767E"/>
    <w:pPr>
      <w:spacing w:after="0"/>
    </w:pPr>
    <w:rPr>
      <w:sz w:val="20"/>
      <w:szCs w:val="20"/>
    </w:rPr>
  </w:style>
  <w:style w:type="character" w:customStyle="1" w:styleId="EndnoteTextChar">
    <w:name w:val="Endnote Text Char"/>
    <w:basedOn w:val="DefaultParagraphFont"/>
    <w:link w:val="EndnoteText"/>
    <w:uiPriority w:val="99"/>
    <w:semiHidden/>
    <w:rsid w:val="00D3767E"/>
    <w:rPr>
      <w:rFonts w:ascii="Arial" w:hAnsi="Arial"/>
      <w:sz w:val="20"/>
      <w:szCs w:val="20"/>
    </w:rPr>
  </w:style>
  <w:style w:type="character" w:styleId="EndnoteReference">
    <w:name w:val="endnote reference"/>
    <w:basedOn w:val="DefaultParagraphFont"/>
    <w:uiPriority w:val="99"/>
    <w:semiHidden/>
    <w:unhideWhenUsed/>
    <w:rsid w:val="00D3767E"/>
    <w:rPr>
      <w:vertAlign w:val="superscript"/>
    </w:rPr>
  </w:style>
  <w:style w:type="paragraph" w:customStyle="1" w:styleId="NormalNumbered5">
    <w:name w:val="Normal Numbered 5"/>
    <w:basedOn w:val="Normal"/>
    <w:qFormat/>
    <w:rsid w:val="00CE25DB"/>
    <w:pPr>
      <w:numPr>
        <w:numId w:val="25"/>
      </w:numPr>
      <w:spacing w:before="120" w:after="120"/>
    </w:pPr>
    <w:rPr>
      <w:rFonts w:eastAsia="Times New Roman" w:cs="Times New Roman"/>
      <w:sz w:val="20"/>
      <w:szCs w:val="24"/>
    </w:rPr>
  </w:style>
  <w:style w:type="paragraph" w:customStyle="1" w:styleId="NormalNumbered5-RED">
    <w:name w:val="Normal Numbered 5 - RED"/>
    <w:basedOn w:val="NormalNumbered5"/>
    <w:qFormat/>
    <w:rsid w:val="00CE25DB"/>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20338">
      <w:bodyDiv w:val="1"/>
      <w:marLeft w:val="0"/>
      <w:marRight w:val="0"/>
      <w:marTop w:val="0"/>
      <w:marBottom w:val="0"/>
      <w:divBdr>
        <w:top w:val="none" w:sz="0" w:space="0" w:color="auto"/>
        <w:left w:val="none" w:sz="0" w:space="0" w:color="auto"/>
        <w:bottom w:val="none" w:sz="0" w:space="0" w:color="auto"/>
        <w:right w:val="none" w:sz="0" w:space="0" w:color="auto"/>
      </w:divBdr>
    </w:div>
    <w:div w:id="78565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accc.gov.au" TargetMode="External"/><Relationship Id="rId3" Type="http://schemas.microsoft.com/office/2007/relationships/stylesWithEffects" Target="stylesWithEffect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publishing.unit@accc.gov.au"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accc.gov.au/regulated-infrastructure/communications/monitoring-reporting/building-block-model-record-keeping-rule/bbm-rkr-201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wahlstrom.com.au/database_management.php" TargetMode="External"/><Relationship Id="rId1" Type="http://schemas.openxmlformats.org/officeDocument/2006/relationships/hyperlink" Target="http://www.accc.gov.au/publications/current-cost-accounting-report-cca/current-cost-accounting-record-keeping-and-reporting-rules-report-2h-2012-13-and-fy-201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C53788E9.dotm</Template>
  <TotalTime>0</TotalTime>
  <Pages>17</Pages>
  <Words>5027</Words>
  <Characters>28654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2014-06-11T06:04:00Z</dcterms:created>
  <dcterms:modified xsi:type="dcterms:W3CDTF">2014-06-11T06:47:00Z</dcterms:modified>
</cp:coreProperties>
</file>