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EndPr/>
      <w:sdtContent>
        <w:p w:rsidR="00687F39" w:rsidRDefault="00C2119A" w:rsidP="008945B4">
          <w:r>
            <w:rPr>
              <w:noProof/>
              <w:lang w:eastAsia="en-AU"/>
            </w:rPr>
            <w:pict>
              <v:rect id="Rectangle 3" o:spid="_x0000_s1026" style="position:absolute;margin-left:-51.75pt;margin-top:-44.05pt;width:555.75pt;height:800.25pt;z-index:-251658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w:r>
          <w:r w:rsidR="00687F39">
            <w:rPr>
              <w:noProof/>
              <w:lang w:eastAsia="en-AU"/>
            </w:rPr>
            <w:drawing>
              <wp:inline distT="0" distB="0" distL="0" distR="0" wp14:anchorId="742E3C56" wp14:editId="2CCDA388">
                <wp:extent cx="272523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931C4B">
            <w:trPr>
              <w:trHeight w:val="1451"/>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931C4B" w:rsidRDefault="00DB7AD1" w:rsidP="00931C4B">
                <w:pPr>
                  <w:pStyle w:val="Title"/>
                </w:pPr>
                <w:bookmarkStart w:id="0" w:name="_Toc458960217"/>
                <w:bookmarkStart w:id="1" w:name="_Toc458963474"/>
                <w:bookmarkStart w:id="2" w:name="_Toc458968119"/>
                <w:bookmarkStart w:id="3" w:name="_Toc460333802"/>
                <w:r w:rsidRPr="00931C4B">
                  <w:t xml:space="preserve">Productivity Commission </w:t>
                </w:r>
                <w:r w:rsidR="00187A23" w:rsidRPr="00931C4B">
                  <w:t xml:space="preserve">Study </w:t>
                </w:r>
                <w:r w:rsidRPr="00931C4B">
                  <w:t>into Consumer Law Enforcement and Administration</w:t>
                </w:r>
                <w:bookmarkEnd w:id="0"/>
                <w:bookmarkEnd w:id="1"/>
                <w:bookmarkEnd w:id="2"/>
                <w:bookmarkEnd w:id="3"/>
              </w:p>
            </w:tc>
          </w:tr>
          <w:tr w:rsidR="00687F39" w:rsidRPr="00C755AD" w:rsidTr="00C755AD">
            <w:tc>
              <w:tcPr>
                <w:tcW w:w="9242" w:type="dxa"/>
              </w:tcPr>
              <w:p w:rsidR="00687F39" w:rsidRPr="00C755AD" w:rsidRDefault="00DB7AD1" w:rsidP="00303C4A">
                <w:pPr>
                  <w:pStyle w:val="Subtitle"/>
                </w:pPr>
                <w:r>
                  <w:t>Australian Competition and Consumer Commission submission</w:t>
                </w:r>
              </w:p>
            </w:tc>
          </w:tr>
          <w:tr w:rsidR="00687F39" w:rsidRPr="00C755AD" w:rsidTr="00C755AD">
            <w:tc>
              <w:tcPr>
                <w:tcW w:w="9242" w:type="dxa"/>
              </w:tcPr>
              <w:p w:rsidR="00687F39" w:rsidRPr="00C755AD" w:rsidRDefault="00DB7AD1" w:rsidP="00303C4A">
                <w:pPr>
                  <w:pStyle w:val="CoverDate"/>
                </w:pPr>
                <w:r>
                  <w:t>August 2016</w:t>
                </w:r>
              </w:p>
            </w:tc>
          </w:tr>
        </w:tbl>
        <w:p w:rsidR="00347349" w:rsidRDefault="00687F39" w:rsidP="00347349">
          <w:pPr>
            <w:pStyle w:val="TOCHeading"/>
          </w:pPr>
          <w: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sdtContent>
            <w:p w:rsidR="009F2BE5" w:rsidRDefault="009F2BE5" w:rsidP="00347349">
              <w:pPr>
                <w:pStyle w:val="TOCHeading"/>
              </w:pPr>
              <w:r>
                <w:t>Contents</w:t>
              </w:r>
            </w:p>
            <w:p w:rsidR="00347349" w:rsidRDefault="00686DE4">
              <w:pPr>
                <w:pStyle w:val="TOC1"/>
                <w:rPr>
                  <w:rFonts w:asciiTheme="minorHAnsi" w:eastAsiaTheme="minorEastAsia" w:hAnsiTheme="minorHAnsi"/>
                  <w:lang w:val="en-AU" w:eastAsia="en-AU"/>
                </w:rPr>
              </w:pPr>
              <w:r>
                <w:fldChar w:fldCharType="begin"/>
              </w:r>
              <w:r w:rsidR="009F2BE5">
                <w:instrText xml:space="preserve"> TOC \o "1-3" \h \z \u \t "Heading 6,1" </w:instrText>
              </w:r>
              <w:r>
                <w:fldChar w:fldCharType="separate"/>
              </w:r>
              <w:hyperlink w:anchor="_Toc460333803" w:history="1">
                <w:r w:rsidR="00347349" w:rsidRPr="00FB5A8B">
                  <w:rPr>
                    <w:rStyle w:val="Hyperlink"/>
                  </w:rPr>
                  <w:t>Executive summary</w:t>
                </w:r>
                <w:r w:rsidR="00347349">
                  <w:rPr>
                    <w:webHidden/>
                  </w:rPr>
                  <w:tab/>
                </w:r>
                <w:r w:rsidR="00347349">
                  <w:rPr>
                    <w:webHidden/>
                  </w:rPr>
                  <w:fldChar w:fldCharType="begin"/>
                </w:r>
                <w:r w:rsidR="00347349">
                  <w:rPr>
                    <w:webHidden/>
                  </w:rPr>
                  <w:instrText xml:space="preserve"> PAGEREF _Toc460333803 \h </w:instrText>
                </w:r>
                <w:r w:rsidR="00347349">
                  <w:rPr>
                    <w:webHidden/>
                  </w:rPr>
                </w:r>
                <w:r w:rsidR="00347349">
                  <w:rPr>
                    <w:webHidden/>
                  </w:rPr>
                  <w:fldChar w:fldCharType="separate"/>
                </w:r>
                <w:r w:rsidR="00C2119A">
                  <w:rPr>
                    <w:webHidden/>
                  </w:rPr>
                  <w:t>2</w:t>
                </w:r>
                <w:r w:rsidR="00347349">
                  <w:rPr>
                    <w:webHidden/>
                  </w:rPr>
                  <w:fldChar w:fldCharType="end"/>
                </w:r>
              </w:hyperlink>
            </w:p>
            <w:p w:rsidR="00347349" w:rsidRDefault="00C2119A">
              <w:pPr>
                <w:pStyle w:val="TOC1"/>
                <w:rPr>
                  <w:rFonts w:asciiTheme="minorHAnsi" w:eastAsiaTheme="minorEastAsia" w:hAnsiTheme="minorHAnsi"/>
                  <w:lang w:val="en-AU" w:eastAsia="en-AU"/>
                </w:rPr>
              </w:pPr>
              <w:hyperlink w:anchor="_Toc460333804" w:history="1">
                <w:r w:rsidR="00347349" w:rsidRPr="00FB5A8B">
                  <w:rPr>
                    <w:rStyle w:val="Hyperlink"/>
                  </w:rPr>
                  <w:t>Introduction</w:t>
                </w:r>
                <w:r w:rsidR="00347349">
                  <w:rPr>
                    <w:webHidden/>
                  </w:rPr>
                  <w:tab/>
                </w:r>
                <w:r w:rsidR="00347349">
                  <w:rPr>
                    <w:webHidden/>
                  </w:rPr>
                  <w:fldChar w:fldCharType="begin"/>
                </w:r>
                <w:r w:rsidR="00347349">
                  <w:rPr>
                    <w:webHidden/>
                  </w:rPr>
                  <w:instrText xml:space="preserve"> PAGEREF _Toc460333804 \h </w:instrText>
                </w:r>
                <w:r w:rsidR="00347349">
                  <w:rPr>
                    <w:webHidden/>
                  </w:rPr>
                </w:r>
                <w:r w:rsidR="00347349">
                  <w:rPr>
                    <w:webHidden/>
                  </w:rPr>
                  <w:fldChar w:fldCharType="separate"/>
                </w:r>
                <w:r>
                  <w:rPr>
                    <w:webHidden/>
                  </w:rPr>
                  <w:t>5</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05" w:history="1">
                <w:r w:rsidR="00347349" w:rsidRPr="00FB5A8B">
                  <w:rPr>
                    <w:rStyle w:val="Hyperlink"/>
                  </w:rPr>
                  <w:t>The Productivity Commission Study</w:t>
                </w:r>
                <w:r w:rsidR="00347349">
                  <w:rPr>
                    <w:webHidden/>
                  </w:rPr>
                  <w:tab/>
                </w:r>
                <w:r w:rsidR="00347349">
                  <w:rPr>
                    <w:webHidden/>
                  </w:rPr>
                  <w:fldChar w:fldCharType="begin"/>
                </w:r>
                <w:r w:rsidR="00347349">
                  <w:rPr>
                    <w:webHidden/>
                  </w:rPr>
                  <w:instrText xml:space="preserve"> PAGEREF _Toc460333805 \h </w:instrText>
                </w:r>
                <w:r w:rsidR="00347349">
                  <w:rPr>
                    <w:webHidden/>
                  </w:rPr>
                </w:r>
                <w:r w:rsidR="00347349">
                  <w:rPr>
                    <w:webHidden/>
                  </w:rPr>
                  <w:fldChar w:fldCharType="separate"/>
                </w:r>
                <w:r>
                  <w:rPr>
                    <w:webHidden/>
                  </w:rPr>
                  <w:t>5</w:t>
                </w:r>
                <w:r w:rsidR="00347349">
                  <w:rPr>
                    <w:webHidden/>
                  </w:rPr>
                  <w:fldChar w:fldCharType="end"/>
                </w:r>
              </w:hyperlink>
            </w:p>
            <w:p w:rsidR="00347349" w:rsidRDefault="00C2119A">
              <w:pPr>
                <w:pStyle w:val="TOC1"/>
                <w:rPr>
                  <w:rFonts w:asciiTheme="minorHAnsi" w:eastAsiaTheme="minorEastAsia" w:hAnsiTheme="minorHAnsi"/>
                  <w:lang w:val="en-AU" w:eastAsia="en-AU"/>
                </w:rPr>
              </w:pPr>
              <w:hyperlink w:anchor="_Toc460333806" w:history="1">
                <w:r w:rsidR="00347349" w:rsidRPr="00FB5A8B">
                  <w:rPr>
                    <w:rStyle w:val="Hyperlink"/>
                  </w:rPr>
                  <w:t>Regulator performance</w:t>
                </w:r>
                <w:r w:rsidR="00347349">
                  <w:rPr>
                    <w:webHidden/>
                  </w:rPr>
                  <w:tab/>
                </w:r>
                <w:r w:rsidR="00347349">
                  <w:rPr>
                    <w:webHidden/>
                  </w:rPr>
                  <w:fldChar w:fldCharType="begin"/>
                </w:r>
                <w:r w:rsidR="00347349">
                  <w:rPr>
                    <w:webHidden/>
                  </w:rPr>
                  <w:instrText xml:space="preserve"> PAGEREF _Toc460333806 \h </w:instrText>
                </w:r>
                <w:r w:rsidR="00347349">
                  <w:rPr>
                    <w:webHidden/>
                  </w:rPr>
                </w:r>
                <w:r w:rsidR="00347349">
                  <w:rPr>
                    <w:webHidden/>
                  </w:rPr>
                  <w:fldChar w:fldCharType="separate"/>
                </w:r>
                <w:r>
                  <w:rPr>
                    <w:webHidden/>
                  </w:rPr>
                  <w:t>6</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07" w:history="1">
                <w:r w:rsidR="00347349" w:rsidRPr="00FB5A8B">
                  <w:rPr>
                    <w:rStyle w:val="Hyperlink"/>
                  </w:rPr>
                  <w:t>Proportionate, risk-based enforcement of the ACL</w:t>
                </w:r>
                <w:r w:rsidR="00347349">
                  <w:rPr>
                    <w:webHidden/>
                  </w:rPr>
                  <w:tab/>
                </w:r>
                <w:r w:rsidR="00347349">
                  <w:rPr>
                    <w:webHidden/>
                  </w:rPr>
                  <w:fldChar w:fldCharType="begin"/>
                </w:r>
                <w:r w:rsidR="00347349">
                  <w:rPr>
                    <w:webHidden/>
                  </w:rPr>
                  <w:instrText xml:space="preserve"> PAGEREF _Toc460333807 \h </w:instrText>
                </w:r>
                <w:r w:rsidR="00347349">
                  <w:rPr>
                    <w:webHidden/>
                  </w:rPr>
                </w:r>
                <w:r w:rsidR="00347349">
                  <w:rPr>
                    <w:webHidden/>
                  </w:rPr>
                  <w:fldChar w:fldCharType="separate"/>
                </w:r>
                <w:r>
                  <w:rPr>
                    <w:webHidden/>
                  </w:rPr>
                  <w:t>6</w:t>
                </w:r>
                <w:r w:rsidR="00347349">
                  <w:rPr>
                    <w:webHidden/>
                  </w:rPr>
                  <w:fldChar w:fldCharType="end"/>
                </w:r>
              </w:hyperlink>
            </w:p>
            <w:p w:rsidR="00347349" w:rsidRDefault="00C2119A">
              <w:pPr>
                <w:pStyle w:val="TOC3"/>
                <w:rPr>
                  <w:rFonts w:asciiTheme="minorHAnsi" w:eastAsiaTheme="minorEastAsia" w:hAnsiTheme="minorHAnsi"/>
                  <w:lang w:eastAsia="en-AU"/>
                </w:rPr>
              </w:pPr>
              <w:hyperlink w:anchor="_Toc460333808" w:history="1">
                <w:r w:rsidR="00347349" w:rsidRPr="00FB5A8B">
                  <w:rPr>
                    <w:rStyle w:val="Hyperlink"/>
                  </w:rPr>
                  <w:t>Our Compliance and Enforcement Policy</w:t>
                </w:r>
                <w:r w:rsidR="00347349">
                  <w:rPr>
                    <w:webHidden/>
                  </w:rPr>
                  <w:tab/>
                </w:r>
                <w:r w:rsidR="00347349">
                  <w:rPr>
                    <w:webHidden/>
                  </w:rPr>
                  <w:fldChar w:fldCharType="begin"/>
                </w:r>
                <w:r w:rsidR="00347349">
                  <w:rPr>
                    <w:webHidden/>
                  </w:rPr>
                  <w:instrText xml:space="preserve"> PAGEREF _Toc460333808 \h </w:instrText>
                </w:r>
                <w:r w:rsidR="00347349">
                  <w:rPr>
                    <w:webHidden/>
                  </w:rPr>
                </w:r>
                <w:r w:rsidR="00347349">
                  <w:rPr>
                    <w:webHidden/>
                  </w:rPr>
                  <w:fldChar w:fldCharType="separate"/>
                </w:r>
                <w:r>
                  <w:rPr>
                    <w:webHidden/>
                  </w:rPr>
                  <w:t>6</w:t>
                </w:r>
                <w:r w:rsidR="00347349">
                  <w:rPr>
                    <w:webHidden/>
                  </w:rPr>
                  <w:fldChar w:fldCharType="end"/>
                </w:r>
              </w:hyperlink>
            </w:p>
            <w:p w:rsidR="00347349" w:rsidRDefault="00C2119A">
              <w:pPr>
                <w:pStyle w:val="TOC3"/>
                <w:rPr>
                  <w:rFonts w:asciiTheme="minorHAnsi" w:eastAsiaTheme="minorEastAsia" w:hAnsiTheme="minorHAnsi"/>
                  <w:lang w:eastAsia="en-AU"/>
                </w:rPr>
              </w:pPr>
              <w:hyperlink w:anchor="_Toc460333809" w:history="1">
                <w:r w:rsidR="00347349" w:rsidRPr="00FB5A8B">
                  <w:rPr>
                    <w:rStyle w:val="Hyperlink"/>
                  </w:rPr>
                  <w:t>Measures of success</w:t>
                </w:r>
                <w:r w:rsidR="00347349">
                  <w:rPr>
                    <w:webHidden/>
                  </w:rPr>
                  <w:tab/>
                </w:r>
                <w:r w:rsidR="00347349">
                  <w:rPr>
                    <w:webHidden/>
                  </w:rPr>
                  <w:fldChar w:fldCharType="begin"/>
                </w:r>
                <w:r w:rsidR="00347349">
                  <w:rPr>
                    <w:webHidden/>
                  </w:rPr>
                  <w:instrText xml:space="preserve"> PAGEREF _Toc460333809 \h </w:instrText>
                </w:r>
                <w:r w:rsidR="00347349">
                  <w:rPr>
                    <w:webHidden/>
                  </w:rPr>
                </w:r>
                <w:r w:rsidR="00347349">
                  <w:rPr>
                    <w:webHidden/>
                  </w:rPr>
                  <w:fldChar w:fldCharType="separate"/>
                </w:r>
                <w:r>
                  <w:rPr>
                    <w:webHidden/>
                  </w:rPr>
                  <w:t>8</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0" w:history="1">
                <w:r w:rsidR="00347349" w:rsidRPr="00FB5A8B">
                  <w:rPr>
                    <w:rStyle w:val="Hyperlink"/>
                  </w:rPr>
                  <w:t>Tools and remedies available to ACL and specialist regulators</w:t>
                </w:r>
                <w:r w:rsidR="00347349">
                  <w:rPr>
                    <w:webHidden/>
                  </w:rPr>
                  <w:tab/>
                </w:r>
                <w:r w:rsidR="00347349">
                  <w:rPr>
                    <w:webHidden/>
                  </w:rPr>
                  <w:fldChar w:fldCharType="begin"/>
                </w:r>
                <w:r w:rsidR="00347349">
                  <w:rPr>
                    <w:webHidden/>
                  </w:rPr>
                  <w:instrText xml:space="preserve"> PAGEREF _Toc460333810 \h </w:instrText>
                </w:r>
                <w:r w:rsidR="00347349">
                  <w:rPr>
                    <w:webHidden/>
                  </w:rPr>
                </w:r>
                <w:r w:rsidR="00347349">
                  <w:rPr>
                    <w:webHidden/>
                  </w:rPr>
                  <w:fldChar w:fldCharType="separate"/>
                </w:r>
                <w:r>
                  <w:rPr>
                    <w:webHidden/>
                  </w:rPr>
                  <w:t>9</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1" w:history="1">
                <w:r w:rsidR="00347349" w:rsidRPr="00FB5A8B">
                  <w:rPr>
                    <w:rStyle w:val="Hyperlink"/>
                  </w:rPr>
                  <w:t>ACL and specialist regulator resourcing</w:t>
                </w:r>
                <w:r w:rsidR="00347349">
                  <w:rPr>
                    <w:webHidden/>
                  </w:rPr>
                  <w:tab/>
                </w:r>
                <w:r w:rsidR="00347349">
                  <w:rPr>
                    <w:webHidden/>
                  </w:rPr>
                  <w:fldChar w:fldCharType="begin"/>
                </w:r>
                <w:r w:rsidR="00347349">
                  <w:rPr>
                    <w:webHidden/>
                  </w:rPr>
                  <w:instrText xml:space="preserve"> PAGEREF _Toc460333811 \h </w:instrText>
                </w:r>
                <w:r w:rsidR="00347349">
                  <w:rPr>
                    <w:webHidden/>
                  </w:rPr>
                </w:r>
                <w:r w:rsidR="00347349">
                  <w:rPr>
                    <w:webHidden/>
                  </w:rPr>
                  <w:fldChar w:fldCharType="separate"/>
                </w:r>
                <w:r>
                  <w:rPr>
                    <w:webHidden/>
                  </w:rPr>
                  <w:t>10</w:t>
                </w:r>
                <w:r w:rsidR="00347349">
                  <w:rPr>
                    <w:webHidden/>
                  </w:rPr>
                  <w:fldChar w:fldCharType="end"/>
                </w:r>
              </w:hyperlink>
            </w:p>
            <w:p w:rsidR="00347349" w:rsidRDefault="00C2119A">
              <w:pPr>
                <w:pStyle w:val="TOC1"/>
                <w:rPr>
                  <w:rFonts w:asciiTheme="minorHAnsi" w:eastAsiaTheme="minorEastAsia" w:hAnsiTheme="minorHAnsi"/>
                  <w:lang w:val="en-AU" w:eastAsia="en-AU"/>
                </w:rPr>
              </w:pPr>
              <w:hyperlink w:anchor="_Toc460333812" w:history="1">
                <w:r w:rsidR="00347349" w:rsidRPr="00FB5A8B">
                  <w:rPr>
                    <w:rStyle w:val="Hyperlink"/>
                  </w:rPr>
                  <w:t>Regulator coordination</w:t>
                </w:r>
                <w:r w:rsidR="00347349">
                  <w:rPr>
                    <w:webHidden/>
                  </w:rPr>
                  <w:tab/>
                </w:r>
                <w:r w:rsidR="00347349">
                  <w:rPr>
                    <w:webHidden/>
                  </w:rPr>
                  <w:fldChar w:fldCharType="begin"/>
                </w:r>
                <w:r w:rsidR="00347349">
                  <w:rPr>
                    <w:webHidden/>
                  </w:rPr>
                  <w:instrText xml:space="preserve"> PAGEREF _Toc460333812 \h </w:instrText>
                </w:r>
                <w:r w:rsidR="00347349">
                  <w:rPr>
                    <w:webHidden/>
                  </w:rPr>
                </w:r>
                <w:r w:rsidR="00347349">
                  <w:rPr>
                    <w:webHidden/>
                  </w:rPr>
                  <w:fldChar w:fldCharType="separate"/>
                </w:r>
                <w:r>
                  <w:rPr>
                    <w:webHidden/>
                  </w:rPr>
                  <w:t>12</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3" w:history="1">
                <w:r w:rsidR="00347349" w:rsidRPr="00FB5A8B">
                  <w:rPr>
                    <w:rStyle w:val="Hyperlink"/>
                  </w:rPr>
                  <w:t>ACL regulator coordination</w:t>
                </w:r>
                <w:r w:rsidR="00347349">
                  <w:rPr>
                    <w:webHidden/>
                  </w:rPr>
                  <w:tab/>
                </w:r>
                <w:r w:rsidR="00347349">
                  <w:rPr>
                    <w:webHidden/>
                  </w:rPr>
                  <w:fldChar w:fldCharType="begin"/>
                </w:r>
                <w:r w:rsidR="00347349">
                  <w:rPr>
                    <w:webHidden/>
                  </w:rPr>
                  <w:instrText xml:space="preserve"> PAGEREF _Toc460333813 \h </w:instrText>
                </w:r>
                <w:r w:rsidR="00347349">
                  <w:rPr>
                    <w:webHidden/>
                  </w:rPr>
                </w:r>
                <w:r w:rsidR="00347349">
                  <w:rPr>
                    <w:webHidden/>
                  </w:rPr>
                  <w:fldChar w:fldCharType="separate"/>
                </w:r>
                <w:r>
                  <w:rPr>
                    <w:webHidden/>
                  </w:rPr>
                  <w:t>12</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4" w:history="1">
                <w:r w:rsidR="00347349" w:rsidRPr="00FB5A8B">
                  <w:rPr>
                    <w:rStyle w:val="Hyperlink"/>
                  </w:rPr>
                  <w:t>Product safety ACL regulator coordination</w:t>
                </w:r>
                <w:r w:rsidR="00347349">
                  <w:rPr>
                    <w:webHidden/>
                  </w:rPr>
                  <w:tab/>
                </w:r>
                <w:r w:rsidR="00347349">
                  <w:rPr>
                    <w:webHidden/>
                  </w:rPr>
                  <w:fldChar w:fldCharType="begin"/>
                </w:r>
                <w:r w:rsidR="00347349">
                  <w:rPr>
                    <w:webHidden/>
                  </w:rPr>
                  <w:instrText xml:space="preserve"> PAGEREF _Toc460333814 \h </w:instrText>
                </w:r>
                <w:r w:rsidR="00347349">
                  <w:rPr>
                    <w:webHidden/>
                  </w:rPr>
                </w:r>
                <w:r w:rsidR="00347349">
                  <w:rPr>
                    <w:webHidden/>
                  </w:rPr>
                  <w:fldChar w:fldCharType="separate"/>
                </w:r>
                <w:r>
                  <w:rPr>
                    <w:webHidden/>
                  </w:rPr>
                  <w:t>15</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5" w:history="1">
                <w:r w:rsidR="00347349" w:rsidRPr="00FB5A8B">
                  <w:rPr>
                    <w:rStyle w:val="Hyperlink"/>
                  </w:rPr>
                  <w:t>Specialist regulator coordination</w:t>
                </w:r>
                <w:r w:rsidR="00347349">
                  <w:rPr>
                    <w:webHidden/>
                  </w:rPr>
                  <w:tab/>
                </w:r>
                <w:r w:rsidR="00347349">
                  <w:rPr>
                    <w:webHidden/>
                  </w:rPr>
                  <w:fldChar w:fldCharType="begin"/>
                </w:r>
                <w:r w:rsidR="00347349">
                  <w:rPr>
                    <w:webHidden/>
                  </w:rPr>
                  <w:instrText xml:space="preserve"> PAGEREF _Toc460333815 \h </w:instrText>
                </w:r>
                <w:r w:rsidR="00347349">
                  <w:rPr>
                    <w:webHidden/>
                  </w:rPr>
                </w:r>
                <w:r w:rsidR="00347349">
                  <w:rPr>
                    <w:webHidden/>
                  </w:rPr>
                  <w:fldChar w:fldCharType="separate"/>
                </w:r>
                <w:r>
                  <w:rPr>
                    <w:webHidden/>
                  </w:rPr>
                  <w:t>15</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6" w:history="1">
                <w:r w:rsidR="00347349" w:rsidRPr="00FB5A8B">
                  <w:rPr>
                    <w:rStyle w:val="Hyperlink"/>
                  </w:rPr>
                  <w:t>ACCC and ASIC</w:t>
                </w:r>
                <w:r w:rsidR="00347349">
                  <w:rPr>
                    <w:webHidden/>
                  </w:rPr>
                  <w:tab/>
                </w:r>
                <w:r w:rsidR="00347349">
                  <w:rPr>
                    <w:webHidden/>
                  </w:rPr>
                  <w:fldChar w:fldCharType="begin"/>
                </w:r>
                <w:r w:rsidR="00347349">
                  <w:rPr>
                    <w:webHidden/>
                  </w:rPr>
                  <w:instrText xml:space="preserve"> PAGEREF _Toc460333816 \h </w:instrText>
                </w:r>
                <w:r w:rsidR="00347349">
                  <w:rPr>
                    <w:webHidden/>
                  </w:rPr>
                </w:r>
                <w:r w:rsidR="00347349">
                  <w:rPr>
                    <w:webHidden/>
                  </w:rPr>
                  <w:fldChar w:fldCharType="separate"/>
                </w:r>
                <w:r>
                  <w:rPr>
                    <w:webHidden/>
                  </w:rPr>
                  <w:t>16</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7" w:history="1">
                <w:r w:rsidR="00347349" w:rsidRPr="00FB5A8B">
                  <w:rPr>
                    <w:rStyle w:val="Hyperlink"/>
                  </w:rPr>
                  <w:t>Consumers’ and businesses’ experiences under the ACL regime</w:t>
                </w:r>
                <w:r w:rsidR="00347349">
                  <w:rPr>
                    <w:webHidden/>
                  </w:rPr>
                  <w:tab/>
                </w:r>
                <w:r w:rsidR="00347349">
                  <w:rPr>
                    <w:webHidden/>
                  </w:rPr>
                  <w:fldChar w:fldCharType="begin"/>
                </w:r>
                <w:r w:rsidR="00347349">
                  <w:rPr>
                    <w:webHidden/>
                  </w:rPr>
                  <w:instrText xml:space="preserve"> PAGEREF _Toc460333817 \h </w:instrText>
                </w:r>
                <w:r w:rsidR="00347349">
                  <w:rPr>
                    <w:webHidden/>
                  </w:rPr>
                </w:r>
                <w:r w:rsidR="00347349">
                  <w:rPr>
                    <w:webHidden/>
                  </w:rPr>
                  <w:fldChar w:fldCharType="separate"/>
                </w:r>
                <w:r>
                  <w:rPr>
                    <w:webHidden/>
                  </w:rPr>
                  <w:t>17</w:t>
                </w:r>
                <w:r w:rsidR="00347349">
                  <w:rPr>
                    <w:webHidden/>
                  </w:rPr>
                  <w:fldChar w:fldCharType="end"/>
                </w:r>
              </w:hyperlink>
            </w:p>
            <w:p w:rsidR="00347349" w:rsidRDefault="00C2119A">
              <w:pPr>
                <w:pStyle w:val="TOC1"/>
                <w:rPr>
                  <w:rFonts w:asciiTheme="minorHAnsi" w:eastAsiaTheme="minorEastAsia" w:hAnsiTheme="minorHAnsi"/>
                  <w:lang w:val="en-AU" w:eastAsia="en-AU"/>
                </w:rPr>
              </w:pPr>
              <w:hyperlink w:anchor="_Toc460333818" w:history="1">
                <w:r w:rsidR="00347349" w:rsidRPr="00FB5A8B">
                  <w:rPr>
                    <w:rStyle w:val="Hyperlink"/>
                  </w:rPr>
                  <w:t>Information sharing</w:t>
                </w:r>
                <w:r w:rsidR="00347349">
                  <w:rPr>
                    <w:webHidden/>
                  </w:rPr>
                  <w:tab/>
                </w:r>
                <w:r w:rsidR="00347349">
                  <w:rPr>
                    <w:webHidden/>
                  </w:rPr>
                  <w:fldChar w:fldCharType="begin"/>
                </w:r>
                <w:r w:rsidR="00347349">
                  <w:rPr>
                    <w:webHidden/>
                  </w:rPr>
                  <w:instrText xml:space="preserve"> PAGEREF _Toc460333818 \h </w:instrText>
                </w:r>
                <w:r w:rsidR="00347349">
                  <w:rPr>
                    <w:webHidden/>
                  </w:rPr>
                </w:r>
                <w:r w:rsidR="00347349">
                  <w:rPr>
                    <w:webHidden/>
                  </w:rPr>
                  <w:fldChar w:fldCharType="separate"/>
                </w:r>
                <w:r>
                  <w:rPr>
                    <w:webHidden/>
                  </w:rPr>
                  <w:t>18</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19" w:history="1">
                <w:r w:rsidR="00347349" w:rsidRPr="00FB5A8B">
                  <w:rPr>
                    <w:rStyle w:val="Hyperlink"/>
                  </w:rPr>
                  <w:t>Current arrangements between ACL regulators to share information and intelligence</w:t>
                </w:r>
                <w:r w:rsidR="00347349">
                  <w:rPr>
                    <w:webHidden/>
                  </w:rPr>
                  <w:tab/>
                </w:r>
                <w:r w:rsidR="00347349">
                  <w:rPr>
                    <w:webHidden/>
                  </w:rPr>
                  <w:fldChar w:fldCharType="begin"/>
                </w:r>
                <w:r w:rsidR="00347349">
                  <w:rPr>
                    <w:webHidden/>
                  </w:rPr>
                  <w:instrText xml:space="preserve"> PAGEREF _Toc460333819 \h </w:instrText>
                </w:r>
                <w:r w:rsidR="00347349">
                  <w:rPr>
                    <w:webHidden/>
                  </w:rPr>
                </w:r>
                <w:r w:rsidR="00347349">
                  <w:rPr>
                    <w:webHidden/>
                  </w:rPr>
                  <w:fldChar w:fldCharType="separate"/>
                </w:r>
                <w:r>
                  <w:rPr>
                    <w:webHidden/>
                  </w:rPr>
                  <w:t>18</w:t>
                </w:r>
                <w:r w:rsidR="00347349">
                  <w:rPr>
                    <w:webHidden/>
                  </w:rPr>
                  <w:fldChar w:fldCharType="end"/>
                </w:r>
              </w:hyperlink>
            </w:p>
            <w:p w:rsidR="00347349" w:rsidRDefault="00C2119A">
              <w:pPr>
                <w:pStyle w:val="TOC3"/>
                <w:rPr>
                  <w:rFonts w:asciiTheme="minorHAnsi" w:eastAsiaTheme="minorEastAsia" w:hAnsiTheme="minorHAnsi"/>
                  <w:lang w:eastAsia="en-AU"/>
                </w:rPr>
              </w:pPr>
              <w:hyperlink w:anchor="_Toc460333820" w:history="1">
                <w:r w:rsidR="00347349" w:rsidRPr="00FB5A8B">
                  <w:rPr>
                    <w:rStyle w:val="Hyperlink"/>
                  </w:rPr>
                  <w:t>Project Sentinel</w:t>
                </w:r>
                <w:r w:rsidR="00347349">
                  <w:rPr>
                    <w:webHidden/>
                  </w:rPr>
                  <w:tab/>
                </w:r>
                <w:r w:rsidR="00347349">
                  <w:rPr>
                    <w:webHidden/>
                  </w:rPr>
                  <w:fldChar w:fldCharType="begin"/>
                </w:r>
                <w:r w:rsidR="00347349">
                  <w:rPr>
                    <w:webHidden/>
                  </w:rPr>
                  <w:instrText xml:space="preserve"> PAGEREF _Toc460333820 \h </w:instrText>
                </w:r>
                <w:r w:rsidR="00347349">
                  <w:rPr>
                    <w:webHidden/>
                  </w:rPr>
                </w:r>
                <w:r w:rsidR="00347349">
                  <w:rPr>
                    <w:webHidden/>
                  </w:rPr>
                  <w:fldChar w:fldCharType="separate"/>
                </w:r>
                <w:r>
                  <w:rPr>
                    <w:webHidden/>
                  </w:rPr>
                  <w:t>19</w:t>
                </w:r>
                <w:r w:rsidR="00347349">
                  <w:rPr>
                    <w:webHidden/>
                  </w:rPr>
                  <w:fldChar w:fldCharType="end"/>
                </w:r>
              </w:hyperlink>
            </w:p>
            <w:p w:rsidR="00347349" w:rsidRDefault="00C2119A">
              <w:pPr>
                <w:pStyle w:val="TOC3"/>
                <w:rPr>
                  <w:rFonts w:asciiTheme="minorHAnsi" w:eastAsiaTheme="minorEastAsia" w:hAnsiTheme="minorHAnsi"/>
                  <w:lang w:eastAsia="en-AU"/>
                </w:rPr>
              </w:pPr>
              <w:hyperlink w:anchor="_Toc460333821" w:history="1">
                <w:r w:rsidR="00347349" w:rsidRPr="00FB5A8B">
                  <w:rPr>
                    <w:rStyle w:val="Hyperlink"/>
                  </w:rPr>
                  <w:t>ANAO recommendations on information sharing</w:t>
                </w:r>
                <w:r w:rsidR="00347349">
                  <w:rPr>
                    <w:webHidden/>
                  </w:rPr>
                  <w:tab/>
                </w:r>
                <w:r w:rsidR="00347349">
                  <w:rPr>
                    <w:webHidden/>
                  </w:rPr>
                  <w:fldChar w:fldCharType="begin"/>
                </w:r>
                <w:r w:rsidR="00347349">
                  <w:rPr>
                    <w:webHidden/>
                  </w:rPr>
                  <w:instrText xml:space="preserve"> PAGEREF _Toc460333821 \h </w:instrText>
                </w:r>
                <w:r w:rsidR="00347349">
                  <w:rPr>
                    <w:webHidden/>
                  </w:rPr>
                </w:r>
                <w:r w:rsidR="00347349">
                  <w:rPr>
                    <w:webHidden/>
                  </w:rPr>
                  <w:fldChar w:fldCharType="separate"/>
                </w:r>
                <w:r>
                  <w:rPr>
                    <w:webHidden/>
                  </w:rPr>
                  <w:t>19</w:t>
                </w:r>
                <w:r w:rsidR="00347349">
                  <w:rPr>
                    <w:webHidden/>
                  </w:rPr>
                  <w:fldChar w:fldCharType="end"/>
                </w:r>
              </w:hyperlink>
            </w:p>
            <w:p w:rsidR="00347349" w:rsidRDefault="00C2119A">
              <w:pPr>
                <w:pStyle w:val="TOC2"/>
                <w:rPr>
                  <w:rFonts w:asciiTheme="minorHAnsi" w:eastAsiaTheme="minorEastAsia" w:hAnsiTheme="minorHAnsi"/>
                  <w:lang w:eastAsia="en-AU"/>
                </w:rPr>
              </w:pPr>
              <w:hyperlink w:anchor="_Toc460333822" w:history="1">
                <w:r w:rsidR="00347349" w:rsidRPr="00FB5A8B">
                  <w:rPr>
                    <w:rStyle w:val="Hyperlink"/>
                  </w:rPr>
                  <w:t>Introduction of a national database for ACL complaints</w:t>
                </w:r>
                <w:r w:rsidR="00347349">
                  <w:rPr>
                    <w:webHidden/>
                  </w:rPr>
                  <w:tab/>
                </w:r>
                <w:r w:rsidR="00347349">
                  <w:rPr>
                    <w:webHidden/>
                  </w:rPr>
                  <w:fldChar w:fldCharType="begin"/>
                </w:r>
                <w:r w:rsidR="00347349">
                  <w:rPr>
                    <w:webHidden/>
                  </w:rPr>
                  <w:instrText xml:space="preserve"> PAGEREF _Toc460333822 \h </w:instrText>
                </w:r>
                <w:r w:rsidR="00347349">
                  <w:rPr>
                    <w:webHidden/>
                  </w:rPr>
                </w:r>
                <w:r w:rsidR="00347349">
                  <w:rPr>
                    <w:webHidden/>
                  </w:rPr>
                  <w:fldChar w:fldCharType="separate"/>
                </w:r>
                <w:r>
                  <w:rPr>
                    <w:webHidden/>
                  </w:rPr>
                  <w:t>20</w:t>
                </w:r>
                <w:r w:rsidR="00347349">
                  <w:rPr>
                    <w:webHidden/>
                  </w:rPr>
                  <w:fldChar w:fldCharType="end"/>
                </w:r>
              </w:hyperlink>
            </w:p>
            <w:p w:rsidR="00347349" w:rsidRDefault="00C2119A">
              <w:pPr>
                <w:pStyle w:val="TOC1"/>
                <w:rPr>
                  <w:rFonts w:asciiTheme="minorHAnsi" w:eastAsiaTheme="minorEastAsia" w:hAnsiTheme="minorHAnsi"/>
                  <w:lang w:val="en-AU" w:eastAsia="en-AU"/>
                </w:rPr>
              </w:pPr>
              <w:hyperlink w:anchor="_Toc460333823" w:history="1">
                <w:r w:rsidR="00347349" w:rsidRPr="00FB5A8B">
                  <w:rPr>
                    <w:rStyle w:val="Hyperlink"/>
                  </w:rPr>
                  <w:t>Specialist regulators</w:t>
                </w:r>
                <w:r w:rsidR="00347349">
                  <w:rPr>
                    <w:webHidden/>
                  </w:rPr>
                  <w:tab/>
                </w:r>
                <w:r w:rsidR="00347349">
                  <w:rPr>
                    <w:webHidden/>
                  </w:rPr>
                  <w:fldChar w:fldCharType="begin"/>
                </w:r>
                <w:r w:rsidR="00347349">
                  <w:rPr>
                    <w:webHidden/>
                  </w:rPr>
                  <w:instrText xml:space="preserve"> PAGEREF _Toc460333823 \h </w:instrText>
                </w:r>
                <w:r w:rsidR="00347349">
                  <w:rPr>
                    <w:webHidden/>
                  </w:rPr>
                </w:r>
                <w:r w:rsidR="00347349">
                  <w:rPr>
                    <w:webHidden/>
                  </w:rPr>
                  <w:fldChar w:fldCharType="separate"/>
                </w:r>
                <w:r>
                  <w:rPr>
                    <w:webHidden/>
                  </w:rPr>
                  <w:t>21</w:t>
                </w:r>
                <w:r w:rsidR="00347349">
                  <w:rPr>
                    <w:webHidden/>
                  </w:rPr>
                  <w:fldChar w:fldCharType="end"/>
                </w:r>
              </w:hyperlink>
            </w:p>
            <w:p w:rsidR="00347349" w:rsidRDefault="00C2119A">
              <w:pPr>
                <w:pStyle w:val="TOC1"/>
                <w:rPr>
                  <w:rFonts w:asciiTheme="minorHAnsi" w:eastAsiaTheme="minorEastAsia" w:hAnsiTheme="minorHAnsi"/>
                  <w:lang w:val="en-AU" w:eastAsia="en-AU"/>
                </w:rPr>
              </w:pPr>
              <w:hyperlink w:anchor="_Toc460333824" w:history="1">
                <w:r w:rsidR="00347349" w:rsidRPr="00FB5A8B">
                  <w:rPr>
                    <w:rStyle w:val="Hyperlink"/>
                  </w:rPr>
                  <w:t>Institutional architecture for consumer safety regulation</w:t>
                </w:r>
                <w:r w:rsidR="00347349">
                  <w:rPr>
                    <w:webHidden/>
                  </w:rPr>
                  <w:tab/>
                </w:r>
                <w:r w:rsidR="00347349">
                  <w:rPr>
                    <w:webHidden/>
                  </w:rPr>
                  <w:fldChar w:fldCharType="begin"/>
                </w:r>
                <w:r w:rsidR="00347349">
                  <w:rPr>
                    <w:webHidden/>
                  </w:rPr>
                  <w:instrText xml:space="preserve"> PAGEREF _Toc460333824 \h </w:instrText>
                </w:r>
                <w:r w:rsidR="00347349">
                  <w:rPr>
                    <w:webHidden/>
                  </w:rPr>
                </w:r>
                <w:r w:rsidR="00347349">
                  <w:rPr>
                    <w:webHidden/>
                  </w:rPr>
                  <w:fldChar w:fldCharType="separate"/>
                </w:r>
                <w:r>
                  <w:rPr>
                    <w:webHidden/>
                  </w:rPr>
                  <w:t>24</w:t>
                </w:r>
                <w:r w:rsidR="00347349">
                  <w:rPr>
                    <w:webHidden/>
                  </w:rPr>
                  <w:fldChar w:fldCharType="end"/>
                </w:r>
              </w:hyperlink>
            </w:p>
            <w:p w:rsidR="000903D5" w:rsidRPr="000903D5" w:rsidRDefault="00686DE4">
              <w:r>
                <w:rPr>
                  <w:b/>
                </w:rPr>
                <w:fldChar w:fldCharType="end"/>
              </w:r>
            </w:p>
          </w:sdtContent>
        </w:sdt>
        <w:p w:rsidR="009F2BE5" w:rsidRDefault="009F2BE5">
          <w:r>
            <w:br w:type="page"/>
          </w:r>
        </w:p>
      </w:sdtContent>
    </w:sdt>
    <w:p w:rsidR="003E435C" w:rsidRPr="000C3868" w:rsidRDefault="003E435C" w:rsidP="000C3868">
      <w:pPr>
        <w:pStyle w:val="Heading1"/>
      </w:pPr>
      <w:bookmarkStart w:id="4" w:name="_Toc460333803"/>
      <w:r w:rsidRPr="00E3608F">
        <w:lastRenderedPageBreak/>
        <w:t>Exec</w:t>
      </w:r>
      <w:r w:rsidR="00B974D4" w:rsidRPr="00E3608F">
        <w:t>utive</w:t>
      </w:r>
      <w:r w:rsidRPr="00E3608F">
        <w:t xml:space="preserve"> summary</w:t>
      </w:r>
      <w:bookmarkEnd w:id="4"/>
    </w:p>
    <w:p w:rsidR="005E13FA" w:rsidRDefault="005E13FA" w:rsidP="005E13FA">
      <w:r>
        <w:t>The Australian Consumer Law (ACL) commenced on 1 January 2011</w:t>
      </w:r>
      <w:r w:rsidR="005854CF">
        <w:t>. It</w:t>
      </w:r>
      <w:r>
        <w:t xml:space="preserve"> created a uniform consumer and fair trading law across the Commonwealth, States and Territories, administered by consumer </w:t>
      </w:r>
      <w:r w:rsidR="005854CF">
        <w:t xml:space="preserve">protection </w:t>
      </w:r>
      <w:r>
        <w:t>regulators</w:t>
      </w:r>
      <w:r w:rsidR="00F81991">
        <w:t xml:space="preserve"> (ACL r</w:t>
      </w:r>
      <w:r w:rsidR="00163C8D">
        <w:t>egulators)</w:t>
      </w:r>
      <w:r>
        <w:t xml:space="preserve"> at each level of government</w:t>
      </w:r>
      <w:r w:rsidR="00163C8D">
        <w:t xml:space="preserve"> (</w:t>
      </w:r>
      <w:r w:rsidR="00933205">
        <w:t>the multi-regulator model</w:t>
      </w:r>
      <w:r w:rsidR="00163C8D">
        <w:t>)</w:t>
      </w:r>
      <w:r>
        <w:t>.</w:t>
      </w:r>
      <w:r w:rsidR="00163C8D">
        <w:t xml:space="preserve"> The ACL and </w:t>
      </w:r>
      <w:r w:rsidR="00933205">
        <w:t>the multi-regulator model</w:t>
      </w:r>
      <w:r w:rsidR="00163C8D">
        <w:t xml:space="preserve"> was a significant harmonisation of laws. T</w:t>
      </w:r>
      <w:r w:rsidR="005854CF">
        <w:t>he previous</w:t>
      </w:r>
      <w:r>
        <w:t xml:space="preserve"> consumer and fair trading </w:t>
      </w:r>
      <w:r w:rsidR="00163C8D">
        <w:t xml:space="preserve">regime applied </w:t>
      </w:r>
      <w:r>
        <w:t xml:space="preserve">different laws </w:t>
      </w:r>
      <w:r w:rsidR="00933205">
        <w:t>nationally and in</w:t>
      </w:r>
      <w:r>
        <w:t xml:space="preserve"> each State and Territory.</w:t>
      </w:r>
    </w:p>
    <w:p w:rsidR="005E13FA" w:rsidRDefault="00163C8D" w:rsidP="005E13FA">
      <w:r>
        <w:t xml:space="preserve">The ACL and </w:t>
      </w:r>
      <w:r w:rsidR="00933205">
        <w:t>the multi-regulator model</w:t>
      </w:r>
      <w:r w:rsidR="005E13FA">
        <w:t xml:space="preserve"> </w:t>
      </w:r>
      <w:r w:rsidR="00AA687B">
        <w:t>were</w:t>
      </w:r>
      <w:r w:rsidR="005E13FA">
        <w:t xml:space="preserve"> </w:t>
      </w:r>
      <w:proofErr w:type="gramStart"/>
      <w:r>
        <w:t>adopted</w:t>
      </w:r>
      <w:proofErr w:type="gramEnd"/>
      <w:r>
        <w:t xml:space="preserve"> </w:t>
      </w:r>
      <w:r w:rsidR="005E13FA">
        <w:t>to:</w:t>
      </w:r>
    </w:p>
    <w:p w:rsidR="005E13FA" w:rsidRDefault="005E13FA" w:rsidP="00240BEA">
      <w:pPr>
        <w:pStyle w:val="Bulletpoint"/>
      </w:pPr>
      <w:r w:rsidRPr="005E13FA">
        <w:t>enhance consumer protection, reduce regulatory complexity for businesses and encourage the development of a seamless national economy</w:t>
      </w:r>
      <w:r w:rsidR="00933205">
        <w:t xml:space="preserve"> and</w:t>
      </w:r>
    </w:p>
    <w:p w:rsidR="005E13FA" w:rsidRPr="005E13FA" w:rsidRDefault="005E13FA" w:rsidP="00240BEA">
      <w:pPr>
        <w:pStyle w:val="Bulletpoint"/>
      </w:pPr>
      <w:proofErr w:type="gramStart"/>
      <w:r w:rsidRPr="005E13FA">
        <w:t>improve</w:t>
      </w:r>
      <w:proofErr w:type="gramEnd"/>
      <w:r w:rsidRPr="005E13FA">
        <w:t xml:space="preserve"> consumer wellbeing through consumer empowerment and protection, foster effective competition and enable the confident participation of consumers in markets in which suppliers trade fairl</w:t>
      </w:r>
      <w:r>
        <w:t>y.</w:t>
      </w:r>
    </w:p>
    <w:p w:rsidR="004E1C0F" w:rsidRDefault="00B52F0D" w:rsidP="00A810AC">
      <w:r>
        <w:t xml:space="preserve">The </w:t>
      </w:r>
      <w:r w:rsidR="000846DA">
        <w:t>Australian Competition and Consumer Commission (</w:t>
      </w:r>
      <w:r>
        <w:t>ACCC</w:t>
      </w:r>
      <w:r w:rsidR="000846DA">
        <w:t>)</w:t>
      </w:r>
      <w:r>
        <w:t xml:space="preserve"> </w:t>
      </w:r>
      <w:proofErr w:type="gramStart"/>
      <w:r w:rsidR="000A3A57" w:rsidRPr="000A3A57">
        <w:t>endorses</w:t>
      </w:r>
      <w:proofErr w:type="gramEnd"/>
      <w:r w:rsidR="000A3A57" w:rsidRPr="000A3A57">
        <w:t xml:space="preserve"> the current model and is of the view</w:t>
      </w:r>
      <w:r w:rsidR="000A3A57" w:rsidRPr="000A3A57" w:rsidDel="000A3A57">
        <w:t xml:space="preserve"> </w:t>
      </w:r>
      <w:r>
        <w:t xml:space="preserve">that </w:t>
      </w:r>
      <w:r w:rsidR="00385AC6">
        <w:t>significant</w:t>
      </w:r>
      <w:r>
        <w:t xml:space="preserve"> progress has been made toward realising these goals. </w:t>
      </w:r>
      <w:r w:rsidR="00AE368A">
        <w:t>P</w:t>
      </w:r>
      <w:r>
        <w:t>rogress has been strongest where</w:t>
      </w:r>
      <w:r w:rsidR="00F81991">
        <w:t xml:space="preserve"> ACL r</w:t>
      </w:r>
      <w:r w:rsidR="00534FF2">
        <w:t>egulators have worked clo</w:t>
      </w:r>
      <w:r w:rsidR="00AE368A">
        <w:t>sely together and</w:t>
      </w:r>
      <w:r>
        <w:t xml:space="preserve"> </w:t>
      </w:r>
      <w:r w:rsidR="00534FF2">
        <w:t>each</w:t>
      </w:r>
      <w:r w:rsidR="00FC2D3F">
        <w:t xml:space="preserve"> h</w:t>
      </w:r>
      <w:r w:rsidR="00534FF2">
        <w:t>as</w:t>
      </w:r>
      <w:r w:rsidR="00FC2D3F">
        <w:t xml:space="preserve"> had sufficient res</w:t>
      </w:r>
      <w:r w:rsidR="00AE368A">
        <w:t>ource</w:t>
      </w:r>
      <w:r w:rsidR="004E1C0F">
        <w:t>s</w:t>
      </w:r>
      <w:r w:rsidR="00FC2D3F">
        <w:t xml:space="preserve"> and expertise</w:t>
      </w:r>
      <w:r w:rsidR="00AE368A">
        <w:t xml:space="preserve"> to contribute meaningfully toward these goals</w:t>
      </w:r>
      <w:r w:rsidR="004E1C0F">
        <w:t xml:space="preserve"> in either complementary or coordinated ways</w:t>
      </w:r>
      <w:r w:rsidR="00572D43">
        <w:t xml:space="preserve">. </w:t>
      </w:r>
    </w:p>
    <w:p w:rsidR="000A3A57" w:rsidRPr="00240BEA" w:rsidRDefault="000A3A57" w:rsidP="00A810AC">
      <w:pPr>
        <w:rPr>
          <w:rStyle w:val="Strong"/>
        </w:rPr>
      </w:pPr>
      <w:r w:rsidRPr="00240BEA">
        <w:rPr>
          <w:rStyle w:val="Strong"/>
        </w:rPr>
        <w:t xml:space="preserve">The current and future success of the one law, multiple regulator </w:t>
      </w:r>
      <w:proofErr w:type="gramStart"/>
      <w:r w:rsidRPr="00240BEA">
        <w:rPr>
          <w:rStyle w:val="Strong"/>
        </w:rPr>
        <w:t>model</w:t>
      </w:r>
      <w:proofErr w:type="gramEnd"/>
      <w:r w:rsidRPr="00240BEA">
        <w:rPr>
          <w:rStyle w:val="Strong"/>
        </w:rPr>
        <w:t xml:space="preserve"> relies upon sufficiently resourced regulators that deliver on complementary roles and coordinated approaches.</w:t>
      </w:r>
    </w:p>
    <w:p w:rsidR="0023623B" w:rsidRDefault="004E1C0F" w:rsidP="0023623B">
      <w:r>
        <w:t xml:space="preserve">Importantly, the one law, multiple-regulator model allows different regulators to provide different contributions in a complementary manner. While there are important variations in approach, at a high level the capacity of State and Territory ACL regulators to address localised conduct and provide conciliation or complaint resolution functions for consumers complements </w:t>
      </w:r>
      <w:r w:rsidR="00563FF5">
        <w:t>the ACCC’s</w:t>
      </w:r>
      <w:r>
        <w:t xml:space="preserve"> enforcement and compliance model that endeavours to address more systemic and national matters.</w:t>
      </w:r>
      <w:r w:rsidR="0023623B">
        <w:t xml:space="preserve"> Broadly:</w:t>
      </w:r>
    </w:p>
    <w:p w:rsidR="0023623B" w:rsidRDefault="0023623B" w:rsidP="00240BEA">
      <w:pPr>
        <w:pStyle w:val="Bulletpoint"/>
      </w:pPr>
      <w:r>
        <w:t>the State and Territory ACL regulators have responsibility for ensuring a safe and fair marketplace in their jurisdiction</w:t>
      </w:r>
      <w:r w:rsidR="000A3A57">
        <w:t xml:space="preserve"> - t</w:t>
      </w:r>
      <w:r>
        <w:t>hey are responsible for individual dispute resolution, conciliation, mediation and State based enforcement and compliance activities</w:t>
      </w:r>
    </w:p>
    <w:p w:rsidR="0023623B" w:rsidRDefault="0023623B" w:rsidP="00240BEA">
      <w:pPr>
        <w:pStyle w:val="Bulletpoint"/>
      </w:pPr>
      <w:proofErr w:type="gramStart"/>
      <w:r>
        <w:t>the</w:t>
      </w:r>
      <w:proofErr w:type="gramEnd"/>
      <w:r>
        <w:t xml:space="preserve"> ACCC takes a national approach to enforcement, compliance and education, allocating resources to the issues of greatest risk of consumer detriment including serious consumer product safety issues</w:t>
      </w:r>
      <w:r w:rsidR="000A3A57">
        <w:t xml:space="preserve"> - w</w:t>
      </w:r>
      <w:r>
        <w:t>e do not engage in individual dispute resolution, conciliation or mediation.</w:t>
      </w:r>
    </w:p>
    <w:p w:rsidR="0023623B" w:rsidRDefault="0023623B" w:rsidP="00240BEA">
      <w:pPr>
        <w:pStyle w:val="Bulletpoint"/>
      </w:pPr>
      <w:r>
        <w:t>ASIC undertakes enforcement, compliance and education to promote confident and informed participation by investors and consumers in the financial system.</w:t>
      </w:r>
    </w:p>
    <w:p w:rsidR="004E1C0F" w:rsidRDefault="004E1C0F" w:rsidP="00A810AC">
      <w:r>
        <w:t>These compl</w:t>
      </w:r>
      <w:r w:rsidR="002811B7">
        <w:t>e</w:t>
      </w:r>
      <w:r>
        <w:t>mentary roles</w:t>
      </w:r>
      <w:r w:rsidR="0023623B">
        <w:t xml:space="preserve"> </w:t>
      </w:r>
      <w:r>
        <w:t xml:space="preserve">are not strictly demarcated and the model has allowed regulators at different levels to coordinate areas of cross over. </w:t>
      </w:r>
      <w:r w:rsidR="00572D43">
        <w:t>A number of e</w:t>
      </w:r>
      <w:r w:rsidR="00572D43" w:rsidRPr="00572D43">
        <w:t xml:space="preserve">xamples of </w:t>
      </w:r>
      <w:r w:rsidR="00572D43">
        <w:t xml:space="preserve">this </w:t>
      </w:r>
      <w:r w:rsidR="00572D43" w:rsidRPr="00572D43">
        <w:t>successful coordination between ACL regulators</w:t>
      </w:r>
      <w:r w:rsidR="00572D43">
        <w:t xml:space="preserve"> are </w:t>
      </w:r>
      <w:r w:rsidR="00572D43" w:rsidRPr="00C2119A">
        <w:t xml:space="preserve">outlined in box </w:t>
      </w:r>
      <w:r w:rsidR="009C226B" w:rsidRPr="00C2119A">
        <w:t>1</w:t>
      </w:r>
      <w:r w:rsidR="00534FF2" w:rsidRPr="00C2119A">
        <w:t>.</w:t>
      </w:r>
      <w:r w:rsidR="006266D7" w:rsidRPr="00C2119A">
        <w:t xml:space="preserve"> </w:t>
      </w:r>
      <w:r w:rsidR="008D4E32" w:rsidRPr="00C2119A">
        <w:t>However coordination</w:t>
      </w:r>
      <w:r w:rsidR="008D4E32">
        <w:t xml:space="preserve"> alone </w:t>
      </w:r>
      <w:r w:rsidR="000A3A57" w:rsidRPr="000A3A57">
        <w:t xml:space="preserve">is not a substitute for the </w:t>
      </w:r>
      <w:r w:rsidR="008D4E32">
        <w:t xml:space="preserve">differentiated but </w:t>
      </w:r>
      <w:r w:rsidR="000A3A57" w:rsidRPr="000A3A57">
        <w:t xml:space="preserve">complementary </w:t>
      </w:r>
      <w:r w:rsidR="005F2ACF">
        <w:t>role</w:t>
      </w:r>
      <w:r w:rsidR="000A3A57" w:rsidRPr="000A3A57">
        <w:t xml:space="preserve"> of </w:t>
      </w:r>
      <w:r w:rsidR="008D4E32">
        <w:t>the</w:t>
      </w:r>
      <w:r w:rsidR="000A3A57" w:rsidRPr="000A3A57">
        <w:t xml:space="preserve"> </w:t>
      </w:r>
      <w:r w:rsidR="005F2ACF">
        <w:t xml:space="preserve">various </w:t>
      </w:r>
      <w:r w:rsidR="008D4E32">
        <w:t>regulators and the presence of State and T</w:t>
      </w:r>
      <w:r w:rsidR="000A3A57" w:rsidRPr="000A3A57">
        <w:t>erritory regulators in conciliat</w:t>
      </w:r>
      <w:r w:rsidR="000A3A57">
        <w:t xml:space="preserve">ion and local interventions is </w:t>
      </w:r>
      <w:r w:rsidR="000A3A57" w:rsidRPr="000A3A57">
        <w:t>critical for consumers.</w:t>
      </w:r>
    </w:p>
    <w:p w:rsidR="000A3A57" w:rsidRPr="00667958" w:rsidRDefault="000A3A57" w:rsidP="00667958">
      <w:pPr>
        <w:rPr>
          <w:rStyle w:val="Strong"/>
        </w:rPr>
      </w:pPr>
      <w:r w:rsidRPr="00667958">
        <w:rPr>
          <w:rStyle w:val="Strong"/>
        </w:rPr>
        <w:t xml:space="preserve">While the ACCC is an effective regulator </w:t>
      </w:r>
      <w:r w:rsidR="005F2ACF" w:rsidRPr="00667958">
        <w:rPr>
          <w:rStyle w:val="Strong"/>
        </w:rPr>
        <w:t>with a broad remit</w:t>
      </w:r>
      <w:r w:rsidRPr="00667958">
        <w:rPr>
          <w:rStyle w:val="Strong"/>
        </w:rPr>
        <w:t xml:space="preserve">, it is unable to increase activity in areas vacated (in whole or in part) by other regulators without significant opportunity cost.  </w:t>
      </w:r>
    </w:p>
    <w:p w:rsidR="00AF418D" w:rsidRDefault="00AF418D" w:rsidP="00A810AC">
      <w:r>
        <w:lastRenderedPageBreak/>
        <w:t xml:space="preserve">To continue to be effective, it is essential that at every level, the </w:t>
      </w:r>
      <w:r w:rsidR="000A3A57">
        <w:t xml:space="preserve">ACL </w:t>
      </w:r>
      <w:r>
        <w:t>regulators</w:t>
      </w:r>
      <w:r w:rsidR="000A3A57">
        <w:t xml:space="preserve"> and specialist regulators</w:t>
      </w:r>
      <w:r>
        <w:t>:</w:t>
      </w:r>
    </w:p>
    <w:p w:rsidR="00AF418D" w:rsidRDefault="00AF418D" w:rsidP="00240BEA">
      <w:pPr>
        <w:pStyle w:val="Bulletpoint"/>
      </w:pPr>
      <w:r>
        <w:t>are appropriately funded</w:t>
      </w:r>
    </w:p>
    <w:p w:rsidR="00C035FA" w:rsidRDefault="00AF418D" w:rsidP="00240BEA">
      <w:pPr>
        <w:pStyle w:val="Bulletpoint"/>
      </w:pPr>
      <w:r>
        <w:t xml:space="preserve">have the </w:t>
      </w:r>
      <w:r w:rsidR="00F22275">
        <w:t xml:space="preserve">graduated </w:t>
      </w:r>
      <w:r>
        <w:t xml:space="preserve">enforcement powers necessary to </w:t>
      </w:r>
      <w:r w:rsidR="00F22275">
        <w:t xml:space="preserve">proportionally and </w:t>
      </w:r>
      <w:r>
        <w:t>effectively enforce the law</w:t>
      </w:r>
    </w:p>
    <w:p w:rsidR="00C035FA" w:rsidRDefault="00C035FA" w:rsidP="00240BEA">
      <w:pPr>
        <w:pStyle w:val="Bulletpoint"/>
      </w:pPr>
      <w:r>
        <w:t>readily shar</w:t>
      </w:r>
      <w:r w:rsidR="005F2ACF">
        <w:t>e</w:t>
      </w:r>
      <w:r>
        <w:t xml:space="preserve"> information and</w:t>
      </w:r>
      <w:r w:rsidR="00057B72">
        <w:t xml:space="preserve"> collaborat</w:t>
      </w:r>
      <w:r w:rsidR="005F2ACF">
        <w:t>e</w:t>
      </w:r>
      <w:r w:rsidR="00057B72">
        <w:t xml:space="preserve"> and</w:t>
      </w:r>
    </w:p>
    <w:p w:rsidR="00AF418D" w:rsidRDefault="00C035FA" w:rsidP="00240BEA">
      <w:pPr>
        <w:pStyle w:val="Bulletpoint"/>
      </w:pPr>
      <w:proofErr w:type="gramStart"/>
      <w:r>
        <w:t>have</w:t>
      </w:r>
      <w:proofErr w:type="gramEnd"/>
      <w:r>
        <w:t xml:space="preserve"> an enduring culture of robust activity within their area of responsibility</w:t>
      </w:r>
      <w:r w:rsidR="00AF3A11">
        <w:t>.</w:t>
      </w:r>
    </w:p>
    <w:p w:rsidR="00E058F1" w:rsidRDefault="001F78D0" w:rsidP="00E058F1">
      <w:r w:rsidRPr="001B7CBA">
        <w:t>Under</w:t>
      </w:r>
      <w:r w:rsidR="00930680">
        <w:t>-</w:t>
      </w:r>
      <w:r w:rsidRPr="001B7CBA">
        <w:t xml:space="preserve">resourcing </w:t>
      </w:r>
      <w:r>
        <w:t xml:space="preserve">a </w:t>
      </w:r>
      <w:r w:rsidRPr="001B7CBA">
        <w:t>regulator</w:t>
      </w:r>
      <w:r>
        <w:t xml:space="preserve"> at any level in </w:t>
      </w:r>
      <w:r w:rsidR="00933205">
        <w:t>the multi-regulator model</w:t>
      </w:r>
      <w:r w:rsidRPr="001B7CBA">
        <w:t xml:space="preserve"> result</w:t>
      </w:r>
      <w:r>
        <w:t>s</w:t>
      </w:r>
      <w:r w:rsidRPr="001B7CBA">
        <w:t xml:space="preserve"> in gaps in </w:t>
      </w:r>
      <w:r>
        <w:t xml:space="preserve">the </w:t>
      </w:r>
      <w:r w:rsidRPr="001B7CBA">
        <w:t>consumer protection</w:t>
      </w:r>
      <w:r>
        <w:t xml:space="preserve"> regime that </w:t>
      </w:r>
      <w:r w:rsidR="00F22275">
        <w:t xml:space="preserve">other regulators are </w:t>
      </w:r>
      <w:r w:rsidR="00867F83">
        <w:t xml:space="preserve">often </w:t>
      </w:r>
      <w:r w:rsidR="00F22275">
        <w:t xml:space="preserve">unable to </w:t>
      </w:r>
      <w:r>
        <w:t xml:space="preserve">pick up. </w:t>
      </w:r>
      <w:r w:rsidR="00867F83">
        <w:t xml:space="preserve">The ACCC’s </w:t>
      </w:r>
      <w:r w:rsidR="00E058F1">
        <w:t xml:space="preserve">resources are currently fully utilised. </w:t>
      </w:r>
      <w:r>
        <w:t xml:space="preserve">For example, we are currently able to pursue an average of 30 litigations per year in response to all obligations set out in the </w:t>
      </w:r>
      <w:r w:rsidRPr="00240BEA">
        <w:rPr>
          <w:rStyle w:val="Emphasis"/>
        </w:rPr>
        <w:t>Competition and Consumer Act 2010</w:t>
      </w:r>
      <w:r>
        <w:t xml:space="preserve"> (the CCA), not just consumer protection. </w:t>
      </w:r>
      <w:r w:rsidR="00093C81">
        <w:t xml:space="preserve">We also address a considerable number of matters without resort to litigation, but even this leaves many </w:t>
      </w:r>
      <w:r w:rsidR="00867F83" w:rsidRPr="00867F83">
        <w:t xml:space="preserve">reports and complaints </w:t>
      </w:r>
      <w:r w:rsidR="005F2ACF">
        <w:t>to which</w:t>
      </w:r>
      <w:r w:rsidR="00093C81">
        <w:t xml:space="preserve"> the ACCC cannot </w:t>
      </w:r>
      <w:r w:rsidR="00867F83">
        <w:t>respond</w:t>
      </w:r>
      <w:r w:rsidR="00093C81">
        <w:t>.</w:t>
      </w:r>
      <w:r w:rsidR="005F2ACF">
        <w:t xml:space="preserve"> We regularly prioritise one matter over a number of others in circumstances where each is causing material detriment to consumers.</w:t>
      </w:r>
      <w:r w:rsidR="00093C81">
        <w:t xml:space="preserve"> </w:t>
      </w:r>
    </w:p>
    <w:p w:rsidR="00EB60E0" w:rsidRPr="00240BEA" w:rsidRDefault="00EB60E0" w:rsidP="00EB60E0">
      <w:pPr>
        <w:rPr>
          <w:rStyle w:val="Strong"/>
        </w:rPr>
      </w:pPr>
      <w:r w:rsidRPr="00240BEA">
        <w:rPr>
          <w:rStyle w:val="Strong"/>
        </w:rPr>
        <w:t xml:space="preserve">ACL regulators cannot replicate the focus and expertise that specialist regulators deliver. Where governments decide to dilute or remove specialist regulator capacity, ACL regulators will be unable to deliver consumer protection in the same way.  </w:t>
      </w:r>
    </w:p>
    <w:p w:rsidR="00EB60E0" w:rsidRDefault="00EB60E0" w:rsidP="00EB60E0">
      <w:r>
        <w:t>Parliaments have identified enhanced public risk or the need for particular expertise and established specialist regulators in several industries. It is not sustainable to remove or reduce those specialist regimes and expect the same level of attention and expertise from generalist regulators. While ACL regulators can and do provide strategic interventions in important matters and while the ACL provides an important role to assist with emerging practices, they are not substitutes for specialist regulators.</w:t>
      </w:r>
    </w:p>
    <w:p w:rsidR="00E55E94" w:rsidRDefault="00EB60E0" w:rsidP="00E058F1">
      <w:r>
        <w:t>For example,</w:t>
      </w:r>
      <w:r w:rsidRPr="00863A4E">
        <w:t xml:space="preserve"> specialist areas, such as electrical </w:t>
      </w:r>
      <w:r>
        <w:t xml:space="preserve">product </w:t>
      </w:r>
      <w:r w:rsidRPr="00863A4E">
        <w:t xml:space="preserve">safety, therapeutic goods, food safety and building product conformity, require expertise </w:t>
      </w:r>
      <w:r>
        <w:t xml:space="preserve">and ongoing focus </w:t>
      </w:r>
      <w:r w:rsidRPr="00863A4E">
        <w:t xml:space="preserve">that ACL regulators </w:t>
      </w:r>
      <w:r>
        <w:t>are not able to provide on an ongoing basis</w:t>
      </w:r>
      <w:r w:rsidRPr="00863A4E">
        <w:t>.</w:t>
      </w:r>
    </w:p>
    <w:p w:rsidR="00867F83" w:rsidRPr="00240BEA" w:rsidRDefault="00867F83" w:rsidP="00E058F1">
      <w:pPr>
        <w:rPr>
          <w:rStyle w:val="Strong"/>
        </w:rPr>
      </w:pPr>
      <w:r w:rsidRPr="00240BEA">
        <w:rPr>
          <w:rStyle w:val="Strong"/>
        </w:rPr>
        <w:t xml:space="preserve">It is important </w:t>
      </w:r>
      <w:r w:rsidR="005F2ACF" w:rsidRPr="00240BEA">
        <w:rPr>
          <w:rStyle w:val="Strong"/>
        </w:rPr>
        <w:t>that</w:t>
      </w:r>
      <w:r w:rsidRPr="00240BEA">
        <w:rPr>
          <w:rStyle w:val="Strong"/>
        </w:rPr>
        <w:t xml:space="preserve"> relevant regulators have the tools and culture to play their part in the complementary and coordinate</w:t>
      </w:r>
      <w:r w:rsidR="005F2ACF" w:rsidRPr="00240BEA">
        <w:rPr>
          <w:rStyle w:val="Strong"/>
        </w:rPr>
        <w:t>d</w:t>
      </w:r>
      <w:r w:rsidRPr="00240BEA">
        <w:rPr>
          <w:rStyle w:val="Strong"/>
        </w:rPr>
        <w:t xml:space="preserve"> enforcement model. </w:t>
      </w:r>
    </w:p>
    <w:p w:rsidR="009F450E" w:rsidRDefault="00030D8B" w:rsidP="00240BEA">
      <w:r>
        <w:t xml:space="preserve">We have </w:t>
      </w:r>
      <w:r w:rsidRPr="00030D8B">
        <w:t>a range of enforcement remedies</w:t>
      </w:r>
      <w:r>
        <w:t xml:space="preserve"> available to us</w:t>
      </w:r>
      <w:r w:rsidR="00251D67">
        <w:t xml:space="preserve">. We often seek </w:t>
      </w:r>
      <w:r w:rsidRPr="00030D8B">
        <w:t>court-based outcomes and court enforceable undertakings</w:t>
      </w:r>
      <w:r>
        <w:t xml:space="preserve"> </w:t>
      </w:r>
      <w:r w:rsidR="00251D67">
        <w:t xml:space="preserve">but we also </w:t>
      </w:r>
      <w:r w:rsidR="00FB4C84">
        <w:t xml:space="preserve">issue infringement notices, </w:t>
      </w:r>
      <w:r w:rsidR="00251D67">
        <w:t>undertake education and compliance campaigns and resolve matters administratively</w:t>
      </w:r>
      <w:r w:rsidRPr="00030D8B">
        <w:t>.</w:t>
      </w:r>
      <w:r>
        <w:t xml:space="preserve"> </w:t>
      </w:r>
      <w:r w:rsidR="009F450E">
        <w:t>W</w:t>
      </w:r>
      <w:r w:rsidR="009F450E" w:rsidRPr="00A91C0D">
        <w:t xml:space="preserve">e are conscious that the tools and remedies available </w:t>
      </w:r>
      <w:r w:rsidR="003F2A0D">
        <w:t xml:space="preserve">to investigate and resolve matters </w:t>
      </w:r>
      <w:r w:rsidR="009F450E" w:rsidRPr="00A91C0D">
        <w:t xml:space="preserve">vary among </w:t>
      </w:r>
      <w:r w:rsidR="003F2A0D">
        <w:t>jurisdictions</w:t>
      </w:r>
      <w:r w:rsidR="009F450E">
        <w:t xml:space="preserve">. </w:t>
      </w:r>
      <w:r w:rsidR="009F450E" w:rsidRPr="00A91C0D">
        <w:t xml:space="preserve">We </w:t>
      </w:r>
      <w:r w:rsidR="003F2A0D">
        <w:t xml:space="preserve">recognise there may be </w:t>
      </w:r>
      <w:r w:rsidR="009F450E" w:rsidRPr="00A91C0D">
        <w:t xml:space="preserve">legitimate policy </w:t>
      </w:r>
      <w:r w:rsidR="009F450E">
        <w:t>reasons</w:t>
      </w:r>
      <w:r w:rsidR="009F450E" w:rsidRPr="00A91C0D">
        <w:t xml:space="preserve"> for </w:t>
      </w:r>
      <w:r w:rsidR="003F2A0D">
        <w:t xml:space="preserve">variation. </w:t>
      </w:r>
      <w:r w:rsidR="009F450E" w:rsidRPr="00A91C0D">
        <w:t>However</w:t>
      </w:r>
      <w:r w:rsidR="003F2A0D">
        <w:t>,</w:t>
      </w:r>
      <w:r w:rsidR="009F450E" w:rsidRPr="00A91C0D">
        <w:t xml:space="preserve"> </w:t>
      </w:r>
      <w:r w:rsidR="003F2A0D">
        <w:t>t</w:t>
      </w:r>
      <w:r w:rsidR="009F450E" w:rsidRPr="00A91C0D">
        <w:t xml:space="preserve">he efficient operation of the multi-regulator model may be distorted if </w:t>
      </w:r>
      <w:r w:rsidR="009F450E">
        <w:t>limitations</w:t>
      </w:r>
      <w:r w:rsidR="009F450E" w:rsidRPr="00A91C0D">
        <w:t xml:space="preserve"> in tools and remedies </w:t>
      </w:r>
      <w:r w:rsidR="003F2A0D">
        <w:t xml:space="preserve">prevent </w:t>
      </w:r>
      <w:r w:rsidR="00F83CD4">
        <w:t>r</w:t>
      </w:r>
      <w:r w:rsidR="00E3608F">
        <w:t>egulators from engaging in proportionate, risk-based enforcement</w:t>
      </w:r>
      <w:r w:rsidR="009F450E" w:rsidRPr="00A91C0D">
        <w:t>.</w:t>
      </w:r>
    </w:p>
    <w:p w:rsidR="00AB48EF" w:rsidRPr="00863A4E" w:rsidRDefault="005F2ACF" w:rsidP="00240BEA">
      <w:r>
        <w:t>Strong enforcement actions are an important component of deterring unwanted conduct.</w:t>
      </w:r>
      <w:r w:rsidR="00E55E94">
        <w:t xml:space="preserve"> </w:t>
      </w:r>
      <w:r w:rsidR="001437C8">
        <w:t>A lack of resources</w:t>
      </w:r>
      <w:r w:rsidR="00927DF2">
        <w:t>, tools and remedies</w:t>
      </w:r>
      <w:r w:rsidR="00933205">
        <w:t>,</w:t>
      </w:r>
      <w:r w:rsidR="00927DF2">
        <w:t xml:space="preserve"> information sharing </w:t>
      </w:r>
      <w:r w:rsidR="00933205">
        <w:t xml:space="preserve">or collaborative </w:t>
      </w:r>
      <w:r w:rsidR="00927DF2">
        <w:t>mechanisms affects a regulator's culture.</w:t>
      </w:r>
      <w:r w:rsidR="00927DF2" w:rsidRPr="00CB32BB">
        <w:t xml:space="preserve"> In </w:t>
      </w:r>
      <w:r w:rsidR="00927DF2">
        <w:t xml:space="preserve">our </w:t>
      </w:r>
      <w:r w:rsidR="00927DF2" w:rsidRPr="00CB32BB">
        <w:t>experience</w:t>
      </w:r>
      <w:r w:rsidR="00927DF2">
        <w:t>,</w:t>
      </w:r>
      <w:r w:rsidR="00927DF2" w:rsidRPr="00CB32BB">
        <w:t xml:space="preserve"> a </w:t>
      </w:r>
      <w:r w:rsidR="00927DF2">
        <w:t xml:space="preserve">culture </w:t>
      </w:r>
      <w:r w:rsidR="00C1286B">
        <w:t xml:space="preserve">of </w:t>
      </w:r>
      <w:r w:rsidR="00DE13E1">
        <w:t xml:space="preserve">strong </w:t>
      </w:r>
      <w:r w:rsidR="00927DF2">
        <w:t xml:space="preserve">commitment to action </w:t>
      </w:r>
      <w:r w:rsidR="00927DF2" w:rsidRPr="00CB32BB">
        <w:t xml:space="preserve">requires staff and leadership </w:t>
      </w:r>
      <w:r w:rsidR="00927DF2">
        <w:t xml:space="preserve">with the skills and experience to confidently select </w:t>
      </w:r>
      <w:r w:rsidR="00927DF2" w:rsidRPr="00CB32BB">
        <w:t xml:space="preserve">the correct tool </w:t>
      </w:r>
      <w:r w:rsidR="00927DF2">
        <w:t>for</w:t>
      </w:r>
      <w:r w:rsidR="00927DF2" w:rsidRPr="00CB32BB">
        <w:t xml:space="preserve"> each situation</w:t>
      </w:r>
      <w:r w:rsidR="00F22275">
        <w:t>, accepting some risk and uncertainty</w:t>
      </w:r>
      <w:r w:rsidR="00927DF2" w:rsidRPr="00CB32BB">
        <w:t xml:space="preserve"> where necessary. If </w:t>
      </w:r>
      <w:r w:rsidR="00927DF2">
        <w:t xml:space="preserve">this </w:t>
      </w:r>
      <w:r w:rsidR="00927DF2" w:rsidRPr="00CB32BB">
        <w:t>culture is lacking</w:t>
      </w:r>
      <w:r w:rsidR="00057B72">
        <w:t>,</w:t>
      </w:r>
      <w:r w:rsidR="00927DF2" w:rsidRPr="00CB32BB">
        <w:t xml:space="preserve"> </w:t>
      </w:r>
      <w:r w:rsidR="00927DF2">
        <w:t xml:space="preserve">a regulator </w:t>
      </w:r>
      <w:r w:rsidR="00927DF2" w:rsidRPr="00CB32BB">
        <w:t>may be unwilling or unable to respond proportiona</w:t>
      </w:r>
      <w:r>
        <w:t>te</w:t>
      </w:r>
      <w:r w:rsidR="00927DF2" w:rsidRPr="00CB32BB">
        <w:t>l</w:t>
      </w:r>
      <w:r>
        <w:t>y</w:t>
      </w:r>
      <w:r w:rsidR="00927DF2" w:rsidRPr="00CB32BB">
        <w:t xml:space="preserve"> to matters based on </w:t>
      </w:r>
      <w:r w:rsidR="00927DF2" w:rsidRPr="00863A4E">
        <w:t>the risk they pose to consumers.</w:t>
      </w:r>
    </w:p>
    <w:p w:rsidR="00F22275" w:rsidRDefault="00F26BF9" w:rsidP="00240BEA">
      <w:r w:rsidRPr="00F26BF9">
        <w:t xml:space="preserve">The ‘one law multiple regulator’ model remains the most efficient and effective model for enforcing and administering the ACL. However, the growing expectation </w:t>
      </w:r>
      <w:r w:rsidR="005F2ACF">
        <w:t>of a nationally coordinated and consistent approach is unlikely to be fully realised</w:t>
      </w:r>
      <w:r w:rsidRPr="00F26BF9">
        <w:t xml:space="preserve"> without improvements</w:t>
      </w:r>
      <w:r w:rsidR="00D81CC8" w:rsidRPr="00863A4E">
        <w:t>.</w:t>
      </w:r>
      <w:r w:rsidR="00F22275">
        <w:t xml:space="preserve"> </w:t>
      </w:r>
      <w:r w:rsidR="00B420D5">
        <w:t>It</w:t>
      </w:r>
      <w:r w:rsidR="00F22275">
        <w:t xml:space="preserve"> is timely to ensure </w:t>
      </w:r>
      <w:r w:rsidR="00F22275" w:rsidRPr="00240BEA">
        <w:t xml:space="preserve">that </w:t>
      </w:r>
      <w:r w:rsidR="00524C4A" w:rsidRPr="00240BEA">
        <w:t xml:space="preserve">all </w:t>
      </w:r>
      <w:r w:rsidR="00614CA7" w:rsidRPr="00240BEA">
        <w:t xml:space="preserve">regulators’ </w:t>
      </w:r>
      <w:r w:rsidR="005F2ACF" w:rsidRPr="00240BEA">
        <w:t xml:space="preserve">have access to a </w:t>
      </w:r>
      <w:r w:rsidR="00F22275" w:rsidRPr="00240BEA">
        <w:t>well graduated</w:t>
      </w:r>
      <w:r w:rsidR="005F2ACF" w:rsidRPr="00240BEA">
        <w:t xml:space="preserve"> toolkit</w:t>
      </w:r>
      <w:r w:rsidR="00F22275" w:rsidRPr="00240BEA">
        <w:t xml:space="preserve"> </w:t>
      </w:r>
      <w:r w:rsidR="005F2ACF" w:rsidRPr="00240BEA">
        <w:t>that</w:t>
      </w:r>
      <w:r w:rsidR="00F22275" w:rsidRPr="00240BEA">
        <w:t xml:space="preserve"> can be applied </w:t>
      </w:r>
      <w:r w:rsidR="005F2ACF" w:rsidRPr="00240BEA">
        <w:t>effectively and efficiently according</w:t>
      </w:r>
      <w:r w:rsidR="005F2ACF">
        <w:t xml:space="preserve"> to the circumstances of particular conduct</w:t>
      </w:r>
      <w:r w:rsidR="00614CA7">
        <w:t>.</w:t>
      </w:r>
    </w:p>
    <w:p w:rsidR="005F2ACF" w:rsidRPr="00240BEA" w:rsidRDefault="005F2ACF" w:rsidP="005F2ACF">
      <w:pPr>
        <w:rPr>
          <w:rStyle w:val="Strong"/>
        </w:rPr>
      </w:pPr>
      <w:r w:rsidRPr="00240BEA">
        <w:rPr>
          <w:rStyle w:val="Strong"/>
        </w:rPr>
        <w:t xml:space="preserve">In a regulatory environment where intelligence is </w:t>
      </w:r>
      <w:proofErr w:type="gramStart"/>
      <w:r w:rsidRPr="00240BEA">
        <w:rPr>
          <w:rStyle w:val="Strong"/>
        </w:rPr>
        <w:t>key</w:t>
      </w:r>
      <w:proofErr w:type="gramEnd"/>
      <w:r w:rsidRPr="00240BEA">
        <w:rPr>
          <w:rStyle w:val="Strong"/>
        </w:rPr>
        <w:t xml:space="preserve"> to achieving strategic interventions in a coordinated manner, the funding of a national complaints database should be considered.</w:t>
      </w:r>
    </w:p>
    <w:p w:rsidR="00563FF5" w:rsidRPr="00240BEA" w:rsidRDefault="002A2477" w:rsidP="00240BEA">
      <w:r w:rsidRPr="002A2477">
        <w:t>ACL regulators currently invest significant resources into information sharing</w:t>
      </w:r>
      <w:r w:rsidR="00EB60E0">
        <w:t>. T</w:t>
      </w:r>
      <w:r w:rsidRPr="002A2477">
        <w:t>he establishment of a national database w</w:t>
      </w:r>
      <w:r w:rsidR="00EB60E0">
        <w:t>ould</w:t>
      </w:r>
      <w:r w:rsidRPr="002A2477">
        <w:t xml:space="preserve"> </w:t>
      </w:r>
      <w:r w:rsidR="00EB60E0">
        <w:t>protect against</w:t>
      </w:r>
      <w:r w:rsidRPr="002A2477">
        <w:t xml:space="preserve"> information siloing,</w:t>
      </w:r>
      <w:r w:rsidR="00EB60E0">
        <w:t xml:space="preserve"> help</w:t>
      </w:r>
      <w:r w:rsidRPr="002A2477">
        <w:t xml:space="preserve"> </w:t>
      </w:r>
      <w:r w:rsidR="00EB60E0" w:rsidRPr="002A2477">
        <w:t>identify issues of local and national significance</w:t>
      </w:r>
      <w:r w:rsidR="00EB60E0">
        <w:t xml:space="preserve"> and</w:t>
      </w:r>
      <w:r w:rsidR="00EB60E0" w:rsidRPr="002A2477">
        <w:t xml:space="preserve"> </w:t>
      </w:r>
      <w:r w:rsidRPr="002A2477">
        <w:t xml:space="preserve">improve operational and strategic </w:t>
      </w:r>
      <w:r w:rsidR="00EB60E0">
        <w:t xml:space="preserve">coordination and </w:t>
      </w:r>
      <w:r w:rsidRPr="002A2477">
        <w:t>decision-making across all jurisdictions</w:t>
      </w:r>
      <w:r w:rsidR="00E55E94">
        <w:t xml:space="preserve">. </w:t>
      </w:r>
      <w:r w:rsidR="00EB60E0">
        <w:t>R</w:t>
      </w:r>
      <w:r w:rsidRPr="002A2477">
        <w:t>esourcing constraints and questions surrounding the structure of the database need to be resolved</w:t>
      </w:r>
      <w:r w:rsidR="00EB60E0">
        <w:t xml:space="preserve"> if such a database is to be established</w:t>
      </w:r>
      <w:r w:rsidRPr="002A2477">
        <w:t>.</w:t>
      </w:r>
      <w:r w:rsidR="00563FF5">
        <w:br w:type="page"/>
      </w:r>
    </w:p>
    <w:p w:rsidR="00CD4F9B" w:rsidRPr="00C14C7F" w:rsidRDefault="00CD4F9B" w:rsidP="00C14C7F">
      <w:pPr>
        <w:pStyle w:val="Heading1"/>
      </w:pPr>
      <w:bookmarkStart w:id="5" w:name="_Toc460333804"/>
      <w:r w:rsidRPr="00C14C7F">
        <w:t>Introduction</w:t>
      </w:r>
      <w:bookmarkEnd w:id="5"/>
    </w:p>
    <w:p w:rsidR="006D1DED" w:rsidRPr="006D1DED" w:rsidRDefault="00BF0826" w:rsidP="00C14C7F">
      <w:r w:rsidRPr="008E61CC">
        <w:t xml:space="preserve">The ACCC </w:t>
      </w:r>
      <w:r w:rsidR="006D1DED" w:rsidRPr="008E61CC">
        <w:t>promotes competition and fair trade in markets to benefit consumers,</w:t>
      </w:r>
      <w:r w:rsidR="006D1DED" w:rsidRPr="006D1DED">
        <w:t xml:space="preserve"> businesses, and the community. Our primary responsibility is to ensure that individuals and businesses comply with Australian competition, fair trading, and consumer protection laws set out in the </w:t>
      </w:r>
      <w:r w:rsidR="000846DA">
        <w:rPr>
          <w:iCs/>
        </w:rPr>
        <w:t>CCA</w:t>
      </w:r>
      <w:r w:rsidR="00332CD7">
        <w:rPr>
          <w:iCs/>
        </w:rPr>
        <w:t>, which includes the ACL</w:t>
      </w:r>
      <w:r w:rsidR="00932EB0">
        <w:rPr>
          <w:iCs/>
        </w:rPr>
        <w:t>.</w:t>
      </w:r>
    </w:p>
    <w:p w:rsidR="00BC6021" w:rsidRDefault="00BC6021" w:rsidP="0005607D">
      <w:r>
        <w:rPr>
          <w:bCs/>
        </w:rPr>
        <w:t xml:space="preserve">The overarching objective of the </w:t>
      </w:r>
      <w:r w:rsidR="0001459B">
        <w:rPr>
          <w:bCs/>
        </w:rPr>
        <w:t>ACL</w:t>
      </w:r>
      <w:r>
        <w:rPr>
          <w:bCs/>
        </w:rPr>
        <w:t xml:space="preserve"> is to</w:t>
      </w:r>
      <w:r>
        <w:rPr>
          <w:b/>
          <w:bCs/>
        </w:rPr>
        <w:t xml:space="preserve"> </w:t>
      </w:r>
      <w:r w:rsidRPr="00BC6021">
        <w:rPr>
          <w:bCs/>
        </w:rPr>
        <w:t>improve consumer wellbeing through consumer empowerment and protection, to foster effective competition and to enable the confident participation of consumers in markets in which both consumers and suppliers trade fairly.</w:t>
      </w:r>
      <w:r>
        <w:rPr>
          <w:rStyle w:val="FootnoteReference"/>
          <w:bCs/>
        </w:rPr>
        <w:footnoteReference w:id="1"/>
      </w:r>
    </w:p>
    <w:p w:rsidR="00E228BE" w:rsidRPr="00E228BE" w:rsidRDefault="00BC6021" w:rsidP="00347349">
      <w:r>
        <w:t xml:space="preserve">To achieve this objective, </w:t>
      </w:r>
      <w:r w:rsidR="00932EB0">
        <w:t>the ACL</w:t>
      </w:r>
      <w:r w:rsidR="00932EB0" w:rsidRPr="00BC6021">
        <w:t xml:space="preserve"> </w:t>
      </w:r>
      <w:r>
        <w:t xml:space="preserve">provides for </w:t>
      </w:r>
      <w:r w:rsidRPr="00BC6021">
        <w:t>a number of</w:t>
      </w:r>
      <w:r>
        <w:t xml:space="preserve"> consumer protections, including:</w:t>
      </w:r>
    </w:p>
    <w:p w:rsidR="00E228BE" w:rsidRPr="002A1A8E" w:rsidRDefault="00E228BE" w:rsidP="00240BEA">
      <w:pPr>
        <w:pStyle w:val="Bulletpoint"/>
      </w:pPr>
      <w:r w:rsidRPr="002A1A8E">
        <w:t xml:space="preserve">a system of consumer protections and remedies in relation to defective goods and services (consumer guarantees) </w:t>
      </w:r>
    </w:p>
    <w:p w:rsidR="00E228BE" w:rsidRPr="002A1A8E" w:rsidRDefault="00E228BE" w:rsidP="00240BEA">
      <w:pPr>
        <w:pStyle w:val="Bulletpoint"/>
      </w:pPr>
      <w:r w:rsidRPr="002A1A8E">
        <w:t xml:space="preserve">unfair contract terms protections </w:t>
      </w:r>
    </w:p>
    <w:p w:rsidR="00E228BE" w:rsidRPr="002A1A8E" w:rsidRDefault="00E228BE" w:rsidP="00240BEA">
      <w:pPr>
        <w:pStyle w:val="Bulletpoint"/>
      </w:pPr>
      <w:r w:rsidRPr="002A1A8E">
        <w:t xml:space="preserve">a product safety </w:t>
      </w:r>
      <w:r w:rsidR="00BC6021" w:rsidRPr="002A1A8E">
        <w:t>regime</w:t>
      </w:r>
    </w:p>
    <w:p w:rsidR="00E228BE" w:rsidRPr="002A1A8E" w:rsidRDefault="00BC6021" w:rsidP="00240BEA">
      <w:pPr>
        <w:pStyle w:val="Bulletpoint"/>
      </w:pPr>
      <w:r w:rsidRPr="002A1A8E">
        <w:t>prohibitions against a number of false, misleading, unconscionable and unsolicited sales practices</w:t>
      </w:r>
    </w:p>
    <w:p w:rsidR="00E228BE" w:rsidRPr="002A1A8E" w:rsidRDefault="00E228BE" w:rsidP="00240BEA">
      <w:pPr>
        <w:pStyle w:val="Bulletpoint"/>
      </w:pPr>
      <w:proofErr w:type="gramStart"/>
      <w:r w:rsidRPr="002A1A8E">
        <w:t>enforcement</w:t>
      </w:r>
      <w:proofErr w:type="gramEnd"/>
      <w:r w:rsidRPr="002A1A8E">
        <w:t xml:space="preserve"> powers</w:t>
      </w:r>
      <w:r w:rsidR="00BC6021" w:rsidRPr="002A1A8E">
        <w:t xml:space="preserve"> for regulators.</w:t>
      </w:r>
    </w:p>
    <w:p w:rsidR="0005607D" w:rsidRDefault="00BC6021" w:rsidP="0005607D">
      <w:r>
        <w:t xml:space="preserve">Some of these protections are mirrored in the </w:t>
      </w:r>
      <w:r w:rsidRPr="00240BEA">
        <w:rPr>
          <w:rStyle w:val="Emphasis"/>
        </w:rPr>
        <w:t>Australian Securities and Investments Commission Act 2001</w:t>
      </w:r>
      <w:r>
        <w:t xml:space="preserve"> (ASIC Act) </w:t>
      </w:r>
      <w:r w:rsidRPr="000042DD">
        <w:t xml:space="preserve">in </w:t>
      </w:r>
      <w:r>
        <w:t xml:space="preserve">relation to financial </w:t>
      </w:r>
      <w:proofErr w:type="gramStart"/>
      <w:r>
        <w:t>services</w:t>
      </w:r>
      <w:r w:rsidR="000846DA">
        <w:t xml:space="preserve"> which</w:t>
      </w:r>
      <w:proofErr w:type="gramEnd"/>
      <w:r w:rsidR="000846DA">
        <w:t xml:space="preserve"> is </w:t>
      </w:r>
      <w:r>
        <w:t xml:space="preserve">administered by </w:t>
      </w:r>
      <w:r w:rsidR="0005607D" w:rsidRPr="000042DD">
        <w:t>ASIC</w:t>
      </w:r>
      <w:r w:rsidR="0005607D">
        <w:t>.</w:t>
      </w:r>
    </w:p>
    <w:p w:rsidR="0005607D" w:rsidRDefault="0005607D" w:rsidP="0005607D">
      <w:r>
        <w:t xml:space="preserve">The ACL is a cooperative </w:t>
      </w:r>
      <w:r w:rsidR="007B5635">
        <w:t>instrument</w:t>
      </w:r>
      <w:r>
        <w:t xml:space="preserve"> of the Australian Government and the States and Territories, through </w:t>
      </w:r>
      <w:r w:rsidR="004B0900">
        <w:t xml:space="preserve">the </w:t>
      </w:r>
      <w:r>
        <w:t>Council of Australian Governments (COAG). An Intergovernmental Agreement (IGA) signed by COAG underpins the ACL.</w:t>
      </w:r>
    </w:p>
    <w:p w:rsidR="0005607D" w:rsidRDefault="00933205" w:rsidP="004901E9">
      <w:pPr>
        <w:pStyle w:val="Heading2"/>
      </w:pPr>
      <w:bookmarkStart w:id="6" w:name="_Toc460333805"/>
      <w:r>
        <w:t xml:space="preserve">The Productivity Commission </w:t>
      </w:r>
      <w:r w:rsidR="00187A23">
        <w:t>Study</w:t>
      </w:r>
      <w:bookmarkEnd w:id="6"/>
    </w:p>
    <w:p w:rsidR="004B0900" w:rsidRDefault="004B0900" w:rsidP="00240BEA">
      <w:r w:rsidRPr="004B0900">
        <w:t xml:space="preserve">In 2015, Consumer Affairs Australia and New Zealand (CAANZ) began a review of the </w:t>
      </w:r>
      <w:r w:rsidR="00956ECD">
        <w:t xml:space="preserve">content of the </w:t>
      </w:r>
      <w:r w:rsidRPr="004B0900">
        <w:t>ACL</w:t>
      </w:r>
      <w:r w:rsidR="00112141">
        <w:t xml:space="preserve"> (ACL Review)</w:t>
      </w:r>
      <w:r w:rsidRPr="004B0900">
        <w:t xml:space="preserve">. </w:t>
      </w:r>
      <w:r w:rsidR="009162C1">
        <w:t xml:space="preserve">The </w:t>
      </w:r>
      <w:r w:rsidR="00112141">
        <w:t>ACL R</w:t>
      </w:r>
      <w:r w:rsidRPr="004B0900">
        <w:t xml:space="preserve">eview is </w:t>
      </w:r>
      <w:r w:rsidR="009162C1">
        <w:t xml:space="preserve">considering whether the </w:t>
      </w:r>
      <w:r w:rsidRPr="004B0900">
        <w:t>protection</w:t>
      </w:r>
      <w:r w:rsidR="009162C1">
        <w:t xml:space="preserve">s provided for </w:t>
      </w:r>
      <w:r>
        <w:t>in the ACL</w:t>
      </w:r>
      <w:r w:rsidR="009162C1">
        <w:t xml:space="preserve"> are adequate and fit for purpose.</w:t>
      </w:r>
      <w:r>
        <w:t xml:space="preserve"> It</w:t>
      </w:r>
      <w:r w:rsidRPr="004B0900">
        <w:t xml:space="preserve"> is scheduled to deliver an interim report in the second half of 2016 and a final report by March 2017.</w:t>
      </w:r>
    </w:p>
    <w:p w:rsidR="00956ECD" w:rsidRDefault="009162C1" w:rsidP="00240BEA">
      <w:r w:rsidRPr="009162C1">
        <w:t xml:space="preserve">In parallel with the CAANZ review, the Australian Government has asked the Productivity Commission to </w:t>
      </w:r>
      <w:r w:rsidR="000903D5">
        <w:t>consider whether</w:t>
      </w:r>
      <w:r w:rsidRPr="009162C1">
        <w:t xml:space="preserve"> the enforcement and administration arrangements supporting the ACL</w:t>
      </w:r>
      <w:r w:rsidR="000903D5">
        <w:t xml:space="preserve"> are fit for purpose</w:t>
      </w:r>
      <w:r w:rsidR="00725C1F">
        <w:t xml:space="preserve"> (</w:t>
      </w:r>
      <w:r w:rsidR="00187A23">
        <w:t>Study</w:t>
      </w:r>
      <w:r w:rsidR="00725C1F">
        <w:t>)</w:t>
      </w:r>
      <w:r w:rsidR="000903D5">
        <w:t>.</w:t>
      </w:r>
    </w:p>
    <w:p w:rsidR="00DC170A" w:rsidRDefault="00725C1F" w:rsidP="00240BEA">
      <w:r>
        <w:t xml:space="preserve">In making our submission </w:t>
      </w:r>
      <w:r w:rsidR="001F23AF">
        <w:t xml:space="preserve">we have sought to respond to each of the themes raised rather than </w:t>
      </w:r>
      <w:r w:rsidR="00376F56">
        <w:t>respond</w:t>
      </w:r>
      <w:r>
        <w:t xml:space="preserve"> directly to </w:t>
      </w:r>
      <w:r w:rsidR="001F23AF">
        <w:t xml:space="preserve">each </w:t>
      </w:r>
      <w:r>
        <w:t xml:space="preserve">question set out in the </w:t>
      </w:r>
      <w:r w:rsidR="00187A23">
        <w:t xml:space="preserve">Study </w:t>
      </w:r>
      <w:r>
        <w:t>issues paper.</w:t>
      </w:r>
    </w:p>
    <w:p w:rsidR="001F23AF" w:rsidRDefault="001F23AF">
      <w:r>
        <w:br w:type="page"/>
      </w:r>
    </w:p>
    <w:p w:rsidR="00346C70" w:rsidRDefault="009A280B" w:rsidP="006D1DED">
      <w:pPr>
        <w:pStyle w:val="Heading1"/>
      </w:pPr>
      <w:bookmarkStart w:id="7" w:name="_Toc460333806"/>
      <w:r>
        <w:t>Regulator</w:t>
      </w:r>
      <w:r w:rsidR="00CD4F9B">
        <w:t xml:space="preserve"> performance</w:t>
      </w:r>
      <w:bookmarkEnd w:id="7"/>
    </w:p>
    <w:p w:rsidR="002B2F0D" w:rsidRPr="00B82E12" w:rsidRDefault="002B2F0D" w:rsidP="00B82E12">
      <w:pPr>
        <w:pStyle w:val="Informationrequest"/>
        <w:rPr>
          <w:rStyle w:val="Strong"/>
        </w:rPr>
      </w:pPr>
      <w:r w:rsidRPr="00B82E12">
        <w:rPr>
          <w:rStyle w:val="Strong"/>
        </w:rPr>
        <w:t>Information request (page 9)</w:t>
      </w:r>
    </w:p>
    <w:p w:rsidR="002B2F0D" w:rsidRPr="00B82E12" w:rsidRDefault="002B2F0D" w:rsidP="00B82E12">
      <w:pPr>
        <w:pStyle w:val="Informationrequest"/>
      </w:pPr>
      <w:r w:rsidRPr="00B82E12">
        <w:t xml:space="preserve">To what extent do the ACL regulators achieve proportionate, risk-based enforcement in practice? Are changes to the current approaches of the ACL regulators warranted, and is there any evidence to show that such changes would lead to improved outcomes for consumers overall? Are the enforcement tools and remedies available to regulators sufficient to address risks to consumers? </w:t>
      </w:r>
    </w:p>
    <w:p w:rsidR="00661F18" w:rsidRDefault="00661F18" w:rsidP="006D1DED">
      <w:pPr>
        <w:pStyle w:val="Heading2"/>
      </w:pPr>
      <w:bookmarkStart w:id="8" w:name="_Toc460333807"/>
      <w:r>
        <w:t>Pr</w:t>
      </w:r>
      <w:r w:rsidRPr="00661F18">
        <w:t>oportionate, risk-based enforcement</w:t>
      </w:r>
      <w:r>
        <w:t xml:space="preserve"> of the ACL</w:t>
      </w:r>
      <w:bookmarkEnd w:id="8"/>
    </w:p>
    <w:p w:rsidR="003021BC" w:rsidRPr="00E058F1" w:rsidRDefault="008A1B6D" w:rsidP="00A335A3">
      <w:r>
        <w:t>We are</w:t>
      </w:r>
      <w:r w:rsidR="00A335A3" w:rsidRPr="00A91C0D">
        <w:t xml:space="preserve"> committed to achieving proportionate, risk-based enforcement of the ACL. </w:t>
      </w:r>
      <w:r>
        <w:t>We have limited resources and receive over 2</w:t>
      </w:r>
      <w:r w:rsidR="008F1A25">
        <w:t>5</w:t>
      </w:r>
      <w:r>
        <w:t>0</w:t>
      </w:r>
      <w:r w:rsidR="008F1A25">
        <w:t xml:space="preserve"> </w:t>
      </w:r>
      <w:r>
        <w:t>000 contacts each year.</w:t>
      </w:r>
      <w:r w:rsidR="008F1A25" w:rsidRPr="00A91C0D">
        <w:rPr>
          <w:rStyle w:val="FootnoteReference"/>
        </w:rPr>
        <w:footnoteReference w:id="2"/>
      </w:r>
      <w:r>
        <w:t xml:space="preserve"> </w:t>
      </w:r>
      <w:r w:rsidR="00661F18">
        <w:t>We apply a risk-based approach to our compliance and enforcement activity</w:t>
      </w:r>
      <w:r w:rsidR="00C11A04">
        <w:t xml:space="preserve"> and a set of priorities </w:t>
      </w:r>
      <w:r w:rsidR="00DC5026">
        <w:t xml:space="preserve">that </w:t>
      </w:r>
      <w:r w:rsidR="00C11A04">
        <w:t xml:space="preserve">are </w:t>
      </w:r>
      <w:r w:rsidR="003021BC">
        <w:t xml:space="preserve">set out in our </w:t>
      </w:r>
      <w:hyperlink r:id="rId11" w:history="1">
        <w:r w:rsidR="003021BC">
          <w:rPr>
            <w:rStyle w:val="Hyperlink"/>
          </w:rPr>
          <w:t>Compliance and Enforcement Policy</w:t>
        </w:r>
      </w:hyperlink>
      <w:r w:rsidR="003021BC">
        <w:rPr>
          <w:rStyle w:val="FootnoteReference"/>
        </w:rPr>
        <w:footnoteReference w:id="3"/>
      </w:r>
      <w:r w:rsidRPr="000846DA">
        <w:t xml:space="preserve"> in order to allocate our resources in the most appropriate and efficient way</w:t>
      </w:r>
      <w:r w:rsidR="003021BC">
        <w:t>.</w:t>
      </w:r>
    </w:p>
    <w:p w:rsidR="00A335A3" w:rsidRPr="00A91C0D" w:rsidRDefault="00661F18" w:rsidP="00A335A3">
      <w:r w:rsidRPr="003021BC">
        <w:t>The Australian Government</w:t>
      </w:r>
      <w:r w:rsidR="003021BC" w:rsidRPr="003021BC">
        <w:t>'s</w:t>
      </w:r>
      <w:r w:rsidRPr="003021BC">
        <w:t xml:space="preserve"> </w:t>
      </w:r>
      <w:hyperlink r:id="rId12" w:history="1">
        <w:r w:rsidR="003021BC" w:rsidRPr="003021BC">
          <w:rPr>
            <w:rStyle w:val="Hyperlink"/>
            <w:rFonts w:asciiTheme="minorHAnsi" w:hAnsiTheme="minorHAnsi" w:cstheme="minorHAnsi"/>
          </w:rPr>
          <w:t>Statement of Expectations</w:t>
        </w:r>
      </w:hyperlink>
      <w:r w:rsidR="00A335A3" w:rsidRPr="00A91C0D">
        <w:rPr>
          <w:rStyle w:val="FootnoteReference"/>
        </w:rPr>
        <w:footnoteReference w:id="4"/>
      </w:r>
      <w:r>
        <w:t xml:space="preserve"> for the ACCC sets out</w:t>
      </w:r>
      <w:r w:rsidR="009F2336">
        <w:t xml:space="preserve"> </w:t>
      </w:r>
      <w:r w:rsidR="00A335A3" w:rsidRPr="00A91C0D">
        <w:t>an expectation that the ACCC will act in accordance with regulatory best practice to maximise effectiveness, efficiency and transparency</w:t>
      </w:r>
      <w:r w:rsidR="009F2336">
        <w:t xml:space="preserve">, and minimise compliance costs. It also contains </w:t>
      </w:r>
      <w:r w:rsidR="00A335A3" w:rsidRPr="00A91C0D">
        <w:t>an expectation that the ACCC will adopt a risk-based approach to compliance and enforcement.</w:t>
      </w:r>
      <w:r w:rsidR="009F2336">
        <w:t xml:space="preserve"> </w:t>
      </w:r>
      <w:r w:rsidR="00A335A3" w:rsidRPr="00A91C0D">
        <w:t xml:space="preserve">In </w:t>
      </w:r>
      <w:r>
        <w:t>our</w:t>
      </w:r>
      <w:r w:rsidR="00A15983">
        <w:t xml:space="preserve"> </w:t>
      </w:r>
      <w:hyperlink r:id="rId13" w:history="1">
        <w:r w:rsidR="003021BC" w:rsidRPr="003021BC">
          <w:rPr>
            <w:rStyle w:val="Hyperlink"/>
          </w:rPr>
          <w:t>Statement of Intent</w:t>
        </w:r>
      </w:hyperlink>
      <w:r w:rsidR="003021BC" w:rsidRPr="00A91C0D">
        <w:rPr>
          <w:rStyle w:val="FootnoteReference"/>
        </w:rPr>
        <w:footnoteReference w:id="5"/>
      </w:r>
      <w:r w:rsidR="003021BC">
        <w:t xml:space="preserve"> </w:t>
      </w:r>
      <w:r w:rsidR="00A335A3" w:rsidRPr="003021BC">
        <w:t>in</w:t>
      </w:r>
      <w:r w:rsidR="00A335A3" w:rsidRPr="00A91C0D">
        <w:t xml:space="preserve"> response,</w:t>
      </w:r>
      <w:r>
        <w:t xml:space="preserve"> </w:t>
      </w:r>
      <w:r w:rsidR="003021BC">
        <w:t xml:space="preserve">we </w:t>
      </w:r>
      <w:r>
        <w:t>acknowledge the G</w:t>
      </w:r>
      <w:r w:rsidR="00A335A3" w:rsidRPr="00A91C0D">
        <w:t xml:space="preserve">overnment’s expectation of proportionate, risk-based enforcement and </w:t>
      </w:r>
      <w:r>
        <w:t>commit</w:t>
      </w:r>
      <w:r w:rsidR="00A335A3" w:rsidRPr="00A91C0D">
        <w:t xml:space="preserve"> to continuing to apply that approach in our</w:t>
      </w:r>
      <w:r w:rsidR="00A335A3">
        <w:t xml:space="preserve"> enforcement</w:t>
      </w:r>
      <w:r w:rsidR="00A335A3" w:rsidRPr="00A91C0D">
        <w:t xml:space="preserve"> activities.</w:t>
      </w:r>
    </w:p>
    <w:p w:rsidR="00A335A3" w:rsidRPr="00A91C0D" w:rsidRDefault="00E518D1" w:rsidP="006D1DED">
      <w:pPr>
        <w:pStyle w:val="Heading3"/>
      </w:pPr>
      <w:bookmarkStart w:id="9" w:name="_Toc460333808"/>
      <w:r>
        <w:t xml:space="preserve">Our </w:t>
      </w:r>
      <w:r w:rsidR="00A335A3" w:rsidRPr="00A91C0D">
        <w:t>Compliance and Enforcement Policy</w:t>
      </w:r>
      <w:bookmarkEnd w:id="9"/>
    </w:p>
    <w:p w:rsidR="00A073EC" w:rsidRDefault="00A073EC" w:rsidP="00141063">
      <w:r>
        <w:t xml:space="preserve">Each year we publish an updated </w:t>
      </w:r>
      <w:r w:rsidR="00E518D1" w:rsidRPr="000846DA">
        <w:t>Compliance and Enforcement Policy</w:t>
      </w:r>
      <w:r>
        <w:t xml:space="preserve"> </w:t>
      </w:r>
      <w:r w:rsidR="00E518D1">
        <w:t xml:space="preserve">that </w:t>
      </w:r>
      <w:r w:rsidRPr="00A073EC">
        <w:t xml:space="preserve">sets </w:t>
      </w:r>
      <w:r w:rsidR="00483A0A">
        <w:t>how we prioritise our matters and exercise our enforcement discretion.</w:t>
      </w:r>
    </w:p>
    <w:p w:rsidR="00483A0A" w:rsidRDefault="00483A0A" w:rsidP="00141063">
      <w:r>
        <w:t xml:space="preserve">The policy is governed by the following guiding principles: </w:t>
      </w:r>
    </w:p>
    <w:p w:rsidR="00C06B13" w:rsidRDefault="00483A0A" w:rsidP="00240BEA">
      <w:pPr>
        <w:pStyle w:val="Bulletpoint"/>
      </w:pPr>
      <w:r w:rsidRPr="00240BEA">
        <w:rPr>
          <w:rStyle w:val="Strong"/>
        </w:rPr>
        <w:t>Transparency</w:t>
      </w:r>
      <w:r w:rsidR="00C06B13">
        <w:t>: this has two aspects:</w:t>
      </w:r>
    </w:p>
    <w:p w:rsidR="00C06B13" w:rsidRPr="00931C4B" w:rsidRDefault="00483A0A" w:rsidP="00931C4B">
      <w:pPr>
        <w:pStyle w:val="Bulletpoint2"/>
      </w:pPr>
      <w:r w:rsidRPr="00931C4B">
        <w:t>our decision-making takes place within rigorous corporate governance processes and is able to be reviewed by a range of agencies, including the Commonwealth Ombudsman and the cour</w:t>
      </w:r>
      <w:r w:rsidR="00C06B13" w:rsidRPr="00931C4B">
        <w:t>ts</w:t>
      </w:r>
    </w:p>
    <w:p w:rsidR="00483A0A" w:rsidRDefault="00483A0A" w:rsidP="00931C4B">
      <w:pPr>
        <w:pStyle w:val="Bulletpoint2"/>
      </w:pPr>
      <w:proofErr w:type="gramStart"/>
      <w:r w:rsidRPr="00931C4B">
        <w:t>we</w:t>
      </w:r>
      <w:proofErr w:type="gramEnd"/>
      <w:r w:rsidRPr="00931C4B">
        <w:t xml:space="preserve"> do not do</w:t>
      </w:r>
      <w:r w:rsidRPr="00240BEA">
        <w:t xml:space="preserve"> private deals—every enforcement matter that is dealt with through litigation or formal resolution</w:t>
      </w:r>
      <w:r>
        <w:t xml:space="preserve"> is made public.</w:t>
      </w:r>
    </w:p>
    <w:p w:rsidR="00483A0A" w:rsidRDefault="00483A0A" w:rsidP="00240BEA">
      <w:pPr>
        <w:pStyle w:val="Bulletpoint"/>
      </w:pPr>
      <w:r w:rsidRPr="00240BEA">
        <w:rPr>
          <w:rStyle w:val="Strong"/>
        </w:rPr>
        <w:t>Confidentiality</w:t>
      </w:r>
      <w:r>
        <w:t>: in general, investigations are conducted confidentially and we do not comment on matters we may or may not be investigating; however, we may make a statement about an investigation where a matter is already in the public domain and we consider it to be in the public interest to do so.</w:t>
      </w:r>
    </w:p>
    <w:p w:rsidR="00483A0A" w:rsidRDefault="00483A0A" w:rsidP="00240BEA">
      <w:pPr>
        <w:pStyle w:val="Bulletpoint"/>
      </w:pPr>
      <w:r w:rsidRPr="00240BEA">
        <w:rPr>
          <w:rStyle w:val="Strong"/>
        </w:rPr>
        <w:t>Timeliness</w:t>
      </w:r>
      <w:r>
        <w:t>: the investigative process and the resolution of enforcement matters are conducted as efficiently as possible to avoid costly delays and business uncertainty.</w:t>
      </w:r>
    </w:p>
    <w:p w:rsidR="00483A0A" w:rsidRDefault="00483A0A" w:rsidP="00240BEA">
      <w:pPr>
        <w:pStyle w:val="Bulletpoint"/>
      </w:pPr>
      <w:r w:rsidRPr="00240BEA">
        <w:rPr>
          <w:rStyle w:val="Strong"/>
        </w:rPr>
        <w:t>Consistency</w:t>
      </w:r>
      <w:r>
        <w:t xml:space="preserve">: we </w:t>
      </w:r>
      <w:r w:rsidR="00524C4A">
        <w:t xml:space="preserve">do </w:t>
      </w:r>
      <w:r>
        <w:t>not make ad hoc decisions and we set out our priorities and approach clearly to give business certainty.</w:t>
      </w:r>
    </w:p>
    <w:p w:rsidR="00483A0A" w:rsidRDefault="00483A0A" w:rsidP="00240BEA">
      <w:pPr>
        <w:pStyle w:val="Bulletpoint"/>
      </w:pPr>
      <w:r w:rsidRPr="00240BEA">
        <w:rPr>
          <w:rStyle w:val="Strong"/>
        </w:rPr>
        <w:t>Fairness</w:t>
      </w:r>
      <w:r>
        <w:t>: we seek to strike the right balance between voluntary compliance and enforcement while responding to many competing interests.</w:t>
      </w:r>
    </w:p>
    <w:p w:rsidR="008871F4" w:rsidRDefault="00483A0A" w:rsidP="00240BEA">
      <w:r>
        <w:t>We</w:t>
      </w:r>
      <w:r w:rsidR="00A335A3" w:rsidRPr="00A91C0D">
        <w:t xml:space="preserve"> </w:t>
      </w:r>
      <w:r>
        <w:t>receive</w:t>
      </w:r>
      <w:r w:rsidR="008F1A25">
        <w:t>d</w:t>
      </w:r>
      <w:r>
        <w:t xml:space="preserve"> over </w:t>
      </w:r>
      <w:r w:rsidR="00A335A3" w:rsidRPr="00A91C0D">
        <w:t xml:space="preserve">250 000 contacts </w:t>
      </w:r>
      <w:r w:rsidR="008F1A25">
        <w:t>last financial</w:t>
      </w:r>
      <w:r w:rsidR="008F1A25" w:rsidRPr="00A91C0D">
        <w:t xml:space="preserve"> </w:t>
      </w:r>
      <w:r w:rsidR="00A335A3" w:rsidRPr="00A91C0D">
        <w:t xml:space="preserve">year. </w:t>
      </w:r>
      <w:r>
        <w:t xml:space="preserve">We </w:t>
      </w:r>
      <w:r w:rsidR="00263831">
        <w:t xml:space="preserve">have limited resources and </w:t>
      </w:r>
      <w:r>
        <w:t xml:space="preserve">cannot pursue </w:t>
      </w:r>
      <w:r w:rsidR="00263831">
        <w:t>every issue we would like to see addressed</w:t>
      </w:r>
      <w:r>
        <w:t xml:space="preserve">. </w:t>
      </w:r>
      <w:r w:rsidR="00A335A3" w:rsidRPr="00A91C0D">
        <w:t>We have a responsibility to use our limited resources in</w:t>
      </w:r>
      <w:r w:rsidR="00E31492">
        <w:t xml:space="preserve"> the most effective way we can.</w:t>
      </w:r>
      <w:r w:rsidR="00327A54">
        <w:t xml:space="preserve"> </w:t>
      </w:r>
      <w:r w:rsidR="00E31492">
        <w:t xml:space="preserve">When considering how to make the most effective use of our </w:t>
      </w:r>
      <w:r w:rsidR="00263831">
        <w:t xml:space="preserve">limited </w:t>
      </w:r>
      <w:r w:rsidR="00E31492">
        <w:t xml:space="preserve">resources, </w:t>
      </w:r>
      <w:r w:rsidR="008871F4">
        <w:t>we regularly</w:t>
      </w:r>
      <w:r w:rsidR="008871F4" w:rsidRPr="00A91C0D">
        <w:t xml:space="preserve"> have to choose between matters</w:t>
      </w:r>
      <w:r w:rsidR="008871F4">
        <w:t xml:space="preserve"> that are likely to result in material </w:t>
      </w:r>
      <w:r w:rsidR="008871F4" w:rsidRPr="00A91C0D">
        <w:t>consume</w:t>
      </w:r>
      <w:r w:rsidR="008871F4">
        <w:t>r detriment and progress one over another.</w:t>
      </w:r>
    </w:p>
    <w:p w:rsidR="00B80A3E" w:rsidRDefault="00263831" w:rsidP="00240BEA">
      <w:r>
        <w:t>Our</w:t>
      </w:r>
      <w:r w:rsidRPr="00A91C0D">
        <w:t xml:space="preserve"> </w:t>
      </w:r>
      <w:r w:rsidR="008871F4" w:rsidRPr="000846DA">
        <w:t>Compliance and Enforcement Policy</w:t>
      </w:r>
      <w:r w:rsidR="008871F4">
        <w:t xml:space="preserve"> </w:t>
      </w:r>
      <w:r w:rsidR="00A335A3" w:rsidRPr="00A91C0D">
        <w:t xml:space="preserve">is used to </w:t>
      </w:r>
      <w:r w:rsidR="008871F4">
        <w:t xml:space="preserve">prioritise matters and select the appropriate </w:t>
      </w:r>
      <w:r w:rsidR="006C53C7">
        <w:t>response</w:t>
      </w:r>
      <w:r w:rsidR="008871F4">
        <w:t xml:space="preserve"> </w:t>
      </w:r>
      <w:r w:rsidR="006C53C7">
        <w:t xml:space="preserve">to </w:t>
      </w:r>
      <w:r w:rsidR="008871F4">
        <w:t>each matter</w:t>
      </w:r>
      <w:r w:rsidR="00B80A3E">
        <w:t>.</w:t>
      </w:r>
      <w:r w:rsidR="00327A54" w:rsidRPr="00327A54">
        <w:t xml:space="preserve"> </w:t>
      </w:r>
      <w:r w:rsidR="008871F4">
        <w:t xml:space="preserve">Often </w:t>
      </w:r>
      <w:r w:rsidR="00327A54">
        <w:t xml:space="preserve">the most appropriate use of our resources </w:t>
      </w:r>
      <w:r w:rsidR="008871F4">
        <w:t xml:space="preserve">is </w:t>
      </w:r>
      <w:r w:rsidR="00B97F55" w:rsidRPr="00B97F55">
        <w:t>encouraging compliance with the law by educating consumers and businesses about their rights and responsibilities</w:t>
      </w:r>
      <w:r w:rsidR="00327A54">
        <w:t>.</w:t>
      </w:r>
      <w:r w:rsidR="00D66D0F">
        <w:t xml:space="preserve"> For </w:t>
      </w:r>
      <w:r w:rsidR="008871F4">
        <w:t xml:space="preserve">some </w:t>
      </w:r>
      <w:r w:rsidR="00D66D0F">
        <w:t xml:space="preserve">matters an enforcement </w:t>
      </w:r>
      <w:r w:rsidR="008871F4">
        <w:t xml:space="preserve">response is </w:t>
      </w:r>
      <w:r w:rsidR="00D66D0F">
        <w:t>warranted</w:t>
      </w:r>
      <w:r w:rsidR="008871F4">
        <w:t>.</w:t>
      </w:r>
      <w:r w:rsidR="00D66D0F">
        <w:t xml:space="preserve"> </w:t>
      </w:r>
      <w:r w:rsidR="003853E0">
        <w:t xml:space="preserve">Our enforcement responses are also tailored to each matter and </w:t>
      </w:r>
      <w:r w:rsidR="00D66D0F">
        <w:t>can range from administrative resolution to institution of court proceedings.</w:t>
      </w:r>
    </w:p>
    <w:p w:rsidR="00A335A3" w:rsidRPr="00A91C0D" w:rsidRDefault="00A335A3" w:rsidP="00240BEA">
      <w:r w:rsidRPr="00A91C0D">
        <w:t xml:space="preserve">The method by which we prioritise matters is set out in detail within the </w:t>
      </w:r>
      <w:r w:rsidR="003853E0" w:rsidRPr="000846DA">
        <w:t>Compliance and Enforcement Policy</w:t>
      </w:r>
      <w:r w:rsidRPr="00A91C0D">
        <w:t>, but two key features are:</w:t>
      </w:r>
    </w:p>
    <w:p w:rsidR="00A335A3" w:rsidRPr="00B82E12" w:rsidRDefault="00A335A3" w:rsidP="00B82E12">
      <w:pPr>
        <w:pStyle w:val="Bulletpoint"/>
      </w:pPr>
      <w:r w:rsidRPr="00240BEA">
        <w:t>a series of priority factors (indicators of matters that</w:t>
      </w:r>
      <w:r w:rsidR="00E819DE" w:rsidRPr="00240BEA">
        <w:t xml:space="preserve"> will, or have the potential to, </w:t>
      </w:r>
      <w:r w:rsidRPr="00240BEA">
        <w:t>result in wide</w:t>
      </w:r>
      <w:r w:rsidR="00A501D4" w:rsidRPr="00240BEA">
        <w:t xml:space="preserve">spread </w:t>
      </w:r>
      <w:r w:rsidR="00A501D4" w:rsidRPr="00B82E12">
        <w:t>consumer detriment</w:t>
      </w:r>
      <w:r w:rsidR="003853E0" w:rsidRPr="00B82E12">
        <w:t xml:space="preserve"> and therefore we will prioritise</w:t>
      </w:r>
      <w:r w:rsidR="002A1A8E" w:rsidRPr="00B82E12">
        <w:t xml:space="preserve"> them</w:t>
      </w:r>
      <w:r w:rsidR="002B4FF7" w:rsidRPr="00B82E12">
        <w:t xml:space="preserve"> whether or not the conduct occurs in a priority area</w:t>
      </w:r>
      <w:r w:rsidR="00A501D4" w:rsidRPr="00B82E12">
        <w:t>) and</w:t>
      </w:r>
    </w:p>
    <w:p w:rsidR="002A1A8E" w:rsidRPr="00240BEA" w:rsidRDefault="00A335A3" w:rsidP="00B82E12">
      <w:pPr>
        <w:pStyle w:val="Bulletpoint"/>
      </w:pPr>
      <w:proofErr w:type="gramStart"/>
      <w:r w:rsidRPr="00B82E12">
        <w:t>a</w:t>
      </w:r>
      <w:proofErr w:type="gramEnd"/>
      <w:r w:rsidRPr="00B82E12">
        <w:t xml:space="preserve"> series of priority areas</w:t>
      </w:r>
      <w:r w:rsidRPr="00240BEA">
        <w:t xml:space="preserve"> (areas of the economy </w:t>
      </w:r>
      <w:r w:rsidR="003853E0" w:rsidRPr="00240BEA">
        <w:t>in which we are taking a more detailed interest</w:t>
      </w:r>
      <w:r w:rsidRPr="00240BEA">
        <w:t xml:space="preserve">). These priority areas are </w:t>
      </w:r>
      <w:r w:rsidR="00846DC5" w:rsidRPr="00240BEA">
        <w:t xml:space="preserve">reconsidered </w:t>
      </w:r>
      <w:r w:rsidR="003853E0" w:rsidRPr="00240BEA">
        <w:t>annually</w:t>
      </w:r>
      <w:r w:rsidRPr="00240BEA">
        <w:t>.</w:t>
      </w:r>
      <w:r w:rsidR="00E819DE" w:rsidRPr="00240BEA">
        <w:t xml:space="preserve"> </w:t>
      </w:r>
      <w:r w:rsidR="002B4FF7" w:rsidRPr="00240BEA">
        <w:t xml:space="preserve">This year's </w:t>
      </w:r>
      <w:r w:rsidR="00E819DE" w:rsidRPr="00240BEA">
        <w:t>priority areas incl</w:t>
      </w:r>
      <w:r w:rsidR="002A1A8E" w:rsidRPr="00240BEA">
        <w:t>ude:</w:t>
      </w:r>
    </w:p>
    <w:p w:rsidR="002A1A8E" w:rsidRDefault="00E819DE" w:rsidP="00240BEA">
      <w:pPr>
        <w:pStyle w:val="Bulletpoint2"/>
      </w:pPr>
      <w:r>
        <w:t xml:space="preserve">competition and consumer issues in the agriculture and in the health and medical </w:t>
      </w:r>
      <w:r w:rsidR="002A1A8E">
        <w:t>sectors</w:t>
      </w:r>
    </w:p>
    <w:p w:rsidR="002A1A8E" w:rsidRDefault="00E819DE" w:rsidP="00240BEA">
      <w:pPr>
        <w:pStyle w:val="Bulletpoint2"/>
      </w:pPr>
      <w:r>
        <w:t>consumer guarantees, with a focus on representations made by large retailers about express and extended warranties</w:t>
      </w:r>
      <w:r w:rsidR="002A1A8E">
        <w:t xml:space="preserve"> and</w:t>
      </w:r>
    </w:p>
    <w:p w:rsidR="00E819DE" w:rsidRDefault="00583B4D" w:rsidP="00240BEA">
      <w:pPr>
        <w:pStyle w:val="Bulletpoint2"/>
      </w:pPr>
      <w:proofErr w:type="gramStart"/>
      <w:r w:rsidRPr="00583B4D">
        <w:t>the</w:t>
      </w:r>
      <w:proofErr w:type="gramEnd"/>
      <w:r w:rsidRPr="00583B4D">
        <w:t xml:space="preserve"> effectiveness of action taken by suppliers to recall unsafe consumer products</w:t>
      </w:r>
      <w:r w:rsidR="00E819DE">
        <w:t>.</w:t>
      </w:r>
    </w:p>
    <w:p w:rsidR="00A335A3" w:rsidRDefault="00A335A3" w:rsidP="00240BEA">
      <w:r w:rsidRPr="00A91C0D">
        <w:t xml:space="preserve">If we investigate a matter and </w:t>
      </w:r>
      <w:r w:rsidR="002A1A8E">
        <w:t>consider</w:t>
      </w:r>
      <w:r w:rsidRPr="00A91C0D">
        <w:t xml:space="preserve"> enforcement action is warranted the </w:t>
      </w:r>
      <w:r w:rsidR="002A1A8E" w:rsidRPr="000846DA">
        <w:t>Compliance and Enforcement Policy</w:t>
      </w:r>
      <w:r w:rsidR="002A1A8E">
        <w:t xml:space="preserve"> </w:t>
      </w:r>
      <w:r w:rsidRPr="00A91C0D">
        <w:t xml:space="preserve">sets out </w:t>
      </w:r>
      <w:r w:rsidR="002A1A8E">
        <w:t xml:space="preserve">the </w:t>
      </w:r>
      <w:r w:rsidRPr="00A91C0D">
        <w:t>flexible and graduated set of enforcement tools</w:t>
      </w:r>
      <w:r w:rsidR="002A1A8E">
        <w:t xml:space="preserve"> we use</w:t>
      </w:r>
      <w:r w:rsidRPr="00A91C0D">
        <w:t xml:space="preserve">. These range from educational material or warning letters, through </w:t>
      </w:r>
      <w:r w:rsidR="00E819DE">
        <w:t xml:space="preserve">to </w:t>
      </w:r>
      <w:r w:rsidRPr="00A91C0D">
        <w:t>administrative resolutions,</w:t>
      </w:r>
      <w:r w:rsidR="00E819DE">
        <w:t xml:space="preserve"> issuing of</w:t>
      </w:r>
      <w:r w:rsidRPr="00A91C0D">
        <w:t xml:space="preserve"> infringement notices, </w:t>
      </w:r>
      <w:r w:rsidR="00E819DE">
        <w:t xml:space="preserve">accepting </w:t>
      </w:r>
      <w:r w:rsidR="00FD1820">
        <w:t xml:space="preserve">court </w:t>
      </w:r>
      <w:r w:rsidRPr="00A91C0D">
        <w:t xml:space="preserve">enforceable undertakings and in some cases </w:t>
      </w:r>
      <w:r w:rsidR="00774447">
        <w:t>instituting court proceedings</w:t>
      </w:r>
      <w:r w:rsidRPr="00A91C0D">
        <w:t xml:space="preserve">. This </w:t>
      </w:r>
      <w:r w:rsidR="002A1A8E">
        <w:t xml:space="preserve">broad suite of </w:t>
      </w:r>
      <w:r w:rsidRPr="00A91C0D">
        <w:t xml:space="preserve">enforcement tools allows us to select the right tool for the job </w:t>
      </w:r>
      <w:r w:rsidR="002B4FF7">
        <w:t xml:space="preserve">and </w:t>
      </w:r>
      <w:r w:rsidRPr="00A91C0D">
        <w:t>obtain a proportionate enforcement outcome that mitigates consumer harm.</w:t>
      </w:r>
    </w:p>
    <w:p w:rsidR="00211900" w:rsidRDefault="00211900" w:rsidP="00240BEA">
      <w:r>
        <w:t xml:space="preserve">Decisions to </w:t>
      </w:r>
      <w:r w:rsidR="00385AC6">
        <w:t xml:space="preserve">initiate </w:t>
      </w:r>
      <w:r>
        <w:t xml:space="preserve">compliance projects, use enforcement tools or commence litigation are undertaken following an analysis of the conduct, the level of detriment which will arise or has arisen and the outcome that can be achieved. In assessing the risk, one of our key considerations is the impact </w:t>
      </w:r>
      <w:r w:rsidR="00043099">
        <w:t xml:space="preserve">on </w:t>
      </w:r>
      <w:r>
        <w:t xml:space="preserve">consumers and the market if we do not intervene. </w:t>
      </w:r>
      <w:r w:rsidR="008568AC">
        <w:t>This ensures that o</w:t>
      </w:r>
      <w:r>
        <w:t>ur decision on the tools used and the level of intervention is a proportionate response to the conduct and the consumer harm.</w:t>
      </w:r>
    </w:p>
    <w:p w:rsidR="00A335A3" w:rsidRPr="00A91C0D" w:rsidRDefault="00A335A3" w:rsidP="00240BEA">
      <w:r w:rsidRPr="00A91C0D">
        <w:t xml:space="preserve">The </w:t>
      </w:r>
      <w:r w:rsidR="002B4FF7" w:rsidRPr="000846DA">
        <w:t>Compliance and Enforcement Policy</w:t>
      </w:r>
      <w:r w:rsidR="002B4FF7">
        <w:t xml:space="preserve"> </w:t>
      </w:r>
      <w:r w:rsidRPr="00A91C0D">
        <w:t>is reviewed and updated annually as part of our Strategic Review process</w:t>
      </w:r>
      <w:r w:rsidR="002B4FF7">
        <w:t>.</w:t>
      </w:r>
      <w:r w:rsidRPr="00A91C0D">
        <w:t xml:space="preserve"> This is a substantial undertaking</w:t>
      </w:r>
      <w:r w:rsidR="002B4FF7">
        <w:t xml:space="preserve"> that </w:t>
      </w:r>
      <w:r w:rsidRPr="00A91C0D">
        <w:t>includes:</w:t>
      </w:r>
    </w:p>
    <w:p w:rsidR="00A335A3" w:rsidRPr="00240BEA" w:rsidRDefault="00A335A3" w:rsidP="00240BEA">
      <w:pPr>
        <w:pStyle w:val="Bulletpoint"/>
      </w:pPr>
      <w:r w:rsidRPr="00240BEA">
        <w:t>extensive consultation with</w:t>
      </w:r>
      <w:r w:rsidR="00A82F58" w:rsidRPr="00240BEA">
        <w:t xml:space="preserve"> ACCC staff,</w:t>
      </w:r>
      <w:r w:rsidRPr="00240BEA">
        <w:t xml:space="preserve"> con</w:t>
      </w:r>
      <w:r w:rsidR="00A82F58" w:rsidRPr="00240BEA">
        <w:t>sumer and industry stakeholders,</w:t>
      </w:r>
      <w:r w:rsidRPr="00240BEA">
        <w:t xml:space="preserve"> other ACL agencies</w:t>
      </w:r>
      <w:r w:rsidR="00A82F58" w:rsidRPr="00240BEA">
        <w:t xml:space="preserve">, other regulatory agencies, </w:t>
      </w:r>
      <w:r w:rsidRPr="00240BEA">
        <w:t>ombudsmen</w:t>
      </w:r>
      <w:r w:rsidR="00A82F58" w:rsidRPr="00240BEA">
        <w:t>,</w:t>
      </w:r>
      <w:r w:rsidRPr="00240BEA">
        <w:t xml:space="preserve"> and relevant government departments</w:t>
      </w:r>
    </w:p>
    <w:p w:rsidR="00A335A3" w:rsidRPr="00240BEA" w:rsidRDefault="00A335A3" w:rsidP="00240BEA">
      <w:pPr>
        <w:pStyle w:val="Bulletpoint"/>
      </w:pPr>
      <w:r w:rsidRPr="00240BEA">
        <w:t>review of the priorities of our international counterparts</w:t>
      </w:r>
    </w:p>
    <w:p w:rsidR="00A335A3" w:rsidRPr="00240BEA" w:rsidRDefault="00A335A3" w:rsidP="00240BEA">
      <w:pPr>
        <w:pStyle w:val="Bulletpoint"/>
      </w:pPr>
      <w:r w:rsidRPr="00240BEA">
        <w:t>analysis of ACCC complaint statistics and trends</w:t>
      </w:r>
    </w:p>
    <w:p w:rsidR="00A335A3" w:rsidRPr="00A91C0D" w:rsidRDefault="00A335A3" w:rsidP="00240BEA">
      <w:pPr>
        <w:pStyle w:val="Bulletpoint"/>
      </w:pPr>
      <w:proofErr w:type="gramStart"/>
      <w:r w:rsidRPr="00240BEA">
        <w:t>a</w:t>
      </w:r>
      <w:proofErr w:type="gramEnd"/>
      <w:r w:rsidRPr="00240BEA">
        <w:t xml:space="preserve"> review of the progress of projects underway in</w:t>
      </w:r>
      <w:r w:rsidRPr="00A91C0D">
        <w:t xml:space="preserve"> connection with previous priorities.</w:t>
      </w:r>
    </w:p>
    <w:p w:rsidR="00E3251A" w:rsidRPr="00347349" w:rsidRDefault="00B97F55" w:rsidP="00347349">
      <w:pPr>
        <w:pStyle w:val="Bulletpoint"/>
      </w:pPr>
      <w:r w:rsidRPr="00347349">
        <w:t>This continual reassessment of our priorities allows us to respond to the dynamic nature of the Australian economy and the risks faced by consumers.</w:t>
      </w:r>
    </w:p>
    <w:p w:rsidR="00260DCF" w:rsidRPr="00863A4E" w:rsidRDefault="00260DCF" w:rsidP="00260DCF">
      <w:r>
        <w:t>In relation to product safety, we are committed to regulatory best practices and are currently going through an extensive program of reviewing the product safety mandatory standards and bans to ensure they are operating to ensure consumer safety without imposing unnecessary burden. This is a particular ACCC responsibility given it is only the Commonwealth Minister who can create national standards and bans.</w:t>
      </w:r>
    </w:p>
    <w:p w:rsidR="00260DCF" w:rsidRDefault="00260DCF" w:rsidP="00347349">
      <w:r>
        <w:t>We have</w:t>
      </w:r>
      <w:r w:rsidRPr="00863A4E">
        <w:t xml:space="preserve"> established consumer product safety regulatory practice that does not impede the ability of local ACL regulators to develop approaches for local issues, and allows specialist safety regimes to respond to the risk of consumer detriment from unsafe specialist products. </w:t>
      </w:r>
    </w:p>
    <w:p w:rsidR="00A003F4" w:rsidRPr="00347349" w:rsidRDefault="00695B82" w:rsidP="00347349">
      <w:pPr>
        <w:pStyle w:val="Bulletpoint"/>
      </w:pPr>
      <w:r w:rsidRPr="00347349">
        <w:t xml:space="preserve">Effective regulators have a culture of enforcement of the law and resources to address the highest-risk conduct in a meaningful way. </w:t>
      </w:r>
      <w:r w:rsidR="00E3251A" w:rsidRPr="00347349">
        <w:t>Our</w:t>
      </w:r>
      <w:r w:rsidR="00A003F4" w:rsidRPr="00347349">
        <w:t xml:space="preserve"> Compliance and Enforcement Policy </w:t>
      </w:r>
      <w:r w:rsidR="00260DCF" w:rsidRPr="00347349">
        <w:t xml:space="preserve">and our commitment to regulatory best practice </w:t>
      </w:r>
      <w:r w:rsidR="00A003F4" w:rsidRPr="00347349">
        <w:t xml:space="preserve">go hand in hand with </w:t>
      </w:r>
      <w:r w:rsidR="00E3251A" w:rsidRPr="00347349">
        <w:t>our</w:t>
      </w:r>
      <w:r w:rsidR="00A003F4" w:rsidRPr="00347349">
        <w:t xml:space="preserve"> </w:t>
      </w:r>
      <w:r w:rsidR="00BF3E89" w:rsidRPr="00347349">
        <w:t xml:space="preserve">culture of </w:t>
      </w:r>
      <w:r w:rsidR="00A003F4" w:rsidRPr="00347349">
        <w:t xml:space="preserve">enforcement. The ACCC has a culture of persistent and strong commitment to </w:t>
      </w:r>
      <w:r w:rsidR="00BF3E89" w:rsidRPr="00347349">
        <w:t>encouraging compliance</w:t>
      </w:r>
      <w:r w:rsidRPr="00347349">
        <w:t xml:space="preserve"> with the law,</w:t>
      </w:r>
      <w:r w:rsidR="00BF3E89" w:rsidRPr="00347349">
        <w:t xml:space="preserve"> </w:t>
      </w:r>
      <w:r w:rsidRPr="00347349">
        <w:t>including by</w:t>
      </w:r>
      <w:r w:rsidR="00BF3E89" w:rsidRPr="00347349">
        <w:t xml:space="preserve"> backing up </w:t>
      </w:r>
      <w:r w:rsidRPr="00347349">
        <w:t xml:space="preserve">this message </w:t>
      </w:r>
      <w:r w:rsidR="00BF3E89" w:rsidRPr="00347349">
        <w:t xml:space="preserve">with </w:t>
      </w:r>
      <w:r w:rsidR="00A003F4" w:rsidRPr="00347349">
        <w:t>enforcement</w:t>
      </w:r>
      <w:r w:rsidRPr="00347349">
        <w:t xml:space="preserve"> where necessary</w:t>
      </w:r>
      <w:r w:rsidR="008E61CC" w:rsidRPr="00347349">
        <w:t>.</w:t>
      </w:r>
      <w:r w:rsidR="00A003F4" w:rsidRPr="00347349">
        <w:t xml:space="preserve">  </w:t>
      </w:r>
    </w:p>
    <w:p w:rsidR="00A335A3" w:rsidRPr="00A91C0D" w:rsidRDefault="008B129C" w:rsidP="006D1DED">
      <w:pPr>
        <w:pStyle w:val="Heading3"/>
      </w:pPr>
      <w:bookmarkStart w:id="10" w:name="_Toc460333809"/>
      <w:r>
        <w:t>Measures of success</w:t>
      </w:r>
      <w:bookmarkEnd w:id="10"/>
    </w:p>
    <w:p w:rsidR="00A335A3" w:rsidRPr="00A91C0D" w:rsidRDefault="00A335A3" w:rsidP="00141063">
      <w:r w:rsidRPr="00A91C0D">
        <w:t>In 2016 the Australian National Audit Office</w:t>
      </w:r>
      <w:r>
        <w:t xml:space="preserve"> (ANAO)</w:t>
      </w:r>
      <w:r w:rsidRPr="00A91C0D">
        <w:t xml:space="preserve"> assessed </w:t>
      </w:r>
      <w:r w:rsidR="002B4FF7">
        <w:t xml:space="preserve">how effectively we were </w:t>
      </w:r>
      <w:r w:rsidRPr="00A91C0D">
        <w:t>managing compliance with fair trading obligations.</w:t>
      </w:r>
      <w:r w:rsidRPr="00A91C0D">
        <w:rPr>
          <w:rStyle w:val="FootnoteReference"/>
        </w:rPr>
        <w:footnoteReference w:id="6"/>
      </w:r>
      <w:r w:rsidRPr="00A91C0D">
        <w:t xml:space="preserve"> </w:t>
      </w:r>
      <w:r w:rsidR="007A7DA5">
        <w:t xml:space="preserve">The </w:t>
      </w:r>
      <w:r w:rsidR="002B4FF7">
        <w:t xml:space="preserve">ANAO </w:t>
      </w:r>
      <w:r w:rsidRPr="00A91C0D">
        <w:t>made a range of findings</w:t>
      </w:r>
      <w:r w:rsidR="002B4FF7">
        <w:t xml:space="preserve"> </w:t>
      </w:r>
      <w:r w:rsidRPr="00A91C0D">
        <w:t>including that:</w:t>
      </w:r>
    </w:p>
    <w:p w:rsidR="00A335A3" w:rsidRPr="00240BEA" w:rsidRDefault="00A335A3" w:rsidP="00240BEA">
      <w:pPr>
        <w:pStyle w:val="Bulletpoint"/>
      </w:pPr>
      <w:r w:rsidRPr="00A91C0D">
        <w:t xml:space="preserve">The </w:t>
      </w:r>
      <w:r w:rsidRPr="00240BEA">
        <w:t>ACCC has a sound compliance and enforcement strategy that outlines a set of proportionate and graduated approaches to encouraging voluntary compliance</w:t>
      </w:r>
      <w:r w:rsidR="008B129C" w:rsidRPr="00240BEA">
        <w:t xml:space="preserve"> and addressing non-compliance.</w:t>
      </w:r>
    </w:p>
    <w:p w:rsidR="00A335A3" w:rsidRPr="00240BEA" w:rsidRDefault="00A335A3" w:rsidP="00240BEA">
      <w:pPr>
        <w:pStyle w:val="Bulletpoint"/>
      </w:pPr>
      <w:r w:rsidRPr="00240BEA">
        <w:t>The ACCC has appropriate arrangements for consideration and selection of matters at its in</w:t>
      </w:r>
      <w:r w:rsidR="008B129C" w:rsidRPr="00240BEA">
        <w:t>ternal case selection meetings.</w:t>
      </w:r>
    </w:p>
    <w:p w:rsidR="00A335A3" w:rsidRPr="00240BEA" w:rsidRDefault="00A335A3" w:rsidP="00240BEA">
      <w:pPr>
        <w:pStyle w:val="Bulletpoint"/>
      </w:pPr>
      <w:r w:rsidRPr="00240BEA">
        <w:t>The ACCC consistently ma</w:t>
      </w:r>
      <w:r w:rsidR="002B4FF7" w:rsidRPr="00240BEA">
        <w:t>k</w:t>
      </w:r>
      <w:r w:rsidRPr="00240BEA">
        <w:t>e</w:t>
      </w:r>
      <w:r w:rsidR="002B4FF7" w:rsidRPr="00240BEA">
        <w:t>s</w:t>
      </w:r>
      <w:r w:rsidRPr="00240BEA">
        <w:t xml:space="preserve"> decisions about the appropriate enforcement action in particular cases in accordance with its </w:t>
      </w:r>
      <w:r w:rsidR="002B4FF7" w:rsidRPr="00240BEA">
        <w:t>Compliance and Enforcement Policy</w:t>
      </w:r>
      <w:r w:rsidRPr="00240BEA">
        <w:t>, proportionate to the identified non-compliance, and having regard to the objectives of s</w:t>
      </w:r>
      <w:r w:rsidR="008B129C" w:rsidRPr="00240BEA">
        <w:t>pecific and general deterrence.</w:t>
      </w:r>
    </w:p>
    <w:p w:rsidR="00A335A3" w:rsidRPr="00240BEA" w:rsidRDefault="00A335A3" w:rsidP="00240BEA">
      <w:pPr>
        <w:pStyle w:val="Bulletpoint"/>
      </w:pPr>
      <w:r w:rsidRPr="00240BEA">
        <w:t xml:space="preserve">Enforcement actions taken by the ACCC were effective in responding </w:t>
      </w:r>
      <w:r w:rsidR="008B129C" w:rsidRPr="00240BEA">
        <w:t>to and managing non-compliance.</w:t>
      </w:r>
    </w:p>
    <w:p w:rsidR="002B4FF7" w:rsidRDefault="008B129C" w:rsidP="00CA532C">
      <w:r>
        <w:t>The ANAO also made three</w:t>
      </w:r>
      <w:r w:rsidR="00A335A3" w:rsidRPr="00A91C0D">
        <w:t xml:space="preserve"> key recommendations for improvement</w:t>
      </w:r>
      <w:r w:rsidR="00E17F8E">
        <w:t>:</w:t>
      </w:r>
    </w:p>
    <w:p w:rsidR="002B4FF7" w:rsidRPr="00240BEA" w:rsidRDefault="00CA532C" w:rsidP="00240BEA">
      <w:pPr>
        <w:pStyle w:val="Bulletpoint"/>
      </w:pPr>
      <w:r w:rsidRPr="00240BEA">
        <w:t>incre</w:t>
      </w:r>
      <w:r w:rsidR="00E17F8E" w:rsidRPr="00240BEA">
        <w:t>as</w:t>
      </w:r>
      <w:r w:rsidR="002B4FF7" w:rsidRPr="00240BEA">
        <w:t xml:space="preserve">ing the </w:t>
      </w:r>
      <w:r w:rsidR="00E17F8E" w:rsidRPr="00240BEA">
        <w:t xml:space="preserve">use of other ACL </w:t>
      </w:r>
      <w:r w:rsidR="00F83CD4" w:rsidRPr="00240BEA">
        <w:t>r</w:t>
      </w:r>
      <w:r w:rsidR="00E17F8E" w:rsidRPr="00240BEA">
        <w:t>egulator</w:t>
      </w:r>
      <w:r w:rsidRPr="00240BEA">
        <w:t>s</w:t>
      </w:r>
      <w:r w:rsidR="00E17F8E" w:rsidRPr="00240BEA">
        <w:t>’</w:t>
      </w:r>
      <w:r w:rsidRPr="00240BEA">
        <w:t xml:space="preserve"> complaints data</w:t>
      </w:r>
    </w:p>
    <w:p w:rsidR="002B4FF7" w:rsidRPr="00240BEA" w:rsidRDefault="002B4FF7" w:rsidP="00240BEA">
      <w:pPr>
        <w:pStyle w:val="Bulletpoint"/>
      </w:pPr>
      <w:r w:rsidRPr="00240BEA">
        <w:t xml:space="preserve">improving our own </w:t>
      </w:r>
      <w:r w:rsidR="00CA532C" w:rsidRPr="00240BEA">
        <w:t>complaint data quality</w:t>
      </w:r>
      <w:r w:rsidR="00E17F8E" w:rsidRPr="00240BEA">
        <w:t xml:space="preserve"> and </w:t>
      </w:r>
    </w:p>
    <w:p w:rsidR="001F521D" w:rsidRDefault="00CA532C" w:rsidP="00240BEA">
      <w:pPr>
        <w:pStyle w:val="Bulletpoint"/>
      </w:pPr>
      <w:proofErr w:type="gramStart"/>
      <w:r w:rsidRPr="00240BEA">
        <w:t>increas</w:t>
      </w:r>
      <w:r w:rsidR="001F521D" w:rsidRPr="00240BEA">
        <w:t>ing</w:t>
      </w:r>
      <w:proofErr w:type="gramEnd"/>
      <w:r w:rsidR="001F521D">
        <w:t xml:space="preserve"> the </w:t>
      </w:r>
      <w:r>
        <w:t xml:space="preserve">use of </w:t>
      </w:r>
      <w:r w:rsidR="001F521D">
        <w:t xml:space="preserve">trends and </w:t>
      </w:r>
      <w:r>
        <w:t xml:space="preserve">intelligence </w:t>
      </w:r>
      <w:r w:rsidR="001F521D">
        <w:t>when selecting cases</w:t>
      </w:r>
      <w:r>
        <w:t>.</w:t>
      </w:r>
    </w:p>
    <w:p w:rsidR="00A335A3" w:rsidRPr="00347349" w:rsidRDefault="001F521D" w:rsidP="00931C4B">
      <w:r w:rsidRPr="00347349">
        <w:t xml:space="preserve">We are </w:t>
      </w:r>
      <w:r w:rsidR="00E17F8E" w:rsidRPr="00347349">
        <w:t>committed to continually evaluating and improving our approach to ACL enforcement. We have accepted all three of these recommendations</w:t>
      </w:r>
      <w:r w:rsidR="006117B4" w:rsidRPr="00347349">
        <w:t xml:space="preserve"> and have begun taking steps towards these goals</w:t>
      </w:r>
      <w:r w:rsidR="00E277F9" w:rsidRPr="00347349">
        <w:t>.</w:t>
      </w:r>
      <w:r w:rsidR="00E301ED" w:rsidRPr="00347349">
        <w:t xml:space="preserve"> </w:t>
      </w:r>
      <w:r w:rsidR="00D17C1F" w:rsidRPr="00347349">
        <w:t>Some are more complex than others, a</w:t>
      </w:r>
      <w:r w:rsidR="006117B4" w:rsidRPr="00347349">
        <w:t xml:space="preserve">s demonstrated </w:t>
      </w:r>
      <w:r w:rsidR="00D17C1F" w:rsidRPr="00347349">
        <w:t>by</w:t>
      </w:r>
      <w:r w:rsidR="006117B4" w:rsidRPr="00347349">
        <w:t xml:space="preserve"> the discussion of i</w:t>
      </w:r>
      <w:r w:rsidR="00F83CD4" w:rsidRPr="00347349">
        <w:t>nformation sharing between ACL r</w:t>
      </w:r>
      <w:r w:rsidR="006117B4" w:rsidRPr="00347349">
        <w:t xml:space="preserve">egulators </w:t>
      </w:r>
      <w:r w:rsidR="009C226B" w:rsidRPr="00C2119A">
        <w:t xml:space="preserve">starting </w:t>
      </w:r>
      <w:r w:rsidR="006117B4" w:rsidRPr="00C2119A">
        <w:t xml:space="preserve">on page </w:t>
      </w:r>
      <w:r w:rsidR="009C226B" w:rsidRPr="00C2119A">
        <w:t>19</w:t>
      </w:r>
      <w:r w:rsidR="00FD243C" w:rsidRPr="00C2119A">
        <w:t>.</w:t>
      </w:r>
    </w:p>
    <w:p w:rsidR="00A335A3" w:rsidRDefault="001F521D" w:rsidP="00141063">
      <w:r w:rsidRPr="00C212CA">
        <w:t>W</w:t>
      </w:r>
      <w:r w:rsidR="00A335A3" w:rsidRPr="00C212CA">
        <w:t xml:space="preserve">e assess </w:t>
      </w:r>
      <w:r w:rsidR="00D96660" w:rsidRPr="00C212CA">
        <w:t xml:space="preserve">and report upon </w:t>
      </w:r>
      <w:r w:rsidR="00A335A3" w:rsidRPr="00A27246">
        <w:t xml:space="preserve">our performance on an ongoing basis. </w:t>
      </w:r>
      <w:r w:rsidR="00D96660" w:rsidRPr="006117B4">
        <w:t xml:space="preserve">We </w:t>
      </w:r>
      <w:r w:rsidR="00A335A3" w:rsidRPr="006117B4">
        <w:t>release a variety of</w:t>
      </w:r>
      <w:r w:rsidR="00A335A3" w:rsidRPr="00A91C0D">
        <w:t xml:space="preserve"> reports and information </w:t>
      </w:r>
      <w:r w:rsidR="00D96660">
        <w:t xml:space="preserve">that allows </w:t>
      </w:r>
      <w:r w:rsidR="00A335A3" w:rsidRPr="00A91C0D">
        <w:t xml:space="preserve">stakeholders to assess our performance. </w:t>
      </w:r>
      <w:r w:rsidR="00112141">
        <w:t>For example, w</w:t>
      </w:r>
      <w:r w:rsidR="00A335A3" w:rsidRPr="00A91C0D">
        <w:t xml:space="preserve">e report upon our activity </w:t>
      </w:r>
      <w:r w:rsidR="00112141">
        <w:t>in</w:t>
      </w:r>
      <w:r w:rsidR="00A335A3" w:rsidRPr="00A91C0D">
        <w:t xml:space="preserve"> our</w:t>
      </w:r>
      <w:r w:rsidR="00A335A3" w:rsidRPr="00112141">
        <w:t xml:space="preserve"> </w:t>
      </w:r>
      <w:hyperlink r:id="rId14" w:history="1">
        <w:r w:rsidR="00112141" w:rsidRPr="00112141">
          <w:rPr>
            <w:rStyle w:val="Hyperlink"/>
            <w:rFonts w:asciiTheme="minorHAnsi" w:hAnsiTheme="minorHAnsi" w:cstheme="minorHAnsi"/>
          </w:rPr>
          <w:t>annual report</w:t>
        </w:r>
      </w:hyperlink>
      <w:r w:rsidR="00A335A3" w:rsidRPr="00A91C0D">
        <w:t xml:space="preserve"> to Parliament.</w:t>
      </w:r>
      <w:r w:rsidR="00A335A3" w:rsidRPr="00A91C0D">
        <w:rPr>
          <w:rStyle w:val="FootnoteReference"/>
          <w:iCs/>
        </w:rPr>
        <w:footnoteReference w:id="7"/>
      </w:r>
      <w:r w:rsidR="00A335A3" w:rsidRPr="00A91C0D">
        <w:t xml:space="preserve"> We also produce </w:t>
      </w:r>
      <w:hyperlink r:id="rId15" w:history="1">
        <w:proofErr w:type="spellStart"/>
        <w:r w:rsidR="00112141" w:rsidRPr="00112141">
          <w:rPr>
            <w:rStyle w:val="Hyperlink"/>
            <w:rFonts w:asciiTheme="minorHAnsi" w:hAnsiTheme="minorHAnsi" w:cstheme="minorHAnsi"/>
          </w:rPr>
          <w:t>ACCCount</w:t>
        </w:r>
        <w:proofErr w:type="spellEnd"/>
      </w:hyperlink>
      <w:r w:rsidR="00A335A3" w:rsidRPr="00A91C0D">
        <w:t xml:space="preserve"> </w:t>
      </w:r>
      <w:r w:rsidR="006C159F">
        <w:t xml:space="preserve">– </w:t>
      </w:r>
      <w:r w:rsidR="00A335A3" w:rsidRPr="00A91C0D">
        <w:t>a quarterly report of our activities.</w:t>
      </w:r>
      <w:r w:rsidR="00A335A3" w:rsidRPr="00A91C0D">
        <w:rPr>
          <w:rStyle w:val="FootnoteReference"/>
          <w:iCs/>
        </w:rPr>
        <w:footnoteReference w:id="8"/>
      </w:r>
      <w:r w:rsidR="00A335A3" w:rsidRPr="00A91C0D">
        <w:t xml:space="preserve"> Both of these </w:t>
      </w:r>
      <w:r w:rsidR="00112141">
        <w:t xml:space="preserve">publications report upon the </w:t>
      </w:r>
      <w:r w:rsidR="006C159F">
        <w:t xml:space="preserve">compliance, education and </w:t>
      </w:r>
      <w:r w:rsidR="00A335A3" w:rsidRPr="00A91C0D">
        <w:t xml:space="preserve">enforcement </w:t>
      </w:r>
      <w:r w:rsidR="00112141">
        <w:t xml:space="preserve">activities we undertook </w:t>
      </w:r>
      <w:r w:rsidR="00A335A3" w:rsidRPr="00A91C0D">
        <w:t>during the reporting period. In the past these have been used by community stakeholders to review our performance.</w:t>
      </w:r>
      <w:r w:rsidR="00A335A3" w:rsidRPr="00A91C0D">
        <w:rPr>
          <w:rStyle w:val="FootnoteReference"/>
          <w:iCs/>
        </w:rPr>
        <w:footnoteReference w:id="9"/>
      </w:r>
    </w:p>
    <w:p w:rsidR="006C350A" w:rsidRDefault="00112141" w:rsidP="00141063">
      <w:r>
        <w:t xml:space="preserve">A range of views about whether </w:t>
      </w:r>
      <w:r w:rsidR="006C350A">
        <w:t xml:space="preserve">ACL </w:t>
      </w:r>
      <w:r w:rsidR="00F83CD4">
        <w:t>r</w:t>
      </w:r>
      <w:r w:rsidR="006C350A">
        <w:t>egulators are achieving proportionate and risk-based enforcement</w:t>
      </w:r>
      <w:r>
        <w:t xml:space="preserve"> have been put in the ACL Review</w:t>
      </w:r>
      <w:r w:rsidR="006C350A">
        <w:t xml:space="preserve">. </w:t>
      </w:r>
      <w:r>
        <w:t>T</w:t>
      </w:r>
      <w:r w:rsidR="006C350A">
        <w:t>he P</w:t>
      </w:r>
      <w:r>
        <w:t xml:space="preserve">roductivity </w:t>
      </w:r>
      <w:r w:rsidR="006C350A">
        <w:t>C</w:t>
      </w:r>
      <w:r>
        <w:t xml:space="preserve">ommission </w:t>
      </w:r>
      <w:r w:rsidR="006C350A">
        <w:t>might find it useful to refer to the</w:t>
      </w:r>
      <w:r>
        <w:t xml:space="preserve"> submissions in response to the </w:t>
      </w:r>
      <w:r w:rsidR="000C5703">
        <w:t xml:space="preserve">ACL </w:t>
      </w:r>
      <w:r>
        <w:t>R</w:t>
      </w:r>
      <w:r w:rsidR="000C5703">
        <w:t>eview issues paper</w:t>
      </w:r>
      <w:r w:rsidR="006C350A">
        <w:t>.</w:t>
      </w:r>
      <w:r w:rsidR="000C5703">
        <w:rPr>
          <w:rStyle w:val="FootnoteReference"/>
        </w:rPr>
        <w:footnoteReference w:id="10"/>
      </w:r>
    </w:p>
    <w:p w:rsidR="00D96660" w:rsidRPr="00A91C0D" w:rsidRDefault="00D96660" w:rsidP="00D96660">
      <w:r w:rsidRPr="00A91C0D">
        <w:t>In the future</w:t>
      </w:r>
      <w:r>
        <w:t>,</w:t>
      </w:r>
      <w:r w:rsidRPr="00A91C0D">
        <w:t xml:space="preserve"> a key </w:t>
      </w:r>
      <w:r>
        <w:t xml:space="preserve">self-assessment </w:t>
      </w:r>
      <w:r w:rsidRPr="00A91C0D">
        <w:t xml:space="preserve">mechanism will be the </w:t>
      </w:r>
      <w:hyperlink r:id="rId16" w:history="1">
        <w:r>
          <w:rPr>
            <w:rStyle w:val="Hyperlink"/>
          </w:rPr>
          <w:t>Regulator Performance Framework</w:t>
        </w:r>
      </w:hyperlink>
      <w:r w:rsidRPr="00A91C0D">
        <w:t>.</w:t>
      </w:r>
      <w:r w:rsidRPr="008B129C">
        <w:t xml:space="preserve"> </w:t>
      </w:r>
      <w:r>
        <w:t xml:space="preserve">We </w:t>
      </w:r>
      <w:r w:rsidRPr="00A91C0D">
        <w:t xml:space="preserve">will conduct </w:t>
      </w:r>
      <w:r>
        <w:t xml:space="preserve">our </w:t>
      </w:r>
      <w:r w:rsidRPr="00A91C0D">
        <w:t xml:space="preserve">first self-assessment at </w:t>
      </w:r>
      <w:r>
        <w:t xml:space="preserve">the end of </w:t>
      </w:r>
      <w:r w:rsidRPr="00A91C0D">
        <w:t xml:space="preserve">2015/16. The </w:t>
      </w:r>
      <w:r>
        <w:t xml:space="preserve">material we </w:t>
      </w:r>
      <w:r w:rsidRPr="00A91C0D">
        <w:t xml:space="preserve">will use to assess </w:t>
      </w:r>
      <w:r>
        <w:t xml:space="preserve">our </w:t>
      </w:r>
      <w:r w:rsidRPr="00A91C0D">
        <w:t xml:space="preserve">performance </w:t>
      </w:r>
      <w:r>
        <w:t xml:space="preserve">is </w:t>
      </w:r>
      <w:hyperlink r:id="rId17" w:history="1">
        <w:r w:rsidRPr="00B16D10">
          <w:rPr>
            <w:rStyle w:val="Hyperlink"/>
            <w:rFonts w:asciiTheme="minorHAnsi" w:hAnsiTheme="minorHAnsi" w:cstheme="minorHAnsi"/>
          </w:rPr>
          <w:t>publically available</w:t>
        </w:r>
      </w:hyperlink>
      <w:r w:rsidRPr="00A91C0D">
        <w:t>.</w:t>
      </w:r>
      <w:r w:rsidRPr="00A91C0D">
        <w:rPr>
          <w:rStyle w:val="FootnoteReference"/>
        </w:rPr>
        <w:footnoteReference w:id="11"/>
      </w:r>
    </w:p>
    <w:p w:rsidR="00141063" w:rsidRPr="00A91C0D" w:rsidRDefault="00E075F3" w:rsidP="006D1DED">
      <w:pPr>
        <w:pStyle w:val="Heading2"/>
      </w:pPr>
      <w:bookmarkStart w:id="11" w:name="_Toc460333810"/>
      <w:r w:rsidRPr="00863A4E">
        <w:t>T</w:t>
      </w:r>
      <w:r w:rsidR="00141063" w:rsidRPr="00863A4E">
        <w:t xml:space="preserve">ools and remedies available to </w:t>
      </w:r>
      <w:r w:rsidRPr="00863A4E">
        <w:t xml:space="preserve">ACL and specialist </w:t>
      </w:r>
      <w:r w:rsidR="00F83CD4">
        <w:t>r</w:t>
      </w:r>
      <w:r w:rsidR="00141063" w:rsidRPr="00863A4E">
        <w:t>egulators</w:t>
      </w:r>
      <w:bookmarkEnd w:id="11"/>
    </w:p>
    <w:p w:rsidR="00671674" w:rsidRDefault="00671674" w:rsidP="00141063">
      <w:r w:rsidRPr="00671674">
        <w:t xml:space="preserve">The ACL Review is </w:t>
      </w:r>
      <w:r>
        <w:t xml:space="preserve">currently </w:t>
      </w:r>
      <w:r w:rsidRPr="00671674">
        <w:t>considering whether the pro</w:t>
      </w:r>
      <w:r>
        <w:t>tections provided for in the ACL</w:t>
      </w:r>
      <w:r w:rsidRPr="00671674">
        <w:t xml:space="preserve"> a</w:t>
      </w:r>
      <w:r>
        <w:t xml:space="preserve">re adequate and fit for purpose. This includes consideration of the </w:t>
      </w:r>
      <w:r w:rsidRPr="00671674">
        <w:t>enforcement powers, penalties and remedies applying under the ACL</w:t>
      </w:r>
      <w:r>
        <w:t xml:space="preserve">. </w:t>
      </w:r>
      <w:r w:rsidR="00293A9F">
        <w:t>T</w:t>
      </w:r>
      <w:r>
        <w:t xml:space="preserve">he tools and remedies available to ACL </w:t>
      </w:r>
      <w:r w:rsidR="00B32B6B">
        <w:t xml:space="preserve">and specialist </w:t>
      </w:r>
      <w:r w:rsidR="00F83CD4">
        <w:t>r</w:t>
      </w:r>
      <w:r>
        <w:t xml:space="preserve">egulators </w:t>
      </w:r>
      <w:r w:rsidR="009013B6">
        <w:t xml:space="preserve">can </w:t>
      </w:r>
      <w:r w:rsidR="00E72F50">
        <w:t xml:space="preserve">also </w:t>
      </w:r>
      <w:r w:rsidR="009013B6">
        <w:t>have</w:t>
      </w:r>
      <w:r w:rsidR="00B45CD0">
        <w:t xml:space="preserve"> an impact on </w:t>
      </w:r>
      <w:r w:rsidR="00E72F50" w:rsidRPr="00E72F50">
        <w:t>how the ACL is administered and enforced</w:t>
      </w:r>
      <w:r w:rsidR="00293A9F">
        <w:t xml:space="preserve">, and are </w:t>
      </w:r>
      <w:r w:rsidR="00E72F50">
        <w:t xml:space="preserve">therefore </w:t>
      </w:r>
      <w:r w:rsidR="00293A9F">
        <w:t xml:space="preserve">relevant to the PC </w:t>
      </w:r>
      <w:r w:rsidR="00187A23">
        <w:t xml:space="preserve">Study </w:t>
      </w:r>
      <w:r w:rsidR="00293A9F">
        <w:t>to this extent.</w:t>
      </w:r>
    </w:p>
    <w:p w:rsidR="00141063" w:rsidRPr="00A91C0D" w:rsidRDefault="002F693F" w:rsidP="00141063">
      <w:r>
        <w:t>The ACL Review</w:t>
      </w:r>
      <w:r w:rsidR="00141063" w:rsidRPr="00A91C0D">
        <w:t xml:space="preserve"> </w:t>
      </w:r>
      <w:r w:rsidR="00B45CD0">
        <w:t xml:space="preserve">will </w:t>
      </w:r>
      <w:r>
        <w:t xml:space="preserve">consider </w:t>
      </w:r>
      <w:r w:rsidR="00141063" w:rsidRPr="00A91C0D">
        <w:t>whether the financial penalties available for breaches of the ACL are sufficient</w:t>
      </w:r>
      <w:r>
        <w:t xml:space="preserve"> to provide specific and general deterrence</w:t>
      </w:r>
      <w:r w:rsidR="00141063" w:rsidRPr="00A91C0D">
        <w:t>.</w:t>
      </w:r>
      <w:r w:rsidR="00141063" w:rsidRPr="00A91C0D">
        <w:rPr>
          <w:rStyle w:val="FootnoteReference"/>
          <w:rFonts w:cs="Arial"/>
        </w:rPr>
        <w:footnoteReference w:id="12"/>
      </w:r>
      <w:r w:rsidR="00141063" w:rsidRPr="00A91C0D">
        <w:t xml:space="preserve"> </w:t>
      </w:r>
      <w:r>
        <w:t>In</w:t>
      </w:r>
      <w:r w:rsidR="00141063" w:rsidRPr="00A91C0D">
        <w:t xml:space="preserve"> our view</w:t>
      </w:r>
      <w:r>
        <w:t>,</w:t>
      </w:r>
      <w:r w:rsidR="00141063" w:rsidRPr="00A91C0D">
        <w:t xml:space="preserve"> the current maximum penalties available under the ACL are too low </w:t>
      </w:r>
      <w:r w:rsidR="00141063">
        <w:t xml:space="preserve">and </w:t>
      </w:r>
      <w:r>
        <w:t xml:space="preserve">need to </w:t>
      </w:r>
      <w:r w:rsidR="00141063">
        <w:t xml:space="preserve">be increased </w:t>
      </w:r>
      <w:r w:rsidR="00FD3258">
        <w:t xml:space="preserve">if they are </w:t>
      </w:r>
      <w:r w:rsidR="00141063">
        <w:t xml:space="preserve">to </w:t>
      </w:r>
      <w:r>
        <w:t xml:space="preserve">act as an effective </w:t>
      </w:r>
      <w:r w:rsidR="00141063">
        <w:t>deterrent</w:t>
      </w:r>
      <w:r w:rsidR="00141063" w:rsidRPr="00A91C0D">
        <w:t>.</w:t>
      </w:r>
      <w:r w:rsidR="00141063" w:rsidRPr="00A91C0D">
        <w:rPr>
          <w:rStyle w:val="FootnoteReference"/>
          <w:rFonts w:cs="Arial"/>
        </w:rPr>
        <w:footnoteReference w:id="13"/>
      </w:r>
      <w:r w:rsidR="00125969">
        <w:t xml:space="preserve"> Court ordered penalties are an important part of our enforcement toolkit and, like all enforcement tools, need to be set at an appropriate level if they are to form part of a proportionate response to consumer harm.</w:t>
      </w:r>
    </w:p>
    <w:p w:rsidR="00141063" w:rsidRDefault="002F693F" w:rsidP="000623D9">
      <w:r>
        <w:t>T</w:t>
      </w:r>
      <w:r w:rsidR="00141063" w:rsidRPr="00A91C0D">
        <w:t xml:space="preserve">he enforcement tools and remedies available to ACL </w:t>
      </w:r>
      <w:r w:rsidR="00F83CD4">
        <w:t>r</w:t>
      </w:r>
      <w:r w:rsidR="00141063" w:rsidRPr="00A91C0D">
        <w:t>egulators vary</w:t>
      </w:r>
      <w:r>
        <w:t xml:space="preserve"> from jurisdiction to jurisdiction</w:t>
      </w:r>
      <w:r w:rsidR="00141063" w:rsidRPr="00A91C0D">
        <w:t xml:space="preserve"> and </w:t>
      </w:r>
      <w:r>
        <w:t xml:space="preserve">this variation may </w:t>
      </w:r>
      <w:r w:rsidR="00141063" w:rsidRPr="00A91C0D">
        <w:t xml:space="preserve">limit the </w:t>
      </w:r>
      <w:r>
        <w:t xml:space="preserve">efficacy </w:t>
      </w:r>
      <w:r w:rsidR="00F74B89">
        <w:t xml:space="preserve">of the multi-regulator model. </w:t>
      </w:r>
      <w:r w:rsidR="00141063" w:rsidRPr="00A91C0D">
        <w:t xml:space="preserve">There are </w:t>
      </w:r>
      <w:r w:rsidR="000623D9">
        <w:t>a number of</w:t>
      </w:r>
      <w:r w:rsidR="000623D9" w:rsidRPr="00A91C0D">
        <w:t xml:space="preserve"> </w:t>
      </w:r>
      <w:r w:rsidR="00141063" w:rsidRPr="00A91C0D">
        <w:t>variations between jurisdictions, but in particular we note that</w:t>
      </w:r>
      <w:r w:rsidR="000623D9">
        <w:t xml:space="preserve"> </w:t>
      </w:r>
      <w:r w:rsidR="00F83CD4">
        <w:t>some State and Territory ACL r</w:t>
      </w:r>
      <w:r>
        <w:t xml:space="preserve">egulators are not empowered to </w:t>
      </w:r>
      <w:r w:rsidR="00141063" w:rsidRPr="00A91C0D">
        <w:t>issue infringement notices, and of those that can</w:t>
      </w:r>
      <w:r>
        <w:t xml:space="preserve">, some are not permitted </w:t>
      </w:r>
      <w:r w:rsidR="00141063" w:rsidRPr="00A91C0D">
        <w:t>to publicly identify the recipients.</w:t>
      </w:r>
    </w:p>
    <w:p w:rsidR="00690E05" w:rsidRDefault="00690E05" w:rsidP="000623D9">
      <w:r>
        <w:t>S</w:t>
      </w:r>
      <w:r w:rsidR="000846DA">
        <w:t>ome s</w:t>
      </w:r>
      <w:r>
        <w:t xml:space="preserve">pecialist regulators, such as some State and Territory electrical safety regulators, also lack regulatory tools and remedies and this sometimes prompts them to seek </w:t>
      </w:r>
      <w:r w:rsidR="000846DA">
        <w:t xml:space="preserve">our </w:t>
      </w:r>
      <w:r>
        <w:t>assistance.</w:t>
      </w:r>
      <w:r w:rsidR="00F22275">
        <w:t xml:space="preserve"> </w:t>
      </w:r>
      <w:r w:rsidR="00F22275" w:rsidRPr="00F22275">
        <w:t>A good example of this is the lack of consistent recall powers across the State and Territory electrical safety regimes</w:t>
      </w:r>
      <w:r w:rsidR="00674592">
        <w:t xml:space="preserve"> that prompted our involvement in the Infinity cable recall</w:t>
      </w:r>
      <w:r w:rsidR="00F22275">
        <w:t>.</w:t>
      </w:r>
      <w:r w:rsidR="00E55E94">
        <w:t xml:space="preserve"> This is </w:t>
      </w:r>
      <w:r w:rsidR="00E55E94" w:rsidRPr="00C2119A">
        <w:t xml:space="preserve">discussed on page </w:t>
      </w:r>
      <w:r w:rsidR="009C226B" w:rsidRPr="00C2119A">
        <w:t>2</w:t>
      </w:r>
      <w:r w:rsidR="00931C4B" w:rsidRPr="00C2119A">
        <w:t>1</w:t>
      </w:r>
      <w:r w:rsidR="00E55E94" w:rsidRPr="00C2119A">
        <w:t>.</w:t>
      </w:r>
      <w:r w:rsidR="00674592">
        <w:t xml:space="preserve"> </w:t>
      </w:r>
    </w:p>
    <w:p w:rsidR="00B82E12" w:rsidRDefault="000623D9" w:rsidP="00141063">
      <w:r>
        <w:t>Such</w:t>
      </w:r>
      <w:r w:rsidR="000A45BF" w:rsidRPr="001C76F3">
        <w:t xml:space="preserve"> </w:t>
      </w:r>
      <w:r w:rsidR="00141063" w:rsidRPr="001C76F3">
        <w:t xml:space="preserve">limitations in </w:t>
      </w:r>
      <w:r>
        <w:t xml:space="preserve">the availability of </w:t>
      </w:r>
      <w:r w:rsidR="00141063" w:rsidRPr="001C76F3">
        <w:t xml:space="preserve">tools and remedies </w:t>
      </w:r>
      <w:r w:rsidR="000846DA">
        <w:t xml:space="preserve">across ACL and specialist regulators </w:t>
      </w:r>
      <w:r w:rsidR="00F83CD4">
        <w:t>can undermine a r</w:t>
      </w:r>
      <w:r>
        <w:t>egulator’s ability to engage in proportionate, risk-based enforcement</w:t>
      </w:r>
      <w:r w:rsidR="00141063" w:rsidRPr="001C76F3">
        <w:t xml:space="preserve">. The benefits of the multi-regulator model will be better realised if </w:t>
      </w:r>
      <w:r w:rsidR="000846DA">
        <w:t>all regulators have a</w:t>
      </w:r>
      <w:r w:rsidR="00E85F50">
        <w:t xml:space="preserve">ccess to a </w:t>
      </w:r>
      <w:r w:rsidR="00E85F50" w:rsidRPr="000623D9">
        <w:t>broad suite of enforcement tools</w:t>
      </w:r>
      <w:r w:rsidR="00141063" w:rsidRPr="001C76F3">
        <w:t>.</w:t>
      </w:r>
    </w:p>
    <w:p w:rsidR="002B2F0D" w:rsidRPr="00B82E12" w:rsidRDefault="002B2F0D" w:rsidP="00B82E12">
      <w:pPr>
        <w:pStyle w:val="Informationrequest"/>
        <w:rPr>
          <w:rStyle w:val="Strong"/>
        </w:rPr>
      </w:pPr>
      <w:r w:rsidRPr="00B82E12">
        <w:rPr>
          <w:rStyle w:val="Strong"/>
        </w:rPr>
        <w:t>Information request (page 9)</w:t>
      </w:r>
    </w:p>
    <w:p w:rsidR="002B2F0D" w:rsidRPr="002B2F0D" w:rsidRDefault="002B2F0D" w:rsidP="00BB7D16">
      <w:pPr>
        <w:pStyle w:val="Informationrequest"/>
      </w:pPr>
      <w:r w:rsidRPr="002B2F0D">
        <w:t>Are the levels of resources for enforcing the ACL adequate? What are the effects of differences in resources available to state and territory ACL regulators? To what extent, if any, does the potential for the ACCC or ASIC to undertake enforcement actions affect the resources the states and territories devote to ACL enforcement?</w:t>
      </w:r>
    </w:p>
    <w:p w:rsidR="004A3F11" w:rsidRDefault="000A45BF" w:rsidP="006D1DED">
      <w:pPr>
        <w:pStyle w:val="Heading2"/>
      </w:pPr>
      <w:bookmarkStart w:id="12" w:name="_Toc460333811"/>
      <w:r>
        <w:t xml:space="preserve">ACL </w:t>
      </w:r>
      <w:r w:rsidR="00B32B6B">
        <w:t xml:space="preserve">and specialist </w:t>
      </w:r>
      <w:r w:rsidR="00F83CD4">
        <w:t>r</w:t>
      </w:r>
      <w:r>
        <w:t>egulator r</w:t>
      </w:r>
      <w:r w:rsidR="004A3F11">
        <w:t>esourcing</w:t>
      </w:r>
      <w:bookmarkEnd w:id="12"/>
    </w:p>
    <w:p w:rsidR="001278EA" w:rsidRDefault="007C24A3" w:rsidP="001278EA">
      <w:r>
        <w:t>Effective</w:t>
      </w:r>
      <w:r w:rsidR="001278EA">
        <w:t xml:space="preserve"> </w:t>
      </w:r>
      <w:r>
        <w:t>r</w:t>
      </w:r>
      <w:r w:rsidR="001278EA">
        <w:t xml:space="preserve">egulators </w:t>
      </w:r>
      <w:r>
        <w:t xml:space="preserve">must </w:t>
      </w:r>
      <w:r w:rsidR="001278EA">
        <w:t xml:space="preserve">allocate </w:t>
      </w:r>
      <w:r w:rsidR="009E2B1F">
        <w:t xml:space="preserve">their </w:t>
      </w:r>
      <w:r w:rsidR="001278EA">
        <w:t xml:space="preserve">limited resources </w:t>
      </w:r>
      <w:r w:rsidR="000B408F">
        <w:t>in the most appropriate and efficient way</w:t>
      </w:r>
      <w:r w:rsidR="001278EA">
        <w:t xml:space="preserve">. </w:t>
      </w:r>
      <w:r>
        <w:t>Our current resources are fully utilised and we allocate them on the basis of priority, as set out in our Compliance and Enforcement Policy. We cannot do everything and i</w:t>
      </w:r>
      <w:r w:rsidR="001278EA">
        <w:t xml:space="preserve">t is inevitable that there will be circumstances </w:t>
      </w:r>
      <w:r>
        <w:t>where, while</w:t>
      </w:r>
      <w:r w:rsidR="001278EA">
        <w:t xml:space="preserve"> compliance or enforcement action could produce a desirable outcome, action cannot be taken because o</w:t>
      </w:r>
      <w:r>
        <w:t>f resourcing constraints</w:t>
      </w:r>
      <w:r w:rsidR="00E22D04">
        <w:t>.</w:t>
      </w:r>
    </w:p>
    <w:p w:rsidR="001B7CBA" w:rsidRPr="001B7CBA" w:rsidRDefault="00D90E4E" w:rsidP="00EF4783">
      <w:pPr>
        <w:rPr>
          <w:b/>
          <w:bCs/>
        </w:rPr>
      </w:pPr>
      <w:r>
        <w:t>I</w:t>
      </w:r>
      <w:r w:rsidR="001B7CBA" w:rsidRPr="001B7CBA">
        <w:t xml:space="preserve">f </w:t>
      </w:r>
      <w:r>
        <w:t xml:space="preserve">we </w:t>
      </w:r>
      <w:r w:rsidR="001B7CBA" w:rsidRPr="001B7CBA">
        <w:t>had m</w:t>
      </w:r>
      <w:r w:rsidR="00CB32BB">
        <w:t xml:space="preserve">ore resources we could do more. </w:t>
      </w:r>
      <w:r w:rsidR="001B7CBA" w:rsidRPr="001B7CBA">
        <w:t>Responding to a question on resourcing in Senate Estimates, ACCC Chairman Rod Sims said in May 2016:</w:t>
      </w:r>
    </w:p>
    <w:p w:rsidR="004A3F11" w:rsidRDefault="00240BEA" w:rsidP="00240BEA">
      <w:pPr>
        <w:pStyle w:val="Quote"/>
      </w:pPr>
      <w:r>
        <w:t>‘</w:t>
      </w:r>
      <w:r w:rsidR="004A3F11" w:rsidRPr="008B156E">
        <w:t>The way I would put [it] is that if we had more we could do more. I think there is a reasonable band of resources that you have when you are in this sort of position. We are probably at the bottom end of a reasonable range of resources. We have enough to do the job. Obviously I would like more</w:t>
      </w:r>
      <w:r w:rsidR="004A3F11" w:rsidRPr="00571304">
        <w:t>.</w:t>
      </w:r>
      <w:r>
        <w:t>’</w:t>
      </w:r>
      <w:r w:rsidR="004A3F11" w:rsidRPr="00571304">
        <w:rPr>
          <w:rStyle w:val="FootnoteReference"/>
        </w:rPr>
        <w:footnoteReference w:id="14"/>
      </w:r>
    </w:p>
    <w:p w:rsidR="001B7CBA" w:rsidRDefault="00E22D04" w:rsidP="00EF4783">
      <w:r>
        <w:t xml:space="preserve">As </w:t>
      </w:r>
      <w:r w:rsidR="00376F56">
        <w:t>the above quote</w:t>
      </w:r>
      <w:r w:rsidR="001B7CBA">
        <w:t xml:space="preserve"> </w:t>
      </w:r>
      <w:r>
        <w:t xml:space="preserve">demonstrates, </w:t>
      </w:r>
      <w:r w:rsidR="00D90E4E">
        <w:t xml:space="preserve">our </w:t>
      </w:r>
      <w:r w:rsidR="00705957">
        <w:t xml:space="preserve">current </w:t>
      </w:r>
      <w:r w:rsidR="001B7CBA">
        <w:t xml:space="preserve">resources are fully utilised. </w:t>
      </w:r>
      <w:r w:rsidR="00705957">
        <w:t>I</w:t>
      </w:r>
      <w:r w:rsidR="001B7CBA">
        <w:t xml:space="preserve">t is our responsibility to </w:t>
      </w:r>
      <w:r w:rsidR="00705957">
        <w:t xml:space="preserve">ensure that </w:t>
      </w:r>
      <w:r w:rsidR="001B7CBA">
        <w:t xml:space="preserve">we use </w:t>
      </w:r>
      <w:r w:rsidR="00705957">
        <w:t xml:space="preserve">our limited resources </w:t>
      </w:r>
      <w:r w:rsidR="001B7CBA">
        <w:t xml:space="preserve">effectively. We have to prioritise and </w:t>
      </w:r>
      <w:r w:rsidR="00990330">
        <w:t xml:space="preserve">this </w:t>
      </w:r>
      <w:r w:rsidR="001B7CBA">
        <w:t xml:space="preserve">involves making difficult decisions </w:t>
      </w:r>
      <w:r w:rsidR="00990330">
        <w:t xml:space="preserve">about which matters to </w:t>
      </w:r>
      <w:r w:rsidR="00A437E8">
        <w:t xml:space="preserve">pursue </w:t>
      </w:r>
      <w:r w:rsidR="00990330">
        <w:t>and which not to</w:t>
      </w:r>
      <w:r>
        <w:t>,</w:t>
      </w:r>
      <w:r w:rsidR="00990330">
        <w:t xml:space="preserve"> when </w:t>
      </w:r>
      <w:r w:rsidR="001B7CBA">
        <w:t xml:space="preserve">all </w:t>
      </w:r>
      <w:r w:rsidR="00990330">
        <w:t xml:space="preserve">of them have a </w:t>
      </w:r>
      <w:r w:rsidR="001B7CBA">
        <w:t xml:space="preserve">risk of </w:t>
      </w:r>
      <w:r w:rsidR="00990330">
        <w:t xml:space="preserve">consumer </w:t>
      </w:r>
      <w:r w:rsidR="001B7CBA">
        <w:t>harm attached.</w:t>
      </w:r>
    </w:p>
    <w:p w:rsidR="001B7CBA" w:rsidRDefault="00F163F3" w:rsidP="00EF4783">
      <w:r>
        <w:t>A</w:t>
      </w:r>
      <w:r w:rsidR="00534840">
        <w:t xml:space="preserve"> useful illustrat</w:t>
      </w:r>
      <w:r w:rsidR="00E22D04">
        <w:t>ion of</w:t>
      </w:r>
      <w:r w:rsidR="00534840">
        <w:t xml:space="preserve"> </w:t>
      </w:r>
      <w:r w:rsidR="00E22D04">
        <w:t xml:space="preserve">the impact of our </w:t>
      </w:r>
      <w:r>
        <w:t xml:space="preserve">limited resources </w:t>
      </w:r>
      <w:r w:rsidR="003D466D">
        <w:t>is</w:t>
      </w:r>
      <w:r>
        <w:t xml:space="preserve"> consideration of the number of matters we progress to litigation. </w:t>
      </w:r>
      <w:r w:rsidR="00990330">
        <w:t xml:space="preserve">We are </w:t>
      </w:r>
      <w:r w:rsidR="001B7CBA">
        <w:t xml:space="preserve">currently sufficiently resourced to conduct approximately 30 cases in court each year across all the obligations </w:t>
      </w:r>
      <w:r w:rsidR="00990330">
        <w:t xml:space="preserve">provided for by </w:t>
      </w:r>
      <w:r w:rsidR="001B7CBA">
        <w:t xml:space="preserve">the </w:t>
      </w:r>
      <w:r w:rsidR="00990330">
        <w:t xml:space="preserve">CCA </w:t>
      </w:r>
      <w:r w:rsidR="00240BEA">
        <w:t>–</w:t>
      </w:r>
      <w:r w:rsidR="001B7CBA">
        <w:t xml:space="preserve">competition law, regulated infrastructure, industry codes and the </w:t>
      </w:r>
      <w:r w:rsidR="00990330">
        <w:t>ACL</w:t>
      </w:r>
      <w:r w:rsidR="001B7CBA">
        <w:t xml:space="preserve">. </w:t>
      </w:r>
      <w:r w:rsidR="00990330">
        <w:t>W</w:t>
      </w:r>
      <w:r w:rsidR="001B7CBA">
        <w:t>e must be</w:t>
      </w:r>
      <w:r w:rsidR="00990330">
        <w:t>,</w:t>
      </w:r>
      <w:r w:rsidR="001B7CBA">
        <w:t xml:space="preserve"> </w:t>
      </w:r>
      <w:r w:rsidR="00990330">
        <w:t xml:space="preserve">and we are, </w:t>
      </w:r>
      <w:r w:rsidR="001B7CBA">
        <w:t xml:space="preserve">very selective </w:t>
      </w:r>
      <w:r w:rsidR="00990330">
        <w:t xml:space="preserve">about the </w:t>
      </w:r>
      <w:r w:rsidR="001B7CBA">
        <w:t xml:space="preserve">matters we pursue through to litigation. Complaints we </w:t>
      </w:r>
      <w:r w:rsidR="00A5210B">
        <w:t xml:space="preserve">do </w:t>
      </w:r>
      <w:r w:rsidR="00990330">
        <w:t xml:space="preserve">pursue </w:t>
      </w:r>
      <w:r w:rsidR="001B7CBA">
        <w:t>go through a series of increasingly in-depth investigations</w:t>
      </w:r>
      <w:r w:rsidR="00990330">
        <w:t xml:space="preserve"> with fewer and fewer progressing to each subsequent phase</w:t>
      </w:r>
      <w:r w:rsidR="001B7CBA">
        <w:t>:</w:t>
      </w:r>
    </w:p>
    <w:p w:rsidR="001B7CBA" w:rsidRPr="00CB32BB" w:rsidRDefault="001B7CBA" w:rsidP="00240BEA">
      <w:pPr>
        <w:pStyle w:val="Tabletitle"/>
      </w:pPr>
      <w:r w:rsidRPr="00C2119A">
        <w:t xml:space="preserve">Table </w:t>
      </w:r>
      <w:r w:rsidR="009C226B" w:rsidRPr="00C2119A">
        <w:t>1.1</w:t>
      </w:r>
      <w:r w:rsidRPr="00C2119A">
        <w:t xml:space="preserve">: </w:t>
      </w:r>
      <w:r w:rsidR="009C226B" w:rsidRPr="00C2119A">
        <w:t>Contact</w:t>
      </w:r>
      <w:r w:rsidRPr="00C2119A">
        <w:t xml:space="preserve"> actions</w:t>
      </w:r>
      <w:r w:rsidRPr="00C2119A">
        <w:rPr>
          <w:rStyle w:val="FootnoteReference"/>
        </w:rPr>
        <w:footnoteReference w:id="15"/>
      </w:r>
    </w:p>
    <w:tbl>
      <w:tblPr>
        <w:tblStyle w:val="LightShading11"/>
        <w:tblW w:w="0" w:type="auto"/>
        <w:tblLook w:val="0420" w:firstRow="1" w:lastRow="0" w:firstColumn="0" w:lastColumn="0" w:noHBand="0" w:noVBand="1"/>
      </w:tblPr>
      <w:tblGrid>
        <w:gridCol w:w="5211"/>
        <w:gridCol w:w="2015"/>
        <w:gridCol w:w="2016"/>
      </w:tblGrid>
      <w:tr w:rsidR="001B7CBA" w:rsidRPr="00240BEA" w:rsidTr="00240BEA">
        <w:trPr>
          <w:cnfStyle w:val="100000000000" w:firstRow="1" w:lastRow="0" w:firstColumn="0" w:lastColumn="0" w:oddVBand="0" w:evenVBand="0" w:oddHBand="0" w:evenHBand="0" w:firstRowFirstColumn="0" w:firstRowLastColumn="0" w:lastRowFirstColumn="0" w:lastRowLastColumn="0"/>
        </w:trPr>
        <w:tc>
          <w:tcPr>
            <w:tcW w:w="5211" w:type="dxa"/>
          </w:tcPr>
          <w:p w:rsidR="001B7CBA" w:rsidRPr="00240BEA" w:rsidRDefault="001B7CBA" w:rsidP="00240BEA">
            <w:pPr>
              <w:pStyle w:val="Tabletext"/>
              <w:rPr>
                <w:rStyle w:val="Strong"/>
              </w:rPr>
            </w:pPr>
            <w:r w:rsidRPr="00240BEA">
              <w:rPr>
                <w:rStyle w:val="Strong"/>
              </w:rPr>
              <w:t>Category</w:t>
            </w:r>
          </w:p>
        </w:tc>
        <w:tc>
          <w:tcPr>
            <w:tcW w:w="2015" w:type="dxa"/>
          </w:tcPr>
          <w:p w:rsidR="001B7CBA" w:rsidRPr="00240BEA" w:rsidRDefault="001B7CBA" w:rsidP="00240BEA">
            <w:pPr>
              <w:pStyle w:val="Tabletext-right"/>
              <w:rPr>
                <w:rStyle w:val="Strong"/>
                <w:rFonts w:eastAsia="Calibri"/>
              </w:rPr>
            </w:pPr>
            <w:r w:rsidRPr="00240BEA">
              <w:rPr>
                <w:rStyle w:val="Strong"/>
                <w:rFonts w:eastAsia="Calibri"/>
              </w:rPr>
              <w:t>2013/14</w:t>
            </w:r>
          </w:p>
        </w:tc>
        <w:tc>
          <w:tcPr>
            <w:tcW w:w="2016" w:type="dxa"/>
          </w:tcPr>
          <w:p w:rsidR="001B7CBA" w:rsidRPr="00240BEA" w:rsidRDefault="001B7CBA" w:rsidP="00240BEA">
            <w:pPr>
              <w:pStyle w:val="Tabletext-right"/>
              <w:rPr>
                <w:rStyle w:val="Strong"/>
                <w:rFonts w:eastAsia="Calibri"/>
              </w:rPr>
            </w:pPr>
            <w:r w:rsidRPr="00240BEA">
              <w:rPr>
                <w:rStyle w:val="Strong"/>
                <w:rFonts w:eastAsia="Calibri"/>
              </w:rPr>
              <w:t>2014/15</w:t>
            </w:r>
          </w:p>
        </w:tc>
      </w:tr>
      <w:tr w:rsidR="001B7CBA" w:rsidRPr="00240BEA" w:rsidTr="00240BEA">
        <w:tc>
          <w:tcPr>
            <w:tcW w:w="5211" w:type="dxa"/>
          </w:tcPr>
          <w:p w:rsidR="001B7CBA" w:rsidRPr="00240BEA" w:rsidRDefault="001B7CBA" w:rsidP="00240BEA">
            <w:pPr>
              <w:pStyle w:val="Tabletext"/>
            </w:pPr>
            <w:r w:rsidRPr="00240BEA">
              <w:t>Contacts received (phone, email, online)</w:t>
            </w:r>
          </w:p>
        </w:tc>
        <w:tc>
          <w:tcPr>
            <w:tcW w:w="2015" w:type="dxa"/>
          </w:tcPr>
          <w:p w:rsidR="001B7CBA" w:rsidRPr="00240BEA" w:rsidRDefault="001B7CBA" w:rsidP="00240BEA">
            <w:pPr>
              <w:pStyle w:val="Tabletext-right"/>
              <w:rPr>
                <w:rFonts w:eastAsia="Calibri"/>
              </w:rPr>
            </w:pPr>
            <w:r w:rsidRPr="00240BEA">
              <w:rPr>
                <w:rFonts w:eastAsia="Calibri"/>
              </w:rPr>
              <w:t>202 363</w:t>
            </w:r>
          </w:p>
        </w:tc>
        <w:tc>
          <w:tcPr>
            <w:tcW w:w="2016" w:type="dxa"/>
          </w:tcPr>
          <w:p w:rsidR="001B7CBA" w:rsidRPr="00240BEA" w:rsidRDefault="001B7CBA" w:rsidP="00240BEA">
            <w:pPr>
              <w:pStyle w:val="Tabletext-right"/>
              <w:rPr>
                <w:rFonts w:eastAsia="Calibri"/>
              </w:rPr>
            </w:pPr>
            <w:r w:rsidRPr="00240BEA">
              <w:rPr>
                <w:rFonts w:eastAsia="Calibri"/>
              </w:rPr>
              <w:t>260 343</w:t>
            </w:r>
          </w:p>
        </w:tc>
      </w:tr>
      <w:tr w:rsidR="001B7CBA" w:rsidRPr="00240BEA" w:rsidTr="00240BEA">
        <w:tc>
          <w:tcPr>
            <w:tcW w:w="5211" w:type="dxa"/>
          </w:tcPr>
          <w:p w:rsidR="001B7CBA" w:rsidRPr="00240BEA" w:rsidRDefault="001B7CBA" w:rsidP="00240BEA">
            <w:pPr>
              <w:pStyle w:val="Tabletext"/>
            </w:pPr>
            <w:r w:rsidRPr="00240BEA">
              <w:t>Contacts recorded in the database</w:t>
            </w:r>
          </w:p>
        </w:tc>
        <w:tc>
          <w:tcPr>
            <w:tcW w:w="2015" w:type="dxa"/>
          </w:tcPr>
          <w:p w:rsidR="001B7CBA" w:rsidRPr="00240BEA" w:rsidRDefault="001B7CBA" w:rsidP="00240BEA">
            <w:pPr>
              <w:pStyle w:val="Tabletext-right"/>
              <w:rPr>
                <w:rFonts w:eastAsia="Calibri"/>
              </w:rPr>
            </w:pPr>
            <w:r w:rsidRPr="00240BEA">
              <w:rPr>
                <w:rFonts w:eastAsia="Calibri"/>
              </w:rPr>
              <w:t>160 039</w:t>
            </w:r>
          </w:p>
        </w:tc>
        <w:tc>
          <w:tcPr>
            <w:tcW w:w="2016" w:type="dxa"/>
          </w:tcPr>
          <w:p w:rsidR="001B7CBA" w:rsidRPr="00240BEA" w:rsidRDefault="001B7CBA" w:rsidP="00240BEA">
            <w:pPr>
              <w:pStyle w:val="Tabletext-right"/>
              <w:rPr>
                <w:rFonts w:eastAsia="Calibri"/>
              </w:rPr>
            </w:pPr>
            <w:r w:rsidRPr="00240BEA">
              <w:rPr>
                <w:rFonts w:eastAsia="Calibri"/>
              </w:rPr>
              <w:t>165 544</w:t>
            </w:r>
          </w:p>
        </w:tc>
      </w:tr>
      <w:tr w:rsidR="001B7CBA" w:rsidRPr="00240BEA" w:rsidTr="00240BEA">
        <w:tc>
          <w:tcPr>
            <w:tcW w:w="5211" w:type="dxa"/>
          </w:tcPr>
          <w:p w:rsidR="001B7CBA" w:rsidRPr="00240BEA" w:rsidRDefault="001B7CBA" w:rsidP="00240BEA">
            <w:pPr>
              <w:pStyle w:val="Tabletext"/>
            </w:pPr>
            <w:r w:rsidRPr="00240BEA">
              <w:t>Under-assessments commenced</w:t>
            </w:r>
          </w:p>
        </w:tc>
        <w:tc>
          <w:tcPr>
            <w:tcW w:w="2015" w:type="dxa"/>
          </w:tcPr>
          <w:p w:rsidR="001B7CBA" w:rsidRPr="00240BEA" w:rsidRDefault="001B7CBA" w:rsidP="00240BEA">
            <w:pPr>
              <w:pStyle w:val="Tabletext-right"/>
              <w:rPr>
                <w:rFonts w:eastAsia="Calibri"/>
              </w:rPr>
            </w:pPr>
            <w:r w:rsidRPr="00240BEA">
              <w:rPr>
                <w:rFonts w:eastAsia="Calibri"/>
              </w:rPr>
              <w:t>978</w:t>
            </w:r>
          </w:p>
        </w:tc>
        <w:tc>
          <w:tcPr>
            <w:tcW w:w="2016" w:type="dxa"/>
          </w:tcPr>
          <w:p w:rsidR="001B7CBA" w:rsidRPr="00240BEA" w:rsidRDefault="001B7CBA" w:rsidP="00240BEA">
            <w:pPr>
              <w:pStyle w:val="Tabletext-right"/>
              <w:rPr>
                <w:rFonts w:eastAsia="Calibri"/>
              </w:rPr>
            </w:pPr>
            <w:r w:rsidRPr="00240BEA">
              <w:rPr>
                <w:rFonts w:eastAsia="Calibri"/>
              </w:rPr>
              <w:t>1 062</w:t>
            </w:r>
          </w:p>
        </w:tc>
      </w:tr>
      <w:tr w:rsidR="001B7CBA" w:rsidRPr="00240BEA" w:rsidTr="00240BEA">
        <w:tc>
          <w:tcPr>
            <w:tcW w:w="5211" w:type="dxa"/>
          </w:tcPr>
          <w:p w:rsidR="001B7CBA" w:rsidRPr="00240BEA" w:rsidRDefault="001B7CBA" w:rsidP="00240BEA">
            <w:pPr>
              <w:pStyle w:val="Tabletext"/>
            </w:pPr>
            <w:r w:rsidRPr="00240BEA">
              <w:t>Initial investigations commenced</w:t>
            </w:r>
          </w:p>
        </w:tc>
        <w:tc>
          <w:tcPr>
            <w:tcW w:w="2015" w:type="dxa"/>
          </w:tcPr>
          <w:p w:rsidR="001B7CBA" w:rsidRPr="00240BEA" w:rsidRDefault="001B7CBA" w:rsidP="00240BEA">
            <w:pPr>
              <w:pStyle w:val="Tabletext-right"/>
              <w:rPr>
                <w:rFonts w:eastAsia="Calibri"/>
              </w:rPr>
            </w:pPr>
            <w:r w:rsidRPr="00240BEA">
              <w:rPr>
                <w:rFonts w:eastAsia="Calibri"/>
              </w:rPr>
              <w:t>496</w:t>
            </w:r>
          </w:p>
        </w:tc>
        <w:tc>
          <w:tcPr>
            <w:tcW w:w="2016" w:type="dxa"/>
          </w:tcPr>
          <w:p w:rsidR="001B7CBA" w:rsidRPr="00240BEA" w:rsidRDefault="001B7CBA" w:rsidP="00240BEA">
            <w:pPr>
              <w:pStyle w:val="Tabletext-right"/>
              <w:rPr>
                <w:rFonts w:eastAsia="Calibri"/>
              </w:rPr>
            </w:pPr>
            <w:r w:rsidRPr="00240BEA">
              <w:rPr>
                <w:rFonts w:eastAsia="Calibri"/>
              </w:rPr>
              <w:t>584</w:t>
            </w:r>
          </w:p>
        </w:tc>
      </w:tr>
      <w:tr w:rsidR="001B7CBA" w:rsidRPr="00240BEA" w:rsidTr="00240BEA">
        <w:tc>
          <w:tcPr>
            <w:tcW w:w="5211" w:type="dxa"/>
          </w:tcPr>
          <w:p w:rsidR="001B7CBA" w:rsidRPr="00240BEA" w:rsidRDefault="001B7CBA" w:rsidP="00240BEA">
            <w:pPr>
              <w:pStyle w:val="Tabletext"/>
            </w:pPr>
            <w:r w:rsidRPr="00240BEA">
              <w:t>In-depth investigations commenced</w:t>
            </w:r>
          </w:p>
        </w:tc>
        <w:tc>
          <w:tcPr>
            <w:tcW w:w="2015" w:type="dxa"/>
          </w:tcPr>
          <w:p w:rsidR="001B7CBA" w:rsidRPr="00240BEA" w:rsidRDefault="001B7CBA" w:rsidP="00240BEA">
            <w:pPr>
              <w:pStyle w:val="Tabletext-right"/>
              <w:rPr>
                <w:rFonts w:eastAsia="Calibri"/>
              </w:rPr>
            </w:pPr>
            <w:r w:rsidRPr="00240BEA">
              <w:rPr>
                <w:rFonts w:eastAsia="Calibri"/>
              </w:rPr>
              <w:t>131</w:t>
            </w:r>
          </w:p>
        </w:tc>
        <w:tc>
          <w:tcPr>
            <w:tcW w:w="2016" w:type="dxa"/>
          </w:tcPr>
          <w:p w:rsidR="001B7CBA" w:rsidRPr="00240BEA" w:rsidRDefault="001B7CBA" w:rsidP="00240BEA">
            <w:pPr>
              <w:pStyle w:val="Tabletext-right"/>
              <w:rPr>
                <w:rFonts w:eastAsia="Calibri"/>
              </w:rPr>
            </w:pPr>
            <w:r w:rsidRPr="00240BEA">
              <w:rPr>
                <w:rFonts w:eastAsia="Calibri"/>
              </w:rPr>
              <w:t>100</w:t>
            </w:r>
          </w:p>
        </w:tc>
      </w:tr>
      <w:tr w:rsidR="001B7CBA" w:rsidRPr="00240BEA" w:rsidTr="00240BEA">
        <w:tc>
          <w:tcPr>
            <w:tcW w:w="5211" w:type="dxa"/>
          </w:tcPr>
          <w:p w:rsidR="001B7CBA" w:rsidRPr="00240BEA" w:rsidRDefault="001B7CBA" w:rsidP="00240BEA">
            <w:pPr>
              <w:pStyle w:val="Tabletext"/>
            </w:pPr>
            <w:r w:rsidRPr="00240BEA">
              <w:t>Litigation</w:t>
            </w:r>
          </w:p>
        </w:tc>
        <w:tc>
          <w:tcPr>
            <w:tcW w:w="2015" w:type="dxa"/>
          </w:tcPr>
          <w:p w:rsidR="001B7CBA" w:rsidRPr="00240BEA" w:rsidRDefault="001B7CBA" w:rsidP="00240BEA">
            <w:pPr>
              <w:pStyle w:val="Tabletext-right"/>
              <w:rPr>
                <w:rFonts w:eastAsia="Calibri"/>
              </w:rPr>
            </w:pPr>
            <w:r w:rsidRPr="00240BEA">
              <w:rPr>
                <w:rFonts w:eastAsia="Calibri"/>
              </w:rPr>
              <w:t>27</w:t>
            </w:r>
          </w:p>
        </w:tc>
        <w:tc>
          <w:tcPr>
            <w:tcW w:w="2016" w:type="dxa"/>
          </w:tcPr>
          <w:p w:rsidR="001B7CBA" w:rsidRPr="00240BEA" w:rsidRDefault="001B7CBA" w:rsidP="00240BEA">
            <w:pPr>
              <w:pStyle w:val="Tabletext-right"/>
              <w:rPr>
                <w:rFonts w:eastAsia="Calibri"/>
              </w:rPr>
            </w:pPr>
            <w:r w:rsidRPr="00240BEA">
              <w:rPr>
                <w:rFonts w:eastAsia="Calibri"/>
              </w:rPr>
              <w:t>27</w:t>
            </w:r>
          </w:p>
        </w:tc>
      </w:tr>
    </w:tbl>
    <w:p w:rsidR="00211900" w:rsidRPr="000B408F" w:rsidRDefault="00A5210B" w:rsidP="00EF4783">
      <w:r>
        <w:t>Of course l</w:t>
      </w:r>
      <w:r w:rsidR="00211900" w:rsidRPr="000B408F">
        <w:t xml:space="preserve">itigation as a tool to achieve compliance </w:t>
      </w:r>
      <w:r w:rsidR="000B408F" w:rsidRPr="000B408F">
        <w:t xml:space="preserve">should not </w:t>
      </w:r>
      <w:r w:rsidR="00211900" w:rsidRPr="000B408F">
        <w:t xml:space="preserve">be considered in isolation. Following a successful litigation </w:t>
      </w:r>
      <w:r w:rsidR="007C24A3" w:rsidRPr="000B408F">
        <w:t>we</w:t>
      </w:r>
      <w:r w:rsidR="00211900" w:rsidRPr="000B408F">
        <w:t xml:space="preserve"> leverage that outcome across the industry to other businesses using a mix of compliance and education tools. Many education or compliance initiatives leveraged in this way successfully achieve behavioural change.</w:t>
      </w:r>
    </w:p>
    <w:p w:rsidR="00211900" w:rsidRDefault="00211900" w:rsidP="00EF4783">
      <w:r w:rsidRPr="00B82E12">
        <w:t xml:space="preserve">Likewise, many education or compliance initiatives are undertaken to address problems identified by market intelligence or increasing complaints. The use of education or compliance initiatives initially provides industry and businesses with an opportunity to proactively address the concerns we identify. In this scenario, enforcement tools are used to complement the education or compliance initiative and follow on from </w:t>
      </w:r>
      <w:r w:rsidR="007C24A3" w:rsidRPr="00B82E12">
        <w:t xml:space="preserve">us </w:t>
      </w:r>
      <w:r w:rsidRPr="00B82E12">
        <w:t>‘putting the industry on notice</w:t>
      </w:r>
      <w:r w:rsidRPr="000B408F">
        <w:t>.'</w:t>
      </w:r>
    </w:p>
    <w:p w:rsidR="008B4D01" w:rsidRDefault="000B408F" w:rsidP="00B82E12">
      <w:r>
        <w:t xml:space="preserve">However, while we provide extensive guidance to both businesses and consumers on our website and through our national compliance and education activities, we </w:t>
      </w:r>
      <w:r w:rsidR="00735F03">
        <w:t xml:space="preserve">are not resourced or structured </w:t>
      </w:r>
      <w:r>
        <w:t>to engage in individual dispute resolution activities</w:t>
      </w:r>
      <w:r w:rsidR="00880E90">
        <w:t xml:space="preserve">. </w:t>
      </w:r>
      <w:r w:rsidR="004A20EC">
        <w:t xml:space="preserve">Moreover, </w:t>
      </w:r>
      <w:r w:rsidR="002811B7">
        <w:t xml:space="preserve">each State and Territory regulator must make its own assessment of priorities within its own resource constraints. The ACCC is </w:t>
      </w:r>
      <w:r w:rsidR="00735F03">
        <w:t>not in a position</w:t>
      </w:r>
      <w:r w:rsidR="00CB32BB">
        <w:t xml:space="preserve"> to step in</w:t>
      </w:r>
      <w:r w:rsidR="002811B7">
        <w:t xml:space="preserve"> where another regulator has resource constraints or makes a different assessment of priorities </w:t>
      </w:r>
      <w:r w:rsidR="00CB32BB">
        <w:t>because</w:t>
      </w:r>
      <w:r w:rsidR="00880E90">
        <w:t xml:space="preserve"> </w:t>
      </w:r>
      <w:r w:rsidR="00CB32BB">
        <w:t xml:space="preserve">our resources are already fully allocated to national competition and consumer matters. </w:t>
      </w:r>
    </w:p>
    <w:p w:rsidR="007026FB" w:rsidRDefault="002811B7" w:rsidP="00240BEA">
      <w:r>
        <w:t>In particular</w:t>
      </w:r>
      <w:r w:rsidR="00D450A5">
        <w:t>,</w:t>
      </w:r>
      <w:r w:rsidR="00735F03">
        <w:t xml:space="preserve"> it should not be expected that ACL regulators can replicate the attention and expertise of specialist regulators and always cover residual issues </w:t>
      </w:r>
      <w:r w:rsidR="00D450A5">
        <w:t xml:space="preserve">that </w:t>
      </w:r>
      <w:r w:rsidR="005E53AD" w:rsidRPr="005E53AD">
        <w:t>are not pursued by specialist regulators</w:t>
      </w:r>
      <w:r w:rsidR="00735F03">
        <w:t>.</w:t>
      </w:r>
      <w:r w:rsidR="007026FB">
        <w:br w:type="page"/>
      </w:r>
    </w:p>
    <w:p w:rsidR="000E3A2E" w:rsidRDefault="00CD4F9B" w:rsidP="006D1DED">
      <w:pPr>
        <w:pStyle w:val="Heading1"/>
      </w:pPr>
      <w:bookmarkStart w:id="13" w:name="_Toc460333812"/>
      <w:r>
        <w:t>Regulator coordination</w:t>
      </w:r>
      <w:bookmarkEnd w:id="13"/>
    </w:p>
    <w:p w:rsidR="00084F27" w:rsidRPr="00B82E12" w:rsidRDefault="00084F27" w:rsidP="00B82E12">
      <w:pPr>
        <w:pStyle w:val="Informationrequest"/>
        <w:rPr>
          <w:rStyle w:val="Strong"/>
        </w:rPr>
      </w:pPr>
      <w:r w:rsidRPr="00B82E12">
        <w:rPr>
          <w:rStyle w:val="Strong"/>
        </w:rPr>
        <w:t>Information request (page 8)</w:t>
      </w:r>
    </w:p>
    <w:p w:rsidR="00084F27" w:rsidRPr="00084F27" w:rsidRDefault="00084F27" w:rsidP="00B82E12">
      <w:pPr>
        <w:pStyle w:val="Informationrequest"/>
      </w:pPr>
      <w:r w:rsidRPr="00084F27">
        <w:t xml:space="preserve">To what extent have issues noted in the Commission’s 2008 report — such as inconsistency, gaps and overlaps in enforcement and unclear delineation of responsibilities among regulators — been addressed by the current arrangements? To what extent have the ‘high level’ reforms documented in the implementation progress reports been reflected in improvements in ‘on the ground’ administration, compliance and enforcement of the ACL? </w:t>
      </w:r>
    </w:p>
    <w:p w:rsidR="00084F27" w:rsidRPr="00084F27" w:rsidRDefault="00084F27" w:rsidP="00B82E12">
      <w:pPr>
        <w:pStyle w:val="Informationrequest"/>
      </w:pPr>
      <w:r w:rsidRPr="00084F27">
        <w:t xml:space="preserve">What evidence or metrics are available that can be used to assess or substantiate these claims? </w:t>
      </w:r>
    </w:p>
    <w:p w:rsidR="002B2F0D" w:rsidRDefault="00084F27" w:rsidP="00B82E12">
      <w:pPr>
        <w:pStyle w:val="Informationrequest"/>
      </w:pPr>
      <w:r w:rsidRPr="00084F27">
        <w:t xml:space="preserve">What, if any, alternatives to the multiple regulator </w:t>
      </w:r>
      <w:proofErr w:type="gramStart"/>
      <w:r w:rsidRPr="00084F27">
        <w:t>model</w:t>
      </w:r>
      <w:proofErr w:type="gramEnd"/>
      <w:r w:rsidRPr="00084F27">
        <w:t xml:space="preserve"> should be considered? What benefits and costs would the alternatives have?</w:t>
      </w:r>
    </w:p>
    <w:p w:rsidR="00263710" w:rsidRPr="00B82E12" w:rsidRDefault="00263710" w:rsidP="00B82E12">
      <w:pPr>
        <w:pStyle w:val="Informationrequest"/>
        <w:rPr>
          <w:rStyle w:val="Strong"/>
        </w:rPr>
      </w:pPr>
      <w:r w:rsidRPr="00B82E12">
        <w:rPr>
          <w:rStyle w:val="Strong"/>
        </w:rPr>
        <w:t>Information request (page 11)</w:t>
      </w:r>
    </w:p>
    <w:p w:rsidR="00263710" w:rsidRPr="00084F27" w:rsidRDefault="00263710" w:rsidP="00B82E12">
      <w:pPr>
        <w:pStyle w:val="Informationrequest"/>
      </w:pPr>
      <w:r w:rsidRPr="00084F27">
        <w:t xml:space="preserve">What problems are there with the administration and enforcement of the ACL under the multiple regulator </w:t>
      </w:r>
      <w:proofErr w:type="gramStart"/>
      <w:r w:rsidRPr="00084F27">
        <w:t>model</w:t>
      </w:r>
      <w:proofErr w:type="gramEnd"/>
      <w:r w:rsidRPr="00084F27">
        <w:t xml:space="preserve"> and how could it be improved?</w:t>
      </w:r>
    </w:p>
    <w:p w:rsidR="00263710" w:rsidRPr="00263710" w:rsidRDefault="00263710" w:rsidP="00B82E12">
      <w:pPr>
        <w:pStyle w:val="Informationrequest"/>
      </w:pPr>
      <w:r w:rsidRPr="00084F27">
        <w:t>Where particular problems have arisen in the enforcement of the ACL, are these because of (a) weaknesses in the law (b) weaknesses in the way enforcement is undertaken (c) insufficient resources to enable sufficient enforcement action?</w:t>
      </w:r>
    </w:p>
    <w:p w:rsidR="006D1A88" w:rsidRDefault="006D1A88" w:rsidP="00B82E12">
      <w:r w:rsidRPr="006D1A88">
        <w:t>The proper functioning of the multi-regulator model is contingent upon Commonwealth, State and Territory regulators building and maintaining effective relationships and information sharing mechanisms and delineating roles and responsibilities and establishing a framework that facilitates collaboration and joint projects where appropriate.</w:t>
      </w:r>
    </w:p>
    <w:p w:rsidR="00A27246" w:rsidRDefault="00F83CD4" w:rsidP="00A27246">
      <w:pPr>
        <w:pStyle w:val="Heading2"/>
      </w:pPr>
      <w:bookmarkStart w:id="14" w:name="_Toc460333813"/>
      <w:r>
        <w:t>ACL r</w:t>
      </w:r>
      <w:r w:rsidR="00A27246">
        <w:t>egulator coordination</w:t>
      </w:r>
      <w:bookmarkEnd w:id="14"/>
    </w:p>
    <w:p w:rsidR="00C70602" w:rsidRDefault="00C70602" w:rsidP="00C70602">
      <w:r>
        <w:t>We work closely with all</w:t>
      </w:r>
      <w:r w:rsidR="00F83CD4">
        <w:t xml:space="preserve"> ACL r</w:t>
      </w:r>
      <w:r>
        <w:t>egulators to monitor and enforce compliance with the ACL. In addition to cooperating on joint projects aimed at</w:t>
      </w:r>
      <w:r w:rsidR="00F83CD4">
        <w:t xml:space="preserve"> reducing widespread harm, ACL r</w:t>
      </w:r>
      <w:r>
        <w:t xml:space="preserve">egulators have collaborated in responding to significant events affecting large segments of consumers and public awareness campaigns. </w:t>
      </w:r>
      <w:r w:rsidR="00EF4783">
        <w:t>Collaboration</w:t>
      </w:r>
      <w:r>
        <w:t xml:space="preserve"> promo</w:t>
      </w:r>
      <w:r w:rsidR="00F83CD4">
        <w:t>tes efficiency and enables ACL r</w:t>
      </w:r>
      <w:r>
        <w:t>egulators to form united strategies to respond quickly and decisively to significant consumer issues without unnecessary duplication or delay.</w:t>
      </w:r>
    </w:p>
    <w:p w:rsidR="00C70602" w:rsidRDefault="00C70602" w:rsidP="00C70602">
      <w:r>
        <w:t>Cooperation between ACL regulators is particularly evident in response to significant events that have the potential to cause widespread consumer detriment, such as large retailers going into receivership, businesses unilaterally cancelling services impacting large numbers of consumers and cancellations of large</w:t>
      </w:r>
      <w:r w:rsidR="00F83CD4">
        <w:t xml:space="preserve"> scale events or concerts. ACL r</w:t>
      </w:r>
      <w:r>
        <w:t>egulators will often appoint a lead regulator to negotiate consumer outcomes and manage public messaging. This ensures we are negotiating with one voice, have common media and call centre information, and are ensuring communication channels with consumers are established</w:t>
      </w:r>
      <w:r w:rsidR="00EF4783">
        <w:t>.</w:t>
      </w:r>
    </w:p>
    <w:p w:rsidR="00C70602" w:rsidRDefault="00C70602" w:rsidP="00C70602">
      <w:r>
        <w:t xml:space="preserve">Joint projects that require external funding can be achieved through an agreed funding formula amongst the Commonwealth and States. </w:t>
      </w:r>
      <w:r w:rsidR="00EF4783">
        <w:t>For example, the</w:t>
      </w:r>
      <w:r>
        <w:t xml:space="preserve"> </w:t>
      </w:r>
      <w:r w:rsidR="00EF4783">
        <w:t xml:space="preserve">guidance materials </w:t>
      </w:r>
      <w:r>
        <w:t>for consumers and businesses in the disability sector</w:t>
      </w:r>
      <w:r w:rsidR="00EF4783">
        <w:t xml:space="preserve"> is being developed and funded jointly.</w:t>
      </w:r>
    </w:p>
    <w:p w:rsidR="00931C4B" w:rsidRDefault="00480796">
      <w:r>
        <w:t>A</w:t>
      </w:r>
      <w:r w:rsidR="00C70602">
        <w:t xml:space="preserve">t times there is variation in both the resources that certain regulators may have available and the relative priority given to particular issues. In these circumstances, </w:t>
      </w:r>
      <w:r w:rsidR="00EF4783">
        <w:t xml:space="preserve">a </w:t>
      </w:r>
      <w:r w:rsidR="00C70602">
        <w:t xml:space="preserve">group of </w:t>
      </w:r>
      <w:r w:rsidR="00EF4783">
        <w:t xml:space="preserve">interested </w:t>
      </w:r>
      <w:r w:rsidR="00F83CD4">
        <w:t>ACL r</w:t>
      </w:r>
      <w:r>
        <w:t xml:space="preserve">egulators can pool their resources to </w:t>
      </w:r>
      <w:r w:rsidR="00C70602">
        <w:t xml:space="preserve">cooperate on projects. The outputs of these projects can then be supported by other ACL </w:t>
      </w:r>
      <w:r w:rsidR="00F83CD4">
        <w:t>r</w:t>
      </w:r>
      <w:r w:rsidR="00C70602">
        <w:t>egulators</w:t>
      </w:r>
      <w:r w:rsidR="00EF4783">
        <w:t>,</w:t>
      </w:r>
      <w:r w:rsidR="00C70602">
        <w:t xml:space="preserve"> </w:t>
      </w:r>
      <w:r>
        <w:t xml:space="preserve">with more limited resources, </w:t>
      </w:r>
      <w:proofErr w:type="spellStart"/>
      <w:r w:rsidR="00C70602">
        <w:t>through</w:t>
      </w:r>
      <w:proofErr w:type="spellEnd"/>
      <w:r w:rsidR="00C70602">
        <w:t>, fo</w:t>
      </w:r>
      <w:r>
        <w:t>r example, re-publishing on their web</w:t>
      </w:r>
      <w:r w:rsidR="00C70602">
        <w:t>site and promotio</w:t>
      </w:r>
      <w:r>
        <w:t>n using social media platforms.</w:t>
      </w:r>
    </w:p>
    <w:p w:rsidR="00931C4B" w:rsidRDefault="00931C4B">
      <w:r>
        <w:br w:type="page"/>
      </w:r>
    </w:p>
    <w:p w:rsidR="00C70602" w:rsidRDefault="00E3608F" w:rsidP="00B82E12">
      <w:pPr>
        <w:pStyle w:val="Tabletitle"/>
        <w:shd w:val="clear" w:color="auto" w:fill="F2F2F2" w:themeFill="background1" w:themeFillShade="F2"/>
      </w:pPr>
      <w:bookmarkStart w:id="15" w:name="_GoBack"/>
      <w:bookmarkEnd w:id="15"/>
      <w:r w:rsidRPr="00C2119A">
        <w:t xml:space="preserve">Box </w:t>
      </w:r>
      <w:r w:rsidR="009C226B" w:rsidRPr="00C2119A">
        <w:t>1</w:t>
      </w:r>
      <w:r w:rsidRPr="00C2119A">
        <w:t xml:space="preserve">: </w:t>
      </w:r>
      <w:r w:rsidR="00C70602" w:rsidRPr="00C2119A">
        <w:t>Some examples</w:t>
      </w:r>
      <w:r w:rsidR="00C70602">
        <w:t xml:space="preserve"> of successful coordination between ACL regulators</w:t>
      </w:r>
    </w:p>
    <w:p w:rsidR="00025349" w:rsidRDefault="00025349" w:rsidP="00B82E12">
      <w:pPr>
        <w:pStyle w:val="Heading4-boxed"/>
      </w:pPr>
      <w:r>
        <w:t>Property spruikers</w:t>
      </w:r>
    </w:p>
    <w:p w:rsidR="00C70602" w:rsidRDefault="00C70602" w:rsidP="00B82E12">
      <w:pPr>
        <w:shd w:val="clear" w:color="auto" w:fill="F2F2F2" w:themeFill="background1" w:themeFillShade="F2"/>
      </w:pPr>
      <w:r>
        <w:t>Launch of a national campaign to warn consumers about property spruikers promising big returns for low risk investments. This was complemented by enforcement ac</w:t>
      </w:r>
      <w:r w:rsidR="00EF4783">
        <w:t>tion by S</w:t>
      </w:r>
      <w:r>
        <w:t>tate</w:t>
      </w:r>
      <w:r w:rsidR="00EF4783">
        <w:t xml:space="preserve"> and Territory</w:t>
      </w:r>
      <w:r>
        <w:t xml:space="preserve"> </w:t>
      </w:r>
      <w:r w:rsidR="007A47F5">
        <w:t xml:space="preserve">and </w:t>
      </w:r>
      <w:r w:rsidR="00EB60E0">
        <w:t xml:space="preserve">Commonwealth </w:t>
      </w:r>
      <w:r>
        <w:t xml:space="preserve">ACL </w:t>
      </w:r>
      <w:r w:rsidR="00F83CD4">
        <w:t>r</w:t>
      </w:r>
      <w:r>
        <w:t>egulators, including proceedings against three ‘rent to buy’ businesses in Weste</w:t>
      </w:r>
      <w:r w:rsidR="00025349">
        <w:t>rn Australia.</w:t>
      </w:r>
    </w:p>
    <w:p w:rsidR="00C70602" w:rsidRDefault="00C70602" w:rsidP="00B82E12">
      <w:pPr>
        <w:shd w:val="clear" w:color="auto" w:fill="F2F2F2" w:themeFill="background1" w:themeFillShade="F2"/>
      </w:pPr>
      <w:r>
        <w:t>Following a coordinated investigation with NSW Fair Trading and assistance from Consumer Protection WA, the ACCC instituted proceedings against trader that made several claims in relation to wealth creation strategies, for example how to buy a house for $1. The ACCC also obtained a delegation from ASIC to institute proceedings under the ASIC Act to enable issues concerning financial consumer protection to be dealt with in the same proceedings.</w:t>
      </w:r>
    </w:p>
    <w:p w:rsidR="00025349" w:rsidRDefault="00025349" w:rsidP="00B82E12">
      <w:pPr>
        <w:pStyle w:val="Heading4-boxed"/>
      </w:pPr>
      <w:r>
        <w:t>Flight cancellations</w:t>
      </w:r>
    </w:p>
    <w:p w:rsidR="00C70602" w:rsidRDefault="00C70602" w:rsidP="00B82E12">
      <w:pPr>
        <w:shd w:val="clear" w:color="auto" w:fill="F2F2F2" w:themeFill="background1" w:themeFillShade="F2"/>
      </w:pPr>
      <w:r>
        <w:t xml:space="preserve">ACL </w:t>
      </w:r>
      <w:r w:rsidR="00F83CD4">
        <w:t>r</w:t>
      </w:r>
      <w:r>
        <w:t xml:space="preserve">egulators worked together to negotiating consumer outcomes in respect of cancelled flights following the grounding of various airline services. This coordinated action ensured airline staff had timely information to respond to consumer enquiries and complaints, and resulted in consumer refunds and in some cases compensation for reasonable losses. </w:t>
      </w:r>
    </w:p>
    <w:p w:rsidR="00025349" w:rsidRDefault="00025349" w:rsidP="00B82E12">
      <w:pPr>
        <w:pStyle w:val="Heading4-boxed"/>
      </w:pPr>
      <w:r>
        <w:t>VET Fee Help</w:t>
      </w:r>
    </w:p>
    <w:p w:rsidR="00C70602" w:rsidRDefault="00C70602" w:rsidP="00B82E12">
      <w:pPr>
        <w:shd w:val="clear" w:color="auto" w:fill="F2F2F2" w:themeFill="background1" w:themeFillShade="F2"/>
      </w:pPr>
      <w:r>
        <w:t xml:space="preserve">Officers from the ACCC and NSW Fair Trading formed a joint task force to investigate various education and training provider sectors, particularly with VET Fee Help providers. After </w:t>
      </w:r>
      <w:r w:rsidR="000B7630">
        <w:t>a</w:t>
      </w:r>
      <w:r>
        <w:t xml:space="preserve"> five month joint investigation the ACCC instituted civil proceedings against several private colleges. The ACCC also worked with other ACL </w:t>
      </w:r>
      <w:r w:rsidR="00F83CD4">
        <w:t>r</w:t>
      </w:r>
      <w:r>
        <w:t>egulators to produce materials to warn consumers against signing up ‘on the spot’ for a training course, and not to be swayed by offers of ‘free items’.</w:t>
      </w:r>
    </w:p>
    <w:p w:rsidR="00025349" w:rsidRDefault="00025349" w:rsidP="00B82E12">
      <w:pPr>
        <w:pStyle w:val="Heading4-boxed"/>
      </w:pPr>
      <w:r>
        <w:t>Fraud Awareness</w:t>
      </w:r>
    </w:p>
    <w:p w:rsidR="00C70602" w:rsidRDefault="00C70602" w:rsidP="00B82E12">
      <w:pPr>
        <w:shd w:val="clear" w:color="auto" w:fill="F2F2F2" w:themeFill="background1" w:themeFillShade="F2"/>
      </w:pPr>
      <w:r>
        <w:t xml:space="preserve">The ACCC chairs the Australasian Consumer Fraud Taskforce </w:t>
      </w:r>
      <w:r w:rsidR="00F83CD4">
        <w:t>(ACFT), which includes the ACL r</w:t>
      </w:r>
      <w:r>
        <w:t xml:space="preserve">egulators. The ACFT works closely with the public, private and community sectors to educate the public and disrupt scams. This coordinated response is the most effective approach to minimising consumer harm. In May 2016, ACFT’s National Consumer Fraud Week focused on scams that target older Australians, in line with the ACCC’s priority concerning vulnerable consumers. </w:t>
      </w:r>
    </w:p>
    <w:p w:rsidR="00025349" w:rsidRDefault="00025349" w:rsidP="00B82E12">
      <w:pPr>
        <w:pStyle w:val="Heading4-boxed"/>
      </w:pPr>
      <w:r>
        <w:t>Product safety</w:t>
      </w:r>
    </w:p>
    <w:p w:rsidR="00C70602" w:rsidRDefault="00C70602" w:rsidP="00B82E12">
      <w:pPr>
        <w:shd w:val="clear" w:color="auto" w:fill="F2F2F2" w:themeFill="background1" w:themeFillShade="F2"/>
      </w:pPr>
      <w:r>
        <w:t xml:space="preserve">ACL </w:t>
      </w:r>
      <w:r w:rsidR="00F83CD4">
        <w:t>r</w:t>
      </w:r>
      <w:r>
        <w:t xml:space="preserve">egulators have worked closely in relation to a range of product safety issues. </w:t>
      </w:r>
      <w:r w:rsidR="00B32B6B" w:rsidRPr="00B32B6B">
        <w:t>The ACCC regularly coordinates integrated national product safety surveillance and consumer safety education activities. We also work in complementary ways. For example,</w:t>
      </w:r>
      <w:r w:rsidR="00B32B6B">
        <w:t xml:space="preserve"> </w:t>
      </w:r>
      <w:r>
        <w:t xml:space="preserve">Consumer Affairs Victoria took action against Qantas for supplying banned small, high-powered magnets </w:t>
      </w:r>
      <w:r w:rsidR="00B32B6B">
        <w:t xml:space="preserve">that </w:t>
      </w:r>
      <w:r>
        <w:t>complemented the ACCC’</w:t>
      </w:r>
      <w:r w:rsidR="000B7630">
        <w:t xml:space="preserve">s </w:t>
      </w:r>
      <w:r w:rsidR="00B32B6B">
        <w:t xml:space="preserve">compliance and </w:t>
      </w:r>
      <w:r w:rsidR="000B7630">
        <w:t>enforcement work in the area.</w:t>
      </w:r>
    </w:p>
    <w:p w:rsidR="00025349" w:rsidRDefault="00C70602" w:rsidP="00B82E12">
      <w:pPr>
        <w:pStyle w:val="Heading4-boxed"/>
      </w:pPr>
      <w:r>
        <w:t>Most Comp</w:t>
      </w:r>
      <w:r w:rsidR="00025349">
        <w:t>lained About Business</w:t>
      </w:r>
      <w:r w:rsidR="00F27C10">
        <w:t>es</w:t>
      </w:r>
      <w:r w:rsidR="00025349">
        <w:t xml:space="preserve"> Project</w:t>
      </w:r>
    </w:p>
    <w:p w:rsidR="00C70602" w:rsidRDefault="00025349" w:rsidP="00B82E12">
      <w:pPr>
        <w:shd w:val="clear" w:color="auto" w:fill="F2F2F2" w:themeFill="background1" w:themeFillShade="F2"/>
      </w:pPr>
      <w:r>
        <w:t>T</w:t>
      </w:r>
      <w:r w:rsidR="00C70602">
        <w:t xml:space="preserve">his </w:t>
      </w:r>
      <w:r w:rsidR="00F27C10" w:rsidRPr="00F27C10">
        <w:t>Consumer Affairs Victoria</w:t>
      </w:r>
      <w:r w:rsidR="00524C4A" w:rsidRPr="00F27C10">
        <w:t xml:space="preserve">-led </w:t>
      </w:r>
      <w:r w:rsidR="00C70602">
        <w:t>project is focused on reducing the compl</w:t>
      </w:r>
      <w:r w:rsidR="00F83CD4">
        <w:t>aints made by consumers to ACL r</w:t>
      </w:r>
      <w:r w:rsidR="00C70602">
        <w:t xml:space="preserve">egulators. There was extensive data sharing amongst ACL </w:t>
      </w:r>
      <w:r w:rsidR="00F83CD4">
        <w:t>r</w:t>
      </w:r>
      <w:r w:rsidR="00C70602">
        <w:t xml:space="preserve">egulators to identify which businesses </w:t>
      </w:r>
      <w:proofErr w:type="gramStart"/>
      <w:r w:rsidR="000B7630">
        <w:t xml:space="preserve">are </w:t>
      </w:r>
      <w:r w:rsidR="00C70602">
        <w:t>the most</w:t>
      </w:r>
      <w:proofErr w:type="gramEnd"/>
      <w:r w:rsidR="00C70602">
        <w:t xml:space="preserve"> complained about. The emphasis of this projec</w:t>
      </w:r>
      <w:r w:rsidR="00F83CD4">
        <w:t>t is to enable a nominated ACL r</w:t>
      </w:r>
      <w:r w:rsidR="00C70602">
        <w:t xml:space="preserve">egulator to take the lead with the business to explain the project and seek an explanation from the business on what steps they will undertake to </w:t>
      </w:r>
      <w:r w:rsidR="000B7630">
        <w:t xml:space="preserve">address and </w:t>
      </w:r>
      <w:r w:rsidR="00C70602">
        <w:t xml:space="preserve">reduce complaints. The businesses targeted by this project are generally large businesses that are well resourced and have extensive legal and compliance teams. The project is focused on number of complaints not proportionality of complaints or </w:t>
      </w:r>
      <w:r w:rsidR="000B7630">
        <w:t xml:space="preserve">any </w:t>
      </w:r>
      <w:r w:rsidR="00C70602">
        <w:t xml:space="preserve">detriment that arises. Many of the complaints </w:t>
      </w:r>
      <w:r w:rsidR="000B7630">
        <w:t xml:space="preserve">related to </w:t>
      </w:r>
      <w:r w:rsidR="00C70602">
        <w:t xml:space="preserve">poor customer service policies and individual disputes rather than wider non-compliance with the ACL. </w:t>
      </w:r>
      <w:r w:rsidR="000B7630">
        <w:t>Although, i</w:t>
      </w:r>
      <w:r w:rsidR="00C70602">
        <w:t>n some cases</w:t>
      </w:r>
      <w:r w:rsidR="000B7630">
        <w:t>,</w:t>
      </w:r>
      <w:r w:rsidR="00C70602">
        <w:t xml:space="preserve"> the complaints have </w:t>
      </w:r>
      <w:r w:rsidR="000B7630">
        <w:t>highlighted a wider non-compliance issue.</w:t>
      </w:r>
    </w:p>
    <w:p w:rsidR="006D1A88" w:rsidRDefault="006D1A88" w:rsidP="00B82E12">
      <w:r w:rsidRPr="006D1A88">
        <w:t xml:space="preserve">The ACL </w:t>
      </w:r>
      <w:r w:rsidR="001F09A1">
        <w:t>r</w:t>
      </w:r>
      <w:r w:rsidRPr="006D1A88">
        <w:t>egulators have regular formal and informal contact.</w:t>
      </w:r>
      <w:r>
        <w:t xml:space="preserve"> </w:t>
      </w:r>
      <w:r w:rsidRPr="006D1A88">
        <w:t>There are a number of formal committees that meet on monthly basis to co</w:t>
      </w:r>
      <w:r w:rsidR="001F09A1">
        <w:t>ordinate the activities of ACL r</w:t>
      </w:r>
      <w:r w:rsidRPr="006D1A88">
        <w:t xml:space="preserve">egulators, including </w:t>
      </w:r>
      <w:r w:rsidRPr="000501BE">
        <w:t>C</w:t>
      </w:r>
      <w:r w:rsidR="000501BE" w:rsidRPr="000501BE">
        <w:t xml:space="preserve">ompliance and </w:t>
      </w:r>
      <w:r w:rsidRPr="000501BE">
        <w:t>D</w:t>
      </w:r>
      <w:r w:rsidR="000501BE" w:rsidRPr="000501BE">
        <w:t xml:space="preserve">ispute </w:t>
      </w:r>
      <w:r w:rsidRPr="000501BE">
        <w:t>R</w:t>
      </w:r>
      <w:r w:rsidR="000501BE" w:rsidRPr="000501BE">
        <w:t xml:space="preserve">esolution </w:t>
      </w:r>
      <w:r w:rsidRPr="000501BE">
        <w:t>A</w:t>
      </w:r>
      <w:r w:rsidR="000501BE" w:rsidRPr="000501BE">
        <w:t xml:space="preserve">dvisory </w:t>
      </w:r>
      <w:r w:rsidRPr="000501BE">
        <w:t>C</w:t>
      </w:r>
      <w:r w:rsidR="000501BE" w:rsidRPr="000501BE">
        <w:t>ommittee</w:t>
      </w:r>
      <w:r w:rsidR="00F27C10">
        <w:t xml:space="preserve"> (CDRAC)</w:t>
      </w:r>
      <w:r w:rsidRPr="000501BE">
        <w:t xml:space="preserve">, and </w:t>
      </w:r>
      <w:r w:rsidR="000501BE" w:rsidRPr="006C2747">
        <w:t xml:space="preserve">Policy </w:t>
      </w:r>
      <w:r w:rsidR="000501BE">
        <w:t>and Research Advisory Committee</w:t>
      </w:r>
      <w:r w:rsidR="000501BE" w:rsidRPr="000501BE">
        <w:t xml:space="preserve"> </w:t>
      </w:r>
      <w:r w:rsidR="000501BE">
        <w:t>(</w:t>
      </w:r>
      <w:r w:rsidRPr="000501BE">
        <w:t>PRAC</w:t>
      </w:r>
      <w:r w:rsidR="000501BE">
        <w:t>)</w:t>
      </w:r>
      <w:r w:rsidRPr="006D1A88">
        <w:t>. These committees are focused on operational issues and seek to identify what actions agencies are taking with respect to particular issues and conduct.</w:t>
      </w:r>
      <w:r w:rsidR="000B7630">
        <w:t xml:space="preserve"> </w:t>
      </w:r>
      <w:r w:rsidR="000B7630" w:rsidRPr="006D1A88">
        <w:t xml:space="preserve">Operational committees like CDRAC </w:t>
      </w:r>
      <w:r w:rsidR="000B7630">
        <w:t>a</w:t>
      </w:r>
      <w:r w:rsidR="000B7630" w:rsidRPr="006D1A88">
        <w:t xml:space="preserve">nd PRAC often </w:t>
      </w:r>
      <w:r w:rsidR="000B7630">
        <w:t>establish</w:t>
      </w:r>
      <w:r w:rsidR="000B7630" w:rsidRPr="006D1A88">
        <w:t xml:space="preserve"> sub committees </w:t>
      </w:r>
      <w:r w:rsidR="000B7630">
        <w:t xml:space="preserve">that </w:t>
      </w:r>
      <w:r w:rsidR="000B7630" w:rsidRPr="006D1A88">
        <w:t xml:space="preserve">focus on a particular task or project. </w:t>
      </w:r>
      <w:r w:rsidR="00B32B6B" w:rsidRPr="00B32B6B">
        <w:t xml:space="preserve">For example, CDRAC </w:t>
      </w:r>
      <w:r w:rsidR="002B0BDE">
        <w:t>created the</w:t>
      </w:r>
      <w:r w:rsidR="00B32B6B" w:rsidRPr="00B32B6B">
        <w:t xml:space="preserve"> Product Safety Operations Group (PSOG</w:t>
      </w:r>
      <w:r w:rsidR="00FE48FD" w:rsidRPr="00B32B6B">
        <w:t>)</w:t>
      </w:r>
      <w:r w:rsidR="00FE48FD">
        <w:t xml:space="preserve"> </w:t>
      </w:r>
      <w:r w:rsidR="00215CF5">
        <w:t>to coordinate joint product safety activities</w:t>
      </w:r>
      <w:r w:rsidR="00B32B6B" w:rsidRPr="00B32B6B">
        <w:t xml:space="preserve">. </w:t>
      </w:r>
      <w:r w:rsidR="000B7630" w:rsidRPr="006D1A88">
        <w:t>These project groups also meet regularly.</w:t>
      </w:r>
      <w:r w:rsidR="000B7630">
        <w:t xml:space="preserve"> </w:t>
      </w:r>
      <w:r w:rsidRPr="006D1A88">
        <w:t xml:space="preserve">Other committees like </w:t>
      </w:r>
      <w:r w:rsidRPr="000501BE">
        <w:t>E</w:t>
      </w:r>
      <w:r w:rsidR="000501BE" w:rsidRPr="000501BE">
        <w:t xml:space="preserve">ducation and </w:t>
      </w:r>
      <w:r w:rsidRPr="000501BE">
        <w:t>I</w:t>
      </w:r>
      <w:r w:rsidR="000501BE" w:rsidRPr="000501BE">
        <w:t xml:space="preserve">nformation </w:t>
      </w:r>
      <w:r w:rsidRPr="000501BE">
        <w:t>A</w:t>
      </w:r>
      <w:r w:rsidR="000501BE" w:rsidRPr="000501BE">
        <w:t xml:space="preserve">dvisory </w:t>
      </w:r>
      <w:r w:rsidRPr="000501BE">
        <w:t>C</w:t>
      </w:r>
      <w:r w:rsidR="000501BE" w:rsidRPr="000501BE">
        <w:t>ommittee</w:t>
      </w:r>
      <w:r w:rsidR="000501BE">
        <w:t xml:space="preserve"> (EIAC)</w:t>
      </w:r>
      <w:r w:rsidRPr="006D1A88">
        <w:t xml:space="preserve"> have a slightly different focus</w:t>
      </w:r>
      <w:r w:rsidR="000B7630">
        <w:t>.</w:t>
      </w:r>
      <w:r w:rsidRPr="006D1A88">
        <w:t xml:space="preserve"> </w:t>
      </w:r>
      <w:r w:rsidR="000B7630">
        <w:t>T</w:t>
      </w:r>
      <w:r w:rsidRPr="006D1A88">
        <w:t xml:space="preserve">he objective is delivering collateral or education material that can be used or shared amongst ACL </w:t>
      </w:r>
      <w:r w:rsidR="001F09A1">
        <w:t>r</w:t>
      </w:r>
      <w:r>
        <w:t>egulators</w:t>
      </w:r>
      <w:r w:rsidRPr="006D1A88">
        <w:t>.</w:t>
      </w:r>
    </w:p>
    <w:p w:rsidR="006D1A88" w:rsidRPr="006D1A88" w:rsidRDefault="006D1A88" w:rsidP="00B82E12">
      <w:r w:rsidRPr="006D1A88">
        <w:t xml:space="preserve">These committees were established to focus on key issues impacting on all ACL </w:t>
      </w:r>
      <w:r w:rsidR="001F09A1">
        <w:t>r</w:t>
      </w:r>
      <w:r w:rsidRPr="006D1A88">
        <w:t xml:space="preserve">egulators. </w:t>
      </w:r>
      <w:r w:rsidR="00F577BB">
        <w:t>However, i</w:t>
      </w:r>
      <w:r w:rsidRPr="006D1A88">
        <w:t xml:space="preserve">n </w:t>
      </w:r>
      <w:r w:rsidR="00F577BB">
        <w:t xml:space="preserve">some </w:t>
      </w:r>
      <w:r w:rsidRPr="006D1A88">
        <w:t xml:space="preserve">cases, the issues that the </w:t>
      </w:r>
      <w:r w:rsidR="000B7630">
        <w:t>c</w:t>
      </w:r>
      <w:r w:rsidRPr="006D1A88">
        <w:t>ommittee</w:t>
      </w:r>
      <w:r w:rsidR="00F577BB">
        <w:t xml:space="preserve"> or sub-committee </w:t>
      </w:r>
      <w:r w:rsidRPr="006D1A88">
        <w:t>deal</w:t>
      </w:r>
      <w:r w:rsidR="00F577BB">
        <w:t>s</w:t>
      </w:r>
      <w:r w:rsidRPr="006D1A88">
        <w:t xml:space="preserve"> </w:t>
      </w:r>
      <w:r w:rsidR="00F577BB">
        <w:t xml:space="preserve">with </w:t>
      </w:r>
      <w:r>
        <w:t xml:space="preserve">may be of </w:t>
      </w:r>
      <w:r w:rsidRPr="006D1A88">
        <w:t xml:space="preserve">limited utility to </w:t>
      </w:r>
      <w:r>
        <w:t xml:space="preserve">one or more </w:t>
      </w:r>
      <w:r w:rsidRPr="006D1A88">
        <w:t xml:space="preserve">ACL </w:t>
      </w:r>
      <w:r w:rsidR="001F09A1">
        <w:t>r</w:t>
      </w:r>
      <w:r w:rsidRPr="006D1A88">
        <w:t>egulator – with some regulators more interested in some issues compared to others.</w:t>
      </w:r>
      <w:r w:rsidR="000B7630">
        <w:t xml:space="preserve"> T</w:t>
      </w:r>
      <w:r w:rsidRPr="006D1A88">
        <w:t xml:space="preserve">he </w:t>
      </w:r>
      <w:r w:rsidR="000B7630">
        <w:t>c</w:t>
      </w:r>
      <w:r w:rsidRPr="006D1A88">
        <w:t xml:space="preserve">ommittees </w:t>
      </w:r>
      <w:r w:rsidR="000B7630">
        <w:t xml:space="preserve">may </w:t>
      </w:r>
      <w:r w:rsidRPr="006D1A88">
        <w:t xml:space="preserve">focus on non-ACL issues </w:t>
      </w:r>
      <w:r w:rsidR="00F577BB">
        <w:t xml:space="preserve">and instead address </w:t>
      </w:r>
      <w:r w:rsidRPr="006D1A88">
        <w:t xml:space="preserve">specialist consumer laws or issues that might be </w:t>
      </w:r>
      <w:r w:rsidR="00F577BB">
        <w:t xml:space="preserve">relevant only to State or Territory </w:t>
      </w:r>
      <w:r w:rsidRPr="006D1A88">
        <w:t xml:space="preserve">ACL </w:t>
      </w:r>
      <w:r w:rsidR="001F09A1">
        <w:t>r</w:t>
      </w:r>
      <w:r w:rsidRPr="006D1A88">
        <w:t>egulators, for example</w:t>
      </w:r>
      <w:r>
        <w:t>,</w:t>
      </w:r>
      <w:r w:rsidRPr="006D1A88">
        <w:t xml:space="preserve"> licensing of real estate agencies.</w:t>
      </w:r>
    </w:p>
    <w:p w:rsidR="00C856A3" w:rsidRPr="006D1A88" w:rsidRDefault="000B7630" w:rsidP="00B82E12">
      <w:r>
        <w:t>In addition, t</w:t>
      </w:r>
      <w:r w:rsidR="006D1A88" w:rsidRPr="006D1A88">
        <w:t xml:space="preserve">here is extensive </w:t>
      </w:r>
      <w:r w:rsidR="006D1A88">
        <w:t xml:space="preserve">informal </w:t>
      </w:r>
      <w:r w:rsidR="006D1A88" w:rsidRPr="006D1A88">
        <w:t xml:space="preserve">engagement </w:t>
      </w:r>
      <w:r>
        <w:t xml:space="preserve">between </w:t>
      </w:r>
      <w:r w:rsidR="006D1A88" w:rsidRPr="006D1A88">
        <w:t xml:space="preserve">ACL </w:t>
      </w:r>
      <w:r w:rsidR="001F09A1">
        <w:t>r</w:t>
      </w:r>
      <w:r w:rsidR="006D1A88" w:rsidRPr="006D1A88">
        <w:t xml:space="preserve">egulators. </w:t>
      </w:r>
      <w:r w:rsidR="00F577BB">
        <w:t>For example, w</w:t>
      </w:r>
      <w:r w:rsidR="006D1A88" w:rsidRPr="006D1A88">
        <w:t xml:space="preserve">hen </w:t>
      </w:r>
      <w:r w:rsidR="001F09A1">
        <w:t>an ACL r</w:t>
      </w:r>
      <w:r w:rsidR="00DB5F3B">
        <w:t xml:space="preserve">egulator </w:t>
      </w:r>
      <w:r>
        <w:t xml:space="preserve">that </w:t>
      </w:r>
      <w:r w:rsidR="00DB5F3B">
        <w:t>is investigating a business is aware that</w:t>
      </w:r>
      <w:r w:rsidR="001F09A1">
        <w:t xml:space="preserve"> another ACL r</w:t>
      </w:r>
      <w:r w:rsidR="00F577BB">
        <w:t xml:space="preserve">egulator has </w:t>
      </w:r>
      <w:r w:rsidRPr="006D1A88">
        <w:t>previously</w:t>
      </w:r>
      <w:r>
        <w:t xml:space="preserve"> </w:t>
      </w:r>
      <w:r w:rsidR="006D1A88">
        <w:t xml:space="preserve">investigated </w:t>
      </w:r>
      <w:r w:rsidR="00DB5F3B">
        <w:t xml:space="preserve">the same </w:t>
      </w:r>
      <w:r w:rsidR="006D1A88" w:rsidRPr="006D1A88">
        <w:t xml:space="preserve">business, </w:t>
      </w:r>
      <w:r w:rsidR="00F577BB">
        <w:t xml:space="preserve">the agency </w:t>
      </w:r>
      <w:r w:rsidRPr="00F81991">
        <w:t xml:space="preserve">current investigating </w:t>
      </w:r>
      <w:r w:rsidR="00F577BB" w:rsidRPr="00F81991">
        <w:t xml:space="preserve">will </w:t>
      </w:r>
      <w:r w:rsidR="006D1A88" w:rsidRPr="00F81991">
        <w:t xml:space="preserve">often request that </w:t>
      </w:r>
      <w:r w:rsidR="00F577BB" w:rsidRPr="00F81991">
        <w:t xml:space="preserve">the </w:t>
      </w:r>
      <w:r w:rsidRPr="00F81991">
        <w:t xml:space="preserve">other </w:t>
      </w:r>
      <w:r w:rsidR="006D1A88" w:rsidRPr="00F81991">
        <w:t xml:space="preserve">provide background on </w:t>
      </w:r>
      <w:r w:rsidR="00DB5F3B" w:rsidRPr="00F81991">
        <w:t xml:space="preserve">the business and </w:t>
      </w:r>
      <w:r w:rsidR="006D1A88" w:rsidRPr="00F81991">
        <w:t>previous actions.</w:t>
      </w:r>
      <w:r w:rsidR="00C856A3" w:rsidRPr="00F81991">
        <w:t xml:space="preserve"> Extensive requests for complaints data from fellow ACL </w:t>
      </w:r>
      <w:r w:rsidR="001F09A1">
        <w:t>r</w:t>
      </w:r>
      <w:r w:rsidR="00C856A3" w:rsidRPr="00F81991">
        <w:t>egulators are common.</w:t>
      </w:r>
    </w:p>
    <w:p w:rsidR="00FB0AA7" w:rsidRDefault="00523274" w:rsidP="00B82E12">
      <w:r>
        <w:t>At times we refer</w:t>
      </w:r>
      <w:r w:rsidR="00C40F1D">
        <w:t xml:space="preserve"> </w:t>
      </w:r>
      <w:r>
        <w:t xml:space="preserve">individual </w:t>
      </w:r>
      <w:r w:rsidR="00C40F1D">
        <w:t xml:space="preserve">matters to State and Territory and specialist regulators, </w:t>
      </w:r>
      <w:r>
        <w:t>as we do not engage in conciliation or dispute resolution. W</w:t>
      </w:r>
      <w:r w:rsidR="00FA6054">
        <w:t xml:space="preserve">e </w:t>
      </w:r>
      <w:r>
        <w:t xml:space="preserve">can also </w:t>
      </w:r>
      <w:r w:rsidR="00FA6054">
        <w:t xml:space="preserve">refer matters to mediators or other alternative dispute resolution </w:t>
      </w:r>
      <w:r w:rsidR="0026098D">
        <w:t xml:space="preserve">arrangements, such as industry and small business </w:t>
      </w:r>
      <w:r w:rsidR="0026098D" w:rsidRPr="0026098D">
        <w:t>ombudsmen</w:t>
      </w:r>
      <w:r w:rsidR="00FA6054">
        <w:t>.</w:t>
      </w:r>
      <w:r w:rsidR="00FB0AA7">
        <w:t xml:space="preserve"> Separate to the ACL, w</w:t>
      </w:r>
      <w:r w:rsidR="008227C9">
        <w:t xml:space="preserve">e have </w:t>
      </w:r>
      <w:r w:rsidR="00FB0AA7">
        <w:t>responsibility for</w:t>
      </w:r>
      <w:r w:rsidR="00FB0AA7" w:rsidRPr="00FB0AA7">
        <w:t xml:space="preserve"> five mandatory industry codes that are prescribed under the </w:t>
      </w:r>
      <w:r w:rsidR="00FB0AA7" w:rsidRPr="00B82E12">
        <w:rPr>
          <w:rStyle w:val="Emphasis"/>
        </w:rPr>
        <w:t>Competition and Consumer Act 2010</w:t>
      </w:r>
      <w:r w:rsidR="00FB0AA7">
        <w:t xml:space="preserve">, including the Franchising Code and the </w:t>
      </w:r>
      <w:r w:rsidR="00FB0AA7" w:rsidRPr="00FB0AA7">
        <w:t>Horticulture Code</w:t>
      </w:r>
      <w:r w:rsidR="00FB0AA7">
        <w:t xml:space="preserve">, and as a result </w:t>
      </w:r>
      <w:r w:rsidR="002E20CE">
        <w:t>engage significantly</w:t>
      </w:r>
      <w:r w:rsidR="00FB0AA7">
        <w:t xml:space="preserve"> with </w:t>
      </w:r>
      <w:r w:rsidR="002E20CE">
        <w:t xml:space="preserve">the </w:t>
      </w:r>
      <w:r w:rsidR="00FB0AA7">
        <w:t>small busines</w:t>
      </w:r>
      <w:r w:rsidR="002E20CE">
        <w:t>s sector</w:t>
      </w:r>
      <w:r w:rsidR="00FB0AA7">
        <w:t>, particularly through our compliance and education work</w:t>
      </w:r>
      <w:r w:rsidR="00A11232">
        <w:t xml:space="preserve"> and take enforcement action where required</w:t>
      </w:r>
      <w:r w:rsidR="00FB0AA7">
        <w:t>.</w:t>
      </w:r>
      <w:r w:rsidR="000650E8">
        <w:t xml:space="preserve"> </w:t>
      </w:r>
      <w:r w:rsidR="00FB0AA7">
        <w:t xml:space="preserve">Responsibility for these codes is not shared by </w:t>
      </w:r>
      <w:r w:rsidR="002E20CE">
        <w:t xml:space="preserve">the </w:t>
      </w:r>
      <w:r w:rsidR="00FB0AA7">
        <w:t>State</w:t>
      </w:r>
      <w:r w:rsidR="002E20CE">
        <w:t>s and Territories</w:t>
      </w:r>
      <w:r w:rsidR="00FB0AA7">
        <w:t xml:space="preserve"> </w:t>
      </w:r>
      <w:r w:rsidR="000650E8">
        <w:t>so these issues are not typically dealt with by State and Territory ACL regulators.</w:t>
      </w:r>
      <w:r w:rsidR="00FB0AA7">
        <w:t xml:space="preserve"> </w:t>
      </w:r>
      <w:proofErr w:type="gramStart"/>
      <w:r w:rsidR="000650E8">
        <w:t>However</w:t>
      </w:r>
      <w:proofErr w:type="gramEnd"/>
      <w:r w:rsidR="00FB0AA7">
        <w:t xml:space="preserve"> </w:t>
      </w:r>
      <w:r w:rsidR="000650E8">
        <w:t>a number of States and Territories</w:t>
      </w:r>
      <w:r w:rsidR="00FB0AA7">
        <w:t xml:space="preserve"> </w:t>
      </w:r>
      <w:r w:rsidR="000650E8">
        <w:t xml:space="preserve">have </w:t>
      </w:r>
      <w:r w:rsidR="00FB0AA7">
        <w:t xml:space="preserve">small business commissioners or ombudsman, which can deal with small business issues </w:t>
      </w:r>
      <w:r w:rsidR="000650E8">
        <w:t xml:space="preserve">which may arise </w:t>
      </w:r>
      <w:r w:rsidR="00FB0AA7">
        <w:t>under the ACL</w:t>
      </w:r>
      <w:r w:rsidR="00A11232">
        <w:t xml:space="preserve"> through a conciliation but not an enforcement framework</w:t>
      </w:r>
      <w:r w:rsidR="00FB0AA7">
        <w:t xml:space="preserve">. </w:t>
      </w:r>
    </w:p>
    <w:p w:rsidR="007747AD" w:rsidRDefault="007747AD" w:rsidP="00B82E12">
      <w:r>
        <w:t xml:space="preserve">From time to time, State or Territory </w:t>
      </w:r>
      <w:r w:rsidRPr="006D1A88">
        <w:t xml:space="preserve">ACL </w:t>
      </w:r>
      <w:r w:rsidR="001F09A1">
        <w:t>r</w:t>
      </w:r>
      <w:r w:rsidRPr="006D1A88">
        <w:t xml:space="preserve">egulators </w:t>
      </w:r>
      <w:r>
        <w:t xml:space="preserve">may </w:t>
      </w:r>
      <w:r w:rsidRPr="006D1A88">
        <w:t xml:space="preserve">seek to refer matters to </w:t>
      </w:r>
      <w:r>
        <w:t xml:space="preserve">us </w:t>
      </w:r>
      <w:r w:rsidRPr="006D1A88">
        <w:t xml:space="preserve">for conciliation or dispute resolution because </w:t>
      </w:r>
      <w:r>
        <w:t xml:space="preserve">we have </w:t>
      </w:r>
      <w:r w:rsidRPr="006D1A88">
        <w:t xml:space="preserve">previously taken enforcement action </w:t>
      </w:r>
      <w:r>
        <w:t>against a business</w:t>
      </w:r>
      <w:r w:rsidRPr="006D1A88">
        <w:t xml:space="preserve">. </w:t>
      </w:r>
      <w:r>
        <w:t xml:space="preserve">We reject these </w:t>
      </w:r>
      <w:r w:rsidRPr="006D1A88">
        <w:t xml:space="preserve">referrals </w:t>
      </w:r>
      <w:r>
        <w:t>as we do not engage in conciliation or dispute resolution</w:t>
      </w:r>
      <w:r w:rsidR="00F27C10">
        <w:t xml:space="preserve">, although we note them for </w:t>
      </w:r>
      <w:r w:rsidR="006D7E4E">
        <w:t xml:space="preserve">the purpose of </w:t>
      </w:r>
      <w:r w:rsidR="00F61642">
        <w:t>monitoring the conduct of</w:t>
      </w:r>
      <w:r w:rsidR="00F27C10">
        <w:t xml:space="preserve"> </w:t>
      </w:r>
      <w:r w:rsidR="006D7E4E">
        <w:t>the business</w:t>
      </w:r>
      <w:r w:rsidRPr="006D1A88">
        <w:t>.</w:t>
      </w:r>
      <w:r>
        <w:t xml:space="preserve"> </w:t>
      </w:r>
    </w:p>
    <w:p w:rsidR="00C856A3" w:rsidRDefault="00C856A3" w:rsidP="00B82E12">
      <w:r w:rsidRPr="006D1A88">
        <w:t xml:space="preserve">ACL </w:t>
      </w:r>
      <w:r w:rsidR="001F09A1">
        <w:t>r</w:t>
      </w:r>
      <w:r w:rsidRPr="006D1A88">
        <w:t xml:space="preserve">egulators </w:t>
      </w:r>
      <w:r>
        <w:t xml:space="preserve">regularly discuss </w:t>
      </w:r>
      <w:r w:rsidRPr="006D1A88">
        <w:t xml:space="preserve">what </w:t>
      </w:r>
      <w:r>
        <w:t xml:space="preserve">compliance or enforcement </w:t>
      </w:r>
      <w:r w:rsidRPr="006D1A88">
        <w:t>tool</w:t>
      </w:r>
      <w:r>
        <w:t xml:space="preserve">s are most appropriate </w:t>
      </w:r>
      <w:r w:rsidRPr="006D1A88">
        <w:t>to use</w:t>
      </w:r>
      <w:r>
        <w:t xml:space="preserve"> for a given matter. These discussions often involve </w:t>
      </w:r>
      <w:r w:rsidRPr="006D1A88">
        <w:t>extensive negotiation and discussion.</w:t>
      </w:r>
    </w:p>
    <w:p w:rsidR="00C856A3" w:rsidRDefault="001F09A1" w:rsidP="00B82E12">
      <w:r>
        <w:t>ACL r</w:t>
      </w:r>
      <w:r w:rsidR="006D1A88" w:rsidRPr="006D1A88">
        <w:t>egulators aim to ensure that there is ‘no wrong door’ for a consumer that is seeking assistance with consumer issues. However, there are still occasions where consumers are incorrectly or unnecessarily r</w:t>
      </w:r>
      <w:r>
        <w:t>eferred to or from another r</w:t>
      </w:r>
      <w:r w:rsidR="006D1A88" w:rsidRPr="006D1A88">
        <w:t xml:space="preserve">egulator on the basis </w:t>
      </w:r>
      <w:r w:rsidR="00317100">
        <w:t>of</w:t>
      </w:r>
      <w:r w:rsidR="00317100" w:rsidRPr="006D1A88">
        <w:t xml:space="preserve"> </w:t>
      </w:r>
      <w:r w:rsidR="006D1A88" w:rsidRPr="006D1A88">
        <w:t>jurisdiction.</w:t>
      </w:r>
      <w:r w:rsidR="00C856A3">
        <w:t xml:space="preserve"> </w:t>
      </w:r>
      <w:r w:rsidR="00F61642">
        <w:t>This may arise because of</w:t>
      </w:r>
      <w:r w:rsidR="00C856A3" w:rsidRPr="006D1A88">
        <w:t xml:space="preserve"> </w:t>
      </w:r>
      <w:r w:rsidR="000B1CAE">
        <w:t xml:space="preserve">a </w:t>
      </w:r>
      <w:r w:rsidR="00C856A3" w:rsidRPr="006D1A88">
        <w:t xml:space="preserve">narrow (or technical) interpretation of their jurisdiction </w:t>
      </w:r>
      <w:r w:rsidR="00F61642">
        <w:t>or be a communication issue, where a decision not to act on a matter is explained in term</w:t>
      </w:r>
      <w:r w:rsidR="002B0BDE">
        <w:t>s</w:t>
      </w:r>
      <w:r w:rsidR="00F61642">
        <w:t xml:space="preserve"> of jurisdiction rather than prioritisation.</w:t>
      </w:r>
    </w:p>
    <w:p w:rsidR="00C70602" w:rsidRDefault="00C70602" w:rsidP="00C70602">
      <w:r w:rsidRPr="006C2DE7">
        <w:t xml:space="preserve">It is not uncommon for a complainant, be it an individual, business or lobby group, to send the same complaint to multiple regulators. </w:t>
      </w:r>
      <w:r w:rsidR="006C2DE7">
        <w:t xml:space="preserve">This can result in inefficient and ineffective use of resources </w:t>
      </w:r>
      <w:r w:rsidRPr="006C2DE7">
        <w:t xml:space="preserve">and does not </w:t>
      </w:r>
      <w:r w:rsidR="006C2DE7">
        <w:t xml:space="preserve">necessarily </w:t>
      </w:r>
      <w:r w:rsidRPr="006C2DE7">
        <w:t>lead to improved outcomes for complainant</w:t>
      </w:r>
      <w:r w:rsidR="006C2DE7">
        <w:t>s</w:t>
      </w:r>
      <w:r w:rsidRPr="006C2DE7">
        <w:t>.</w:t>
      </w:r>
      <w:r w:rsidR="006C2DE7">
        <w:t xml:space="preserve"> Greater clarity from complainants as to which regulators they have lodged the complaint with and why, as well as more effective coordination of such complaints by regulators could address this issue.</w:t>
      </w:r>
    </w:p>
    <w:p w:rsidR="002B2F0D" w:rsidRPr="00863A4E" w:rsidRDefault="002B2F0D" w:rsidP="00863A4E">
      <w:pPr>
        <w:pStyle w:val="Heading2"/>
      </w:pPr>
      <w:bookmarkStart w:id="16" w:name="_Toc460333814"/>
      <w:r w:rsidRPr="00863A4E">
        <w:t>Product safety</w:t>
      </w:r>
      <w:r w:rsidR="00863A4E">
        <w:t xml:space="preserve"> </w:t>
      </w:r>
      <w:r w:rsidR="00294375">
        <w:t xml:space="preserve">ACL </w:t>
      </w:r>
      <w:r w:rsidR="00863A4E">
        <w:t>regulator coordination</w:t>
      </w:r>
      <w:bookmarkEnd w:id="16"/>
    </w:p>
    <w:p w:rsidR="00294375" w:rsidRPr="00347349" w:rsidRDefault="001002F5" w:rsidP="00667958">
      <w:r w:rsidRPr="00347349">
        <w:t>We</w:t>
      </w:r>
      <w:r w:rsidR="00FD5CF6" w:rsidRPr="00347349">
        <w:t xml:space="preserve"> work with the other ACL regulators to devise coordinated compliance programs for product safety requirements, removing unsafe products from the marketplace, reminding suppliers about their obligations under the relevant mandatory standard and enforcement action where appropriate. These programs </w:t>
      </w:r>
      <w:proofErr w:type="gramStart"/>
      <w:r w:rsidR="00FD5CF6" w:rsidRPr="00347349">
        <w:t>are undertaken</w:t>
      </w:r>
      <w:proofErr w:type="gramEnd"/>
      <w:r w:rsidR="00FD5CF6" w:rsidRPr="00347349">
        <w:t xml:space="preserve"> periodically under the auspices of the Legislative &amp; Govern</w:t>
      </w:r>
      <w:r w:rsidR="00294375" w:rsidRPr="00347349">
        <w:t>ance Forum on Consumer Affairs.</w:t>
      </w:r>
    </w:p>
    <w:p w:rsidR="00FD5CF6" w:rsidRPr="00347349" w:rsidRDefault="001002F5" w:rsidP="00667958">
      <w:r w:rsidRPr="00347349">
        <w:t>We have</w:t>
      </w:r>
      <w:r w:rsidR="00FD5CF6" w:rsidRPr="00347349">
        <w:t xml:space="preserve"> not observed any significant problems or weaknesses in this area, if ACL regulators maintain expertise as intended.</w:t>
      </w:r>
      <w:r w:rsidR="00294375" w:rsidRPr="00347349">
        <w:t xml:space="preserve"> </w:t>
      </w:r>
      <w:r w:rsidRPr="00347349">
        <w:t>We</w:t>
      </w:r>
      <w:r w:rsidR="00294375" w:rsidRPr="00347349">
        <w:t xml:space="preserve"> consider that a ‘one law multiple regulator’ model could remain the most efficient and effective model for enforcing and administering the ACL consumer product safety arrangements.</w:t>
      </w:r>
    </w:p>
    <w:p w:rsidR="00294375" w:rsidRPr="00347349" w:rsidRDefault="00294375" w:rsidP="00667958">
      <w:r w:rsidRPr="00347349">
        <w:t xml:space="preserve">The success of this model is contingent on the State and Territory regulators retaining expertise and capacity to deliver on their role in consumer product safety, including in market surveillance, compliance and enforcement. The </w:t>
      </w:r>
      <w:proofErr w:type="gramStart"/>
      <w:r w:rsidRPr="00347349">
        <w:t>consumer product safety expertise</w:t>
      </w:r>
      <w:proofErr w:type="gramEnd"/>
      <w:r w:rsidRPr="00347349">
        <w:t xml:space="preserve"> and capacity of some ACL regulators has decreased since implementation and this has shifted the need for responses to the national regulator, in a wa</w:t>
      </w:r>
      <w:r w:rsidR="00D77B30" w:rsidRPr="00347349">
        <w:t>y not envisaged by the reforms.</w:t>
      </w:r>
    </w:p>
    <w:p w:rsidR="007969B0" w:rsidRPr="00347349" w:rsidRDefault="007969B0" w:rsidP="00667958">
      <w:r w:rsidRPr="00347349">
        <w:t xml:space="preserve">The ACCC will continue to focus its efforts and resources on consumer product safety risks that require a broad national response, including those issues that might respond to an enforcement strategy that takes into account either a complex supply chain or the benefits of general deterrence on a national level (in accordance with our Compliance and Enforcement Policy). </w:t>
      </w:r>
    </w:p>
    <w:p w:rsidR="007969B0" w:rsidRPr="00347349" w:rsidRDefault="007969B0" w:rsidP="00667958">
      <w:r w:rsidRPr="00347349">
        <w:t>In our view, State and Territory ACL regulators should continue to maintain capacity to enable them to adequately and consistently respond to local product safety issues, individual complaints, localised distribution chains and issues raised through coronial responses where specific local conditions preclude readily establishing a clear national context.</w:t>
      </w:r>
    </w:p>
    <w:p w:rsidR="001002F5" w:rsidRDefault="001002F5" w:rsidP="001002F5">
      <w:pPr>
        <w:pStyle w:val="Heading2"/>
      </w:pPr>
      <w:bookmarkStart w:id="17" w:name="_Toc460333815"/>
      <w:r>
        <w:t>Specialist regulator coordination</w:t>
      </w:r>
      <w:bookmarkEnd w:id="17"/>
    </w:p>
    <w:p w:rsidR="00D77B30" w:rsidRPr="00347349" w:rsidRDefault="00D77B30" w:rsidP="00667958">
      <w:r w:rsidRPr="00347349">
        <w:t>In the area of the specialist regulators, beyond the ACL, jurisdiction and enforcement tools can often vary across jurisdictions. This can constrain specialist regulators from securing prompt national responses within their authority.</w:t>
      </w:r>
    </w:p>
    <w:p w:rsidR="00F22275" w:rsidRDefault="00F22275" w:rsidP="00D77B30">
      <w:r w:rsidRPr="00F22275">
        <w:t>The electrical safety specialist regime, for example, appears to operate efficiently for localised issues. However, the jurisdiction and enforcement tools of the specialist reg</w:t>
      </w:r>
      <w:r>
        <w:t xml:space="preserve">ulators can vary significantly. </w:t>
      </w:r>
      <w:r w:rsidRPr="00F22275">
        <w:t>The ACCC believes this is causing unsustainable and growing demands for a</w:t>
      </w:r>
      <w:r w:rsidR="001002F5">
        <w:t xml:space="preserve"> </w:t>
      </w:r>
      <w:proofErr w:type="gramStart"/>
      <w:r w:rsidR="001002F5">
        <w:t xml:space="preserve">national </w:t>
      </w:r>
      <w:r w:rsidRPr="00F22275">
        <w:t xml:space="preserve"> ACL</w:t>
      </w:r>
      <w:proofErr w:type="gramEnd"/>
      <w:r w:rsidRPr="00F22275">
        <w:t xml:space="preserve"> response to electrical safety issues such as the recalls of Infinity cable and Samsung washing machines. This distances experts from the response and hinders rapid, informed and responsive action.</w:t>
      </w:r>
    </w:p>
    <w:p w:rsidR="00F22275" w:rsidRPr="00347349" w:rsidRDefault="00693AF0" w:rsidP="00667958">
      <w:r w:rsidRPr="00347349">
        <w:t xml:space="preserve">While the current ACL and specialist regulator arrangements have gone a large way to dealing with the previously identified issues such as inconsistency, gaps and overlaps in regulation and unclear delineation of responsibilities among ACL regulators, the growing expectation on the national regulator is unlikely to be sustainable. </w:t>
      </w:r>
      <w:r w:rsidR="00F22275" w:rsidRPr="00347349">
        <w:t xml:space="preserve">The ACL </w:t>
      </w:r>
      <w:r w:rsidR="001002F5" w:rsidRPr="00347349">
        <w:t>can</w:t>
      </w:r>
      <w:r w:rsidR="00F22275" w:rsidRPr="00347349">
        <w:t>not be an alternative to intervention under specialist regulatory regimes.</w:t>
      </w:r>
      <w:r w:rsidR="001002F5" w:rsidRPr="00347349">
        <w:t xml:space="preserve">  </w:t>
      </w:r>
      <w:r w:rsidR="00854785" w:rsidRPr="00347349">
        <w:t>Where speci</w:t>
      </w:r>
      <w:r w:rsidR="00CA1A46" w:rsidRPr="00347349">
        <w:t>alist</w:t>
      </w:r>
      <w:r w:rsidR="00854785" w:rsidRPr="00347349">
        <w:t xml:space="preserve"> regulators </w:t>
      </w:r>
      <w:proofErr w:type="gramStart"/>
      <w:r w:rsidR="00854785" w:rsidRPr="00347349">
        <w:t>have been established</w:t>
      </w:r>
      <w:proofErr w:type="gramEnd"/>
      <w:r w:rsidR="00854785" w:rsidRPr="00347349">
        <w:t>, it is not sustainable to remove or reduce those regimes and expect the same level of attention and expertise from generalist regulators</w:t>
      </w:r>
      <w:r w:rsidR="001002F5" w:rsidRPr="00347349">
        <w:t>.</w:t>
      </w:r>
    </w:p>
    <w:p w:rsidR="00294375" w:rsidRPr="00347349" w:rsidRDefault="007969B0" w:rsidP="00667958">
      <w:r w:rsidRPr="00347349">
        <w:t>This is demonstrated in the product safety area where t</w:t>
      </w:r>
      <w:r w:rsidR="00294375" w:rsidRPr="00347349">
        <w:t>he combined effect of reduced capacity and safety expertise in some ACL regulators, together with proposals for the ACL to deal with non-ACL safety issues better addressed by specialist regulators, has added substantially to expectations of the ACCC without a corresponding increase in resources or expertise to deliver on those expectations.</w:t>
      </w:r>
    </w:p>
    <w:p w:rsidR="00294375" w:rsidRPr="00347349" w:rsidRDefault="00F22275" w:rsidP="00667958">
      <w:r w:rsidRPr="00347349">
        <w:t>Specialist regulators need the regulatory tools and national frameworks so that they can do their job without reliance on the ACL and the ACCC.</w:t>
      </w:r>
    </w:p>
    <w:p w:rsidR="00084F27" w:rsidRPr="00B82E12" w:rsidRDefault="00084F27" w:rsidP="00B82E12">
      <w:pPr>
        <w:pStyle w:val="Informationrequest"/>
        <w:rPr>
          <w:rStyle w:val="Strong"/>
        </w:rPr>
      </w:pPr>
      <w:r w:rsidRPr="00B82E12">
        <w:rPr>
          <w:rStyle w:val="Strong"/>
        </w:rPr>
        <w:t>Information request (page 10)</w:t>
      </w:r>
    </w:p>
    <w:p w:rsidR="007026FB" w:rsidRPr="007026FB" w:rsidRDefault="00084F27" w:rsidP="00B82E12">
      <w:pPr>
        <w:pStyle w:val="Informationrequest"/>
      </w:pPr>
      <w:r w:rsidRPr="00084F27">
        <w:t>What mechanisms are used to coordinate the regulation and enforcement of consumer financial products (or the financial aspects of consumer products) between ASIC and the other ACL regulators, and how effective are they?</w:t>
      </w:r>
    </w:p>
    <w:p w:rsidR="00480796" w:rsidRDefault="00480796" w:rsidP="00480796">
      <w:pPr>
        <w:pStyle w:val="Heading2"/>
      </w:pPr>
      <w:bookmarkStart w:id="18" w:name="_Toc460333816"/>
      <w:r>
        <w:t>ACCC and ASIC</w:t>
      </w:r>
      <w:bookmarkEnd w:id="18"/>
    </w:p>
    <w:p w:rsidR="00FC06C5" w:rsidRDefault="00FC06C5" w:rsidP="00B82E12">
      <w:r>
        <w:t>Consumer protection in relation to financial services is specifically excluded from the ACL</w:t>
      </w:r>
      <w:r w:rsidRPr="00FC06C5">
        <w:t xml:space="preserve"> </w:t>
      </w:r>
      <w:r>
        <w:t>by section 131 of the CCA. However, the ACCC is capable of taking action in relation to financial services as a result of delegations between ASIC and the ACCC. The ACCC coordinates with ASIC on potential investigations where a matter may involve a financial service.</w:t>
      </w:r>
    </w:p>
    <w:p w:rsidR="00FC06C5" w:rsidRDefault="00FC06C5" w:rsidP="00B82E12">
      <w:r>
        <w:t xml:space="preserve">ASIC and the ACCC share responsibility for matters for which there is jurisdictional overlap in relation to financial products or services. </w:t>
      </w:r>
      <w:r w:rsidR="006D7E4E">
        <w:t xml:space="preserve">For example, overlap can </w:t>
      </w:r>
      <w:r>
        <w:t xml:space="preserve">exist </w:t>
      </w:r>
      <w:r w:rsidR="006D7E4E">
        <w:t xml:space="preserve">where </w:t>
      </w:r>
      <w:r>
        <w:t>a consumer product or service is provided in conjunction with a financial product or service</w:t>
      </w:r>
      <w:r w:rsidR="002B0BDE">
        <w:t>.</w:t>
      </w:r>
    </w:p>
    <w:p w:rsidR="00FC06C5" w:rsidRDefault="00FC06C5" w:rsidP="00B82E12">
      <w:r>
        <w:t>The sharing of responsibility takes place under a Memorandum of Understanding (MOU), and a series of delegations.</w:t>
      </w:r>
    </w:p>
    <w:p w:rsidR="00FC06C5" w:rsidRDefault="00FC06C5" w:rsidP="00B82E12">
      <w:r>
        <w:t>The MOU does not create legally binding obligations between ASIC and the ACCC. It creates a framework for ASIC and the ACCC to share information and coordinate on projects of mutual interest.</w:t>
      </w:r>
    </w:p>
    <w:p w:rsidR="00FC06C5" w:rsidRDefault="00FC06C5" w:rsidP="00B82E12">
      <w:r>
        <w:t xml:space="preserve">Under section 102 of the ASIC Act, ASIC may delegate certain of its powers to the ACCC. Likewise, under section 26 of the </w:t>
      </w:r>
      <w:r w:rsidR="00F81991">
        <w:t>CCA</w:t>
      </w:r>
      <w:r>
        <w:t>, the ACCC may delegate certain of its powers to ASIC. Delegations allow each agency to impart some of its powers to the other agency where it is expedient for a single agency to address an area of overlap, or for both agencies to be able to undertake joint activities with the same set of powers.</w:t>
      </w:r>
    </w:p>
    <w:p w:rsidR="00FC06C5" w:rsidRDefault="00FC06C5" w:rsidP="00B82E12">
      <w:r>
        <w:t>Delegations may be “standing”, whereby one agency delegates its powers to investigate a particular form of conduct indefinitely. Delegations may also be created on a one-off basis, for example for the purpose of a single investigation into specifically identified companies. Either type may also be a cross delegation, where each agency will have symmetrical powers based on delegating the powers that the other does not already have under its own Act. Cross delegations ensure there is no gap in consumer protection between financial and all other products and services.</w:t>
      </w:r>
    </w:p>
    <w:p w:rsidR="00FC06C5" w:rsidRDefault="00FC06C5" w:rsidP="00B82E12">
      <w:r w:rsidRPr="000D711C">
        <w:t xml:space="preserve">There are a number of </w:t>
      </w:r>
      <w:r w:rsidR="00260606">
        <w:t xml:space="preserve">cross standing </w:t>
      </w:r>
      <w:r w:rsidRPr="000D711C">
        <w:t xml:space="preserve">delegations currently on foot between ASIC and the ACCC in relation to consumer financial services </w:t>
      </w:r>
      <w:r w:rsidR="00260606">
        <w:t>including in relation to</w:t>
      </w:r>
      <w:r w:rsidRPr="000D711C">
        <w:t xml:space="preserve"> hire car arrangements, extended warranties, for-profit financial difficulty services, and consumer leases.</w:t>
      </w:r>
      <w:r w:rsidR="000D711C">
        <w:t xml:space="preserve"> In addition, </w:t>
      </w:r>
      <w:r w:rsidR="00260606">
        <w:t xml:space="preserve">a number of specific delegations are also currently in place. </w:t>
      </w:r>
      <w:r w:rsidR="000D711C" w:rsidRPr="000D711C">
        <w:t>For example, delegation</w:t>
      </w:r>
      <w:r w:rsidR="00482D6F">
        <w:t>s have</w:t>
      </w:r>
      <w:r w:rsidR="000D711C" w:rsidRPr="000D711C">
        <w:t xml:space="preserve"> provide</w:t>
      </w:r>
      <w:r w:rsidR="00482D6F">
        <w:t>d</w:t>
      </w:r>
      <w:r w:rsidR="000D711C" w:rsidRPr="000D711C">
        <w:t xml:space="preserve"> some ASIC powers to the ACCC for the investigation and conduct of court proceedings in relation to a specific white goods insurance provider</w:t>
      </w:r>
      <w:r w:rsidR="00482D6F">
        <w:t xml:space="preserve"> and several</w:t>
      </w:r>
      <w:r w:rsidR="000D711C" w:rsidRPr="000D711C">
        <w:t xml:space="preserve"> telecommunications service providers</w:t>
      </w:r>
      <w:r w:rsidR="000D711C">
        <w:t>.</w:t>
      </w:r>
    </w:p>
    <w:p w:rsidR="007026FB" w:rsidRPr="00B82E12" w:rsidRDefault="007026FB" w:rsidP="00B82E12">
      <w:pPr>
        <w:pStyle w:val="Informationrequest"/>
        <w:rPr>
          <w:rStyle w:val="Strong"/>
        </w:rPr>
      </w:pPr>
      <w:r w:rsidRPr="00B82E12">
        <w:rPr>
          <w:rStyle w:val="Strong"/>
        </w:rPr>
        <w:t>Information request (page 8)</w:t>
      </w:r>
    </w:p>
    <w:p w:rsidR="007026FB" w:rsidRPr="007026FB" w:rsidRDefault="007026FB" w:rsidP="00B82E12">
      <w:pPr>
        <w:pStyle w:val="Informationrequest"/>
      </w:pPr>
      <w:r w:rsidRPr="00084F27">
        <w:t xml:space="preserve">What have been consumers’ and businesses’ experiences under the ACL regime? Does the multiple regulator </w:t>
      </w:r>
      <w:proofErr w:type="gramStart"/>
      <w:r w:rsidRPr="00084F27">
        <w:t>model</w:t>
      </w:r>
      <w:proofErr w:type="gramEnd"/>
      <w:r w:rsidRPr="00084F27">
        <w:t xml:space="preserve"> cause any confusion or other problems for consumers seeking redress or for business operations? How, in broad terms, could any such problems be addressed?</w:t>
      </w:r>
    </w:p>
    <w:p w:rsidR="007026FB" w:rsidRDefault="007026FB" w:rsidP="007026FB">
      <w:pPr>
        <w:pStyle w:val="Heading2"/>
      </w:pPr>
      <w:bookmarkStart w:id="19" w:name="_Toc460333817"/>
      <w:r w:rsidRPr="00863A4E">
        <w:t>Consumers’ and businesses’ experiences under the ACL regime</w:t>
      </w:r>
      <w:bookmarkEnd w:id="19"/>
    </w:p>
    <w:p w:rsidR="007026FB" w:rsidRDefault="007026FB" w:rsidP="007026FB">
      <w:r>
        <w:t>The introduction of the ACL and the multi-regulator model has coincided with modest improvements in the experience of consumers and businesses.</w:t>
      </w:r>
    </w:p>
    <w:p w:rsidR="007026FB" w:rsidRDefault="007026FB" w:rsidP="007026FB">
      <w:r>
        <w:t xml:space="preserve">CAANZ commissioned the Australian Consumer Survey in 2011 (soon after the ACL was introduced) and again in 2016 (to inform the ACL Review). The </w:t>
      </w:r>
      <w:hyperlink r:id="rId18" w:history="1">
        <w:r w:rsidRPr="00C70602">
          <w:rPr>
            <w:rStyle w:val="Hyperlink"/>
          </w:rPr>
          <w:t>report</w:t>
        </w:r>
      </w:hyperlink>
      <w:r>
        <w:rPr>
          <w:szCs w:val="16"/>
        </w:rPr>
        <w:t xml:space="preserve"> </w:t>
      </w:r>
      <w:r>
        <w:t>is publically available</w:t>
      </w:r>
      <w:r>
        <w:rPr>
          <w:rStyle w:val="FootnoteReference"/>
        </w:rPr>
        <w:footnoteReference w:id="16"/>
      </w:r>
      <w:r>
        <w:t xml:space="preserve"> but, in summary:</w:t>
      </w:r>
    </w:p>
    <w:p w:rsidR="007026FB" w:rsidRPr="00B82E12" w:rsidRDefault="007026FB" w:rsidP="00B82E12">
      <w:pPr>
        <w:pStyle w:val="Bulletpoint"/>
      </w:pPr>
      <w:proofErr w:type="gramStart"/>
      <w:r>
        <w:t>consumers</w:t>
      </w:r>
      <w:proofErr w:type="gramEnd"/>
      <w:r>
        <w:t xml:space="preserve"> are more likely to agree the government provides adequate information and </w:t>
      </w:r>
      <w:r w:rsidRPr="00B82E12">
        <w:t>advice about their rights when purchasing products and services (up 16 points since 2011 to 54%)</w:t>
      </w:r>
    </w:p>
    <w:p w:rsidR="007026FB" w:rsidRPr="00B82E12" w:rsidRDefault="007026FB" w:rsidP="00B82E12">
      <w:pPr>
        <w:pStyle w:val="Bulletpoint"/>
      </w:pPr>
      <w:proofErr w:type="gramStart"/>
      <w:r w:rsidRPr="00B82E12">
        <w:t>consumers</w:t>
      </w:r>
      <w:proofErr w:type="gramEnd"/>
      <w:r w:rsidRPr="00B82E12">
        <w:t xml:space="preserve"> are more likely to agree the government provides adequate access to services that help resolve disputes between consumers and businesses (up 9 points since 2011 to 58%)</w:t>
      </w:r>
    </w:p>
    <w:p w:rsidR="007026FB" w:rsidRPr="00B82E12" w:rsidRDefault="007026FB" w:rsidP="00B82E12">
      <w:pPr>
        <w:pStyle w:val="Bulletpoint"/>
      </w:pPr>
      <w:r w:rsidRPr="00B82E12">
        <w:t>consumers are less likely to have experienced problems when purchasing products and services (down 15 points nationally to 59%) with decreases across all states and territories and most product categories</w:t>
      </w:r>
    </w:p>
    <w:p w:rsidR="007026FB" w:rsidRPr="00B82E12" w:rsidRDefault="007026FB" w:rsidP="00B82E12">
      <w:pPr>
        <w:pStyle w:val="Bulletpoint"/>
      </w:pPr>
      <w:proofErr w:type="gramStart"/>
      <w:r w:rsidRPr="00B82E12">
        <w:t>more</w:t>
      </w:r>
      <w:proofErr w:type="gramEnd"/>
      <w:r w:rsidRPr="00B82E12">
        <w:t xml:space="preserve"> consumers took action to resolve any problems they experienced (up 7 points since 2011 to 82%).</w:t>
      </w:r>
    </w:p>
    <w:p w:rsidR="007026FB" w:rsidRDefault="007026FB" w:rsidP="007026FB">
      <w:r>
        <w:t xml:space="preserve">In contrast, fewer consumers agreed that they could generally make transactions knowing that businesses will not mislead or cheat them (down 7 points since 2011 to 64%). </w:t>
      </w:r>
    </w:p>
    <w:p w:rsidR="007026FB" w:rsidRDefault="007026FB" w:rsidP="007026FB">
      <w:r>
        <w:t>The survey also examined business’ experience of consumer protection. Business awareness of consumer laws and their obligations and responsibilities under those laws remained high at 98%and 80% respectively. Changes since 2011 include that:</w:t>
      </w:r>
    </w:p>
    <w:p w:rsidR="007026FB" w:rsidRPr="00B82E12" w:rsidRDefault="007026FB" w:rsidP="00B82E12">
      <w:pPr>
        <w:pStyle w:val="Bulletpoint"/>
      </w:pPr>
      <w:proofErr w:type="gramStart"/>
      <w:r w:rsidRPr="00B82E12">
        <w:t>businesses</w:t>
      </w:r>
      <w:proofErr w:type="gramEnd"/>
      <w:r w:rsidRPr="00B82E12">
        <w:t xml:space="preserve"> are more likely to agree that most disputes between businesses and consumers end up with a fair outcome (up 20 points to 70%)</w:t>
      </w:r>
    </w:p>
    <w:p w:rsidR="007026FB" w:rsidRPr="00B82E12" w:rsidRDefault="007026FB" w:rsidP="00B82E12">
      <w:pPr>
        <w:pStyle w:val="Bulletpoint"/>
      </w:pPr>
      <w:r w:rsidRPr="00B82E12">
        <w:t>businesses are more likely to agree that the ACL protects the rights of both consumers and businesses (both up 11 points to 91% and 60% respectively)</w:t>
      </w:r>
    </w:p>
    <w:p w:rsidR="007026FB" w:rsidRPr="00B82E12" w:rsidRDefault="007026FB" w:rsidP="00B82E12">
      <w:pPr>
        <w:pStyle w:val="Bulletpoint"/>
      </w:pPr>
      <w:proofErr w:type="gramStart"/>
      <w:r w:rsidRPr="00B82E12">
        <w:t>more</w:t>
      </w:r>
      <w:proofErr w:type="gramEnd"/>
      <w:r w:rsidRPr="00B82E12">
        <w:t xml:space="preserve"> businesses thought they had sufficient information to ensure compliance with the ACL (up 10 points since 2011 to 84%)</w:t>
      </w:r>
    </w:p>
    <w:p w:rsidR="007026FB" w:rsidRDefault="007026FB" w:rsidP="00B82E12">
      <w:pPr>
        <w:pStyle w:val="Bulletpoint"/>
      </w:pPr>
      <w:r w:rsidRPr="00B82E12">
        <w:t>more businesses thought the ACL had had a positive</w:t>
      </w:r>
      <w:r>
        <w:t xml:space="preserve"> impact on:</w:t>
      </w:r>
    </w:p>
    <w:p w:rsidR="007026FB" w:rsidRPr="00B82E12" w:rsidRDefault="007026FB" w:rsidP="00B82E12">
      <w:pPr>
        <w:pStyle w:val="Bulletpoint2"/>
      </w:pPr>
      <w:proofErr w:type="gramStart"/>
      <w:r w:rsidRPr="00B82E12">
        <w:t>their</w:t>
      </w:r>
      <w:proofErr w:type="gramEnd"/>
      <w:r w:rsidRPr="00B82E12">
        <w:t xml:space="preserve"> understanding of their obligations and responsibilities (up 13 points to 57%)</w:t>
      </w:r>
    </w:p>
    <w:p w:rsidR="007026FB" w:rsidRPr="00B82E12" w:rsidRDefault="007026FB" w:rsidP="00B82E12">
      <w:pPr>
        <w:pStyle w:val="Bulletpoint2"/>
      </w:pPr>
      <w:proofErr w:type="gramStart"/>
      <w:r w:rsidRPr="00B82E12">
        <w:t>their</w:t>
      </w:r>
      <w:proofErr w:type="gramEnd"/>
      <w:r w:rsidRPr="00B82E12">
        <w:t xml:space="preserve"> compliance with the law (up 14 points to 56%)</w:t>
      </w:r>
    </w:p>
    <w:p w:rsidR="007026FB" w:rsidRPr="00B82E12" w:rsidRDefault="007026FB" w:rsidP="00B82E12">
      <w:pPr>
        <w:pStyle w:val="Bulletpoint2"/>
      </w:pPr>
      <w:proofErr w:type="gramStart"/>
      <w:r w:rsidRPr="00B82E12">
        <w:t>consumer’s</w:t>
      </w:r>
      <w:proofErr w:type="gramEnd"/>
      <w:r w:rsidRPr="00B82E12">
        <w:t xml:space="preserve"> understanding of their rights and responsibilities (up 14 points to 50%)</w:t>
      </w:r>
    </w:p>
    <w:p w:rsidR="007026FB" w:rsidRDefault="007026FB" w:rsidP="00B82E12">
      <w:pPr>
        <w:pStyle w:val="Bulletpoint2"/>
      </w:pPr>
      <w:proofErr w:type="gramStart"/>
      <w:r w:rsidRPr="00B82E12">
        <w:t>the</w:t>
      </w:r>
      <w:proofErr w:type="gramEnd"/>
      <w:r w:rsidRPr="00B82E12">
        <w:t xml:space="preserve"> investment required to</w:t>
      </w:r>
      <w:r>
        <w:t xml:space="preserve"> comply with the ACL (up 14 points to 28%)</w:t>
      </w:r>
    </w:p>
    <w:p w:rsidR="00716A00" w:rsidRDefault="007026FB" w:rsidP="00B82E12">
      <w:pPr>
        <w:pStyle w:val="Bulletpoint"/>
      </w:pPr>
      <w:proofErr w:type="gramStart"/>
      <w:r w:rsidRPr="00B82E12">
        <w:t>businesses</w:t>
      </w:r>
      <w:proofErr w:type="gramEnd"/>
      <w:r>
        <w:t xml:space="preserve"> estimated that their total cost of dealing with consumer issues each year had decreased.</w:t>
      </w:r>
    </w:p>
    <w:p w:rsidR="000E3A2E" w:rsidRPr="007026FB" w:rsidRDefault="00CD4F9B" w:rsidP="007026FB">
      <w:pPr>
        <w:pStyle w:val="Heading1"/>
        <w:rPr>
          <w:rFonts w:cs="Times New Roman"/>
          <w:highlight w:val="lightGray"/>
        </w:rPr>
      </w:pPr>
      <w:bookmarkStart w:id="20" w:name="_Toc460333818"/>
      <w:r w:rsidRPr="00A27246">
        <w:t>Information sharing</w:t>
      </w:r>
      <w:bookmarkEnd w:id="20"/>
    </w:p>
    <w:p w:rsidR="00084F27" w:rsidRPr="00B82E12" w:rsidRDefault="00084F27" w:rsidP="00B82E12">
      <w:pPr>
        <w:pStyle w:val="Informationrequest"/>
        <w:rPr>
          <w:rStyle w:val="Strong"/>
        </w:rPr>
      </w:pPr>
      <w:r w:rsidRPr="00B82E12">
        <w:rPr>
          <w:rStyle w:val="Strong"/>
        </w:rPr>
        <w:t>Information request (page 11)</w:t>
      </w:r>
    </w:p>
    <w:p w:rsidR="00084F27" w:rsidRPr="00084F27" w:rsidRDefault="00084F27" w:rsidP="00B82E12">
      <w:pPr>
        <w:pStyle w:val="Informationrequest"/>
      </w:pPr>
      <w:r w:rsidRPr="00084F27">
        <w:t>What ongoing arrangements are there for ACL regulators and regulators of specialist safety regimes to share information on consumer protection problem areas on a national basis? Are such arrangements adequate, including for a future where markets are increasingly national in nature and new products and services are constantly entering those markets?</w:t>
      </w:r>
    </w:p>
    <w:p w:rsidR="00084F27" w:rsidRPr="00084F27" w:rsidRDefault="00084F27" w:rsidP="00B82E12">
      <w:pPr>
        <w:pStyle w:val="Informationrequest"/>
      </w:pPr>
      <w:r w:rsidRPr="00084F27">
        <w:t>If not, what arrangements might be cost-effective to institute that could provide such a national database? Are there approaches used by other countries that provide lessons for Australia on how it might improve the sharing of information among the different ACL regulators, or in other ways (for example, artificial intelligence or machine learning) identify emerging consumer harms or scams, or areas for priority enforcement?</w:t>
      </w:r>
    </w:p>
    <w:p w:rsidR="009E5415" w:rsidRPr="009E5415" w:rsidRDefault="009E5415" w:rsidP="009E5415">
      <w:r w:rsidRPr="003A6ED4">
        <w:t xml:space="preserve">As set out earlier, the Australian </w:t>
      </w:r>
      <w:r>
        <w:t xml:space="preserve">Government's </w:t>
      </w:r>
      <w:hyperlink r:id="rId19" w:history="1">
        <w:r>
          <w:rPr>
            <w:rStyle w:val="Hyperlink"/>
          </w:rPr>
          <w:t>Statement of Expectations</w:t>
        </w:r>
      </w:hyperlink>
      <w:r w:rsidRPr="00347349">
        <w:rPr>
          <w:rStyle w:val="FootnoteTextChar"/>
          <w:vertAlign w:val="superscript"/>
        </w:rPr>
        <w:footnoteReference w:id="17"/>
      </w:r>
      <w:r>
        <w:t xml:space="preserve"> for the ACCC sets out an expectation that the ACCC will act in accordance with regulatory best practice to maximise effectiveness, efficiency and transparency, and minimise compliance costs. It also contains an expectation that the ACCC will adopt a risk-based approach to compliance and </w:t>
      </w:r>
      <w:r w:rsidRPr="009E5415">
        <w:t>enforcement.</w:t>
      </w:r>
    </w:p>
    <w:p w:rsidR="009E5415" w:rsidRDefault="009E5415" w:rsidP="009E5415">
      <w:r>
        <w:t xml:space="preserve">We have a responsibility to use our limited resources in the most effective way we can. As stated earlier, when considering how to make the most effective use of our resources, we regularly have to choose between matters that are likely to result in material consumer detriment and progress </w:t>
      </w:r>
      <w:r w:rsidRPr="009E5415">
        <w:t xml:space="preserve">one over another. The ACCC does this according to a series of priority </w:t>
      </w:r>
      <w:r w:rsidRPr="00931C4B">
        <w:rPr>
          <w:rStyle w:val="Strong"/>
        </w:rPr>
        <w:t>factors</w:t>
      </w:r>
      <w:r w:rsidRPr="009E5415">
        <w:t xml:space="preserve"> and a series</w:t>
      </w:r>
      <w:r>
        <w:t xml:space="preserve"> of priority </w:t>
      </w:r>
      <w:r w:rsidRPr="00931C4B">
        <w:rPr>
          <w:rStyle w:val="Strong"/>
        </w:rPr>
        <w:t>areas</w:t>
      </w:r>
      <w:r>
        <w:t xml:space="preserve"> – the latter </w:t>
      </w:r>
      <w:r w:rsidR="00AB4496">
        <w:t>are amended annually</w:t>
      </w:r>
      <w:r>
        <w:t xml:space="preserve"> and </w:t>
      </w:r>
      <w:r w:rsidR="00AB4496">
        <w:t xml:space="preserve">these changes </w:t>
      </w:r>
      <w:r>
        <w:t>are informed in part by intelligence.</w:t>
      </w:r>
    </w:p>
    <w:p w:rsidR="009E5415" w:rsidRPr="00DE361A" w:rsidRDefault="009E5415" w:rsidP="009E5415">
      <w:r>
        <w:t xml:space="preserve">We seek to utilise all </w:t>
      </w:r>
      <w:r w:rsidRPr="00DE361A">
        <w:t xml:space="preserve">available intelligence </w:t>
      </w:r>
      <w:r>
        <w:t xml:space="preserve">to </w:t>
      </w:r>
      <w:r w:rsidRPr="00DE361A">
        <w:t xml:space="preserve">appropriately </w:t>
      </w:r>
      <w:r>
        <w:t xml:space="preserve">prioritise </w:t>
      </w:r>
      <w:r w:rsidRPr="00DE361A">
        <w:t xml:space="preserve">matters </w:t>
      </w:r>
      <w:r>
        <w:t>as early as possible</w:t>
      </w:r>
      <w:r w:rsidRPr="00DE361A">
        <w:t xml:space="preserve">. </w:t>
      </w:r>
      <w:r>
        <w:t>E</w:t>
      </w:r>
      <w:r w:rsidRPr="00DE361A">
        <w:t xml:space="preserve">ducation or compliance initiatives are </w:t>
      </w:r>
      <w:r>
        <w:t xml:space="preserve">often </w:t>
      </w:r>
      <w:r w:rsidRPr="00DE361A">
        <w:t>undertaken to address problems identified by market intelligence or increasing complaints. In this scenario, enforcement tools are used to complement the education or compliance. This will be assisted with a consistent national approach to categorisation of matters for consideration.</w:t>
      </w:r>
    </w:p>
    <w:p w:rsidR="002D0EF5" w:rsidRPr="002D0EF5" w:rsidRDefault="006279EC" w:rsidP="00BF0826">
      <w:pPr>
        <w:pStyle w:val="Heading2"/>
      </w:pPr>
      <w:bookmarkStart w:id="21" w:name="_Toc460333819"/>
      <w:r>
        <w:t>Current</w:t>
      </w:r>
      <w:r w:rsidR="00A335A3" w:rsidRPr="00A335A3">
        <w:t xml:space="preserve"> arrangements between ACL regulators to share information and intelligence</w:t>
      </w:r>
      <w:bookmarkEnd w:id="21"/>
    </w:p>
    <w:p w:rsidR="009E5415" w:rsidRPr="006C2747" w:rsidRDefault="00AB4496" w:rsidP="00240BEA">
      <w:r>
        <w:t>T</w:t>
      </w:r>
      <w:r w:rsidR="009E5415" w:rsidRPr="006C2747">
        <w:t xml:space="preserve">he </w:t>
      </w:r>
      <w:r w:rsidR="009E5415">
        <w:t>ACCC works closely with</w:t>
      </w:r>
      <w:r w:rsidR="009E5415" w:rsidRPr="006C2747">
        <w:t xml:space="preserve"> counterparts to monitor and enforce compliance with the ACL. We cooperate on:</w:t>
      </w:r>
    </w:p>
    <w:p w:rsidR="009E5415" w:rsidRPr="00B82E12" w:rsidRDefault="009E5415" w:rsidP="00B82E12">
      <w:pPr>
        <w:pStyle w:val="Bulletpoint"/>
      </w:pPr>
      <w:r w:rsidRPr="00B82E12">
        <w:t>joint projects that are aimed at reducing widespread harm</w:t>
      </w:r>
    </w:p>
    <w:p w:rsidR="009E5415" w:rsidRPr="00B82E12" w:rsidRDefault="009E5415" w:rsidP="00B82E12">
      <w:pPr>
        <w:pStyle w:val="Bulletpoint"/>
      </w:pPr>
      <w:r w:rsidRPr="00B82E12">
        <w:t>cross-industry issues</w:t>
      </w:r>
    </w:p>
    <w:p w:rsidR="00AB4496" w:rsidRPr="00B82E12" w:rsidRDefault="009E5415" w:rsidP="00B82E12">
      <w:pPr>
        <w:pStyle w:val="Bulletpoint"/>
      </w:pPr>
      <w:r w:rsidRPr="00B82E12">
        <w:t>intelligence sharing on specific matters</w:t>
      </w:r>
    </w:p>
    <w:p w:rsidR="009E5415" w:rsidRPr="00347349" w:rsidRDefault="00AB4496" w:rsidP="00347349">
      <w:pPr>
        <w:pStyle w:val="Bulletpoint"/>
      </w:pPr>
      <w:r w:rsidRPr="00347349">
        <w:t>I</w:t>
      </w:r>
      <w:r w:rsidR="009E5415" w:rsidRPr="00347349">
        <w:t xml:space="preserve">nformation sharing between regulators is </w:t>
      </w:r>
      <w:r w:rsidRPr="00347349">
        <w:t>affected</w:t>
      </w:r>
      <w:r w:rsidR="009E5415" w:rsidRPr="00347349">
        <w:t xml:space="preserve"> by the different priorities that each ACL </w:t>
      </w:r>
      <w:r w:rsidR="00F83CD4" w:rsidRPr="00347349">
        <w:t>r</w:t>
      </w:r>
      <w:r w:rsidR="009E5415" w:rsidRPr="00347349">
        <w:t>egulator has and the rationale for intervening in a matter.</w:t>
      </w:r>
    </w:p>
    <w:p w:rsidR="009E5415" w:rsidRDefault="00F83CD4" w:rsidP="009E5415">
      <w:r>
        <w:t>ACL r</w:t>
      </w:r>
      <w:r w:rsidR="009E5415">
        <w:t xml:space="preserve">egulators </w:t>
      </w:r>
      <w:r w:rsidR="009E5415" w:rsidRPr="006C2747">
        <w:t xml:space="preserve">invest significant resources into information sharing. </w:t>
      </w:r>
      <w:r w:rsidR="009E5415" w:rsidRPr="00854345">
        <w:t>Th</w:t>
      </w:r>
      <w:r w:rsidR="00AB4496">
        <w:t xml:space="preserve">is </w:t>
      </w:r>
      <w:r w:rsidR="009E5415" w:rsidRPr="00854345">
        <w:t>include</w:t>
      </w:r>
      <w:r w:rsidR="00AB4496">
        <w:t>s</w:t>
      </w:r>
      <w:r w:rsidR="009E5415" w:rsidRPr="00854345">
        <w:t xml:space="preserve"> the creation of </w:t>
      </w:r>
      <w:proofErr w:type="spellStart"/>
      <w:r w:rsidR="009E5415" w:rsidRPr="00854345">
        <w:t>ACLink</w:t>
      </w:r>
      <w:proofErr w:type="spellEnd"/>
      <w:r w:rsidR="009E5415" w:rsidRPr="00854345">
        <w:t xml:space="preserve">, a secure extranet that allows </w:t>
      </w:r>
      <w:r>
        <w:t>ACL r</w:t>
      </w:r>
      <w:r w:rsidR="009E5415" w:rsidRPr="00854345">
        <w:t>egulators to share intelligence and information about complaints and investigations</w:t>
      </w:r>
      <w:r w:rsidR="009E5415">
        <w:t>,</w:t>
      </w:r>
      <w:r w:rsidR="009E5415" w:rsidRPr="00854345">
        <w:t xml:space="preserve"> </w:t>
      </w:r>
      <w:r w:rsidR="009E5415" w:rsidRPr="006C2747">
        <w:t>communicate on compliance and enforcement issues and alert members to emerging issues and complaints of interest</w:t>
      </w:r>
      <w:r w:rsidR="009E5415">
        <w:t>.</w:t>
      </w:r>
      <w:r w:rsidR="001F09A1" w:rsidRPr="001F09A1">
        <w:t xml:space="preserve"> </w:t>
      </w:r>
      <w:r w:rsidR="001F09A1" w:rsidRPr="006D1A88">
        <w:t xml:space="preserve">Monitoring, preparing material and responding to requests </w:t>
      </w:r>
      <w:r w:rsidR="001F09A1">
        <w:t xml:space="preserve">in </w:t>
      </w:r>
      <w:proofErr w:type="spellStart"/>
      <w:r w:rsidR="001F09A1" w:rsidRPr="001F09A1">
        <w:t>ACLink</w:t>
      </w:r>
      <w:proofErr w:type="spellEnd"/>
      <w:r w:rsidR="001F09A1" w:rsidRPr="001F09A1">
        <w:t xml:space="preserve"> </w:t>
      </w:r>
      <w:r w:rsidR="001F09A1" w:rsidRPr="006D1A88">
        <w:t>can be time consuming</w:t>
      </w:r>
      <w:r w:rsidR="001F09A1">
        <w:t>, but we recognise that the information provided may assist enforcement decision-making by State and Territory regulators.</w:t>
      </w:r>
    </w:p>
    <w:p w:rsidR="00F83CD4" w:rsidRDefault="00F83CD4" w:rsidP="009E5415">
      <w:r>
        <w:t>While</w:t>
      </w:r>
      <w:r w:rsidR="009E5415">
        <w:t xml:space="preserve"> </w:t>
      </w:r>
      <w:proofErr w:type="spellStart"/>
      <w:r>
        <w:t>ACLink</w:t>
      </w:r>
      <w:proofErr w:type="spellEnd"/>
      <w:r>
        <w:t xml:space="preserve"> i</w:t>
      </w:r>
      <w:r w:rsidR="00AB4496">
        <w:t xml:space="preserve">s a </w:t>
      </w:r>
      <w:r w:rsidR="009E5415">
        <w:t xml:space="preserve">mechanism for </w:t>
      </w:r>
      <w:r>
        <w:t xml:space="preserve">secure </w:t>
      </w:r>
      <w:r w:rsidR="009E5415">
        <w:t xml:space="preserve">information exchange, </w:t>
      </w:r>
      <w:r>
        <w:t xml:space="preserve">whereby regulators can post alerts and ask for information, it does not provide a national database of complaints. </w:t>
      </w:r>
    </w:p>
    <w:p w:rsidR="00A335A3" w:rsidRPr="00104C99" w:rsidRDefault="00A335A3" w:rsidP="00BF0826">
      <w:pPr>
        <w:pStyle w:val="Heading3"/>
      </w:pPr>
      <w:bookmarkStart w:id="22" w:name="_Toc460333820"/>
      <w:r w:rsidRPr="00104C99">
        <w:t>Project Sentinel</w:t>
      </w:r>
      <w:bookmarkEnd w:id="22"/>
    </w:p>
    <w:p w:rsidR="009E5415" w:rsidRPr="00A335A3" w:rsidRDefault="009E5415" w:rsidP="009E5415">
      <w:r w:rsidRPr="00240BEA">
        <w:t xml:space="preserve">Fully realising the benefits of </w:t>
      </w:r>
      <w:r w:rsidR="00422709" w:rsidRPr="00240BEA">
        <w:t xml:space="preserve">the multi-regulator model </w:t>
      </w:r>
      <w:r w:rsidRPr="00240BEA">
        <w:t>requires close collaboration and ACL regulators, through the Council of Australian Governments Legislative and Governance Forum on Consumer Affairs, have established a series of committees</w:t>
      </w:r>
      <w:r w:rsidR="00422709" w:rsidRPr="00240BEA">
        <w:t xml:space="preserve"> and subcommittees</w:t>
      </w:r>
      <w:r w:rsidRPr="00240BEA">
        <w:t xml:space="preserve"> to facilitate a co-operative approach to compliance and dispute resolution, product safety, education and information, and policy and research. </w:t>
      </w:r>
      <w:r w:rsidRPr="006C2747">
        <w:t xml:space="preserve">One such </w:t>
      </w:r>
      <w:r w:rsidR="00422709">
        <w:t>sub-</w:t>
      </w:r>
      <w:r>
        <w:t xml:space="preserve">committee-based </w:t>
      </w:r>
      <w:r w:rsidRPr="006C2747">
        <w:t xml:space="preserve">project is the Sentinel pilot project – an information sharing </w:t>
      </w:r>
      <w:r w:rsidR="00422709">
        <w:t xml:space="preserve">project </w:t>
      </w:r>
      <w:r w:rsidRPr="006C2747">
        <w:t xml:space="preserve">focused on motor vehicle related issues. </w:t>
      </w:r>
    </w:p>
    <w:p w:rsidR="009E5415" w:rsidRDefault="009E5415" w:rsidP="009E5415">
      <w:r>
        <w:t>The Senti</w:t>
      </w:r>
      <w:r w:rsidRPr="00104C99">
        <w:t>nel Pilot project commenced on 1 December 2015 and focused on identifying ACL-related issues within the automotive industry. The majority of jurisdictions provided relevant complaints and licensing</w:t>
      </w:r>
      <w:r w:rsidR="00422709">
        <w:t xml:space="preserve"> </w:t>
      </w:r>
      <w:r w:rsidRPr="00104C99">
        <w:t>/</w:t>
      </w:r>
      <w:r w:rsidR="00422709">
        <w:t xml:space="preserve"> </w:t>
      </w:r>
      <w:r w:rsidRPr="00104C99">
        <w:t xml:space="preserve">registration data, along with data from advertisers and auction houses in the automotive sector, which was transformed by the NSW </w:t>
      </w:r>
      <w:r w:rsidR="006D7E4E">
        <w:t xml:space="preserve">Fair Trading </w:t>
      </w:r>
      <w:r w:rsidRPr="00104C99">
        <w:t xml:space="preserve">project team to facilitate data matching. </w:t>
      </w:r>
    </w:p>
    <w:p w:rsidR="009E5415" w:rsidRDefault="009E5415" w:rsidP="009E5415">
      <w:r w:rsidRPr="006C2747">
        <w:t xml:space="preserve">The data collected as part of the project </w:t>
      </w:r>
      <w:r>
        <w:t xml:space="preserve">was intended to </w:t>
      </w:r>
      <w:r w:rsidRPr="006C2747">
        <w:t xml:space="preserve">identify if a person was selling motor vehicles as an unlicensed motor vehicle dealer. The project also enabled </w:t>
      </w:r>
      <w:r w:rsidR="001F09A1">
        <w:t>State and Territory ACL r</w:t>
      </w:r>
      <w:r>
        <w:t xml:space="preserve">egulators </w:t>
      </w:r>
      <w:r w:rsidRPr="006C2747">
        <w:t>to identify some anomalies with sellers engaging</w:t>
      </w:r>
      <w:r w:rsidR="00422709">
        <w:t xml:space="preserve"> in odometer wind back conduct.</w:t>
      </w:r>
    </w:p>
    <w:p w:rsidR="009E5415" w:rsidRDefault="009E5415" w:rsidP="009E5415">
      <w:r w:rsidRPr="00964D04">
        <w:t>Key learnings arising out of the Sentinel Project are the importance of appropriate resourcing for IT infrastructure to underpin data systems and the significance of developing a shared</w:t>
      </w:r>
      <w:r w:rsidRPr="00DE361A">
        <w:t xml:space="preserve"> taxonomy (for instance the categorisation of contacts into ‘complaints’ versus ‘inquiries) to fully exploit the potential of such repositories.</w:t>
      </w:r>
      <w:r w:rsidRPr="00104C99">
        <w:t xml:space="preserve"> </w:t>
      </w:r>
    </w:p>
    <w:p w:rsidR="009E5415" w:rsidRPr="00A60647" w:rsidRDefault="009E5415" w:rsidP="009E5415">
      <w:r>
        <w:t xml:space="preserve">This type of work continues to build on the existing information sharing architecture, including </w:t>
      </w:r>
      <w:proofErr w:type="spellStart"/>
      <w:r>
        <w:t>ACLink</w:t>
      </w:r>
      <w:proofErr w:type="spellEnd"/>
      <w:r>
        <w:t xml:space="preserve">. </w:t>
      </w:r>
    </w:p>
    <w:p w:rsidR="00A335A3" w:rsidRPr="00104C99" w:rsidRDefault="00A335A3" w:rsidP="00BF0826">
      <w:pPr>
        <w:pStyle w:val="Heading3"/>
      </w:pPr>
      <w:bookmarkStart w:id="23" w:name="_Toc460333821"/>
      <w:r w:rsidRPr="00104C99">
        <w:t xml:space="preserve">ANAO </w:t>
      </w:r>
      <w:r w:rsidR="000501BE">
        <w:t>recommendations on information sharing</w:t>
      </w:r>
      <w:bookmarkEnd w:id="23"/>
    </w:p>
    <w:p w:rsidR="009E5415" w:rsidRPr="00A979F5" w:rsidRDefault="009E5415" w:rsidP="009E5415">
      <w:r>
        <w:t>As discussed above, t</w:t>
      </w:r>
      <w:r w:rsidRPr="00A979F5">
        <w:t xml:space="preserve">he ANAO </w:t>
      </w:r>
      <w:r>
        <w:t xml:space="preserve">audit </w:t>
      </w:r>
      <w:r w:rsidRPr="00A979F5">
        <w:t xml:space="preserve">concluded the ACCC was not systematically analysing its complaints data and </w:t>
      </w:r>
      <w:r>
        <w:t xml:space="preserve">should </w:t>
      </w:r>
      <w:r w:rsidRPr="00A979F5">
        <w:t xml:space="preserve">explore the benefit of obtaining comprehensive complaints data held by </w:t>
      </w:r>
      <w:r>
        <w:t>S</w:t>
      </w:r>
      <w:r w:rsidRPr="00A979F5">
        <w:t xml:space="preserve">tate and </w:t>
      </w:r>
      <w:r>
        <w:t>T</w:t>
      </w:r>
      <w:r w:rsidRPr="00A979F5">
        <w:t xml:space="preserve">erritory </w:t>
      </w:r>
      <w:r>
        <w:t xml:space="preserve">ACL </w:t>
      </w:r>
      <w:r w:rsidR="001F09A1">
        <w:t>r</w:t>
      </w:r>
      <w:r>
        <w:t xml:space="preserve">egulators </w:t>
      </w:r>
      <w:r w:rsidRPr="00A979F5">
        <w:t xml:space="preserve">and made </w:t>
      </w:r>
      <w:r>
        <w:t>a</w:t>
      </w:r>
      <w:r w:rsidRPr="00A979F5">
        <w:t xml:space="preserve"> recommendation aimed at the ACCC improving the extent and use of inform</w:t>
      </w:r>
      <w:r>
        <w:t>ation for intelligence purposes:</w:t>
      </w:r>
    </w:p>
    <w:p w:rsidR="009E5415" w:rsidRPr="00A979F5" w:rsidRDefault="009E5415" w:rsidP="00BB7D16">
      <w:pPr>
        <w:pStyle w:val="NormalIndent"/>
      </w:pPr>
      <w:r w:rsidRPr="00BB7D16">
        <w:rPr>
          <w:rStyle w:val="Strong"/>
        </w:rPr>
        <w:t>Recommendation 1</w:t>
      </w:r>
      <w:r w:rsidRPr="00347349">
        <w:rPr>
          <w:rStyle w:val="Strong"/>
        </w:rPr>
        <w:t>:</w:t>
      </w:r>
      <w:r w:rsidR="00931C4B">
        <w:rPr>
          <w:rStyle w:val="Strong"/>
        </w:rPr>
        <w:t xml:space="preserve"> </w:t>
      </w:r>
      <w:r w:rsidRPr="00A979F5">
        <w:t>To improve the extent and usefulness of information obtained for intelligence purposes, the ANAO recommends that the Australian Competition and Consumer Commission examines the merit of regularly obtaining complaints data feeds from other Australian Consumer Law regulators.</w:t>
      </w:r>
    </w:p>
    <w:p w:rsidR="009E5415" w:rsidRDefault="009E5415" w:rsidP="00BB7D16">
      <w:r>
        <w:t xml:space="preserve">The ACCC agreed with the recommendation aimed at the ACCC improving the extent and use of information for intelligence purposes both in relation to analysis of complaints and reports received but importantly in combination with broader sources of intelligence. </w:t>
      </w:r>
    </w:p>
    <w:p w:rsidR="009E5415" w:rsidRDefault="009E5415" w:rsidP="00BB7D16">
      <w:r>
        <w:t>Sinc</w:t>
      </w:r>
      <w:r w:rsidR="001F09A1">
        <w:t>e then, the ACCC and other ACL r</w:t>
      </w:r>
      <w:r>
        <w:t xml:space="preserve">egulators have been involved in the development of the Sentinel pilot project discussed above, working towards greater sharing of intelligence and complaint data. </w:t>
      </w:r>
      <w:r w:rsidR="00D33B1B">
        <w:t xml:space="preserve"> While this is a positive development, the scope of this project is unlikely to deliver the information sharing solution </w:t>
      </w:r>
      <w:r w:rsidR="00D65F65">
        <w:t xml:space="preserve">that would be beneficial </w:t>
      </w:r>
      <w:r w:rsidR="00931C4B">
        <w:t>in the short to medium term.</w:t>
      </w:r>
    </w:p>
    <w:p w:rsidR="009E5415" w:rsidRPr="006C2747" w:rsidRDefault="009E5415" w:rsidP="00BB7D16">
      <w:r>
        <w:t>In addition, we continue to obtain data feeds from other regulatory and industry bodies as necessary to inform our assessments and decision making when escalating issues in line with ACCC priorities.</w:t>
      </w:r>
    </w:p>
    <w:p w:rsidR="00A335A3" w:rsidRPr="00A335A3" w:rsidRDefault="006279EC" w:rsidP="00BF0826">
      <w:pPr>
        <w:pStyle w:val="Heading2"/>
      </w:pPr>
      <w:bookmarkStart w:id="24" w:name="_Toc460333822"/>
      <w:r w:rsidRPr="007E1723">
        <w:t>Introduction of a n</w:t>
      </w:r>
      <w:r w:rsidR="00A335A3" w:rsidRPr="007E1723">
        <w:t xml:space="preserve">ational database for </w:t>
      </w:r>
      <w:r w:rsidRPr="007E1723">
        <w:t xml:space="preserve">ACL </w:t>
      </w:r>
      <w:r w:rsidR="00A335A3" w:rsidRPr="007E1723">
        <w:t>complaints</w:t>
      </w:r>
      <w:bookmarkEnd w:id="24"/>
    </w:p>
    <w:p w:rsidR="009E5415" w:rsidRDefault="001F09A1" w:rsidP="00BB7D16">
      <w:r>
        <w:t>ACL r</w:t>
      </w:r>
      <w:r w:rsidR="009E5415" w:rsidRPr="00DE361A">
        <w:t xml:space="preserve">egulators invest significant resources into information sharing to ensure that each of us has the information we need to properly perform our roles. A shared </w:t>
      </w:r>
      <w:r w:rsidR="0047649A">
        <w:t xml:space="preserve">ACL </w:t>
      </w:r>
      <w:r w:rsidR="009E5415" w:rsidRPr="00DE361A">
        <w:t xml:space="preserve">complaint database, if properly delivered, would improve our intelligence and investigative functions. </w:t>
      </w:r>
    </w:p>
    <w:p w:rsidR="0080791A" w:rsidRPr="00863A4E" w:rsidRDefault="0080791A" w:rsidP="00BB7D16">
      <w:r w:rsidRPr="00863A4E">
        <w:t xml:space="preserve">In general, </w:t>
      </w:r>
      <w:r w:rsidR="00C7339D">
        <w:t>we</w:t>
      </w:r>
      <w:r w:rsidRPr="00863A4E">
        <w:t xml:space="preserve"> </w:t>
      </w:r>
      <w:r w:rsidR="00634137">
        <w:t xml:space="preserve">also </w:t>
      </w:r>
      <w:r w:rsidRPr="00863A4E">
        <w:t xml:space="preserve">support the resourcing and establishment of a national database as an information-sharing tool for consumer product safety incident data, to enhance intelligence on emerging risks. With this information, </w:t>
      </w:r>
      <w:r w:rsidR="0047649A">
        <w:t>we</w:t>
      </w:r>
      <w:r w:rsidRPr="00863A4E">
        <w:t xml:space="preserve"> could track the outcomes for product safety issues referred to specialist regulators, and proactively identify issues </w:t>
      </w:r>
      <w:r w:rsidR="00482D6F">
        <w:t>where a coordinated multiple-regulator response may be required</w:t>
      </w:r>
      <w:r w:rsidRPr="00863A4E">
        <w:t>.</w:t>
      </w:r>
    </w:p>
    <w:p w:rsidR="009E5415" w:rsidRDefault="00C7339D" w:rsidP="00BB7D16">
      <w:r>
        <w:t>Currently</w:t>
      </w:r>
      <w:r w:rsidR="009E5415" w:rsidRPr="00175A33">
        <w:t xml:space="preserve">, the majority of information and intelligence sharing between ACL </w:t>
      </w:r>
      <w:r w:rsidR="001F09A1">
        <w:t>r</w:t>
      </w:r>
      <w:r w:rsidR="009E5415" w:rsidRPr="00175A33">
        <w:t xml:space="preserve">egulators is ‘request based’ and managed through either the Fair Trading Operations Group (FTOG) as part of a national project or on an “as needs” basis when a particular matter or issue is deemed high profile. This data is predominantly shared via </w:t>
      </w:r>
      <w:proofErr w:type="spellStart"/>
      <w:r w:rsidR="009E5415" w:rsidRPr="00175A33">
        <w:t>ACL</w:t>
      </w:r>
      <w:r w:rsidR="009E5415">
        <w:t>ink</w:t>
      </w:r>
      <w:proofErr w:type="spellEnd"/>
      <w:r w:rsidR="009E5415">
        <w:t>.</w:t>
      </w:r>
    </w:p>
    <w:p w:rsidR="00C7339D" w:rsidRDefault="00C7339D" w:rsidP="00BB7D16">
      <w:r w:rsidRPr="00175A33">
        <w:t xml:space="preserve">At the fundamental level, a national complaints database is likely to overcome the issue of information siloing and improve operational and strategic decision making across all jurisdictions. It will more readily identify issues of local and national significance and improve the identification and assessment of cross-jurisdictional and national marketplace risk. It is likely to provide </w:t>
      </w:r>
      <w:r>
        <w:t xml:space="preserve">CAF </w:t>
      </w:r>
      <w:r w:rsidRPr="00175A33">
        <w:t xml:space="preserve">with </w:t>
      </w:r>
      <w:r w:rsidR="006D7E4E">
        <w:t>an</w:t>
      </w:r>
      <w:r w:rsidRPr="00175A33">
        <w:t xml:space="preserve"> effective and agile intelligence and analytics capability.</w:t>
      </w:r>
    </w:p>
    <w:p w:rsidR="00422709" w:rsidRDefault="009E5415" w:rsidP="00BB7D16">
      <w:r w:rsidRPr="00175A33">
        <w:t xml:space="preserve">Previous attempts to amalgamate disparate </w:t>
      </w:r>
      <w:r w:rsidR="001F09A1">
        <w:t>data sets across different ACL r</w:t>
      </w:r>
      <w:r w:rsidRPr="00175A33">
        <w:t xml:space="preserve">egulators has involved a significant amount of effort and resources in collecting, collating and attempting to </w:t>
      </w:r>
      <w:r w:rsidRPr="00964D04">
        <w:t>make sense of different enterprise information.</w:t>
      </w:r>
      <w:r w:rsidRPr="007F1147">
        <w:t xml:space="preserve"> </w:t>
      </w:r>
      <w:r w:rsidR="007864CF">
        <w:t>The costs and resourcing required to deliver a national database has been the most significant obstacle.</w:t>
      </w:r>
    </w:p>
    <w:p w:rsidR="009E5415" w:rsidRPr="00175A33" w:rsidRDefault="007864CF" w:rsidP="009E5415">
      <w:r>
        <w:t>T</w:t>
      </w:r>
      <w:r w:rsidR="009E5415" w:rsidRPr="003C7A1E">
        <w:t xml:space="preserve">here are a number of key outstanding issues that require further </w:t>
      </w:r>
      <w:r w:rsidR="009E5415" w:rsidRPr="00175A33">
        <w:t>consideration</w:t>
      </w:r>
      <w:r>
        <w:t xml:space="preserve"> before either a general ACL or a product safety specific </w:t>
      </w:r>
      <w:r w:rsidR="00634137">
        <w:t>shared database can be implemented, cost being the most significant of these issues</w:t>
      </w:r>
      <w:r w:rsidR="009E5415" w:rsidRPr="00175A33">
        <w:t>:</w:t>
      </w:r>
    </w:p>
    <w:p w:rsidR="009E5415" w:rsidRPr="00BB7D16" w:rsidRDefault="009E5415" w:rsidP="00BB7D16">
      <w:pPr>
        <w:pStyle w:val="Bulletpoint"/>
      </w:pPr>
      <w:r w:rsidRPr="00BB7D16">
        <w:t>Costs and budget</w:t>
      </w:r>
      <w:r w:rsidR="00422709" w:rsidRPr="00BB7D16">
        <w:t xml:space="preserve"> </w:t>
      </w:r>
      <w:r w:rsidR="00BB7D16">
        <w:t>–</w:t>
      </w:r>
      <w:r w:rsidR="00422709" w:rsidRPr="00BB7D16">
        <w:t xml:space="preserve"> </w:t>
      </w:r>
      <w:r w:rsidRPr="00BB7D16">
        <w:t xml:space="preserve">to date </w:t>
      </w:r>
      <w:r w:rsidR="00422709" w:rsidRPr="00BB7D16">
        <w:t xml:space="preserve">there </w:t>
      </w:r>
      <w:r w:rsidRPr="00BB7D16">
        <w:t>has been an unwillingness or inability to break off existing IT contracts in favour of new, complementary systems, or to fund multiple sets of licencing fees. Existing IT budgets are a key constraint on developing a national complaints database</w:t>
      </w:r>
    </w:p>
    <w:p w:rsidR="009E5415" w:rsidRPr="00BB7D16" w:rsidRDefault="009E5415" w:rsidP="00BB7D16">
      <w:pPr>
        <w:pStyle w:val="Bulletpoint"/>
      </w:pPr>
      <w:r w:rsidRPr="00BB7D16">
        <w:t>Taxonomy</w:t>
      </w:r>
      <w:r w:rsidR="00422709" w:rsidRPr="00BB7D16">
        <w:t xml:space="preserve"> </w:t>
      </w:r>
      <w:r w:rsidR="00BB7D16">
        <w:t>–</w:t>
      </w:r>
      <w:r w:rsidR="00422709" w:rsidRPr="00BB7D16">
        <w:t xml:space="preserve"> o</w:t>
      </w:r>
      <w:r w:rsidRPr="00BB7D16">
        <w:t xml:space="preserve">ne of the key impediments to effective information synthesis has been an inability to decide amongst participants on appropriate naming conventions, or taxonomy, for contacts. Without this base-line agreement any eventual national system may be </w:t>
      </w:r>
      <w:r w:rsidR="008A6B45" w:rsidRPr="00BB7D16">
        <w:t>less useful</w:t>
      </w:r>
    </w:p>
    <w:p w:rsidR="009E5415" w:rsidRPr="00347349" w:rsidRDefault="009E5415" w:rsidP="00BB7D16">
      <w:pPr>
        <w:pStyle w:val="Bulletpoint"/>
      </w:pPr>
      <w:r w:rsidRPr="00BB7D16">
        <w:t>Database governance structure</w:t>
      </w:r>
      <w:r w:rsidR="008A6B45" w:rsidRPr="00BB7D16">
        <w:t xml:space="preserve"> – it will be critical to ensure that any national database delivers on the needs of all participants</w:t>
      </w:r>
    </w:p>
    <w:p w:rsidR="009E5415" w:rsidRPr="00BB7D16" w:rsidRDefault="009E5415" w:rsidP="00BB7D16">
      <w:pPr>
        <w:pStyle w:val="Bulletpoint"/>
      </w:pPr>
      <w:r w:rsidRPr="00BB7D16">
        <w:t>Privacy and security issues</w:t>
      </w:r>
      <w:r w:rsidR="008A6B45" w:rsidRPr="00BB7D16">
        <w:t xml:space="preserve"> – agency p</w:t>
      </w:r>
      <w:r w:rsidRPr="00BB7D16">
        <w:t xml:space="preserve">rivacy and </w:t>
      </w:r>
      <w:r w:rsidR="008A6B45" w:rsidRPr="00BB7D16">
        <w:t>i</w:t>
      </w:r>
      <w:r w:rsidRPr="00BB7D16">
        <w:t xml:space="preserve">nformation </w:t>
      </w:r>
      <w:r w:rsidR="008A6B45" w:rsidRPr="00BB7D16">
        <w:t>s</w:t>
      </w:r>
      <w:r w:rsidRPr="00BB7D16">
        <w:t xml:space="preserve">haring policies </w:t>
      </w:r>
      <w:r w:rsidR="008A6B45" w:rsidRPr="00BB7D16">
        <w:t>may need to be amended to allow for a national database.</w:t>
      </w:r>
    </w:p>
    <w:p w:rsidR="006D4415" w:rsidRDefault="009E5415" w:rsidP="00240BEA">
      <w:pPr>
        <w:pStyle w:val="Bulletpoint"/>
      </w:pPr>
      <w:r w:rsidRPr="00BB7D16">
        <w:t>Shared protocols publicly communicating relevant results and information obtained through use of the database</w:t>
      </w:r>
      <w:r w:rsidR="008A6B45" w:rsidRPr="00BB7D16">
        <w:t xml:space="preserve"> – participants will need to agree as to how joint </w:t>
      </w:r>
      <w:r w:rsidR="0027250E" w:rsidRPr="00BB7D16">
        <w:t>information</w:t>
      </w:r>
      <w:r w:rsidR="008A6B45" w:rsidRPr="00BB7D16">
        <w:t xml:space="preserve"> can and cannot be used.</w:t>
      </w:r>
      <w:r w:rsidR="006D4415">
        <w:br w:type="page"/>
      </w:r>
    </w:p>
    <w:p w:rsidR="000E3A2E" w:rsidRPr="00863A4E" w:rsidRDefault="00CD4F9B" w:rsidP="00863A4E">
      <w:pPr>
        <w:pStyle w:val="Heading1"/>
        <w:rPr>
          <w:rFonts w:cs="Times New Roman"/>
        </w:rPr>
      </w:pPr>
      <w:bookmarkStart w:id="25" w:name="_Toc460333823"/>
      <w:r w:rsidRPr="00863A4E">
        <w:t>Specialist regulators</w:t>
      </w:r>
      <w:bookmarkEnd w:id="25"/>
    </w:p>
    <w:p w:rsidR="00F26BF9" w:rsidRPr="00BB7D16" w:rsidRDefault="00F26BF9" w:rsidP="00BB7D16">
      <w:pPr>
        <w:pStyle w:val="Informationrequest"/>
        <w:rPr>
          <w:rStyle w:val="Strong"/>
        </w:rPr>
      </w:pPr>
      <w:r w:rsidRPr="00BB7D16">
        <w:rPr>
          <w:rStyle w:val="Strong"/>
        </w:rPr>
        <w:t>Information request (page 10)</w:t>
      </w:r>
    </w:p>
    <w:p w:rsidR="00F26BF9" w:rsidRPr="00F26BF9" w:rsidRDefault="00F26BF9" w:rsidP="00BB7D16">
      <w:pPr>
        <w:pStyle w:val="Informationrequest"/>
      </w:pPr>
      <w:r w:rsidRPr="00084F27">
        <w:t>How adequate are current arrangements among ACL regulators (and specialist safety regulatory regimes) for identifying consumer concerns that are ‘extra jurisdictional’ and for developing a consistent national regulator response? How might these arrangements be improved?</w:t>
      </w:r>
    </w:p>
    <w:p w:rsidR="00084F27" w:rsidRPr="00BB7D16" w:rsidRDefault="00084F27" w:rsidP="00BB7D16">
      <w:pPr>
        <w:pStyle w:val="Informationrequest"/>
        <w:rPr>
          <w:rStyle w:val="Strong"/>
        </w:rPr>
      </w:pPr>
      <w:r w:rsidRPr="00BB7D16">
        <w:rPr>
          <w:rStyle w:val="Strong"/>
        </w:rPr>
        <w:t>Information request (page 13)</w:t>
      </w:r>
    </w:p>
    <w:p w:rsidR="00084F27" w:rsidRPr="00084F27" w:rsidRDefault="00084F27" w:rsidP="00BB7D16">
      <w:pPr>
        <w:pStyle w:val="Informationrequest"/>
      </w:pPr>
      <w:r w:rsidRPr="00084F27">
        <w:t>The Commission would welcome comprehensive information on the specialist consumer safety regulatory regimes that lie outside the ACL and the regulators responsible for administering those regimes in and across jurisdictions in Australia. What is the rationale for the delineation of responsibilities between specialist safety regulators (and the ACL regulators)?</w:t>
      </w:r>
    </w:p>
    <w:p w:rsidR="00A810AC" w:rsidRDefault="00A810AC" w:rsidP="00A810AC">
      <w:r>
        <w:t xml:space="preserve">The rationale for the specialist regulators is that they are best placed to manage the risks in their area of speciality, given their technical expertise. </w:t>
      </w:r>
      <w:r w:rsidR="006F53D2" w:rsidRPr="006F53D2">
        <w:t>Specialist regulators also administer regulatory frameworks that are specifically tailored to a category of risk or a particular industry. This allows specialist regulators to develop expert knowledge of the technical details of those risks and to develop strong relationships with those industries. That expert knowledge and strong relationships should enable them to respond effectively and efficiently to emerging issues in those industries or that relate to those categories of risk.</w:t>
      </w:r>
    </w:p>
    <w:p w:rsidR="00A810AC" w:rsidRPr="00570498" w:rsidRDefault="00A810AC" w:rsidP="00A810AC">
      <w:r>
        <w:t xml:space="preserve">The ACCC notes that the implementation of this rationale requires clear delineation of responsibilities </w:t>
      </w:r>
      <w:r w:rsidR="006F53D2">
        <w:t xml:space="preserve">to avoid </w:t>
      </w:r>
      <w:r>
        <w:t xml:space="preserve">inefficiency. The ACCC considers that the delineation suggested by the Productivity Commission in its review of the product safety system in 2006 </w:t>
      </w:r>
      <w:r w:rsidRPr="00570498">
        <w:t>remains appropriate:</w:t>
      </w:r>
    </w:p>
    <w:p w:rsidR="00A810AC" w:rsidRPr="00570498" w:rsidRDefault="00A810AC" w:rsidP="00A810AC">
      <w:pPr>
        <w:pStyle w:val="Bulletpoint"/>
      </w:pPr>
      <w:r w:rsidRPr="00570498">
        <w:t>medicines and other therapeutic devices (Therapeutic Goods Administration)</w:t>
      </w:r>
    </w:p>
    <w:p w:rsidR="00A810AC" w:rsidRPr="00570498" w:rsidRDefault="00A810AC" w:rsidP="00A810AC">
      <w:pPr>
        <w:pStyle w:val="Bulletpoint"/>
      </w:pPr>
      <w:r w:rsidRPr="00570498">
        <w:t>food products and alcohol (Food Standards Australia New Zealand with state regulators)</w:t>
      </w:r>
    </w:p>
    <w:p w:rsidR="00A810AC" w:rsidRPr="00570498" w:rsidRDefault="00A810AC" w:rsidP="00A810AC">
      <w:pPr>
        <w:pStyle w:val="Bulletpoint"/>
      </w:pPr>
      <w:r w:rsidRPr="00570498">
        <w:t>road transport vehicles (Department of Infrastructure and Regional Development, Vehicle Safety Standards)</w:t>
      </w:r>
    </w:p>
    <w:p w:rsidR="00A810AC" w:rsidRPr="00570498" w:rsidRDefault="00A810AC" w:rsidP="00A810AC">
      <w:pPr>
        <w:pStyle w:val="Bulletpoint"/>
      </w:pPr>
      <w:r w:rsidRPr="00570498">
        <w:t xml:space="preserve">buildings (Australian Building Codes Board with state regulators) </w:t>
      </w:r>
    </w:p>
    <w:p w:rsidR="00A810AC" w:rsidRPr="00570498" w:rsidRDefault="00A810AC" w:rsidP="00A810AC">
      <w:pPr>
        <w:pStyle w:val="Bulletpoint"/>
      </w:pPr>
      <w:r w:rsidRPr="00570498">
        <w:t>pesticides and veterinary medicines (the Australian Pesticides and Veterinary Medicines Authority)</w:t>
      </w:r>
    </w:p>
    <w:p w:rsidR="00A810AC" w:rsidRPr="00570498" w:rsidRDefault="00A810AC" w:rsidP="00A810AC">
      <w:pPr>
        <w:pStyle w:val="Bulletpoint"/>
      </w:pPr>
      <w:r w:rsidRPr="00570498">
        <w:t>electrical consumer products (which are regulated by a variety of State and Territory organisations and co-ordinated by the Electrical Regulatory Authorities Council)</w:t>
      </w:r>
    </w:p>
    <w:p w:rsidR="00A810AC" w:rsidRPr="00570498" w:rsidRDefault="00A810AC" w:rsidP="00A810AC">
      <w:pPr>
        <w:pStyle w:val="Bulletpoint"/>
      </w:pPr>
      <w:proofErr w:type="gramStart"/>
      <w:r w:rsidRPr="00570498">
        <w:t>tobacco</w:t>
      </w:r>
      <w:proofErr w:type="gramEnd"/>
      <w:r w:rsidRPr="00570498">
        <w:t xml:space="preserve"> (subject to a range of regulations co-ordinated by the Ministerial Council on Drugs and the Department of Health).</w:t>
      </w:r>
    </w:p>
    <w:p w:rsidR="00A810AC" w:rsidRDefault="006F53D2" w:rsidP="00A810AC">
      <w:pPr>
        <w:rPr>
          <w:color w:val="000000"/>
        </w:rPr>
      </w:pPr>
      <w:r>
        <w:t>For example, t</w:t>
      </w:r>
      <w:r>
        <w:rPr>
          <w:color w:val="000000"/>
        </w:rPr>
        <w:t xml:space="preserve">he </w:t>
      </w:r>
      <w:r w:rsidR="00A810AC">
        <w:rPr>
          <w:color w:val="000000"/>
        </w:rPr>
        <w:t xml:space="preserve">Department of Infrastructure and Regional Development (DIRD) has the technical expertise and authority to conduct risk assessments of motor vehicles. </w:t>
      </w:r>
      <w:r w:rsidR="00C85A0A">
        <w:rPr>
          <w:color w:val="000000"/>
        </w:rPr>
        <w:t>It administers premarket motor vehicle safety standards and frameworks that cover the breadth of the motor vehicle industry with strong links with international counterparts and well developed technical expertise. S</w:t>
      </w:r>
      <w:r w:rsidR="00A810AC">
        <w:rPr>
          <w:color w:val="000000"/>
        </w:rPr>
        <w:t xml:space="preserve">tate and </w:t>
      </w:r>
      <w:r w:rsidR="00C85A0A" w:rsidRPr="00C85A0A">
        <w:rPr>
          <w:color w:val="000000"/>
        </w:rPr>
        <w:t xml:space="preserve">Territory road safety </w:t>
      </w:r>
      <w:r w:rsidR="00A810AC">
        <w:rPr>
          <w:color w:val="000000"/>
        </w:rPr>
        <w:t xml:space="preserve">authorities </w:t>
      </w:r>
      <w:r w:rsidR="00C85A0A" w:rsidRPr="00C85A0A">
        <w:rPr>
          <w:color w:val="000000"/>
        </w:rPr>
        <w:t>apply further controls over motor vehicle users as part of an integrated national motor vehicle safety system</w:t>
      </w:r>
      <w:r w:rsidR="00A810AC">
        <w:rPr>
          <w:color w:val="000000"/>
        </w:rPr>
        <w:t xml:space="preserve">. </w:t>
      </w:r>
      <w:r w:rsidR="00C85A0A">
        <w:rPr>
          <w:color w:val="000000"/>
        </w:rPr>
        <w:t xml:space="preserve">Given this elaborate and entirely appropriate regulatory framework, </w:t>
      </w:r>
      <w:r w:rsidR="00C2190F">
        <w:rPr>
          <w:color w:val="000000"/>
        </w:rPr>
        <w:t>we do</w:t>
      </w:r>
      <w:r w:rsidR="00C85A0A">
        <w:rPr>
          <w:color w:val="000000"/>
        </w:rPr>
        <w:t xml:space="preserve"> not believe </w:t>
      </w:r>
      <w:r w:rsidR="00C2190F">
        <w:rPr>
          <w:color w:val="000000"/>
        </w:rPr>
        <w:t>we have</w:t>
      </w:r>
      <w:r w:rsidR="00C85A0A">
        <w:rPr>
          <w:color w:val="000000"/>
        </w:rPr>
        <w:t xml:space="preserve"> a role to play in regulating motor vehicle safety.</w:t>
      </w:r>
    </w:p>
    <w:p w:rsidR="00C77F36" w:rsidRDefault="00C85A0A" w:rsidP="00C85A0A">
      <w:r>
        <w:t xml:space="preserve">Similarly, State and Territory electrical safety regulators administer an electrical safety regime that encompasses the electrical supply system, the licensing of electricians and the safety of industrial electrical equipment as well as the safety of electrical equipment used by consumers. </w:t>
      </w:r>
      <w:r w:rsidR="00215CF5">
        <w:t xml:space="preserve">Each State and Territory has different </w:t>
      </w:r>
      <w:r w:rsidR="00410BE6">
        <w:t xml:space="preserve">powers and remedies. </w:t>
      </w:r>
      <w:r w:rsidR="00215CF5">
        <w:t xml:space="preserve">This </w:t>
      </w:r>
      <w:r w:rsidR="007249CF" w:rsidRPr="007249CF">
        <w:t xml:space="preserve">lack of consistent powers across the State and Territory electrical safety regimes </w:t>
      </w:r>
      <w:r w:rsidR="00215CF5">
        <w:t xml:space="preserve">can complicate electrical safety concerns experienced nationwide, and </w:t>
      </w:r>
      <w:r w:rsidR="007249CF" w:rsidRPr="007249CF">
        <w:t>prompted our involvement in the recall</w:t>
      </w:r>
      <w:r w:rsidR="00C77F36">
        <w:t xml:space="preserve"> of unsafe </w:t>
      </w:r>
      <w:r w:rsidR="00C77F36" w:rsidRPr="007249CF">
        <w:t xml:space="preserve">Infinity </w:t>
      </w:r>
      <w:r w:rsidR="00C77F36">
        <w:t xml:space="preserve">electrical </w:t>
      </w:r>
      <w:r w:rsidR="00C77F36" w:rsidRPr="007249CF">
        <w:t>cable</w:t>
      </w:r>
      <w:r w:rsidR="007249CF" w:rsidRPr="007249CF">
        <w:t xml:space="preserve">. </w:t>
      </w:r>
      <w:r w:rsidR="006D4415">
        <w:t xml:space="preserve">In some States, electrical safety regulators had recall powers that they could apply to this electrical safety problem but in other States and Territories the electrical safety regulator had either inadequate or no recall powers to remedy one of the biggest electrical safety challenges Australian regulators have ever seen. In the absence of an effective national </w:t>
      </w:r>
      <w:r w:rsidR="00410BE6">
        <w:t>law</w:t>
      </w:r>
      <w:r w:rsidR="00C77F36">
        <w:t>,</w:t>
      </w:r>
      <w:r w:rsidR="00410BE6">
        <w:t xml:space="preserve"> it was necessary to form </w:t>
      </w:r>
      <w:r w:rsidR="006D4415">
        <w:t xml:space="preserve">a Taskforce </w:t>
      </w:r>
      <w:r w:rsidR="00C77F36" w:rsidRPr="00C77F36">
        <w:t xml:space="preserve">of ACL and electrical safety regulators </w:t>
      </w:r>
      <w:r w:rsidR="006D4415">
        <w:t xml:space="preserve">to develop and implement </w:t>
      </w:r>
      <w:r w:rsidR="00410BE6">
        <w:t xml:space="preserve">an appropriate </w:t>
      </w:r>
      <w:r w:rsidR="006D4415">
        <w:t xml:space="preserve">response. </w:t>
      </w:r>
      <w:r w:rsidR="00410BE6">
        <w:t xml:space="preserve">Having regard to the serious and wide-spread nature of the safety concerns we agreed to take a leading role in the response. </w:t>
      </w:r>
    </w:p>
    <w:p w:rsidR="00C85A0A" w:rsidRDefault="00410BE6" w:rsidP="00C85A0A">
      <w:r>
        <w:t>However</w:t>
      </w:r>
      <w:r w:rsidR="00C77F36">
        <w:t>, ACL regulators lacked the specialist electrical safety expertise to diagnose the defect in the cable and to formulate a technical response that was consistent with electrical wiring laws in each State and Territory. The ACL remedies are general and not designed with electrical cable installations in mind.</w:t>
      </w:r>
      <w:r>
        <w:t xml:space="preserve"> </w:t>
      </w:r>
      <w:r w:rsidR="00C77F36">
        <w:t xml:space="preserve">This </w:t>
      </w:r>
      <w:r>
        <w:t xml:space="preserve">has had a significant and ongoing impact </w:t>
      </w:r>
      <w:r w:rsidR="006D4415">
        <w:t xml:space="preserve">on ACCC </w:t>
      </w:r>
      <w:proofErr w:type="gramStart"/>
      <w:r w:rsidR="006D4415">
        <w:t xml:space="preserve">resources </w:t>
      </w:r>
      <w:r>
        <w:t>which</w:t>
      </w:r>
      <w:proofErr w:type="gramEnd"/>
      <w:r>
        <w:t xml:space="preserve"> could have been avoided if the specialist regulators had appropriate tools and remedies at their disposal. Any expectation that we, </w:t>
      </w:r>
      <w:r w:rsidR="00215CF5">
        <w:t>or any other</w:t>
      </w:r>
      <w:r>
        <w:t xml:space="preserve"> generalist regulator, can step in in this way in the future is unsustainable.</w:t>
      </w:r>
      <w:r w:rsidRPr="00410BE6">
        <w:t xml:space="preserve"> </w:t>
      </w:r>
      <w:r>
        <w:t>We are not resourced, and cannot be expected, to develop the technical expertise or regulatory tools necessary to duplicate the electrical safety regulatory system.</w:t>
      </w:r>
    </w:p>
    <w:p w:rsidR="00C85A0A" w:rsidRPr="00C85A0A" w:rsidRDefault="00C85A0A" w:rsidP="00A810AC">
      <w:r>
        <w:t xml:space="preserve">Finally, food safety regulators administer a successful regime of controls </w:t>
      </w:r>
      <w:r w:rsidR="006D4415">
        <w:t xml:space="preserve">aimed at ensuring </w:t>
      </w:r>
      <w:r>
        <w:t xml:space="preserve">the safety of the Australian food supply. This system involves </w:t>
      </w:r>
      <w:r w:rsidR="006D4415">
        <w:t>multiple bodies including</w:t>
      </w:r>
      <w:r>
        <w:t xml:space="preserve"> Commonwealth agencies such as Food Standards Australia New Zealand (FSANZ), State and Territory agriculture and health agencies</w:t>
      </w:r>
      <w:r w:rsidR="006D4415">
        <w:t xml:space="preserve"> and</w:t>
      </w:r>
      <w:r>
        <w:t xml:space="preserve"> local governments. </w:t>
      </w:r>
      <w:r w:rsidR="007249CF">
        <w:t>Being a specialist regime, there needs to be to</w:t>
      </w:r>
      <w:r w:rsidR="00215CF5">
        <w:t>o</w:t>
      </w:r>
      <w:r w:rsidR="007249CF">
        <w:t xml:space="preserve">ls and resources </w:t>
      </w:r>
      <w:r>
        <w:t xml:space="preserve">to address emerging safety issues. </w:t>
      </w:r>
      <w:r w:rsidR="007249CF">
        <w:t xml:space="preserve">There should also be a clear delineation of roles and </w:t>
      </w:r>
      <w:r>
        <w:t xml:space="preserve">no need for food safety regulators to approach </w:t>
      </w:r>
      <w:r w:rsidR="00511F2E">
        <w:t xml:space="preserve">us </w:t>
      </w:r>
      <w:r>
        <w:t>for assistance with food safety concerns</w:t>
      </w:r>
      <w:r w:rsidR="00FE48FD">
        <w:t xml:space="preserve">. For example, recent concerns </w:t>
      </w:r>
      <w:r>
        <w:t>about the supply of raw-milk</w:t>
      </w:r>
      <w:r w:rsidR="00FE48FD">
        <w:t xml:space="preserve"> were</w:t>
      </w:r>
      <w:r>
        <w:t xml:space="preserve"> resolved within the food safety regulatory framework but </w:t>
      </w:r>
      <w:r w:rsidR="007249CF">
        <w:t xml:space="preserve">discussions about the potential application of the ACL </w:t>
      </w:r>
      <w:r>
        <w:t xml:space="preserve">nonetheless diverted </w:t>
      </w:r>
      <w:r w:rsidR="00511F2E">
        <w:t xml:space="preserve">our </w:t>
      </w:r>
      <w:r>
        <w:t xml:space="preserve">resources for </w:t>
      </w:r>
      <w:r w:rsidR="00FE48FD">
        <w:t xml:space="preserve">several </w:t>
      </w:r>
      <w:r>
        <w:t xml:space="preserve">months. </w:t>
      </w:r>
    </w:p>
    <w:p w:rsidR="00084F27" w:rsidRPr="00BB7D16" w:rsidRDefault="00084F27" w:rsidP="00BB7D16">
      <w:pPr>
        <w:pStyle w:val="Informationrequest"/>
        <w:rPr>
          <w:rStyle w:val="Strong"/>
        </w:rPr>
      </w:pPr>
      <w:r w:rsidRPr="00BB7D16">
        <w:rPr>
          <w:rStyle w:val="Strong"/>
        </w:rPr>
        <w:t>Information request (page 15)</w:t>
      </w:r>
    </w:p>
    <w:p w:rsidR="00A810AC" w:rsidRPr="00084F27" w:rsidRDefault="00084F27" w:rsidP="00BB7D16">
      <w:pPr>
        <w:pStyle w:val="Informationrequest"/>
      </w:pPr>
      <w:r w:rsidRPr="00084F27">
        <w:t>What challenges do product complexity and bundling, and overlapping regulation, pose for ACL regulators, specialist safety regime regulators, businesses and consumers? What are some current examples of particular concern? How significant are these challenges? Does the availability of alternative avenues of regulating particular products assist ACL or specialist safety regulators in protecting consumers?</w:t>
      </w:r>
    </w:p>
    <w:p w:rsidR="00A14282" w:rsidRDefault="00A810AC" w:rsidP="00A810AC">
      <w:r>
        <w:t xml:space="preserve">The rationale for specialist regulators remains </w:t>
      </w:r>
      <w:r w:rsidR="00C54070">
        <w:t>well considered and persuasive</w:t>
      </w:r>
      <w:r>
        <w:t xml:space="preserve">. The ACCC’s experience is that delineation occurs informally and when </w:t>
      </w:r>
      <w:r w:rsidR="000D180E">
        <w:t xml:space="preserve">risk </w:t>
      </w:r>
      <w:r>
        <w:t xml:space="preserve">perception is high, this can apply pressure for a response </w:t>
      </w:r>
      <w:r w:rsidR="00C85A0A" w:rsidRPr="00C85A0A">
        <w:t>under the ACL</w:t>
      </w:r>
      <w:r w:rsidR="000D180E">
        <w:t xml:space="preserve"> rather than the specialist regime</w:t>
      </w:r>
      <w:r>
        <w:t xml:space="preserve">. Consumer perception of </w:t>
      </w:r>
      <w:r w:rsidR="000D180E">
        <w:t xml:space="preserve">risks, whether safety concerns or otherwise, </w:t>
      </w:r>
      <w:r>
        <w:t>is likely to be neutral about which regulator develops the response, so long as it is adequate.</w:t>
      </w:r>
    </w:p>
    <w:p w:rsidR="00D33B1B" w:rsidRDefault="00D33B1B" w:rsidP="00A810AC">
      <w:r w:rsidRPr="003B4D04">
        <w:t xml:space="preserve">As noted above, </w:t>
      </w:r>
      <w:r w:rsidR="003B4D04">
        <w:t>w</w:t>
      </w:r>
      <w:r w:rsidR="003B4D04" w:rsidRPr="003B4D04">
        <w:t xml:space="preserve">here </w:t>
      </w:r>
      <w:r w:rsidR="00A14282">
        <w:t xml:space="preserve">Governments </w:t>
      </w:r>
      <w:r w:rsidR="00A14282" w:rsidRPr="003B4D04">
        <w:t xml:space="preserve">have established </w:t>
      </w:r>
      <w:r w:rsidR="003B4D04" w:rsidRPr="003B4D04">
        <w:t>speci</w:t>
      </w:r>
      <w:r w:rsidR="00CA1A46">
        <w:t>alist</w:t>
      </w:r>
      <w:r w:rsidR="003B4D04" w:rsidRPr="003B4D04">
        <w:t xml:space="preserve"> regulators, it is not sustainable to remove or reduce those regimes and expect the same level of attention and expertise from generalist regulators</w:t>
      </w:r>
      <w:r w:rsidRPr="003B4D04">
        <w:t>.</w:t>
      </w:r>
      <w:r>
        <w:t xml:space="preserve"> </w:t>
      </w:r>
    </w:p>
    <w:p w:rsidR="00084F27" w:rsidRPr="00BB7D16" w:rsidRDefault="00084F27" w:rsidP="00BB7D16">
      <w:pPr>
        <w:pStyle w:val="Informationrequest"/>
        <w:rPr>
          <w:rStyle w:val="Strong"/>
        </w:rPr>
      </w:pPr>
      <w:r w:rsidRPr="00BB7D16">
        <w:rPr>
          <w:rStyle w:val="Strong"/>
        </w:rPr>
        <w:t>Information request (page 16)</w:t>
      </w:r>
    </w:p>
    <w:p w:rsidR="00084F27" w:rsidRPr="00084F27" w:rsidRDefault="00084F27" w:rsidP="00BB7D16">
      <w:pPr>
        <w:pStyle w:val="Informationrequest"/>
      </w:pPr>
      <w:r w:rsidRPr="00084F27">
        <w:t>Are current protocols for communication, cooperation and coordination between regulators of specialist safety regimes and ACL regulators effective in dealing with consumer concerns where regulators in both regimes have responsibility for consumer protection? In particular:</w:t>
      </w:r>
    </w:p>
    <w:p w:rsidR="00084F27" w:rsidRPr="00084F27" w:rsidRDefault="00084F27" w:rsidP="00BB7D16">
      <w:pPr>
        <w:pStyle w:val="Informationrequest"/>
        <w:numPr>
          <w:ilvl w:val="0"/>
          <w:numId w:val="47"/>
        </w:numPr>
      </w:pPr>
      <w:r w:rsidRPr="00084F27">
        <w:t>Are those protocols effective in ensuring that consumer concerns about product safety received by one regulator are effectively directed to the most appropriate (ACL or specialist safety regime) regulator?</w:t>
      </w:r>
    </w:p>
    <w:p w:rsidR="00084F27" w:rsidRPr="00084F27" w:rsidRDefault="00084F27" w:rsidP="00BB7D16">
      <w:pPr>
        <w:pStyle w:val="Informationrequest"/>
        <w:numPr>
          <w:ilvl w:val="0"/>
          <w:numId w:val="47"/>
        </w:numPr>
      </w:pPr>
      <w:r w:rsidRPr="00084F27">
        <w:t>Are there examples of especially good or poor interaction between ACL and specialist regulators, and what lessons might these provide to improve interaction between ACL and specialist safety regime regulators?</w:t>
      </w:r>
    </w:p>
    <w:p w:rsidR="00084F27" w:rsidRPr="00084F27" w:rsidRDefault="00084F27" w:rsidP="00BB7D16">
      <w:pPr>
        <w:pStyle w:val="Informationrequest"/>
      </w:pPr>
      <w:r w:rsidRPr="00084F27">
        <w:t xml:space="preserve">What changes to current arrangements are needed to achieve effective communication, cooperation and coordination of consumer protection regulation among regulators of ACL and specialist safety regulatory regimes? </w:t>
      </w:r>
    </w:p>
    <w:p w:rsidR="00084F27" w:rsidRPr="00084F27" w:rsidRDefault="00084F27" w:rsidP="00BB7D16">
      <w:pPr>
        <w:pStyle w:val="Informationrequest"/>
      </w:pPr>
      <w:r w:rsidRPr="00084F27">
        <w:t>Can formal protocols for communication and cooperation provide effective channels or are broader organisational changes (such as co-location or amalgamation of regulatory functions) needed?</w:t>
      </w:r>
    </w:p>
    <w:p w:rsidR="00A810AC" w:rsidRDefault="000D180E" w:rsidP="00BB7D16">
      <w:r>
        <w:t>In relation to product safety, we have</w:t>
      </w:r>
      <w:r w:rsidR="00A810AC">
        <w:t xml:space="preserve"> formal arrangements in place for the referral of </w:t>
      </w:r>
      <w:r w:rsidR="00C85A0A" w:rsidRPr="00C85A0A">
        <w:t xml:space="preserve">safety reports and </w:t>
      </w:r>
      <w:r w:rsidR="00A810AC">
        <w:t>recalls to specialist regulators, which in general function well.</w:t>
      </w:r>
      <w:r w:rsidR="00C85A0A">
        <w:t xml:space="preserve"> </w:t>
      </w:r>
      <w:r w:rsidR="00C85A0A" w:rsidRPr="00C85A0A">
        <w:t xml:space="preserve">However, the administrative overhead involved in referring these matters to other agencies is relatively high and a significant proportion of these referrals involve negotiations about the respective roles and responsibilities of the ACCC and the relevant specialist regulator. </w:t>
      </w:r>
      <w:r>
        <w:t>We have</w:t>
      </w:r>
      <w:r w:rsidR="00C85A0A" w:rsidRPr="00C85A0A">
        <w:t xml:space="preserve"> attempted to establish interagency agreements to resolve these issues but these negotiations are ongoing, protracted and resource intensive.</w:t>
      </w:r>
    </w:p>
    <w:p w:rsidR="00A810AC" w:rsidRDefault="000D180E" w:rsidP="00BB7D16">
      <w:r>
        <w:t>We</w:t>
      </w:r>
      <w:r w:rsidR="00A810AC">
        <w:t xml:space="preserve"> do not consider that there is a case for co-location or amalgamation </w:t>
      </w:r>
      <w:r>
        <w:t xml:space="preserve">of product safety regulatory functions </w:t>
      </w:r>
      <w:r w:rsidR="00A810AC">
        <w:t xml:space="preserve">as </w:t>
      </w:r>
      <w:r w:rsidR="00C85A0A" w:rsidRPr="00C85A0A">
        <w:t>the number of specialist regulators</w:t>
      </w:r>
      <w:r>
        <w:t xml:space="preserve"> and the wide variety of industries and specifically identified risks they regulate</w:t>
      </w:r>
      <w:r w:rsidR="00C85A0A" w:rsidRPr="00C85A0A">
        <w:t xml:space="preserve"> would make th</w:t>
      </w:r>
      <w:r w:rsidR="00C85A0A">
        <w:t>is administratively unworkable</w:t>
      </w:r>
      <w:r>
        <w:t xml:space="preserve"> and entirely inefficient</w:t>
      </w:r>
      <w:r w:rsidR="00C85A0A">
        <w:t>.</w:t>
      </w:r>
      <w:r w:rsidR="00C85A0A" w:rsidRPr="00C85A0A">
        <w:t xml:space="preserve"> </w:t>
      </w:r>
      <w:r w:rsidR="00B25639">
        <w:t xml:space="preserve">However, it is important for </w:t>
      </w:r>
      <w:r w:rsidR="00C85A0A" w:rsidRPr="00C85A0A">
        <w:t xml:space="preserve">specialist regulators to </w:t>
      </w:r>
      <w:r w:rsidR="00B25639">
        <w:t xml:space="preserve">better </w:t>
      </w:r>
      <w:r w:rsidR="00C85A0A" w:rsidRPr="00C85A0A">
        <w:t>clarify and delineate roles and responsibilities</w:t>
      </w:r>
      <w:r w:rsidR="00B25639">
        <w:t>, for example</w:t>
      </w:r>
      <w:r w:rsidR="00C85A0A" w:rsidRPr="00C85A0A">
        <w:t xml:space="preserve"> via interagency agreements. </w:t>
      </w:r>
      <w:r>
        <w:t xml:space="preserve"> </w:t>
      </w:r>
      <w:r w:rsidRPr="000D180E">
        <w:t>ACL regulators can and do provide strategic interventions in important matters and the ACL provides an important role to assist with emerging practices</w:t>
      </w:r>
      <w:r w:rsidR="00CA1A46">
        <w:t>.</w:t>
      </w:r>
      <w:r w:rsidRPr="000D180E">
        <w:t xml:space="preserve"> </w:t>
      </w:r>
      <w:r w:rsidR="00CA1A46">
        <w:t>However, ACL regulators</w:t>
      </w:r>
      <w:r w:rsidRPr="000D180E">
        <w:t xml:space="preserve"> are not substitutes for specialist regulators</w:t>
      </w:r>
      <w:r>
        <w:t xml:space="preserve"> and cannot devote </w:t>
      </w:r>
      <w:r w:rsidRPr="000D180E">
        <w:t xml:space="preserve">the same level of attention and expertise </w:t>
      </w:r>
      <w:r>
        <w:t xml:space="preserve">as </w:t>
      </w:r>
      <w:r w:rsidR="00CA1A46">
        <w:t xml:space="preserve">those </w:t>
      </w:r>
      <w:r>
        <w:t>specialist</w:t>
      </w:r>
      <w:r w:rsidRPr="000D180E">
        <w:t xml:space="preserve"> regulators</w:t>
      </w:r>
      <w:r w:rsidR="00CA1A46">
        <w:t>.</w:t>
      </w:r>
    </w:p>
    <w:p w:rsidR="007026FB" w:rsidRDefault="007026FB" w:rsidP="00240BEA">
      <w:r>
        <w:br w:type="page"/>
      </w:r>
    </w:p>
    <w:p w:rsidR="000E3A2E" w:rsidRPr="00863A4E" w:rsidRDefault="00836957" w:rsidP="008618A9">
      <w:pPr>
        <w:pStyle w:val="Heading1"/>
      </w:pPr>
      <w:bookmarkStart w:id="26" w:name="_Toc460333824"/>
      <w:r w:rsidRPr="00863A4E">
        <w:t>Institutional architecture for consumer safety regulation</w:t>
      </w:r>
      <w:bookmarkEnd w:id="26"/>
    </w:p>
    <w:p w:rsidR="00084F27" w:rsidRPr="00BB7D16" w:rsidRDefault="00084F27" w:rsidP="00BB7D16">
      <w:pPr>
        <w:pStyle w:val="Informationrequest"/>
        <w:rPr>
          <w:rStyle w:val="Strong"/>
        </w:rPr>
      </w:pPr>
      <w:r w:rsidRPr="00BB7D16">
        <w:rPr>
          <w:rStyle w:val="Strong"/>
        </w:rPr>
        <w:t>Information request (page 17)</w:t>
      </w:r>
    </w:p>
    <w:p w:rsidR="00084F27" w:rsidRPr="00BB7D16" w:rsidRDefault="00084F27" w:rsidP="00BB7D16">
      <w:pPr>
        <w:pStyle w:val="Informationrequest"/>
      </w:pPr>
      <w:r w:rsidRPr="00BB7D16">
        <w:t>What progress has been made in removing unnecessary and costly divergences in regulatory requirements between industry-specific state and territory consumer protection regimes since 2008? Where progress has been limited, why? Is there a case for pursuing a ‘one law’ model for areas of consumer product safety regulation, or other means of reducing the costs of variations, where there are currently state variations? If so, what areas should be priorities for review?</w:t>
      </w:r>
    </w:p>
    <w:p w:rsidR="001A62B2" w:rsidRDefault="00C85A0A" w:rsidP="00A810AC">
      <w:r>
        <w:t>During</w:t>
      </w:r>
      <w:r w:rsidR="00A810AC">
        <w:t xml:space="preserve"> the creation of the ACL, </w:t>
      </w:r>
      <w:r w:rsidRPr="00C85A0A">
        <w:t xml:space="preserve">ACL regulators undertook </w:t>
      </w:r>
      <w:r w:rsidR="00A810AC">
        <w:t>considerable work to harmonise standard</w:t>
      </w:r>
      <w:r>
        <w:t>s</w:t>
      </w:r>
      <w:r w:rsidR="00A810AC">
        <w:t xml:space="preserve"> and bans under consumer laws, with a substantial reduction in </w:t>
      </w:r>
      <w:r>
        <w:t xml:space="preserve">the </w:t>
      </w:r>
      <w:r w:rsidR="00A810AC">
        <w:t>number</w:t>
      </w:r>
      <w:r>
        <w:t xml:space="preserve"> of regulations</w:t>
      </w:r>
      <w:r w:rsidR="00A810AC">
        <w:t xml:space="preserve">. We have since observed benefits of </w:t>
      </w:r>
      <w:r>
        <w:t xml:space="preserve">the </w:t>
      </w:r>
      <w:r w:rsidR="00A810AC">
        <w:t xml:space="preserve">one-law model for consumer product safety, which has brought about the same protections for consumers regardless of location and has allowed regulators to set consistent expectations for business compliance. </w:t>
      </w:r>
    </w:p>
    <w:p w:rsidR="00A810AC" w:rsidRPr="006279EC" w:rsidRDefault="00A810AC" w:rsidP="00A810AC">
      <w:r>
        <w:t xml:space="preserve">Those benefits might </w:t>
      </w:r>
      <w:r w:rsidR="001A62B2">
        <w:t>also be realised</w:t>
      </w:r>
      <w:r>
        <w:t xml:space="preserve"> if there were, for example, a </w:t>
      </w:r>
      <w:r w:rsidR="001A62B2">
        <w:t xml:space="preserve">national </w:t>
      </w:r>
      <w:r>
        <w:t>electrical</w:t>
      </w:r>
      <w:r w:rsidR="001A62B2" w:rsidRPr="001A62B2">
        <w:t xml:space="preserve">-equipment/gas-appliance safety law </w:t>
      </w:r>
      <w:r w:rsidR="00D80510">
        <w:t>with</w:t>
      </w:r>
      <w:r w:rsidR="00D80510" w:rsidRPr="001A62B2">
        <w:t xml:space="preserve"> </w:t>
      </w:r>
      <w:r w:rsidR="001A62B2" w:rsidRPr="001A62B2">
        <w:t>supporting</w:t>
      </w:r>
      <w:r w:rsidR="001A62B2" w:rsidRPr="001A62B2" w:rsidDel="001A62B2">
        <w:t xml:space="preserve"> </w:t>
      </w:r>
      <w:r>
        <w:t>administrative arrangements</w:t>
      </w:r>
      <w:r w:rsidR="00B25639">
        <w:t xml:space="preserve"> </w:t>
      </w:r>
      <w:r w:rsidR="00D80510">
        <w:t>and</w:t>
      </w:r>
      <w:r w:rsidR="00B25639">
        <w:t xml:space="preserve"> appropriate remedies and powers</w:t>
      </w:r>
      <w:r>
        <w:t xml:space="preserve">. </w:t>
      </w:r>
      <w:r w:rsidR="001A62B2">
        <w:t>This could remove</w:t>
      </w:r>
      <w:r>
        <w:t xml:space="preserve"> constraints for specialist regulators to deliver prompt national outcomes </w:t>
      </w:r>
      <w:r w:rsidR="001A62B2">
        <w:t>in those areas</w:t>
      </w:r>
      <w:r>
        <w:t>.</w:t>
      </w:r>
    </w:p>
    <w:p w:rsidR="00084F27" w:rsidRPr="00B82E12" w:rsidRDefault="00084F27" w:rsidP="00B82E12">
      <w:pPr>
        <w:pStyle w:val="Informationrequest"/>
        <w:rPr>
          <w:rStyle w:val="Strong"/>
        </w:rPr>
      </w:pPr>
      <w:r w:rsidRPr="00B82E12">
        <w:rPr>
          <w:rStyle w:val="Strong"/>
        </w:rPr>
        <w:t>Information request (page 18)</w:t>
      </w:r>
    </w:p>
    <w:p w:rsidR="00084F27" w:rsidRPr="00084F27" w:rsidRDefault="00084F27" w:rsidP="00B82E12">
      <w:pPr>
        <w:pStyle w:val="Informationrequest"/>
      </w:pPr>
      <w:r w:rsidRPr="00084F27">
        <w:t>What are the ramifications of changes in products and nature of sales (including the move to online sales, without a local distributor) for the enforcement of consumer product regulation? Are there other models that could provide lessons for the approach adopted in Australia?</w:t>
      </w:r>
    </w:p>
    <w:p w:rsidR="00F55723" w:rsidRDefault="00482D6F" w:rsidP="00BB7D16">
      <w:r>
        <w:t>N</w:t>
      </w:r>
      <w:r w:rsidR="00A810AC">
        <w:t>ew technologies are increasingly opening up opportunities for consumers to acquire products that by-pass traditional retail outlets. Consumer</w:t>
      </w:r>
      <w:r w:rsidR="00F55723">
        <w:t>s enjoy the increased choice, rapid access to new products, and the potential for lower prices and this has broader benefits for the economy. However, consumers still</w:t>
      </w:r>
      <w:r w:rsidR="00A810AC">
        <w:t xml:space="preserve"> expect products purchased online </w:t>
      </w:r>
      <w:r w:rsidR="00F55723" w:rsidRPr="00F55723">
        <w:t>to be safe and unsafe products place a burden on consumers and the economy</w:t>
      </w:r>
      <w:r w:rsidR="00A810AC">
        <w:t xml:space="preserve">. </w:t>
      </w:r>
    </w:p>
    <w:p w:rsidR="0085094C" w:rsidRDefault="0085094C" w:rsidP="00BB7D16">
      <w:r>
        <w:t>The ACCC work</w:t>
      </w:r>
      <w:r w:rsidR="00482D6F">
        <w:t>s</w:t>
      </w:r>
      <w:r>
        <w:t xml:space="preserve"> international product safety regulators to influence offshore supplier behaviours</w:t>
      </w:r>
      <w:r w:rsidR="00482D6F">
        <w:t xml:space="preserve"> and in this regard has developed</w:t>
      </w:r>
      <w:r>
        <w:t xml:space="preserve"> relationships with regulators in North America</w:t>
      </w:r>
      <w:r w:rsidR="00482D6F">
        <w:t>,</w:t>
      </w:r>
      <w:r>
        <w:t xml:space="preserve"> Europe, and </w:t>
      </w:r>
      <w:r w:rsidR="00482D6F">
        <w:t>several</w:t>
      </w:r>
      <w:r>
        <w:t xml:space="preserve"> emerging ‘producer’ economies in Asia and South America. </w:t>
      </w:r>
      <w:r w:rsidR="00482D6F">
        <w:t xml:space="preserve">We are </w:t>
      </w:r>
      <w:r w:rsidR="00215CF5">
        <w:t>also</w:t>
      </w:r>
      <w:r w:rsidR="00482D6F">
        <w:t xml:space="preserve"> actively engaged</w:t>
      </w:r>
      <w:r>
        <w:t xml:space="preserve"> in the OECD Working Party for Consumer Product Safety, in developing the OECD Global Recalls Portal</w:t>
      </w:r>
      <w:r w:rsidR="00482D6F">
        <w:t>.</w:t>
      </w:r>
    </w:p>
    <w:p w:rsidR="00C7119F" w:rsidRDefault="0085094C" w:rsidP="00BB7D16">
      <w:r>
        <w:t xml:space="preserve">We also work directly with internet shopping portals to restrict the supply of unsafe goods to Australia </w:t>
      </w:r>
      <w:r w:rsidR="00C7119F">
        <w:t xml:space="preserve">– sometimes with great success but sometimes </w:t>
      </w:r>
      <w:r w:rsidR="006F5AAC">
        <w:t>with less effect</w:t>
      </w:r>
      <w:r w:rsidR="00C7119F">
        <w:t xml:space="preserve">, noting the limits of our offshore enforcement capabilities. </w:t>
      </w:r>
    </w:p>
    <w:p w:rsidR="00A810AC" w:rsidRDefault="00A810AC" w:rsidP="00BB7D16">
      <w:r>
        <w:t xml:space="preserve">There has been an apparent increase in more diffuse chains of responsibility for the safety of </w:t>
      </w:r>
      <w:r w:rsidR="00F55723">
        <w:t xml:space="preserve">consumer </w:t>
      </w:r>
      <w:r>
        <w:t>products</w:t>
      </w:r>
      <w:r w:rsidR="00F55723">
        <w:t>, particularly those</w:t>
      </w:r>
      <w:r>
        <w:t xml:space="preserve"> originating from offshore. Market failures</w:t>
      </w:r>
      <w:r w:rsidR="00F55723">
        <w:t xml:space="preserve"> can compound the complexity of the national response</w:t>
      </w:r>
      <w:r>
        <w:t xml:space="preserve">, such as </w:t>
      </w:r>
      <w:r w:rsidR="00F55723">
        <w:t xml:space="preserve">the response to </w:t>
      </w:r>
      <w:r>
        <w:t xml:space="preserve">the recent Infinity cable </w:t>
      </w:r>
      <w:r w:rsidR="00F55723">
        <w:t>recall</w:t>
      </w:r>
      <w:r>
        <w:t xml:space="preserve"> that the ACCC leads. </w:t>
      </w:r>
      <w:r w:rsidR="00F55723">
        <w:t>W</w:t>
      </w:r>
      <w:r>
        <w:t xml:space="preserve">here this intersects with a specialist product </w:t>
      </w:r>
      <w:r w:rsidR="00F55723">
        <w:t xml:space="preserve">safety </w:t>
      </w:r>
      <w:r>
        <w:t>regime</w:t>
      </w:r>
      <w:r w:rsidR="00F55723">
        <w:t xml:space="preserve"> that does not operate under a well-functioning national framework</w:t>
      </w:r>
      <w:r>
        <w:t xml:space="preserve">, the outcomes </w:t>
      </w:r>
      <w:r w:rsidR="00F55723">
        <w:t xml:space="preserve">can be </w:t>
      </w:r>
      <w:r>
        <w:t>less effective</w:t>
      </w:r>
      <w:r w:rsidR="00F55723">
        <w:t xml:space="preserve"> than they might otherwise be</w:t>
      </w:r>
      <w:r>
        <w:t>.</w:t>
      </w:r>
    </w:p>
    <w:p w:rsidR="00A335A3" w:rsidRPr="00A810AC" w:rsidRDefault="00A810AC" w:rsidP="00BB7D16">
      <w:pPr>
        <w:rPr>
          <w:b/>
        </w:rPr>
      </w:pPr>
      <w:r w:rsidRPr="00CF4B27">
        <w:t xml:space="preserve">The ACCC does not consider at this time that a ‘one law, one regulator’ model would make the product safety outcomes more effective and efficient. </w:t>
      </w:r>
      <w:r w:rsidR="00F55723" w:rsidRPr="00F55723">
        <w:t xml:space="preserve">However, there is room for this kind of improvement within some of the specialist </w:t>
      </w:r>
      <w:r w:rsidR="000D180E">
        <w:t xml:space="preserve">product safety </w:t>
      </w:r>
      <w:r w:rsidR="00F55723" w:rsidRPr="00F55723">
        <w:t>regulatory regimes</w:t>
      </w:r>
      <w:r w:rsidR="000D180E">
        <w:t>.</w:t>
      </w:r>
    </w:p>
    <w:sectPr w:rsidR="00A335A3" w:rsidRPr="00A810AC" w:rsidSect="00C06739">
      <w:headerReference w:type="even" r:id="rId20"/>
      <w:headerReference w:type="default" r:id="rId21"/>
      <w:footerReference w:type="even" r:id="rId22"/>
      <w:footerReference w:type="default" r:id="rId23"/>
      <w:headerReference w:type="first" r:id="rId24"/>
      <w:footerReference w:type="first" r:id="rId2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36" w:rsidRDefault="00C77F36" w:rsidP="004B4412">
      <w:pPr>
        <w:spacing w:before="0"/>
      </w:pPr>
      <w:r>
        <w:separator/>
      </w:r>
    </w:p>
    <w:p w:rsidR="00C77F36" w:rsidRDefault="00C77F36"/>
  </w:endnote>
  <w:endnote w:type="continuationSeparator" w:id="0">
    <w:p w:rsidR="00C77F36" w:rsidRDefault="00C77F36" w:rsidP="004B4412">
      <w:pPr>
        <w:spacing w:before="0"/>
      </w:pPr>
      <w:r>
        <w:continuationSeparator/>
      </w:r>
    </w:p>
    <w:p w:rsidR="00C77F36" w:rsidRDefault="00C77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EF" w:rsidRDefault="001D1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36" w:rsidRPr="000E3A2E" w:rsidRDefault="00C2119A" w:rsidP="000E3A2E">
    <w:pPr>
      <w:pStyle w:val="Footer"/>
    </w:pPr>
    <w:r>
      <w:fldChar w:fldCharType="begin"/>
    </w:r>
    <w:r>
      <w:instrText xml:space="preserve"> STYLEREF  Title  \* MERGEFORMAT </w:instrText>
    </w:r>
    <w:r>
      <w:fldChar w:fldCharType="separate"/>
    </w:r>
    <w:r w:rsidRPr="00C2119A">
      <w:rPr>
        <w:noProof/>
        <w:lang w:val="en-US"/>
      </w:rPr>
      <w:t>Productivity Commission Study into Consumer Law Enforcement and Administration</w:t>
    </w:r>
    <w:r>
      <w:rPr>
        <w:noProof/>
        <w:lang w:val="en-US"/>
      </w:rPr>
      <w:fldChar w:fldCharType="end"/>
    </w:r>
    <w:r w:rsidR="00C77F36" w:rsidRPr="00385B1B">
      <w:tab/>
    </w:r>
    <w:r w:rsidR="00C77F36" w:rsidRPr="00385B1B">
      <w:fldChar w:fldCharType="begin"/>
    </w:r>
    <w:r w:rsidR="00C77F36" w:rsidRPr="00385B1B">
      <w:instrText xml:space="preserve"> PAGE   \* MERGEFORMAT </w:instrText>
    </w:r>
    <w:r w:rsidR="00C77F36" w:rsidRPr="00385B1B">
      <w:fldChar w:fldCharType="separate"/>
    </w:r>
    <w:r>
      <w:rPr>
        <w:noProof/>
      </w:rPr>
      <w:t>24</w:t>
    </w:r>
    <w:r w:rsidR="00C77F36" w:rsidRPr="00385B1B">
      <w:fldChar w:fldCharType="end"/>
    </w:r>
  </w:p>
  <w:p w:rsidR="00C77F36" w:rsidRDefault="00C77F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EF" w:rsidRDefault="001D1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36" w:rsidRDefault="00C77F36" w:rsidP="00347349">
      <w:pPr>
        <w:spacing w:before="0"/>
      </w:pPr>
      <w:r>
        <w:separator/>
      </w:r>
    </w:p>
  </w:footnote>
  <w:footnote w:type="continuationSeparator" w:id="0">
    <w:p w:rsidR="00C77F36" w:rsidRDefault="00C77F36" w:rsidP="004B4412">
      <w:pPr>
        <w:spacing w:before="0"/>
      </w:pPr>
      <w:r>
        <w:continuationSeparator/>
      </w:r>
    </w:p>
    <w:p w:rsidR="00C77F36" w:rsidRDefault="00C77F36"/>
  </w:footnote>
  <w:footnote w:id="1">
    <w:p w:rsidR="00C77F36" w:rsidRPr="00215CF5" w:rsidRDefault="00C77F36" w:rsidP="00347349">
      <w:pPr>
        <w:pStyle w:val="FootnoteText"/>
        <w:ind w:left="0" w:firstLine="0"/>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i/>
          <w:iCs/>
          <w:szCs w:val="16"/>
        </w:rPr>
        <w:t xml:space="preserve">Intergovernmental Agreement for the Australian Consumer Law </w:t>
      </w:r>
      <w:r w:rsidRPr="00215CF5">
        <w:rPr>
          <w:rFonts w:asciiTheme="minorHAnsi" w:hAnsiTheme="minorHAnsi" w:cstheme="minorHAnsi"/>
          <w:szCs w:val="16"/>
        </w:rPr>
        <w:t>(2 July 2009).</w:t>
      </w:r>
    </w:p>
  </w:footnote>
  <w:footnote w:id="2">
    <w:p w:rsidR="00C77F36" w:rsidRPr="00215CF5" w:rsidRDefault="00C77F36" w:rsidP="00347349">
      <w:pPr>
        <w:pStyle w:val="Footnote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In 2013/14 </w:t>
      </w:r>
      <w:r w:rsidRPr="00347349">
        <w:rPr>
          <w:rStyle w:val="FootnotesChar"/>
        </w:rPr>
        <w:t>the ACCC received 202 363 contacts, which increased to 260 343 contacts in 2014/15. Source: ACCC 2014/15 Annual Report</w:t>
      </w:r>
      <w:r w:rsidRPr="00215CF5">
        <w:rPr>
          <w:rFonts w:asciiTheme="minorHAnsi" w:hAnsiTheme="minorHAnsi" w:cstheme="minorHAnsi"/>
          <w:szCs w:val="16"/>
        </w:rPr>
        <w:t xml:space="preserve"> p 117 </w:t>
      </w:r>
      <w:hyperlink r:id="rId1" w:history="1">
        <w:r w:rsidRPr="00215CF5">
          <w:rPr>
            <w:rStyle w:val="Hyperlink"/>
            <w:rFonts w:asciiTheme="minorHAnsi" w:hAnsiTheme="minorHAnsi" w:cstheme="minorHAnsi"/>
            <w:sz w:val="16"/>
            <w:szCs w:val="16"/>
          </w:rPr>
          <w:t>https://www.accc.gov.au/system/files/979_Annual%20Report_2014-15_web_FA_1.pdf</w:t>
        </w:r>
      </w:hyperlink>
      <w:r w:rsidRPr="00215CF5">
        <w:rPr>
          <w:rFonts w:asciiTheme="minorHAnsi" w:hAnsiTheme="minorHAnsi" w:cstheme="minorHAnsi"/>
          <w:szCs w:val="16"/>
        </w:rPr>
        <w:t xml:space="preserve"> </w:t>
      </w:r>
    </w:p>
  </w:footnote>
  <w:footnote w:id="3">
    <w:p w:rsidR="00C77F36" w:rsidRPr="00215CF5" w:rsidRDefault="00C77F36" w:rsidP="00347349">
      <w:pPr>
        <w:pStyle w:val="Footnote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2" w:history="1">
        <w:r w:rsidRPr="00215CF5">
          <w:rPr>
            <w:rStyle w:val="Hyperlink"/>
            <w:rFonts w:asciiTheme="minorHAnsi" w:hAnsiTheme="minorHAnsi" w:cstheme="minorHAnsi"/>
            <w:sz w:val="16"/>
            <w:szCs w:val="16"/>
          </w:rPr>
          <w:t>http://www.accc.gov.au/publications/compliance-and-enforcement-policy</w:t>
        </w:r>
      </w:hyperlink>
    </w:p>
  </w:footnote>
  <w:footnote w:id="4">
    <w:p w:rsidR="00C77F36" w:rsidRPr="00215CF5" w:rsidRDefault="00C77F36" w:rsidP="00347349">
      <w:pPr>
        <w:pStyle w:val="Footnote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3" w:history="1">
        <w:r w:rsidRPr="00215CF5">
          <w:rPr>
            <w:rStyle w:val="Hyperlink"/>
            <w:rFonts w:asciiTheme="minorHAnsi" w:hAnsiTheme="minorHAnsi" w:cstheme="minorHAnsi"/>
            <w:sz w:val="16"/>
            <w:szCs w:val="16"/>
          </w:rPr>
          <w:t>https://www.accc.gov.au/system/files/ACCC_Statement_of_expectations.pdf</w:t>
        </w:r>
      </w:hyperlink>
      <w:r w:rsidRPr="00215CF5">
        <w:rPr>
          <w:rFonts w:asciiTheme="minorHAnsi" w:hAnsiTheme="minorHAnsi" w:cstheme="minorHAnsi"/>
          <w:szCs w:val="16"/>
        </w:rPr>
        <w:t xml:space="preserve"> </w:t>
      </w:r>
    </w:p>
  </w:footnote>
  <w:footnote w:id="5">
    <w:p w:rsidR="00C77F36" w:rsidRPr="00215CF5" w:rsidRDefault="00C77F36" w:rsidP="00347349">
      <w:pPr>
        <w:pStyle w:val="Footnote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4" w:history="1">
        <w:r w:rsidRPr="00215CF5">
          <w:rPr>
            <w:rStyle w:val="Hyperlink"/>
            <w:rFonts w:asciiTheme="minorHAnsi" w:hAnsiTheme="minorHAnsi" w:cstheme="minorHAnsi"/>
            <w:sz w:val="16"/>
            <w:szCs w:val="16"/>
          </w:rPr>
          <w:t>https://www.accc.gov.au/system/files/ACCC%20Statement%20of%20Intent%20-%2026%20June%202014.pdf</w:t>
        </w:r>
      </w:hyperlink>
      <w:r w:rsidRPr="00215CF5">
        <w:rPr>
          <w:rFonts w:asciiTheme="minorHAnsi" w:hAnsiTheme="minorHAnsi" w:cstheme="minorHAnsi"/>
          <w:szCs w:val="16"/>
        </w:rPr>
        <w:t xml:space="preserve"> </w:t>
      </w:r>
    </w:p>
  </w:footnote>
  <w:footnote w:id="6">
    <w:p w:rsidR="00C77F36" w:rsidRPr="00215CF5" w:rsidRDefault="00C77F36" w:rsidP="00240BEA">
      <w:pPr>
        <w:pStyle w:val="FootnoteText"/>
        <w:tabs>
          <w:tab w:val="clear" w:pos="340"/>
        </w:tab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Australian National Audit Office Performance Audit – Managing Compliance with Fair Trading Obligations (ANAO Report No.23 of 2015-2016 ) </w:t>
      </w:r>
      <w:hyperlink r:id="rId5" w:history="1">
        <w:r w:rsidRPr="00215CF5">
          <w:rPr>
            <w:rStyle w:val="Hyperlink"/>
            <w:rFonts w:asciiTheme="minorHAnsi" w:hAnsiTheme="minorHAnsi" w:cstheme="minorHAnsi"/>
            <w:sz w:val="16"/>
            <w:szCs w:val="16"/>
          </w:rPr>
          <w:t>https://www.anao.gov.au/work/performance-audit/managing-compliance-fair-trading-obligations</w:t>
        </w:r>
      </w:hyperlink>
      <w:r w:rsidRPr="00215CF5">
        <w:rPr>
          <w:rFonts w:asciiTheme="minorHAnsi" w:hAnsiTheme="minorHAnsi" w:cstheme="minorHAnsi"/>
          <w:szCs w:val="16"/>
        </w:rPr>
        <w:t xml:space="preserve"> </w:t>
      </w:r>
    </w:p>
  </w:footnote>
  <w:footnote w:id="7">
    <w:p w:rsidR="00C77F36" w:rsidRPr="00215CF5" w:rsidRDefault="00C77F36" w:rsidP="00A335A3">
      <w:pPr>
        <w:pStyle w:val="FootnoteText"/>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6" w:history="1">
        <w:r w:rsidRPr="00215CF5">
          <w:rPr>
            <w:rStyle w:val="Hyperlink"/>
            <w:rFonts w:asciiTheme="minorHAnsi" w:hAnsiTheme="minorHAnsi" w:cstheme="minorHAnsi"/>
            <w:sz w:val="16"/>
            <w:szCs w:val="16"/>
          </w:rPr>
          <w:t>https://www.accc.gov.au/publications/accc-aer-annual-report</w:t>
        </w:r>
      </w:hyperlink>
      <w:r w:rsidRPr="00215CF5">
        <w:rPr>
          <w:rFonts w:asciiTheme="minorHAnsi" w:hAnsiTheme="minorHAnsi" w:cstheme="minorHAnsi"/>
          <w:szCs w:val="16"/>
        </w:rPr>
        <w:t xml:space="preserve"> </w:t>
      </w:r>
    </w:p>
  </w:footnote>
  <w:footnote w:id="8">
    <w:p w:rsidR="00C77F36" w:rsidRPr="00215CF5" w:rsidRDefault="00C77F36" w:rsidP="00A335A3">
      <w:pPr>
        <w:pStyle w:val="FootnoteText"/>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7" w:history="1">
        <w:r w:rsidRPr="00215CF5">
          <w:rPr>
            <w:rStyle w:val="Hyperlink"/>
            <w:rFonts w:asciiTheme="minorHAnsi" w:hAnsiTheme="minorHAnsi" w:cstheme="minorHAnsi"/>
            <w:sz w:val="16"/>
            <w:szCs w:val="16"/>
          </w:rPr>
          <w:t>https://www.accc.gov.au/publications/acccount</w:t>
        </w:r>
      </w:hyperlink>
      <w:r w:rsidRPr="00215CF5">
        <w:rPr>
          <w:rFonts w:asciiTheme="minorHAnsi" w:hAnsiTheme="minorHAnsi" w:cstheme="minorHAnsi"/>
          <w:szCs w:val="16"/>
        </w:rPr>
        <w:t xml:space="preserve"> </w:t>
      </w:r>
    </w:p>
  </w:footnote>
  <w:footnote w:id="9">
    <w:p w:rsidR="00C77F36" w:rsidRPr="00215CF5" w:rsidRDefault="00C77F36" w:rsidP="00240BEA">
      <w:pPr>
        <w:pStyle w:val="FootnoteText"/>
        <w:tabs>
          <w:tab w:val="clear" w:pos="340"/>
          <w:tab w:val="left" w:pos="0"/>
        </w:tab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See, for example the Consumer Action Law Centre publication ‘Regulator Watch: The Enforcement Performance of Australia’s Consumer Protection Regulators’ </w:t>
      </w:r>
      <w:hyperlink r:id="rId8" w:history="1">
        <w:r w:rsidRPr="00215CF5">
          <w:rPr>
            <w:rStyle w:val="Hyperlink"/>
            <w:rFonts w:asciiTheme="minorHAnsi" w:hAnsiTheme="minorHAnsi" w:cstheme="minorHAnsi"/>
            <w:sz w:val="16"/>
            <w:szCs w:val="16"/>
          </w:rPr>
          <w:t>http://consumeraction.org.au/new-report-regulator-watch/calc-regulator-report-final-eversion/</w:t>
        </w:r>
      </w:hyperlink>
    </w:p>
  </w:footnote>
  <w:footnote w:id="10">
    <w:p w:rsidR="00C77F36" w:rsidRPr="00215CF5" w:rsidRDefault="00C77F36" w:rsidP="00240BEA">
      <w:pPr>
        <w:pStyle w:val="FootnoteText"/>
        <w:tabs>
          <w:tab w:val="clear" w:pos="340"/>
          <w:tab w:val="left" w:pos="0"/>
        </w:tabs>
        <w:rPr>
          <w:rFonts w:asciiTheme="minorHAnsi" w:hAnsiTheme="minorHAnsi" w:cstheme="minorHAnsi"/>
          <w:szCs w:val="16"/>
        </w:rPr>
      </w:pPr>
      <w:r w:rsidRPr="00667958">
        <w:rPr>
          <w:rStyle w:val="FootnoteReference"/>
          <w:rFonts w:asciiTheme="minorHAnsi" w:hAnsiTheme="minorHAnsi" w:cstheme="minorHAnsi"/>
          <w:szCs w:val="16"/>
        </w:rPr>
        <w:footnoteRef/>
      </w:r>
      <w:r w:rsidRPr="00667958">
        <w:rPr>
          <w:rFonts w:asciiTheme="minorHAnsi" w:hAnsiTheme="minorHAnsi" w:cstheme="minorHAnsi"/>
          <w:szCs w:val="16"/>
        </w:rPr>
        <w:t xml:space="preserve"> </w:t>
      </w:r>
      <w:r w:rsidRPr="00667958">
        <w:rPr>
          <w:rFonts w:asciiTheme="minorHAnsi" w:hAnsiTheme="minorHAnsi" w:cstheme="minorHAnsi"/>
          <w:szCs w:val="16"/>
        </w:rPr>
        <w:tab/>
      </w:r>
      <w:hyperlink r:id="rId9" w:history="1">
        <w:r w:rsidRPr="00C77F36">
          <w:rPr>
            <w:rStyle w:val="Hyperlink"/>
            <w:rFonts w:asciiTheme="minorHAnsi" w:hAnsiTheme="minorHAnsi" w:cstheme="minorHAnsi"/>
            <w:sz w:val="16"/>
            <w:szCs w:val="16"/>
          </w:rPr>
          <w:t>http://consumerlaw.gov.au/review-of-the-australian-consumer-law/have-your-say/issues-paper/</w:t>
        </w:r>
      </w:hyperlink>
      <w:r w:rsidRPr="00C77F36">
        <w:rPr>
          <w:rFonts w:asciiTheme="minorHAnsi" w:hAnsiTheme="minorHAnsi" w:cstheme="minorHAnsi"/>
          <w:szCs w:val="16"/>
        </w:rPr>
        <w:t xml:space="preserve"> </w:t>
      </w:r>
      <w:r w:rsidRPr="00667958">
        <w:rPr>
          <w:rFonts w:asciiTheme="minorHAnsi" w:hAnsiTheme="minorHAnsi" w:cstheme="minorHAnsi"/>
          <w:szCs w:val="16"/>
        </w:rPr>
        <w:t>.</w:t>
      </w:r>
    </w:p>
  </w:footnote>
  <w:footnote w:id="11">
    <w:p w:rsidR="00C77F36" w:rsidRPr="00215CF5" w:rsidRDefault="00C77F36" w:rsidP="00240BEA">
      <w:pPr>
        <w:pStyle w:val="FootnoteText"/>
        <w:tabs>
          <w:tab w:val="clear" w:pos="340"/>
          <w:tab w:val="left" w:pos="0"/>
        </w:tab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‘ACCC self-assessment methodology, measures and evidence’ June 2015 </w:t>
      </w:r>
      <w:hyperlink r:id="rId10" w:history="1">
        <w:r w:rsidRPr="00215CF5">
          <w:rPr>
            <w:rStyle w:val="Hyperlink"/>
            <w:rFonts w:asciiTheme="minorHAnsi" w:hAnsiTheme="minorHAnsi" w:cstheme="minorHAnsi"/>
            <w:sz w:val="16"/>
            <w:szCs w:val="16"/>
          </w:rPr>
          <w:t>https://www.accc.gov.au/system/files/ACCC%20self-assessment%20methodology%2C%20measures%20and%20evidence%20for%20the%20Regulator%20Performance%20Framework.pdf</w:t>
        </w:r>
      </w:hyperlink>
      <w:r w:rsidRPr="00215CF5">
        <w:rPr>
          <w:rFonts w:asciiTheme="minorHAnsi" w:hAnsiTheme="minorHAnsi" w:cstheme="minorHAnsi"/>
          <w:szCs w:val="16"/>
        </w:rPr>
        <w:t xml:space="preserve"> </w:t>
      </w:r>
    </w:p>
  </w:footnote>
  <w:footnote w:id="12">
    <w:p w:rsidR="00C77F36" w:rsidRPr="00215CF5" w:rsidRDefault="00C77F36" w:rsidP="00240BEA">
      <w:pPr>
        <w:pStyle w:val="FootnoteText"/>
        <w:tabs>
          <w:tab w:val="clear" w:pos="340"/>
          <w:tab w:val="left" w:pos="0"/>
        </w:tab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Australian Consumer Law Review Issues Paper, pp 41-43 </w:t>
      </w:r>
      <w:hyperlink r:id="rId11" w:history="1">
        <w:r w:rsidRPr="00215CF5">
          <w:rPr>
            <w:rStyle w:val="Hyperlink"/>
            <w:rFonts w:asciiTheme="minorHAnsi" w:hAnsiTheme="minorHAnsi" w:cstheme="minorHAnsi"/>
            <w:sz w:val="16"/>
            <w:szCs w:val="16"/>
          </w:rPr>
          <w:t>http://consumerlaw.gov.au/files/2016/03/ACLreview_issues_paper.pdf</w:t>
        </w:r>
      </w:hyperlink>
      <w:r w:rsidRPr="00215CF5">
        <w:rPr>
          <w:rFonts w:asciiTheme="minorHAnsi" w:hAnsiTheme="minorHAnsi" w:cstheme="minorHAnsi"/>
          <w:szCs w:val="16"/>
        </w:rPr>
        <w:t xml:space="preserve"> </w:t>
      </w:r>
    </w:p>
  </w:footnote>
  <w:footnote w:id="13">
    <w:p w:rsidR="00C77F36" w:rsidRPr="00215CF5" w:rsidRDefault="00C77F36" w:rsidP="00240BEA">
      <w:pPr>
        <w:pStyle w:val="FootnoteText"/>
        <w:tabs>
          <w:tab w:val="clear" w:pos="340"/>
          <w:tab w:val="left" w:pos="0"/>
        </w:tab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Australian Competition and Consumer Commission’s Submission to the Senate Inquiry into Penalties for While Collar Crime </w:t>
      </w:r>
      <w:hyperlink r:id="rId12" w:history="1">
        <w:r w:rsidRPr="00215CF5">
          <w:rPr>
            <w:rStyle w:val="Hyperlink"/>
            <w:rFonts w:asciiTheme="minorHAnsi" w:hAnsiTheme="minorHAnsi" w:cstheme="minorHAnsi"/>
            <w:sz w:val="16"/>
            <w:szCs w:val="16"/>
          </w:rPr>
          <w:t>https://www.accc.gov.au/system/files/ACCC%20Submission%20to%20the%202016%20White%20Collar%20Crime%20Penalties%20Inquiry.pdf</w:t>
        </w:r>
      </w:hyperlink>
      <w:r w:rsidRPr="00215CF5">
        <w:rPr>
          <w:rFonts w:asciiTheme="minorHAnsi" w:hAnsiTheme="minorHAnsi" w:cstheme="minorHAnsi"/>
          <w:szCs w:val="16"/>
        </w:rPr>
        <w:t xml:space="preserve"> </w:t>
      </w:r>
    </w:p>
  </w:footnote>
  <w:footnote w:id="14">
    <w:p w:rsidR="00C77F36" w:rsidRPr="00215CF5" w:rsidRDefault="00C77F36" w:rsidP="004A3F11">
      <w:pPr>
        <w:pStyle w:val="FootnoteText"/>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Senate Estimates Hansard, Economics Legislative Committee, 6/5/16</w:t>
      </w:r>
    </w:p>
  </w:footnote>
  <w:footnote w:id="15">
    <w:p w:rsidR="00C77F36" w:rsidRPr="00215CF5" w:rsidRDefault="00C77F36" w:rsidP="00240BEA">
      <w:pPr>
        <w:pStyle w:val="FootnoteText"/>
        <w:tabs>
          <w:tab w:val="clear" w:pos="340"/>
          <w:tab w:val="left" w:pos="0"/>
        </w:tabs>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r w:rsidRPr="00215CF5">
        <w:rPr>
          <w:rFonts w:asciiTheme="minorHAnsi" w:hAnsiTheme="minorHAnsi" w:cstheme="minorHAnsi"/>
          <w:szCs w:val="16"/>
        </w:rPr>
        <w:t xml:space="preserve">ACCC, Annual Report 2014/15 page 117 </w:t>
      </w:r>
      <w:hyperlink r:id="rId13" w:history="1">
        <w:r w:rsidRPr="00364A27">
          <w:rPr>
            <w:rStyle w:val="Hyperlink"/>
            <w:rFonts w:asciiTheme="minorHAnsi" w:hAnsiTheme="minorHAnsi" w:cstheme="minorHAnsi"/>
            <w:sz w:val="16"/>
            <w:szCs w:val="16"/>
          </w:rPr>
          <w:t>https://www.accc.gov.au/system/files/979_Annual%20Report_2014-15_web_FA_1.pdf</w:t>
        </w:r>
      </w:hyperlink>
    </w:p>
  </w:footnote>
  <w:footnote w:id="16">
    <w:p w:rsidR="00C77F36" w:rsidRPr="00215CF5" w:rsidRDefault="00C77F36" w:rsidP="007026FB">
      <w:pPr>
        <w:pStyle w:val="FootnoteText"/>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14" w:history="1">
        <w:r w:rsidRPr="00215CF5">
          <w:rPr>
            <w:rStyle w:val="Hyperlink"/>
            <w:rFonts w:asciiTheme="minorHAnsi" w:hAnsiTheme="minorHAnsi" w:cstheme="minorHAnsi"/>
            <w:sz w:val="16"/>
            <w:szCs w:val="16"/>
          </w:rPr>
          <w:t>http://consumerlaw.gov.au/australian-consumer-survey/</w:t>
        </w:r>
      </w:hyperlink>
    </w:p>
  </w:footnote>
  <w:footnote w:id="17">
    <w:p w:rsidR="00C77F36" w:rsidRPr="00215CF5" w:rsidRDefault="00C77F36">
      <w:pPr>
        <w:pStyle w:val="FootnoteText"/>
        <w:rPr>
          <w:rFonts w:asciiTheme="minorHAnsi" w:hAnsiTheme="minorHAnsi" w:cstheme="minorHAnsi"/>
          <w:szCs w:val="16"/>
        </w:rPr>
      </w:pPr>
      <w:r w:rsidRPr="00215CF5">
        <w:rPr>
          <w:rStyle w:val="FootnoteReference"/>
          <w:rFonts w:asciiTheme="minorHAnsi" w:hAnsiTheme="minorHAnsi" w:cstheme="minorHAnsi"/>
          <w:szCs w:val="16"/>
        </w:rPr>
        <w:footnoteRef/>
      </w:r>
      <w:r w:rsidRPr="00215CF5">
        <w:rPr>
          <w:rFonts w:asciiTheme="minorHAnsi" w:hAnsiTheme="minorHAnsi" w:cstheme="minorHAnsi"/>
          <w:szCs w:val="16"/>
        </w:rPr>
        <w:t xml:space="preserve"> </w:t>
      </w:r>
      <w:r>
        <w:rPr>
          <w:rFonts w:asciiTheme="minorHAnsi" w:hAnsiTheme="minorHAnsi" w:cstheme="minorHAnsi"/>
          <w:szCs w:val="16"/>
        </w:rPr>
        <w:tab/>
      </w:r>
      <w:hyperlink r:id="rId15" w:history="1">
        <w:r w:rsidRPr="00215CF5">
          <w:rPr>
            <w:rStyle w:val="Hyperlink"/>
            <w:rFonts w:asciiTheme="minorHAnsi" w:hAnsiTheme="minorHAnsi" w:cstheme="minorHAnsi"/>
            <w:sz w:val="16"/>
            <w:szCs w:val="16"/>
          </w:rPr>
          <w:t>https://www.accc.gov.au/system/files/ACCC_Statement_of_expectations.pdf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EF" w:rsidRDefault="001D1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EF" w:rsidRDefault="001D1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EF" w:rsidRDefault="001D1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86F207B"/>
    <w:multiLevelType w:val="hybridMultilevel"/>
    <w:tmpl w:val="87F67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13519C"/>
    <w:multiLevelType w:val="hybridMultilevel"/>
    <w:tmpl w:val="4786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1FB464AC"/>
    <w:multiLevelType w:val="hybridMultilevel"/>
    <w:tmpl w:val="C19E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247157"/>
    <w:multiLevelType w:val="hybridMultilevel"/>
    <w:tmpl w:val="AA9C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D627DD"/>
    <w:multiLevelType w:val="hybridMultilevel"/>
    <w:tmpl w:val="228A5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86C58F5"/>
    <w:multiLevelType w:val="hybridMultilevel"/>
    <w:tmpl w:val="FAAAE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726588A"/>
    <w:multiLevelType w:val="hybridMultilevel"/>
    <w:tmpl w:val="939402E8"/>
    <w:lvl w:ilvl="0" w:tplc="0C09000F">
      <w:start w:val="1"/>
      <w:numFmt w:val="bullet"/>
      <w:pStyle w:val="Bulletpoint2"/>
      <w:lvlText w:val="o"/>
      <w:lvlJc w:val="left"/>
      <w:pPr>
        <w:ind w:left="1003" w:hanging="360"/>
      </w:pPr>
      <w:rPr>
        <w:rFonts w:ascii="Courier New" w:hAnsi="Courier New" w:cs="Courier New" w:hint="default"/>
      </w:rPr>
    </w:lvl>
    <w:lvl w:ilvl="1" w:tplc="0C090019">
      <w:start w:val="1"/>
      <w:numFmt w:val="bullet"/>
      <w:lvlText w:val="o"/>
      <w:lvlJc w:val="left"/>
      <w:pPr>
        <w:ind w:left="1723" w:hanging="360"/>
      </w:pPr>
      <w:rPr>
        <w:rFonts w:ascii="Courier New" w:hAnsi="Courier New" w:cs="Courier New" w:hint="default"/>
      </w:rPr>
    </w:lvl>
    <w:lvl w:ilvl="2" w:tplc="D01E9582">
      <w:numFmt w:val="bullet"/>
      <w:lvlText w:val="•"/>
      <w:lvlJc w:val="left"/>
      <w:pPr>
        <w:ind w:left="2443" w:hanging="360"/>
      </w:pPr>
      <w:rPr>
        <w:rFonts w:ascii="Arial" w:eastAsia="Times New Roman" w:hAnsi="Arial" w:cs="Arial"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69194428"/>
    <w:multiLevelType w:val="hybridMultilevel"/>
    <w:tmpl w:val="C44E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2">
    <w:nsid w:val="77750640"/>
    <w:multiLevelType w:val="hybridMultilevel"/>
    <w:tmpl w:val="FDC880F2"/>
    <w:lvl w:ilvl="0" w:tplc="B324FC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nsid w:val="7B2937DE"/>
    <w:multiLevelType w:val="hybridMultilevel"/>
    <w:tmpl w:val="0D86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54641B"/>
    <w:multiLevelType w:val="hybridMultilevel"/>
    <w:tmpl w:val="4B9AB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E2819EC"/>
    <w:multiLevelType w:val="multilevel"/>
    <w:tmpl w:val="2D54739A"/>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7"/>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21"/>
  </w:num>
  <w:num w:numId="11">
    <w:abstractNumId w:val="9"/>
  </w:num>
  <w:num w:numId="12">
    <w:abstractNumId w:val="14"/>
  </w:num>
  <w:num w:numId="13">
    <w:abstractNumId w:val="19"/>
  </w:num>
  <w:num w:numId="14">
    <w:abstractNumId w:val="2"/>
  </w:num>
  <w:num w:numId="15">
    <w:abstractNumId w:val="29"/>
  </w:num>
  <w:num w:numId="16">
    <w:abstractNumId w:val="34"/>
  </w:num>
  <w:num w:numId="17">
    <w:abstractNumId w:val="31"/>
  </w:num>
  <w:num w:numId="18">
    <w:abstractNumId w:val="24"/>
  </w:num>
  <w:num w:numId="19">
    <w:abstractNumId w:val="18"/>
  </w:num>
  <w:num w:numId="20">
    <w:abstractNumId w:val="22"/>
  </w:num>
  <w:num w:numId="21">
    <w:abstractNumId w:val="30"/>
  </w:num>
  <w:num w:numId="22">
    <w:abstractNumId w:val="25"/>
  </w:num>
  <w:num w:numId="23">
    <w:abstractNumId w:val="8"/>
  </w:num>
  <w:num w:numId="24">
    <w:abstractNumId w:val="3"/>
  </w:num>
  <w:num w:numId="25">
    <w:abstractNumId w:val="23"/>
  </w:num>
  <w:num w:numId="26">
    <w:abstractNumId w:val="11"/>
  </w:num>
  <w:num w:numId="27">
    <w:abstractNumId w:val="26"/>
  </w:num>
  <w:num w:numId="28">
    <w:abstractNumId w:val="15"/>
  </w:num>
  <w:num w:numId="29">
    <w:abstractNumId w:val="33"/>
  </w:num>
  <w:num w:numId="30">
    <w:abstractNumId w:val="32"/>
  </w:num>
  <w:num w:numId="31">
    <w:abstractNumId w:val="12"/>
  </w:num>
  <w:num w:numId="32">
    <w:abstractNumId w:val="20"/>
  </w:num>
  <w:num w:numId="33">
    <w:abstractNumId w:val="17"/>
  </w:num>
  <w:num w:numId="34">
    <w:abstractNumId w:val="37"/>
  </w:num>
  <w:num w:numId="35">
    <w:abstractNumId w:val="37"/>
  </w:num>
  <w:num w:numId="36">
    <w:abstractNumId w:val="37"/>
  </w:num>
  <w:num w:numId="37">
    <w:abstractNumId w:val="13"/>
  </w:num>
  <w:num w:numId="38">
    <w:abstractNumId w:val="2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5"/>
  </w:num>
  <w:num w:numId="42">
    <w:abstractNumId w:val="37"/>
  </w:num>
  <w:num w:numId="43">
    <w:abstractNumId w:val="37"/>
  </w:num>
  <w:num w:numId="44">
    <w:abstractNumId w:val="37"/>
  </w:num>
  <w:num w:numId="45">
    <w:abstractNumId w:val="37"/>
  </w:num>
  <w:num w:numId="46">
    <w:abstractNumId w:val="16"/>
  </w:num>
  <w:num w:numId="47">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docVars>
    <w:docVar w:name="currentname" w:val="\\cdchnas-evs02\home$\dsmit\Desktop\Productivity Commission - Multi-regulator review - Draft ACCC submission - SIIA amendments.docx"/>
  </w:docVars>
  <w:rsids>
    <w:rsidRoot w:val="0031224B"/>
    <w:rsid w:val="0001459B"/>
    <w:rsid w:val="0002115F"/>
    <w:rsid w:val="00021202"/>
    <w:rsid w:val="000225C4"/>
    <w:rsid w:val="00025349"/>
    <w:rsid w:val="00030D8B"/>
    <w:rsid w:val="0003578C"/>
    <w:rsid w:val="00043099"/>
    <w:rsid w:val="00047511"/>
    <w:rsid w:val="000501BE"/>
    <w:rsid w:val="0005607D"/>
    <w:rsid w:val="00057B72"/>
    <w:rsid w:val="000623D9"/>
    <w:rsid w:val="00063247"/>
    <w:rsid w:val="000650E8"/>
    <w:rsid w:val="00070F9F"/>
    <w:rsid w:val="0007137B"/>
    <w:rsid w:val="000846DA"/>
    <w:rsid w:val="00084F27"/>
    <w:rsid w:val="00085663"/>
    <w:rsid w:val="00085EBF"/>
    <w:rsid w:val="000903D5"/>
    <w:rsid w:val="00092C7C"/>
    <w:rsid w:val="00093C81"/>
    <w:rsid w:val="000948FA"/>
    <w:rsid w:val="000A2A48"/>
    <w:rsid w:val="000A3A57"/>
    <w:rsid w:val="000A45BF"/>
    <w:rsid w:val="000A7D98"/>
    <w:rsid w:val="000B1CAE"/>
    <w:rsid w:val="000B408F"/>
    <w:rsid w:val="000B7630"/>
    <w:rsid w:val="000C256D"/>
    <w:rsid w:val="000C3868"/>
    <w:rsid w:val="000C5703"/>
    <w:rsid w:val="000D122C"/>
    <w:rsid w:val="000D180E"/>
    <w:rsid w:val="000D5996"/>
    <w:rsid w:val="000D660E"/>
    <w:rsid w:val="000D711C"/>
    <w:rsid w:val="000E0833"/>
    <w:rsid w:val="000E1819"/>
    <w:rsid w:val="000E3A2E"/>
    <w:rsid w:val="000E6C72"/>
    <w:rsid w:val="000F0FC6"/>
    <w:rsid w:val="000F11A8"/>
    <w:rsid w:val="000F2368"/>
    <w:rsid w:val="000F3D18"/>
    <w:rsid w:val="001002F5"/>
    <w:rsid w:val="0010381A"/>
    <w:rsid w:val="001049C4"/>
    <w:rsid w:val="00112141"/>
    <w:rsid w:val="00113024"/>
    <w:rsid w:val="00116EB2"/>
    <w:rsid w:val="00124609"/>
    <w:rsid w:val="00125969"/>
    <w:rsid w:val="001278EA"/>
    <w:rsid w:val="00135257"/>
    <w:rsid w:val="0013527D"/>
    <w:rsid w:val="001400A2"/>
    <w:rsid w:val="00141063"/>
    <w:rsid w:val="001437C8"/>
    <w:rsid w:val="001573E4"/>
    <w:rsid w:val="00160756"/>
    <w:rsid w:val="00161D7F"/>
    <w:rsid w:val="00163C8D"/>
    <w:rsid w:val="0017232E"/>
    <w:rsid w:val="00172461"/>
    <w:rsid w:val="0017379D"/>
    <w:rsid w:val="00174102"/>
    <w:rsid w:val="00180157"/>
    <w:rsid w:val="00181223"/>
    <w:rsid w:val="00185769"/>
    <w:rsid w:val="00186F77"/>
    <w:rsid w:val="00187A23"/>
    <w:rsid w:val="001926A4"/>
    <w:rsid w:val="001948CA"/>
    <w:rsid w:val="001A239C"/>
    <w:rsid w:val="001A62B2"/>
    <w:rsid w:val="001B45A0"/>
    <w:rsid w:val="001B7928"/>
    <w:rsid w:val="001B7CBA"/>
    <w:rsid w:val="001C18EE"/>
    <w:rsid w:val="001C76F3"/>
    <w:rsid w:val="001D055E"/>
    <w:rsid w:val="001D11EF"/>
    <w:rsid w:val="001E0E08"/>
    <w:rsid w:val="001E46A7"/>
    <w:rsid w:val="001F09A1"/>
    <w:rsid w:val="001F23AF"/>
    <w:rsid w:val="001F492E"/>
    <w:rsid w:val="001F521D"/>
    <w:rsid w:val="001F6DA3"/>
    <w:rsid w:val="001F78D0"/>
    <w:rsid w:val="0020204B"/>
    <w:rsid w:val="00203284"/>
    <w:rsid w:val="00207F30"/>
    <w:rsid w:val="00211900"/>
    <w:rsid w:val="00212737"/>
    <w:rsid w:val="00215CF5"/>
    <w:rsid w:val="00224DB9"/>
    <w:rsid w:val="00230CDD"/>
    <w:rsid w:val="0023623B"/>
    <w:rsid w:val="00240BEA"/>
    <w:rsid w:val="002433FB"/>
    <w:rsid w:val="002467DB"/>
    <w:rsid w:val="002467E6"/>
    <w:rsid w:val="00251745"/>
    <w:rsid w:val="00251D67"/>
    <w:rsid w:val="00260606"/>
    <w:rsid w:val="0026098D"/>
    <w:rsid w:val="00260DCF"/>
    <w:rsid w:val="00262CC5"/>
    <w:rsid w:val="00262FE2"/>
    <w:rsid w:val="00263710"/>
    <w:rsid w:val="00263831"/>
    <w:rsid w:val="00263AC0"/>
    <w:rsid w:val="00263AC8"/>
    <w:rsid w:val="00265402"/>
    <w:rsid w:val="0026772D"/>
    <w:rsid w:val="0027250E"/>
    <w:rsid w:val="00272BBD"/>
    <w:rsid w:val="002764D4"/>
    <w:rsid w:val="002811B7"/>
    <w:rsid w:val="00286874"/>
    <w:rsid w:val="0029100A"/>
    <w:rsid w:val="002920DD"/>
    <w:rsid w:val="00293A9F"/>
    <w:rsid w:val="00294375"/>
    <w:rsid w:val="00296B65"/>
    <w:rsid w:val="00297543"/>
    <w:rsid w:val="002A1A8E"/>
    <w:rsid w:val="002A2477"/>
    <w:rsid w:val="002A7DEF"/>
    <w:rsid w:val="002B0BDE"/>
    <w:rsid w:val="002B0DC5"/>
    <w:rsid w:val="002B2F0D"/>
    <w:rsid w:val="002B4FF7"/>
    <w:rsid w:val="002D0EF5"/>
    <w:rsid w:val="002E20CE"/>
    <w:rsid w:val="002F0199"/>
    <w:rsid w:val="002F35B2"/>
    <w:rsid w:val="002F693F"/>
    <w:rsid w:val="002F7986"/>
    <w:rsid w:val="003021BC"/>
    <w:rsid w:val="00303C4A"/>
    <w:rsid w:val="00307F6D"/>
    <w:rsid w:val="0031224B"/>
    <w:rsid w:val="00317100"/>
    <w:rsid w:val="003177A2"/>
    <w:rsid w:val="00317D8E"/>
    <w:rsid w:val="003271B5"/>
    <w:rsid w:val="00327A54"/>
    <w:rsid w:val="00331264"/>
    <w:rsid w:val="00331580"/>
    <w:rsid w:val="003315F9"/>
    <w:rsid w:val="00332CD7"/>
    <w:rsid w:val="00334C8D"/>
    <w:rsid w:val="00340655"/>
    <w:rsid w:val="0034446F"/>
    <w:rsid w:val="00344FB5"/>
    <w:rsid w:val="003459E6"/>
    <w:rsid w:val="00346C70"/>
    <w:rsid w:val="00347349"/>
    <w:rsid w:val="003518B3"/>
    <w:rsid w:val="003678D7"/>
    <w:rsid w:val="00376F56"/>
    <w:rsid w:val="00377C41"/>
    <w:rsid w:val="003846F1"/>
    <w:rsid w:val="003853E0"/>
    <w:rsid w:val="00385AC6"/>
    <w:rsid w:val="00385B1B"/>
    <w:rsid w:val="0039749F"/>
    <w:rsid w:val="003A673F"/>
    <w:rsid w:val="003B4D04"/>
    <w:rsid w:val="003B5A70"/>
    <w:rsid w:val="003C7A1E"/>
    <w:rsid w:val="003D466D"/>
    <w:rsid w:val="003D7192"/>
    <w:rsid w:val="003E435C"/>
    <w:rsid w:val="003E49A9"/>
    <w:rsid w:val="003F2A0D"/>
    <w:rsid w:val="003F7263"/>
    <w:rsid w:val="00403CDA"/>
    <w:rsid w:val="00410BE6"/>
    <w:rsid w:val="00422709"/>
    <w:rsid w:val="00447D78"/>
    <w:rsid w:val="00475DDE"/>
    <w:rsid w:val="0047649A"/>
    <w:rsid w:val="00480796"/>
    <w:rsid w:val="00480B4B"/>
    <w:rsid w:val="00482D6F"/>
    <w:rsid w:val="00483A0A"/>
    <w:rsid w:val="00485DC4"/>
    <w:rsid w:val="00486A07"/>
    <w:rsid w:val="004901E9"/>
    <w:rsid w:val="00493297"/>
    <w:rsid w:val="004A1321"/>
    <w:rsid w:val="004A20EC"/>
    <w:rsid w:val="004A3F11"/>
    <w:rsid w:val="004B0900"/>
    <w:rsid w:val="004B4412"/>
    <w:rsid w:val="004B4AC2"/>
    <w:rsid w:val="004B76A3"/>
    <w:rsid w:val="004C348C"/>
    <w:rsid w:val="004C5506"/>
    <w:rsid w:val="004C6358"/>
    <w:rsid w:val="004C6524"/>
    <w:rsid w:val="004D3BAC"/>
    <w:rsid w:val="004D55BA"/>
    <w:rsid w:val="004E1C0F"/>
    <w:rsid w:val="005038DB"/>
    <w:rsid w:val="00511F2E"/>
    <w:rsid w:val="00523274"/>
    <w:rsid w:val="00524146"/>
    <w:rsid w:val="00524C4A"/>
    <w:rsid w:val="00527AC7"/>
    <w:rsid w:val="00530128"/>
    <w:rsid w:val="00532467"/>
    <w:rsid w:val="00534840"/>
    <w:rsid w:val="00534FF2"/>
    <w:rsid w:val="0054058C"/>
    <w:rsid w:val="005451A2"/>
    <w:rsid w:val="00545A24"/>
    <w:rsid w:val="00547BD2"/>
    <w:rsid w:val="00547CCF"/>
    <w:rsid w:val="0055659C"/>
    <w:rsid w:val="00563FF5"/>
    <w:rsid w:val="00564A4D"/>
    <w:rsid w:val="00571B35"/>
    <w:rsid w:val="00571C9F"/>
    <w:rsid w:val="00572D43"/>
    <w:rsid w:val="00573B8B"/>
    <w:rsid w:val="00577A09"/>
    <w:rsid w:val="00583B4D"/>
    <w:rsid w:val="00584D8F"/>
    <w:rsid w:val="005854CF"/>
    <w:rsid w:val="00586513"/>
    <w:rsid w:val="00596D42"/>
    <w:rsid w:val="005A1123"/>
    <w:rsid w:val="005A2E6F"/>
    <w:rsid w:val="005A390B"/>
    <w:rsid w:val="005A404D"/>
    <w:rsid w:val="005B1E3C"/>
    <w:rsid w:val="005B4128"/>
    <w:rsid w:val="005C26CC"/>
    <w:rsid w:val="005C36A0"/>
    <w:rsid w:val="005E13FA"/>
    <w:rsid w:val="005E53AD"/>
    <w:rsid w:val="005E6C0E"/>
    <w:rsid w:val="005F2ACF"/>
    <w:rsid w:val="006117B4"/>
    <w:rsid w:val="00614CA7"/>
    <w:rsid w:val="00615C6B"/>
    <w:rsid w:val="0061656F"/>
    <w:rsid w:val="0062076A"/>
    <w:rsid w:val="006250D8"/>
    <w:rsid w:val="00625F16"/>
    <w:rsid w:val="006266D7"/>
    <w:rsid w:val="00626731"/>
    <w:rsid w:val="006279EC"/>
    <w:rsid w:val="00632D6D"/>
    <w:rsid w:val="00634137"/>
    <w:rsid w:val="006358B7"/>
    <w:rsid w:val="00642C3E"/>
    <w:rsid w:val="00646082"/>
    <w:rsid w:val="00661F18"/>
    <w:rsid w:val="00663DAD"/>
    <w:rsid w:val="00667958"/>
    <w:rsid w:val="00671674"/>
    <w:rsid w:val="00674592"/>
    <w:rsid w:val="00676679"/>
    <w:rsid w:val="00686DE4"/>
    <w:rsid w:val="00687F39"/>
    <w:rsid w:val="00690E05"/>
    <w:rsid w:val="00693AF0"/>
    <w:rsid w:val="00695B82"/>
    <w:rsid w:val="006A6BAF"/>
    <w:rsid w:val="006B4CF9"/>
    <w:rsid w:val="006B7AC8"/>
    <w:rsid w:val="006C159F"/>
    <w:rsid w:val="006C2DE7"/>
    <w:rsid w:val="006C350A"/>
    <w:rsid w:val="006C3B90"/>
    <w:rsid w:val="006C5277"/>
    <w:rsid w:val="006C53C7"/>
    <w:rsid w:val="006D1A88"/>
    <w:rsid w:val="006D1DED"/>
    <w:rsid w:val="006D42EF"/>
    <w:rsid w:val="006D4415"/>
    <w:rsid w:val="006D550F"/>
    <w:rsid w:val="006D765B"/>
    <w:rsid w:val="006D77F3"/>
    <w:rsid w:val="006D7E4E"/>
    <w:rsid w:val="006F53D2"/>
    <w:rsid w:val="006F5AAC"/>
    <w:rsid w:val="006F6A61"/>
    <w:rsid w:val="0070067F"/>
    <w:rsid w:val="00701CAB"/>
    <w:rsid w:val="007026FB"/>
    <w:rsid w:val="00703840"/>
    <w:rsid w:val="00705957"/>
    <w:rsid w:val="00707563"/>
    <w:rsid w:val="00710007"/>
    <w:rsid w:val="00712CE9"/>
    <w:rsid w:val="00716A00"/>
    <w:rsid w:val="007174A9"/>
    <w:rsid w:val="0072348C"/>
    <w:rsid w:val="007249CF"/>
    <w:rsid w:val="00724A37"/>
    <w:rsid w:val="00725C1F"/>
    <w:rsid w:val="007303C3"/>
    <w:rsid w:val="00735F03"/>
    <w:rsid w:val="007430B7"/>
    <w:rsid w:val="00743223"/>
    <w:rsid w:val="00746E01"/>
    <w:rsid w:val="00751C66"/>
    <w:rsid w:val="00763E5D"/>
    <w:rsid w:val="00767740"/>
    <w:rsid w:val="00774447"/>
    <w:rsid w:val="007747AD"/>
    <w:rsid w:val="00777EE6"/>
    <w:rsid w:val="00782EEA"/>
    <w:rsid w:val="00783249"/>
    <w:rsid w:val="007864CF"/>
    <w:rsid w:val="00792D7E"/>
    <w:rsid w:val="00794186"/>
    <w:rsid w:val="00794249"/>
    <w:rsid w:val="007969B0"/>
    <w:rsid w:val="007A47F5"/>
    <w:rsid w:val="007A7DA5"/>
    <w:rsid w:val="007B2C72"/>
    <w:rsid w:val="007B5635"/>
    <w:rsid w:val="007C1C53"/>
    <w:rsid w:val="007C24A3"/>
    <w:rsid w:val="007E1723"/>
    <w:rsid w:val="007E26A9"/>
    <w:rsid w:val="007E4904"/>
    <w:rsid w:val="007E4CB5"/>
    <w:rsid w:val="007F066B"/>
    <w:rsid w:val="008033C4"/>
    <w:rsid w:val="00806C88"/>
    <w:rsid w:val="0080791A"/>
    <w:rsid w:val="0081034E"/>
    <w:rsid w:val="008116E5"/>
    <w:rsid w:val="00814439"/>
    <w:rsid w:val="008227C9"/>
    <w:rsid w:val="00827ECA"/>
    <w:rsid w:val="00831420"/>
    <w:rsid w:val="008344F6"/>
    <w:rsid w:val="0083510F"/>
    <w:rsid w:val="00836957"/>
    <w:rsid w:val="008415CC"/>
    <w:rsid w:val="00846DC5"/>
    <w:rsid w:val="0085094C"/>
    <w:rsid w:val="00851209"/>
    <w:rsid w:val="00854785"/>
    <w:rsid w:val="008568AC"/>
    <w:rsid w:val="008618A9"/>
    <w:rsid w:val="00863A4E"/>
    <w:rsid w:val="00867F83"/>
    <w:rsid w:val="0088007E"/>
    <w:rsid w:val="00880E90"/>
    <w:rsid w:val="008837AC"/>
    <w:rsid w:val="008871F4"/>
    <w:rsid w:val="008908F0"/>
    <w:rsid w:val="008945B4"/>
    <w:rsid w:val="008A0400"/>
    <w:rsid w:val="008A1B6D"/>
    <w:rsid w:val="008A3BE9"/>
    <w:rsid w:val="008A587D"/>
    <w:rsid w:val="008A6B45"/>
    <w:rsid w:val="008B129C"/>
    <w:rsid w:val="008B4D01"/>
    <w:rsid w:val="008C5486"/>
    <w:rsid w:val="008C691D"/>
    <w:rsid w:val="008D4E32"/>
    <w:rsid w:val="008E61CC"/>
    <w:rsid w:val="008E7031"/>
    <w:rsid w:val="008E753D"/>
    <w:rsid w:val="008F1A25"/>
    <w:rsid w:val="008F4FD2"/>
    <w:rsid w:val="00901112"/>
    <w:rsid w:val="009013B6"/>
    <w:rsid w:val="009162C1"/>
    <w:rsid w:val="00922C95"/>
    <w:rsid w:val="009233EE"/>
    <w:rsid w:val="00927DF2"/>
    <w:rsid w:val="00930680"/>
    <w:rsid w:val="00931C4B"/>
    <w:rsid w:val="00932EB0"/>
    <w:rsid w:val="00933205"/>
    <w:rsid w:val="00956ECD"/>
    <w:rsid w:val="0096177C"/>
    <w:rsid w:val="009661DE"/>
    <w:rsid w:val="009736CB"/>
    <w:rsid w:val="00981C46"/>
    <w:rsid w:val="009856B7"/>
    <w:rsid w:val="0098602B"/>
    <w:rsid w:val="00986C2C"/>
    <w:rsid w:val="00987F31"/>
    <w:rsid w:val="00990330"/>
    <w:rsid w:val="00991B3B"/>
    <w:rsid w:val="00992DB8"/>
    <w:rsid w:val="009962BA"/>
    <w:rsid w:val="009A280B"/>
    <w:rsid w:val="009A6249"/>
    <w:rsid w:val="009B74B0"/>
    <w:rsid w:val="009C226B"/>
    <w:rsid w:val="009C2514"/>
    <w:rsid w:val="009D4414"/>
    <w:rsid w:val="009D6B46"/>
    <w:rsid w:val="009E2B1F"/>
    <w:rsid w:val="009E5415"/>
    <w:rsid w:val="009F2336"/>
    <w:rsid w:val="009F2BE5"/>
    <w:rsid w:val="009F450E"/>
    <w:rsid w:val="009F4940"/>
    <w:rsid w:val="009F6811"/>
    <w:rsid w:val="00A003F4"/>
    <w:rsid w:val="00A00549"/>
    <w:rsid w:val="00A04F86"/>
    <w:rsid w:val="00A06650"/>
    <w:rsid w:val="00A073EC"/>
    <w:rsid w:val="00A11232"/>
    <w:rsid w:val="00A11318"/>
    <w:rsid w:val="00A14282"/>
    <w:rsid w:val="00A15983"/>
    <w:rsid w:val="00A16156"/>
    <w:rsid w:val="00A1665B"/>
    <w:rsid w:val="00A27246"/>
    <w:rsid w:val="00A335A3"/>
    <w:rsid w:val="00A437E8"/>
    <w:rsid w:val="00A4478A"/>
    <w:rsid w:val="00A44852"/>
    <w:rsid w:val="00A501D4"/>
    <w:rsid w:val="00A5210B"/>
    <w:rsid w:val="00A57D04"/>
    <w:rsid w:val="00A60A26"/>
    <w:rsid w:val="00A61598"/>
    <w:rsid w:val="00A76999"/>
    <w:rsid w:val="00A810AC"/>
    <w:rsid w:val="00A82F58"/>
    <w:rsid w:val="00A84D28"/>
    <w:rsid w:val="00A84F46"/>
    <w:rsid w:val="00A871F4"/>
    <w:rsid w:val="00AA687B"/>
    <w:rsid w:val="00AB04E8"/>
    <w:rsid w:val="00AB4496"/>
    <w:rsid w:val="00AB48EF"/>
    <w:rsid w:val="00AB5C34"/>
    <w:rsid w:val="00AC1B2C"/>
    <w:rsid w:val="00AC3264"/>
    <w:rsid w:val="00AC6F01"/>
    <w:rsid w:val="00AD658A"/>
    <w:rsid w:val="00AE04D7"/>
    <w:rsid w:val="00AE0FE2"/>
    <w:rsid w:val="00AE1BF1"/>
    <w:rsid w:val="00AE368A"/>
    <w:rsid w:val="00AF0DD2"/>
    <w:rsid w:val="00AF3A11"/>
    <w:rsid w:val="00AF418D"/>
    <w:rsid w:val="00AF4784"/>
    <w:rsid w:val="00B10314"/>
    <w:rsid w:val="00B13048"/>
    <w:rsid w:val="00B15998"/>
    <w:rsid w:val="00B16D10"/>
    <w:rsid w:val="00B1716D"/>
    <w:rsid w:val="00B17A1D"/>
    <w:rsid w:val="00B207A0"/>
    <w:rsid w:val="00B24096"/>
    <w:rsid w:val="00B25639"/>
    <w:rsid w:val="00B26E43"/>
    <w:rsid w:val="00B32B6B"/>
    <w:rsid w:val="00B368AF"/>
    <w:rsid w:val="00B420D5"/>
    <w:rsid w:val="00B45CD0"/>
    <w:rsid w:val="00B45F3C"/>
    <w:rsid w:val="00B52F0D"/>
    <w:rsid w:val="00B56E03"/>
    <w:rsid w:val="00B601A9"/>
    <w:rsid w:val="00B60F5D"/>
    <w:rsid w:val="00B67E91"/>
    <w:rsid w:val="00B8080B"/>
    <w:rsid w:val="00B80A3E"/>
    <w:rsid w:val="00B82E12"/>
    <w:rsid w:val="00B87C39"/>
    <w:rsid w:val="00B95EF9"/>
    <w:rsid w:val="00B96024"/>
    <w:rsid w:val="00B974D4"/>
    <w:rsid w:val="00B97F55"/>
    <w:rsid w:val="00BA4665"/>
    <w:rsid w:val="00BB11D4"/>
    <w:rsid w:val="00BB2FB2"/>
    <w:rsid w:val="00BB3304"/>
    <w:rsid w:val="00BB7A0C"/>
    <w:rsid w:val="00BB7D16"/>
    <w:rsid w:val="00BC0792"/>
    <w:rsid w:val="00BC6021"/>
    <w:rsid w:val="00BD3446"/>
    <w:rsid w:val="00BD4585"/>
    <w:rsid w:val="00BE1F1B"/>
    <w:rsid w:val="00BE47B5"/>
    <w:rsid w:val="00BE4C99"/>
    <w:rsid w:val="00BF0826"/>
    <w:rsid w:val="00BF3E89"/>
    <w:rsid w:val="00BF765E"/>
    <w:rsid w:val="00C004EA"/>
    <w:rsid w:val="00C02207"/>
    <w:rsid w:val="00C035FA"/>
    <w:rsid w:val="00C058AB"/>
    <w:rsid w:val="00C06739"/>
    <w:rsid w:val="00C06B13"/>
    <w:rsid w:val="00C11A04"/>
    <w:rsid w:val="00C1286B"/>
    <w:rsid w:val="00C14C7F"/>
    <w:rsid w:val="00C1784D"/>
    <w:rsid w:val="00C2119A"/>
    <w:rsid w:val="00C212CA"/>
    <w:rsid w:val="00C2190F"/>
    <w:rsid w:val="00C278AD"/>
    <w:rsid w:val="00C40ED5"/>
    <w:rsid w:val="00C40F1D"/>
    <w:rsid w:val="00C411AD"/>
    <w:rsid w:val="00C538A9"/>
    <w:rsid w:val="00C53B5A"/>
    <w:rsid w:val="00C54070"/>
    <w:rsid w:val="00C54F5A"/>
    <w:rsid w:val="00C70602"/>
    <w:rsid w:val="00C7119F"/>
    <w:rsid w:val="00C7339D"/>
    <w:rsid w:val="00C755AD"/>
    <w:rsid w:val="00C77F36"/>
    <w:rsid w:val="00C8091E"/>
    <w:rsid w:val="00C856A3"/>
    <w:rsid w:val="00C85A0A"/>
    <w:rsid w:val="00C86679"/>
    <w:rsid w:val="00C93538"/>
    <w:rsid w:val="00CA1A46"/>
    <w:rsid w:val="00CA532C"/>
    <w:rsid w:val="00CA5F3E"/>
    <w:rsid w:val="00CB11CA"/>
    <w:rsid w:val="00CB32BB"/>
    <w:rsid w:val="00CB666B"/>
    <w:rsid w:val="00CC1529"/>
    <w:rsid w:val="00CD13DF"/>
    <w:rsid w:val="00CD4F9B"/>
    <w:rsid w:val="00CD70A0"/>
    <w:rsid w:val="00CF799E"/>
    <w:rsid w:val="00D0110E"/>
    <w:rsid w:val="00D01CF0"/>
    <w:rsid w:val="00D0442A"/>
    <w:rsid w:val="00D1722F"/>
    <w:rsid w:val="00D17C1F"/>
    <w:rsid w:val="00D203E1"/>
    <w:rsid w:val="00D33B1B"/>
    <w:rsid w:val="00D36527"/>
    <w:rsid w:val="00D36A1D"/>
    <w:rsid w:val="00D43170"/>
    <w:rsid w:val="00D450A5"/>
    <w:rsid w:val="00D544B8"/>
    <w:rsid w:val="00D55E30"/>
    <w:rsid w:val="00D61388"/>
    <w:rsid w:val="00D61A54"/>
    <w:rsid w:val="00D61E97"/>
    <w:rsid w:val="00D64AF7"/>
    <w:rsid w:val="00D64DEA"/>
    <w:rsid w:val="00D65F65"/>
    <w:rsid w:val="00D66D0F"/>
    <w:rsid w:val="00D73D5F"/>
    <w:rsid w:val="00D77B30"/>
    <w:rsid w:val="00D80510"/>
    <w:rsid w:val="00D80893"/>
    <w:rsid w:val="00D81CC8"/>
    <w:rsid w:val="00D8695B"/>
    <w:rsid w:val="00D90E4E"/>
    <w:rsid w:val="00D92CF1"/>
    <w:rsid w:val="00D92D38"/>
    <w:rsid w:val="00D92FA1"/>
    <w:rsid w:val="00D950F5"/>
    <w:rsid w:val="00D96660"/>
    <w:rsid w:val="00DA252B"/>
    <w:rsid w:val="00DB0F93"/>
    <w:rsid w:val="00DB5F3B"/>
    <w:rsid w:val="00DB7AD1"/>
    <w:rsid w:val="00DC170A"/>
    <w:rsid w:val="00DC5026"/>
    <w:rsid w:val="00DC542F"/>
    <w:rsid w:val="00DC7981"/>
    <w:rsid w:val="00DD0990"/>
    <w:rsid w:val="00DD46CE"/>
    <w:rsid w:val="00DE13E1"/>
    <w:rsid w:val="00DE4EFA"/>
    <w:rsid w:val="00DE5520"/>
    <w:rsid w:val="00E04818"/>
    <w:rsid w:val="00E058F1"/>
    <w:rsid w:val="00E06442"/>
    <w:rsid w:val="00E075F3"/>
    <w:rsid w:val="00E17F8E"/>
    <w:rsid w:val="00E228BE"/>
    <w:rsid w:val="00E22D04"/>
    <w:rsid w:val="00E23993"/>
    <w:rsid w:val="00E25B8C"/>
    <w:rsid w:val="00E277F9"/>
    <w:rsid w:val="00E301ED"/>
    <w:rsid w:val="00E31492"/>
    <w:rsid w:val="00E3251A"/>
    <w:rsid w:val="00E3608F"/>
    <w:rsid w:val="00E45550"/>
    <w:rsid w:val="00E4674F"/>
    <w:rsid w:val="00E518D1"/>
    <w:rsid w:val="00E55E94"/>
    <w:rsid w:val="00E63639"/>
    <w:rsid w:val="00E65C85"/>
    <w:rsid w:val="00E66199"/>
    <w:rsid w:val="00E72F50"/>
    <w:rsid w:val="00E755EC"/>
    <w:rsid w:val="00E7624D"/>
    <w:rsid w:val="00E819DE"/>
    <w:rsid w:val="00E85F50"/>
    <w:rsid w:val="00E87A15"/>
    <w:rsid w:val="00E950F1"/>
    <w:rsid w:val="00EA3D42"/>
    <w:rsid w:val="00EA6B1B"/>
    <w:rsid w:val="00EB60E0"/>
    <w:rsid w:val="00EC1B71"/>
    <w:rsid w:val="00EC389B"/>
    <w:rsid w:val="00EE28F3"/>
    <w:rsid w:val="00EF4783"/>
    <w:rsid w:val="00EF4953"/>
    <w:rsid w:val="00EF5110"/>
    <w:rsid w:val="00F078C1"/>
    <w:rsid w:val="00F10F9D"/>
    <w:rsid w:val="00F154F7"/>
    <w:rsid w:val="00F15882"/>
    <w:rsid w:val="00F163F3"/>
    <w:rsid w:val="00F20BD3"/>
    <w:rsid w:val="00F22275"/>
    <w:rsid w:val="00F262C9"/>
    <w:rsid w:val="00F26BF9"/>
    <w:rsid w:val="00F27799"/>
    <w:rsid w:val="00F27C10"/>
    <w:rsid w:val="00F373A5"/>
    <w:rsid w:val="00F47559"/>
    <w:rsid w:val="00F55723"/>
    <w:rsid w:val="00F577BB"/>
    <w:rsid w:val="00F60BE4"/>
    <w:rsid w:val="00F61642"/>
    <w:rsid w:val="00F61B84"/>
    <w:rsid w:val="00F62762"/>
    <w:rsid w:val="00F64C7B"/>
    <w:rsid w:val="00F676DD"/>
    <w:rsid w:val="00F7238F"/>
    <w:rsid w:val="00F74B89"/>
    <w:rsid w:val="00F75A26"/>
    <w:rsid w:val="00F81991"/>
    <w:rsid w:val="00F83CD4"/>
    <w:rsid w:val="00F83FAD"/>
    <w:rsid w:val="00F842F8"/>
    <w:rsid w:val="00F91DC6"/>
    <w:rsid w:val="00F9234F"/>
    <w:rsid w:val="00F952A0"/>
    <w:rsid w:val="00FA3C7F"/>
    <w:rsid w:val="00FA44FB"/>
    <w:rsid w:val="00FA6054"/>
    <w:rsid w:val="00FB0AA7"/>
    <w:rsid w:val="00FB4C84"/>
    <w:rsid w:val="00FB52D7"/>
    <w:rsid w:val="00FB74E2"/>
    <w:rsid w:val="00FC06C5"/>
    <w:rsid w:val="00FC2A25"/>
    <w:rsid w:val="00FC2D3F"/>
    <w:rsid w:val="00FD1820"/>
    <w:rsid w:val="00FD243C"/>
    <w:rsid w:val="00FD3258"/>
    <w:rsid w:val="00FD5614"/>
    <w:rsid w:val="00FD5CF6"/>
    <w:rsid w:val="00FE0BE1"/>
    <w:rsid w:val="00FE1DE9"/>
    <w:rsid w:val="00FE39C2"/>
    <w:rsid w:val="00FE48FD"/>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47349"/>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qFormat/>
    <w:rsid w:val="00347349"/>
  </w:style>
  <w:style w:type="character" w:customStyle="1" w:styleId="FootnotesChar">
    <w:name w:val="Footnotes Char"/>
    <w:basedOn w:val="DefaultParagraphFont"/>
    <w:link w:val="Footnotes"/>
    <w:uiPriority w:val="4"/>
    <w:rsid w:val="00347349"/>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240BEA"/>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931C4B"/>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Autospacing="0" w:afterLines="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Autospacing="0" w:afterLines="0" w:afterAutospacing="0" w:line="240" w:lineRule="auto"/>
      </w:pPr>
      <w:rPr>
        <w:rFonts w:ascii="Arial" w:hAnsi="Arial"/>
        <w:b/>
        <w:sz w:val="20"/>
      </w:rPr>
    </w:tblStylePr>
    <w:tblStylePr w:type="firstCol">
      <w:rPr>
        <w:rFonts w:ascii="Arial" w:hAnsi="Arial"/>
        <w:b/>
        <w:sz w:val="20"/>
      </w:rPr>
    </w:tblStylePr>
  </w:style>
  <w:style w:type="table" w:customStyle="1" w:styleId="LightShading1">
    <w:name w:val="Light Shading1"/>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Autospacing="0" w:afterLines="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Autospacing="0" w:afterLines="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customStyle="1" w:styleId="MediumShading11">
    <w:name w:val="Medium Shading 1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customStyle="1" w:styleId="LightList-Accent11">
    <w:name w:val="Light List - Accent 1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D73D5F"/>
    <w:rPr>
      <w:rFonts w:ascii="Arial" w:hAnsi="Arial"/>
      <w:sz w:val="16"/>
      <w:szCs w:val="20"/>
    </w:rPr>
  </w:style>
  <w:style w:type="character" w:styleId="FootnoteReference">
    <w:name w:val="footnote reference"/>
    <w:aliases w:val="(NECG) Footnote Reference,o,Style 3,Style 12,fr,Appel note de bas de p,Style 124,(NECG) Footnot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0">
    <w:name w:val="Light Shading1"/>
    <w:basedOn w:val="TableNormal"/>
    <w:next w:val="LightShading1"/>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Autospacing="0" w:afterLines="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Autospacing="0" w:afterLines="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customStyle="1" w:styleId="LightGrid1">
    <w:name w:val="Light Grid1"/>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Autospacing="0" w:afterLines="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Autospacing="0" w:afterLines="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Normal"/>
    <w:rsid w:val="00347349"/>
    <w:pPr>
      <w:numPr>
        <w:numId w:val="25"/>
      </w:numPr>
      <w:tabs>
        <w:tab w:val="left" w:pos="680"/>
      </w:tabs>
      <w:spacing w:before="120"/>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1"/>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Autospacing="0" w:afterLines="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D4F9B"/>
    <w:rPr>
      <w:sz w:val="16"/>
      <w:szCs w:val="16"/>
    </w:rPr>
  </w:style>
  <w:style w:type="paragraph" w:styleId="CommentText">
    <w:name w:val="annotation text"/>
    <w:basedOn w:val="Normal"/>
    <w:link w:val="CommentTextChar"/>
    <w:uiPriority w:val="99"/>
    <w:unhideWhenUsed/>
    <w:rsid w:val="00CD4F9B"/>
    <w:rPr>
      <w:sz w:val="20"/>
      <w:szCs w:val="20"/>
    </w:rPr>
  </w:style>
  <w:style w:type="character" w:customStyle="1" w:styleId="CommentTextChar">
    <w:name w:val="Comment Text Char"/>
    <w:basedOn w:val="DefaultParagraphFont"/>
    <w:link w:val="CommentText"/>
    <w:uiPriority w:val="99"/>
    <w:rsid w:val="00CD4F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4F9B"/>
    <w:rPr>
      <w:b/>
      <w:bCs/>
    </w:rPr>
  </w:style>
  <w:style w:type="character" w:customStyle="1" w:styleId="CommentSubjectChar">
    <w:name w:val="Comment Subject Char"/>
    <w:basedOn w:val="CommentTextChar"/>
    <w:link w:val="CommentSubject"/>
    <w:uiPriority w:val="99"/>
    <w:semiHidden/>
    <w:rsid w:val="00CD4F9B"/>
    <w:rPr>
      <w:rFonts w:ascii="Arial" w:hAnsi="Arial"/>
      <w:b/>
      <w:bCs/>
      <w:sz w:val="20"/>
      <w:szCs w:val="20"/>
    </w:rPr>
  </w:style>
  <w:style w:type="paragraph" w:customStyle="1" w:styleId="Default">
    <w:name w:val="Default"/>
    <w:rsid w:val="00385B1B"/>
    <w:pPr>
      <w:autoSpaceDE w:val="0"/>
      <w:autoSpaceDN w:val="0"/>
      <w:adjustRightInd w:val="0"/>
      <w:spacing w:before="0"/>
    </w:pPr>
    <w:rPr>
      <w:rFonts w:ascii="Arial" w:hAnsi="Arial" w:cs="Arial"/>
      <w:color w:val="000000"/>
      <w:sz w:val="24"/>
      <w:szCs w:val="24"/>
    </w:rPr>
  </w:style>
  <w:style w:type="paragraph" w:styleId="Revision">
    <w:name w:val="Revision"/>
    <w:hidden/>
    <w:uiPriority w:val="99"/>
    <w:semiHidden/>
    <w:rsid w:val="000948FA"/>
    <w:pPr>
      <w:spacing w:before="0"/>
    </w:pPr>
    <w:rPr>
      <w:rFonts w:ascii="Arial" w:hAnsi="Arial"/>
    </w:rPr>
  </w:style>
  <w:style w:type="paragraph" w:customStyle="1" w:styleId="FindingBullet">
    <w:name w:val="Finding Bullet"/>
    <w:basedOn w:val="Normal"/>
    <w:rsid w:val="00A810AC"/>
    <w:pPr>
      <w:keepLines/>
      <w:numPr>
        <w:numId w:val="29"/>
      </w:numPr>
      <w:spacing w:before="80" w:line="280" w:lineRule="atLeast"/>
      <w:jc w:val="both"/>
    </w:pPr>
    <w:rPr>
      <w:rFonts w:eastAsia="Times New Roman" w:cs="Times New Roman"/>
      <w:szCs w:val="20"/>
      <w:lang w:eastAsia="en-AU"/>
    </w:rPr>
  </w:style>
  <w:style w:type="paragraph" w:styleId="BodyText">
    <w:name w:val="Body Text"/>
    <w:basedOn w:val="Normal"/>
    <w:link w:val="BodyTextChar"/>
    <w:uiPriority w:val="99"/>
    <w:semiHidden/>
    <w:unhideWhenUsed/>
    <w:rsid w:val="00A810AC"/>
    <w:pPr>
      <w:spacing w:after="120"/>
    </w:pPr>
  </w:style>
  <w:style w:type="character" w:customStyle="1" w:styleId="BodyTextChar">
    <w:name w:val="Body Text Char"/>
    <w:basedOn w:val="DefaultParagraphFont"/>
    <w:link w:val="BodyText"/>
    <w:uiPriority w:val="99"/>
    <w:semiHidden/>
    <w:rsid w:val="00A810AC"/>
    <w:rPr>
      <w:rFonts w:ascii="Arial" w:hAnsi="Arial"/>
    </w:rPr>
  </w:style>
  <w:style w:type="character" w:styleId="FollowedHyperlink">
    <w:name w:val="FollowedHyperlink"/>
    <w:basedOn w:val="DefaultParagraphFont"/>
    <w:uiPriority w:val="99"/>
    <w:semiHidden/>
    <w:unhideWhenUsed/>
    <w:rsid w:val="00661F18"/>
    <w:rPr>
      <w:color w:val="800080" w:themeColor="followedHyperlink"/>
      <w:u w:val="single"/>
    </w:rPr>
  </w:style>
  <w:style w:type="table" w:customStyle="1" w:styleId="LightShading2">
    <w:name w:val="Light Shading2"/>
    <w:basedOn w:val="TableNormal"/>
    <w:next w:val="LightShading1"/>
    <w:uiPriority w:val="60"/>
    <w:rsid w:val="001B7CBA"/>
    <w:pPr>
      <w:spacing w:befor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4-boxed">
    <w:name w:val="Heading 4 - boxed"/>
    <w:qFormat/>
    <w:rsid w:val="00B82E12"/>
    <w:pPr>
      <w:shd w:val="clear" w:color="auto" w:fill="F2F2F2" w:themeFill="background1" w:themeFillShade="F2"/>
    </w:pPr>
    <w:rPr>
      <w:rFonts w:ascii="Arial" w:eastAsiaTheme="majorEastAsia" w:hAnsi="Arial" w:cstheme="majorBidi"/>
      <w:b/>
      <w:bCs/>
      <w:i/>
      <w:iCs/>
      <w:color w:val="51626F"/>
      <w:sz w:val="24"/>
    </w:rPr>
  </w:style>
  <w:style w:type="paragraph" w:customStyle="1" w:styleId="Informationrequest">
    <w:name w:val="Information request"/>
    <w:basedOn w:val="Normal"/>
    <w:rsid w:val="00B82E12"/>
    <w:pPr>
      <w:shd w:val="clear" w:color="auto" w:fill="F2F2F2" w:themeFill="background1" w:themeFillShade="F2"/>
    </w:pPr>
    <w:rPr>
      <w:rFonts w:eastAsia="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F35B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8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9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Numbered1111111"/>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Heading-righ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paragraph"/>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TableofFigures"/>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Char"/>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Heading7Char">
    <w:name w:val="List Paragraph"/>
    <w:aliases w:val="Dot point list,List Paragraph1,NFP GP Bulleted List,List Paragraph11,List Paragraph2,FooterText,numbered,Paragraphe de liste1,Bulletr List Paragraph,列出段落,列出段落1,List Paragraph21,Listeafsnit1,Parágrafo da Lista1,L,列"/>
    <w:basedOn w:val="Normal"/>
    <w:link w:val="BodyText"/>
    <w:uiPriority w:val="34"/>
    <w:qFormat/>
    <w:rsid w:val="00F61B84"/>
    <w:pPr>
      <w:numPr>
        <w:numId w:val="11"/>
      </w:numPr>
      <w:tabs>
        <w:tab w:val="left" w:pos="340"/>
      </w:tabs>
      <w:spacing w:before="120"/>
    </w:pPr>
  </w:style>
  <w:style w:type="character" w:customStyle="1" w:styleId="Heading8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9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Numbered1111111">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1">
    <w:name w:val="Numbered 1.1.1.1.1.1.1"/>
    <w:basedOn w:val="Heading7"/>
    <w:next w:val="Normal"/>
    <w:uiPriority w:val="2"/>
    <w:rsid w:val="00F61B84"/>
    <w:pPr>
      <w:numPr>
        <w:ilvl w:val="6"/>
        <w:numId w:val="12"/>
      </w:numPr>
      <w:tabs>
        <w:tab w:val="left" w:pos="2041"/>
      </w:tabs>
      <w:ind w:left="2041" w:hanging="2041"/>
    </w:pPr>
  </w:style>
  <w:style w:type="paragraph" w:customStyle="1" w:styleId="TableGrid">
    <w:name w:val="Numbered 1.1.1.1.1.1.1.1"/>
    <w:basedOn w:val="Heading8"/>
    <w:next w:val="Normal"/>
    <w:uiPriority w:val="2"/>
    <w:rsid w:val="00F61B84"/>
    <w:pPr>
      <w:tabs>
        <w:tab w:val="left" w:pos="2041"/>
      </w:tabs>
      <w:ind w:left="2041" w:hanging="2041"/>
    </w:pPr>
  </w:style>
  <w:style w:type="table" w:styleId="LightShading1">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Accent11">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2">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3">
    <w:name w:val="Light Shading Accent 2"/>
    <w:basedOn w:val="TableNormal"/>
    <w:uiPriority w:val="60"/>
    <w:rsid w:val="00746E01"/>
    <w:pPr>
      <w:spacing w:before="0"/>
    </w:pPr>
    <w:rPr>
      <w:rFonts w:ascii="Arial" w:hAnsi="Arial"/>
      <w:color w:val="000000"/>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Grid-Accent6">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MediumShading11">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Accent1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3">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4">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5">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LightList1">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Shading-Accent5">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3">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Bibliography">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odyText3">
    <w:name w:val="Bibliography"/>
    <w:basedOn w:val="Normal"/>
    <w:next w:val="Normal"/>
    <w:uiPriority w:val="37"/>
    <w:semiHidden/>
    <w:rsid w:val="00EE28F3"/>
  </w:style>
  <w:style w:type="paragraph" w:styleId="BodyText3Char">
    <w:name w:val="Body Text 3"/>
    <w:basedOn w:val="Normal"/>
    <w:link w:val="TOC1"/>
    <w:uiPriority w:val="99"/>
    <w:semiHidden/>
    <w:unhideWhenUsed/>
    <w:rsid w:val="005C26CC"/>
    <w:pPr>
      <w:spacing w:after="120"/>
    </w:pPr>
    <w:rPr>
      <w:szCs w:val="16"/>
    </w:rPr>
  </w:style>
  <w:style w:type="character" w:customStyle="1" w:styleId="TOC1">
    <w:name w:val="Body Text 3 Char"/>
    <w:basedOn w:val="DefaultParagraphFont"/>
    <w:link w:val="BodyText3Char"/>
    <w:uiPriority w:val="99"/>
    <w:semiHidden/>
    <w:rsid w:val="005C26CC"/>
    <w:rPr>
      <w:rFonts w:ascii="Arial" w:hAnsi="Arial"/>
      <w:szCs w:val="16"/>
    </w:rPr>
  </w:style>
  <w:style w:type="paragraph" w:styleId="TOC2">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3">
    <w:name w:val="toc 2"/>
    <w:basedOn w:val="Normal"/>
    <w:next w:val="Normal"/>
    <w:uiPriority w:val="39"/>
    <w:qFormat/>
    <w:rsid w:val="009F4940"/>
    <w:pPr>
      <w:tabs>
        <w:tab w:val="left" w:pos="880"/>
        <w:tab w:val="right" w:leader="dot" w:pos="9016"/>
      </w:tabs>
      <w:spacing w:after="100"/>
      <w:ind w:left="425"/>
    </w:pPr>
    <w:rPr>
      <w:noProof/>
    </w:rPr>
  </w:style>
  <w:style w:type="paragraph" w:styleId="Title">
    <w:name w:val="toc 3"/>
    <w:basedOn w:val="Normal"/>
    <w:next w:val="Normal"/>
    <w:uiPriority w:val="39"/>
    <w:qFormat/>
    <w:rsid w:val="009F4940"/>
    <w:pPr>
      <w:tabs>
        <w:tab w:val="left" w:pos="1760"/>
        <w:tab w:val="right" w:leader="dot" w:pos="9016"/>
      </w:tabs>
      <w:spacing w:after="100"/>
      <w:ind w:left="851"/>
    </w:pPr>
    <w:rPr>
      <w:noProof/>
    </w:rPr>
  </w:style>
  <w:style w:type="paragraph" w:styleId="TitleChar">
    <w:name w:val="Title"/>
    <w:basedOn w:val="Normal"/>
    <w:next w:val="Normal"/>
    <w:link w:val="CoverDate"/>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CoverDate">
    <w:name w:val="Title Char"/>
    <w:basedOn w:val="DefaultParagraphFont"/>
    <w:link w:val="TitleChar"/>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BookTitle">
    <w:name w:val="Cover Date"/>
    <w:rsid w:val="00E4674F"/>
    <w:rPr>
      <w:rFonts w:ascii="Lucida Fax" w:hAnsi="Lucida Fax"/>
      <w:color w:val="DC5034"/>
      <w:sz w:val="24"/>
      <w:szCs w:val="24"/>
    </w:rPr>
  </w:style>
  <w:style w:type="character" w:styleId="LightList-Accent11">
    <w:name w:val="Book Title"/>
    <w:uiPriority w:val="33"/>
    <w:rsid w:val="0081034E"/>
    <w:rPr>
      <w:rFonts w:ascii="Arial" w:hAnsi="Arial"/>
      <w:bCs/>
      <w:i/>
      <w:caps w:val="0"/>
      <w:smallCaps w:val="0"/>
      <w:spacing w:val="0"/>
      <w:sz w:val="22"/>
    </w:rPr>
  </w:style>
  <w:style w:type="table" w:styleId="LightList-Accent3">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5">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Emphasis">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NormalIndent">
    <w:name w:val="Emphasis"/>
    <w:basedOn w:val="DefaultParagraphFont"/>
    <w:uiPriority w:val="20"/>
    <w:qFormat/>
    <w:rsid w:val="00701CAB"/>
    <w:rPr>
      <w:i/>
      <w:iCs/>
    </w:rPr>
  </w:style>
  <w:style w:type="paragraph" w:styleId="FootnoteText">
    <w:name w:val="Normal Indent"/>
    <w:basedOn w:val="Normal"/>
    <w:uiPriority w:val="1"/>
    <w:rsid w:val="00085663"/>
    <w:pPr>
      <w:ind w:left="720"/>
    </w:pPr>
  </w:style>
  <w:style w:type="paragraph" w:styleId="FootnoteTextChar">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Reference"/>
    <w:uiPriority w:val="2"/>
    <w:rsid w:val="00D73D5F"/>
    <w:pPr>
      <w:tabs>
        <w:tab w:val="left" w:pos="340"/>
      </w:tabs>
      <w:spacing w:before="60"/>
      <w:ind w:left="340" w:hanging="340"/>
    </w:pPr>
    <w:rPr>
      <w:sz w:val="16"/>
      <w:szCs w:val="20"/>
    </w:rPr>
  </w:style>
  <w:style w:type="character" w:customStyle="1" w:styleId="FootnoteReference">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Char"/>
    <w:uiPriority w:val="2"/>
    <w:rsid w:val="00D73D5F"/>
    <w:rPr>
      <w:rFonts w:ascii="Arial" w:hAnsi="Arial"/>
      <w:sz w:val="16"/>
      <w:szCs w:val="20"/>
    </w:rPr>
  </w:style>
  <w:style w:type="character" w:styleId="Strong">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ubtitle">
    <w:name w:val="Strong"/>
    <w:basedOn w:val="DefaultParagraphFont"/>
    <w:uiPriority w:val="22"/>
    <w:qFormat/>
    <w:rsid w:val="00EF5110"/>
    <w:rPr>
      <w:b/>
      <w:bCs/>
    </w:rPr>
  </w:style>
  <w:style w:type="paragraph" w:styleId="SubtitleChar">
    <w:name w:val="Subtitle"/>
    <w:next w:val="Normal"/>
    <w:link w:val="LightShading-Accent4"/>
    <w:uiPriority w:val="11"/>
    <w:qFormat/>
    <w:rsid w:val="008344F6"/>
    <w:pPr>
      <w:spacing w:before="360" w:after="120"/>
    </w:pPr>
    <w:rPr>
      <w:rFonts w:ascii="Lucida Fax" w:hAnsi="Lucida Fax"/>
      <w:color w:val="4F2D7F"/>
      <w:sz w:val="52"/>
      <w:szCs w:val="52"/>
    </w:rPr>
  </w:style>
  <w:style w:type="character" w:customStyle="1" w:styleId="LightShading-Accent4">
    <w:name w:val="Subtitle Char"/>
    <w:basedOn w:val="DefaultParagraphFont"/>
    <w:link w:val="SubtitleChar"/>
    <w:uiPriority w:val="11"/>
    <w:rsid w:val="008344F6"/>
    <w:rPr>
      <w:rFonts w:ascii="Lucida Fax" w:hAnsi="Lucida Fax"/>
      <w:color w:val="4F2D7F"/>
      <w:sz w:val="52"/>
      <w:szCs w:val="52"/>
    </w:rPr>
  </w:style>
  <w:style w:type="table" w:styleId="LightShading-Accent6">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TOC4">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5">
    <w:name w:val="toc 4"/>
    <w:basedOn w:val="Normal"/>
    <w:next w:val="Normal"/>
    <w:uiPriority w:val="39"/>
    <w:rsid w:val="009F4940"/>
    <w:pPr>
      <w:tabs>
        <w:tab w:val="right" w:leader="dot" w:pos="9016"/>
      </w:tabs>
      <w:spacing w:after="100"/>
      <w:ind w:left="1276"/>
    </w:pPr>
    <w:rPr>
      <w:noProof/>
    </w:rPr>
  </w:style>
  <w:style w:type="paragraph" w:styleId="TOC6">
    <w:name w:val="toc 5"/>
    <w:basedOn w:val="Normal"/>
    <w:next w:val="Normal"/>
    <w:uiPriority w:val="39"/>
    <w:rsid w:val="009F4940"/>
    <w:pPr>
      <w:tabs>
        <w:tab w:val="right" w:leader="dot" w:pos="9016"/>
      </w:tabs>
      <w:spacing w:after="100"/>
      <w:ind w:left="1701"/>
    </w:pPr>
    <w:rPr>
      <w:noProof/>
    </w:rPr>
  </w:style>
  <w:style w:type="paragraph" w:styleId="TOC7">
    <w:name w:val="toc 6"/>
    <w:basedOn w:val="Normal"/>
    <w:next w:val="Normal"/>
    <w:uiPriority w:val="39"/>
    <w:rsid w:val="009F4940"/>
    <w:pPr>
      <w:tabs>
        <w:tab w:val="right" w:leader="dot" w:pos="9016"/>
      </w:tabs>
      <w:spacing w:after="100"/>
      <w:ind w:left="2127"/>
    </w:pPr>
    <w:rPr>
      <w:noProof/>
    </w:rPr>
  </w:style>
  <w:style w:type="paragraph" w:styleId="TableofAuthorities">
    <w:name w:val="toc 7"/>
    <w:basedOn w:val="Normal"/>
    <w:next w:val="Normal"/>
    <w:uiPriority w:val="39"/>
    <w:rsid w:val="009F4940"/>
    <w:pPr>
      <w:tabs>
        <w:tab w:val="right" w:leader="dot" w:pos="9016"/>
      </w:tabs>
      <w:spacing w:after="100"/>
      <w:ind w:left="2552"/>
    </w:pPr>
    <w:rPr>
      <w:noProof/>
    </w:rPr>
  </w:style>
  <w:style w:type="paragraph" w:styleId="LightShading10">
    <w:name w:val="table of authorities"/>
    <w:basedOn w:val="Normal"/>
    <w:next w:val="Normal"/>
    <w:uiPriority w:val="99"/>
    <w:unhideWhenUsed/>
    <w:rsid w:val="00B60F5D"/>
    <w:pPr>
      <w:ind w:left="220" w:hanging="220"/>
    </w:pPr>
  </w:style>
  <w:style w:type="table" w:customStyle="1" w:styleId="LightList-Accent2">
    <w:name w:val="Light Shading1"/>
    <w:basedOn w:val="TableNormal"/>
    <w:next w:val="LightShading-Accent11"/>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4">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6">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Grid1">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Accent11">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4">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5">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HeaderRight">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Numbered111111111">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Caption">
    <w:name w:val="Numbered 1.1.1.1.1.1.1.1.1"/>
    <w:basedOn w:val="Heading9"/>
    <w:next w:val="Normal"/>
    <w:uiPriority w:val="2"/>
    <w:rsid w:val="00B60F5D"/>
    <w:pPr>
      <w:numPr>
        <w:ilvl w:val="8"/>
        <w:numId w:val="12"/>
      </w:numPr>
      <w:tabs>
        <w:tab w:val="left" w:pos="2381"/>
      </w:tabs>
      <w:ind w:left="2381" w:hanging="2381"/>
    </w:pPr>
  </w:style>
  <w:style w:type="paragraph" w:styleId="List">
    <w:name w:val="caption"/>
    <w:basedOn w:val="Normal"/>
    <w:next w:val="Normal"/>
    <w:uiPriority w:val="35"/>
    <w:unhideWhenUsed/>
    <w:qFormat/>
    <w:rsid w:val="00B1716D"/>
    <w:pPr>
      <w:spacing w:before="240" w:after="120"/>
    </w:pPr>
    <w:rPr>
      <w:b/>
      <w:bCs/>
      <w:sz w:val="24"/>
      <w:szCs w:val="18"/>
    </w:rPr>
  </w:style>
  <w:style w:type="paragraph" w:styleId="List2">
    <w:name w:val="List"/>
    <w:basedOn w:val="Normal"/>
    <w:uiPriority w:val="99"/>
    <w:rsid w:val="00E4674F"/>
    <w:pPr>
      <w:tabs>
        <w:tab w:val="left" w:pos="340"/>
      </w:tabs>
      <w:spacing w:before="120"/>
      <w:ind w:left="340" w:hanging="340"/>
    </w:pPr>
  </w:style>
  <w:style w:type="paragraph" w:styleId="List3">
    <w:name w:val="List 2"/>
    <w:basedOn w:val="Normal"/>
    <w:uiPriority w:val="99"/>
    <w:rsid w:val="00E4674F"/>
    <w:pPr>
      <w:tabs>
        <w:tab w:val="left" w:pos="680"/>
      </w:tabs>
      <w:spacing w:before="120"/>
      <w:ind w:left="680" w:hanging="340"/>
    </w:pPr>
  </w:style>
  <w:style w:type="paragraph" w:styleId="List4">
    <w:name w:val="List 3"/>
    <w:basedOn w:val="Normal"/>
    <w:uiPriority w:val="99"/>
    <w:rsid w:val="00E4674F"/>
    <w:pPr>
      <w:tabs>
        <w:tab w:val="left" w:pos="1021"/>
      </w:tabs>
      <w:spacing w:before="120"/>
      <w:ind w:left="1020" w:hanging="340"/>
    </w:pPr>
  </w:style>
  <w:style w:type="paragraph" w:styleId="List5">
    <w:name w:val="List 4"/>
    <w:basedOn w:val="Normal"/>
    <w:uiPriority w:val="99"/>
    <w:rsid w:val="00E4674F"/>
    <w:pPr>
      <w:tabs>
        <w:tab w:val="left" w:pos="1361"/>
      </w:tabs>
      <w:spacing w:before="120"/>
      <w:ind w:left="1361" w:hanging="340"/>
    </w:pPr>
  </w:style>
  <w:style w:type="paragraph" w:styleId="ListBullet3">
    <w:name w:val="List 5"/>
    <w:basedOn w:val="Normal"/>
    <w:uiPriority w:val="99"/>
    <w:rsid w:val="00547CCF"/>
    <w:pPr>
      <w:tabs>
        <w:tab w:val="left" w:pos="1701"/>
      </w:tabs>
      <w:spacing w:before="120"/>
      <w:ind w:left="1701" w:hanging="340"/>
    </w:pPr>
  </w:style>
  <w:style w:type="paragraph" w:styleId="ListBullet4">
    <w:name w:val="List Bullet 3"/>
    <w:basedOn w:val="Normal"/>
    <w:uiPriority w:val="99"/>
    <w:rsid w:val="00181223"/>
    <w:pPr>
      <w:numPr>
        <w:numId w:val="4"/>
      </w:numPr>
      <w:tabs>
        <w:tab w:val="clear" w:pos="926"/>
        <w:tab w:val="num" w:pos="1021"/>
      </w:tabs>
      <w:spacing w:before="120"/>
      <w:ind w:left="1020" w:hanging="340"/>
    </w:pPr>
  </w:style>
  <w:style w:type="paragraph" w:styleId="ListBullet5">
    <w:name w:val="List Bullet 4"/>
    <w:basedOn w:val="Normal"/>
    <w:uiPriority w:val="99"/>
    <w:rsid w:val="00547CCF"/>
    <w:pPr>
      <w:numPr>
        <w:numId w:val="5"/>
      </w:numPr>
      <w:tabs>
        <w:tab w:val="clear" w:pos="1209"/>
        <w:tab w:val="num" w:pos="1361"/>
      </w:tabs>
      <w:spacing w:before="120"/>
      <w:ind w:left="1361" w:hanging="340"/>
    </w:pPr>
  </w:style>
  <w:style w:type="paragraph" w:styleId="ListContinue">
    <w:name w:val="List Bullet 5"/>
    <w:basedOn w:val="Normal"/>
    <w:uiPriority w:val="99"/>
    <w:rsid w:val="00547CCF"/>
    <w:pPr>
      <w:numPr>
        <w:numId w:val="6"/>
      </w:numPr>
      <w:tabs>
        <w:tab w:val="clear" w:pos="1492"/>
        <w:tab w:val="num" w:pos="1701"/>
      </w:tabs>
      <w:spacing w:before="120"/>
      <w:ind w:left="1701" w:hanging="340"/>
    </w:pPr>
  </w:style>
  <w:style w:type="paragraph" w:styleId="ListContinue2">
    <w:name w:val="List Continue"/>
    <w:basedOn w:val="Normal"/>
    <w:uiPriority w:val="99"/>
    <w:rsid w:val="00547CCF"/>
    <w:pPr>
      <w:tabs>
        <w:tab w:val="left" w:pos="340"/>
      </w:tabs>
      <w:spacing w:before="120"/>
      <w:ind w:left="340"/>
    </w:pPr>
  </w:style>
  <w:style w:type="paragraph" w:styleId="ListContinue3">
    <w:name w:val="List Continue 2"/>
    <w:basedOn w:val="Normal"/>
    <w:uiPriority w:val="99"/>
    <w:rsid w:val="00547CCF"/>
    <w:pPr>
      <w:tabs>
        <w:tab w:val="left" w:pos="680"/>
      </w:tabs>
      <w:spacing w:before="120"/>
      <w:ind w:left="680"/>
    </w:pPr>
  </w:style>
  <w:style w:type="paragraph" w:styleId="ListContinue4">
    <w:name w:val="List Continue 3"/>
    <w:basedOn w:val="Normal"/>
    <w:uiPriority w:val="99"/>
    <w:rsid w:val="00547CCF"/>
    <w:pPr>
      <w:tabs>
        <w:tab w:val="left" w:pos="1021"/>
      </w:tabs>
      <w:spacing w:before="120"/>
      <w:ind w:left="1021"/>
    </w:pPr>
  </w:style>
  <w:style w:type="paragraph" w:styleId="ListNumber3">
    <w:name w:val="List Continue 4"/>
    <w:basedOn w:val="Normal"/>
    <w:uiPriority w:val="99"/>
    <w:rsid w:val="00DC542F"/>
    <w:pPr>
      <w:tabs>
        <w:tab w:val="left" w:pos="1361"/>
      </w:tabs>
      <w:spacing w:before="120"/>
      <w:ind w:left="1361"/>
    </w:pPr>
  </w:style>
  <w:style w:type="paragraph" w:styleId="ListNumber4">
    <w:name w:val="List Number 3"/>
    <w:basedOn w:val="Normal"/>
    <w:uiPriority w:val="99"/>
    <w:rsid w:val="00BE4C99"/>
    <w:pPr>
      <w:numPr>
        <w:numId w:val="14"/>
      </w:numPr>
      <w:tabs>
        <w:tab w:val="left" w:pos="1021"/>
      </w:tabs>
      <w:spacing w:before="120"/>
    </w:pPr>
  </w:style>
  <w:style w:type="paragraph" w:styleId="ListNumber5">
    <w:name w:val="List Number 4"/>
    <w:basedOn w:val="Normal"/>
    <w:uiPriority w:val="99"/>
    <w:rsid w:val="00BE4C99"/>
    <w:pPr>
      <w:numPr>
        <w:numId w:val="7"/>
      </w:numPr>
      <w:tabs>
        <w:tab w:val="left" w:pos="1701"/>
      </w:tabs>
      <w:spacing w:before="120"/>
    </w:pPr>
  </w:style>
  <w:style w:type="paragraph" w:styleId="ACCCTable1">
    <w:name w:val="List Number 5"/>
    <w:basedOn w:val="Normal"/>
    <w:uiPriority w:val="99"/>
    <w:rsid w:val="00BE4C99"/>
    <w:pPr>
      <w:numPr>
        <w:numId w:val="8"/>
      </w:numPr>
      <w:spacing w:before="120"/>
    </w:pPr>
  </w:style>
  <w:style w:type="table" w:customStyle="1" w:styleId="Tabletext-right">
    <w:name w:val="ACCC Table1"/>
    <w:basedOn w:val="TableNormal"/>
    <w:next w:val="LightShading1"/>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centred">
    <w:name w:val="Table text - right"/>
    <w:basedOn w:val="Tabletext"/>
    <w:link w:val="TabletextChar"/>
    <w:rsid w:val="00063247"/>
    <w:pPr>
      <w:jc w:val="right"/>
    </w:pPr>
    <w:rPr>
      <w:rFonts w:eastAsia="Times New Roman" w:cs="Times New Roman"/>
      <w:szCs w:val="20"/>
    </w:rPr>
  </w:style>
  <w:style w:type="paragraph" w:customStyle="1" w:styleId="TableHeading-right">
    <w:name w:val="Table text - centred"/>
    <w:basedOn w:val="Tabletext-centred"/>
    <w:link w:val="TableHeading-centred"/>
    <w:rsid w:val="00063247"/>
    <w:pPr>
      <w:jc w:val="center"/>
    </w:pPr>
  </w:style>
  <w:style w:type="paragraph" w:customStyle="1" w:styleId="Tabletext-rightChar">
    <w:name w:val="Table Heading - right"/>
    <w:basedOn w:val="Normal"/>
    <w:link w:val="Tabletext-centred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Char">
    <w:name w:val="Table text - right Char"/>
    <w:basedOn w:val="TableHeading-rightChar"/>
    <w:link w:val="Tabletext-centred"/>
    <w:rsid w:val="00063247"/>
    <w:rPr>
      <w:rFonts w:ascii="Arial" w:eastAsia="Times New Roman" w:hAnsi="Arial" w:cs="Times New Roman"/>
      <w:sz w:val="20"/>
      <w:szCs w:val="20"/>
    </w:rPr>
  </w:style>
  <w:style w:type="character" w:customStyle="1" w:styleId="TableHeading-rightChar">
    <w:name w:val="Table text Char"/>
    <w:basedOn w:val="DefaultParagraphFont"/>
    <w:link w:val="Tabletext"/>
    <w:uiPriority w:val="1"/>
    <w:rsid w:val="00584D8F"/>
    <w:rPr>
      <w:rFonts w:ascii="Arial" w:hAnsi="Arial"/>
      <w:sz w:val="20"/>
    </w:rPr>
  </w:style>
  <w:style w:type="character" w:customStyle="1" w:styleId="Tabletext-centredChar">
    <w:name w:val="Table Heading - right Char"/>
    <w:basedOn w:val="DefaultParagraphFont"/>
    <w:link w:val="Tabletext-rightChar"/>
    <w:rsid w:val="00D64AF7"/>
    <w:rPr>
      <w:rFonts w:ascii="Lucida Fax" w:eastAsia="Times New Roman" w:hAnsi="Lucida Fax" w:cs="Times New Roman"/>
      <w:color w:val="51626F"/>
      <w:sz w:val="32"/>
      <w:szCs w:val="20"/>
    </w:rPr>
  </w:style>
  <w:style w:type="character" w:customStyle="1" w:styleId="TableHeading-centred">
    <w:name w:val="Table text - centred Char"/>
    <w:basedOn w:val="TabletextChar"/>
    <w:link w:val="TableHeading-right"/>
    <w:rsid w:val="00063247"/>
    <w:rPr>
      <w:rFonts w:ascii="Arial" w:eastAsia="Times New Roman" w:hAnsi="Arial" w:cs="Times New Roman"/>
      <w:sz w:val="20"/>
      <w:szCs w:val="20"/>
    </w:rPr>
  </w:style>
  <w:style w:type="paragraph" w:customStyle="1" w:styleId="EndnoteTextChar">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TableofFigures">
    <w:name w:val="Endnote Text Char"/>
    <w:basedOn w:val="DefaultParagraphFont"/>
    <w:link w:val="EndnoteText"/>
    <w:uiPriority w:val="99"/>
    <w:rsid w:val="00334C8D"/>
    <w:rPr>
      <w:rFonts w:ascii="Arial" w:hAnsi="Arial"/>
      <w:sz w:val="20"/>
      <w:szCs w:val="20"/>
    </w:rPr>
  </w:style>
  <w:style w:type="paragraph" w:styleId="ACCCTable3">
    <w:name w:val="table of figures"/>
    <w:basedOn w:val="Normal"/>
    <w:next w:val="Normal"/>
    <w:uiPriority w:val="99"/>
    <w:unhideWhenUsed/>
    <w:rsid w:val="00676679"/>
    <w:pPr>
      <w:spacing w:before="240" w:after="120"/>
    </w:pPr>
  </w:style>
  <w:style w:type="table" w:customStyle="1" w:styleId="EndnoteReference">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Numberedparagraph11">
    <w:name w:val="endnote reference"/>
    <w:basedOn w:val="DefaultParagraphFont"/>
    <w:uiPriority w:val="99"/>
    <w:rsid w:val="00E4674F"/>
    <w:rPr>
      <w:rFonts w:ascii="Arial" w:hAnsi="Arial"/>
      <w:sz w:val="16"/>
      <w:vertAlign w:val="superscript"/>
    </w:rPr>
  </w:style>
  <w:style w:type="paragraph" w:customStyle="1" w:styleId="Numbered1Char">
    <w:name w:val="Numbered paragraph 1.1"/>
    <w:basedOn w:val="Numbered11"/>
    <w:qFormat/>
    <w:rsid w:val="009F2BE5"/>
    <w:pPr>
      <w:ind w:left="680" w:hanging="680"/>
      <w:outlineLvl w:val="9"/>
    </w:pPr>
    <w:rPr>
      <w:b w:val="0"/>
      <w:bCs w:val="0"/>
      <w:color w:val="auto"/>
      <w:sz w:val="22"/>
    </w:rPr>
  </w:style>
  <w:style w:type="character" w:customStyle="1" w:styleId="Numberedparagraph">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Listalphabet2">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3">
    <w:name w:val="List alphabet 2"/>
    <w:rsid w:val="00CF799E"/>
    <w:pPr>
      <w:numPr>
        <w:numId w:val="13"/>
      </w:numPr>
      <w:tabs>
        <w:tab w:val="left" w:pos="680"/>
      </w:tabs>
      <w:spacing w:before="120"/>
    </w:pPr>
    <w:rPr>
      <w:rFonts w:ascii="Arial" w:hAnsi="Arial"/>
    </w:rPr>
  </w:style>
  <w:style w:type="paragraph" w:customStyle="1" w:styleId="Listalphabet4">
    <w:name w:val="List alphabet 3"/>
    <w:rsid w:val="00CF799E"/>
    <w:pPr>
      <w:numPr>
        <w:numId w:val="19"/>
      </w:numPr>
      <w:tabs>
        <w:tab w:val="left" w:pos="1021"/>
      </w:tabs>
      <w:spacing w:before="120"/>
    </w:pPr>
    <w:rPr>
      <w:rFonts w:ascii="Arial" w:hAnsi="Arial"/>
    </w:rPr>
  </w:style>
  <w:style w:type="paragraph" w:customStyle="1" w:styleId="Listalphabet5">
    <w:name w:val="List alphabet 4"/>
    <w:rsid w:val="00CF799E"/>
    <w:pPr>
      <w:numPr>
        <w:numId w:val="20"/>
      </w:numPr>
      <w:tabs>
        <w:tab w:val="left" w:pos="1361"/>
      </w:tabs>
      <w:spacing w:before="120"/>
    </w:pPr>
    <w:rPr>
      <w:rFonts w:ascii="Arial" w:hAnsi="Arial"/>
    </w:rPr>
  </w:style>
  <w:style w:type="paragraph" w:customStyle="1" w:styleId="ListContinue5">
    <w:name w:val="List alphabet 5"/>
    <w:rsid w:val="00CF799E"/>
    <w:pPr>
      <w:numPr>
        <w:numId w:val="21"/>
      </w:numPr>
      <w:tabs>
        <w:tab w:val="left" w:pos="1701"/>
      </w:tabs>
      <w:spacing w:before="120"/>
    </w:pPr>
    <w:rPr>
      <w:rFonts w:ascii="Arial" w:hAnsi="Arial"/>
    </w:rPr>
  </w:style>
  <w:style w:type="paragraph" w:styleId="Listalphabet">
    <w:name w:val="List Continue 5"/>
    <w:basedOn w:val="Normal"/>
    <w:uiPriority w:val="99"/>
    <w:rsid w:val="00DC542F"/>
    <w:pPr>
      <w:tabs>
        <w:tab w:val="left" w:pos="1701"/>
      </w:tabs>
      <w:spacing w:before="120"/>
      <w:ind w:left="1701"/>
    </w:pPr>
  </w:style>
  <w:style w:type="paragraph" w:customStyle="1" w:styleId="NoteHeading">
    <w:name w:val="List alphabet"/>
    <w:qFormat/>
    <w:rsid w:val="003459E6"/>
    <w:pPr>
      <w:numPr>
        <w:numId w:val="22"/>
      </w:numPr>
      <w:tabs>
        <w:tab w:val="left" w:pos="340"/>
      </w:tabs>
      <w:spacing w:before="120"/>
    </w:pPr>
    <w:rPr>
      <w:rFonts w:ascii="Arial" w:hAnsi="Arial"/>
    </w:rPr>
  </w:style>
  <w:style w:type="paragraph" w:styleId="NoteHeadingChar">
    <w:name w:val="Note Heading"/>
    <w:basedOn w:val="Normal"/>
    <w:next w:val="Normal"/>
    <w:link w:val="SubtleReference"/>
    <w:uiPriority w:val="99"/>
    <w:semiHidden/>
    <w:unhideWhenUsed/>
    <w:rsid w:val="00F61B84"/>
    <w:pPr>
      <w:spacing w:before="0"/>
    </w:pPr>
  </w:style>
  <w:style w:type="character" w:customStyle="1" w:styleId="SubtleReference">
    <w:name w:val="Note Heading Char"/>
    <w:basedOn w:val="DefaultParagraphFont"/>
    <w:link w:val="NoteHeadingChar"/>
    <w:uiPriority w:val="99"/>
    <w:semiHidden/>
    <w:rsid w:val="00F61B84"/>
    <w:rPr>
      <w:rFonts w:ascii="Arial" w:hAnsi="Arial"/>
    </w:rPr>
  </w:style>
  <w:style w:type="character" w:styleId="ListLegal">
    <w:name w:val="Subtle Reference"/>
    <w:basedOn w:val="DefaultParagraphFont"/>
    <w:uiPriority w:val="31"/>
    <w:unhideWhenUsed/>
    <w:rsid w:val="00B60F5D"/>
    <w:rPr>
      <w:smallCaps/>
      <w:color w:val="4F2D7D" w:themeColor="accent2"/>
      <w:u w:val="single"/>
    </w:rPr>
  </w:style>
  <w:style w:type="paragraph" w:customStyle="1" w:styleId="ListLegal2">
    <w:name w:val="List Legal"/>
    <w:basedOn w:val="Heading7Char"/>
    <w:rsid w:val="00CF799E"/>
    <w:pPr>
      <w:numPr>
        <w:numId w:val="25"/>
      </w:numPr>
      <w:tabs>
        <w:tab w:val="clear" w:pos="340"/>
        <w:tab w:val="left" w:pos="680"/>
      </w:tabs>
    </w:pPr>
  </w:style>
  <w:style w:type="paragraph" w:customStyle="1" w:styleId="ListLegal3">
    <w:name w:val="List Legal 2"/>
    <w:basedOn w:val="ListLegal2"/>
    <w:rsid w:val="00C06739"/>
    <w:pPr>
      <w:numPr>
        <w:numId w:val="16"/>
      </w:numPr>
      <w:tabs>
        <w:tab w:val="clear" w:pos="680"/>
        <w:tab w:val="left" w:pos="1021"/>
      </w:tabs>
    </w:pPr>
  </w:style>
  <w:style w:type="paragraph" w:customStyle="1" w:styleId="ListLegal4">
    <w:name w:val="List Legal 3"/>
    <w:basedOn w:val="ListNumber4"/>
    <w:rsid w:val="00CF799E"/>
    <w:pPr>
      <w:numPr>
        <w:numId w:val="15"/>
      </w:numPr>
      <w:tabs>
        <w:tab w:val="clear" w:pos="1021"/>
        <w:tab w:val="left" w:pos="1361"/>
      </w:tabs>
    </w:pPr>
  </w:style>
  <w:style w:type="paragraph" w:customStyle="1" w:styleId="ListLegal5">
    <w:name w:val="List Legal 4"/>
    <w:basedOn w:val="ListLegal4"/>
    <w:rsid w:val="00CF799E"/>
    <w:pPr>
      <w:numPr>
        <w:numId w:val="17"/>
      </w:numPr>
      <w:tabs>
        <w:tab w:val="clear" w:pos="1361"/>
        <w:tab w:val="left" w:pos="1701"/>
      </w:tabs>
    </w:pPr>
  </w:style>
  <w:style w:type="paragraph" w:customStyle="1" w:styleId="LegalNumbering">
    <w:name w:val="List Legal 5"/>
    <w:basedOn w:val="ListLegal5"/>
    <w:rsid w:val="000F2368"/>
    <w:pPr>
      <w:numPr>
        <w:numId w:val="26"/>
      </w:numPr>
      <w:tabs>
        <w:tab w:val="clear" w:pos="1701"/>
        <w:tab w:val="left" w:pos="2041"/>
      </w:tabs>
    </w:pPr>
  </w:style>
  <w:style w:type="paragraph" w:customStyle="1" w:styleId="LightShading11">
    <w:name w:val="Legal Numbering"/>
    <w:basedOn w:val="Normal"/>
    <w:qFormat/>
    <w:rsid w:val="0002115F"/>
    <w:pPr>
      <w:numPr>
        <w:numId w:val="18"/>
      </w:numPr>
      <w:tabs>
        <w:tab w:val="left" w:pos="340"/>
        <w:tab w:val="left" w:pos="680"/>
        <w:tab w:val="left" w:pos="1021"/>
        <w:tab w:val="left" w:pos="1361"/>
      </w:tabs>
    </w:pPr>
  </w:style>
  <w:style w:type="table" w:customStyle="1" w:styleId="CommentReference">
    <w:name w:val="Light Shading11"/>
    <w:basedOn w:val="TableNormal"/>
    <w:next w:val="LightShading-Accent11"/>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Text">
    <w:name w:val="annotation reference"/>
    <w:basedOn w:val="DefaultParagraphFont"/>
    <w:uiPriority w:val="99"/>
    <w:semiHidden/>
    <w:unhideWhenUsed/>
    <w:rsid w:val="00CD4F9B"/>
    <w:rPr>
      <w:sz w:val="16"/>
      <w:szCs w:val="16"/>
    </w:rPr>
  </w:style>
  <w:style w:type="paragraph" w:styleId="CommentTextChar">
    <w:name w:val="annotation text"/>
    <w:basedOn w:val="Normal"/>
    <w:link w:val="CommentSubject"/>
    <w:uiPriority w:val="99"/>
    <w:semiHidden/>
    <w:unhideWhenUsed/>
    <w:rsid w:val="00CD4F9B"/>
    <w:rPr>
      <w:sz w:val="20"/>
      <w:szCs w:val="20"/>
    </w:rPr>
  </w:style>
  <w:style w:type="character" w:customStyle="1" w:styleId="CommentSubject">
    <w:name w:val="Comment Text Char"/>
    <w:basedOn w:val="DefaultParagraphFont"/>
    <w:link w:val="CommentTextChar"/>
    <w:uiPriority w:val="99"/>
    <w:semiHidden/>
    <w:rsid w:val="00CD4F9B"/>
    <w:rPr>
      <w:rFonts w:ascii="Arial" w:hAnsi="Arial"/>
      <w:sz w:val="20"/>
      <w:szCs w:val="20"/>
    </w:rPr>
  </w:style>
  <w:style w:type="paragraph" w:styleId="CommentSubjectChar">
    <w:name w:val="annotation subject"/>
    <w:basedOn w:val="CommentTextChar"/>
    <w:next w:val="CommentTextChar"/>
    <w:link w:val="Default"/>
    <w:uiPriority w:val="99"/>
    <w:semiHidden/>
    <w:unhideWhenUsed/>
    <w:rsid w:val="00CD4F9B"/>
    <w:rPr>
      <w:b/>
      <w:bCs/>
    </w:rPr>
  </w:style>
  <w:style w:type="character" w:customStyle="1" w:styleId="Default">
    <w:name w:val="Comment Subject Char"/>
    <w:basedOn w:val="CommentSubject"/>
    <w:link w:val="CommentSubjectChar"/>
    <w:uiPriority w:val="99"/>
    <w:semiHidden/>
    <w:rsid w:val="00CD4F9B"/>
    <w:rPr>
      <w:rFonts w:ascii="Arial" w:hAnsi="Arial"/>
      <w:b/>
      <w:bCs/>
      <w:sz w:val="20"/>
      <w:szCs w:val="20"/>
    </w:rPr>
  </w:style>
  <w:style w:type="paragraph" w:customStyle="1" w:styleId="Revision">
    <w:name w:val="Default"/>
    <w:rsid w:val="00385B1B"/>
    <w:pPr>
      <w:autoSpaceDE w:val="0"/>
      <w:autoSpaceDN w:val="0"/>
      <w:adjustRightInd w:val="0"/>
      <w:spacing w:before="0"/>
    </w:pPr>
    <w:rPr>
      <w:rFonts w:ascii="Arial" w:hAnsi="Arial" w:cs="Arial"/>
      <w:color w:val="000000"/>
      <w:sz w:val="24"/>
      <w:szCs w:val="24"/>
    </w:rPr>
  </w:style>
  <w:style w:type="paragraph" w:styleId="FindingBullet">
    <w:name w:val="Revision"/>
    <w:hidden/>
    <w:uiPriority w:val="99"/>
    <w:semiHidden/>
    <w:rsid w:val="000948FA"/>
    <w:pPr>
      <w:spacing w:before="0"/>
    </w:pPr>
    <w:rPr>
      <w:rFonts w:ascii="Arial" w:hAnsi="Arial"/>
    </w:rPr>
  </w:style>
  <w:style w:type="character" w:customStyle="1" w:styleId="BodyText">
    <w:name w:val="List Paragraph Char"/>
    <w:aliases w:val="Dot point list Char,List Paragraph1 Char,NFP GP Bulleted List Char,List Paragraph11 Char,List Paragraph2 Char,FooterText Char,numbered Char,Paragraphe de liste1 Char,Bulletr List Paragraph Char,列出段落 Char,列出段落1 Char,Listeafsnit1 Char"/>
    <w:link w:val="Heading7Char"/>
    <w:uiPriority w:val="34"/>
    <w:locked/>
    <w:rsid w:val="00A335A3"/>
    <w:rPr>
      <w:rFonts w:ascii="Arial" w:hAnsi="Arial"/>
    </w:rPr>
  </w:style>
  <w:style w:type="paragraph" w:customStyle="1" w:styleId="BodyTextChar">
    <w:name w:val="Pa3"/>
    <w:basedOn w:val="Revision"/>
    <w:next w:val="Revision"/>
    <w:uiPriority w:val="99"/>
    <w:rsid w:val="00A335A3"/>
    <w:pPr>
      <w:spacing w:line="171" w:lineRule="atLeast"/>
    </w:pPr>
    <w:rPr>
      <w:rFonts w:ascii="Gotham Light" w:hAnsi="Gotham Light" w:cstheme="minorBidi"/>
      <w:color w:val="auto"/>
    </w:rPr>
  </w:style>
  <w:style w:type="paragraph" w:customStyle="1" w:styleId="FollowedHyperlink">
    <w:name w:val="Information Request"/>
    <w:basedOn w:val="Normal"/>
    <w:next w:val="Heading4-boxed"/>
    <w:rsid w:val="00A810AC"/>
    <w:pPr>
      <w:keepLines/>
      <w:spacing w:before="120" w:line="280" w:lineRule="atLeast"/>
      <w:jc w:val="both"/>
    </w:pPr>
    <w:rPr>
      <w:rFonts w:eastAsia="Times New Roman" w:cs="Times New Roman"/>
      <w:i/>
      <w:szCs w:val="20"/>
      <w:lang w:eastAsia="en-AU"/>
    </w:rPr>
  </w:style>
  <w:style w:type="paragraph" w:customStyle="1" w:styleId="LightShading2">
    <w:name w:val="Finding Bullet"/>
    <w:basedOn w:val="Normal"/>
    <w:rsid w:val="00A810AC"/>
    <w:pPr>
      <w:keepLines/>
      <w:spacing w:before="80" w:line="280" w:lineRule="atLeast"/>
      <w:ind w:left="360" w:hanging="360"/>
      <w:jc w:val="both"/>
    </w:pPr>
    <w:rPr>
      <w:rFonts w:eastAsia="Times New Roman" w:cs="Times New Roman"/>
      <w:szCs w:val="20"/>
      <w:lang w:eastAsia="en-AU"/>
    </w:rPr>
  </w:style>
  <w:style w:type="paragraph" w:styleId="Heading4-boxed">
    <w:name w:val="Body Text"/>
    <w:basedOn w:val="Normal"/>
    <w:link w:val="Informationrequest"/>
    <w:uiPriority w:val="99"/>
    <w:semiHidden/>
    <w:unhideWhenUsed/>
    <w:rsid w:val="00A810AC"/>
    <w:pPr>
      <w:spacing w:after="120"/>
    </w:pPr>
  </w:style>
  <w:style w:type="character" w:customStyle="1" w:styleId="Informationrequest">
    <w:name w:val="Body Text Char"/>
    <w:basedOn w:val="DefaultParagraphFont"/>
    <w:link w:val="Heading4-boxed"/>
    <w:uiPriority w:val="99"/>
    <w:semiHidden/>
    <w:rsid w:val="00A810AC"/>
    <w:rPr>
      <w:rFonts w:ascii="Arial" w:hAnsi="Arial"/>
    </w:rPr>
  </w:style>
  <w:style w:type="character" w:styleId="FollowedHyperlink0">
    <w:name w:val="FollowedHyperlink"/>
    <w:basedOn w:val="DefaultParagraphFont"/>
    <w:uiPriority w:val="99"/>
    <w:semiHidden/>
    <w:unhideWhenUsed/>
    <w:rsid w:val="00661F18"/>
    <w:rPr>
      <w:color w:val="800080" w:themeColor="followedHyperlink"/>
      <w:u w:val="single"/>
    </w:rPr>
  </w:style>
  <w:style w:type="table" w:customStyle="1" w:styleId="LightShading20">
    <w:name w:val="Light Shading2"/>
    <w:basedOn w:val="TableNormal"/>
    <w:next w:val="LightShading-Accent11"/>
    <w:uiPriority w:val="60"/>
    <w:rsid w:val="001B7CBA"/>
    <w:pPr>
      <w:spacing w:befor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8566">
      <w:bodyDiv w:val="1"/>
      <w:marLeft w:val="0"/>
      <w:marRight w:val="0"/>
      <w:marTop w:val="0"/>
      <w:marBottom w:val="0"/>
      <w:divBdr>
        <w:top w:val="none" w:sz="0" w:space="0" w:color="auto"/>
        <w:left w:val="none" w:sz="0" w:space="0" w:color="auto"/>
        <w:bottom w:val="none" w:sz="0" w:space="0" w:color="auto"/>
        <w:right w:val="none" w:sz="0" w:space="0" w:color="auto"/>
      </w:divBdr>
    </w:div>
    <w:div w:id="73755162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35679022">
      <w:bodyDiv w:val="1"/>
      <w:marLeft w:val="0"/>
      <w:marRight w:val="0"/>
      <w:marTop w:val="0"/>
      <w:marBottom w:val="0"/>
      <w:divBdr>
        <w:top w:val="none" w:sz="0" w:space="0" w:color="auto"/>
        <w:left w:val="none" w:sz="0" w:space="0" w:color="auto"/>
        <w:bottom w:val="none" w:sz="0" w:space="0" w:color="auto"/>
        <w:right w:val="none" w:sz="0" w:space="0" w:color="auto"/>
      </w:divBdr>
    </w:div>
    <w:div w:id="1540052127">
      <w:bodyDiv w:val="1"/>
      <w:marLeft w:val="0"/>
      <w:marRight w:val="0"/>
      <w:marTop w:val="0"/>
      <w:marBottom w:val="0"/>
      <w:divBdr>
        <w:top w:val="none" w:sz="0" w:space="0" w:color="auto"/>
        <w:left w:val="none" w:sz="0" w:space="0" w:color="auto"/>
        <w:bottom w:val="none" w:sz="0" w:space="0" w:color="auto"/>
        <w:right w:val="none" w:sz="0" w:space="0" w:color="auto"/>
      </w:divBdr>
    </w:div>
    <w:div w:id="15530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c.gov.au/system/files/ACCC%20Statement%20of%20Intent%20-%2026%20June%202014.pdf%20" TargetMode="External"/><Relationship Id="rId18" Type="http://schemas.openxmlformats.org/officeDocument/2006/relationships/hyperlink" Target="http://consumerlaw.gov.au/australian-consumer-surve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accc.gov.au/system/files/ACCC_Statement_of_expectations.pdf" TargetMode="External"/><Relationship Id="rId17" Type="http://schemas.openxmlformats.org/officeDocument/2006/relationships/hyperlink" Target="https://www.accc.gov.au/system/files/ACCC%20self-assessment%20methodology%2C%20measures%20and%20evidence%20for%20the%20Regulator%20Performance%20Framework.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uttingredtape.gov.au/resources/rp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publications/compliance-and-enforcement-policy"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www.accc.gov.au/publications/acccount"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accc.gov.au/system/files/ACCC_Statement_of_expectation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ccc.gov.au/publications/accc-aer-annual-report"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nsumeraction.org.au/new-report-regulator-watch/calc-regulator-report-final-eversion/" TargetMode="External"/><Relationship Id="rId13" Type="http://schemas.openxmlformats.org/officeDocument/2006/relationships/hyperlink" Target="https://www.accc.gov.au/system/files/979_Annual%20Report_2014-15_web_FA_1.pdf" TargetMode="External"/><Relationship Id="rId3" Type="http://schemas.openxmlformats.org/officeDocument/2006/relationships/hyperlink" Target="https://www.accc.gov.au/system/files/ACCC_Statement_of_expectations.pdf" TargetMode="External"/><Relationship Id="rId7" Type="http://schemas.openxmlformats.org/officeDocument/2006/relationships/hyperlink" Target="https://www.accc.gov.au/publications/acccount" TargetMode="External"/><Relationship Id="rId12" Type="http://schemas.openxmlformats.org/officeDocument/2006/relationships/hyperlink" Target="https://www.accc.gov.au/system/files/ACCC%20Submission%20to%20the%202016%20White%20Collar%20Crime%20Penalties%20Inquiry.pdf" TargetMode="External"/><Relationship Id="rId2" Type="http://schemas.openxmlformats.org/officeDocument/2006/relationships/hyperlink" Target="http://www.accc.gov.au/publications/compliance-and-enforcement-policy%20" TargetMode="External"/><Relationship Id="rId1" Type="http://schemas.openxmlformats.org/officeDocument/2006/relationships/hyperlink" Target="https://www.accc.gov.au/system/files/979_Annual%20Report_2014-15_web_FA_1.pdf" TargetMode="External"/><Relationship Id="rId6" Type="http://schemas.openxmlformats.org/officeDocument/2006/relationships/hyperlink" Target="https://www.accc.gov.au/publications/accc-aer-annual-report" TargetMode="External"/><Relationship Id="rId11" Type="http://schemas.openxmlformats.org/officeDocument/2006/relationships/hyperlink" Target="http://consumerlaw.gov.au/files/2016/03/ACLreview_issues_paper.pdf" TargetMode="External"/><Relationship Id="rId5" Type="http://schemas.openxmlformats.org/officeDocument/2006/relationships/hyperlink" Target="https://www.anao.gov.au/work/performance-audit/managing-compliance-fair-trading-obligations" TargetMode="External"/><Relationship Id="rId15" Type="http://schemas.openxmlformats.org/officeDocument/2006/relationships/hyperlink" Target="https://www.accc.gov.au/system/files/ACCC_Statement_of_expectations.pdf" TargetMode="External"/><Relationship Id="rId10" Type="http://schemas.openxmlformats.org/officeDocument/2006/relationships/hyperlink" Target="https://www.accc.gov.au/system/files/ACCC%20self-assessment%20methodology%2C%20measures%20and%20evidence%20for%20the%20Regulator%20Performance%20Framework.pdf" TargetMode="External"/><Relationship Id="rId4" Type="http://schemas.openxmlformats.org/officeDocument/2006/relationships/hyperlink" Target="https://www.accc.gov.au/system/files/ACCC%20Statement%20of%20Intent%20-%2026%20June%202014.pdf" TargetMode="External"/><Relationship Id="rId9" Type="http://schemas.openxmlformats.org/officeDocument/2006/relationships/hyperlink" Target="http://consumerlaw.gov.au/review-of-the-australian-consumer-law/have-your-say/issues-paper/" TargetMode="External"/><Relationship Id="rId14" Type="http://schemas.openxmlformats.org/officeDocument/2006/relationships/hyperlink" Target="http://consumerlaw.gov.au/australian-consumer-survey/"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C7FD9-80E9-4BF9-9AB3-FBBE7E33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8EEE5955</Template>
  <TotalTime>0</TotalTime>
  <Pages>25</Pages>
  <Words>10811</Words>
  <Characters>61626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2016-08-31T03:44:00Z</dcterms:created>
  <dcterms:modified xsi:type="dcterms:W3CDTF">2016-08-31T03:47:00Z</dcterms:modified>
</cp:coreProperties>
</file>