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36D9" w:rsidRDefault="00AB36D9" w:rsidP="00AB36D9">
      <w:r>
        <w:rPr>
          <w:noProof/>
          <w:lang w:eastAsia="en-AU"/>
        </w:rPr>
        <mc:AlternateContent>
          <mc:Choice Requires="wps">
            <w:drawing>
              <wp:anchor distT="0" distB="0" distL="114300" distR="114300" simplePos="0" relativeHeight="251661312" behindDoc="1" locked="0" layoutInCell="1" allowOverlap="1" wp14:anchorId="49A9D0D1" wp14:editId="12BCB22D">
                <wp:simplePos x="0" y="0"/>
                <wp:positionH relativeFrom="column">
                  <wp:posOffset>-657225</wp:posOffset>
                </wp:positionH>
                <wp:positionV relativeFrom="paragraph">
                  <wp:posOffset>-559435</wp:posOffset>
                </wp:positionV>
                <wp:extent cx="7058025" cy="10163175"/>
                <wp:effectExtent l="0" t="0" r="9525" b="9525"/>
                <wp:wrapNone/>
                <wp:docPr id="35" name="Rectangle 35"/>
                <wp:cNvGraphicFramePr/>
                <a:graphic xmlns:a="http://schemas.openxmlformats.org/drawingml/2006/main">
                  <a:graphicData uri="http://schemas.microsoft.com/office/word/2010/wordprocessingShape">
                    <wps:wsp>
                      <wps:cNvSpPr/>
                      <wps:spPr>
                        <a:xfrm>
                          <a:off x="0" y="0"/>
                          <a:ext cx="7058025" cy="10163175"/>
                        </a:xfrm>
                        <a:prstGeom prst="rect">
                          <a:avLst/>
                        </a:prstGeom>
                        <a:solidFill>
                          <a:srgbClr val="D5D6D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5" o:spid="_x0000_s1026" style="position:absolute;margin-left:-51.75pt;margin-top:-44.05pt;width:555.75pt;height:800.25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" fillcolor="#d5d6d2" stroked="f" strokeweight="2pt"/>
            </w:pict>
          </mc:Fallback>
        </mc:AlternateContent>
      </w:r>
      <w:r>
        <w:rPr>
          <w:noProof/>
          <w:lang w:eastAsia="en-AU"/>
        </w:rPr>
        <w:drawing>
          <wp:inline distT="0" distB="0" distL="0" distR="0" wp14:anchorId="6C0C306D" wp14:editId="2AAABBC3">
            <wp:extent cx="2969479" cy="664234"/>
            <wp:effectExtent l="0" t="0" r="2540" b="2540"/>
            <wp:docPr id="36" name="Picture 36" title="AC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C+GovtCrest_PMS286_CMYK.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67389" cy="663766"/>
                    </a:xfrm>
                    <a:prstGeom prst="rect">
                      <a:avLst/>
                    </a:prstGeom>
                  </pic:spPr>
                </pic:pic>
              </a:graphicData>
            </a:graphic>
          </wp:inline>
        </w:drawing>
      </w:r>
    </w:p>
    <w:p w:rsidR="00AB36D9" w:rsidRPr="005E6C0E" w:rsidRDefault="00AB36D9" w:rsidP="00AB36D9"/>
    <w:tbl>
      <w:tblPr>
        <w:tblStyle w:val="TableGrid"/>
        <w:tblW w:w="0" w:type="auto"/>
        <w:tblBorders>
          <w:top w:val="none" w:sz="0" w:space="0" w:color="auto"/>
          <w:bottom w:val="none" w:sz="0" w:space="0" w:color="auto"/>
        </w:tblBorders>
        <w:tblLook w:val="0400" w:firstRow="0" w:lastRow="0" w:firstColumn="0" w:lastColumn="0" w:noHBand="0" w:noVBand="1"/>
      </w:tblPr>
      <w:tblGrid>
        <w:gridCol w:w="9242"/>
      </w:tblGrid>
      <w:tr w:rsidR="00AB36D9" w:rsidRPr="00C755AD" w:rsidTr="00AB36D9">
        <w:trPr>
          <w:trHeight w:val="3135"/>
        </w:trPr>
        <w:tc>
          <w:tcPr>
            <w:tcW w:w="9242" w:type="dxa"/>
          </w:tcPr>
          <w:p w:rsidR="00AB36D9" w:rsidRPr="00C755AD" w:rsidRDefault="00AB36D9" w:rsidP="00AB36D9">
            <w:pPr>
              <w:spacing w:before="720"/>
              <w:contextualSpacing/>
              <w:outlineLvl w:val="0"/>
              <w:rPr>
                <w:rFonts w:asciiTheme="majorHAnsi" w:eastAsiaTheme="majorEastAsia" w:hAnsiTheme="majorHAnsi" w:cstheme="majorBidi"/>
                <w:color w:val="4F2D7D" w:themeColor="accent2"/>
                <w:spacing w:val="5"/>
                <w:kern w:val="28"/>
                <w:sz w:val="72"/>
                <w:szCs w:val="52"/>
              </w:rPr>
            </w:pPr>
          </w:p>
        </w:tc>
      </w:tr>
      <w:tr w:rsidR="00AB36D9" w:rsidRPr="00C755AD" w:rsidTr="00AB36D9">
        <w:tc>
          <w:tcPr>
            <w:tcW w:w="9242" w:type="dxa"/>
          </w:tcPr>
          <w:p w:rsidR="00AB36D9" w:rsidRPr="00FA3F97" w:rsidRDefault="00557347" w:rsidP="00065469">
            <w:pPr>
              <w:pStyle w:val="Title"/>
              <w:rPr>
                <w:sz w:val="48"/>
                <w:szCs w:val="72"/>
              </w:rPr>
            </w:pPr>
            <w:bookmarkStart w:id="0" w:name="_Toc409084892"/>
            <w:bookmarkStart w:id="1" w:name="_Toc409702751"/>
            <w:bookmarkStart w:id="2" w:name="_Toc409703039"/>
            <w:bookmarkStart w:id="3" w:name="_Toc409705271"/>
            <w:bookmarkStart w:id="4" w:name="_Toc417041182"/>
            <w:bookmarkStart w:id="5" w:name="_Toc417460212"/>
            <w:r w:rsidRPr="00FA3F97">
              <w:rPr>
                <w:sz w:val="52"/>
                <w:szCs w:val="72"/>
              </w:rPr>
              <w:t>Report to the Minister pursuant to s 60J of the Competition and Consumer Act 2010</w:t>
            </w:r>
            <w:bookmarkEnd w:id="0"/>
            <w:bookmarkEnd w:id="1"/>
            <w:bookmarkEnd w:id="2"/>
            <w:bookmarkEnd w:id="3"/>
            <w:bookmarkEnd w:id="4"/>
            <w:bookmarkEnd w:id="5"/>
            <w:r w:rsidRPr="00FA3F97">
              <w:rPr>
                <w:sz w:val="52"/>
                <w:szCs w:val="72"/>
              </w:rPr>
              <w:t xml:space="preserve"> </w:t>
            </w:r>
          </w:p>
        </w:tc>
      </w:tr>
      <w:tr w:rsidR="00AB36D9" w:rsidRPr="00C755AD" w:rsidTr="00AB36D9">
        <w:tc>
          <w:tcPr>
            <w:tcW w:w="9242" w:type="dxa"/>
          </w:tcPr>
          <w:p w:rsidR="00AB36D9" w:rsidRPr="00C755AD" w:rsidRDefault="00557347" w:rsidP="00557347">
            <w:pPr>
              <w:pStyle w:val="Subtitle"/>
            </w:pPr>
            <w:r w:rsidRPr="00FA3F97">
              <w:rPr>
                <w:sz w:val="36"/>
                <w:szCs w:val="36"/>
              </w:rPr>
              <w:t>Information about the ACCC’s operations during the March 2015 quarter relating to the carbon tax price reduction obligation</w:t>
            </w:r>
          </w:p>
        </w:tc>
      </w:tr>
      <w:tr w:rsidR="00AB36D9" w:rsidRPr="00C755AD" w:rsidTr="00AB36D9">
        <w:tc>
          <w:tcPr>
            <w:tcW w:w="9242" w:type="dxa"/>
          </w:tcPr>
          <w:p w:rsidR="00AB36D9" w:rsidRPr="00C755AD" w:rsidRDefault="00AB36D9" w:rsidP="00065469">
            <w:pPr>
              <w:pStyle w:val="CoverDate"/>
            </w:pPr>
          </w:p>
          <w:p w:rsidR="00AB36D9" w:rsidRPr="00C755AD" w:rsidRDefault="00AB36D9" w:rsidP="00065469">
            <w:pPr>
              <w:pStyle w:val="CoverDate"/>
            </w:pPr>
            <w:r>
              <w:t>April 2015</w:t>
            </w:r>
          </w:p>
        </w:tc>
      </w:tr>
    </w:tbl>
    <w:p w:rsidR="00AB36D9" w:rsidRPr="003B5A70" w:rsidRDefault="00AB36D9" w:rsidP="00AB36D9">
      <w:pPr>
        <w:tabs>
          <w:tab w:val="left" w:pos="340"/>
          <w:tab w:val="left" w:pos="680"/>
          <w:tab w:val="left" w:pos="1021"/>
          <w:tab w:val="left" w:pos="1361"/>
        </w:tabs>
      </w:pPr>
    </w:p>
    <w:p w:rsidR="00AB36D9" w:rsidRDefault="00AB36D9">
      <w:pPr>
        <w:rPr>
          <w:rFonts w:ascii="Lucida Fax" w:eastAsiaTheme="majorEastAsia" w:hAnsi="Lucida Fax" w:cstheme="majorBidi"/>
          <w:bCs/>
          <w:color w:val="51626F"/>
          <w:sz w:val="32"/>
          <w:szCs w:val="28"/>
        </w:rPr>
      </w:pPr>
      <w:r>
        <w:rPr>
          <w:rFonts w:ascii="Lucida Fax" w:eastAsiaTheme="majorEastAsia" w:hAnsi="Lucida Fax" w:cstheme="majorBidi"/>
          <w:bCs/>
          <w:color w:val="51626F"/>
          <w:sz w:val="32"/>
          <w:szCs w:val="28"/>
        </w:rPr>
        <w:br w:type="page"/>
      </w:r>
    </w:p>
    <w:sdt>
      <w:sdtPr>
        <w:rPr>
          <w:rFonts w:ascii="Arial" w:eastAsiaTheme="minorHAnsi" w:hAnsi="Arial" w:cstheme="minorBidi"/>
          <w:bCs w:val="0"/>
          <w:color w:val="auto"/>
          <w:sz w:val="22"/>
          <w:szCs w:val="22"/>
          <w:lang w:val="en-AU" w:eastAsia="en-US"/>
        </w:rPr>
        <w:id w:val="1535392115"/>
        <w:docPartObj>
          <w:docPartGallery w:val="Table of Contents"/>
          <w:docPartUnique/>
        </w:docPartObj>
      </w:sdtPr>
      <w:sdtEndPr>
        <w:rPr>
          <w:b/>
        </w:rPr>
      </w:sdtEndPr>
      <w:sdtContent>
        <w:p w:rsidR="00AF1CB3" w:rsidRDefault="00D353B4" w:rsidP="0060328E">
          <w:pPr>
            <w:pStyle w:val="TOCHeading"/>
            <w:rPr>
              <w:noProof/>
            </w:rPr>
          </w:pPr>
          <w:r>
            <w:t>Contents</w:t>
          </w:r>
          <w:r>
            <w:rPr>
              <w:noProof/>
            </w:rPr>
            <w:fldChar w:fldCharType="begin"/>
          </w:r>
          <w:r>
            <w:instrText xml:space="preserve"> TOC \o "1-3" \h \z \u \t "Heading 6,1" </w:instrText>
          </w:r>
          <w:r>
            <w:rPr>
              <w:noProof/>
            </w:rPr>
            <w:fldChar w:fldCharType="separate"/>
          </w:r>
        </w:p>
        <w:p w:rsidR="00AF1CB3" w:rsidRDefault="00543B1C">
          <w:pPr>
            <w:pStyle w:val="TOC1"/>
            <w:rPr>
              <w:rFonts w:asciiTheme="minorHAnsi" w:eastAsiaTheme="minorEastAsia" w:hAnsiTheme="minorHAnsi"/>
              <w:lang w:val="en-AU" w:eastAsia="en-AU"/>
            </w:rPr>
          </w:pPr>
          <w:hyperlink w:anchor="_Toc417460213" w:history="1">
            <w:r w:rsidR="00AF1CB3" w:rsidRPr="0029109C">
              <w:rPr>
                <w:rStyle w:val="Hyperlink"/>
              </w:rPr>
              <w:t>Executive Summary</w:t>
            </w:r>
            <w:r w:rsidR="00AF1CB3">
              <w:rPr>
                <w:webHidden/>
              </w:rPr>
              <w:tab/>
            </w:r>
            <w:r w:rsidR="00AF1CB3">
              <w:rPr>
                <w:webHidden/>
              </w:rPr>
              <w:fldChar w:fldCharType="begin"/>
            </w:r>
            <w:r w:rsidR="00AF1CB3">
              <w:rPr>
                <w:webHidden/>
              </w:rPr>
              <w:instrText xml:space="preserve"> PAGEREF _Toc417460213 \h </w:instrText>
            </w:r>
            <w:r w:rsidR="00AF1CB3">
              <w:rPr>
                <w:webHidden/>
              </w:rPr>
            </w:r>
            <w:r w:rsidR="00AF1CB3">
              <w:rPr>
                <w:webHidden/>
              </w:rPr>
              <w:fldChar w:fldCharType="separate"/>
            </w:r>
            <w:r>
              <w:rPr>
                <w:webHidden/>
              </w:rPr>
              <w:t>3</w:t>
            </w:r>
            <w:r w:rsidR="00AF1CB3">
              <w:rPr>
                <w:webHidden/>
              </w:rPr>
              <w:fldChar w:fldCharType="end"/>
            </w:r>
          </w:hyperlink>
        </w:p>
        <w:p w:rsidR="00AF1CB3" w:rsidRDefault="00543B1C">
          <w:pPr>
            <w:pStyle w:val="TOC2"/>
            <w:rPr>
              <w:rFonts w:asciiTheme="minorHAnsi" w:eastAsiaTheme="minorEastAsia" w:hAnsiTheme="minorHAnsi"/>
              <w:lang w:eastAsia="en-AU"/>
            </w:rPr>
          </w:pPr>
          <w:hyperlink w:anchor="_Toc417460214" w:history="1">
            <w:r w:rsidR="00AF1CB3" w:rsidRPr="0029109C">
              <w:rPr>
                <w:rStyle w:val="Hyperlink"/>
              </w:rPr>
              <w:t>Electricity</w:t>
            </w:r>
            <w:r w:rsidR="00AF1CB3">
              <w:rPr>
                <w:webHidden/>
              </w:rPr>
              <w:tab/>
            </w:r>
            <w:r w:rsidR="00AF1CB3">
              <w:rPr>
                <w:webHidden/>
              </w:rPr>
              <w:fldChar w:fldCharType="begin"/>
            </w:r>
            <w:r w:rsidR="00AF1CB3">
              <w:rPr>
                <w:webHidden/>
              </w:rPr>
              <w:instrText xml:space="preserve"> PAGEREF _Toc417460214 \h </w:instrText>
            </w:r>
            <w:r w:rsidR="00AF1CB3">
              <w:rPr>
                <w:webHidden/>
              </w:rPr>
            </w:r>
            <w:r w:rsidR="00AF1CB3">
              <w:rPr>
                <w:webHidden/>
              </w:rPr>
              <w:fldChar w:fldCharType="separate"/>
            </w:r>
            <w:r>
              <w:rPr>
                <w:webHidden/>
              </w:rPr>
              <w:t>4</w:t>
            </w:r>
            <w:r w:rsidR="00AF1CB3">
              <w:rPr>
                <w:webHidden/>
              </w:rPr>
              <w:fldChar w:fldCharType="end"/>
            </w:r>
          </w:hyperlink>
        </w:p>
        <w:p w:rsidR="00AF1CB3" w:rsidRDefault="00543B1C">
          <w:pPr>
            <w:pStyle w:val="TOC2"/>
            <w:rPr>
              <w:rFonts w:asciiTheme="minorHAnsi" w:eastAsiaTheme="minorEastAsia" w:hAnsiTheme="minorHAnsi"/>
              <w:lang w:eastAsia="en-AU"/>
            </w:rPr>
          </w:pPr>
          <w:hyperlink w:anchor="_Toc417460215" w:history="1">
            <w:r w:rsidR="00AF1CB3" w:rsidRPr="0029109C">
              <w:rPr>
                <w:rStyle w:val="Hyperlink"/>
              </w:rPr>
              <w:t>Natural gas</w:t>
            </w:r>
            <w:r w:rsidR="00AF1CB3">
              <w:rPr>
                <w:webHidden/>
              </w:rPr>
              <w:tab/>
            </w:r>
            <w:r w:rsidR="00AF1CB3">
              <w:rPr>
                <w:webHidden/>
              </w:rPr>
              <w:fldChar w:fldCharType="begin"/>
            </w:r>
            <w:r w:rsidR="00AF1CB3">
              <w:rPr>
                <w:webHidden/>
              </w:rPr>
              <w:instrText xml:space="preserve"> PAGEREF _Toc417460215 \h </w:instrText>
            </w:r>
            <w:r w:rsidR="00AF1CB3">
              <w:rPr>
                <w:webHidden/>
              </w:rPr>
            </w:r>
            <w:r w:rsidR="00AF1CB3">
              <w:rPr>
                <w:webHidden/>
              </w:rPr>
              <w:fldChar w:fldCharType="separate"/>
            </w:r>
            <w:r>
              <w:rPr>
                <w:webHidden/>
              </w:rPr>
              <w:t>5</w:t>
            </w:r>
            <w:r w:rsidR="00AF1CB3">
              <w:rPr>
                <w:webHidden/>
              </w:rPr>
              <w:fldChar w:fldCharType="end"/>
            </w:r>
          </w:hyperlink>
        </w:p>
        <w:p w:rsidR="00AF1CB3" w:rsidRDefault="00543B1C">
          <w:pPr>
            <w:pStyle w:val="TOC2"/>
            <w:rPr>
              <w:rFonts w:asciiTheme="minorHAnsi" w:eastAsiaTheme="minorEastAsia" w:hAnsiTheme="minorHAnsi"/>
              <w:lang w:eastAsia="en-AU"/>
            </w:rPr>
          </w:pPr>
          <w:hyperlink w:anchor="_Toc417460216" w:history="1">
            <w:r w:rsidR="00AF1CB3" w:rsidRPr="0029109C">
              <w:rPr>
                <w:rStyle w:val="Hyperlink"/>
              </w:rPr>
              <w:t>Synthetic greenhouse gases</w:t>
            </w:r>
            <w:r w:rsidR="00AF1CB3">
              <w:rPr>
                <w:webHidden/>
              </w:rPr>
              <w:tab/>
            </w:r>
            <w:r w:rsidR="00AF1CB3">
              <w:rPr>
                <w:webHidden/>
              </w:rPr>
              <w:fldChar w:fldCharType="begin"/>
            </w:r>
            <w:r w:rsidR="00AF1CB3">
              <w:rPr>
                <w:webHidden/>
              </w:rPr>
              <w:instrText xml:space="preserve"> PAGEREF _Toc417460216 \h </w:instrText>
            </w:r>
            <w:r w:rsidR="00AF1CB3">
              <w:rPr>
                <w:webHidden/>
              </w:rPr>
            </w:r>
            <w:r w:rsidR="00AF1CB3">
              <w:rPr>
                <w:webHidden/>
              </w:rPr>
              <w:fldChar w:fldCharType="separate"/>
            </w:r>
            <w:r>
              <w:rPr>
                <w:webHidden/>
              </w:rPr>
              <w:t>5</w:t>
            </w:r>
            <w:r w:rsidR="00AF1CB3">
              <w:rPr>
                <w:webHidden/>
              </w:rPr>
              <w:fldChar w:fldCharType="end"/>
            </w:r>
          </w:hyperlink>
        </w:p>
        <w:p w:rsidR="00AF1CB3" w:rsidRDefault="00543B1C">
          <w:pPr>
            <w:pStyle w:val="TOC2"/>
            <w:rPr>
              <w:rFonts w:asciiTheme="minorHAnsi" w:eastAsiaTheme="minorEastAsia" w:hAnsiTheme="minorHAnsi"/>
              <w:lang w:eastAsia="en-AU"/>
            </w:rPr>
          </w:pPr>
          <w:hyperlink w:anchor="_Toc417460217" w:history="1">
            <w:r w:rsidR="00AF1CB3" w:rsidRPr="0029109C">
              <w:rPr>
                <w:rStyle w:val="Hyperlink"/>
              </w:rPr>
              <w:t>Landfill</w:t>
            </w:r>
            <w:r w:rsidR="00AF1CB3">
              <w:rPr>
                <w:webHidden/>
              </w:rPr>
              <w:tab/>
            </w:r>
            <w:r w:rsidR="00AF1CB3">
              <w:rPr>
                <w:webHidden/>
              </w:rPr>
              <w:fldChar w:fldCharType="begin"/>
            </w:r>
            <w:r w:rsidR="00AF1CB3">
              <w:rPr>
                <w:webHidden/>
              </w:rPr>
              <w:instrText xml:space="preserve"> PAGEREF _Toc417460217 \h </w:instrText>
            </w:r>
            <w:r w:rsidR="00AF1CB3">
              <w:rPr>
                <w:webHidden/>
              </w:rPr>
            </w:r>
            <w:r w:rsidR="00AF1CB3">
              <w:rPr>
                <w:webHidden/>
              </w:rPr>
              <w:fldChar w:fldCharType="separate"/>
            </w:r>
            <w:r>
              <w:rPr>
                <w:webHidden/>
              </w:rPr>
              <w:t>6</w:t>
            </w:r>
            <w:r w:rsidR="00AF1CB3">
              <w:rPr>
                <w:webHidden/>
              </w:rPr>
              <w:fldChar w:fldCharType="end"/>
            </w:r>
          </w:hyperlink>
        </w:p>
        <w:p w:rsidR="00AF1CB3" w:rsidRDefault="00543B1C">
          <w:pPr>
            <w:pStyle w:val="TOC2"/>
            <w:rPr>
              <w:rFonts w:asciiTheme="minorHAnsi" w:eastAsiaTheme="minorEastAsia" w:hAnsiTheme="minorHAnsi"/>
              <w:lang w:eastAsia="en-AU"/>
            </w:rPr>
          </w:pPr>
          <w:hyperlink w:anchor="_Toc417460218" w:history="1">
            <w:r w:rsidR="00AF1CB3" w:rsidRPr="0029109C">
              <w:rPr>
                <w:rStyle w:val="Hyperlink"/>
              </w:rPr>
              <w:t>Construction material manufacturing</w:t>
            </w:r>
            <w:r w:rsidR="00AF1CB3">
              <w:rPr>
                <w:webHidden/>
              </w:rPr>
              <w:tab/>
            </w:r>
            <w:r w:rsidR="00AF1CB3">
              <w:rPr>
                <w:webHidden/>
              </w:rPr>
              <w:fldChar w:fldCharType="begin"/>
            </w:r>
            <w:r w:rsidR="00AF1CB3">
              <w:rPr>
                <w:webHidden/>
              </w:rPr>
              <w:instrText xml:space="preserve"> PAGEREF _Toc417460218 \h </w:instrText>
            </w:r>
            <w:r w:rsidR="00AF1CB3">
              <w:rPr>
                <w:webHidden/>
              </w:rPr>
            </w:r>
            <w:r w:rsidR="00AF1CB3">
              <w:rPr>
                <w:webHidden/>
              </w:rPr>
              <w:fldChar w:fldCharType="separate"/>
            </w:r>
            <w:r>
              <w:rPr>
                <w:webHidden/>
              </w:rPr>
              <w:t>7</w:t>
            </w:r>
            <w:r w:rsidR="00AF1CB3">
              <w:rPr>
                <w:webHidden/>
              </w:rPr>
              <w:fldChar w:fldCharType="end"/>
            </w:r>
          </w:hyperlink>
        </w:p>
        <w:p w:rsidR="00AF1CB3" w:rsidRDefault="00543B1C">
          <w:pPr>
            <w:pStyle w:val="TOC2"/>
            <w:rPr>
              <w:rFonts w:asciiTheme="minorHAnsi" w:eastAsiaTheme="minorEastAsia" w:hAnsiTheme="minorHAnsi"/>
              <w:lang w:eastAsia="en-AU"/>
            </w:rPr>
          </w:pPr>
          <w:hyperlink w:anchor="_Toc417460219" w:history="1">
            <w:r w:rsidR="00AF1CB3" w:rsidRPr="0029109C">
              <w:rPr>
                <w:rStyle w:val="Hyperlink"/>
              </w:rPr>
              <w:t>Domestic passenger air transport services</w:t>
            </w:r>
            <w:r w:rsidR="00AF1CB3">
              <w:rPr>
                <w:webHidden/>
              </w:rPr>
              <w:tab/>
            </w:r>
            <w:r w:rsidR="00AF1CB3">
              <w:rPr>
                <w:webHidden/>
              </w:rPr>
              <w:fldChar w:fldCharType="begin"/>
            </w:r>
            <w:r w:rsidR="00AF1CB3">
              <w:rPr>
                <w:webHidden/>
              </w:rPr>
              <w:instrText xml:space="preserve"> PAGEREF _Toc417460219 \h </w:instrText>
            </w:r>
            <w:r w:rsidR="00AF1CB3">
              <w:rPr>
                <w:webHidden/>
              </w:rPr>
            </w:r>
            <w:r w:rsidR="00AF1CB3">
              <w:rPr>
                <w:webHidden/>
              </w:rPr>
              <w:fldChar w:fldCharType="separate"/>
            </w:r>
            <w:r>
              <w:rPr>
                <w:webHidden/>
              </w:rPr>
              <w:t>7</w:t>
            </w:r>
            <w:r w:rsidR="00AF1CB3">
              <w:rPr>
                <w:webHidden/>
              </w:rPr>
              <w:fldChar w:fldCharType="end"/>
            </w:r>
          </w:hyperlink>
        </w:p>
        <w:p w:rsidR="00AF1CB3" w:rsidRDefault="00543B1C">
          <w:pPr>
            <w:pStyle w:val="TOC1"/>
            <w:rPr>
              <w:rFonts w:asciiTheme="minorHAnsi" w:eastAsiaTheme="minorEastAsia" w:hAnsiTheme="minorHAnsi"/>
              <w:lang w:val="en-AU" w:eastAsia="en-AU"/>
            </w:rPr>
          </w:pPr>
          <w:hyperlink w:anchor="_Toc417460220" w:history="1">
            <w:r w:rsidR="00AF1CB3" w:rsidRPr="0029109C">
              <w:rPr>
                <w:rStyle w:val="Hyperlink"/>
              </w:rPr>
              <w:t>Monitoring</w:t>
            </w:r>
            <w:r w:rsidR="00AF1CB3">
              <w:rPr>
                <w:webHidden/>
              </w:rPr>
              <w:tab/>
            </w:r>
            <w:r w:rsidR="00AF1CB3">
              <w:rPr>
                <w:webHidden/>
              </w:rPr>
              <w:fldChar w:fldCharType="begin"/>
            </w:r>
            <w:r w:rsidR="00AF1CB3">
              <w:rPr>
                <w:webHidden/>
              </w:rPr>
              <w:instrText xml:space="preserve"> PAGEREF _Toc417460220 \h </w:instrText>
            </w:r>
            <w:r w:rsidR="00AF1CB3">
              <w:rPr>
                <w:webHidden/>
              </w:rPr>
            </w:r>
            <w:r w:rsidR="00AF1CB3">
              <w:rPr>
                <w:webHidden/>
              </w:rPr>
              <w:fldChar w:fldCharType="separate"/>
            </w:r>
            <w:r>
              <w:rPr>
                <w:webHidden/>
              </w:rPr>
              <w:t>8</w:t>
            </w:r>
            <w:r w:rsidR="00AF1CB3">
              <w:rPr>
                <w:webHidden/>
              </w:rPr>
              <w:fldChar w:fldCharType="end"/>
            </w:r>
          </w:hyperlink>
        </w:p>
        <w:p w:rsidR="00AF1CB3" w:rsidRDefault="00543B1C">
          <w:pPr>
            <w:pStyle w:val="TOC1"/>
            <w:rPr>
              <w:rFonts w:asciiTheme="minorHAnsi" w:eastAsiaTheme="minorEastAsia" w:hAnsiTheme="minorHAnsi"/>
              <w:lang w:val="en-AU" w:eastAsia="en-AU"/>
            </w:rPr>
          </w:pPr>
          <w:hyperlink w:anchor="_Toc417460221" w:history="1">
            <w:r w:rsidR="00AF1CB3" w:rsidRPr="0029109C">
              <w:rPr>
                <w:rStyle w:val="Hyperlink"/>
              </w:rPr>
              <w:t>Monitoring: Industry assessments</w:t>
            </w:r>
            <w:r w:rsidR="00AF1CB3">
              <w:rPr>
                <w:webHidden/>
              </w:rPr>
              <w:tab/>
            </w:r>
            <w:r w:rsidR="00AF1CB3">
              <w:rPr>
                <w:webHidden/>
              </w:rPr>
              <w:fldChar w:fldCharType="begin"/>
            </w:r>
            <w:r w:rsidR="00AF1CB3">
              <w:rPr>
                <w:webHidden/>
              </w:rPr>
              <w:instrText xml:space="preserve"> PAGEREF _Toc417460221 \h </w:instrText>
            </w:r>
            <w:r w:rsidR="00AF1CB3">
              <w:rPr>
                <w:webHidden/>
              </w:rPr>
            </w:r>
            <w:r w:rsidR="00AF1CB3">
              <w:rPr>
                <w:webHidden/>
              </w:rPr>
              <w:fldChar w:fldCharType="separate"/>
            </w:r>
            <w:r>
              <w:rPr>
                <w:webHidden/>
              </w:rPr>
              <w:t>9</w:t>
            </w:r>
            <w:r w:rsidR="00AF1CB3">
              <w:rPr>
                <w:webHidden/>
              </w:rPr>
              <w:fldChar w:fldCharType="end"/>
            </w:r>
          </w:hyperlink>
        </w:p>
        <w:p w:rsidR="00AF1CB3" w:rsidRDefault="00543B1C">
          <w:pPr>
            <w:pStyle w:val="TOC2"/>
            <w:rPr>
              <w:rFonts w:asciiTheme="minorHAnsi" w:eastAsiaTheme="minorEastAsia" w:hAnsiTheme="minorHAnsi"/>
              <w:lang w:eastAsia="en-AU"/>
            </w:rPr>
          </w:pPr>
          <w:hyperlink w:anchor="_Toc417460222" w:history="1">
            <w:r w:rsidR="00AF1CB3" w:rsidRPr="0029109C">
              <w:rPr>
                <w:rStyle w:val="Hyperlink"/>
              </w:rPr>
              <w:t>Electricity</w:t>
            </w:r>
            <w:r w:rsidR="00AF1CB3">
              <w:rPr>
                <w:webHidden/>
              </w:rPr>
              <w:tab/>
            </w:r>
            <w:r w:rsidR="00AF1CB3">
              <w:rPr>
                <w:webHidden/>
              </w:rPr>
              <w:fldChar w:fldCharType="begin"/>
            </w:r>
            <w:r w:rsidR="00AF1CB3">
              <w:rPr>
                <w:webHidden/>
              </w:rPr>
              <w:instrText xml:space="preserve"> PAGEREF _Toc417460222 \h </w:instrText>
            </w:r>
            <w:r w:rsidR="00AF1CB3">
              <w:rPr>
                <w:webHidden/>
              </w:rPr>
            </w:r>
            <w:r w:rsidR="00AF1CB3">
              <w:rPr>
                <w:webHidden/>
              </w:rPr>
              <w:fldChar w:fldCharType="separate"/>
            </w:r>
            <w:r>
              <w:rPr>
                <w:webHidden/>
              </w:rPr>
              <w:t>9</w:t>
            </w:r>
            <w:r w:rsidR="00AF1CB3">
              <w:rPr>
                <w:webHidden/>
              </w:rPr>
              <w:fldChar w:fldCharType="end"/>
            </w:r>
          </w:hyperlink>
        </w:p>
        <w:p w:rsidR="00AF1CB3" w:rsidRDefault="00543B1C">
          <w:pPr>
            <w:pStyle w:val="TOC3"/>
            <w:rPr>
              <w:rFonts w:asciiTheme="minorHAnsi" w:eastAsiaTheme="minorEastAsia" w:hAnsiTheme="minorHAnsi"/>
              <w:lang w:eastAsia="en-AU"/>
            </w:rPr>
          </w:pPr>
          <w:hyperlink w:anchor="_Toc417460223" w:history="1">
            <w:r w:rsidR="00AF1CB3" w:rsidRPr="0029109C">
              <w:rPr>
                <w:rStyle w:val="Hyperlink"/>
              </w:rPr>
              <w:t>Overview of retail price changes</w:t>
            </w:r>
            <w:r w:rsidR="00AF1CB3">
              <w:rPr>
                <w:webHidden/>
              </w:rPr>
              <w:tab/>
            </w:r>
            <w:r w:rsidR="00AF1CB3">
              <w:rPr>
                <w:webHidden/>
              </w:rPr>
              <w:fldChar w:fldCharType="begin"/>
            </w:r>
            <w:r w:rsidR="00AF1CB3">
              <w:rPr>
                <w:webHidden/>
              </w:rPr>
              <w:instrText xml:space="preserve"> PAGEREF _Toc417460223 \h </w:instrText>
            </w:r>
            <w:r w:rsidR="00AF1CB3">
              <w:rPr>
                <w:webHidden/>
              </w:rPr>
            </w:r>
            <w:r w:rsidR="00AF1CB3">
              <w:rPr>
                <w:webHidden/>
              </w:rPr>
              <w:fldChar w:fldCharType="separate"/>
            </w:r>
            <w:r>
              <w:rPr>
                <w:webHidden/>
              </w:rPr>
              <w:t>9</w:t>
            </w:r>
            <w:r w:rsidR="00AF1CB3">
              <w:rPr>
                <w:webHidden/>
              </w:rPr>
              <w:fldChar w:fldCharType="end"/>
            </w:r>
          </w:hyperlink>
        </w:p>
        <w:p w:rsidR="00AF1CB3" w:rsidRDefault="00543B1C" w:rsidP="00A14172">
          <w:pPr>
            <w:pStyle w:val="TOC3"/>
            <w:tabs>
              <w:tab w:val="clear" w:pos="1760"/>
              <w:tab w:val="left" w:pos="851"/>
            </w:tabs>
            <w:rPr>
              <w:rFonts w:asciiTheme="minorHAnsi" w:eastAsiaTheme="minorEastAsia" w:hAnsiTheme="minorHAnsi"/>
              <w:lang w:eastAsia="en-AU"/>
            </w:rPr>
          </w:pPr>
          <w:hyperlink w:anchor="_Toc417460224" w:history="1">
            <w:r w:rsidR="00AF1CB3" w:rsidRPr="0029109C">
              <w:rPr>
                <w:rStyle w:val="Hyperlink"/>
              </w:rPr>
              <w:t>Assessment of removal of carbon tax component from residential electricity prices</w:t>
            </w:r>
            <w:r w:rsidR="00AF1CB3">
              <w:rPr>
                <w:webHidden/>
              </w:rPr>
              <w:tab/>
            </w:r>
            <w:r w:rsidR="00AF1CB3">
              <w:rPr>
                <w:webHidden/>
              </w:rPr>
              <w:tab/>
            </w:r>
            <w:r w:rsidR="00AF1CB3">
              <w:rPr>
                <w:webHidden/>
              </w:rPr>
              <w:fldChar w:fldCharType="begin"/>
            </w:r>
            <w:r w:rsidR="00AF1CB3">
              <w:rPr>
                <w:webHidden/>
              </w:rPr>
              <w:instrText xml:space="preserve"> PAGEREF _Toc417460224 \h </w:instrText>
            </w:r>
            <w:r w:rsidR="00AF1CB3">
              <w:rPr>
                <w:webHidden/>
              </w:rPr>
            </w:r>
            <w:r w:rsidR="00AF1CB3">
              <w:rPr>
                <w:webHidden/>
              </w:rPr>
              <w:fldChar w:fldCharType="separate"/>
            </w:r>
            <w:r>
              <w:rPr>
                <w:webHidden/>
              </w:rPr>
              <w:t>11</w:t>
            </w:r>
            <w:r w:rsidR="00AF1CB3">
              <w:rPr>
                <w:webHidden/>
              </w:rPr>
              <w:fldChar w:fldCharType="end"/>
            </w:r>
          </w:hyperlink>
        </w:p>
        <w:p w:rsidR="00AF1CB3" w:rsidRDefault="00543B1C" w:rsidP="00A14172">
          <w:pPr>
            <w:pStyle w:val="TOC3"/>
            <w:tabs>
              <w:tab w:val="clear" w:pos="1760"/>
              <w:tab w:val="left" w:pos="851"/>
            </w:tabs>
            <w:rPr>
              <w:rFonts w:asciiTheme="minorHAnsi" w:eastAsiaTheme="minorEastAsia" w:hAnsiTheme="minorHAnsi"/>
              <w:lang w:eastAsia="en-AU"/>
            </w:rPr>
          </w:pPr>
          <w:hyperlink w:anchor="_Toc417460225" w:history="1">
            <w:r w:rsidR="00AF1CB3" w:rsidRPr="0029109C">
              <w:rPr>
                <w:rStyle w:val="Hyperlink"/>
              </w:rPr>
              <w:t>Assessment of removal of carbon tax component from small business electricity prices</w:t>
            </w:r>
            <w:r w:rsidR="00AF1CB3">
              <w:rPr>
                <w:webHidden/>
              </w:rPr>
              <w:tab/>
            </w:r>
            <w:r w:rsidR="00AF1CB3">
              <w:rPr>
                <w:webHidden/>
              </w:rPr>
              <w:fldChar w:fldCharType="begin"/>
            </w:r>
            <w:r w:rsidR="00AF1CB3">
              <w:rPr>
                <w:webHidden/>
              </w:rPr>
              <w:instrText xml:space="preserve"> PAGEREF _Toc417460225 \h </w:instrText>
            </w:r>
            <w:r w:rsidR="00AF1CB3">
              <w:rPr>
                <w:webHidden/>
              </w:rPr>
            </w:r>
            <w:r w:rsidR="00AF1CB3">
              <w:rPr>
                <w:webHidden/>
              </w:rPr>
              <w:fldChar w:fldCharType="separate"/>
            </w:r>
            <w:r>
              <w:rPr>
                <w:webHidden/>
              </w:rPr>
              <w:t>15</w:t>
            </w:r>
            <w:r w:rsidR="00AF1CB3">
              <w:rPr>
                <w:webHidden/>
              </w:rPr>
              <w:fldChar w:fldCharType="end"/>
            </w:r>
          </w:hyperlink>
        </w:p>
        <w:p w:rsidR="00AF1CB3" w:rsidRDefault="00543B1C">
          <w:pPr>
            <w:pStyle w:val="TOC3"/>
            <w:rPr>
              <w:rFonts w:asciiTheme="minorHAnsi" w:eastAsiaTheme="minorEastAsia" w:hAnsiTheme="minorHAnsi"/>
              <w:lang w:eastAsia="en-AU"/>
            </w:rPr>
          </w:pPr>
          <w:hyperlink w:anchor="_Toc417460226" w:history="1">
            <w:r w:rsidR="00AF1CB3" w:rsidRPr="0029109C">
              <w:rPr>
                <w:rStyle w:val="Hyperlink"/>
              </w:rPr>
              <w:t>Change to prices in July 2014</w:t>
            </w:r>
            <w:r w:rsidR="00AF1CB3">
              <w:rPr>
                <w:webHidden/>
              </w:rPr>
              <w:tab/>
            </w:r>
            <w:r w:rsidR="00AF1CB3">
              <w:rPr>
                <w:webHidden/>
              </w:rPr>
              <w:fldChar w:fldCharType="begin"/>
            </w:r>
            <w:r w:rsidR="00AF1CB3">
              <w:rPr>
                <w:webHidden/>
              </w:rPr>
              <w:instrText xml:space="preserve"> PAGEREF _Toc417460226 \h </w:instrText>
            </w:r>
            <w:r w:rsidR="00AF1CB3">
              <w:rPr>
                <w:webHidden/>
              </w:rPr>
            </w:r>
            <w:r w:rsidR="00AF1CB3">
              <w:rPr>
                <w:webHidden/>
              </w:rPr>
              <w:fldChar w:fldCharType="separate"/>
            </w:r>
            <w:r>
              <w:rPr>
                <w:webHidden/>
              </w:rPr>
              <w:t>15</w:t>
            </w:r>
            <w:r w:rsidR="00AF1CB3">
              <w:rPr>
                <w:webHidden/>
              </w:rPr>
              <w:fldChar w:fldCharType="end"/>
            </w:r>
          </w:hyperlink>
        </w:p>
        <w:p w:rsidR="00AF1CB3" w:rsidRDefault="00543B1C">
          <w:pPr>
            <w:pStyle w:val="TOC3"/>
            <w:rPr>
              <w:rFonts w:asciiTheme="minorHAnsi" w:eastAsiaTheme="minorEastAsia" w:hAnsiTheme="minorHAnsi"/>
              <w:lang w:eastAsia="en-AU"/>
            </w:rPr>
          </w:pPr>
          <w:hyperlink w:anchor="_Toc417460227" w:history="1">
            <w:r w:rsidR="00AF1CB3" w:rsidRPr="0029109C">
              <w:rPr>
                <w:rStyle w:val="Hyperlink"/>
              </w:rPr>
              <w:t>Electricity on-sellers or private electricity networks</w:t>
            </w:r>
            <w:r w:rsidR="00AF1CB3">
              <w:rPr>
                <w:webHidden/>
              </w:rPr>
              <w:tab/>
            </w:r>
            <w:r w:rsidR="00AF1CB3">
              <w:rPr>
                <w:webHidden/>
              </w:rPr>
              <w:fldChar w:fldCharType="begin"/>
            </w:r>
            <w:r w:rsidR="00AF1CB3">
              <w:rPr>
                <w:webHidden/>
              </w:rPr>
              <w:instrText xml:space="preserve"> PAGEREF _Toc417460227 \h </w:instrText>
            </w:r>
            <w:r w:rsidR="00AF1CB3">
              <w:rPr>
                <w:webHidden/>
              </w:rPr>
            </w:r>
            <w:r w:rsidR="00AF1CB3">
              <w:rPr>
                <w:webHidden/>
              </w:rPr>
              <w:fldChar w:fldCharType="separate"/>
            </w:r>
            <w:r>
              <w:rPr>
                <w:webHidden/>
              </w:rPr>
              <w:t>16</w:t>
            </w:r>
            <w:r w:rsidR="00AF1CB3">
              <w:rPr>
                <w:webHidden/>
              </w:rPr>
              <w:fldChar w:fldCharType="end"/>
            </w:r>
          </w:hyperlink>
        </w:p>
        <w:p w:rsidR="00AF1CB3" w:rsidRDefault="00543B1C">
          <w:pPr>
            <w:pStyle w:val="TOC3"/>
            <w:rPr>
              <w:rFonts w:asciiTheme="minorHAnsi" w:eastAsiaTheme="minorEastAsia" w:hAnsiTheme="minorHAnsi"/>
              <w:lang w:eastAsia="en-AU"/>
            </w:rPr>
          </w:pPr>
          <w:hyperlink w:anchor="_Toc417460228" w:history="1">
            <w:r w:rsidR="00AF1CB3" w:rsidRPr="0029109C">
              <w:rPr>
                <w:rStyle w:val="Hyperlink"/>
              </w:rPr>
              <w:t>Overview of residential price movements from January 2012 to January 2015</w:t>
            </w:r>
            <w:r w:rsidR="00AF1CB3">
              <w:rPr>
                <w:webHidden/>
              </w:rPr>
              <w:tab/>
            </w:r>
            <w:r w:rsidR="00AF1CB3">
              <w:rPr>
                <w:webHidden/>
              </w:rPr>
              <w:fldChar w:fldCharType="begin"/>
            </w:r>
            <w:r w:rsidR="00AF1CB3">
              <w:rPr>
                <w:webHidden/>
              </w:rPr>
              <w:instrText xml:space="preserve"> PAGEREF _Toc417460228 \h </w:instrText>
            </w:r>
            <w:r w:rsidR="00AF1CB3">
              <w:rPr>
                <w:webHidden/>
              </w:rPr>
            </w:r>
            <w:r w:rsidR="00AF1CB3">
              <w:rPr>
                <w:webHidden/>
              </w:rPr>
              <w:fldChar w:fldCharType="separate"/>
            </w:r>
            <w:r>
              <w:rPr>
                <w:webHidden/>
              </w:rPr>
              <w:t>17</w:t>
            </w:r>
            <w:r w:rsidR="00AF1CB3">
              <w:rPr>
                <w:webHidden/>
              </w:rPr>
              <w:fldChar w:fldCharType="end"/>
            </w:r>
          </w:hyperlink>
        </w:p>
        <w:p w:rsidR="00AF1CB3" w:rsidRDefault="00543B1C">
          <w:pPr>
            <w:pStyle w:val="TOC2"/>
            <w:rPr>
              <w:rFonts w:asciiTheme="minorHAnsi" w:eastAsiaTheme="minorEastAsia" w:hAnsiTheme="minorHAnsi"/>
              <w:lang w:eastAsia="en-AU"/>
            </w:rPr>
          </w:pPr>
          <w:hyperlink w:anchor="_Toc417460229" w:history="1">
            <w:r w:rsidR="00AF1CB3" w:rsidRPr="0029109C">
              <w:rPr>
                <w:rStyle w:val="Hyperlink"/>
              </w:rPr>
              <w:t>Natural gas</w:t>
            </w:r>
            <w:r w:rsidR="00AF1CB3">
              <w:rPr>
                <w:webHidden/>
              </w:rPr>
              <w:tab/>
            </w:r>
            <w:r w:rsidR="00AF1CB3">
              <w:rPr>
                <w:webHidden/>
              </w:rPr>
              <w:fldChar w:fldCharType="begin"/>
            </w:r>
            <w:r w:rsidR="00AF1CB3">
              <w:rPr>
                <w:webHidden/>
              </w:rPr>
              <w:instrText xml:space="preserve"> PAGEREF _Toc417460229 \h </w:instrText>
            </w:r>
            <w:r w:rsidR="00AF1CB3">
              <w:rPr>
                <w:webHidden/>
              </w:rPr>
            </w:r>
            <w:r w:rsidR="00AF1CB3">
              <w:rPr>
                <w:webHidden/>
              </w:rPr>
              <w:fldChar w:fldCharType="separate"/>
            </w:r>
            <w:r>
              <w:rPr>
                <w:webHidden/>
              </w:rPr>
              <w:t>28</w:t>
            </w:r>
            <w:r w:rsidR="00AF1CB3">
              <w:rPr>
                <w:webHidden/>
              </w:rPr>
              <w:fldChar w:fldCharType="end"/>
            </w:r>
          </w:hyperlink>
        </w:p>
        <w:p w:rsidR="00AF1CB3" w:rsidRDefault="00543B1C">
          <w:pPr>
            <w:pStyle w:val="TOC3"/>
            <w:rPr>
              <w:rFonts w:asciiTheme="minorHAnsi" w:eastAsiaTheme="minorEastAsia" w:hAnsiTheme="minorHAnsi"/>
              <w:lang w:eastAsia="en-AU"/>
            </w:rPr>
          </w:pPr>
          <w:hyperlink w:anchor="_Toc417460230" w:history="1">
            <w:r w:rsidR="00AF1CB3" w:rsidRPr="0029109C">
              <w:rPr>
                <w:rStyle w:val="Hyperlink"/>
              </w:rPr>
              <w:t>Overview of price changes</w:t>
            </w:r>
            <w:r w:rsidR="00AF1CB3">
              <w:rPr>
                <w:webHidden/>
              </w:rPr>
              <w:tab/>
            </w:r>
            <w:r w:rsidR="00AF1CB3">
              <w:rPr>
                <w:webHidden/>
              </w:rPr>
              <w:fldChar w:fldCharType="begin"/>
            </w:r>
            <w:r w:rsidR="00AF1CB3">
              <w:rPr>
                <w:webHidden/>
              </w:rPr>
              <w:instrText xml:space="preserve"> PAGEREF _Toc417460230 \h </w:instrText>
            </w:r>
            <w:r w:rsidR="00AF1CB3">
              <w:rPr>
                <w:webHidden/>
              </w:rPr>
            </w:r>
            <w:r w:rsidR="00AF1CB3">
              <w:rPr>
                <w:webHidden/>
              </w:rPr>
              <w:fldChar w:fldCharType="separate"/>
            </w:r>
            <w:r>
              <w:rPr>
                <w:webHidden/>
              </w:rPr>
              <w:t>28</w:t>
            </w:r>
            <w:r w:rsidR="00AF1CB3">
              <w:rPr>
                <w:webHidden/>
              </w:rPr>
              <w:fldChar w:fldCharType="end"/>
            </w:r>
          </w:hyperlink>
        </w:p>
        <w:p w:rsidR="00AF1CB3" w:rsidRDefault="00543B1C">
          <w:pPr>
            <w:pStyle w:val="TOC3"/>
            <w:rPr>
              <w:rFonts w:asciiTheme="minorHAnsi" w:eastAsiaTheme="minorEastAsia" w:hAnsiTheme="minorHAnsi"/>
              <w:lang w:eastAsia="en-AU"/>
            </w:rPr>
          </w:pPr>
          <w:hyperlink w:anchor="_Toc417460231" w:history="1">
            <w:r w:rsidR="00AF1CB3" w:rsidRPr="0029109C">
              <w:rPr>
                <w:rStyle w:val="Hyperlink"/>
              </w:rPr>
              <w:t>Assessment of removal of carbon tax component from retail gas prices</w:t>
            </w:r>
            <w:r w:rsidR="00AF1CB3">
              <w:rPr>
                <w:webHidden/>
              </w:rPr>
              <w:tab/>
            </w:r>
            <w:r w:rsidR="00AF1CB3">
              <w:rPr>
                <w:webHidden/>
              </w:rPr>
              <w:fldChar w:fldCharType="begin"/>
            </w:r>
            <w:r w:rsidR="00AF1CB3">
              <w:rPr>
                <w:webHidden/>
              </w:rPr>
              <w:instrText xml:space="preserve"> PAGEREF _Toc417460231 \h </w:instrText>
            </w:r>
            <w:r w:rsidR="00AF1CB3">
              <w:rPr>
                <w:webHidden/>
              </w:rPr>
            </w:r>
            <w:r w:rsidR="00AF1CB3">
              <w:rPr>
                <w:webHidden/>
              </w:rPr>
              <w:fldChar w:fldCharType="separate"/>
            </w:r>
            <w:r>
              <w:rPr>
                <w:webHidden/>
              </w:rPr>
              <w:t>30</w:t>
            </w:r>
            <w:r w:rsidR="00AF1CB3">
              <w:rPr>
                <w:webHidden/>
              </w:rPr>
              <w:fldChar w:fldCharType="end"/>
            </w:r>
          </w:hyperlink>
        </w:p>
        <w:p w:rsidR="00AF1CB3" w:rsidRDefault="00543B1C">
          <w:pPr>
            <w:pStyle w:val="TOC3"/>
            <w:rPr>
              <w:rFonts w:asciiTheme="minorHAnsi" w:eastAsiaTheme="minorEastAsia" w:hAnsiTheme="minorHAnsi"/>
              <w:lang w:eastAsia="en-AU"/>
            </w:rPr>
          </w:pPr>
          <w:hyperlink w:anchor="_Toc417460232" w:history="1">
            <w:r w:rsidR="00AF1CB3" w:rsidRPr="0029109C">
              <w:rPr>
                <w:rStyle w:val="Hyperlink"/>
              </w:rPr>
              <w:t>Overview of retail price movements since January 2012</w:t>
            </w:r>
            <w:r w:rsidR="00AF1CB3">
              <w:rPr>
                <w:webHidden/>
              </w:rPr>
              <w:tab/>
            </w:r>
            <w:r w:rsidR="00AF1CB3">
              <w:rPr>
                <w:webHidden/>
              </w:rPr>
              <w:fldChar w:fldCharType="begin"/>
            </w:r>
            <w:r w:rsidR="00AF1CB3">
              <w:rPr>
                <w:webHidden/>
              </w:rPr>
              <w:instrText xml:space="preserve"> PAGEREF _Toc417460232 \h </w:instrText>
            </w:r>
            <w:r w:rsidR="00AF1CB3">
              <w:rPr>
                <w:webHidden/>
              </w:rPr>
            </w:r>
            <w:r w:rsidR="00AF1CB3">
              <w:rPr>
                <w:webHidden/>
              </w:rPr>
              <w:fldChar w:fldCharType="separate"/>
            </w:r>
            <w:r>
              <w:rPr>
                <w:webHidden/>
              </w:rPr>
              <w:t>33</w:t>
            </w:r>
            <w:r w:rsidR="00AF1CB3">
              <w:rPr>
                <w:webHidden/>
              </w:rPr>
              <w:fldChar w:fldCharType="end"/>
            </w:r>
          </w:hyperlink>
        </w:p>
        <w:p w:rsidR="00AF1CB3" w:rsidRDefault="00543B1C">
          <w:pPr>
            <w:pStyle w:val="TOC2"/>
            <w:rPr>
              <w:rFonts w:asciiTheme="minorHAnsi" w:eastAsiaTheme="minorEastAsia" w:hAnsiTheme="minorHAnsi"/>
              <w:lang w:eastAsia="en-AU"/>
            </w:rPr>
          </w:pPr>
          <w:hyperlink w:anchor="_Toc417460233" w:history="1">
            <w:r w:rsidR="00AF1CB3" w:rsidRPr="0029109C">
              <w:rPr>
                <w:rStyle w:val="Hyperlink"/>
              </w:rPr>
              <w:t>Conclusion – carbon tax repeal cost savings in electricity and natural gas</w:t>
            </w:r>
            <w:r w:rsidR="00AF1CB3">
              <w:rPr>
                <w:webHidden/>
              </w:rPr>
              <w:tab/>
            </w:r>
            <w:r w:rsidR="00AF1CB3">
              <w:rPr>
                <w:webHidden/>
              </w:rPr>
              <w:fldChar w:fldCharType="begin"/>
            </w:r>
            <w:r w:rsidR="00AF1CB3">
              <w:rPr>
                <w:webHidden/>
              </w:rPr>
              <w:instrText xml:space="preserve"> PAGEREF _Toc417460233 \h </w:instrText>
            </w:r>
            <w:r w:rsidR="00AF1CB3">
              <w:rPr>
                <w:webHidden/>
              </w:rPr>
            </w:r>
            <w:r w:rsidR="00AF1CB3">
              <w:rPr>
                <w:webHidden/>
              </w:rPr>
              <w:fldChar w:fldCharType="separate"/>
            </w:r>
            <w:r>
              <w:rPr>
                <w:webHidden/>
              </w:rPr>
              <w:t>39</w:t>
            </w:r>
            <w:r w:rsidR="00AF1CB3">
              <w:rPr>
                <w:webHidden/>
              </w:rPr>
              <w:fldChar w:fldCharType="end"/>
            </w:r>
          </w:hyperlink>
        </w:p>
        <w:p w:rsidR="00AF1CB3" w:rsidRDefault="00543B1C">
          <w:pPr>
            <w:pStyle w:val="TOC2"/>
            <w:rPr>
              <w:rFonts w:asciiTheme="minorHAnsi" w:eastAsiaTheme="minorEastAsia" w:hAnsiTheme="minorHAnsi"/>
              <w:lang w:eastAsia="en-AU"/>
            </w:rPr>
          </w:pPr>
          <w:hyperlink w:anchor="_Toc417460234" w:history="1">
            <w:r w:rsidR="00AF1CB3" w:rsidRPr="0029109C">
              <w:rPr>
                <w:rStyle w:val="Hyperlink"/>
              </w:rPr>
              <w:t>Synthetic greenhouse gases</w:t>
            </w:r>
            <w:r w:rsidR="00AF1CB3">
              <w:rPr>
                <w:webHidden/>
              </w:rPr>
              <w:tab/>
            </w:r>
            <w:r w:rsidR="00AF1CB3">
              <w:rPr>
                <w:webHidden/>
              </w:rPr>
              <w:fldChar w:fldCharType="begin"/>
            </w:r>
            <w:r w:rsidR="00AF1CB3">
              <w:rPr>
                <w:webHidden/>
              </w:rPr>
              <w:instrText xml:space="preserve"> PAGEREF _Toc417460234 \h </w:instrText>
            </w:r>
            <w:r w:rsidR="00AF1CB3">
              <w:rPr>
                <w:webHidden/>
              </w:rPr>
            </w:r>
            <w:r w:rsidR="00AF1CB3">
              <w:rPr>
                <w:webHidden/>
              </w:rPr>
              <w:fldChar w:fldCharType="separate"/>
            </w:r>
            <w:r>
              <w:rPr>
                <w:webHidden/>
              </w:rPr>
              <w:t>40</w:t>
            </w:r>
            <w:r w:rsidR="00AF1CB3">
              <w:rPr>
                <w:webHidden/>
              </w:rPr>
              <w:fldChar w:fldCharType="end"/>
            </w:r>
          </w:hyperlink>
        </w:p>
        <w:p w:rsidR="00AF1CB3" w:rsidRDefault="00543B1C">
          <w:pPr>
            <w:pStyle w:val="TOC3"/>
            <w:rPr>
              <w:rFonts w:asciiTheme="minorHAnsi" w:eastAsiaTheme="minorEastAsia" w:hAnsiTheme="minorHAnsi"/>
              <w:lang w:eastAsia="en-AU"/>
            </w:rPr>
          </w:pPr>
          <w:hyperlink w:anchor="_Toc417460235" w:history="1">
            <w:r w:rsidR="00AF1CB3" w:rsidRPr="0029109C">
              <w:rPr>
                <w:rStyle w:val="Hyperlink"/>
              </w:rPr>
              <w:t>Non-importer synthetic greenhouse gas wholesalers</w:t>
            </w:r>
            <w:r w:rsidR="00AF1CB3">
              <w:rPr>
                <w:webHidden/>
              </w:rPr>
              <w:tab/>
            </w:r>
            <w:r w:rsidR="00AF1CB3">
              <w:rPr>
                <w:webHidden/>
              </w:rPr>
              <w:fldChar w:fldCharType="begin"/>
            </w:r>
            <w:r w:rsidR="00AF1CB3">
              <w:rPr>
                <w:webHidden/>
              </w:rPr>
              <w:instrText xml:space="preserve"> PAGEREF _Toc417460235 \h </w:instrText>
            </w:r>
            <w:r w:rsidR="00AF1CB3">
              <w:rPr>
                <w:webHidden/>
              </w:rPr>
            </w:r>
            <w:r w:rsidR="00AF1CB3">
              <w:rPr>
                <w:webHidden/>
              </w:rPr>
              <w:fldChar w:fldCharType="separate"/>
            </w:r>
            <w:r>
              <w:rPr>
                <w:webHidden/>
              </w:rPr>
              <w:t>41</w:t>
            </w:r>
            <w:r w:rsidR="00AF1CB3">
              <w:rPr>
                <w:webHidden/>
              </w:rPr>
              <w:fldChar w:fldCharType="end"/>
            </w:r>
          </w:hyperlink>
        </w:p>
        <w:p w:rsidR="00AF1CB3" w:rsidRDefault="00543B1C">
          <w:pPr>
            <w:pStyle w:val="TOC3"/>
            <w:rPr>
              <w:rFonts w:asciiTheme="minorHAnsi" w:eastAsiaTheme="minorEastAsia" w:hAnsiTheme="minorHAnsi"/>
              <w:lang w:eastAsia="en-AU"/>
            </w:rPr>
          </w:pPr>
          <w:hyperlink w:anchor="_Toc417460236" w:history="1">
            <w:r w:rsidR="00AF1CB3" w:rsidRPr="0029109C">
              <w:rPr>
                <w:rStyle w:val="Hyperlink"/>
              </w:rPr>
              <w:t>Synthetic greenhouse gas equipment</w:t>
            </w:r>
            <w:r w:rsidR="00AF1CB3">
              <w:rPr>
                <w:webHidden/>
              </w:rPr>
              <w:tab/>
            </w:r>
            <w:r w:rsidR="00AF1CB3">
              <w:rPr>
                <w:webHidden/>
              </w:rPr>
              <w:fldChar w:fldCharType="begin"/>
            </w:r>
            <w:r w:rsidR="00AF1CB3">
              <w:rPr>
                <w:webHidden/>
              </w:rPr>
              <w:instrText xml:space="preserve"> PAGEREF _Toc417460236 \h </w:instrText>
            </w:r>
            <w:r w:rsidR="00AF1CB3">
              <w:rPr>
                <w:webHidden/>
              </w:rPr>
            </w:r>
            <w:r w:rsidR="00AF1CB3">
              <w:rPr>
                <w:webHidden/>
              </w:rPr>
              <w:fldChar w:fldCharType="separate"/>
            </w:r>
            <w:r>
              <w:rPr>
                <w:webHidden/>
              </w:rPr>
              <w:t>41</w:t>
            </w:r>
            <w:r w:rsidR="00AF1CB3">
              <w:rPr>
                <w:webHidden/>
              </w:rPr>
              <w:fldChar w:fldCharType="end"/>
            </w:r>
          </w:hyperlink>
        </w:p>
        <w:p w:rsidR="00AF1CB3" w:rsidRDefault="00543B1C">
          <w:pPr>
            <w:pStyle w:val="TOC3"/>
            <w:rPr>
              <w:rFonts w:asciiTheme="minorHAnsi" w:eastAsiaTheme="minorEastAsia" w:hAnsiTheme="minorHAnsi"/>
              <w:lang w:eastAsia="en-AU"/>
            </w:rPr>
          </w:pPr>
          <w:hyperlink w:anchor="_Toc417460237" w:history="1">
            <w:r w:rsidR="00AF1CB3" w:rsidRPr="0029109C">
              <w:rPr>
                <w:rStyle w:val="Hyperlink"/>
              </w:rPr>
              <w:t>The ACCC’s monitoring activities</w:t>
            </w:r>
            <w:r w:rsidR="00AF1CB3">
              <w:rPr>
                <w:webHidden/>
              </w:rPr>
              <w:tab/>
            </w:r>
            <w:r w:rsidR="00AF1CB3">
              <w:rPr>
                <w:webHidden/>
              </w:rPr>
              <w:fldChar w:fldCharType="begin"/>
            </w:r>
            <w:r w:rsidR="00AF1CB3">
              <w:rPr>
                <w:webHidden/>
              </w:rPr>
              <w:instrText xml:space="preserve"> PAGEREF _Toc417460237 \h </w:instrText>
            </w:r>
            <w:r w:rsidR="00AF1CB3">
              <w:rPr>
                <w:webHidden/>
              </w:rPr>
            </w:r>
            <w:r w:rsidR="00AF1CB3">
              <w:rPr>
                <w:webHidden/>
              </w:rPr>
              <w:fldChar w:fldCharType="separate"/>
            </w:r>
            <w:r>
              <w:rPr>
                <w:webHidden/>
              </w:rPr>
              <w:t>42</w:t>
            </w:r>
            <w:r w:rsidR="00AF1CB3">
              <w:rPr>
                <w:webHidden/>
              </w:rPr>
              <w:fldChar w:fldCharType="end"/>
            </w:r>
          </w:hyperlink>
        </w:p>
        <w:p w:rsidR="00AF1CB3" w:rsidRDefault="00543B1C">
          <w:pPr>
            <w:pStyle w:val="TOC2"/>
            <w:rPr>
              <w:rFonts w:asciiTheme="minorHAnsi" w:eastAsiaTheme="minorEastAsia" w:hAnsiTheme="minorHAnsi"/>
              <w:lang w:eastAsia="en-AU"/>
            </w:rPr>
          </w:pPr>
          <w:hyperlink w:anchor="_Toc417460238" w:history="1">
            <w:r w:rsidR="00AF1CB3" w:rsidRPr="0029109C">
              <w:rPr>
                <w:rStyle w:val="Hyperlink"/>
              </w:rPr>
              <w:t>Land</w:t>
            </w:r>
            <w:r w:rsidR="00AF1CB3" w:rsidRPr="0029109C">
              <w:rPr>
                <w:rStyle w:val="Hyperlink"/>
              </w:rPr>
              <w:t>f</w:t>
            </w:r>
            <w:r w:rsidR="00AF1CB3" w:rsidRPr="0029109C">
              <w:rPr>
                <w:rStyle w:val="Hyperlink"/>
              </w:rPr>
              <w:t>ill</w:t>
            </w:r>
            <w:r w:rsidR="00AF1CB3">
              <w:rPr>
                <w:webHidden/>
              </w:rPr>
              <w:tab/>
            </w:r>
            <w:r w:rsidR="00AF1CB3">
              <w:rPr>
                <w:webHidden/>
              </w:rPr>
              <w:fldChar w:fldCharType="begin"/>
            </w:r>
            <w:r w:rsidR="00AF1CB3">
              <w:rPr>
                <w:webHidden/>
              </w:rPr>
              <w:instrText xml:space="preserve"> PAGEREF _Toc417460238 \h </w:instrText>
            </w:r>
            <w:r w:rsidR="00AF1CB3">
              <w:rPr>
                <w:webHidden/>
              </w:rPr>
            </w:r>
            <w:r w:rsidR="00AF1CB3">
              <w:rPr>
                <w:webHidden/>
              </w:rPr>
              <w:fldChar w:fldCharType="separate"/>
            </w:r>
            <w:r>
              <w:rPr>
                <w:webHidden/>
              </w:rPr>
              <w:t>42</w:t>
            </w:r>
            <w:r w:rsidR="00AF1CB3">
              <w:rPr>
                <w:webHidden/>
              </w:rPr>
              <w:fldChar w:fldCharType="end"/>
            </w:r>
          </w:hyperlink>
        </w:p>
        <w:p w:rsidR="00AF1CB3" w:rsidRDefault="00543B1C">
          <w:pPr>
            <w:pStyle w:val="TOC3"/>
            <w:rPr>
              <w:rFonts w:asciiTheme="minorHAnsi" w:eastAsiaTheme="minorEastAsia" w:hAnsiTheme="minorHAnsi"/>
              <w:lang w:eastAsia="en-AU"/>
            </w:rPr>
          </w:pPr>
          <w:hyperlink w:anchor="_Toc417460239" w:history="1">
            <w:r w:rsidR="00AF1CB3" w:rsidRPr="0029109C">
              <w:rPr>
                <w:rStyle w:val="Hyperlink"/>
              </w:rPr>
              <w:t>Refunds provided due to the retrospective application of the carbon tax repeal legislation</w:t>
            </w:r>
            <w:r w:rsidR="00AF1CB3">
              <w:rPr>
                <w:webHidden/>
              </w:rPr>
              <w:tab/>
            </w:r>
            <w:r w:rsidR="00AF1CB3">
              <w:rPr>
                <w:webHidden/>
              </w:rPr>
              <w:fldChar w:fldCharType="begin"/>
            </w:r>
            <w:r w:rsidR="00AF1CB3">
              <w:rPr>
                <w:webHidden/>
              </w:rPr>
              <w:instrText xml:space="preserve"> PAGEREF _Toc417460239 \h </w:instrText>
            </w:r>
            <w:r w:rsidR="00AF1CB3">
              <w:rPr>
                <w:webHidden/>
              </w:rPr>
            </w:r>
            <w:r w:rsidR="00AF1CB3">
              <w:rPr>
                <w:webHidden/>
              </w:rPr>
              <w:fldChar w:fldCharType="separate"/>
            </w:r>
            <w:r>
              <w:rPr>
                <w:webHidden/>
              </w:rPr>
              <w:t>42</w:t>
            </w:r>
            <w:r w:rsidR="00AF1CB3">
              <w:rPr>
                <w:webHidden/>
              </w:rPr>
              <w:fldChar w:fldCharType="end"/>
            </w:r>
          </w:hyperlink>
        </w:p>
        <w:p w:rsidR="00AF1CB3" w:rsidRDefault="00543B1C">
          <w:pPr>
            <w:pStyle w:val="TOC3"/>
            <w:rPr>
              <w:rFonts w:asciiTheme="minorHAnsi" w:eastAsiaTheme="minorEastAsia" w:hAnsiTheme="minorHAnsi"/>
              <w:lang w:eastAsia="en-AU"/>
            </w:rPr>
          </w:pPr>
          <w:hyperlink w:anchor="_Toc417460240" w:history="1">
            <w:r w:rsidR="00AF1CB3" w:rsidRPr="0029109C">
              <w:rPr>
                <w:rStyle w:val="Hyperlink"/>
              </w:rPr>
              <w:t>Money collected for future carbon tax liabilities that will no longer eventuate</w:t>
            </w:r>
            <w:r w:rsidR="00AF1CB3">
              <w:rPr>
                <w:webHidden/>
              </w:rPr>
              <w:tab/>
            </w:r>
            <w:r w:rsidR="00AF1CB3">
              <w:rPr>
                <w:webHidden/>
              </w:rPr>
              <w:fldChar w:fldCharType="begin"/>
            </w:r>
            <w:r w:rsidR="00AF1CB3">
              <w:rPr>
                <w:webHidden/>
              </w:rPr>
              <w:instrText xml:space="preserve"> PAGEREF _Toc417460240 \h </w:instrText>
            </w:r>
            <w:r w:rsidR="00AF1CB3">
              <w:rPr>
                <w:webHidden/>
              </w:rPr>
            </w:r>
            <w:r w:rsidR="00AF1CB3">
              <w:rPr>
                <w:webHidden/>
              </w:rPr>
              <w:fldChar w:fldCharType="separate"/>
            </w:r>
            <w:r>
              <w:rPr>
                <w:webHidden/>
              </w:rPr>
              <w:t>43</w:t>
            </w:r>
            <w:r w:rsidR="00AF1CB3">
              <w:rPr>
                <w:webHidden/>
              </w:rPr>
              <w:fldChar w:fldCharType="end"/>
            </w:r>
          </w:hyperlink>
        </w:p>
        <w:p w:rsidR="00AF1CB3" w:rsidRDefault="00543B1C">
          <w:pPr>
            <w:pStyle w:val="TOC3"/>
            <w:rPr>
              <w:rFonts w:asciiTheme="minorHAnsi" w:eastAsiaTheme="minorEastAsia" w:hAnsiTheme="minorHAnsi"/>
              <w:lang w:eastAsia="en-AU"/>
            </w:rPr>
          </w:pPr>
          <w:hyperlink w:anchor="_Toc417460241" w:history="1">
            <w:r w:rsidR="00AF1CB3" w:rsidRPr="0029109C">
              <w:rPr>
                <w:rStyle w:val="Hyperlink"/>
              </w:rPr>
              <w:t>The ACCC’s monitoring activities</w:t>
            </w:r>
            <w:r w:rsidR="00AF1CB3">
              <w:rPr>
                <w:webHidden/>
              </w:rPr>
              <w:tab/>
            </w:r>
            <w:r w:rsidR="00AF1CB3">
              <w:rPr>
                <w:webHidden/>
              </w:rPr>
              <w:fldChar w:fldCharType="begin"/>
            </w:r>
            <w:r w:rsidR="00AF1CB3">
              <w:rPr>
                <w:webHidden/>
              </w:rPr>
              <w:instrText xml:space="preserve"> PAGEREF _Toc417460241 \h </w:instrText>
            </w:r>
            <w:r w:rsidR="00AF1CB3">
              <w:rPr>
                <w:webHidden/>
              </w:rPr>
            </w:r>
            <w:r w:rsidR="00AF1CB3">
              <w:rPr>
                <w:webHidden/>
              </w:rPr>
              <w:fldChar w:fldCharType="separate"/>
            </w:r>
            <w:r>
              <w:rPr>
                <w:webHidden/>
              </w:rPr>
              <w:t>44</w:t>
            </w:r>
            <w:r w:rsidR="00AF1CB3">
              <w:rPr>
                <w:webHidden/>
              </w:rPr>
              <w:fldChar w:fldCharType="end"/>
            </w:r>
          </w:hyperlink>
        </w:p>
        <w:p w:rsidR="00AF1CB3" w:rsidRDefault="00543B1C">
          <w:pPr>
            <w:pStyle w:val="TOC2"/>
            <w:rPr>
              <w:rFonts w:asciiTheme="minorHAnsi" w:eastAsiaTheme="minorEastAsia" w:hAnsiTheme="minorHAnsi"/>
              <w:lang w:eastAsia="en-AU"/>
            </w:rPr>
          </w:pPr>
          <w:hyperlink w:anchor="_Toc417460242" w:history="1">
            <w:r w:rsidR="00AF1CB3" w:rsidRPr="0029109C">
              <w:rPr>
                <w:rStyle w:val="Hyperlink"/>
              </w:rPr>
              <w:t>Construction material manufacturing</w:t>
            </w:r>
            <w:r w:rsidR="00AF1CB3">
              <w:rPr>
                <w:webHidden/>
              </w:rPr>
              <w:tab/>
            </w:r>
            <w:r w:rsidR="00AF1CB3">
              <w:rPr>
                <w:webHidden/>
              </w:rPr>
              <w:fldChar w:fldCharType="begin"/>
            </w:r>
            <w:r w:rsidR="00AF1CB3">
              <w:rPr>
                <w:webHidden/>
              </w:rPr>
              <w:instrText xml:space="preserve"> PAGEREF _Toc417460242 \h </w:instrText>
            </w:r>
            <w:r w:rsidR="00AF1CB3">
              <w:rPr>
                <w:webHidden/>
              </w:rPr>
            </w:r>
            <w:r w:rsidR="00AF1CB3">
              <w:rPr>
                <w:webHidden/>
              </w:rPr>
              <w:fldChar w:fldCharType="separate"/>
            </w:r>
            <w:r>
              <w:rPr>
                <w:webHidden/>
              </w:rPr>
              <w:t>44</w:t>
            </w:r>
            <w:r w:rsidR="00AF1CB3">
              <w:rPr>
                <w:webHidden/>
              </w:rPr>
              <w:fldChar w:fldCharType="end"/>
            </w:r>
          </w:hyperlink>
        </w:p>
        <w:p w:rsidR="00AF1CB3" w:rsidRDefault="00543B1C">
          <w:pPr>
            <w:pStyle w:val="TOC3"/>
            <w:rPr>
              <w:rFonts w:asciiTheme="minorHAnsi" w:eastAsiaTheme="minorEastAsia" w:hAnsiTheme="minorHAnsi"/>
              <w:lang w:eastAsia="en-AU"/>
            </w:rPr>
          </w:pPr>
          <w:hyperlink w:anchor="_Toc417460243" w:history="1">
            <w:r w:rsidR="00AF1CB3" w:rsidRPr="0029109C">
              <w:rPr>
                <w:rStyle w:val="Hyperlink"/>
              </w:rPr>
              <w:t>Bricks and related products</w:t>
            </w:r>
            <w:r w:rsidR="00AF1CB3">
              <w:rPr>
                <w:webHidden/>
              </w:rPr>
              <w:tab/>
            </w:r>
            <w:r w:rsidR="00AF1CB3">
              <w:rPr>
                <w:webHidden/>
              </w:rPr>
              <w:fldChar w:fldCharType="begin"/>
            </w:r>
            <w:r w:rsidR="00AF1CB3">
              <w:rPr>
                <w:webHidden/>
              </w:rPr>
              <w:instrText xml:space="preserve"> PAGEREF _Toc417460243 \h </w:instrText>
            </w:r>
            <w:r w:rsidR="00AF1CB3">
              <w:rPr>
                <w:webHidden/>
              </w:rPr>
            </w:r>
            <w:r w:rsidR="00AF1CB3">
              <w:rPr>
                <w:webHidden/>
              </w:rPr>
              <w:fldChar w:fldCharType="separate"/>
            </w:r>
            <w:r>
              <w:rPr>
                <w:webHidden/>
              </w:rPr>
              <w:t>44</w:t>
            </w:r>
            <w:r w:rsidR="00AF1CB3">
              <w:rPr>
                <w:webHidden/>
              </w:rPr>
              <w:fldChar w:fldCharType="end"/>
            </w:r>
          </w:hyperlink>
        </w:p>
        <w:p w:rsidR="00AF1CB3" w:rsidRDefault="00543B1C">
          <w:pPr>
            <w:pStyle w:val="TOC3"/>
            <w:rPr>
              <w:rFonts w:asciiTheme="minorHAnsi" w:eastAsiaTheme="minorEastAsia" w:hAnsiTheme="minorHAnsi"/>
              <w:lang w:eastAsia="en-AU"/>
            </w:rPr>
          </w:pPr>
          <w:hyperlink w:anchor="_Toc417460244" w:history="1">
            <w:r w:rsidR="00AF1CB3" w:rsidRPr="0029109C">
              <w:rPr>
                <w:rStyle w:val="Hyperlink"/>
              </w:rPr>
              <w:t>The ACCC’s monitoring activities</w:t>
            </w:r>
            <w:r w:rsidR="00AF1CB3">
              <w:rPr>
                <w:webHidden/>
              </w:rPr>
              <w:tab/>
            </w:r>
            <w:r w:rsidR="00AF1CB3">
              <w:rPr>
                <w:webHidden/>
              </w:rPr>
              <w:fldChar w:fldCharType="begin"/>
            </w:r>
            <w:r w:rsidR="00AF1CB3">
              <w:rPr>
                <w:webHidden/>
              </w:rPr>
              <w:instrText xml:space="preserve"> PAGEREF _Toc417460244 \h </w:instrText>
            </w:r>
            <w:r w:rsidR="00AF1CB3">
              <w:rPr>
                <w:webHidden/>
              </w:rPr>
            </w:r>
            <w:r w:rsidR="00AF1CB3">
              <w:rPr>
                <w:webHidden/>
              </w:rPr>
              <w:fldChar w:fldCharType="separate"/>
            </w:r>
            <w:r>
              <w:rPr>
                <w:webHidden/>
              </w:rPr>
              <w:t>46</w:t>
            </w:r>
            <w:r w:rsidR="00AF1CB3">
              <w:rPr>
                <w:webHidden/>
              </w:rPr>
              <w:fldChar w:fldCharType="end"/>
            </w:r>
          </w:hyperlink>
        </w:p>
        <w:p w:rsidR="00AF1CB3" w:rsidRDefault="00543B1C">
          <w:pPr>
            <w:pStyle w:val="TOC2"/>
            <w:rPr>
              <w:rFonts w:asciiTheme="minorHAnsi" w:eastAsiaTheme="minorEastAsia" w:hAnsiTheme="minorHAnsi"/>
              <w:lang w:eastAsia="en-AU"/>
            </w:rPr>
          </w:pPr>
          <w:hyperlink w:anchor="_Toc417460245" w:history="1">
            <w:r w:rsidR="00AF1CB3" w:rsidRPr="0029109C">
              <w:rPr>
                <w:rStyle w:val="Hyperlink"/>
              </w:rPr>
              <w:t>Domestic passenger air transport services</w:t>
            </w:r>
            <w:r w:rsidR="00AF1CB3">
              <w:rPr>
                <w:webHidden/>
              </w:rPr>
              <w:tab/>
            </w:r>
            <w:r w:rsidR="00AF1CB3">
              <w:rPr>
                <w:webHidden/>
              </w:rPr>
              <w:fldChar w:fldCharType="begin"/>
            </w:r>
            <w:r w:rsidR="00AF1CB3">
              <w:rPr>
                <w:webHidden/>
              </w:rPr>
              <w:instrText xml:space="preserve"> PAGEREF _Toc417460245 \h </w:instrText>
            </w:r>
            <w:r w:rsidR="00AF1CB3">
              <w:rPr>
                <w:webHidden/>
              </w:rPr>
            </w:r>
            <w:r w:rsidR="00AF1CB3">
              <w:rPr>
                <w:webHidden/>
              </w:rPr>
              <w:fldChar w:fldCharType="separate"/>
            </w:r>
            <w:r>
              <w:rPr>
                <w:webHidden/>
              </w:rPr>
              <w:t>46</w:t>
            </w:r>
            <w:r w:rsidR="00AF1CB3">
              <w:rPr>
                <w:webHidden/>
              </w:rPr>
              <w:fldChar w:fldCharType="end"/>
            </w:r>
          </w:hyperlink>
        </w:p>
        <w:p w:rsidR="00AF1CB3" w:rsidRDefault="00543B1C">
          <w:pPr>
            <w:pStyle w:val="TOC3"/>
            <w:rPr>
              <w:rFonts w:asciiTheme="minorHAnsi" w:eastAsiaTheme="minorEastAsia" w:hAnsiTheme="minorHAnsi"/>
              <w:lang w:eastAsia="en-AU"/>
            </w:rPr>
          </w:pPr>
          <w:hyperlink w:anchor="_Toc417460246" w:history="1">
            <w:r w:rsidR="00AF1CB3" w:rsidRPr="0029109C">
              <w:rPr>
                <w:rStyle w:val="Hyperlink"/>
              </w:rPr>
              <w:t>Representations regarding the carbon tax repeal</w:t>
            </w:r>
            <w:r w:rsidR="00AF1CB3">
              <w:rPr>
                <w:webHidden/>
              </w:rPr>
              <w:tab/>
            </w:r>
            <w:r w:rsidR="00AF1CB3">
              <w:rPr>
                <w:webHidden/>
              </w:rPr>
              <w:fldChar w:fldCharType="begin"/>
            </w:r>
            <w:r w:rsidR="00AF1CB3">
              <w:rPr>
                <w:webHidden/>
              </w:rPr>
              <w:instrText xml:space="preserve"> PAGEREF _Toc417460246 \h </w:instrText>
            </w:r>
            <w:r w:rsidR="00AF1CB3">
              <w:rPr>
                <w:webHidden/>
              </w:rPr>
            </w:r>
            <w:r w:rsidR="00AF1CB3">
              <w:rPr>
                <w:webHidden/>
              </w:rPr>
              <w:fldChar w:fldCharType="separate"/>
            </w:r>
            <w:r>
              <w:rPr>
                <w:webHidden/>
              </w:rPr>
              <w:t>46</w:t>
            </w:r>
            <w:r w:rsidR="00AF1CB3">
              <w:rPr>
                <w:webHidden/>
              </w:rPr>
              <w:fldChar w:fldCharType="end"/>
            </w:r>
          </w:hyperlink>
        </w:p>
        <w:p w:rsidR="00AF1CB3" w:rsidRDefault="00543B1C">
          <w:pPr>
            <w:pStyle w:val="TOC3"/>
            <w:rPr>
              <w:rFonts w:asciiTheme="minorHAnsi" w:eastAsiaTheme="minorEastAsia" w:hAnsiTheme="minorHAnsi"/>
              <w:lang w:eastAsia="en-AU"/>
            </w:rPr>
          </w:pPr>
          <w:hyperlink w:anchor="_Toc417460247" w:history="1">
            <w:r w:rsidR="00AF1CB3" w:rsidRPr="0029109C">
              <w:rPr>
                <w:rStyle w:val="Hyperlink"/>
              </w:rPr>
              <w:t>The ACCC’s assessment</w:t>
            </w:r>
            <w:r w:rsidR="00AF1CB3">
              <w:rPr>
                <w:webHidden/>
              </w:rPr>
              <w:tab/>
            </w:r>
            <w:r w:rsidR="00AF1CB3">
              <w:rPr>
                <w:webHidden/>
              </w:rPr>
              <w:fldChar w:fldCharType="begin"/>
            </w:r>
            <w:r w:rsidR="00AF1CB3">
              <w:rPr>
                <w:webHidden/>
              </w:rPr>
              <w:instrText xml:space="preserve"> PAGEREF _Toc417460247 \h </w:instrText>
            </w:r>
            <w:r w:rsidR="00AF1CB3">
              <w:rPr>
                <w:webHidden/>
              </w:rPr>
            </w:r>
            <w:r w:rsidR="00AF1CB3">
              <w:rPr>
                <w:webHidden/>
              </w:rPr>
              <w:fldChar w:fldCharType="separate"/>
            </w:r>
            <w:r>
              <w:rPr>
                <w:webHidden/>
              </w:rPr>
              <w:t>47</w:t>
            </w:r>
            <w:r w:rsidR="00AF1CB3">
              <w:rPr>
                <w:webHidden/>
              </w:rPr>
              <w:fldChar w:fldCharType="end"/>
            </w:r>
          </w:hyperlink>
        </w:p>
        <w:p w:rsidR="00AF1CB3" w:rsidRDefault="00543B1C">
          <w:pPr>
            <w:pStyle w:val="TOC1"/>
            <w:rPr>
              <w:rFonts w:asciiTheme="minorHAnsi" w:eastAsiaTheme="minorEastAsia" w:hAnsiTheme="minorHAnsi"/>
              <w:lang w:val="en-AU" w:eastAsia="en-AU"/>
            </w:rPr>
          </w:pPr>
          <w:hyperlink w:anchor="_Toc417460248" w:history="1">
            <w:r w:rsidR="00AF1CB3" w:rsidRPr="0029109C">
              <w:rPr>
                <w:rStyle w:val="Hyperlink"/>
              </w:rPr>
              <w:t>Compliance</w:t>
            </w:r>
            <w:r w:rsidR="00AF1CB3">
              <w:rPr>
                <w:webHidden/>
              </w:rPr>
              <w:tab/>
            </w:r>
            <w:r w:rsidR="00AF1CB3">
              <w:rPr>
                <w:webHidden/>
              </w:rPr>
              <w:fldChar w:fldCharType="begin"/>
            </w:r>
            <w:r w:rsidR="00AF1CB3">
              <w:rPr>
                <w:webHidden/>
              </w:rPr>
              <w:instrText xml:space="preserve"> PAGEREF _Toc417460248 \h </w:instrText>
            </w:r>
            <w:r w:rsidR="00AF1CB3">
              <w:rPr>
                <w:webHidden/>
              </w:rPr>
            </w:r>
            <w:r w:rsidR="00AF1CB3">
              <w:rPr>
                <w:webHidden/>
              </w:rPr>
              <w:fldChar w:fldCharType="separate"/>
            </w:r>
            <w:r>
              <w:rPr>
                <w:webHidden/>
              </w:rPr>
              <w:t>48</w:t>
            </w:r>
            <w:r w:rsidR="00AF1CB3">
              <w:rPr>
                <w:webHidden/>
              </w:rPr>
              <w:fldChar w:fldCharType="end"/>
            </w:r>
          </w:hyperlink>
        </w:p>
        <w:p w:rsidR="00AF1CB3" w:rsidRDefault="00543B1C">
          <w:pPr>
            <w:pStyle w:val="TOC1"/>
            <w:rPr>
              <w:rFonts w:asciiTheme="minorHAnsi" w:eastAsiaTheme="minorEastAsia" w:hAnsiTheme="minorHAnsi"/>
              <w:lang w:val="en-AU" w:eastAsia="en-AU"/>
            </w:rPr>
          </w:pPr>
          <w:hyperlink w:anchor="_Toc417460249" w:history="1">
            <w:r w:rsidR="00AF1CB3" w:rsidRPr="0029109C">
              <w:rPr>
                <w:rStyle w:val="Hyperlink"/>
              </w:rPr>
              <w:t>Enforcement</w:t>
            </w:r>
            <w:r w:rsidR="00AF1CB3">
              <w:rPr>
                <w:webHidden/>
              </w:rPr>
              <w:tab/>
            </w:r>
            <w:r w:rsidR="00AF1CB3">
              <w:rPr>
                <w:webHidden/>
              </w:rPr>
              <w:fldChar w:fldCharType="begin"/>
            </w:r>
            <w:r w:rsidR="00AF1CB3">
              <w:rPr>
                <w:webHidden/>
              </w:rPr>
              <w:instrText xml:space="preserve"> PAGEREF _Toc417460249 \h </w:instrText>
            </w:r>
            <w:r w:rsidR="00AF1CB3">
              <w:rPr>
                <w:webHidden/>
              </w:rPr>
            </w:r>
            <w:r w:rsidR="00AF1CB3">
              <w:rPr>
                <w:webHidden/>
              </w:rPr>
              <w:fldChar w:fldCharType="separate"/>
            </w:r>
            <w:r>
              <w:rPr>
                <w:webHidden/>
              </w:rPr>
              <w:t>50</w:t>
            </w:r>
            <w:r w:rsidR="00AF1CB3">
              <w:rPr>
                <w:webHidden/>
              </w:rPr>
              <w:fldChar w:fldCharType="end"/>
            </w:r>
          </w:hyperlink>
        </w:p>
        <w:p w:rsidR="00AF1CB3" w:rsidRDefault="00543B1C">
          <w:pPr>
            <w:pStyle w:val="TOC1"/>
            <w:rPr>
              <w:rFonts w:asciiTheme="minorHAnsi" w:eastAsiaTheme="minorEastAsia" w:hAnsiTheme="minorHAnsi"/>
              <w:lang w:val="en-AU" w:eastAsia="en-AU"/>
            </w:rPr>
          </w:pPr>
          <w:hyperlink w:anchor="_Toc417460250" w:history="1">
            <w:r w:rsidR="00AF1CB3" w:rsidRPr="0029109C">
              <w:rPr>
                <w:rStyle w:val="Hyperlink"/>
              </w:rPr>
              <w:t>Annexure 1: Glossary</w:t>
            </w:r>
            <w:r w:rsidR="00AF1CB3">
              <w:rPr>
                <w:webHidden/>
              </w:rPr>
              <w:tab/>
            </w:r>
            <w:r w:rsidR="00AF1CB3">
              <w:rPr>
                <w:webHidden/>
              </w:rPr>
              <w:fldChar w:fldCharType="begin"/>
            </w:r>
            <w:r w:rsidR="00AF1CB3">
              <w:rPr>
                <w:webHidden/>
              </w:rPr>
              <w:instrText xml:space="preserve"> PAGEREF _Toc417460250 \h </w:instrText>
            </w:r>
            <w:r w:rsidR="00AF1CB3">
              <w:rPr>
                <w:webHidden/>
              </w:rPr>
            </w:r>
            <w:r w:rsidR="00AF1CB3">
              <w:rPr>
                <w:webHidden/>
              </w:rPr>
              <w:fldChar w:fldCharType="separate"/>
            </w:r>
            <w:r>
              <w:rPr>
                <w:webHidden/>
              </w:rPr>
              <w:t>51</w:t>
            </w:r>
            <w:r w:rsidR="00AF1CB3">
              <w:rPr>
                <w:webHidden/>
              </w:rPr>
              <w:fldChar w:fldCharType="end"/>
            </w:r>
          </w:hyperlink>
        </w:p>
        <w:p w:rsidR="00D353B4" w:rsidRDefault="00D353B4" w:rsidP="009847F6">
          <w:pPr>
            <w:rPr>
              <w:rFonts w:ascii="Lucida Fax" w:eastAsiaTheme="majorEastAsia" w:hAnsi="Lucida Fax" w:cstheme="majorBidi"/>
              <w:color w:val="51626F"/>
              <w:sz w:val="32"/>
              <w:szCs w:val="28"/>
            </w:rPr>
          </w:pPr>
          <w:r>
            <w:rPr>
              <w:b/>
            </w:rPr>
            <w:fldChar w:fldCharType="end"/>
          </w:r>
        </w:p>
      </w:sdtContent>
    </w:sdt>
    <w:p w:rsidR="009847F6" w:rsidRDefault="009847F6" w:rsidP="009847F6">
      <w:pPr>
        <w:rPr>
          <w:rFonts w:ascii="Lucida Fax" w:eastAsiaTheme="majorEastAsia" w:hAnsi="Lucida Fax" w:cstheme="majorBidi"/>
          <w:color w:val="51626F"/>
          <w:sz w:val="32"/>
          <w:szCs w:val="28"/>
        </w:rPr>
      </w:pPr>
      <w:r>
        <w:br w:type="page"/>
      </w:r>
    </w:p>
    <w:p w:rsidR="00AB36D9" w:rsidRPr="00AB36D9" w:rsidRDefault="00AB36D9" w:rsidP="00065469">
      <w:pPr>
        <w:pStyle w:val="Heading1"/>
      </w:pPr>
      <w:bookmarkStart w:id="6" w:name="_Toc417460213"/>
      <w:bookmarkStart w:id="7" w:name="_GoBack"/>
      <w:bookmarkEnd w:id="7"/>
      <w:r w:rsidRPr="00AB36D9">
        <w:lastRenderedPageBreak/>
        <w:t>Executive Summary</w:t>
      </w:r>
      <w:bookmarkEnd w:id="6"/>
    </w:p>
    <w:p w:rsidR="00AB36D9" w:rsidRPr="00AB36D9" w:rsidRDefault="00BF3CD9" w:rsidP="00065469">
      <w:r>
        <w:t xml:space="preserve">This </w:t>
      </w:r>
      <w:r w:rsidR="00AB36D9" w:rsidRPr="00AB36D9">
        <w:t>report provides information about the monitoring, compliance and enforcement activities of the Australian Competition and Consumer Commission (ACCC) during the March 2015 quarter in relation to the price reduction obligation.</w:t>
      </w:r>
      <w:r w:rsidR="007E1353">
        <w:rPr>
          <w:rStyle w:val="FootnoteReference"/>
        </w:rPr>
        <w:footnoteReference w:id="1"/>
      </w:r>
      <w:r w:rsidR="00AB36D9" w:rsidRPr="00AB36D9">
        <w:t xml:space="preserve"> The</w:t>
      </w:r>
      <w:r w:rsidR="00745397">
        <w:t xml:space="preserve"> ACCC is now satisfied that all </w:t>
      </w:r>
      <w:r w:rsidR="00850464">
        <w:t xml:space="preserve">entities in the electricity and natural gas sectors </w:t>
      </w:r>
      <w:r w:rsidR="00276F30">
        <w:t>apart from</w:t>
      </w:r>
      <w:r w:rsidR="00745397">
        <w:t xml:space="preserve"> one small </w:t>
      </w:r>
      <w:r w:rsidR="00850464">
        <w:t>entity</w:t>
      </w:r>
      <w:r w:rsidR="00AB36D9" w:rsidRPr="00AB36D9">
        <w:t xml:space="preserve"> have passed through all savings from the repeal of the carbon tax.</w:t>
      </w:r>
    </w:p>
    <w:p w:rsidR="00AB36D9" w:rsidRPr="00AB36D9" w:rsidRDefault="00AB36D9" w:rsidP="00065469">
      <w:r w:rsidRPr="00AB36D9">
        <w:t>During the March 2015 quarter, the ACCC has continued to analyse information re</w:t>
      </w:r>
      <w:r w:rsidR="00876DC2">
        <w:t>ceived during previous quarters</w:t>
      </w:r>
      <w:r w:rsidRPr="00AB36D9">
        <w:t xml:space="preserve"> and engaged with some entities</w:t>
      </w:r>
      <w:r w:rsidR="00850464" w:rsidRPr="00AB36D9">
        <w:rPr>
          <w:vertAlign w:val="superscript"/>
        </w:rPr>
        <w:footnoteReference w:id="2"/>
      </w:r>
      <w:r w:rsidRPr="00AB36D9">
        <w:t xml:space="preserve"> to clarify information provided to the ACCC. As a result, the ACCC:</w:t>
      </w:r>
    </w:p>
    <w:p w:rsidR="00AB36D9" w:rsidRPr="00AB36D9" w:rsidRDefault="00AB36D9" w:rsidP="005731FB">
      <w:pPr>
        <w:pStyle w:val="Bulletpoint"/>
      </w:pPr>
      <w:r w:rsidRPr="00AB36D9">
        <w:t>is satisfied that all carbon tax cost savings have been returned in the electricity and natural</w:t>
      </w:r>
      <w:r w:rsidR="00AB0AD3">
        <w:t xml:space="preserve"> gas sectors with one</w:t>
      </w:r>
      <w:r w:rsidR="008043DA">
        <w:t xml:space="preserve"> small</w:t>
      </w:r>
      <w:r w:rsidR="00AB0AD3">
        <w:t xml:space="preserve"> exception</w:t>
      </w:r>
    </w:p>
    <w:p w:rsidR="00AB36D9" w:rsidRPr="00AB36D9" w:rsidRDefault="00AB36D9" w:rsidP="005731FB">
      <w:pPr>
        <w:pStyle w:val="Bulletpoint"/>
      </w:pPr>
      <w:r w:rsidRPr="00AB36D9">
        <w:t xml:space="preserve">will continue to engage with downstream synthetic greenhouse gas (SGG) wholesaling customers to confirm the effect of the carbon </w:t>
      </w:r>
      <w:r w:rsidR="00AB0AD3">
        <w:t>tax repeal on the price of SGGs</w:t>
      </w:r>
    </w:p>
    <w:p w:rsidR="00AB36D9" w:rsidRPr="00AB36D9" w:rsidRDefault="00AB36D9" w:rsidP="005731FB">
      <w:pPr>
        <w:pStyle w:val="Bulletpoint"/>
      </w:pPr>
      <w:r w:rsidRPr="00AB36D9">
        <w:t xml:space="preserve">considers that the approach to the issue of future carbon tax liabilities that will no longer eventuate in the landfill sector, as set out in the Department of the Environment’s </w:t>
      </w:r>
      <w:r w:rsidR="00AB0AD3">
        <w:t xml:space="preserve">draft </w:t>
      </w:r>
      <w:r w:rsidR="00A1767F">
        <w:t>F</w:t>
      </w:r>
      <w:r w:rsidR="00AB0AD3">
        <w:t>ramework, is appropriate</w:t>
      </w:r>
    </w:p>
    <w:p w:rsidR="00AB36D9" w:rsidRPr="00AB36D9" w:rsidRDefault="00AB36D9" w:rsidP="005731FB">
      <w:pPr>
        <w:pStyle w:val="Bulletpoint"/>
      </w:pPr>
      <w:r w:rsidRPr="00AB36D9">
        <w:t>is satisfied that, where carbon-tax related price increases were made, there is no information available to indicate that any liable entities in the construction material manufacturing sector are continuing to charge prices that include any carbon tax components, and</w:t>
      </w:r>
    </w:p>
    <w:p w:rsidR="00AB36D9" w:rsidRPr="00AB36D9" w:rsidRDefault="00AB36D9" w:rsidP="005731FB">
      <w:pPr>
        <w:pStyle w:val="Bulletpoint"/>
      </w:pPr>
      <w:r w:rsidRPr="00AB36D9">
        <w:t xml:space="preserve">has completed its assessment of the representations made by </w:t>
      </w:r>
      <w:r w:rsidR="00876DC2" w:rsidRPr="00AB36D9">
        <w:t>Qantas Airways Ltd (Qantas)</w:t>
      </w:r>
      <w:r w:rsidRPr="00AB36D9">
        <w:t xml:space="preserve"> and </w:t>
      </w:r>
      <w:r w:rsidR="00876DC2" w:rsidRPr="00AB36D9">
        <w:t xml:space="preserve">Virgin Australia Airlines Pty Ltd (Virgin) </w:t>
      </w:r>
      <w:r w:rsidRPr="00AB36D9">
        <w:t xml:space="preserve">about the effect </w:t>
      </w:r>
      <w:r w:rsidR="00876DC2">
        <w:t>of the carbon tax repeal on air</w:t>
      </w:r>
      <w:r w:rsidRPr="00AB36D9">
        <w:t xml:space="preserve">fares and does not propose any further action. </w:t>
      </w:r>
    </w:p>
    <w:p w:rsidR="00C2202D" w:rsidRDefault="00AB36D9" w:rsidP="007E1353">
      <w:r w:rsidRPr="00AB36D9">
        <w:t>The price reduction obligation prom</w:t>
      </w:r>
      <w:r w:rsidR="007E1353">
        <w:t xml:space="preserve">oted a high level of compliance </w:t>
      </w:r>
      <w:r w:rsidRPr="00AB36D9">
        <w:t>within the electricity and natural gas sectors. The price exploitation provisions with high penalties for non-compliance, combined with</w:t>
      </w:r>
      <w:r w:rsidR="00580FD0">
        <w:t xml:space="preserve"> transparency</w:t>
      </w:r>
      <w:r w:rsidRPr="00AB36D9">
        <w:t xml:space="preserve"> requirements to substantiate savings and provide statements to customers led to the level of compliance observed within these sectors. </w:t>
      </w:r>
    </w:p>
    <w:p w:rsidR="00B54A88" w:rsidRDefault="00B54A88" w:rsidP="007E1353">
      <w:r>
        <w:t>B</w:t>
      </w:r>
      <w:r w:rsidRPr="00AB36D9">
        <w:t>ulk SGG suppliers and SGG equipment suppliers</w:t>
      </w:r>
      <w:r>
        <w:t xml:space="preserve"> were subject to the same price exploitation provisions and the transparency requirements to substantiate savings as electricity and natural gas retailers; however, the ACCC has some outstanding questions to be resolved. The ACCC has issued notices pursuant to section 60H </w:t>
      </w:r>
      <w:r w:rsidRPr="00AB36D9">
        <w:t xml:space="preserve">of the </w:t>
      </w:r>
      <w:r w:rsidRPr="009847F6">
        <w:rPr>
          <w:rStyle w:val="Emphasis"/>
        </w:rPr>
        <w:t>Competition and Consumer Act 2010</w:t>
      </w:r>
      <w:r w:rsidRPr="00AB36D9">
        <w:t xml:space="preserve"> (Cth) (CCA)</w:t>
      </w:r>
      <w:r>
        <w:t xml:space="preserve"> to confirm the effect of the carbon tax repeal on the price of SGGs. </w:t>
      </w:r>
    </w:p>
    <w:p w:rsidR="00B54A88" w:rsidRDefault="00AB36D9" w:rsidP="00065469">
      <w:r w:rsidRPr="00AB36D9">
        <w:t>Other sectors such as landfill, construction material manufacturing and domestic passenger air transport services were not subject to such a rigorous l</w:t>
      </w:r>
      <w:r w:rsidR="00876DC2">
        <w:t>egislative regime requiring entities in these sectors</w:t>
      </w:r>
      <w:r w:rsidRPr="00AB36D9">
        <w:t xml:space="preserve"> to demonstrate removal of carbon tax cost components from their prices. However, entities in these sectors are prohibited from making false or misleading representations about the effect of the carbon tax repeal on prices pursuant to the price reduction obligation, as well as being subject to the general provisions of the Australian Consumer Law (ACL) relating to misleading or deceptive conduct, and fals</w:t>
      </w:r>
      <w:r w:rsidR="00B54A88">
        <w:t>e or misleading representations.</w:t>
      </w:r>
    </w:p>
    <w:p w:rsidR="00AB36D9" w:rsidRPr="00AB36D9" w:rsidRDefault="00AB36D9" w:rsidP="00065469">
      <w:r w:rsidRPr="00AB36D9">
        <w:lastRenderedPageBreak/>
        <w:t>No enforcement actions have been undertaken in the March 2015 quarter. Complaints have continued to decline steadily since the December 2014 quarter and are lower than the number received in the March 2013 quarter after the introduction of the carbon tax.</w:t>
      </w:r>
    </w:p>
    <w:p w:rsidR="00AB36D9" w:rsidRPr="00AB36D9" w:rsidRDefault="00580FD0" w:rsidP="00065469">
      <w:r>
        <w:t xml:space="preserve">This report seeks to confirm, or otherwise, the pass through of carbon tax repeal savings. </w:t>
      </w:r>
      <w:r w:rsidR="00F32857">
        <w:t xml:space="preserve">The next, and last, report </w:t>
      </w:r>
      <w:r w:rsidR="00AB36D9" w:rsidRPr="00AB36D9">
        <w:t>will provide an update on the remaining industries under assessment and summarise the key findings of the ACCC’s monitoring activities since 1 January 2014.</w:t>
      </w:r>
    </w:p>
    <w:p w:rsidR="00AB36D9" w:rsidRPr="00AB36D9" w:rsidRDefault="00AB36D9" w:rsidP="00065469">
      <w:pPr>
        <w:pStyle w:val="Heading2"/>
      </w:pPr>
      <w:bookmarkStart w:id="8" w:name="_Toc417460214"/>
      <w:r w:rsidRPr="00AB36D9">
        <w:t>Electricity</w:t>
      </w:r>
      <w:bookmarkEnd w:id="8"/>
    </w:p>
    <w:p w:rsidR="00AB36D9" w:rsidRPr="00AB36D9" w:rsidRDefault="00AB36D9" w:rsidP="00065469">
      <w:r w:rsidRPr="00AB36D9">
        <w:t xml:space="preserve">Based on the information available, the ACCC is satisfied that electricity retailers’ calculation of the amount of carbon tax costs to be removed from prices after repeal corresponds to the carbon tax component that was included in prices prior to repeal, with a small adjustment for repeal implementation costs in some cases. The ACCC is also satisfied that all electricity retailers but one have passed on to customers the cost savings from the repeal of the carbon tax. </w:t>
      </w:r>
    </w:p>
    <w:p w:rsidR="00AB36D9" w:rsidRPr="00AB36D9" w:rsidRDefault="00AB36D9" w:rsidP="00065469">
      <w:r w:rsidRPr="00AB36D9">
        <w:t>Information obtained from large electricity on-sellers and other industry participants has satisfied the ACCC that operators in this sector have passed on to their customers the full benefit of the carbon tax repeal. However</w:t>
      </w:r>
      <w:r w:rsidR="00876DC2">
        <w:t>,</w:t>
      </w:r>
      <w:r w:rsidRPr="00AB36D9">
        <w:t xml:space="preserve"> consumers with information suggesting this is not the case are encouraged to contact the ACCC.</w:t>
      </w:r>
    </w:p>
    <w:p w:rsidR="00AB36D9" w:rsidRPr="009847F6" w:rsidRDefault="00AB36D9" w:rsidP="00AB36D9">
      <w:pPr>
        <w:keepNext/>
        <w:keepLines/>
        <w:spacing w:before="240" w:after="120"/>
      </w:pPr>
      <w:r w:rsidRPr="00065469">
        <w:rPr>
          <w:rStyle w:val="TabletitleChar"/>
        </w:rPr>
        <w:t xml:space="preserve">Table </w:t>
      </w:r>
      <w:r w:rsidRPr="007131BA">
        <w:rPr>
          <w:rStyle w:val="TabletitleChar"/>
        </w:rPr>
        <w:t>1</w:t>
      </w:r>
      <w:r w:rsidRPr="00065469">
        <w:rPr>
          <w:rStyle w:val="TabletitleChar"/>
        </w:rPr>
        <w:t>: Average carbon tax repeal cost savings passed through to electricity customers</w:t>
      </w:r>
      <w:r w:rsidRPr="009847F6">
        <w:rPr>
          <w:szCs w:val="20"/>
          <w:vertAlign w:val="superscript"/>
        </w:rPr>
        <w:footnoteReference w:id="3"/>
      </w:r>
      <w:r w:rsidRPr="009847F6">
        <w:t xml:space="preserve"> </w:t>
      </w:r>
    </w:p>
    <w:tbl>
      <w:tblPr>
        <w:tblStyle w:val="LightShading1"/>
        <w:tblW w:w="0" w:type="auto"/>
        <w:tblLayout w:type="fixed"/>
        <w:tblLook w:val="04A0" w:firstRow="1" w:lastRow="0" w:firstColumn="1" w:lastColumn="0" w:noHBand="0" w:noVBand="1"/>
      </w:tblPr>
      <w:tblGrid>
        <w:gridCol w:w="1526"/>
        <w:gridCol w:w="964"/>
        <w:gridCol w:w="964"/>
        <w:gridCol w:w="964"/>
        <w:gridCol w:w="964"/>
        <w:gridCol w:w="964"/>
        <w:gridCol w:w="964"/>
        <w:gridCol w:w="964"/>
        <w:gridCol w:w="964"/>
      </w:tblGrid>
      <w:tr w:rsidR="00AB36D9" w:rsidRPr="00AB36D9" w:rsidTr="000A14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rsidR="00AB36D9" w:rsidRPr="00AB36D9" w:rsidRDefault="00AB36D9" w:rsidP="00D721DE">
            <w:pPr>
              <w:pStyle w:val="Tabletext"/>
            </w:pPr>
            <w:r w:rsidRPr="00AB36D9">
              <w:t>State</w:t>
            </w:r>
          </w:p>
        </w:tc>
        <w:tc>
          <w:tcPr>
            <w:tcW w:w="964" w:type="dxa"/>
          </w:tcPr>
          <w:p w:rsidR="00AB36D9" w:rsidRPr="00AB36D9" w:rsidRDefault="00AB36D9" w:rsidP="00D721DE">
            <w:pPr>
              <w:pStyle w:val="Tabletext"/>
              <w:jc w:val="center"/>
              <w:cnfStyle w:val="100000000000" w:firstRow="1" w:lastRow="0" w:firstColumn="0" w:lastColumn="0" w:oddVBand="0" w:evenVBand="0" w:oddHBand="0" w:evenHBand="0" w:firstRowFirstColumn="0" w:firstRowLastColumn="0" w:lastRowFirstColumn="0" w:lastRowLastColumn="0"/>
            </w:pPr>
            <w:r w:rsidRPr="00AB36D9">
              <w:t>NSW</w:t>
            </w:r>
          </w:p>
        </w:tc>
        <w:tc>
          <w:tcPr>
            <w:tcW w:w="964" w:type="dxa"/>
          </w:tcPr>
          <w:p w:rsidR="00AB36D9" w:rsidRPr="00AB36D9" w:rsidRDefault="00AB36D9" w:rsidP="00D721DE">
            <w:pPr>
              <w:pStyle w:val="Tabletext"/>
              <w:jc w:val="center"/>
              <w:cnfStyle w:val="100000000000" w:firstRow="1" w:lastRow="0" w:firstColumn="0" w:lastColumn="0" w:oddVBand="0" w:evenVBand="0" w:oddHBand="0" w:evenHBand="0" w:firstRowFirstColumn="0" w:firstRowLastColumn="0" w:lastRowFirstColumn="0" w:lastRowLastColumn="0"/>
            </w:pPr>
            <w:r w:rsidRPr="00AB36D9">
              <w:t>VIC</w:t>
            </w:r>
          </w:p>
        </w:tc>
        <w:tc>
          <w:tcPr>
            <w:tcW w:w="964" w:type="dxa"/>
          </w:tcPr>
          <w:p w:rsidR="00AB36D9" w:rsidRPr="00AB36D9" w:rsidRDefault="00AB36D9" w:rsidP="00D721DE">
            <w:pPr>
              <w:pStyle w:val="Tabletext"/>
              <w:jc w:val="center"/>
              <w:cnfStyle w:val="100000000000" w:firstRow="1" w:lastRow="0" w:firstColumn="0" w:lastColumn="0" w:oddVBand="0" w:evenVBand="0" w:oddHBand="0" w:evenHBand="0" w:firstRowFirstColumn="0" w:firstRowLastColumn="0" w:lastRowFirstColumn="0" w:lastRowLastColumn="0"/>
            </w:pPr>
            <w:r w:rsidRPr="00AB36D9">
              <w:t>SA</w:t>
            </w:r>
          </w:p>
        </w:tc>
        <w:tc>
          <w:tcPr>
            <w:tcW w:w="964" w:type="dxa"/>
          </w:tcPr>
          <w:p w:rsidR="00AB36D9" w:rsidRPr="00AB36D9" w:rsidRDefault="00AB36D9" w:rsidP="00D721DE">
            <w:pPr>
              <w:pStyle w:val="Tabletext"/>
              <w:jc w:val="center"/>
              <w:cnfStyle w:val="100000000000" w:firstRow="1" w:lastRow="0" w:firstColumn="0" w:lastColumn="0" w:oddVBand="0" w:evenVBand="0" w:oddHBand="0" w:evenHBand="0" w:firstRowFirstColumn="0" w:firstRowLastColumn="0" w:lastRowFirstColumn="0" w:lastRowLastColumn="0"/>
            </w:pPr>
            <w:r w:rsidRPr="00AB36D9">
              <w:t>QLD</w:t>
            </w:r>
          </w:p>
        </w:tc>
        <w:tc>
          <w:tcPr>
            <w:tcW w:w="964" w:type="dxa"/>
          </w:tcPr>
          <w:p w:rsidR="00AB36D9" w:rsidRPr="00AB36D9" w:rsidRDefault="00AB36D9" w:rsidP="00D721DE">
            <w:pPr>
              <w:pStyle w:val="Tabletext"/>
              <w:jc w:val="center"/>
              <w:cnfStyle w:val="100000000000" w:firstRow="1" w:lastRow="0" w:firstColumn="0" w:lastColumn="0" w:oddVBand="0" w:evenVBand="0" w:oddHBand="0" w:evenHBand="0" w:firstRowFirstColumn="0" w:firstRowLastColumn="0" w:lastRowFirstColumn="0" w:lastRowLastColumn="0"/>
            </w:pPr>
            <w:r w:rsidRPr="00AB36D9">
              <w:t>ACT</w:t>
            </w:r>
          </w:p>
        </w:tc>
        <w:tc>
          <w:tcPr>
            <w:tcW w:w="964" w:type="dxa"/>
          </w:tcPr>
          <w:p w:rsidR="00AB36D9" w:rsidRPr="00AB36D9" w:rsidRDefault="00AB36D9" w:rsidP="00D721DE">
            <w:pPr>
              <w:pStyle w:val="Tabletext"/>
              <w:jc w:val="center"/>
              <w:cnfStyle w:val="100000000000" w:firstRow="1" w:lastRow="0" w:firstColumn="0" w:lastColumn="0" w:oddVBand="0" w:evenVBand="0" w:oddHBand="0" w:evenHBand="0" w:firstRowFirstColumn="0" w:firstRowLastColumn="0" w:lastRowFirstColumn="0" w:lastRowLastColumn="0"/>
            </w:pPr>
            <w:r w:rsidRPr="00AB36D9">
              <w:t>TAS</w:t>
            </w:r>
          </w:p>
        </w:tc>
        <w:tc>
          <w:tcPr>
            <w:tcW w:w="964" w:type="dxa"/>
          </w:tcPr>
          <w:p w:rsidR="00AB36D9" w:rsidRPr="00AB36D9" w:rsidRDefault="00AB36D9" w:rsidP="00D721DE">
            <w:pPr>
              <w:pStyle w:val="Tabletext"/>
              <w:jc w:val="center"/>
              <w:cnfStyle w:val="100000000000" w:firstRow="1" w:lastRow="0" w:firstColumn="0" w:lastColumn="0" w:oddVBand="0" w:evenVBand="0" w:oddHBand="0" w:evenHBand="0" w:firstRowFirstColumn="0" w:firstRowLastColumn="0" w:lastRowFirstColumn="0" w:lastRowLastColumn="0"/>
            </w:pPr>
            <w:r w:rsidRPr="00AB36D9">
              <w:t>WA</w:t>
            </w:r>
          </w:p>
        </w:tc>
        <w:tc>
          <w:tcPr>
            <w:tcW w:w="964" w:type="dxa"/>
          </w:tcPr>
          <w:p w:rsidR="00AB36D9" w:rsidRPr="00AB36D9" w:rsidRDefault="00AB36D9" w:rsidP="00D721DE">
            <w:pPr>
              <w:pStyle w:val="Tabletext"/>
              <w:jc w:val="center"/>
              <w:cnfStyle w:val="100000000000" w:firstRow="1" w:lastRow="0" w:firstColumn="0" w:lastColumn="0" w:oddVBand="0" w:evenVBand="0" w:oddHBand="0" w:evenHBand="0" w:firstRowFirstColumn="0" w:firstRowLastColumn="0" w:lastRowFirstColumn="0" w:lastRowLastColumn="0"/>
            </w:pPr>
            <w:r w:rsidRPr="00AB36D9">
              <w:t>NT</w:t>
            </w:r>
          </w:p>
        </w:tc>
      </w:tr>
      <w:tr w:rsidR="00AB36D9" w:rsidRPr="00AB36D9" w:rsidTr="000A14D7">
        <w:tc>
          <w:tcPr>
            <w:cnfStyle w:val="001000000000" w:firstRow="0" w:lastRow="0" w:firstColumn="1" w:lastColumn="0" w:oddVBand="0" w:evenVBand="0" w:oddHBand="0" w:evenHBand="0" w:firstRowFirstColumn="0" w:firstRowLastColumn="0" w:lastRowFirstColumn="0" w:lastRowLastColumn="0"/>
            <w:tcW w:w="1526" w:type="dxa"/>
          </w:tcPr>
          <w:p w:rsidR="00AB36D9" w:rsidRPr="00AB36D9" w:rsidRDefault="00AB36D9" w:rsidP="00D721DE">
            <w:pPr>
              <w:pStyle w:val="Tabletext"/>
            </w:pPr>
            <w:r w:rsidRPr="00AB36D9">
              <w:t>Average carbon tax repeal cost savings (c/kWh)</w:t>
            </w:r>
          </w:p>
        </w:tc>
        <w:tc>
          <w:tcPr>
            <w:tcW w:w="964"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2.29</w:t>
            </w:r>
          </w:p>
        </w:tc>
        <w:tc>
          <w:tcPr>
            <w:tcW w:w="964"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2.50</w:t>
            </w:r>
          </w:p>
        </w:tc>
        <w:tc>
          <w:tcPr>
            <w:tcW w:w="964"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2.18</w:t>
            </w:r>
          </w:p>
        </w:tc>
        <w:tc>
          <w:tcPr>
            <w:tcW w:w="964"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2.45</w:t>
            </w:r>
          </w:p>
        </w:tc>
        <w:tc>
          <w:tcPr>
            <w:tcW w:w="964"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2.49</w:t>
            </w:r>
          </w:p>
        </w:tc>
        <w:tc>
          <w:tcPr>
            <w:tcW w:w="964"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2.23</w:t>
            </w:r>
          </w:p>
        </w:tc>
        <w:tc>
          <w:tcPr>
            <w:tcW w:w="964"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2.19</w:t>
            </w:r>
          </w:p>
        </w:tc>
        <w:tc>
          <w:tcPr>
            <w:tcW w:w="964"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1.39</w:t>
            </w:r>
          </w:p>
        </w:tc>
      </w:tr>
      <w:tr w:rsidR="00AB36D9" w:rsidRPr="00AB36D9" w:rsidTr="000A14D7">
        <w:tc>
          <w:tcPr>
            <w:cnfStyle w:val="001000000000" w:firstRow="0" w:lastRow="0" w:firstColumn="1" w:lastColumn="0" w:oddVBand="0" w:evenVBand="0" w:oddHBand="0" w:evenHBand="0" w:firstRowFirstColumn="0" w:firstRowLastColumn="0" w:lastRowFirstColumn="0" w:lastRowLastColumn="0"/>
            <w:tcW w:w="1526" w:type="dxa"/>
          </w:tcPr>
          <w:p w:rsidR="00AB36D9" w:rsidRPr="00AB36D9" w:rsidRDefault="00AB36D9" w:rsidP="00D721DE">
            <w:pPr>
              <w:pStyle w:val="Tabletext"/>
            </w:pPr>
            <w:r w:rsidRPr="00AB36D9">
              <w:t>Estimated average savings for typical consumption</w:t>
            </w:r>
          </w:p>
        </w:tc>
        <w:tc>
          <w:tcPr>
            <w:tcW w:w="964"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$134</w:t>
            </w:r>
          </w:p>
        </w:tc>
        <w:tc>
          <w:tcPr>
            <w:tcW w:w="964"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$112</w:t>
            </w:r>
          </w:p>
        </w:tc>
        <w:tc>
          <w:tcPr>
            <w:tcW w:w="964"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$143</w:t>
            </w:r>
          </w:p>
        </w:tc>
        <w:tc>
          <w:tcPr>
            <w:tcW w:w="964"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$145</w:t>
            </w:r>
          </w:p>
        </w:tc>
        <w:tc>
          <w:tcPr>
            <w:tcW w:w="964"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$185</w:t>
            </w:r>
          </w:p>
        </w:tc>
        <w:tc>
          <w:tcPr>
            <w:tcW w:w="964"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$198</w:t>
            </w:r>
          </w:p>
        </w:tc>
        <w:tc>
          <w:tcPr>
            <w:tcW w:w="964"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$135</w:t>
            </w:r>
          </w:p>
        </w:tc>
        <w:tc>
          <w:tcPr>
            <w:tcW w:w="964"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$103</w:t>
            </w:r>
          </w:p>
        </w:tc>
      </w:tr>
    </w:tbl>
    <w:p w:rsidR="00AB36D9" w:rsidRPr="00AB36D9" w:rsidRDefault="00AB36D9" w:rsidP="00AB36D9">
      <w:r w:rsidRPr="00AB36D9">
        <w:t xml:space="preserve">Since the ACCC commenced monitoring in March-April 2014, residential electricity prices have decreased in most states and territories due to the repeal of the carbon tax. However, other factors have affected electricity prices over this period. In the states where prices increased overall, these increases are less than they otherwise would have been absent the carbon tax repeal. </w:t>
      </w:r>
    </w:p>
    <w:p w:rsidR="00AB36D9" w:rsidRPr="00AB36D9" w:rsidRDefault="00AB36D9" w:rsidP="00AB36D9">
      <w:r w:rsidRPr="00AB36D9">
        <w:t>The ACCC has commissioned Alviss Consulting to undertake an analysis of residential electricity price movements from January 2012 to January 2015 to illustrate consumers’ experience with electricity prices over the period of the carbon tax and its repeal. While electricity prices have fallen after the repeal of the carbon tax, prices remain above what they were in 2012. Over the period, other cost factors have contributed to the increase in the price of electricity. For more information on residential electricity price movements, see page</w:t>
      </w:r>
      <w:r w:rsidR="00850464">
        <w:t> </w:t>
      </w:r>
      <w:r w:rsidR="00C70009" w:rsidRPr="007131BA">
        <w:t>9</w:t>
      </w:r>
      <w:r w:rsidRPr="00AB36D9">
        <w:t>.</w:t>
      </w:r>
    </w:p>
    <w:p w:rsidR="00AB36D9" w:rsidRPr="00AB36D9" w:rsidRDefault="00AB36D9" w:rsidP="00745397">
      <w:pPr>
        <w:pStyle w:val="Heading2"/>
        <w:keepNext/>
        <w:keepLines/>
      </w:pPr>
      <w:bookmarkStart w:id="9" w:name="_Toc417460215"/>
      <w:r w:rsidRPr="00AB36D9">
        <w:lastRenderedPageBreak/>
        <w:t>Natural gas</w:t>
      </w:r>
      <w:bookmarkEnd w:id="9"/>
    </w:p>
    <w:p w:rsidR="00AB36D9" w:rsidRPr="00AB36D9" w:rsidRDefault="00AB36D9" w:rsidP="00745397">
      <w:pPr>
        <w:keepNext/>
        <w:keepLines/>
      </w:pPr>
      <w:r w:rsidRPr="00AB36D9">
        <w:t xml:space="preserve">Based on the information available, the ACCC is satisfied that retailers’ calculation of the carbon tax costs to be removed from natural gas prices after repeal corresponds to the carbon tax component that was included in prices prior to repeal, with a small adjustment for repeal implementation costs in some cases. </w:t>
      </w:r>
    </w:p>
    <w:p w:rsidR="00AB36D9" w:rsidRPr="00AB36D9" w:rsidRDefault="00AB36D9" w:rsidP="00AB36D9">
      <w:r w:rsidRPr="00AB36D9">
        <w:t>The ACCC is satisfied that natural gas retailers have passed on all of the carbon tax repeal cost savings received to customers.</w:t>
      </w:r>
    </w:p>
    <w:p w:rsidR="00AB36D9" w:rsidRPr="009847F6" w:rsidRDefault="00AB36D9" w:rsidP="00AB36D9">
      <w:pPr>
        <w:keepNext/>
        <w:keepLines/>
        <w:spacing w:before="240" w:after="120"/>
      </w:pPr>
      <w:r w:rsidRPr="007131BA">
        <w:rPr>
          <w:rStyle w:val="TabletitleChar"/>
        </w:rPr>
        <w:t>Table 2</w:t>
      </w:r>
      <w:r w:rsidRPr="00065469">
        <w:rPr>
          <w:rStyle w:val="TabletitleChar"/>
        </w:rPr>
        <w:t>: Average carbon tax repeal cost savings passed through to natural gas customers</w:t>
      </w:r>
      <w:r w:rsidRPr="009847F6">
        <w:rPr>
          <w:szCs w:val="20"/>
          <w:vertAlign w:val="superscript"/>
        </w:rPr>
        <w:footnoteReference w:id="4"/>
      </w:r>
      <w:r w:rsidRPr="009847F6">
        <w:t xml:space="preserve"> </w:t>
      </w:r>
    </w:p>
    <w:tbl>
      <w:tblPr>
        <w:tblStyle w:val="LightShading1"/>
        <w:tblW w:w="0" w:type="auto"/>
        <w:tblLayout w:type="fixed"/>
        <w:tblLook w:val="04A0" w:firstRow="1" w:lastRow="0" w:firstColumn="1" w:lastColumn="0" w:noHBand="0" w:noVBand="1"/>
      </w:tblPr>
      <w:tblGrid>
        <w:gridCol w:w="1526"/>
        <w:gridCol w:w="1053"/>
        <w:gridCol w:w="1053"/>
        <w:gridCol w:w="1053"/>
        <w:gridCol w:w="1053"/>
        <w:gridCol w:w="1053"/>
        <w:gridCol w:w="1053"/>
        <w:gridCol w:w="1053"/>
      </w:tblGrid>
      <w:tr w:rsidR="00AB36D9" w:rsidRPr="00AB36D9" w:rsidTr="005624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rsidR="00AB36D9" w:rsidRPr="00AB36D9" w:rsidRDefault="00AB36D9" w:rsidP="00D721DE">
            <w:pPr>
              <w:pStyle w:val="Tabletext"/>
            </w:pPr>
            <w:r w:rsidRPr="00AB36D9">
              <w:t>State</w:t>
            </w:r>
          </w:p>
        </w:tc>
        <w:tc>
          <w:tcPr>
            <w:tcW w:w="1053" w:type="dxa"/>
          </w:tcPr>
          <w:p w:rsidR="00AB36D9" w:rsidRPr="00AB36D9" w:rsidRDefault="00AB36D9" w:rsidP="00D721DE">
            <w:pPr>
              <w:pStyle w:val="Tabletext"/>
              <w:jc w:val="center"/>
              <w:cnfStyle w:val="100000000000" w:firstRow="1" w:lastRow="0" w:firstColumn="0" w:lastColumn="0" w:oddVBand="0" w:evenVBand="0" w:oddHBand="0" w:evenHBand="0" w:firstRowFirstColumn="0" w:firstRowLastColumn="0" w:lastRowFirstColumn="0" w:lastRowLastColumn="0"/>
            </w:pPr>
            <w:r w:rsidRPr="00AB36D9">
              <w:t>NSW</w:t>
            </w:r>
          </w:p>
        </w:tc>
        <w:tc>
          <w:tcPr>
            <w:tcW w:w="1053" w:type="dxa"/>
          </w:tcPr>
          <w:p w:rsidR="00AB36D9" w:rsidRPr="00AB36D9" w:rsidRDefault="00AB36D9" w:rsidP="00D721DE">
            <w:pPr>
              <w:pStyle w:val="Tabletext"/>
              <w:jc w:val="center"/>
              <w:cnfStyle w:val="100000000000" w:firstRow="1" w:lastRow="0" w:firstColumn="0" w:lastColumn="0" w:oddVBand="0" w:evenVBand="0" w:oddHBand="0" w:evenHBand="0" w:firstRowFirstColumn="0" w:firstRowLastColumn="0" w:lastRowFirstColumn="0" w:lastRowLastColumn="0"/>
            </w:pPr>
            <w:r w:rsidRPr="00AB36D9">
              <w:t>VIC</w:t>
            </w:r>
          </w:p>
        </w:tc>
        <w:tc>
          <w:tcPr>
            <w:tcW w:w="1053" w:type="dxa"/>
          </w:tcPr>
          <w:p w:rsidR="00AB36D9" w:rsidRPr="00AB36D9" w:rsidRDefault="00AB36D9" w:rsidP="00D721DE">
            <w:pPr>
              <w:pStyle w:val="Tabletext"/>
              <w:jc w:val="center"/>
              <w:cnfStyle w:val="100000000000" w:firstRow="1" w:lastRow="0" w:firstColumn="0" w:lastColumn="0" w:oddVBand="0" w:evenVBand="0" w:oddHBand="0" w:evenHBand="0" w:firstRowFirstColumn="0" w:firstRowLastColumn="0" w:lastRowFirstColumn="0" w:lastRowLastColumn="0"/>
            </w:pPr>
            <w:r w:rsidRPr="00AB36D9">
              <w:t>SA</w:t>
            </w:r>
          </w:p>
        </w:tc>
        <w:tc>
          <w:tcPr>
            <w:tcW w:w="1053" w:type="dxa"/>
          </w:tcPr>
          <w:p w:rsidR="00AB36D9" w:rsidRPr="00AB36D9" w:rsidRDefault="00AB36D9" w:rsidP="00D721DE">
            <w:pPr>
              <w:pStyle w:val="Tabletext"/>
              <w:jc w:val="center"/>
              <w:cnfStyle w:val="100000000000" w:firstRow="1" w:lastRow="0" w:firstColumn="0" w:lastColumn="0" w:oddVBand="0" w:evenVBand="0" w:oddHBand="0" w:evenHBand="0" w:firstRowFirstColumn="0" w:firstRowLastColumn="0" w:lastRowFirstColumn="0" w:lastRowLastColumn="0"/>
            </w:pPr>
            <w:r w:rsidRPr="00AB36D9">
              <w:t>QLD</w:t>
            </w:r>
          </w:p>
        </w:tc>
        <w:tc>
          <w:tcPr>
            <w:tcW w:w="1053" w:type="dxa"/>
          </w:tcPr>
          <w:p w:rsidR="00AB36D9" w:rsidRPr="00AB36D9" w:rsidRDefault="00AB36D9" w:rsidP="00D721DE">
            <w:pPr>
              <w:pStyle w:val="Tabletext"/>
              <w:jc w:val="center"/>
              <w:cnfStyle w:val="100000000000" w:firstRow="1" w:lastRow="0" w:firstColumn="0" w:lastColumn="0" w:oddVBand="0" w:evenVBand="0" w:oddHBand="0" w:evenHBand="0" w:firstRowFirstColumn="0" w:firstRowLastColumn="0" w:lastRowFirstColumn="0" w:lastRowLastColumn="0"/>
            </w:pPr>
            <w:r w:rsidRPr="00AB36D9">
              <w:t>ACT</w:t>
            </w:r>
          </w:p>
        </w:tc>
        <w:tc>
          <w:tcPr>
            <w:tcW w:w="1053" w:type="dxa"/>
          </w:tcPr>
          <w:p w:rsidR="00AB36D9" w:rsidRPr="00AB36D9" w:rsidRDefault="00AB36D9" w:rsidP="00D721DE">
            <w:pPr>
              <w:pStyle w:val="Tabletext"/>
              <w:jc w:val="center"/>
              <w:cnfStyle w:val="100000000000" w:firstRow="1" w:lastRow="0" w:firstColumn="0" w:lastColumn="0" w:oddVBand="0" w:evenVBand="0" w:oddHBand="0" w:evenHBand="0" w:firstRowFirstColumn="0" w:firstRowLastColumn="0" w:lastRowFirstColumn="0" w:lastRowLastColumn="0"/>
            </w:pPr>
            <w:r w:rsidRPr="00AB36D9">
              <w:t>TAS</w:t>
            </w:r>
          </w:p>
        </w:tc>
        <w:tc>
          <w:tcPr>
            <w:tcW w:w="1053" w:type="dxa"/>
          </w:tcPr>
          <w:p w:rsidR="00AB36D9" w:rsidRPr="00AB36D9" w:rsidRDefault="00AB36D9" w:rsidP="00D721DE">
            <w:pPr>
              <w:pStyle w:val="Tabletext"/>
              <w:jc w:val="center"/>
              <w:cnfStyle w:val="100000000000" w:firstRow="1" w:lastRow="0" w:firstColumn="0" w:lastColumn="0" w:oddVBand="0" w:evenVBand="0" w:oddHBand="0" w:evenHBand="0" w:firstRowFirstColumn="0" w:firstRowLastColumn="0" w:lastRowFirstColumn="0" w:lastRowLastColumn="0"/>
            </w:pPr>
            <w:r w:rsidRPr="00AB36D9">
              <w:t>WA</w:t>
            </w:r>
          </w:p>
        </w:tc>
      </w:tr>
      <w:tr w:rsidR="00AB36D9" w:rsidRPr="00AB36D9" w:rsidTr="005624B7">
        <w:tc>
          <w:tcPr>
            <w:cnfStyle w:val="001000000000" w:firstRow="0" w:lastRow="0" w:firstColumn="1" w:lastColumn="0" w:oddVBand="0" w:evenVBand="0" w:oddHBand="0" w:evenHBand="0" w:firstRowFirstColumn="0" w:firstRowLastColumn="0" w:lastRowFirstColumn="0" w:lastRowLastColumn="0"/>
            <w:tcW w:w="1526" w:type="dxa"/>
          </w:tcPr>
          <w:p w:rsidR="00AB36D9" w:rsidRPr="00AB36D9" w:rsidRDefault="00AB36D9" w:rsidP="00D721DE">
            <w:pPr>
              <w:pStyle w:val="Tabletext"/>
            </w:pPr>
            <w:r w:rsidRPr="00AB36D9">
              <w:t>Average carbon tax repeal cost savings (c/MJ)</w:t>
            </w:r>
          </w:p>
        </w:tc>
        <w:tc>
          <w:tcPr>
            <w:tcW w:w="1053"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0.179</w:t>
            </w:r>
          </w:p>
        </w:tc>
        <w:tc>
          <w:tcPr>
            <w:tcW w:w="1053"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0.147</w:t>
            </w:r>
          </w:p>
        </w:tc>
        <w:tc>
          <w:tcPr>
            <w:tcW w:w="1053"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0.165</w:t>
            </w:r>
          </w:p>
        </w:tc>
        <w:tc>
          <w:tcPr>
            <w:tcW w:w="1053"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0.156</w:t>
            </w:r>
          </w:p>
        </w:tc>
        <w:tc>
          <w:tcPr>
            <w:tcW w:w="1053"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0.192</w:t>
            </w:r>
          </w:p>
        </w:tc>
        <w:tc>
          <w:tcPr>
            <w:tcW w:w="1053"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0.150</w:t>
            </w:r>
          </w:p>
        </w:tc>
        <w:tc>
          <w:tcPr>
            <w:tcW w:w="1053"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0.164</w:t>
            </w:r>
          </w:p>
        </w:tc>
      </w:tr>
      <w:tr w:rsidR="00AB36D9" w:rsidRPr="00AB36D9" w:rsidTr="005624B7">
        <w:tc>
          <w:tcPr>
            <w:cnfStyle w:val="001000000000" w:firstRow="0" w:lastRow="0" w:firstColumn="1" w:lastColumn="0" w:oddVBand="0" w:evenVBand="0" w:oddHBand="0" w:evenHBand="0" w:firstRowFirstColumn="0" w:firstRowLastColumn="0" w:lastRowFirstColumn="0" w:lastRowLastColumn="0"/>
            <w:tcW w:w="1526" w:type="dxa"/>
          </w:tcPr>
          <w:p w:rsidR="00AB36D9" w:rsidRPr="00AB36D9" w:rsidRDefault="00AB36D9" w:rsidP="00D721DE">
            <w:pPr>
              <w:pStyle w:val="Tabletext"/>
            </w:pPr>
            <w:r w:rsidRPr="00AB36D9">
              <w:t>Estimated average savings for typical consumption</w:t>
            </w:r>
          </w:p>
        </w:tc>
        <w:tc>
          <w:tcPr>
            <w:tcW w:w="1053"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$36</w:t>
            </w:r>
          </w:p>
        </w:tc>
        <w:tc>
          <w:tcPr>
            <w:tcW w:w="1053"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$89</w:t>
            </w:r>
          </w:p>
        </w:tc>
        <w:tc>
          <w:tcPr>
            <w:tcW w:w="1053"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$45</w:t>
            </w:r>
          </w:p>
        </w:tc>
        <w:tc>
          <w:tcPr>
            <w:tcW w:w="1053"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$24</w:t>
            </w:r>
          </w:p>
        </w:tc>
        <w:tc>
          <w:tcPr>
            <w:tcW w:w="1053"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$77</w:t>
            </w:r>
          </w:p>
        </w:tc>
        <w:tc>
          <w:tcPr>
            <w:tcW w:w="1053"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$60</w:t>
            </w:r>
          </w:p>
        </w:tc>
        <w:tc>
          <w:tcPr>
            <w:tcW w:w="1053" w:type="dxa"/>
          </w:tcPr>
          <w:p w:rsidR="00AB36D9" w:rsidRPr="00AB36D9" w:rsidRDefault="00AB36D9" w:rsidP="00D721DE">
            <w:pPr>
              <w:pStyle w:val="Tabletext"/>
              <w:jc w:val="center"/>
              <w:cnfStyle w:val="000000000000" w:firstRow="0" w:lastRow="0" w:firstColumn="0" w:lastColumn="0" w:oddVBand="0" w:evenVBand="0" w:oddHBand="0" w:evenHBand="0" w:firstRowFirstColumn="0" w:firstRowLastColumn="0" w:lastRowFirstColumn="0" w:lastRowLastColumn="0"/>
            </w:pPr>
            <w:r w:rsidRPr="00AB36D9">
              <w:t>$16</w:t>
            </w:r>
          </w:p>
        </w:tc>
      </w:tr>
    </w:tbl>
    <w:p w:rsidR="00AB36D9" w:rsidRPr="00AB36D9" w:rsidRDefault="00AB36D9" w:rsidP="005624B7">
      <w:r w:rsidRPr="00AB36D9">
        <w:t xml:space="preserve">The ACCC has also received pricing data from natural gas retailers to monitor prices from March-April 2014 to January-February 2015. Overall residential prices have mostly increased in the past year mainly due to increases in the wholesale price of gas and network costs. However, these increases are less than they otherwise would have been due to the repeal of the carbon tax. For more information about residential natural gas price movements, see </w:t>
      </w:r>
      <w:r w:rsidRPr="007131BA">
        <w:t xml:space="preserve">page </w:t>
      </w:r>
      <w:r w:rsidR="00C70009" w:rsidRPr="007131BA">
        <w:t>28</w:t>
      </w:r>
      <w:r w:rsidRPr="007131BA">
        <w:t>.</w:t>
      </w:r>
    </w:p>
    <w:p w:rsidR="00AB36D9" w:rsidRPr="00AB36D9" w:rsidRDefault="00AB36D9" w:rsidP="005624B7">
      <w:pPr>
        <w:pStyle w:val="Heading2"/>
      </w:pPr>
      <w:bookmarkStart w:id="10" w:name="_Toc417460216"/>
      <w:r w:rsidRPr="00AB36D9">
        <w:t>Synthetic greenhouse gases</w:t>
      </w:r>
      <w:bookmarkEnd w:id="10"/>
    </w:p>
    <w:p w:rsidR="00AB36D9" w:rsidRPr="00AB36D9" w:rsidRDefault="00AB36D9" w:rsidP="005624B7">
      <w:r w:rsidRPr="00AB36D9">
        <w:t>In the March 2015 quarter, the ACCC’s operations in relation to SGGs focused on seeking information from the downstream SGG wholesaling customers of bulk SGG importers and from SGG equipment wholesalers.</w:t>
      </w:r>
    </w:p>
    <w:p w:rsidR="00AB36D9" w:rsidRPr="00AB36D9" w:rsidRDefault="00AB36D9" w:rsidP="005624B7">
      <w:r w:rsidRPr="00AB36D9">
        <w:t xml:space="preserve">The ACCC’s analysis indicates that prices for most SGGs have reduced to approximately the same levels as prior to the carbon tax. Most bulk SGG wholesalers reported being unable to conclusively say what, if any, carbon tax component was in the prices they paid their suppliers for SGGs in the period when the carbon tax </w:t>
      </w:r>
      <w:r w:rsidR="00876DC2">
        <w:t>was in effect</w:t>
      </w:r>
      <w:r w:rsidRPr="00AB36D9">
        <w:t xml:space="preserve">. </w:t>
      </w:r>
    </w:p>
    <w:p w:rsidR="00AB36D9" w:rsidRPr="00AB36D9" w:rsidRDefault="00AB36D9" w:rsidP="005624B7">
      <w:r w:rsidRPr="00AB36D9">
        <w:t xml:space="preserve">SGG equipment wholesalers reported generally pricing SGG equipment, such as air conditioners, with reference to the market price for the particular features or functions of the equipment and not on a cost-plus basis. </w:t>
      </w:r>
    </w:p>
    <w:p w:rsidR="00AB36D9" w:rsidRPr="00AB36D9" w:rsidRDefault="00AB36D9" w:rsidP="005624B7">
      <w:r w:rsidRPr="00AB36D9">
        <w:t>The ACCC has issued compulsory information requests or notices under section 60H of the CCA to those SGG entities who did not respond to the ACCC’s inquiries in a timely manner in order to obtain the requested information. Any additional findings will be reported in the July 2015 Carbon Report.</w:t>
      </w:r>
    </w:p>
    <w:p w:rsidR="00AB36D9" w:rsidRPr="009847F6" w:rsidRDefault="00AB36D9" w:rsidP="00AB36D9">
      <w:r w:rsidRPr="00AB36D9">
        <w:lastRenderedPageBreak/>
        <w:t>Under the price reduction obligation, bulk SGG suppliers and SGG equipment suppliers are subject to the price exploitation provisions, like suppliers of electricity and natural gas. They are also subject to the prohibition on making false or misleading representations about the effect of the carbon tax repeal on prices like all entities.</w:t>
      </w:r>
    </w:p>
    <w:p w:rsidR="001F0A70" w:rsidRPr="00AB36D9" w:rsidRDefault="00AB36D9" w:rsidP="00AB36D9">
      <w:r w:rsidRPr="00AB36D9">
        <w:t>Provisions equivalent to the price exploitation provisions were not in existence at the commencement of the carbon tax in 2012. At th</w:t>
      </w:r>
      <w:r w:rsidR="00EF0D5E">
        <w:t xml:space="preserve">at time, </w:t>
      </w:r>
      <w:r w:rsidRPr="00AB36D9">
        <w:t>the ACCC prioritised investigation of potentially false or misleading representations about the impact of the carbon tax upon businesses’ prices. These investigations were conducted under the general provisions of the ACL. The ACCC instituted proceedings against one supplier of SGGs, Actrol Parts Pty Ltd (Actrol), on 30 April 2014 following such an investigation.</w:t>
      </w:r>
    </w:p>
    <w:p w:rsidR="00AB36D9" w:rsidRPr="00AB36D9" w:rsidRDefault="00AB36D9" w:rsidP="00AB36D9">
      <w:r w:rsidRPr="00AB36D9">
        <w:t xml:space="preserve">On 2 April 2015, </w:t>
      </w:r>
      <w:r w:rsidR="001F0A70">
        <w:t xml:space="preserve">the Federal Court of Australia handed down </w:t>
      </w:r>
      <w:r w:rsidR="00856C41">
        <w:t>judgment</w:t>
      </w:r>
      <w:r w:rsidRPr="00AB36D9">
        <w:t xml:space="preserve"> in the</w:t>
      </w:r>
      <w:r w:rsidR="001F0A70">
        <w:t>se</w:t>
      </w:r>
      <w:r w:rsidRPr="00AB36D9">
        <w:t xml:space="preserve"> proceedings. The Court found that Actrol had made false or misleading representations in letters to its customers and on its website, by attributing significant price increases of certain SGGs to the implementation of the carbon tax, changes in input costs and general market conditions. The Court has ordered Actrol </w:t>
      </w:r>
      <w:r w:rsidR="009847F6">
        <w:t>pay a pecuniary penalty of $520</w:t>
      </w:r>
      <w:r w:rsidR="000A28C7">
        <w:t xml:space="preserve"> </w:t>
      </w:r>
      <w:r w:rsidRPr="00AB36D9">
        <w:t>000 amongst other orders.</w:t>
      </w:r>
    </w:p>
    <w:p w:rsidR="00AB36D9" w:rsidRPr="00AB36D9" w:rsidRDefault="00AB36D9" w:rsidP="005624B7">
      <w:pPr>
        <w:pStyle w:val="Heading2"/>
      </w:pPr>
      <w:bookmarkStart w:id="11" w:name="_Toc417460217"/>
      <w:r w:rsidRPr="00AB36D9">
        <w:t>Landfill</w:t>
      </w:r>
      <w:bookmarkEnd w:id="11"/>
    </w:p>
    <w:p w:rsidR="00AB36D9" w:rsidRPr="00AB36D9" w:rsidRDefault="00AB36D9" w:rsidP="00AB36D9">
      <w:pPr>
        <w:keepNext/>
        <w:keepLines/>
      </w:pPr>
      <w:r w:rsidRPr="00AB36D9">
        <w:t>Of those entities that included a carbon tax cost component in their 2014/15 gate fees and subsequently removed the carbon tax cost components after repeal, some undertook to refund customers for the carbon tax cost components they paid during the refund period. These entities have now largely completed the process of providing these refunds.</w:t>
      </w:r>
    </w:p>
    <w:p w:rsidR="00AB36D9" w:rsidRPr="00AB36D9" w:rsidRDefault="00AB36D9" w:rsidP="00AB36D9">
      <w:r w:rsidRPr="00AB36D9">
        <w:t>The ACCC’s January 2015 Carbon Report noted that most landfill operators who were liable entities charged a carbon tax cost component that included an amount for the continued emissions produced by this waste in the future.</w:t>
      </w:r>
      <w:r w:rsidRPr="00AB36D9">
        <w:rPr>
          <w:vertAlign w:val="superscript"/>
        </w:rPr>
        <w:footnoteReference w:id="5"/>
      </w:r>
      <w:r w:rsidRPr="00AB36D9">
        <w:t xml:space="preserve"> A number of landfill operators who were liable entities have advised the ACCC that they are waiting for the release of an industry-wide voluntary framework</w:t>
      </w:r>
      <w:r w:rsidRPr="009847F6">
        <w:t xml:space="preserve"> </w:t>
      </w:r>
      <w:r w:rsidRPr="00AB36D9">
        <w:t>being prepared by the Department of the Environment (the draft Framework). The draft Framework suggests methods for the use of funds received during the carbon tax period for the anticipated future carbon tax liabilities that will no longer eventuate.</w:t>
      </w:r>
    </w:p>
    <w:p w:rsidR="00AB36D9" w:rsidRPr="00AB36D9" w:rsidRDefault="00AB36D9" w:rsidP="00AB36D9">
      <w:pPr>
        <w:rPr>
          <w:color w:val="FF0000"/>
        </w:rPr>
      </w:pPr>
      <w:r w:rsidRPr="00AB36D9">
        <w:t xml:space="preserve">The ACCC will continue to seek information from landfill operators to confirm their decisions regarding the use of these excess funds. The Department of the Environment is </w:t>
      </w:r>
      <w:r w:rsidR="00B85F2D">
        <w:t>working further on the draft Framework in light of</w:t>
      </w:r>
      <w:r w:rsidRPr="00AB36D9">
        <w:t xml:space="preserve"> submissions </w:t>
      </w:r>
      <w:r w:rsidR="00B85F2D">
        <w:t>received during the consultation period</w:t>
      </w:r>
      <w:r w:rsidR="00745397">
        <w:t>,</w:t>
      </w:r>
      <w:r w:rsidR="00B85F2D">
        <w:t xml:space="preserve"> with a view to making a recommendation to the Minister for the Environment and to the landfill industry in</w:t>
      </w:r>
      <w:r w:rsidRPr="00AB36D9">
        <w:t xml:space="preserve"> </w:t>
      </w:r>
      <w:r w:rsidRPr="009A0A60">
        <w:t>May 2015</w:t>
      </w:r>
      <w:r w:rsidRPr="00AB36D9">
        <w:t>.</w:t>
      </w:r>
    </w:p>
    <w:p w:rsidR="00AB36D9" w:rsidRPr="00AB36D9" w:rsidRDefault="00AB36D9" w:rsidP="00AB36D9">
      <w:r w:rsidRPr="00AB36D9">
        <w:t>It has been reported that the Gold Coast City Council announced that about $4 million held in its carbon tax reserves will be used on energy-saving programs to permanently lower the cost of running Commonwealth Games venues in 2018.</w:t>
      </w:r>
      <w:r w:rsidRPr="00AB36D9">
        <w:rPr>
          <w:vertAlign w:val="superscript"/>
        </w:rPr>
        <w:footnoteReference w:id="6"/>
      </w:r>
      <w:r w:rsidRPr="00AB36D9">
        <w:t xml:space="preserve"> The ACCC understands that these funds were those collected for future carbon tax liabilities that now will no longer eventuate due to the repeal of the carbon tax.</w:t>
      </w:r>
      <w:r w:rsidRPr="00AB36D9">
        <w:rPr>
          <w:vertAlign w:val="superscript"/>
        </w:rPr>
        <w:footnoteReference w:id="7"/>
      </w:r>
      <w:r w:rsidRPr="00AB36D9">
        <w:t xml:space="preserve"> In January 2015, Gold Coast City Council also provided refunds to ratepayers of $14.60 for standard domestic waste and recycling collection services.</w:t>
      </w:r>
      <w:r w:rsidRPr="00AB36D9">
        <w:rPr>
          <w:vertAlign w:val="superscript"/>
        </w:rPr>
        <w:footnoteReference w:id="8"/>
      </w:r>
      <w:r w:rsidRPr="00AB36D9">
        <w:t xml:space="preserve">  </w:t>
      </w:r>
    </w:p>
    <w:p w:rsidR="00AB36D9" w:rsidRPr="00AB36D9" w:rsidRDefault="00AB36D9" w:rsidP="00745397">
      <w:pPr>
        <w:pStyle w:val="Heading2"/>
        <w:keepNext/>
        <w:keepLines/>
      </w:pPr>
      <w:bookmarkStart w:id="12" w:name="_Toc417460218"/>
      <w:r w:rsidRPr="00AB36D9">
        <w:lastRenderedPageBreak/>
        <w:t>Construction material manufactur</w:t>
      </w:r>
      <w:r w:rsidR="00876DC2">
        <w:t>ing</w:t>
      </w:r>
      <w:bookmarkEnd w:id="12"/>
    </w:p>
    <w:p w:rsidR="00AB36D9" w:rsidRPr="00AB36D9" w:rsidRDefault="00AB36D9" w:rsidP="00745397">
      <w:pPr>
        <w:keepNext/>
        <w:keepLines/>
      </w:pPr>
      <w:r w:rsidRPr="00AB36D9">
        <w:t xml:space="preserve">The January </w:t>
      </w:r>
      <w:r w:rsidRPr="00AB36D9" w:rsidDel="00453965">
        <w:t>2015</w:t>
      </w:r>
      <w:r w:rsidRPr="00AB36D9">
        <w:t xml:space="preserve"> Carbon R</w:t>
      </w:r>
      <w:r w:rsidRPr="00AB36D9" w:rsidDel="00453965">
        <w:t xml:space="preserve">eport </w:t>
      </w:r>
      <w:r w:rsidRPr="00AB36D9">
        <w:t>noted that the only outstanding carbon tax repeal issues in the</w:t>
      </w:r>
      <w:r w:rsidRPr="00AB36D9" w:rsidDel="00453965">
        <w:t xml:space="preserve"> construction material manufactur</w:t>
      </w:r>
      <w:r w:rsidRPr="00AB36D9">
        <w:t>ing sector were</w:t>
      </w:r>
      <w:r w:rsidRPr="00AB36D9" w:rsidDel="00453965">
        <w:t xml:space="preserve"> </w:t>
      </w:r>
      <w:r w:rsidRPr="00AB36D9">
        <w:t>i</w:t>
      </w:r>
      <w:r w:rsidRPr="00AB36D9" w:rsidDel="00453965">
        <w:t>n relation to the prices of bricks and related products which rose at the introduction of the carbon tax</w:t>
      </w:r>
      <w:r w:rsidRPr="00AB36D9">
        <w:t>.</w:t>
      </w:r>
      <w:r w:rsidRPr="00AB36D9" w:rsidDel="00453965">
        <w:t xml:space="preserve"> </w:t>
      </w:r>
      <w:r w:rsidRPr="00AB36D9">
        <w:t>T</w:t>
      </w:r>
      <w:r w:rsidRPr="00AB36D9" w:rsidDel="00453965">
        <w:t>he ACCC has obtained further information from brick manufacturing entities to better understand whether their prices included any carbon tax component</w:t>
      </w:r>
      <w:r w:rsidRPr="00AB36D9">
        <w:t xml:space="preserve"> post repeal</w:t>
      </w:r>
      <w:r w:rsidRPr="00AB36D9" w:rsidDel="00453965">
        <w:t xml:space="preserve">. </w:t>
      </w:r>
    </w:p>
    <w:p w:rsidR="00AB36D9" w:rsidRPr="00AB36D9" w:rsidRDefault="00AB36D9" w:rsidP="00AB36D9">
      <w:r w:rsidRPr="00AB36D9">
        <w:t>In light of the further information received from these entities, the ACCC is now satisfied that, where carbon tax-related price increases were made, there is no information available to indicate that any liable entities in this sector are continuing to charge prices that include any carbon tax components.</w:t>
      </w:r>
      <w:r w:rsidR="00063DF1">
        <w:t xml:space="preserve"> The ACCC </w:t>
      </w:r>
      <w:r w:rsidR="00063DF1" w:rsidRPr="007B0EB1">
        <w:t>also do</w:t>
      </w:r>
      <w:r w:rsidR="00063DF1">
        <w:t>es</w:t>
      </w:r>
      <w:r w:rsidR="00063DF1" w:rsidRPr="007B0EB1">
        <w:t xml:space="preserve"> not consider that any of </w:t>
      </w:r>
      <w:r w:rsidR="00063DF1">
        <w:t>th</w:t>
      </w:r>
      <w:r w:rsidR="007E1353">
        <w:t>e</w:t>
      </w:r>
      <w:r w:rsidR="00063DF1">
        <w:t>se entities’</w:t>
      </w:r>
      <w:r w:rsidR="00063DF1" w:rsidRPr="007B0EB1">
        <w:t xml:space="preserve"> representations or conduct could be held to be misleading</w:t>
      </w:r>
      <w:r w:rsidR="00063DF1">
        <w:t>.</w:t>
      </w:r>
    </w:p>
    <w:p w:rsidR="00AB36D9" w:rsidRPr="00AB36D9" w:rsidRDefault="00AB36D9" w:rsidP="005624B7">
      <w:pPr>
        <w:pStyle w:val="Heading2"/>
      </w:pPr>
      <w:bookmarkStart w:id="13" w:name="_Toc417460219"/>
      <w:r w:rsidRPr="00AB36D9">
        <w:t>Domestic passenger air transport services</w:t>
      </w:r>
      <w:bookmarkEnd w:id="13"/>
    </w:p>
    <w:p w:rsidR="00AB36D9" w:rsidRPr="00AB36D9" w:rsidRDefault="00AB36D9" w:rsidP="00AB36D9">
      <w:pPr>
        <w:keepNext/>
        <w:keepLines/>
      </w:pPr>
      <w:r w:rsidRPr="00AB36D9">
        <w:t>The ACCC has completed its assessment of the representations made by the domestic airlines regarding the effect of the carbon tax repeal on airfares. The ACCC found that the airlines attempted to recover the cost of the car</w:t>
      </w:r>
      <w:r w:rsidR="00876DC2">
        <w:t>bon tax by increasing their air</w:t>
      </w:r>
      <w:r w:rsidRPr="00AB36D9">
        <w:t xml:space="preserve">fares and were likely to have had some, albeit limited, success in recovering these costs in the period immediately after these fare increases were applied. However, the ACCC considers these fare increases were likely to have been transitory, and not enduring over the period that the carbon tax was in effect. As a result, the ACCC will be taking no further action regarding the representations made by domestic airlines about the effect </w:t>
      </w:r>
      <w:r w:rsidR="00876DC2">
        <w:t>of the carbon tax repeal on air</w:t>
      </w:r>
      <w:r w:rsidRPr="00AB36D9">
        <w:t>fares.</w:t>
      </w:r>
    </w:p>
    <w:p w:rsidR="005624B7" w:rsidRDefault="005624B7">
      <w:pPr>
        <w:rPr>
          <w:rFonts w:ascii="Lucida Fax" w:eastAsiaTheme="majorEastAsia" w:hAnsi="Lucida Fax" w:cstheme="majorBidi"/>
          <w:bCs/>
          <w:color w:val="51626F"/>
          <w:sz w:val="32"/>
          <w:szCs w:val="28"/>
        </w:rPr>
      </w:pPr>
      <w:r>
        <w:br w:type="page"/>
      </w:r>
    </w:p>
    <w:p w:rsidR="00AB36D9" w:rsidRPr="00AB36D9" w:rsidRDefault="00AB36D9" w:rsidP="005624B7">
      <w:pPr>
        <w:pStyle w:val="Heading1"/>
      </w:pPr>
      <w:bookmarkStart w:id="14" w:name="_Toc417460220"/>
      <w:r w:rsidRPr="00AB36D9">
        <w:lastRenderedPageBreak/>
        <w:t>Monitoring</w:t>
      </w:r>
      <w:bookmarkEnd w:id="14"/>
    </w:p>
    <w:p w:rsidR="00AB36D9" w:rsidRPr="00AB36D9" w:rsidRDefault="00AB36D9" w:rsidP="00AB36D9">
      <w:r w:rsidRPr="00AB36D9">
        <w:t>The ACCC’s monitoring activities for the March 2015 quarter have focused on:</w:t>
      </w:r>
    </w:p>
    <w:p w:rsidR="00AB36D9" w:rsidRPr="00AB36D9" w:rsidRDefault="00AB36D9" w:rsidP="005731FB">
      <w:pPr>
        <w:pStyle w:val="Bulletpoint"/>
      </w:pPr>
      <w:r w:rsidRPr="00AB36D9">
        <w:t>seeking confirmation from entities of pass thr</w:t>
      </w:r>
      <w:r w:rsidR="00AB0AD3">
        <w:t>ough of carbon tax cost savings</w:t>
      </w:r>
    </w:p>
    <w:p w:rsidR="00AB36D9" w:rsidRPr="00AB36D9" w:rsidRDefault="00AB36D9" w:rsidP="005731FB">
      <w:pPr>
        <w:pStyle w:val="Bulletpoint"/>
      </w:pPr>
      <w:r w:rsidRPr="00AB36D9">
        <w:t>monitoring price movements to determine the impact of the carbon tax repeal on prices, and</w:t>
      </w:r>
    </w:p>
    <w:p w:rsidR="00AB36D9" w:rsidRPr="00AB36D9" w:rsidRDefault="00AB36D9" w:rsidP="005731FB">
      <w:pPr>
        <w:pStyle w:val="Bulletpoint"/>
      </w:pPr>
      <w:r w:rsidRPr="00AB36D9">
        <w:t>seeking additional information to that provided to the ACCC in previous quarters.</w:t>
      </w:r>
    </w:p>
    <w:p w:rsidR="00AB36D9" w:rsidRPr="00AB36D9" w:rsidRDefault="00AB36D9" w:rsidP="00AB36D9">
      <w:r w:rsidRPr="00AB36D9">
        <w:t>This report focuses on the impact of the carbon tax repeal in the following industries:</w:t>
      </w:r>
    </w:p>
    <w:p w:rsidR="00AB36D9" w:rsidRPr="00AB36D9" w:rsidRDefault="00AB0AD3" w:rsidP="005731FB">
      <w:pPr>
        <w:pStyle w:val="Bulletpoint"/>
      </w:pPr>
      <w:r>
        <w:t>retail electricity</w:t>
      </w:r>
    </w:p>
    <w:p w:rsidR="00AB36D9" w:rsidRPr="00AB36D9" w:rsidRDefault="00AB0AD3" w:rsidP="005731FB">
      <w:pPr>
        <w:pStyle w:val="Bulletpoint"/>
      </w:pPr>
      <w:r>
        <w:t>natural gas</w:t>
      </w:r>
    </w:p>
    <w:p w:rsidR="00AB36D9" w:rsidRPr="00AB36D9" w:rsidRDefault="00AB0AD3" w:rsidP="005731FB">
      <w:pPr>
        <w:pStyle w:val="Bulletpoint"/>
      </w:pPr>
      <w:r>
        <w:t>SGGs</w:t>
      </w:r>
    </w:p>
    <w:p w:rsidR="00AB36D9" w:rsidRPr="00AB36D9" w:rsidRDefault="00AB0AD3" w:rsidP="005731FB">
      <w:pPr>
        <w:pStyle w:val="Bulletpoint"/>
      </w:pPr>
      <w:r>
        <w:t>landfill</w:t>
      </w:r>
    </w:p>
    <w:p w:rsidR="00AB36D9" w:rsidRPr="00AB36D9" w:rsidRDefault="00AB36D9" w:rsidP="005731FB">
      <w:pPr>
        <w:pStyle w:val="Bulletpoint"/>
      </w:pPr>
      <w:r w:rsidRPr="00AB36D9">
        <w:t>construction material manufacturing, and</w:t>
      </w:r>
    </w:p>
    <w:p w:rsidR="00AB36D9" w:rsidRPr="00AB36D9" w:rsidRDefault="00AB36D9" w:rsidP="005731FB">
      <w:pPr>
        <w:pStyle w:val="Bulletpoint"/>
      </w:pPr>
      <w:r w:rsidRPr="00AB36D9">
        <w:t>domestic passenger air transport services.</w:t>
      </w:r>
    </w:p>
    <w:p w:rsidR="00AB36D9" w:rsidRPr="00AB36D9" w:rsidRDefault="00AB36D9" w:rsidP="009847F6">
      <w:r w:rsidRPr="00AB36D9">
        <w:t>Where possible, this report will finalise the ACCC’s monitoring of these industries and conclude the ACCC’s assessment of the impact of the carbon tax repeal in relation to these industries. However, the ACCC will continue to monitor these industries for complaints.</w:t>
      </w:r>
    </w:p>
    <w:p w:rsidR="00AB36D9" w:rsidRPr="00AB36D9" w:rsidRDefault="00AB36D9" w:rsidP="00AB36D9">
      <w:r w:rsidRPr="00AB36D9">
        <w:t>In the January 2015 Carbon Report, the ACCC finalised monitoring in the following industries:</w:t>
      </w:r>
    </w:p>
    <w:p w:rsidR="00AB36D9" w:rsidRPr="00AB36D9" w:rsidRDefault="00AB36D9" w:rsidP="005731FB">
      <w:pPr>
        <w:pStyle w:val="Bulletpoint"/>
      </w:pPr>
      <w:r w:rsidRPr="00AB36D9">
        <w:t>manufacturing:</w:t>
      </w:r>
    </w:p>
    <w:p w:rsidR="00AB36D9" w:rsidRPr="00AB36D9" w:rsidRDefault="00AB0AD3" w:rsidP="005624B7">
      <w:pPr>
        <w:pStyle w:val="ListBullet2"/>
      </w:pPr>
      <w:r>
        <w:t>paper, glass and plastic</w:t>
      </w:r>
    </w:p>
    <w:p w:rsidR="00AB36D9" w:rsidRPr="00AB36D9" w:rsidRDefault="00AB36D9" w:rsidP="005624B7">
      <w:pPr>
        <w:pStyle w:val="ListBullet2"/>
      </w:pPr>
      <w:r w:rsidRPr="00AB36D9">
        <w:t>food – dairy and ingredients, and</w:t>
      </w:r>
    </w:p>
    <w:p w:rsidR="00AB36D9" w:rsidRPr="00AB36D9" w:rsidRDefault="00AB0AD3" w:rsidP="005624B7">
      <w:pPr>
        <w:pStyle w:val="ListBullet2"/>
      </w:pPr>
      <w:r>
        <w:t>explosives</w:t>
      </w:r>
    </w:p>
    <w:p w:rsidR="00AB36D9" w:rsidRPr="00AB36D9" w:rsidRDefault="00AB36D9" w:rsidP="005731FB">
      <w:pPr>
        <w:pStyle w:val="Bulletpoint"/>
      </w:pPr>
      <w:r w:rsidRPr="00AB36D9">
        <w:t>liquid fuels, and</w:t>
      </w:r>
    </w:p>
    <w:p w:rsidR="00AB36D9" w:rsidRPr="00AB36D9" w:rsidRDefault="00AB36D9" w:rsidP="005731FB">
      <w:pPr>
        <w:pStyle w:val="Bulletpoint"/>
      </w:pPr>
      <w:r w:rsidRPr="00AB36D9">
        <w:t>transport.</w:t>
      </w:r>
    </w:p>
    <w:p w:rsidR="00AB36D9" w:rsidRPr="00AB36D9" w:rsidRDefault="00AB36D9" w:rsidP="00AB36D9">
      <w:r w:rsidRPr="00AB36D9">
        <w:t>The ACCC has been monitoring these industries for complaints. The complaint data is available on page</w:t>
      </w:r>
      <w:r w:rsidR="00C42E35">
        <w:t>s</w:t>
      </w:r>
      <w:r w:rsidRPr="00AB36D9">
        <w:t xml:space="preserve"> </w:t>
      </w:r>
      <w:r w:rsidR="00C70009" w:rsidRPr="00C83814">
        <w:t>48</w:t>
      </w:r>
      <w:r w:rsidR="00C42E35" w:rsidRPr="00C83814">
        <w:t xml:space="preserve"> and 49</w:t>
      </w:r>
      <w:r w:rsidRPr="00C83814">
        <w:t>.</w:t>
      </w:r>
      <w:r w:rsidRPr="00AB36D9">
        <w:t xml:space="preserve"> The majority of contacts the ACCC received related to electricity and natural gas, and were mainly focused on consumers inquiring about their energy bills.</w:t>
      </w:r>
    </w:p>
    <w:p w:rsidR="00AB36D9" w:rsidRPr="00AB36D9" w:rsidRDefault="00AB36D9" w:rsidP="00AB36D9">
      <w:r w:rsidRPr="00AB36D9">
        <w:t>The July 2015 Carbon Report is the last report the ACCC is required to provide to the Minister under the price reduction obligation. This report will provide an update on the remaining industries under assessment and summarise the key findings of the ACCC’s monitoring activities from 1 January 2014.</w:t>
      </w:r>
    </w:p>
    <w:p w:rsidR="005624B7" w:rsidRDefault="005624B7">
      <w:pPr>
        <w:rPr>
          <w:rFonts w:ascii="Lucida Fax" w:eastAsiaTheme="majorEastAsia" w:hAnsi="Lucida Fax" w:cstheme="majorBidi"/>
          <w:bCs/>
          <w:color w:val="51626F"/>
          <w:sz w:val="32"/>
          <w:szCs w:val="28"/>
        </w:rPr>
      </w:pPr>
      <w:r>
        <w:br w:type="page"/>
      </w:r>
    </w:p>
    <w:p w:rsidR="00AB36D9" w:rsidRPr="00AB36D9" w:rsidRDefault="00AB36D9" w:rsidP="005624B7">
      <w:pPr>
        <w:pStyle w:val="Heading1"/>
      </w:pPr>
      <w:bookmarkStart w:id="15" w:name="_Toc417460221"/>
      <w:r w:rsidRPr="00AB36D9">
        <w:lastRenderedPageBreak/>
        <w:t>Monitoring: Industry assessments</w:t>
      </w:r>
      <w:bookmarkEnd w:id="15"/>
      <w:r w:rsidRPr="00AB36D9">
        <w:tab/>
      </w:r>
    </w:p>
    <w:p w:rsidR="00AB36D9" w:rsidRPr="00AB36D9" w:rsidRDefault="00AB36D9" w:rsidP="005624B7">
      <w:pPr>
        <w:pStyle w:val="Heading2"/>
      </w:pPr>
      <w:bookmarkStart w:id="16" w:name="_Toc417460222"/>
      <w:r w:rsidRPr="00AB36D9">
        <w:t>Electricity</w:t>
      </w:r>
      <w:bookmarkEnd w:id="16"/>
    </w:p>
    <w:p w:rsidR="00AB36D9" w:rsidRPr="00AB36D9" w:rsidRDefault="00AB36D9" w:rsidP="00B54A88">
      <w:pPr>
        <w:pStyle w:val="Boxedtext"/>
        <w:shd w:val="clear" w:color="auto" w:fill="D9D9D9" w:themeFill="background1" w:themeFillShade="D9"/>
      </w:pPr>
      <w:r w:rsidRPr="00AB36D9">
        <w:t xml:space="preserve">Since the ACCC commenced monitoring in March-April 2014, residential electricity prices have decreased in most states and territories due to the repeal of the carbon tax. However, other factors have affected electricity prices over this period. In the states where prices increased overall, these increases are less than they otherwise would have been absent the carbon tax repeal. </w:t>
      </w:r>
    </w:p>
    <w:p w:rsidR="00AB36D9" w:rsidRPr="00AB36D9" w:rsidRDefault="00AB36D9" w:rsidP="00B54A88">
      <w:pPr>
        <w:pStyle w:val="Boxedtext"/>
        <w:shd w:val="clear" w:color="auto" w:fill="D9D9D9" w:themeFill="background1" w:themeFillShade="D9"/>
      </w:pPr>
      <w:r w:rsidRPr="00AB36D9">
        <w:t>The ACCC is satisfied that electricity retailers’ calculation of the amount of carbon tax costs to be removed from prices after repeal corresponds to the carbon tax component that was included in prices prior to repeal, with a small adjustment for repeal implementation costs in some cases. The ACCC is also satisfied that electricity retailers have passed on to customers the cost savings from the repeal of the carbon tax, with the exception of one small retailer. The ACCC is continuing to investigate the remaining retailer to ascertain whether it has passed on all of its carbon tax repeal cost savings.</w:t>
      </w:r>
    </w:p>
    <w:p w:rsidR="00AB36D9" w:rsidRPr="00AB36D9" w:rsidRDefault="00AB36D9" w:rsidP="00B54A88">
      <w:pPr>
        <w:pStyle w:val="Boxedtext"/>
        <w:shd w:val="clear" w:color="auto" w:fill="D9D9D9" w:themeFill="background1" w:themeFillShade="D9"/>
      </w:pPr>
      <w:r w:rsidRPr="00AB36D9">
        <w:t xml:space="preserve">Information obtained from large electricity on-sellers and other industry participants has satisfied the ACCC that operators in this sector have passed on to their customers the full benefit of the carbon tax repeal. </w:t>
      </w:r>
    </w:p>
    <w:p w:rsidR="00AB36D9" w:rsidRPr="00AB36D9" w:rsidRDefault="00AB36D9" w:rsidP="00B54A88">
      <w:pPr>
        <w:pStyle w:val="Boxedtext"/>
        <w:shd w:val="clear" w:color="auto" w:fill="D9D9D9" w:themeFill="background1" w:themeFillShade="D9"/>
      </w:pPr>
      <w:r w:rsidRPr="00AB36D9">
        <w:t>Over the period of the carbon tax and its repeal, other cost factors have contributed to the increase in the price of electricity. While electricity prices have fallen after the repeal of the carbon tax, prices remain above what they were in 2012.</w:t>
      </w:r>
    </w:p>
    <w:p w:rsidR="00AB36D9" w:rsidRPr="00AB36D9" w:rsidRDefault="00AB36D9" w:rsidP="005624B7">
      <w:pPr>
        <w:pStyle w:val="Heading3"/>
      </w:pPr>
      <w:bookmarkStart w:id="17" w:name="_Toc417460223"/>
      <w:r w:rsidRPr="00AB36D9">
        <w:t>Overview of retail price changes</w:t>
      </w:r>
      <w:bookmarkEnd w:id="17"/>
    </w:p>
    <w:p w:rsidR="00AB36D9" w:rsidRPr="00AB36D9" w:rsidRDefault="00AB36D9" w:rsidP="00AB36D9">
      <w:r w:rsidRPr="00AB36D9">
        <w:t>As part of its monitoring activities, the ACCC collected pricing data from electricity retailers as at March-April 2014, July-August 2014, October 2014 and January-February 2015. The ACCC used the data to calculate average annual bills in each state and territo</w:t>
      </w:r>
      <w:r w:rsidR="009847F6">
        <w:t>ry, based on a consumption of 6</w:t>
      </w:r>
      <w:r w:rsidR="0016090E">
        <w:t>500</w:t>
      </w:r>
      <w:r w:rsidRPr="00AB36D9">
        <w:t>kWh per annum. The graph below shows the difference in those annual bills for residential standing offers between each period of data collection. The figures are averages for the jurisdiction and individual consumers’ experiences will vary depending on their location, consumption level and tariff structure.</w:t>
      </w:r>
    </w:p>
    <w:p w:rsidR="00AB36D9" w:rsidRPr="00AB36D9" w:rsidRDefault="00AB36D9" w:rsidP="00AB36D9">
      <w:r w:rsidRPr="00AB36D9">
        <w:t>The focus of the analysis below is on retailers’ standing offers, with annual bills being calculated as an average from both the big three retailers</w:t>
      </w:r>
      <w:r w:rsidRPr="00AB36D9">
        <w:rPr>
          <w:vertAlign w:val="superscript"/>
        </w:rPr>
        <w:footnoteReference w:id="9"/>
      </w:r>
      <w:r w:rsidRPr="00AB36D9">
        <w:t xml:space="preserve"> as well as second tier retailers. In some jurisdictions second tier retailers may not have a significant number of customers in their standing offer; however, these offers provide a useful benchmark from which to observe the impact of the carbon tax repeal as they change with more predictability and are less likely to be affected by changes in discounts.</w:t>
      </w:r>
    </w:p>
    <w:p w:rsidR="00AB36D9" w:rsidRPr="009847F6" w:rsidRDefault="00AB36D9" w:rsidP="00AB36D9">
      <w:pPr>
        <w:keepNext/>
        <w:keepLines/>
        <w:spacing w:before="240" w:after="120"/>
      </w:pPr>
      <w:r w:rsidRPr="00C37E72">
        <w:rPr>
          <w:rStyle w:val="TabletitleChar"/>
        </w:rPr>
        <w:lastRenderedPageBreak/>
        <w:t>Graph 1:</w:t>
      </w:r>
      <w:r w:rsidRPr="005624B7">
        <w:rPr>
          <w:rStyle w:val="TabletitleChar"/>
        </w:rPr>
        <w:t xml:space="preserve"> Average price change for residential standing offers based on ACCC calculations of annual bills</w:t>
      </w:r>
      <w:r w:rsidRPr="009847F6">
        <w:rPr>
          <w:rStyle w:val="FootnoteReference"/>
        </w:rPr>
        <w:footnoteReference w:id="10"/>
      </w:r>
      <w:r w:rsidRPr="009847F6">
        <w:t xml:space="preserve"> </w:t>
      </w:r>
    </w:p>
    <w:p w:rsidR="00AB36D9" w:rsidRPr="00AB36D9" w:rsidRDefault="00AB36D9" w:rsidP="00AB36D9">
      <w:pPr>
        <w:keepNext/>
        <w:keepLines/>
      </w:pPr>
      <w:r w:rsidRPr="00AB36D9">
        <w:rPr>
          <w:noProof/>
          <w:lang w:eastAsia="en-AU"/>
        </w:rPr>
        <w:drawing>
          <wp:inline distT="0" distB="0" distL="0" distR="0" wp14:anchorId="674C9C2A" wp14:editId="010FF870">
            <wp:extent cx="5771072" cy="3510951"/>
            <wp:effectExtent l="0" t="0" r="20320" b="1333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AB36D9" w:rsidRPr="00AB36D9" w:rsidRDefault="00AB36D9" w:rsidP="00AB36D9">
      <w:r w:rsidRPr="00AB36D9">
        <w:t xml:space="preserve">Graph </w:t>
      </w:r>
      <w:r w:rsidRPr="00C37E72">
        <w:t>1</w:t>
      </w:r>
      <w:r w:rsidRPr="00AB36D9">
        <w:t xml:space="preserve"> shows the differences observed in the pricing data obtained from electricity retailers as at March-April 2014 to July-August 2014, July-August 2014 to October 2014, and October 2014 to January-February 2015.</w:t>
      </w:r>
      <w:r w:rsidRPr="00AB36D9">
        <w:rPr>
          <w:vertAlign w:val="superscript"/>
        </w:rPr>
        <w:footnoteReference w:id="11"/>
      </w:r>
      <w:r w:rsidRPr="00AB36D9">
        <w:t xml:space="preserve"> </w:t>
      </w:r>
    </w:p>
    <w:p w:rsidR="00AB36D9" w:rsidRPr="00AB36D9" w:rsidRDefault="00AB36D9" w:rsidP="00AB36D9">
      <w:r w:rsidRPr="00AB36D9">
        <w:t>The following observations can be made:</w:t>
      </w:r>
    </w:p>
    <w:p w:rsidR="00AB36D9" w:rsidRPr="00AB36D9" w:rsidRDefault="00AB36D9" w:rsidP="005731FB">
      <w:pPr>
        <w:pStyle w:val="Bulletpoint"/>
      </w:pPr>
      <w:r w:rsidRPr="00AB36D9">
        <w:t xml:space="preserve">Retailers in the Australian Capital Territory, New South Wales, Queensland, South Australia and Tasmania usually adjust prices around July each year when network tariffs in those jurisdictions change. </w:t>
      </w:r>
    </w:p>
    <w:p w:rsidR="00AB36D9" w:rsidRPr="00AB36D9" w:rsidRDefault="00AB36D9" w:rsidP="005731FB">
      <w:pPr>
        <w:pStyle w:val="Bulletpoint"/>
      </w:pPr>
      <w:r w:rsidRPr="00AB36D9">
        <w:t xml:space="preserve">Victorian prices are typically adjusted around January each year as changes to network tariffs occur at that time. Retailers have indicated that increases in network and metering costs were the main factor for the increase in prices between October 2014 and </w:t>
      </w:r>
      <w:r w:rsidR="009847F6">
        <w:br/>
      </w:r>
      <w:r w:rsidRPr="00AB36D9">
        <w:t>January-February 2015.</w:t>
      </w:r>
    </w:p>
    <w:p w:rsidR="00AB36D9" w:rsidRPr="00AB36D9" w:rsidRDefault="00AB36D9" w:rsidP="005731FB">
      <w:pPr>
        <w:pStyle w:val="Bulletpoint"/>
      </w:pPr>
      <w:r w:rsidRPr="00AB36D9">
        <w:t xml:space="preserve">Prices in the Northern Territory also increased between October 2014 and </w:t>
      </w:r>
      <w:r w:rsidR="009847F6">
        <w:br/>
      </w:r>
      <w:r w:rsidRPr="00AB36D9">
        <w:t>January-February 2015 in line with the pricing order issued by the Northern Territory Treasurer that took effect on 1 January 2015.</w:t>
      </w:r>
      <w:r w:rsidRPr="00AB36D9">
        <w:rPr>
          <w:vertAlign w:val="superscript"/>
        </w:rPr>
        <w:footnoteReference w:id="12"/>
      </w:r>
    </w:p>
    <w:p w:rsidR="00AB36D9" w:rsidRPr="00AB36D9" w:rsidRDefault="00AB36D9" w:rsidP="005731FB">
      <w:pPr>
        <w:pStyle w:val="Bulletpoint"/>
      </w:pPr>
      <w:r w:rsidRPr="00AB36D9">
        <w:t xml:space="preserve">Retailers adjusted their prices to account for the carbon tax repeal at different times. Some retailers adjusted prices in anticipation of the carbon tax repeal, which is captured in the price change for March-April to July-August in the graph above. However, the majority of retailers removed the carbon tax component from their prices after repeal, which is captured in the price change from July-August to October in the graph above. This means that the impact of the carbon tax repeal is difficult to isolate in the graph </w:t>
      </w:r>
      <w:r w:rsidRPr="00AB36D9">
        <w:lastRenderedPageBreak/>
        <w:t xml:space="preserve">above. For further analysis of the impact of the carbon tax repeal on prices, see the ACCC’s </w:t>
      </w:r>
      <w:hyperlink r:id="rId12" w:history="1">
        <w:r w:rsidRPr="00AB36D9">
          <w:rPr>
            <w:color w:val="0000FF"/>
            <w:u w:val="single"/>
          </w:rPr>
          <w:t>January 2015 Carbon Report</w:t>
        </w:r>
      </w:hyperlink>
      <w:r w:rsidRPr="00AB36D9">
        <w:t>.</w:t>
      </w:r>
      <w:r w:rsidRPr="00AB36D9">
        <w:rPr>
          <w:vertAlign w:val="superscript"/>
        </w:rPr>
        <w:footnoteReference w:id="13"/>
      </w:r>
    </w:p>
    <w:p w:rsidR="00AB36D9" w:rsidRPr="00AB36D9" w:rsidRDefault="00AB36D9" w:rsidP="00AB36D9">
      <w:r w:rsidRPr="00DD08DF">
        <w:t>Graph 2</w:t>
      </w:r>
      <w:r w:rsidRPr="00AB36D9">
        <w:t xml:space="preserve"> below presents average price changes between March-April 2014 (before the repeal of the carbon tax) and January-February 2015 (after the repeal of the carbon tax and after the Victorian price adjustments in January 2015) and therefore illustrates the overall effect of the removal of the carbon tax and adjustments to prices for other factors, including changes to network tariffs.</w:t>
      </w:r>
      <w:r w:rsidRPr="00AB36D9">
        <w:rPr>
          <w:vertAlign w:val="superscript"/>
        </w:rPr>
        <w:footnoteReference w:id="14"/>
      </w:r>
    </w:p>
    <w:p w:rsidR="00AB36D9" w:rsidRPr="005624B7" w:rsidRDefault="00AB36D9" w:rsidP="005624B7">
      <w:pPr>
        <w:pStyle w:val="Tabletitle"/>
      </w:pPr>
      <w:r w:rsidRPr="005624B7">
        <w:t xml:space="preserve">Graph </w:t>
      </w:r>
      <w:r w:rsidRPr="00DD08DF">
        <w:t>2</w:t>
      </w:r>
      <w:r w:rsidRPr="005624B7">
        <w:t>: Average price change for residential standing offers from March-April 2014 to January-February 2015 based on ACCC calculations of annual bills</w:t>
      </w:r>
    </w:p>
    <w:p w:rsidR="00AB36D9" w:rsidRPr="00AB36D9" w:rsidRDefault="001F5D1A" w:rsidP="00AB36D9">
      <w:pPr>
        <w:keepNext/>
        <w:keepLines/>
      </w:pPr>
      <w:r>
        <w:rPr>
          <w:noProof/>
          <w:lang w:eastAsia="en-AU"/>
        </w:rPr>
        <w:drawing>
          <wp:inline distT="0" distB="0" distL="0" distR="0" wp14:anchorId="446E0116" wp14:editId="4B2C7711">
            <wp:extent cx="5731510" cy="2644775"/>
            <wp:effectExtent l="0" t="0" r="21590" b="22225"/>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AB36D9" w:rsidRPr="009847F6" w:rsidRDefault="00AB36D9" w:rsidP="00AB36D9">
      <w:r w:rsidRPr="00AB36D9">
        <w:t xml:space="preserve">Graph </w:t>
      </w:r>
      <w:r w:rsidRPr="00AE1B69">
        <w:t>2</w:t>
      </w:r>
      <w:r w:rsidRPr="00AB36D9">
        <w:t xml:space="preserve"> above shows an overall price decrease for most jurisdictions. There has been a slight increase in Queensland in line with the regulated price. As noted in the ACCC’s January 2015 Carbon Report, there has</w:t>
      </w:r>
      <w:r w:rsidRPr="009847F6">
        <w:t xml:space="preserve"> </w:t>
      </w:r>
      <w:r w:rsidRPr="00AB36D9">
        <w:t>also been a slight increase in prices in South Australia. Retailers have indicated that increasing network costs from July 2014 were a significant factor in price increases. In addition, the average decrease for the removal of the carbon tax in South Australia was smaller than in other jurisdictions.</w:t>
      </w:r>
      <w:r w:rsidRPr="00AB36D9">
        <w:rPr>
          <w:vertAlign w:val="superscript"/>
        </w:rPr>
        <w:footnoteReference w:id="15"/>
      </w:r>
    </w:p>
    <w:p w:rsidR="00AB36D9" w:rsidRPr="00AB36D9" w:rsidRDefault="00AB36D9" w:rsidP="005624B7">
      <w:pPr>
        <w:pStyle w:val="Heading3"/>
      </w:pPr>
      <w:bookmarkStart w:id="18" w:name="_Toc417460224"/>
      <w:r w:rsidRPr="00AB36D9">
        <w:t>Assessment of removal of carbon tax component from residential electricity prices</w:t>
      </w:r>
      <w:bookmarkEnd w:id="18"/>
    </w:p>
    <w:p w:rsidR="00AB36D9" w:rsidRPr="00AB36D9" w:rsidRDefault="00AB36D9" w:rsidP="00AB36D9">
      <w:r w:rsidRPr="00AB36D9">
        <w:t xml:space="preserve">As outlined in previous carbon price monitoring reports, the ACCC has obtained information from electricity retailers through the provision of carbon tax removal substantiation notices, carbon tax removal substantiation statements, pricing data and other information. </w:t>
      </w:r>
    </w:p>
    <w:p w:rsidR="00AB36D9" w:rsidRPr="00AB36D9" w:rsidRDefault="00AB36D9" w:rsidP="00AB36D9">
      <w:r w:rsidRPr="00AB36D9">
        <w:t>Using information provided, the ACCC analysed the methods used by retailers to identify cost savings relating to the repeal of the carbon tax. The ACCC then used the pricing data to assess how those identified cost savings were being passed back to consumers in retail prices.</w:t>
      </w:r>
    </w:p>
    <w:p w:rsidR="005624B7" w:rsidRPr="009847F6" w:rsidRDefault="005624B7">
      <w:r>
        <w:br w:type="page"/>
      </w:r>
    </w:p>
    <w:p w:rsidR="00AB36D9" w:rsidRPr="00AB36D9" w:rsidRDefault="00AB36D9" w:rsidP="005624B7">
      <w:pPr>
        <w:pStyle w:val="Heading4"/>
      </w:pPr>
      <w:r w:rsidRPr="00AB36D9">
        <w:lastRenderedPageBreak/>
        <w:t>Identifying the carbon tax cost component of prices</w:t>
      </w:r>
    </w:p>
    <w:p w:rsidR="00AB36D9" w:rsidRPr="00AB36D9" w:rsidRDefault="00AB36D9" w:rsidP="00AB36D9">
      <w:pPr>
        <w:keepNext/>
        <w:keepLines/>
      </w:pPr>
      <w:r w:rsidRPr="00AB36D9">
        <w:t>The ACCC sought to ensure that the methodology used to calculate carbon tax costs to be removed from prices was the same as that used when the carbon tax was introduced, and that the amount of carbon tax costs removed were the same as the amount that was included in the prevailing price just prior to repeal. The ACCC also considered that if a retailer has any compliance costs related to the carbon tax repeal then these may be relevant to how the retailer adjusts its prices following the repeal.</w:t>
      </w:r>
    </w:p>
    <w:p w:rsidR="00AB36D9" w:rsidRPr="00AB36D9" w:rsidRDefault="00AB36D9" w:rsidP="00AB36D9">
      <w:pPr>
        <w:keepNext/>
        <w:keepLines/>
      </w:pPr>
      <w:r w:rsidRPr="00AB36D9">
        <w:t>The ACCC undertook an extensive analysis of the information provided by retailers to satisfy itself that the methodology and calculations of the carbon tax cost savings were correct. The ACCC also sought further information and explanations on a number of occasions from some retailers to clarify these issues.</w:t>
      </w:r>
    </w:p>
    <w:p w:rsidR="00AB36D9" w:rsidRPr="00AB36D9" w:rsidRDefault="00AB36D9" w:rsidP="00AB36D9">
      <w:r w:rsidRPr="00AB36D9">
        <w:t>The cost of the carbon tax fell directly on to electricity generators. The cost was passed on to retailers in the form of higher wholesale prices. However there is no direct relationship between generators and retailers in the wholesale spot market as generators sell into the pool rather than to individual retailers. The pool price itself is volatile and does not have an easily identifiable carbon tax component. Many retailers used hedging instruments to limit their exposure to volatile pool prices, and some are vertically integrated or naturally hedged. Some of those instruments identified carbon tax costs but others did not.</w:t>
      </w:r>
    </w:p>
    <w:p w:rsidR="00AB36D9" w:rsidRPr="00AB36D9" w:rsidRDefault="00AB36D9" w:rsidP="00AB36D9">
      <w:r w:rsidRPr="00AB36D9">
        <w:t>As the carbon tax cost pass through was not identifiable when the carbon tax was introduced, retailers had to calculate the carbon tax component to be added to prices. Generally in the non-regulated jurisdictions, most retailers adopted a methodology based on the carbon price multiplied by the average carbon intensity per megawatt generated. The key difference in methodologies was the carbon intensity used. Most retailers used the National Energy Market-wide (NEM) carbon intensity (either published by Australian Energy Market Operator (AEMO) or based on their own internal estimates) whereas others used state based intensities. Many retailers also adjusted the carbon tax component in retail prices to account for electricity lost during transmission.</w:t>
      </w:r>
      <w:r w:rsidRPr="00AB36D9">
        <w:rPr>
          <w:vertAlign w:val="superscript"/>
        </w:rPr>
        <w:footnoteReference w:id="16"/>
      </w:r>
      <w:r w:rsidRPr="00AB36D9">
        <w:t xml:space="preserve"> </w:t>
      </w:r>
    </w:p>
    <w:p w:rsidR="00AB36D9" w:rsidRPr="00AB36D9" w:rsidRDefault="00AB36D9" w:rsidP="00AB36D9">
      <w:r w:rsidRPr="00AB36D9">
        <w:t>At the time the carbon tax was introduced, standing offer prices were regulated in all states except Victoria. In New South Wales and the Australian Capital Territory, the regulated price applies to specific retailers. However, non-regulated retailers often indicated that they adjusted standing offer prices in line with the regulator’s pricing decision regardless. Some retailers followed the regulator’s method for incorporating carbon tax costs in their market offers, while others used their own methodology.</w:t>
      </w:r>
    </w:p>
    <w:p w:rsidR="00AB36D9" w:rsidRPr="00AB36D9" w:rsidRDefault="00AB36D9" w:rsidP="00AB36D9">
      <w:r w:rsidRPr="00AB36D9">
        <w:t>In South Australia and New South Wales prices were deregulated during the period of the carbon tax (on 1 February 2013 and 1 July 2014 respectively). Following deregulation and until the carbon tax was repealed, some retailers continued to follow the same methodology for calculating carbon tax costs used by the regulator when the carbon tax was introduced, while others used their own methodology.</w:t>
      </w:r>
    </w:p>
    <w:p w:rsidR="00AB36D9" w:rsidRPr="00AB36D9" w:rsidRDefault="00AB36D9" w:rsidP="00AB36D9">
      <w:r w:rsidRPr="00AB36D9">
        <w:t xml:space="preserve">Generally retailers indicated that although they adjusted prices several times after the introduction of the carbon tax, they used the same method to incorporate carbon tax costs at each price change, with updated values to reflect changes in the carbon price and the carbon intensity of the market. </w:t>
      </w:r>
    </w:p>
    <w:p w:rsidR="00AB36D9" w:rsidRPr="00AB36D9" w:rsidRDefault="00AB36D9" w:rsidP="00AB36D9">
      <w:r w:rsidRPr="00AB36D9">
        <w:t xml:space="preserve">Some retailers started retailing after the introduction of the carbon tax, and had not considered carbon tax costs in isolation when setting prices. Where this was the case, the </w:t>
      </w:r>
      <w:r w:rsidRPr="00AB36D9">
        <w:lastRenderedPageBreak/>
        <w:t xml:space="preserve">ACCC sought an explanation as to how the retailers were now determining their cost savings, including factors such as wholesale prices, pricing strategy and structure, and the calculation of the actual amount to be removed from prices. </w:t>
      </w:r>
    </w:p>
    <w:p w:rsidR="00AB36D9" w:rsidRPr="00AB36D9" w:rsidRDefault="00AB36D9" w:rsidP="00AB36D9">
      <w:r w:rsidRPr="00AB36D9">
        <w:t xml:space="preserve">On repeal, some retailers reduced the amount to be removed from prices by a small amount to account for implementation costs. Where this was the case, the ACCC sought information justifying the amount and allocation of implementation costs between customers. </w:t>
      </w:r>
    </w:p>
    <w:p w:rsidR="00AB36D9" w:rsidRPr="00AB36D9" w:rsidRDefault="00AB36D9" w:rsidP="00AB36D9">
      <w:r w:rsidRPr="00AB36D9">
        <w:t>Based on the information available, the ACCC is satisfied that retailers’ calculation of the amount of carbon tax costs to be removed from prices after repeal corresponds to the carbon tax component that was included in prices prior to repeal, adjusted for repeal implementation costs.</w:t>
      </w:r>
    </w:p>
    <w:p w:rsidR="00AB36D9" w:rsidRPr="00AB36D9" w:rsidRDefault="00AB36D9" w:rsidP="005624B7">
      <w:pPr>
        <w:pStyle w:val="Heading4"/>
      </w:pPr>
      <w:r w:rsidRPr="00AB36D9">
        <w:t>Reflecting carbon tax repeal cost savings in prices</w:t>
      </w:r>
    </w:p>
    <w:p w:rsidR="00AB36D9" w:rsidRPr="00AB36D9" w:rsidRDefault="00AB36D9" w:rsidP="00AB36D9">
      <w:r w:rsidRPr="00AB36D9">
        <w:t>Electricity retailers have provided pricing data to the ACCC on a quarterly basis since March 2014. The ACCC has analysed tariffs across jurisdictions and tracked price changes across the period. Wherever possible, the ACCC compared the change in actual prices to the carbon tax cost component that retailers indicated they would remove from prices.</w:t>
      </w:r>
      <w:r w:rsidRPr="00AB36D9">
        <w:rPr>
          <w:vertAlign w:val="superscript"/>
        </w:rPr>
        <w:footnoteReference w:id="17"/>
      </w:r>
    </w:p>
    <w:p w:rsidR="00AB36D9" w:rsidRPr="00AB36D9" w:rsidRDefault="00AB36D9" w:rsidP="00AB36D9">
      <w:r w:rsidRPr="00AB36D9">
        <w:t>The ACCC observed that the difference in prices either matched or exceeded the total carbon tax costs that the ACCC was satisfied were in the prices that prevailed prior to the repeal of the carbon tax.</w:t>
      </w:r>
    </w:p>
    <w:p w:rsidR="00AB36D9" w:rsidRPr="00AB36D9" w:rsidRDefault="00AB36D9" w:rsidP="00AB36D9">
      <w:r w:rsidRPr="00DD08DF">
        <w:t>Table 3</w:t>
      </w:r>
      <w:r w:rsidRPr="009847F6">
        <w:t xml:space="preserve"> </w:t>
      </w:r>
      <w:r w:rsidRPr="00AB36D9">
        <w:t>below provides an overview of the carbon tax repeal cost savings passed back to customers by electricity retailers.</w:t>
      </w:r>
    </w:p>
    <w:p w:rsidR="00AB36D9" w:rsidRPr="009847F6" w:rsidRDefault="00AB36D9" w:rsidP="00AB36D9">
      <w:pPr>
        <w:keepNext/>
        <w:keepLines/>
        <w:spacing w:before="240" w:after="120"/>
      </w:pPr>
      <w:r w:rsidRPr="005624B7">
        <w:rPr>
          <w:rStyle w:val="TabletitleChar"/>
        </w:rPr>
        <w:t xml:space="preserve">Table </w:t>
      </w:r>
      <w:r w:rsidRPr="00DD08DF">
        <w:rPr>
          <w:rStyle w:val="TabletitleChar"/>
        </w:rPr>
        <w:t>3</w:t>
      </w:r>
      <w:r w:rsidRPr="005624B7">
        <w:rPr>
          <w:rStyle w:val="TabletitleChar"/>
        </w:rPr>
        <w:t>: Carbon tax repeal cost savings passed back to residential customers</w:t>
      </w:r>
      <w:r w:rsidRPr="009847F6">
        <w:rPr>
          <w:szCs w:val="20"/>
          <w:vertAlign w:val="superscript"/>
        </w:rPr>
        <w:footnoteReference w:id="18"/>
      </w:r>
    </w:p>
    <w:tbl>
      <w:tblPr>
        <w:tblStyle w:val="LightShading1"/>
        <w:tblW w:w="0" w:type="auto"/>
        <w:jc w:val="center"/>
        <w:tblLook w:val="04A0" w:firstRow="1" w:lastRow="0" w:firstColumn="1" w:lastColumn="0" w:noHBand="0" w:noVBand="1"/>
      </w:tblPr>
      <w:tblGrid>
        <w:gridCol w:w="1817"/>
        <w:gridCol w:w="2268"/>
        <w:gridCol w:w="2268"/>
      </w:tblGrid>
      <w:tr w:rsidR="00AB36D9" w:rsidRPr="00AB36D9" w:rsidTr="00856C41">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817" w:type="dxa"/>
            <w:hideMark/>
          </w:tcPr>
          <w:p w:rsidR="00AB36D9" w:rsidRPr="00AB36D9" w:rsidRDefault="00AB36D9" w:rsidP="00AE1B69">
            <w:pPr>
              <w:pStyle w:val="Tabletext"/>
              <w:jc w:val="center"/>
              <w:rPr>
                <w:lang w:eastAsia="en-AU"/>
              </w:rPr>
            </w:pPr>
            <w:r w:rsidRPr="00AB36D9">
              <w:rPr>
                <w:lang w:eastAsia="en-AU"/>
              </w:rPr>
              <w:t>State</w:t>
            </w:r>
          </w:p>
        </w:tc>
        <w:tc>
          <w:tcPr>
            <w:tcW w:w="2268" w:type="dxa"/>
            <w:hideMark/>
          </w:tcPr>
          <w:p w:rsidR="00AB36D9" w:rsidRPr="00AB36D9" w:rsidRDefault="00AB36D9" w:rsidP="00AE1B69">
            <w:pPr>
              <w:pStyle w:val="Tabletext"/>
              <w:jc w:val="center"/>
              <w:cnfStyle w:val="100000000000" w:firstRow="1" w:lastRow="0" w:firstColumn="0" w:lastColumn="0" w:oddVBand="0" w:evenVBand="0" w:oddHBand="0" w:evenHBand="0" w:firstRowFirstColumn="0" w:firstRowLastColumn="0" w:lastRowFirstColumn="0" w:lastRowLastColumn="0"/>
            </w:pPr>
            <w:r w:rsidRPr="00AB36D9">
              <w:t>Range (c/kWh)</w:t>
            </w:r>
          </w:p>
        </w:tc>
        <w:tc>
          <w:tcPr>
            <w:tcW w:w="2268" w:type="dxa"/>
            <w:hideMark/>
          </w:tcPr>
          <w:p w:rsidR="00AB36D9" w:rsidRPr="00AB36D9" w:rsidRDefault="00AB36D9" w:rsidP="00AE1B69">
            <w:pPr>
              <w:pStyle w:val="Tabletext"/>
              <w:jc w:val="center"/>
              <w:cnfStyle w:val="100000000000" w:firstRow="1" w:lastRow="0" w:firstColumn="0" w:lastColumn="0" w:oddVBand="0" w:evenVBand="0" w:oddHBand="0" w:evenHBand="0" w:firstRowFirstColumn="0" w:firstRowLastColumn="0" w:lastRowFirstColumn="0" w:lastRowLastColumn="0"/>
            </w:pPr>
            <w:r w:rsidRPr="00AB36D9">
              <w:t>Average (c/kWh)</w:t>
            </w:r>
          </w:p>
        </w:tc>
      </w:tr>
      <w:tr w:rsidR="00AB36D9" w:rsidRPr="00AB36D9" w:rsidTr="00856C41">
        <w:trPr>
          <w:trHeight w:val="567"/>
          <w:jc w:val="center"/>
        </w:trPr>
        <w:tc>
          <w:tcPr>
            <w:cnfStyle w:val="001000000000" w:firstRow="0" w:lastRow="0" w:firstColumn="1" w:lastColumn="0" w:oddVBand="0" w:evenVBand="0" w:oddHBand="0" w:evenHBand="0" w:firstRowFirstColumn="0" w:firstRowLastColumn="0" w:lastRowFirstColumn="0" w:lastRowLastColumn="0"/>
            <w:tcW w:w="1817" w:type="dxa"/>
            <w:hideMark/>
          </w:tcPr>
          <w:p w:rsidR="00AB36D9" w:rsidRPr="00AB36D9" w:rsidRDefault="00AB36D9" w:rsidP="00AE1B69">
            <w:pPr>
              <w:pStyle w:val="Tabletext"/>
              <w:jc w:val="center"/>
            </w:pPr>
            <w:r w:rsidRPr="00AB36D9">
              <w:t>NSW</w:t>
            </w:r>
          </w:p>
        </w:tc>
        <w:tc>
          <w:tcPr>
            <w:tcW w:w="2268" w:type="dxa"/>
            <w:hideMark/>
          </w:tcPr>
          <w:p w:rsidR="00AB36D9" w:rsidRPr="00AB36D9" w:rsidRDefault="00AB36D9" w:rsidP="00AE1B69">
            <w:pPr>
              <w:pStyle w:val="Tabletext"/>
              <w:jc w:val="center"/>
              <w:cnfStyle w:val="000000000000" w:firstRow="0" w:lastRow="0" w:firstColumn="0" w:lastColumn="0" w:oddVBand="0" w:evenVBand="0" w:oddHBand="0" w:evenHBand="0" w:firstRowFirstColumn="0" w:firstRowLastColumn="0" w:lastRowFirstColumn="0" w:lastRowLastColumn="0"/>
            </w:pPr>
            <w:r w:rsidRPr="00AB36D9">
              <w:rPr>
                <w:lang w:eastAsia="en-AU"/>
              </w:rPr>
              <w:t>1.87 - 2.60</w:t>
            </w:r>
          </w:p>
        </w:tc>
        <w:tc>
          <w:tcPr>
            <w:tcW w:w="2268" w:type="dxa"/>
            <w:hideMark/>
          </w:tcPr>
          <w:p w:rsidR="00AB36D9" w:rsidRPr="00AB36D9" w:rsidRDefault="00AB36D9" w:rsidP="00AE1B69">
            <w:pPr>
              <w:pStyle w:val="Tabletext"/>
              <w:jc w:val="center"/>
              <w:cnfStyle w:val="000000000000" w:firstRow="0" w:lastRow="0" w:firstColumn="0" w:lastColumn="0" w:oddVBand="0" w:evenVBand="0" w:oddHBand="0" w:evenHBand="0" w:firstRowFirstColumn="0" w:firstRowLastColumn="0" w:lastRowFirstColumn="0" w:lastRowLastColumn="0"/>
            </w:pPr>
            <w:r w:rsidRPr="00AB36D9">
              <w:t>2.29</w:t>
            </w:r>
          </w:p>
        </w:tc>
      </w:tr>
      <w:tr w:rsidR="00AB36D9" w:rsidRPr="00AB36D9" w:rsidTr="00856C41">
        <w:trPr>
          <w:trHeight w:val="567"/>
          <w:jc w:val="center"/>
        </w:trPr>
        <w:tc>
          <w:tcPr>
            <w:cnfStyle w:val="001000000000" w:firstRow="0" w:lastRow="0" w:firstColumn="1" w:lastColumn="0" w:oddVBand="0" w:evenVBand="0" w:oddHBand="0" w:evenHBand="0" w:firstRowFirstColumn="0" w:firstRowLastColumn="0" w:lastRowFirstColumn="0" w:lastRowLastColumn="0"/>
            <w:tcW w:w="1817" w:type="dxa"/>
            <w:hideMark/>
          </w:tcPr>
          <w:p w:rsidR="00AB36D9" w:rsidRPr="00AB36D9" w:rsidRDefault="00AB36D9" w:rsidP="00AE1B69">
            <w:pPr>
              <w:pStyle w:val="Tabletext"/>
              <w:jc w:val="center"/>
              <w:rPr>
                <w:lang w:eastAsia="en-AU"/>
              </w:rPr>
            </w:pPr>
            <w:r w:rsidRPr="00AB36D9">
              <w:rPr>
                <w:lang w:eastAsia="en-AU"/>
              </w:rPr>
              <w:t>VIC</w:t>
            </w:r>
          </w:p>
        </w:tc>
        <w:tc>
          <w:tcPr>
            <w:tcW w:w="2268" w:type="dxa"/>
            <w:hideMark/>
          </w:tcPr>
          <w:p w:rsidR="00AB36D9" w:rsidRPr="00AB36D9" w:rsidRDefault="00AB36D9" w:rsidP="00AE1B69">
            <w:pPr>
              <w:pStyle w:val="Tabletext"/>
              <w:jc w:val="center"/>
              <w:cnfStyle w:val="000000000000" w:firstRow="0" w:lastRow="0" w:firstColumn="0" w:lastColumn="0" w:oddVBand="0" w:evenVBand="0" w:oddHBand="0" w:evenHBand="0" w:firstRowFirstColumn="0" w:firstRowLastColumn="0" w:lastRowFirstColumn="0" w:lastRowLastColumn="0"/>
            </w:pPr>
            <w:r w:rsidRPr="00AB36D9">
              <w:rPr>
                <w:lang w:eastAsia="en-AU"/>
              </w:rPr>
              <w:t>1.87 - 3.37</w:t>
            </w:r>
          </w:p>
        </w:tc>
        <w:tc>
          <w:tcPr>
            <w:tcW w:w="2268" w:type="dxa"/>
            <w:hideMark/>
          </w:tcPr>
          <w:p w:rsidR="00AB36D9" w:rsidRPr="00AB36D9" w:rsidRDefault="00AB36D9" w:rsidP="00AE1B69">
            <w:pPr>
              <w:pStyle w:val="Tabletext"/>
              <w:jc w:val="center"/>
              <w:cnfStyle w:val="000000000000" w:firstRow="0" w:lastRow="0" w:firstColumn="0" w:lastColumn="0" w:oddVBand="0" w:evenVBand="0" w:oddHBand="0" w:evenHBand="0" w:firstRowFirstColumn="0" w:firstRowLastColumn="0" w:lastRowFirstColumn="0" w:lastRowLastColumn="0"/>
            </w:pPr>
            <w:r w:rsidRPr="00AB36D9">
              <w:t>2.50</w:t>
            </w:r>
          </w:p>
        </w:tc>
      </w:tr>
      <w:tr w:rsidR="00AB36D9" w:rsidRPr="00AB36D9" w:rsidTr="00856C41">
        <w:trPr>
          <w:trHeight w:val="567"/>
          <w:jc w:val="center"/>
        </w:trPr>
        <w:tc>
          <w:tcPr>
            <w:cnfStyle w:val="001000000000" w:firstRow="0" w:lastRow="0" w:firstColumn="1" w:lastColumn="0" w:oddVBand="0" w:evenVBand="0" w:oddHBand="0" w:evenHBand="0" w:firstRowFirstColumn="0" w:firstRowLastColumn="0" w:lastRowFirstColumn="0" w:lastRowLastColumn="0"/>
            <w:tcW w:w="1817" w:type="dxa"/>
            <w:hideMark/>
          </w:tcPr>
          <w:p w:rsidR="00AB36D9" w:rsidRPr="00AB36D9" w:rsidRDefault="00AB36D9" w:rsidP="00AE1B69">
            <w:pPr>
              <w:pStyle w:val="Tabletext"/>
              <w:jc w:val="center"/>
              <w:rPr>
                <w:lang w:eastAsia="en-AU"/>
              </w:rPr>
            </w:pPr>
            <w:r w:rsidRPr="00AB36D9">
              <w:rPr>
                <w:lang w:eastAsia="en-AU"/>
              </w:rPr>
              <w:t>SA</w:t>
            </w:r>
          </w:p>
        </w:tc>
        <w:tc>
          <w:tcPr>
            <w:tcW w:w="2268" w:type="dxa"/>
            <w:hideMark/>
          </w:tcPr>
          <w:p w:rsidR="00AB36D9" w:rsidRPr="00AB36D9" w:rsidRDefault="00AB36D9" w:rsidP="00AE1B69">
            <w:pPr>
              <w:pStyle w:val="Tabletext"/>
              <w:jc w:val="center"/>
              <w:cnfStyle w:val="000000000000" w:firstRow="0" w:lastRow="0" w:firstColumn="0" w:lastColumn="0" w:oddVBand="0" w:evenVBand="0" w:oddHBand="0" w:evenHBand="0" w:firstRowFirstColumn="0" w:firstRowLastColumn="0" w:lastRowFirstColumn="0" w:lastRowLastColumn="0"/>
            </w:pPr>
            <w:r w:rsidRPr="00AB36D9">
              <w:rPr>
                <w:lang w:eastAsia="en-AU"/>
              </w:rPr>
              <w:t>1.86 - 2.50</w:t>
            </w:r>
          </w:p>
        </w:tc>
        <w:tc>
          <w:tcPr>
            <w:tcW w:w="2268" w:type="dxa"/>
            <w:hideMark/>
          </w:tcPr>
          <w:p w:rsidR="00AB36D9" w:rsidRPr="00AB36D9" w:rsidRDefault="00AB36D9" w:rsidP="00AE1B69">
            <w:pPr>
              <w:pStyle w:val="Tabletext"/>
              <w:jc w:val="center"/>
              <w:cnfStyle w:val="000000000000" w:firstRow="0" w:lastRow="0" w:firstColumn="0" w:lastColumn="0" w:oddVBand="0" w:evenVBand="0" w:oddHBand="0" w:evenHBand="0" w:firstRowFirstColumn="0" w:firstRowLastColumn="0" w:lastRowFirstColumn="0" w:lastRowLastColumn="0"/>
            </w:pPr>
            <w:r w:rsidRPr="00AB36D9">
              <w:t>2.18</w:t>
            </w:r>
          </w:p>
        </w:tc>
      </w:tr>
      <w:tr w:rsidR="00AB36D9" w:rsidRPr="00AB36D9" w:rsidTr="00856C41">
        <w:trPr>
          <w:trHeight w:val="567"/>
          <w:jc w:val="center"/>
        </w:trPr>
        <w:tc>
          <w:tcPr>
            <w:cnfStyle w:val="001000000000" w:firstRow="0" w:lastRow="0" w:firstColumn="1" w:lastColumn="0" w:oddVBand="0" w:evenVBand="0" w:oddHBand="0" w:evenHBand="0" w:firstRowFirstColumn="0" w:firstRowLastColumn="0" w:lastRowFirstColumn="0" w:lastRowLastColumn="0"/>
            <w:tcW w:w="1817" w:type="dxa"/>
            <w:hideMark/>
          </w:tcPr>
          <w:p w:rsidR="00AB36D9" w:rsidRPr="00AB36D9" w:rsidRDefault="00AB36D9" w:rsidP="00AE1B69">
            <w:pPr>
              <w:pStyle w:val="Tabletext"/>
              <w:jc w:val="center"/>
              <w:rPr>
                <w:lang w:eastAsia="en-AU"/>
              </w:rPr>
            </w:pPr>
            <w:r w:rsidRPr="00AB36D9">
              <w:rPr>
                <w:lang w:eastAsia="en-AU"/>
              </w:rPr>
              <w:t>QLD</w:t>
            </w:r>
          </w:p>
        </w:tc>
        <w:tc>
          <w:tcPr>
            <w:tcW w:w="2268" w:type="dxa"/>
            <w:hideMark/>
          </w:tcPr>
          <w:p w:rsidR="00AB36D9" w:rsidRPr="00AB36D9" w:rsidRDefault="00AB36D9" w:rsidP="00AE1B69">
            <w:pPr>
              <w:pStyle w:val="Tabletext"/>
              <w:jc w:val="center"/>
              <w:cnfStyle w:val="000000000000" w:firstRow="0" w:lastRow="0" w:firstColumn="0" w:lastColumn="0" w:oddVBand="0" w:evenVBand="0" w:oddHBand="0" w:evenHBand="0" w:firstRowFirstColumn="0" w:firstRowLastColumn="0" w:lastRowFirstColumn="0" w:lastRowLastColumn="0"/>
            </w:pPr>
            <w:r w:rsidRPr="00AB36D9">
              <w:rPr>
                <w:lang w:eastAsia="en-AU"/>
              </w:rPr>
              <w:t>1.87 - 2.64</w:t>
            </w:r>
          </w:p>
        </w:tc>
        <w:tc>
          <w:tcPr>
            <w:tcW w:w="2268" w:type="dxa"/>
            <w:hideMark/>
          </w:tcPr>
          <w:p w:rsidR="00AB36D9" w:rsidRPr="00AB36D9" w:rsidRDefault="00AB36D9" w:rsidP="00AE1B69">
            <w:pPr>
              <w:pStyle w:val="Tabletext"/>
              <w:jc w:val="center"/>
              <w:cnfStyle w:val="000000000000" w:firstRow="0" w:lastRow="0" w:firstColumn="0" w:lastColumn="0" w:oddVBand="0" w:evenVBand="0" w:oddHBand="0" w:evenHBand="0" w:firstRowFirstColumn="0" w:firstRowLastColumn="0" w:lastRowFirstColumn="0" w:lastRowLastColumn="0"/>
            </w:pPr>
            <w:r w:rsidRPr="00AB36D9">
              <w:t>2.45</w:t>
            </w:r>
          </w:p>
        </w:tc>
      </w:tr>
      <w:tr w:rsidR="00AB36D9" w:rsidRPr="00AB36D9" w:rsidTr="00856C41">
        <w:trPr>
          <w:trHeight w:val="567"/>
          <w:jc w:val="center"/>
        </w:trPr>
        <w:tc>
          <w:tcPr>
            <w:cnfStyle w:val="001000000000" w:firstRow="0" w:lastRow="0" w:firstColumn="1" w:lastColumn="0" w:oddVBand="0" w:evenVBand="0" w:oddHBand="0" w:evenHBand="0" w:firstRowFirstColumn="0" w:firstRowLastColumn="0" w:lastRowFirstColumn="0" w:lastRowLastColumn="0"/>
            <w:tcW w:w="1817" w:type="dxa"/>
            <w:hideMark/>
          </w:tcPr>
          <w:p w:rsidR="00AB36D9" w:rsidRPr="00AB36D9" w:rsidRDefault="00AB36D9" w:rsidP="00AE1B69">
            <w:pPr>
              <w:pStyle w:val="Tabletext"/>
              <w:jc w:val="center"/>
              <w:rPr>
                <w:lang w:eastAsia="en-AU"/>
              </w:rPr>
            </w:pPr>
            <w:r w:rsidRPr="00AB36D9">
              <w:rPr>
                <w:lang w:eastAsia="en-AU"/>
              </w:rPr>
              <w:t>ACT</w:t>
            </w:r>
          </w:p>
        </w:tc>
        <w:tc>
          <w:tcPr>
            <w:tcW w:w="2268" w:type="dxa"/>
            <w:hideMark/>
          </w:tcPr>
          <w:p w:rsidR="00AB36D9" w:rsidRPr="00AB36D9" w:rsidRDefault="00AB36D9" w:rsidP="00AE1B69">
            <w:pPr>
              <w:pStyle w:val="Tabletext"/>
              <w:jc w:val="center"/>
              <w:cnfStyle w:val="000000000000" w:firstRow="0" w:lastRow="0" w:firstColumn="0" w:lastColumn="0" w:oddVBand="0" w:evenVBand="0" w:oddHBand="0" w:evenHBand="0" w:firstRowFirstColumn="0" w:firstRowLastColumn="0" w:lastRowFirstColumn="0" w:lastRowLastColumn="0"/>
            </w:pPr>
            <w:r w:rsidRPr="00AB36D9">
              <w:rPr>
                <w:lang w:eastAsia="en-AU"/>
              </w:rPr>
              <w:t>2.40 - 2.53</w:t>
            </w:r>
          </w:p>
        </w:tc>
        <w:tc>
          <w:tcPr>
            <w:tcW w:w="2268" w:type="dxa"/>
            <w:hideMark/>
          </w:tcPr>
          <w:p w:rsidR="00AB36D9" w:rsidRPr="00AB36D9" w:rsidRDefault="00AB36D9" w:rsidP="00AE1B69">
            <w:pPr>
              <w:pStyle w:val="Tabletext"/>
              <w:jc w:val="center"/>
              <w:cnfStyle w:val="000000000000" w:firstRow="0" w:lastRow="0" w:firstColumn="0" w:lastColumn="0" w:oddVBand="0" w:evenVBand="0" w:oddHBand="0" w:evenHBand="0" w:firstRowFirstColumn="0" w:firstRowLastColumn="0" w:lastRowFirstColumn="0" w:lastRowLastColumn="0"/>
            </w:pPr>
            <w:r w:rsidRPr="00AB36D9">
              <w:t>2.49</w:t>
            </w:r>
          </w:p>
        </w:tc>
      </w:tr>
      <w:tr w:rsidR="00AB36D9" w:rsidRPr="00AB36D9" w:rsidTr="00856C41">
        <w:trPr>
          <w:trHeight w:val="567"/>
          <w:jc w:val="center"/>
        </w:trPr>
        <w:tc>
          <w:tcPr>
            <w:cnfStyle w:val="001000000000" w:firstRow="0" w:lastRow="0" w:firstColumn="1" w:lastColumn="0" w:oddVBand="0" w:evenVBand="0" w:oddHBand="0" w:evenHBand="0" w:firstRowFirstColumn="0" w:firstRowLastColumn="0" w:lastRowFirstColumn="0" w:lastRowLastColumn="0"/>
            <w:tcW w:w="1817" w:type="dxa"/>
            <w:hideMark/>
          </w:tcPr>
          <w:p w:rsidR="00AB36D9" w:rsidRPr="00AB36D9" w:rsidRDefault="00AB36D9" w:rsidP="00AE1B69">
            <w:pPr>
              <w:pStyle w:val="Tabletext"/>
              <w:jc w:val="center"/>
              <w:rPr>
                <w:lang w:eastAsia="en-AU"/>
              </w:rPr>
            </w:pPr>
            <w:r w:rsidRPr="00AB36D9">
              <w:rPr>
                <w:lang w:eastAsia="en-AU"/>
              </w:rPr>
              <w:t>TAS</w:t>
            </w:r>
          </w:p>
        </w:tc>
        <w:tc>
          <w:tcPr>
            <w:tcW w:w="2268" w:type="dxa"/>
            <w:hideMark/>
          </w:tcPr>
          <w:p w:rsidR="00AB36D9" w:rsidRPr="00AB36D9" w:rsidRDefault="00AB36D9" w:rsidP="00AE1B69">
            <w:pPr>
              <w:pStyle w:val="Tabletext"/>
              <w:jc w:val="center"/>
              <w:cnfStyle w:val="000000000000" w:firstRow="0" w:lastRow="0" w:firstColumn="0" w:lastColumn="0" w:oddVBand="0" w:evenVBand="0" w:oddHBand="0" w:evenHBand="0" w:firstRowFirstColumn="0" w:firstRowLastColumn="0" w:lastRowFirstColumn="0" w:lastRowLastColumn="0"/>
            </w:pPr>
            <w:r w:rsidRPr="00AB36D9">
              <w:t>2.23</w:t>
            </w:r>
          </w:p>
        </w:tc>
        <w:tc>
          <w:tcPr>
            <w:tcW w:w="2268" w:type="dxa"/>
            <w:hideMark/>
          </w:tcPr>
          <w:p w:rsidR="00AB36D9" w:rsidRPr="00AB36D9" w:rsidRDefault="00AB36D9" w:rsidP="00AE1B69">
            <w:pPr>
              <w:pStyle w:val="Tabletext"/>
              <w:jc w:val="center"/>
              <w:cnfStyle w:val="000000000000" w:firstRow="0" w:lastRow="0" w:firstColumn="0" w:lastColumn="0" w:oddVBand="0" w:evenVBand="0" w:oddHBand="0" w:evenHBand="0" w:firstRowFirstColumn="0" w:firstRowLastColumn="0" w:lastRowFirstColumn="0" w:lastRowLastColumn="0"/>
            </w:pPr>
            <w:r w:rsidRPr="00AB36D9">
              <w:t>2.23</w:t>
            </w:r>
          </w:p>
        </w:tc>
      </w:tr>
      <w:tr w:rsidR="00AB36D9" w:rsidRPr="00AB36D9" w:rsidTr="00856C41">
        <w:trPr>
          <w:trHeight w:val="567"/>
          <w:jc w:val="center"/>
        </w:trPr>
        <w:tc>
          <w:tcPr>
            <w:cnfStyle w:val="001000000000" w:firstRow="0" w:lastRow="0" w:firstColumn="1" w:lastColumn="0" w:oddVBand="0" w:evenVBand="0" w:oddHBand="0" w:evenHBand="0" w:firstRowFirstColumn="0" w:firstRowLastColumn="0" w:lastRowFirstColumn="0" w:lastRowLastColumn="0"/>
            <w:tcW w:w="1817" w:type="dxa"/>
            <w:hideMark/>
          </w:tcPr>
          <w:p w:rsidR="00AB36D9" w:rsidRPr="00AB36D9" w:rsidRDefault="00AB36D9" w:rsidP="00AE1B69">
            <w:pPr>
              <w:pStyle w:val="Tabletext"/>
              <w:jc w:val="center"/>
              <w:rPr>
                <w:lang w:eastAsia="en-AU"/>
              </w:rPr>
            </w:pPr>
            <w:r w:rsidRPr="00AB36D9">
              <w:rPr>
                <w:lang w:eastAsia="en-AU"/>
              </w:rPr>
              <w:t>WA</w:t>
            </w:r>
          </w:p>
        </w:tc>
        <w:tc>
          <w:tcPr>
            <w:tcW w:w="2268" w:type="dxa"/>
            <w:hideMark/>
          </w:tcPr>
          <w:p w:rsidR="00AB36D9" w:rsidRPr="00AB36D9" w:rsidRDefault="00AB36D9" w:rsidP="00AE1B69">
            <w:pPr>
              <w:pStyle w:val="Tabletext"/>
              <w:jc w:val="center"/>
              <w:cnfStyle w:val="000000000000" w:firstRow="0" w:lastRow="0" w:firstColumn="0" w:lastColumn="0" w:oddVBand="0" w:evenVBand="0" w:oddHBand="0" w:evenHBand="0" w:firstRowFirstColumn="0" w:firstRowLastColumn="0" w:lastRowFirstColumn="0" w:lastRowLastColumn="0"/>
            </w:pPr>
            <w:r w:rsidRPr="00AB36D9">
              <w:t>2.19</w:t>
            </w:r>
          </w:p>
        </w:tc>
        <w:tc>
          <w:tcPr>
            <w:tcW w:w="2268" w:type="dxa"/>
            <w:hideMark/>
          </w:tcPr>
          <w:p w:rsidR="00AB36D9" w:rsidRPr="00AB36D9" w:rsidRDefault="00AB36D9" w:rsidP="00AE1B69">
            <w:pPr>
              <w:pStyle w:val="Tabletext"/>
              <w:jc w:val="center"/>
              <w:cnfStyle w:val="000000000000" w:firstRow="0" w:lastRow="0" w:firstColumn="0" w:lastColumn="0" w:oddVBand="0" w:evenVBand="0" w:oddHBand="0" w:evenHBand="0" w:firstRowFirstColumn="0" w:firstRowLastColumn="0" w:lastRowFirstColumn="0" w:lastRowLastColumn="0"/>
            </w:pPr>
            <w:r w:rsidRPr="00AB36D9">
              <w:t>2.19</w:t>
            </w:r>
          </w:p>
        </w:tc>
      </w:tr>
      <w:tr w:rsidR="00AB36D9" w:rsidRPr="00AB36D9" w:rsidTr="00856C41">
        <w:trPr>
          <w:trHeight w:val="567"/>
          <w:jc w:val="center"/>
        </w:trPr>
        <w:tc>
          <w:tcPr>
            <w:cnfStyle w:val="001000000000" w:firstRow="0" w:lastRow="0" w:firstColumn="1" w:lastColumn="0" w:oddVBand="0" w:evenVBand="0" w:oddHBand="0" w:evenHBand="0" w:firstRowFirstColumn="0" w:firstRowLastColumn="0" w:lastRowFirstColumn="0" w:lastRowLastColumn="0"/>
            <w:tcW w:w="1817" w:type="dxa"/>
            <w:hideMark/>
          </w:tcPr>
          <w:p w:rsidR="00AB36D9" w:rsidRPr="00AB36D9" w:rsidRDefault="00AB36D9" w:rsidP="00AE1B69">
            <w:pPr>
              <w:pStyle w:val="Tabletext"/>
              <w:jc w:val="center"/>
              <w:rPr>
                <w:lang w:eastAsia="en-AU"/>
              </w:rPr>
            </w:pPr>
            <w:r w:rsidRPr="00AB36D9">
              <w:rPr>
                <w:lang w:eastAsia="en-AU"/>
              </w:rPr>
              <w:t>NT</w:t>
            </w:r>
          </w:p>
        </w:tc>
        <w:tc>
          <w:tcPr>
            <w:tcW w:w="2268" w:type="dxa"/>
            <w:hideMark/>
          </w:tcPr>
          <w:p w:rsidR="00AB36D9" w:rsidRPr="00AB36D9" w:rsidRDefault="00AB36D9" w:rsidP="00AE1B69">
            <w:pPr>
              <w:pStyle w:val="Tabletext"/>
              <w:jc w:val="center"/>
              <w:cnfStyle w:val="000000000000" w:firstRow="0" w:lastRow="0" w:firstColumn="0" w:lastColumn="0" w:oddVBand="0" w:evenVBand="0" w:oddHBand="0" w:evenHBand="0" w:firstRowFirstColumn="0" w:firstRowLastColumn="0" w:lastRowFirstColumn="0" w:lastRowLastColumn="0"/>
            </w:pPr>
            <w:r w:rsidRPr="00AB36D9">
              <w:t>1.39</w:t>
            </w:r>
          </w:p>
        </w:tc>
        <w:tc>
          <w:tcPr>
            <w:tcW w:w="2268" w:type="dxa"/>
            <w:hideMark/>
          </w:tcPr>
          <w:p w:rsidR="00AB36D9" w:rsidRPr="00AB36D9" w:rsidRDefault="00AB36D9" w:rsidP="00AE1B69">
            <w:pPr>
              <w:pStyle w:val="Tabletext"/>
              <w:jc w:val="center"/>
              <w:cnfStyle w:val="000000000000" w:firstRow="0" w:lastRow="0" w:firstColumn="0" w:lastColumn="0" w:oddVBand="0" w:evenVBand="0" w:oddHBand="0" w:evenHBand="0" w:firstRowFirstColumn="0" w:firstRowLastColumn="0" w:lastRowFirstColumn="0" w:lastRowLastColumn="0"/>
            </w:pPr>
            <w:r w:rsidRPr="00AB36D9">
              <w:t>1.39</w:t>
            </w:r>
          </w:p>
        </w:tc>
      </w:tr>
    </w:tbl>
    <w:p w:rsidR="00AB36D9" w:rsidRPr="00AB36D9" w:rsidRDefault="00AB36D9" w:rsidP="00AB36D9">
      <w:r w:rsidRPr="00AB36D9">
        <w:lastRenderedPageBreak/>
        <w:t>To illustrate the impact of the above carbon tax repeal cost savings on customers, the ACCC has calculated an estimated average annual cost savings and percentage savings based on the retailers’ standing offers</w:t>
      </w:r>
      <w:bookmarkStart w:id="19" w:name="_Ref416774036"/>
      <w:r w:rsidRPr="00AB36D9">
        <w:rPr>
          <w:vertAlign w:val="superscript"/>
        </w:rPr>
        <w:footnoteReference w:id="19"/>
      </w:r>
      <w:bookmarkEnd w:id="19"/>
      <w:r w:rsidRPr="00AB36D9">
        <w:t xml:space="preserve"> and typical cons</w:t>
      </w:r>
      <w:r w:rsidR="00A14172">
        <w:t>umption values per jurisdiction</w:t>
      </w:r>
      <w:r w:rsidRPr="00AB36D9">
        <w:t>.</w:t>
      </w:r>
      <w:bookmarkStart w:id="20" w:name="_Ref416774055"/>
      <w:r w:rsidRPr="00AB36D9">
        <w:rPr>
          <w:vertAlign w:val="superscript"/>
        </w:rPr>
        <w:footnoteReference w:id="20"/>
      </w:r>
      <w:bookmarkEnd w:id="20"/>
      <w:r w:rsidRPr="00AB36D9">
        <w:t xml:space="preserve"> </w:t>
      </w:r>
    </w:p>
    <w:p w:rsidR="00AB36D9" w:rsidRPr="00AB36D9" w:rsidRDefault="00AB36D9" w:rsidP="00AB36D9">
      <w:r w:rsidRPr="00AB36D9">
        <w:t xml:space="preserve">The estimated carbon tax repeal cost savings and percentage savings based on retailers’ standing offers are set out in Graphs </w:t>
      </w:r>
      <w:r w:rsidRPr="00DD08DF">
        <w:t>3 and 4</w:t>
      </w:r>
      <w:r w:rsidRPr="00AB36D9">
        <w:t xml:space="preserve"> below. </w:t>
      </w:r>
    </w:p>
    <w:p w:rsidR="00AB36D9" w:rsidRPr="000A14D7" w:rsidRDefault="00AB36D9" w:rsidP="000A14D7">
      <w:pPr>
        <w:pStyle w:val="Tabletitle"/>
      </w:pPr>
      <w:r w:rsidRPr="000A14D7">
        <w:t xml:space="preserve">Graph </w:t>
      </w:r>
      <w:r w:rsidRPr="00DD08DF">
        <w:t>3</w:t>
      </w:r>
      <w:r w:rsidRPr="000A14D7">
        <w:t>: Estimated average carbon tax repeal cost savings for typical state consumption values</w:t>
      </w:r>
    </w:p>
    <w:p w:rsidR="00AB36D9" w:rsidRPr="00AB36D9" w:rsidRDefault="00AB36D9" w:rsidP="00AB36D9">
      <w:pPr>
        <w:keepNext/>
        <w:keepLines/>
      </w:pPr>
      <w:r w:rsidRPr="00AB36D9">
        <w:rPr>
          <w:noProof/>
          <w:lang w:eastAsia="en-AU"/>
        </w:rPr>
        <w:drawing>
          <wp:inline distT="0" distB="0" distL="0" distR="0" wp14:anchorId="7DF35F00" wp14:editId="7C908C0A">
            <wp:extent cx="5731510" cy="2830830"/>
            <wp:effectExtent l="0" t="0" r="21590" b="2667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AB36D9" w:rsidRPr="00AB36D9" w:rsidRDefault="00AB36D9" w:rsidP="00AB36D9"/>
    <w:p w:rsidR="000A14D7" w:rsidRPr="009847F6" w:rsidRDefault="000A14D7">
      <w:r>
        <w:br w:type="page"/>
      </w:r>
    </w:p>
    <w:p w:rsidR="00AB36D9" w:rsidRPr="000A14D7" w:rsidRDefault="00AB36D9" w:rsidP="000A14D7">
      <w:pPr>
        <w:pStyle w:val="Tabletitle"/>
      </w:pPr>
      <w:r w:rsidRPr="000A14D7">
        <w:lastRenderedPageBreak/>
        <w:t xml:space="preserve">Graph </w:t>
      </w:r>
      <w:r w:rsidRPr="00DD08DF">
        <w:t>4</w:t>
      </w:r>
      <w:r w:rsidRPr="000A14D7">
        <w:t>: Estimated percentage carbon tax repeal cost savings for typical state consumption values</w:t>
      </w:r>
    </w:p>
    <w:p w:rsidR="00AB36D9" w:rsidRPr="009847F6" w:rsidRDefault="00AB36D9" w:rsidP="00AB36D9">
      <w:pPr>
        <w:keepNext/>
        <w:keepLines/>
      </w:pPr>
      <w:r w:rsidRPr="00AB36D9">
        <w:rPr>
          <w:noProof/>
          <w:lang w:eastAsia="en-AU"/>
        </w:rPr>
        <w:drawing>
          <wp:inline distT="0" distB="0" distL="0" distR="0" wp14:anchorId="50596460" wp14:editId="106CA3C0">
            <wp:extent cx="5731510" cy="2818130"/>
            <wp:effectExtent l="0" t="0" r="21590" b="2032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AB36D9" w:rsidRPr="00AB36D9" w:rsidRDefault="00AB36D9" w:rsidP="00AB36D9">
      <w:r w:rsidRPr="00AB36D9">
        <w:t>Outside of the price monitoring, the ACCC contacted one small retailer because of concerns that the retailer had not effected a price change to remove the carbon tax component from its prices by early February 2015. The ACCC notes that the retailer has now effected a price change and provided a credit to its customers for carbon tax costs collected since 1 July 2014. However, the ACCC is continuing to investigate whether the retailer has passed through to customers all of its carbon tax repeal cost savings.</w:t>
      </w:r>
    </w:p>
    <w:p w:rsidR="00AB36D9" w:rsidRPr="00AB36D9" w:rsidRDefault="00AB36D9" w:rsidP="000A14D7">
      <w:pPr>
        <w:pStyle w:val="Heading4"/>
      </w:pPr>
      <w:r w:rsidRPr="00AB36D9">
        <w:t>Conclusion</w:t>
      </w:r>
    </w:p>
    <w:p w:rsidR="00AB36D9" w:rsidRPr="00AB36D9" w:rsidRDefault="00AB36D9" w:rsidP="00AB36D9">
      <w:pPr>
        <w:keepNext/>
        <w:keepLines/>
      </w:pPr>
      <w:r w:rsidRPr="00AB36D9">
        <w:t xml:space="preserve">The ACCC is satisfied, on the information available to it, that all electricity retailers but one have passed on to customers the cost savings from the repeal of the carbon tax. The ACCC is continuing to investigate the remaining retailer to ascertain whether it has passed through all of its carbon tax repeal cost savings. </w:t>
      </w:r>
    </w:p>
    <w:p w:rsidR="00AB36D9" w:rsidRPr="00AB36D9" w:rsidRDefault="00AB36D9" w:rsidP="000A14D7">
      <w:pPr>
        <w:pStyle w:val="Heading3"/>
      </w:pPr>
      <w:bookmarkStart w:id="21" w:name="_Toc417460225"/>
      <w:r w:rsidRPr="00AB36D9">
        <w:t>Assessment of removal of carbon tax component from small business electricity prices</w:t>
      </w:r>
      <w:bookmarkEnd w:id="21"/>
    </w:p>
    <w:p w:rsidR="00AB36D9" w:rsidRPr="00AB36D9" w:rsidRDefault="00AB36D9" w:rsidP="00AB36D9">
      <w:r w:rsidRPr="00AB36D9">
        <w:t>Many retailers in the residential market also sell to small businesses. In addition, there are a number of retailers that sell to small business customers but not residential customers. Retailers that have both residential and small business customers used the same approach for calculating carbon tax cost savings for both types of customer. Where retailers only sell to business customers, the ACCC has analysed the information provided in the same way it analysed information for residential retailers described above. The ACCC is satisfied that electricity retailers are passing on cost savings from the carbon tax repeal to their small business customers.</w:t>
      </w:r>
    </w:p>
    <w:p w:rsidR="00AB36D9" w:rsidRPr="00AB36D9" w:rsidRDefault="00AB36D9" w:rsidP="000A14D7">
      <w:pPr>
        <w:pStyle w:val="Heading3"/>
      </w:pPr>
      <w:bookmarkStart w:id="22" w:name="_Toc417460226"/>
      <w:r w:rsidRPr="00AB36D9">
        <w:t>Change to prices in July 2014</w:t>
      </w:r>
      <w:bookmarkEnd w:id="22"/>
    </w:p>
    <w:p w:rsidR="00AB36D9" w:rsidRPr="00AB36D9" w:rsidRDefault="00AB36D9" w:rsidP="00AB36D9">
      <w:r w:rsidRPr="00AB36D9">
        <w:t>As noted previously, retailers in many jurisdictions typically adjust retail prices around July each year as changes to network tariffs occur at that time. Given that this price change occurred just prior to the repeal of the carbon tax, the ACCC sought information from retailers to satisfy itself that prices were not inflated in July 2014 to offset the expected impact of the carbon tax repeal.</w:t>
      </w:r>
    </w:p>
    <w:p w:rsidR="00AB36D9" w:rsidRPr="00AB36D9" w:rsidRDefault="00AB36D9" w:rsidP="00AB36D9">
      <w:r w:rsidRPr="00AB36D9">
        <w:lastRenderedPageBreak/>
        <w:t xml:space="preserve">Retailers explained that changes to network costs were a key driver of price adjustments in July 2014 (decreases in New South Wales, and increases in South Australia and Queensland). Many retailers also indicated changes in wholesale prices were a significant factor. Retailers indicated that other factors such as the cost of environmental schemes, the increase in the carbon reference price and retail costs also influenced the price adjustment to a lesser extent. </w:t>
      </w:r>
    </w:p>
    <w:p w:rsidR="00AB36D9" w:rsidRPr="00AB36D9" w:rsidRDefault="00AB36D9" w:rsidP="00AB36D9">
      <w:r w:rsidRPr="00AB36D9">
        <w:t>The ACCC has not received any information that links the July 2014 price increases to the subsequent removal of the carbon tax. On the contrary, it appears that retailers were accounting for the impact of the increase in the carbon tax in their July 2014 price change.</w:t>
      </w:r>
      <w:r w:rsidR="00A1767F">
        <w:rPr>
          <w:rStyle w:val="FootnoteReference"/>
        </w:rPr>
        <w:footnoteReference w:id="21"/>
      </w:r>
      <w:r w:rsidRPr="00AB36D9">
        <w:t xml:space="preserve"> These price changes came into effect on or around 1 July 2014. This means that the decision to implement the price occurred well before there was certainty of repeal and before the carbon tax repeal legislation was publicly released in its current form.</w:t>
      </w:r>
    </w:p>
    <w:p w:rsidR="00AB36D9" w:rsidRPr="00AB36D9" w:rsidRDefault="00AB36D9" w:rsidP="00AB36D9">
      <w:r w:rsidRPr="00AB36D9">
        <w:t>The ACCC also sought information about price increases in January 2015 in Victoria. Retailers indicated the main driver of price adjustments in Victoria were increases in network costs. Similarly to the July 2014 price increases, the ACCC has not received any information that would link the January 2015 price adjustments in Victoria to the repeal of the carbon tax in July 2014.</w:t>
      </w:r>
    </w:p>
    <w:p w:rsidR="00AB36D9" w:rsidRPr="00AB36D9" w:rsidRDefault="00AB36D9" w:rsidP="000A14D7">
      <w:pPr>
        <w:pStyle w:val="Heading3"/>
      </w:pPr>
      <w:bookmarkStart w:id="23" w:name="_Toc417460227"/>
      <w:r w:rsidRPr="00AB36D9">
        <w:t>Electricity on-sellers or private electricity networks</w:t>
      </w:r>
      <w:bookmarkEnd w:id="23"/>
    </w:p>
    <w:p w:rsidR="00AB36D9" w:rsidRPr="00AB36D9" w:rsidRDefault="00AB36D9" w:rsidP="00AB36D9">
      <w:r w:rsidRPr="00AB36D9">
        <w:t xml:space="preserve">Private electricity distribution networks are used by large site owners or operators to on-sell electricity to on-site users. Typically, sites that have private networks include shopping centres, large residential or commercial building complexes, and caravan parks. Private electricity networks allow site owners to purchase the aggregate electricity usage of the site in bulk (or have another entity do so on their behalf) and on-sell it to the site’s occupants, without being authorised as an electricity retailer. </w:t>
      </w:r>
    </w:p>
    <w:p w:rsidR="00AB36D9" w:rsidRPr="00AB36D9" w:rsidRDefault="00AB36D9" w:rsidP="00AB36D9">
      <w:r w:rsidRPr="00AB36D9">
        <w:t xml:space="preserve">In December 2014 the ACCC extended its focus to electricity on-sellers. The ACCC’s expectation was that as electricity retailers had implemented price changes to pass on carbon tax repeal cost savings, on-sellers would then be in a position to pass on those savings to their customers. </w:t>
      </w:r>
    </w:p>
    <w:p w:rsidR="00AB36D9" w:rsidRPr="00AB36D9" w:rsidRDefault="00AB36D9" w:rsidP="00AB36D9">
      <w:r w:rsidRPr="00AB36D9">
        <w:t>The ACCC wrote to larger electricity on-sellers listed on the Australian Energy Regulator’s (AER) register of exemptions for retail authorisations, as well as caravan parks and retirement villages</w:t>
      </w:r>
      <w:r w:rsidR="00C83814">
        <w:t>,</w:t>
      </w:r>
      <w:r w:rsidRPr="00AB36D9">
        <w:t xml:space="preserve"> to inform them about the obligations of electricity on-sellers under the CCA. The ACCC has also contacted relevant industry associations to provide guidance and informed small business commissioners and energy ombudsmen of its approach. </w:t>
      </w:r>
    </w:p>
    <w:p w:rsidR="00AB36D9" w:rsidRPr="00AB36D9" w:rsidRDefault="00AB36D9" w:rsidP="00AB36D9">
      <w:r w:rsidRPr="00AB36D9">
        <w:t xml:space="preserve">The ACCC also sought information from larger on-sellers, particularly those owning or operating large scale commercial and residential property, and companies that specialise in managing private electricity networks as agents for the owner. The information provided by these entities showed that these on-sellers were acting to pass on realised carbon tax repeal cost savings. </w:t>
      </w:r>
    </w:p>
    <w:p w:rsidR="00AB36D9" w:rsidRPr="00AB36D9" w:rsidRDefault="00AB36D9" w:rsidP="00AB36D9">
      <w:r w:rsidRPr="00AB36D9">
        <w:t>The ACCC found that typically large on-sellers have a commercial &amp; industrial electricity supply contract with an electricity retailer.</w:t>
      </w:r>
      <w:r w:rsidRPr="00AB36D9">
        <w:rPr>
          <w:vertAlign w:val="superscript"/>
        </w:rPr>
        <w:footnoteReference w:id="22"/>
      </w:r>
      <w:r w:rsidRPr="00AB36D9">
        <w:t xml:space="preserve"> These contracts are usually either carbon inclusive or have a separate pass-through charge for carbon tax costs. Where on-sellers have a separate pass-through charge, it has been removed by the retailer and on-sellers reported having passed those savings on in turn to their customers. Where on-sellers’ supply contracts are carbon inclusive</w:t>
      </w:r>
      <w:r w:rsidR="00A14172">
        <w:t>,</w:t>
      </w:r>
      <w:r w:rsidRPr="00AB36D9">
        <w:t xml:space="preserve"> they reported having no carbon tax repeal cost savings to pass on. </w:t>
      </w:r>
    </w:p>
    <w:p w:rsidR="00AB36D9" w:rsidRPr="00AB36D9" w:rsidRDefault="00AB36D9" w:rsidP="00AB36D9">
      <w:r w:rsidRPr="00AB36D9">
        <w:lastRenderedPageBreak/>
        <w:t>There are several ways on-sellers set their price for electricity. Usually, on-sellers either follow the regulated standing offer price (in regulated states) or follow the pricing of the local area retailer.</w:t>
      </w:r>
      <w:r w:rsidRPr="00AB36D9">
        <w:rPr>
          <w:vertAlign w:val="superscript"/>
        </w:rPr>
        <w:footnoteReference w:id="23"/>
      </w:r>
      <w:r w:rsidRPr="00AB36D9">
        <w:t xml:space="preserve"> When the carbon tax was introduced, many on-sellers passed on the carbon tax costs in line with the price determinations made by their state regulator, or adjusted prices in line with the local area retailer. Similarly, when the carbon tax was repealed, carbon tax costs were removed in the same way, with these on-sellers adjusting their prices in line with the most recent pricing determinations by the state regulator, or the price adjustments by the local area retailer, and providing refunds or credits to backdate the price change to 1</w:t>
      </w:r>
      <w:r w:rsidR="00A1767F">
        <w:t> </w:t>
      </w:r>
      <w:r w:rsidRPr="00AB36D9">
        <w:t>July 2014. Other on-sellers set their own prices and have, where appropriate, implemented price adjustments and offered refunds or credits that directly pass on the carbon tax repeal cost savings received from their retailer.</w:t>
      </w:r>
    </w:p>
    <w:p w:rsidR="00AB36D9" w:rsidRPr="00AB36D9" w:rsidRDefault="00AB36D9" w:rsidP="00AB36D9">
      <w:r w:rsidRPr="00AB36D9">
        <w:t>Based on the information provided, the ACCC is satisfied that the approaches taken across the sector have passed on the full benefit of the carbon tax repeal. However</w:t>
      </w:r>
      <w:r w:rsidR="00102C3E">
        <w:t>,</w:t>
      </w:r>
      <w:r w:rsidRPr="00AB36D9">
        <w:t xml:space="preserve"> consumers with information suggesting this is not the case are encouraged to contact the ACCC.</w:t>
      </w:r>
    </w:p>
    <w:p w:rsidR="00AB36D9" w:rsidRPr="00AB36D9" w:rsidRDefault="00AB36D9" w:rsidP="000A14D7">
      <w:pPr>
        <w:pStyle w:val="Heading3"/>
      </w:pPr>
      <w:bookmarkStart w:id="24" w:name="_Toc417460228"/>
      <w:r w:rsidRPr="00AB36D9">
        <w:t>Overview of residential price movements from January 2012 to January 2015</w:t>
      </w:r>
      <w:bookmarkEnd w:id="24"/>
    </w:p>
    <w:p w:rsidR="00AB36D9" w:rsidRPr="00AB36D9" w:rsidRDefault="00AB36D9" w:rsidP="00AB36D9">
      <w:r w:rsidRPr="00AB36D9">
        <w:t>The analysis of residential price movements from January 2012 to January 2015 seeks to illustrate consumers’ experience with electricity prices over the period of the carbon tax and its repeal and the contribution</w:t>
      </w:r>
      <w:r w:rsidR="00A1767F">
        <w:t xml:space="preserve"> of</w:t>
      </w:r>
      <w:r w:rsidRPr="00AB36D9">
        <w:t xml:space="preserve"> the carbon tax and other factors to changes in prices over the period.</w:t>
      </w:r>
    </w:p>
    <w:p w:rsidR="00AB36D9" w:rsidRPr="00AB36D9" w:rsidRDefault="00AB36D9" w:rsidP="00AB36D9">
      <w:r w:rsidRPr="00AB36D9">
        <w:t>The ACCC commissioned Alviss Consulting to conduct research into residential pricing over the period of the carbon tax and its repeal.</w:t>
      </w:r>
      <w:r w:rsidRPr="00AB36D9">
        <w:rPr>
          <w:vertAlign w:val="superscript"/>
        </w:rPr>
        <w:footnoteReference w:id="24"/>
      </w:r>
    </w:p>
    <w:p w:rsidR="00AB36D9" w:rsidRPr="00AB36D9" w:rsidRDefault="00AB36D9" w:rsidP="00AB36D9">
      <w:r w:rsidRPr="00AB36D9">
        <w:t xml:space="preserve">Graph </w:t>
      </w:r>
      <w:r w:rsidRPr="00DD08DF">
        <w:t>5</w:t>
      </w:r>
      <w:r w:rsidRPr="00AB36D9">
        <w:t xml:space="preserve"> below shows average residential electricity bills across the jurisdictions over the period, based on an annual consumption of 6500kWh. The impact of the carbon tax introduction and repeal are visible, however, the introduction of the carbon tax coincided with annual price adjustments in many jurisdictions. Graph </w:t>
      </w:r>
      <w:r w:rsidRPr="00DD08DF">
        <w:t>5</w:t>
      </w:r>
      <w:r w:rsidRPr="00AB36D9">
        <w:t xml:space="preserve"> also shows that the level of prices varies across different jurisdictions when a consistent consumption value is used. </w:t>
      </w:r>
    </w:p>
    <w:p w:rsidR="00AB36D9" w:rsidRPr="000A14D7" w:rsidRDefault="00AB36D9" w:rsidP="000A14D7">
      <w:pPr>
        <w:pStyle w:val="Tabletitle"/>
      </w:pPr>
      <w:r w:rsidRPr="000A14D7">
        <w:lastRenderedPageBreak/>
        <w:t xml:space="preserve">Graph </w:t>
      </w:r>
      <w:r w:rsidRPr="00DD08DF">
        <w:t>5</w:t>
      </w:r>
      <w:r w:rsidRPr="000A14D7">
        <w:t>: Electricity prices January 2012 to January 2015 as annual bills by jurisdiction (regulated and standing offers)</w:t>
      </w:r>
    </w:p>
    <w:p w:rsidR="00AB36D9" w:rsidRPr="00AB36D9" w:rsidRDefault="00AB36D9" w:rsidP="00856C41">
      <w:pPr>
        <w:keepNext/>
        <w:keepLines/>
        <w:jc w:val="center"/>
      </w:pPr>
      <w:r w:rsidRPr="00AB36D9">
        <w:rPr>
          <w:noProof/>
          <w:lang w:eastAsia="en-AU"/>
        </w:rPr>
        <w:drawing>
          <wp:inline distT="0" distB="0" distL="0" distR="0" wp14:anchorId="32D2AD4E" wp14:editId="574F57C9">
            <wp:extent cx="4667250" cy="3305175"/>
            <wp:effectExtent l="0" t="0" r="19050" b="952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AB36D9" w:rsidRPr="00AB36D9" w:rsidRDefault="00AB36D9" w:rsidP="00856C41">
      <w:pPr>
        <w:pStyle w:val="Source"/>
        <w:jc w:val="center"/>
      </w:pPr>
      <w:r w:rsidRPr="00AB36D9">
        <w:t>Source: Alviss Consulting, March</w:t>
      </w:r>
      <w:r w:rsidRPr="009847F6">
        <w:t xml:space="preserve"> </w:t>
      </w:r>
      <w:r w:rsidRPr="00AB36D9">
        <w:t>2015</w:t>
      </w:r>
    </w:p>
    <w:p w:rsidR="00AB36D9" w:rsidRPr="00AB36D9" w:rsidRDefault="00AB36D9" w:rsidP="00AB36D9">
      <w:r w:rsidRPr="00AB36D9">
        <w:t xml:space="preserve">Graph </w:t>
      </w:r>
      <w:r w:rsidRPr="00DD08DF">
        <w:t>6</w:t>
      </w:r>
      <w:r w:rsidRPr="00AB36D9">
        <w:t xml:space="preserve"> below shows average six monthly changes to annual bills from January 2012 to January 2015. The movement in prices is broadly consistent with the ACCC’s price monitoring data from March-April 2014 to January-February 2015, however due to some differences in methodology the figures do not match exactly. In particular, Alviss Consulting collected data in January and July each year, and October 2014, whereas the ACCC’s data reflects prices as at March-April 2014, July-August 2014, October and January-February 2015.</w:t>
      </w:r>
    </w:p>
    <w:p w:rsidR="00AB36D9" w:rsidRPr="000A14D7" w:rsidRDefault="00AB36D9" w:rsidP="000A14D7">
      <w:pPr>
        <w:pStyle w:val="Tabletitle"/>
      </w:pPr>
      <w:r w:rsidRPr="000A14D7">
        <w:lastRenderedPageBreak/>
        <w:t xml:space="preserve">Graph </w:t>
      </w:r>
      <w:r w:rsidRPr="00DD08DF">
        <w:t>6</w:t>
      </w:r>
      <w:r w:rsidRPr="000A14D7">
        <w:t>: Six monthly changes to annual electricity bills by jurisdiction (%)</w:t>
      </w:r>
    </w:p>
    <w:p w:rsidR="00AB36D9" w:rsidRPr="00AB36D9" w:rsidRDefault="00AB36D9" w:rsidP="00856C41">
      <w:pPr>
        <w:keepNext/>
        <w:keepLines/>
        <w:jc w:val="center"/>
      </w:pPr>
      <w:r w:rsidRPr="00AB36D9">
        <w:rPr>
          <w:noProof/>
          <w:lang w:eastAsia="en-AU"/>
        </w:rPr>
        <w:drawing>
          <wp:inline distT="0" distB="0" distL="0" distR="0" wp14:anchorId="19E79AAE" wp14:editId="6525C4D3">
            <wp:extent cx="4829175" cy="3629025"/>
            <wp:effectExtent l="0" t="0" r="9525" b="952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AB36D9" w:rsidRPr="00AB36D9" w:rsidRDefault="00AB36D9" w:rsidP="00856C41">
      <w:pPr>
        <w:pStyle w:val="Source"/>
        <w:jc w:val="center"/>
      </w:pPr>
      <w:r w:rsidRPr="00AB36D9">
        <w:t>Source: Alviss Consulting, March</w:t>
      </w:r>
      <w:r w:rsidRPr="009847F6">
        <w:t xml:space="preserve"> </w:t>
      </w:r>
      <w:r w:rsidRPr="00AB36D9">
        <w:t>2015</w:t>
      </w:r>
    </w:p>
    <w:p w:rsidR="00AB36D9" w:rsidRPr="00AB36D9" w:rsidRDefault="00AB36D9" w:rsidP="000A14D7">
      <w:pPr>
        <w:pStyle w:val="Heading4"/>
      </w:pPr>
      <w:r w:rsidRPr="00AB36D9">
        <w:t>Analysis of residential price movements by jurisdiction</w:t>
      </w:r>
    </w:p>
    <w:p w:rsidR="00AB36D9" w:rsidRPr="00AB36D9" w:rsidRDefault="00AB36D9" w:rsidP="00AB36D9">
      <w:r w:rsidRPr="00AB36D9">
        <w:t xml:space="preserve">As electricity consumption varies between jurisdictions, an analysis of price movements has been undertaken based on consumption levels typical for the metropolitan area in each state and territory to better illustrate the impact of price changes on consumers in each jurisdiction. The average consumption levels used are set out in Table </w:t>
      </w:r>
      <w:r w:rsidRPr="00DD08DF">
        <w:t>4</w:t>
      </w:r>
      <w:r w:rsidRPr="00AB36D9">
        <w:t xml:space="preserve"> below.</w:t>
      </w:r>
    </w:p>
    <w:p w:rsidR="00AB36D9" w:rsidRPr="000A14D7" w:rsidRDefault="00AB36D9" w:rsidP="000A14D7">
      <w:pPr>
        <w:pStyle w:val="Tabletitle"/>
      </w:pPr>
      <w:r w:rsidRPr="000A14D7">
        <w:t xml:space="preserve">Table </w:t>
      </w:r>
      <w:r w:rsidRPr="00DD08DF">
        <w:t>4</w:t>
      </w:r>
      <w:r w:rsidRPr="000A14D7">
        <w:t>: average annual electricity consumption (kWh)</w:t>
      </w:r>
      <w:r w:rsidRPr="00A1767F">
        <w:rPr>
          <w:rStyle w:val="FootnoteReference"/>
        </w:rPr>
        <w:footnoteReference w:id="25"/>
      </w:r>
    </w:p>
    <w:tbl>
      <w:tblPr>
        <w:tblStyle w:val="LightShading1"/>
        <w:tblW w:w="0" w:type="auto"/>
        <w:jc w:val="center"/>
        <w:tblLook w:val="0420" w:firstRow="1" w:lastRow="0" w:firstColumn="0" w:lastColumn="0" w:noHBand="0" w:noVBand="1"/>
      </w:tblPr>
      <w:tblGrid>
        <w:gridCol w:w="924"/>
        <w:gridCol w:w="924"/>
        <w:gridCol w:w="924"/>
        <w:gridCol w:w="924"/>
        <w:gridCol w:w="924"/>
        <w:gridCol w:w="924"/>
        <w:gridCol w:w="924"/>
        <w:gridCol w:w="924"/>
      </w:tblGrid>
      <w:tr w:rsidR="00AB36D9" w:rsidRPr="00AB36D9" w:rsidTr="00856C41">
        <w:trPr>
          <w:cnfStyle w:val="100000000000" w:firstRow="1" w:lastRow="0" w:firstColumn="0" w:lastColumn="0" w:oddVBand="0" w:evenVBand="0" w:oddHBand="0" w:evenHBand="0" w:firstRowFirstColumn="0" w:firstRowLastColumn="0" w:lastRowFirstColumn="0" w:lastRowLastColumn="0"/>
          <w:jc w:val="center"/>
        </w:trPr>
        <w:tc>
          <w:tcPr>
            <w:tcW w:w="924" w:type="dxa"/>
          </w:tcPr>
          <w:p w:rsidR="00AB36D9" w:rsidRPr="00AB36D9" w:rsidRDefault="00AB36D9" w:rsidP="00856C41">
            <w:pPr>
              <w:pStyle w:val="Tabletext"/>
              <w:jc w:val="center"/>
            </w:pPr>
            <w:r w:rsidRPr="00AB36D9">
              <w:t>TAS</w:t>
            </w:r>
          </w:p>
        </w:tc>
        <w:tc>
          <w:tcPr>
            <w:tcW w:w="924" w:type="dxa"/>
          </w:tcPr>
          <w:p w:rsidR="00AB36D9" w:rsidRPr="00AB36D9" w:rsidRDefault="00AB36D9" w:rsidP="00856C41">
            <w:pPr>
              <w:pStyle w:val="Tabletext"/>
              <w:jc w:val="center"/>
            </w:pPr>
            <w:r w:rsidRPr="00AB36D9">
              <w:t>NT</w:t>
            </w:r>
          </w:p>
        </w:tc>
        <w:tc>
          <w:tcPr>
            <w:tcW w:w="924" w:type="dxa"/>
          </w:tcPr>
          <w:p w:rsidR="00AB36D9" w:rsidRPr="00AB36D9" w:rsidRDefault="00AB36D9" w:rsidP="00856C41">
            <w:pPr>
              <w:pStyle w:val="Tabletext"/>
              <w:jc w:val="center"/>
            </w:pPr>
            <w:r w:rsidRPr="00AB36D9">
              <w:t>ACT</w:t>
            </w:r>
          </w:p>
        </w:tc>
        <w:tc>
          <w:tcPr>
            <w:tcW w:w="924" w:type="dxa"/>
          </w:tcPr>
          <w:p w:rsidR="00AB36D9" w:rsidRPr="00AB36D9" w:rsidRDefault="00AB36D9" w:rsidP="00856C41">
            <w:pPr>
              <w:pStyle w:val="Tabletext"/>
              <w:jc w:val="center"/>
            </w:pPr>
            <w:r w:rsidRPr="00AB36D9">
              <w:t>SA</w:t>
            </w:r>
          </w:p>
        </w:tc>
        <w:tc>
          <w:tcPr>
            <w:tcW w:w="924" w:type="dxa"/>
          </w:tcPr>
          <w:p w:rsidR="00AB36D9" w:rsidRPr="00AB36D9" w:rsidRDefault="00AB36D9" w:rsidP="00856C41">
            <w:pPr>
              <w:pStyle w:val="Tabletext"/>
              <w:jc w:val="center"/>
            </w:pPr>
            <w:r w:rsidRPr="00AB36D9">
              <w:t>WA</w:t>
            </w:r>
          </w:p>
        </w:tc>
        <w:tc>
          <w:tcPr>
            <w:tcW w:w="924" w:type="dxa"/>
          </w:tcPr>
          <w:p w:rsidR="00AB36D9" w:rsidRPr="00AB36D9" w:rsidRDefault="00AB36D9" w:rsidP="00856C41">
            <w:pPr>
              <w:pStyle w:val="Tabletext"/>
              <w:jc w:val="center"/>
            </w:pPr>
            <w:r w:rsidRPr="00AB36D9">
              <w:t>QLD</w:t>
            </w:r>
          </w:p>
        </w:tc>
        <w:tc>
          <w:tcPr>
            <w:tcW w:w="924" w:type="dxa"/>
          </w:tcPr>
          <w:p w:rsidR="00AB36D9" w:rsidRPr="00AB36D9" w:rsidRDefault="00AB36D9" w:rsidP="00856C41">
            <w:pPr>
              <w:pStyle w:val="Tabletext"/>
              <w:jc w:val="center"/>
            </w:pPr>
            <w:r w:rsidRPr="00AB36D9">
              <w:t>NSW</w:t>
            </w:r>
          </w:p>
        </w:tc>
        <w:tc>
          <w:tcPr>
            <w:tcW w:w="924" w:type="dxa"/>
          </w:tcPr>
          <w:p w:rsidR="00AB36D9" w:rsidRPr="00AB36D9" w:rsidRDefault="00AB36D9" w:rsidP="00856C41">
            <w:pPr>
              <w:pStyle w:val="Tabletext"/>
              <w:jc w:val="center"/>
            </w:pPr>
            <w:r w:rsidRPr="00AB36D9">
              <w:t>VIC</w:t>
            </w:r>
          </w:p>
        </w:tc>
      </w:tr>
      <w:tr w:rsidR="00AB36D9" w:rsidRPr="00AB36D9" w:rsidTr="00856C41">
        <w:trPr>
          <w:jc w:val="center"/>
        </w:trPr>
        <w:tc>
          <w:tcPr>
            <w:tcW w:w="924" w:type="dxa"/>
          </w:tcPr>
          <w:p w:rsidR="00AB36D9" w:rsidRPr="00425F3B" w:rsidRDefault="00AB36D9" w:rsidP="00856C41">
            <w:pPr>
              <w:pStyle w:val="Tabletext"/>
              <w:jc w:val="center"/>
            </w:pPr>
            <w:r w:rsidRPr="00425F3B">
              <w:t>8,080</w:t>
            </w:r>
          </w:p>
        </w:tc>
        <w:tc>
          <w:tcPr>
            <w:tcW w:w="924" w:type="dxa"/>
          </w:tcPr>
          <w:p w:rsidR="00AB36D9" w:rsidRPr="00AB36D9" w:rsidRDefault="00AB36D9" w:rsidP="00856C41">
            <w:pPr>
              <w:pStyle w:val="Tabletext"/>
              <w:jc w:val="center"/>
            </w:pPr>
            <w:r w:rsidRPr="00AB36D9">
              <w:t>6,750</w:t>
            </w:r>
          </w:p>
        </w:tc>
        <w:tc>
          <w:tcPr>
            <w:tcW w:w="924" w:type="dxa"/>
          </w:tcPr>
          <w:p w:rsidR="00AB36D9" w:rsidRPr="00AB36D9" w:rsidRDefault="00AB36D9" w:rsidP="00856C41">
            <w:pPr>
              <w:pStyle w:val="Tabletext"/>
              <w:jc w:val="center"/>
            </w:pPr>
            <w:r w:rsidRPr="00AB36D9">
              <w:t>6,730</w:t>
            </w:r>
          </w:p>
        </w:tc>
        <w:tc>
          <w:tcPr>
            <w:tcW w:w="924" w:type="dxa"/>
          </w:tcPr>
          <w:p w:rsidR="00AB36D9" w:rsidRPr="00AB36D9" w:rsidRDefault="00AB36D9" w:rsidP="00856C41">
            <w:pPr>
              <w:pStyle w:val="Tabletext"/>
              <w:jc w:val="center"/>
            </w:pPr>
            <w:r w:rsidRPr="00AB36D9">
              <w:t>5,980</w:t>
            </w:r>
          </w:p>
        </w:tc>
        <w:tc>
          <w:tcPr>
            <w:tcW w:w="924" w:type="dxa"/>
          </w:tcPr>
          <w:p w:rsidR="00AB36D9" w:rsidRPr="00AB36D9" w:rsidRDefault="00AB36D9" w:rsidP="00856C41">
            <w:pPr>
              <w:pStyle w:val="Tabletext"/>
              <w:jc w:val="center"/>
            </w:pPr>
            <w:r w:rsidRPr="00AB36D9">
              <w:t>5,600</w:t>
            </w:r>
          </w:p>
        </w:tc>
        <w:tc>
          <w:tcPr>
            <w:tcW w:w="924" w:type="dxa"/>
          </w:tcPr>
          <w:p w:rsidR="00AB36D9" w:rsidRPr="00AB36D9" w:rsidRDefault="00AB36D9" w:rsidP="00856C41">
            <w:pPr>
              <w:pStyle w:val="Tabletext"/>
              <w:jc w:val="center"/>
            </w:pPr>
            <w:r w:rsidRPr="00AB36D9">
              <w:t>5,400</w:t>
            </w:r>
          </w:p>
        </w:tc>
        <w:tc>
          <w:tcPr>
            <w:tcW w:w="924" w:type="dxa"/>
          </w:tcPr>
          <w:p w:rsidR="00AB36D9" w:rsidRPr="00AB36D9" w:rsidRDefault="00AB36D9" w:rsidP="00856C41">
            <w:pPr>
              <w:pStyle w:val="Tabletext"/>
              <w:jc w:val="center"/>
            </w:pPr>
            <w:r w:rsidRPr="00AB36D9">
              <w:t>5,310</w:t>
            </w:r>
          </w:p>
        </w:tc>
        <w:tc>
          <w:tcPr>
            <w:tcW w:w="924" w:type="dxa"/>
          </w:tcPr>
          <w:p w:rsidR="00AB36D9" w:rsidRPr="00AB36D9" w:rsidRDefault="00AB36D9" w:rsidP="00856C41">
            <w:pPr>
              <w:pStyle w:val="Tabletext"/>
              <w:jc w:val="center"/>
            </w:pPr>
            <w:r w:rsidRPr="00AB36D9">
              <w:t>4,050</w:t>
            </w:r>
          </w:p>
        </w:tc>
      </w:tr>
    </w:tbl>
    <w:p w:rsidR="00AB36D9" w:rsidRPr="00AB36D9" w:rsidRDefault="00AB36D9" w:rsidP="00856C41">
      <w:pPr>
        <w:pStyle w:val="Source"/>
        <w:jc w:val="center"/>
      </w:pPr>
      <w:r w:rsidRPr="00AB36D9">
        <w:t>Source: Alviss Consulting, March</w:t>
      </w:r>
      <w:r w:rsidRPr="009847F6">
        <w:t xml:space="preserve"> </w:t>
      </w:r>
      <w:r w:rsidRPr="00AB36D9">
        <w:t>2015</w:t>
      </w:r>
    </w:p>
    <w:p w:rsidR="00AB36D9" w:rsidRPr="000A14D7" w:rsidRDefault="00AB36D9" w:rsidP="00AB36D9">
      <w:pPr>
        <w:rPr>
          <w:rStyle w:val="SourceChar"/>
        </w:rPr>
      </w:pPr>
      <w:r w:rsidRPr="00AB36D9">
        <w:t>These consumption levels are based on households that also have reticulated gas, so the analysis is most representative of consumers in metropolitan areas.</w:t>
      </w:r>
      <w:r w:rsidRPr="00AB36D9">
        <w:rPr>
          <w:vertAlign w:val="superscript"/>
        </w:rPr>
        <w:footnoteReference w:id="26"/>
      </w:r>
      <w:r w:rsidRPr="00AB36D9">
        <w:t xml:space="preserve"> In cooler climate jurisdictions such as Victoria, the Australian Capital Territory, Tasmania and New South Wales electricity consumption is significantly greater for households that do not have natural gas. Given this, the graphs below are based on prices in metropolitan areas – AusGrid and Endeavour in New South Wales</w:t>
      </w:r>
      <w:r w:rsidR="00102C3E">
        <w:t>,</w:t>
      </w:r>
      <w:r w:rsidRPr="00AB36D9">
        <w:t xml:space="preserve"> and Jemena, United and Citipower in Victoria.</w:t>
      </w:r>
    </w:p>
    <w:p w:rsidR="00AB36D9" w:rsidRPr="00AB36D9" w:rsidRDefault="00AB36D9" w:rsidP="00AB36D9">
      <w:r w:rsidRPr="00AB36D9">
        <w:t>The following graphs show the change in annual bills for regulated/standing offers and market offers, using the above average consumption levels by state and territory.</w:t>
      </w:r>
    </w:p>
    <w:p w:rsidR="00AB36D9" w:rsidRPr="00AB36D9" w:rsidRDefault="00AB36D9" w:rsidP="00AB36D9">
      <w:r w:rsidRPr="00AB36D9">
        <w:lastRenderedPageBreak/>
        <w:t>The graphs show a clear increase in annual bills in July 2012 when the carbon tax was introduced and a decrease after repeal. However, the introduction of the carbon tax coincided with a regular annual price change in many jurisdictions, so the increase is not solely attributable to the carbon tax alone.</w:t>
      </w:r>
    </w:p>
    <w:p w:rsidR="00AB36D9" w:rsidRPr="00AB36D9" w:rsidRDefault="00AB36D9" w:rsidP="00AB36D9">
      <w:r w:rsidRPr="00AB36D9">
        <w:t>In Queensland, New South Wales, the Australian Capital Territory, Victoria, South Australia, Western Australia and the Northern Territory the removal of the carbon tax appears in October 2014, whereas in Tasmania the removal of the carbon tax appears in July 2014. The July price change in Tasmania reflects a price decrease for the removal of the carbon tax, determined by the Tasmanian state regulator, but this was partially offset by increases in other supply costs.</w:t>
      </w:r>
      <w:r w:rsidRPr="00AB36D9">
        <w:rPr>
          <w:vertAlign w:val="superscript"/>
        </w:rPr>
        <w:footnoteReference w:id="27"/>
      </w:r>
    </w:p>
    <w:p w:rsidR="00AB36D9" w:rsidRPr="009847F6" w:rsidRDefault="00AB36D9" w:rsidP="00AB36D9">
      <w:pPr>
        <w:spacing w:before="240" w:after="120"/>
      </w:pPr>
      <w:r w:rsidRPr="000A14D7">
        <w:rPr>
          <w:rStyle w:val="TabletitleChar"/>
        </w:rPr>
        <w:t xml:space="preserve">Graph </w:t>
      </w:r>
      <w:r w:rsidRPr="00DD08DF">
        <w:rPr>
          <w:rStyle w:val="TabletitleChar"/>
        </w:rPr>
        <w:t>7</w:t>
      </w:r>
      <w:r w:rsidRPr="000A14D7">
        <w:rPr>
          <w:rStyle w:val="TabletitleChar"/>
        </w:rPr>
        <w:t>: Electricity prices as annual bills from January 2012 to January 2015 in Queensland</w:t>
      </w:r>
      <w:r w:rsidRPr="009847F6">
        <w:rPr>
          <w:szCs w:val="20"/>
          <w:vertAlign w:val="superscript"/>
        </w:rPr>
        <w:footnoteReference w:id="28"/>
      </w:r>
    </w:p>
    <w:p w:rsidR="00AB36D9" w:rsidRPr="00AB36D9" w:rsidRDefault="00AB36D9" w:rsidP="00856C41">
      <w:pPr>
        <w:jc w:val="center"/>
      </w:pPr>
      <w:r w:rsidRPr="00AB36D9">
        <w:rPr>
          <w:noProof/>
          <w:lang w:eastAsia="en-AU"/>
        </w:rPr>
        <w:drawing>
          <wp:inline distT="0" distB="0" distL="0" distR="0" wp14:anchorId="74FCB4A8" wp14:editId="1DAB815A">
            <wp:extent cx="4572000" cy="2743200"/>
            <wp:effectExtent l="0" t="0" r="19050" b="1905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B36D9" w:rsidRPr="00AB36D9" w:rsidRDefault="00AB36D9" w:rsidP="00856C41">
      <w:pPr>
        <w:pStyle w:val="Source"/>
        <w:jc w:val="center"/>
      </w:pPr>
      <w:r w:rsidRPr="00AB36D9">
        <w:t>Source: Alviss Consulting, March</w:t>
      </w:r>
      <w:r w:rsidRPr="009847F6">
        <w:t xml:space="preserve"> </w:t>
      </w:r>
      <w:r w:rsidRPr="00AB36D9">
        <w:t>2015</w:t>
      </w:r>
    </w:p>
    <w:p w:rsidR="00AB36D9" w:rsidRPr="00AB36D9" w:rsidRDefault="00AB36D9" w:rsidP="000A14D7">
      <w:pPr>
        <w:pStyle w:val="Source"/>
      </w:pPr>
    </w:p>
    <w:p w:rsidR="00AB36D9" w:rsidRPr="009847F6" w:rsidRDefault="00AB36D9" w:rsidP="00AB36D9">
      <w:pPr>
        <w:keepNext/>
        <w:keepLines/>
        <w:spacing w:before="240" w:after="120"/>
      </w:pPr>
      <w:r w:rsidRPr="000A14D7">
        <w:rPr>
          <w:rStyle w:val="TabletitleChar"/>
        </w:rPr>
        <w:lastRenderedPageBreak/>
        <w:t xml:space="preserve">Graph </w:t>
      </w:r>
      <w:r w:rsidRPr="00DD08DF">
        <w:rPr>
          <w:rStyle w:val="TabletitleChar"/>
        </w:rPr>
        <w:t>8</w:t>
      </w:r>
      <w:r w:rsidRPr="000A14D7">
        <w:rPr>
          <w:rStyle w:val="TabletitleChar"/>
        </w:rPr>
        <w:t>: Electricity prices as annual bills from January 2012 to January 2015 in New South Wales</w:t>
      </w:r>
      <w:r w:rsidRPr="009847F6">
        <w:rPr>
          <w:szCs w:val="20"/>
          <w:vertAlign w:val="superscript"/>
        </w:rPr>
        <w:footnoteReference w:id="29"/>
      </w:r>
    </w:p>
    <w:p w:rsidR="00AB36D9" w:rsidRPr="009847F6" w:rsidRDefault="00AB36D9" w:rsidP="00A1767F">
      <w:pPr>
        <w:keepNext/>
        <w:keepLines/>
        <w:spacing w:before="240" w:after="120"/>
        <w:jc w:val="center"/>
      </w:pPr>
      <w:r w:rsidRPr="009847F6">
        <w:rPr>
          <w:noProof/>
          <w:lang w:eastAsia="en-AU"/>
        </w:rPr>
        <w:drawing>
          <wp:inline distT="0" distB="0" distL="0" distR="0" wp14:anchorId="578E17F6" wp14:editId="013A100A">
            <wp:extent cx="4572000" cy="2743200"/>
            <wp:effectExtent l="0" t="0" r="19050" b="1905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B36D9" w:rsidRPr="00AB36D9" w:rsidRDefault="00AB36D9" w:rsidP="00A1767F">
      <w:pPr>
        <w:pStyle w:val="Source"/>
        <w:jc w:val="center"/>
      </w:pPr>
      <w:r w:rsidRPr="00AB36D9">
        <w:t>Source: Alviss Consulting, March</w:t>
      </w:r>
      <w:r w:rsidRPr="009847F6">
        <w:t xml:space="preserve"> </w:t>
      </w:r>
      <w:r w:rsidRPr="00AB36D9">
        <w:t>2015</w:t>
      </w:r>
    </w:p>
    <w:p w:rsidR="00AB36D9" w:rsidRPr="005731FB" w:rsidRDefault="00AB36D9" w:rsidP="00AB36D9">
      <w:pPr>
        <w:spacing w:before="240" w:after="120"/>
        <w:rPr>
          <w:rStyle w:val="Strong"/>
        </w:rPr>
      </w:pPr>
      <w:r w:rsidRPr="000A14D7">
        <w:rPr>
          <w:rStyle w:val="TabletitleChar"/>
        </w:rPr>
        <w:t xml:space="preserve">Graph </w:t>
      </w:r>
      <w:r w:rsidRPr="00DD08DF">
        <w:rPr>
          <w:rStyle w:val="TabletitleChar"/>
        </w:rPr>
        <w:t>9</w:t>
      </w:r>
      <w:r w:rsidRPr="000A14D7">
        <w:rPr>
          <w:rStyle w:val="TabletitleChar"/>
        </w:rPr>
        <w:t>: Electricity prices as annual bills from January 2012 to January 2015 in the Australian Capital Territory</w:t>
      </w:r>
      <w:r w:rsidRPr="009847F6">
        <w:rPr>
          <w:szCs w:val="20"/>
          <w:vertAlign w:val="superscript"/>
        </w:rPr>
        <w:footnoteReference w:id="30"/>
      </w:r>
    </w:p>
    <w:p w:rsidR="00AB36D9" w:rsidRPr="00AB36D9" w:rsidRDefault="00AB36D9" w:rsidP="00A1767F">
      <w:pPr>
        <w:jc w:val="center"/>
      </w:pPr>
      <w:r w:rsidRPr="00AB36D9">
        <w:rPr>
          <w:noProof/>
          <w:lang w:eastAsia="en-AU"/>
        </w:rPr>
        <w:drawing>
          <wp:inline distT="0" distB="0" distL="0" distR="0" wp14:anchorId="2B85F0AE" wp14:editId="4C6EFAA9">
            <wp:extent cx="4572000" cy="2743200"/>
            <wp:effectExtent l="0" t="0" r="19050" b="1905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AB36D9" w:rsidRPr="00AB36D9" w:rsidRDefault="00AB36D9" w:rsidP="00A1767F">
      <w:pPr>
        <w:pStyle w:val="Source"/>
        <w:jc w:val="center"/>
      </w:pPr>
      <w:r w:rsidRPr="00AB36D9">
        <w:t>Source: Alviss Consulting, March</w:t>
      </w:r>
      <w:r w:rsidRPr="009847F6">
        <w:t xml:space="preserve"> </w:t>
      </w:r>
      <w:r w:rsidRPr="00AB36D9">
        <w:t>2015</w:t>
      </w:r>
    </w:p>
    <w:p w:rsidR="00AB36D9" w:rsidRPr="005731FB" w:rsidRDefault="00AB36D9" w:rsidP="00AB36D9">
      <w:pPr>
        <w:keepNext/>
        <w:keepLines/>
        <w:spacing w:before="60" w:after="60"/>
        <w:rPr>
          <w:rStyle w:val="Strong"/>
        </w:rPr>
      </w:pPr>
      <w:r w:rsidRPr="007D5826">
        <w:rPr>
          <w:rStyle w:val="TabletitleChar"/>
        </w:rPr>
        <w:lastRenderedPageBreak/>
        <w:t xml:space="preserve">Graph </w:t>
      </w:r>
      <w:r w:rsidRPr="00DD08DF">
        <w:rPr>
          <w:rStyle w:val="TabletitleChar"/>
        </w:rPr>
        <w:t>10</w:t>
      </w:r>
      <w:r w:rsidRPr="007D5826">
        <w:rPr>
          <w:rStyle w:val="TabletitleChar"/>
        </w:rPr>
        <w:t>: Electricity prices as annual bills from January 2012 to January 2015 in Victoria</w:t>
      </w:r>
      <w:r w:rsidRPr="009847F6">
        <w:rPr>
          <w:vertAlign w:val="superscript"/>
        </w:rPr>
        <w:footnoteReference w:id="31"/>
      </w:r>
    </w:p>
    <w:p w:rsidR="00AB36D9" w:rsidRPr="00AB36D9" w:rsidRDefault="00AB36D9" w:rsidP="00856C41">
      <w:pPr>
        <w:jc w:val="center"/>
      </w:pPr>
      <w:r w:rsidRPr="00AB36D9">
        <w:rPr>
          <w:noProof/>
          <w:lang w:eastAsia="en-AU"/>
        </w:rPr>
        <w:drawing>
          <wp:inline distT="0" distB="0" distL="0" distR="0" wp14:anchorId="5892F441" wp14:editId="18B15575">
            <wp:extent cx="4572000" cy="2743200"/>
            <wp:effectExtent l="0" t="0" r="19050" b="1905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B36D9" w:rsidRPr="00AB36D9" w:rsidRDefault="00AB36D9" w:rsidP="00856C41">
      <w:pPr>
        <w:pStyle w:val="Source"/>
        <w:jc w:val="center"/>
      </w:pPr>
      <w:r w:rsidRPr="00AB36D9">
        <w:t>Source: Alviss Consulting, March</w:t>
      </w:r>
      <w:r w:rsidRPr="009847F6">
        <w:t xml:space="preserve"> </w:t>
      </w:r>
      <w:r w:rsidRPr="00AB36D9">
        <w:t>2015</w:t>
      </w:r>
    </w:p>
    <w:p w:rsidR="00AB36D9" w:rsidRPr="005731FB" w:rsidRDefault="00AB36D9" w:rsidP="00AB36D9">
      <w:pPr>
        <w:spacing w:before="240" w:after="120"/>
        <w:rPr>
          <w:rStyle w:val="Strong"/>
        </w:rPr>
      </w:pPr>
      <w:r w:rsidRPr="000A14D7">
        <w:rPr>
          <w:rStyle w:val="TabletitleChar"/>
        </w:rPr>
        <w:t xml:space="preserve">Graph </w:t>
      </w:r>
      <w:r w:rsidRPr="00DD08DF">
        <w:rPr>
          <w:rStyle w:val="TabletitleChar"/>
        </w:rPr>
        <w:t>11</w:t>
      </w:r>
      <w:r w:rsidRPr="000A14D7">
        <w:rPr>
          <w:rStyle w:val="TabletitleChar"/>
        </w:rPr>
        <w:t>: Electricity prices as annual bills from January 2012 to January 2015 in South Australia</w:t>
      </w:r>
      <w:r w:rsidRPr="009847F6">
        <w:rPr>
          <w:szCs w:val="20"/>
          <w:vertAlign w:val="superscript"/>
        </w:rPr>
        <w:footnoteReference w:id="32"/>
      </w:r>
    </w:p>
    <w:p w:rsidR="00AB36D9" w:rsidRPr="00AB36D9" w:rsidRDefault="00AB36D9" w:rsidP="00856C41">
      <w:pPr>
        <w:jc w:val="center"/>
        <w:rPr>
          <w:noProof/>
          <w:lang w:eastAsia="en-AU"/>
        </w:rPr>
      </w:pPr>
      <w:r w:rsidRPr="00AB36D9">
        <w:rPr>
          <w:noProof/>
          <w:lang w:eastAsia="en-AU"/>
        </w:rPr>
        <w:drawing>
          <wp:inline distT="0" distB="0" distL="0" distR="0" wp14:anchorId="662815EF" wp14:editId="2ADE6704">
            <wp:extent cx="4572000" cy="2743200"/>
            <wp:effectExtent l="0" t="0" r="19050" b="1905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AB36D9" w:rsidRPr="00AB36D9" w:rsidRDefault="00AB36D9" w:rsidP="00856C41">
      <w:pPr>
        <w:pStyle w:val="Source"/>
        <w:jc w:val="center"/>
      </w:pPr>
      <w:r w:rsidRPr="00AB36D9">
        <w:t>Source: Alviss Consulting, March</w:t>
      </w:r>
      <w:r w:rsidRPr="009847F6">
        <w:t xml:space="preserve"> </w:t>
      </w:r>
      <w:r w:rsidRPr="00AB36D9">
        <w:t>2015</w:t>
      </w:r>
    </w:p>
    <w:p w:rsidR="007D5826" w:rsidRDefault="007D5826" w:rsidP="007D5826">
      <w:pPr>
        <w:spacing w:before="60" w:after="60"/>
        <w:rPr>
          <w:rStyle w:val="TabletitleChar"/>
        </w:rPr>
      </w:pPr>
    </w:p>
    <w:p w:rsidR="007D5826" w:rsidRDefault="007D5826">
      <w:pPr>
        <w:rPr>
          <w:rStyle w:val="TabletitleChar"/>
        </w:rPr>
      </w:pPr>
      <w:r>
        <w:rPr>
          <w:rStyle w:val="TabletitleChar"/>
        </w:rPr>
        <w:br w:type="page"/>
      </w:r>
    </w:p>
    <w:p w:rsidR="00AB36D9" w:rsidRPr="007D5826" w:rsidRDefault="00AB36D9" w:rsidP="007D5826">
      <w:pPr>
        <w:spacing w:before="60" w:after="60"/>
        <w:rPr>
          <w:b/>
          <w:bCs/>
        </w:rPr>
      </w:pPr>
      <w:r w:rsidRPr="007D5826">
        <w:rPr>
          <w:rStyle w:val="TabletitleChar"/>
        </w:rPr>
        <w:lastRenderedPageBreak/>
        <w:t xml:space="preserve">Graph </w:t>
      </w:r>
      <w:r w:rsidRPr="00DD08DF">
        <w:rPr>
          <w:rStyle w:val="TabletitleChar"/>
        </w:rPr>
        <w:t>12</w:t>
      </w:r>
      <w:r w:rsidRPr="007D5826">
        <w:rPr>
          <w:rStyle w:val="TabletitleChar"/>
        </w:rPr>
        <w:t>: Electricity prices as annual bills from January 2012 to January 2015 in Tasmania</w:t>
      </w:r>
      <w:r w:rsidRPr="009847F6">
        <w:rPr>
          <w:vertAlign w:val="superscript"/>
        </w:rPr>
        <w:footnoteReference w:id="33"/>
      </w:r>
    </w:p>
    <w:p w:rsidR="00AB36D9" w:rsidRPr="00AB36D9" w:rsidRDefault="00AB36D9" w:rsidP="00856C41">
      <w:pPr>
        <w:jc w:val="center"/>
      </w:pPr>
      <w:r w:rsidRPr="00AB36D9">
        <w:rPr>
          <w:noProof/>
          <w:lang w:eastAsia="en-AU"/>
        </w:rPr>
        <w:drawing>
          <wp:inline distT="0" distB="0" distL="0" distR="0" wp14:anchorId="3122BB3A" wp14:editId="1C757172">
            <wp:extent cx="4572000" cy="2743200"/>
            <wp:effectExtent l="0" t="0" r="19050" b="1905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B36D9" w:rsidRPr="005731FB" w:rsidRDefault="00AB36D9" w:rsidP="00856C41">
      <w:pPr>
        <w:pStyle w:val="Source"/>
        <w:jc w:val="center"/>
      </w:pPr>
      <w:r w:rsidRPr="005731FB">
        <w:t>Source: Alviss Consulting, March</w:t>
      </w:r>
      <w:r w:rsidRPr="009847F6">
        <w:t xml:space="preserve"> </w:t>
      </w:r>
      <w:r w:rsidRPr="005731FB">
        <w:t>2015</w:t>
      </w:r>
    </w:p>
    <w:p w:rsidR="00AB36D9" w:rsidRPr="005731FB" w:rsidRDefault="00AB36D9" w:rsidP="005731FB">
      <w:pPr>
        <w:pStyle w:val="Tabletitle"/>
      </w:pPr>
      <w:r w:rsidRPr="005731FB">
        <w:t xml:space="preserve">Graph </w:t>
      </w:r>
      <w:r w:rsidRPr="00DD08DF">
        <w:t>13</w:t>
      </w:r>
      <w:r w:rsidRPr="005731FB">
        <w:t>: Regulated electricity prices as annual bills from January 2012 to January 2015 in Western Australia</w:t>
      </w:r>
    </w:p>
    <w:p w:rsidR="00AB36D9" w:rsidRPr="00AB36D9" w:rsidRDefault="00AB36D9" w:rsidP="00856C41">
      <w:pPr>
        <w:jc w:val="center"/>
      </w:pPr>
      <w:r w:rsidRPr="00AB36D9">
        <w:rPr>
          <w:noProof/>
          <w:lang w:eastAsia="en-AU"/>
        </w:rPr>
        <w:drawing>
          <wp:inline distT="0" distB="0" distL="0" distR="0" wp14:anchorId="608DDFEE" wp14:editId="3DD48C2C">
            <wp:extent cx="4572000" cy="2743200"/>
            <wp:effectExtent l="0" t="0" r="19050" b="1905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AB36D9" w:rsidRPr="005731FB" w:rsidRDefault="00AB36D9" w:rsidP="00856C41">
      <w:pPr>
        <w:pStyle w:val="Source"/>
        <w:jc w:val="center"/>
      </w:pPr>
      <w:r w:rsidRPr="005731FB">
        <w:t>Source: Alviss Consulting, March</w:t>
      </w:r>
      <w:r w:rsidRPr="009847F6">
        <w:t xml:space="preserve"> </w:t>
      </w:r>
      <w:r w:rsidRPr="005731FB">
        <w:t>2015</w:t>
      </w:r>
    </w:p>
    <w:p w:rsidR="00AB36D9" w:rsidRPr="00AB36D9" w:rsidRDefault="00AB36D9" w:rsidP="009847F6"/>
    <w:p w:rsidR="00AB36D9" w:rsidRPr="007D5826" w:rsidRDefault="00AB36D9" w:rsidP="007D5826">
      <w:pPr>
        <w:pStyle w:val="Tabletitle"/>
      </w:pPr>
      <w:r w:rsidRPr="005731FB">
        <w:lastRenderedPageBreak/>
        <w:t xml:space="preserve">Graph </w:t>
      </w:r>
      <w:r w:rsidRPr="00DD08DF">
        <w:t>14</w:t>
      </w:r>
      <w:r w:rsidRPr="005731FB">
        <w:t>: Regulated electricity prices as annual bills from January 2012 to January 2015 in the Northern Territory</w:t>
      </w:r>
    </w:p>
    <w:p w:rsidR="00AB36D9" w:rsidRPr="00AB36D9" w:rsidRDefault="00AB36D9" w:rsidP="00856C41">
      <w:pPr>
        <w:jc w:val="center"/>
      </w:pPr>
      <w:r w:rsidRPr="00AB36D9">
        <w:rPr>
          <w:noProof/>
          <w:lang w:eastAsia="en-AU"/>
        </w:rPr>
        <w:drawing>
          <wp:inline distT="0" distB="0" distL="0" distR="0" wp14:anchorId="1E123E3E" wp14:editId="3CEA8439">
            <wp:extent cx="4572000" cy="2743200"/>
            <wp:effectExtent l="0" t="0" r="19050" b="1905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B36D9" w:rsidRPr="005731FB" w:rsidRDefault="00AB36D9" w:rsidP="00856C41">
      <w:pPr>
        <w:pStyle w:val="Source"/>
        <w:jc w:val="center"/>
      </w:pPr>
      <w:r w:rsidRPr="005731FB">
        <w:t>Source: Alviss Consulting, March</w:t>
      </w:r>
      <w:r w:rsidRPr="009847F6">
        <w:t xml:space="preserve"> </w:t>
      </w:r>
      <w:r w:rsidRPr="005731FB">
        <w:t>2015</w:t>
      </w:r>
    </w:p>
    <w:p w:rsidR="00AB36D9" w:rsidRPr="00AB36D9" w:rsidRDefault="00AB36D9" w:rsidP="005731FB">
      <w:pPr>
        <w:pStyle w:val="Heading4"/>
      </w:pPr>
      <w:r w:rsidRPr="00AB36D9">
        <w:t>Factors affecting prices from July 2012</w:t>
      </w:r>
    </w:p>
    <w:p w:rsidR="00AB36D9" w:rsidRPr="00AB36D9" w:rsidRDefault="00AB36D9" w:rsidP="00AB36D9">
      <w:r w:rsidRPr="00AB36D9">
        <w:t xml:space="preserve">In 2012, the AER reported that network costs were the largest contributor to energy price increases for several years prior to the introduction of the carbon tax; network costs continued to rise in 2012–13, although the introduction of the carbon tax had a slightly larger impact on prices in that year in most jurisdictions. </w:t>
      </w:r>
    </w:p>
    <w:p w:rsidR="00AB36D9" w:rsidRPr="00AB36D9" w:rsidRDefault="00AB36D9" w:rsidP="00AB36D9">
      <w:r w:rsidRPr="00AB36D9">
        <w:t>The Queensland Government introduced a price freeze from 1 July 2012 and carbon tax costs were the only costs that retailers were allowed to pass on to customers. The price freeze was removed in July 2013 and retail prices increased significantly.</w:t>
      </w:r>
    </w:p>
    <w:p w:rsidR="00AB36D9" w:rsidRPr="00AB36D9" w:rsidRDefault="00AB36D9" w:rsidP="00AB36D9">
      <w:r w:rsidRPr="00AB36D9">
        <w:t>Network costs have continued to rise in most jurisdictions over the period. The graph below shows the average bill impact of increasing network charges.</w:t>
      </w:r>
    </w:p>
    <w:p w:rsidR="00AB36D9" w:rsidRPr="005731FB" w:rsidRDefault="00AB36D9" w:rsidP="00AB36D9">
      <w:pPr>
        <w:keepNext/>
        <w:keepLines/>
        <w:spacing w:before="60" w:after="60"/>
        <w:rPr>
          <w:rStyle w:val="Strong"/>
        </w:rPr>
      </w:pPr>
      <w:r w:rsidRPr="009847F6">
        <w:rPr>
          <w:rStyle w:val="TabletitleChar"/>
        </w:rPr>
        <w:lastRenderedPageBreak/>
        <w:t xml:space="preserve">Graph </w:t>
      </w:r>
      <w:r w:rsidRPr="00DD08DF">
        <w:rPr>
          <w:rStyle w:val="TabletitleChar"/>
        </w:rPr>
        <w:t>15</w:t>
      </w:r>
      <w:r w:rsidRPr="009847F6">
        <w:rPr>
          <w:rStyle w:val="TabletitleChar"/>
        </w:rPr>
        <w:t>: Network costs by jurisdiction</w:t>
      </w:r>
      <w:r w:rsidRPr="009847F6">
        <w:rPr>
          <w:vertAlign w:val="superscript"/>
        </w:rPr>
        <w:footnoteReference w:id="34"/>
      </w:r>
    </w:p>
    <w:p w:rsidR="00AB36D9" w:rsidRPr="009847F6" w:rsidRDefault="00AB36D9" w:rsidP="000D1E1F">
      <w:pPr>
        <w:keepNext/>
        <w:keepLines/>
        <w:jc w:val="center"/>
      </w:pPr>
      <w:r w:rsidRPr="00AB36D9">
        <w:rPr>
          <w:noProof/>
          <w:lang w:eastAsia="en-AU"/>
        </w:rPr>
        <w:drawing>
          <wp:inline distT="0" distB="0" distL="0" distR="0" wp14:anchorId="0BDF654A" wp14:editId="143D6E8C">
            <wp:extent cx="4572000" cy="2743200"/>
            <wp:effectExtent l="0" t="0" r="19050" b="1905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AB36D9" w:rsidRPr="005731FB" w:rsidRDefault="00AB36D9" w:rsidP="000D1E1F">
      <w:pPr>
        <w:pStyle w:val="Source"/>
        <w:jc w:val="center"/>
      </w:pPr>
      <w:r w:rsidRPr="005731FB">
        <w:t xml:space="preserve">Source: Alviss Consulting, March 2015; AER, </w:t>
      </w:r>
      <w:r w:rsidRPr="00102C3E">
        <w:rPr>
          <w:i/>
        </w:rPr>
        <w:t>AMI budget and charges applications 2012–15, final determination</w:t>
      </w:r>
      <w:r w:rsidRPr="005731FB">
        <w:t xml:space="preserve">, October 2011; AER, </w:t>
      </w:r>
      <w:r w:rsidRPr="005731FB">
        <w:rPr>
          <w:rStyle w:val="Emphasis"/>
        </w:rPr>
        <w:t>AMI charges revision applications for Victorian electricity distribution</w:t>
      </w:r>
      <w:r w:rsidRPr="00AB36D9">
        <w:t xml:space="preserve"> businesses</w:t>
      </w:r>
      <w:r w:rsidRPr="005731FB">
        <w:t xml:space="preserve"> (various years).</w:t>
      </w:r>
    </w:p>
    <w:p w:rsidR="00AB36D9" w:rsidRPr="00AB36D9" w:rsidRDefault="00AB36D9" w:rsidP="00AB36D9">
      <w:r w:rsidRPr="00AB36D9">
        <w:t xml:space="preserve">Over the rest of the period in which the carbon tax was in effect, other factors continued to influence retailers’ costs, including wholesale prices, green schemes, solar feed-in-tariffs, and retail costs. As a result, while prices have fallen after the repeal of the carbon tax, prices remain above what they were in 2012. </w:t>
      </w:r>
    </w:p>
    <w:p w:rsidR="00AB36D9" w:rsidRPr="00AB36D9" w:rsidRDefault="00AB36D9" w:rsidP="00AB36D9">
      <w:r w:rsidRPr="00AB36D9">
        <w:t xml:space="preserve">Graph </w:t>
      </w:r>
      <w:r w:rsidRPr="00DD08DF">
        <w:rPr>
          <w:rStyle w:val="Strong"/>
          <w:b w:val="0"/>
        </w:rPr>
        <w:t>16</w:t>
      </w:r>
      <w:r w:rsidRPr="00AB36D9">
        <w:t xml:space="preserve"> below provides an example of the make-up of an electricity bill in a distribution area in Victoria over the period from January 2012 to September 2014. This graph is for illustration only, and individual customers’ experiences may vary substantially.</w:t>
      </w:r>
    </w:p>
    <w:p w:rsidR="00AB36D9" w:rsidRPr="005731FB" w:rsidRDefault="00AB36D9" w:rsidP="005731FB">
      <w:pPr>
        <w:pStyle w:val="Tabletitle"/>
      </w:pPr>
      <w:r w:rsidRPr="005731FB">
        <w:lastRenderedPageBreak/>
        <w:t xml:space="preserve">Graph </w:t>
      </w:r>
      <w:r w:rsidRPr="00DD08DF">
        <w:t>16</w:t>
      </w:r>
      <w:r w:rsidRPr="005731FB">
        <w:t>: Example make-up of an electricity bill in Victoria from January 2012 to September 2014</w:t>
      </w:r>
    </w:p>
    <w:p w:rsidR="00BE0975" w:rsidRDefault="007418EA" w:rsidP="001E12B3">
      <w:pPr>
        <w:keepNext/>
        <w:keepLines/>
        <w:jc w:val="center"/>
      </w:pPr>
      <w:r>
        <w:rPr>
          <w:noProof/>
          <w:lang w:eastAsia="en-AU"/>
        </w:rPr>
        <w:drawing>
          <wp:inline distT="0" distB="0" distL="0" distR="0" wp14:anchorId="4D8A4BEA" wp14:editId="4D8F2E58">
            <wp:extent cx="5054908" cy="3079752"/>
            <wp:effectExtent l="0" t="0" r="12700" b="2540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AB36D9" w:rsidRPr="00AB36D9" w:rsidRDefault="00AB36D9" w:rsidP="00AB36D9">
      <w:r w:rsidRPr="00AB36D9">
        <w:t>The graph</w:t>
      </w:r>
      <w:r w:rsidR="00856C41">
        <w:t>s</w:t>
      </w:r>
      <w:r w:rsidRPr="00AB36D9">
        <w:t xml:space="preserve"> below </w:t>
      </w:r>
      <w:r w:rsidR="00856C41">
        <w:t>are</w:t>
      </w:r>
      <w:r w:rsidR="00856C41" w:rsidRPr="00AB36D9">
        <w:t xml:space="preserve"> </w:t>
      </w:r>
      <w:r w:rsidRPr="00AB36D9">
        <w:t>based on Australian Energy Market Commission (AEMC) data for Victoria and show</w:t>
      </w:r>
      <w:r w:rsidR="00856C41">
        <w:t xml:space="preserve"> the extent to which average prices were expected to</w:t>
      </w:r>
      <w:r w:rsidRPr="00AB36D9">
        <w:t xml:space="preserve"> decrease following the removal of the carbon tax. However, it also shows that network costs con</w:t>
      </w:r>
      <w:r w:rsidR="000D1E1F">
        <w:t>tinue to impact prices in that s</w:t>
      </w:r>
      <w:r w:rsidRPr="00AB36D9">
        <w:t>tate.</w:t>
      </w:r>
    </w:p>
    <w:p w:rsidR="00DF7447" w:rsidRDefault="00DF7447" w:rsidP="0026739A">
      <w:pPr>
        <w:pStyle w:val="TableHeading"/>
        <w:keepNext/>
        <w:keepLines/>
      </w:pPr>
      <w:r>
        <w:lastRenderedPageBreak/>
        <w:t xml:space="preserve">Graph </w:t>
      </w:r>
      <w:r w:rsidRPr="00DD08DF">
        <w:t>17</w:t>
      </w:r>
      <w:r>
        <w:t>: Expected movements in cost components of the average residential electricity price in Victoria</w:t>
      </w:r>
    </w:p>
    <w:p w:rsidR="00DF7447" w:rsidRDefault="00DF7447" w:rsidP="0026739A">
      <w:pPr>
        <w:pStyle w:val="TableHeading"/>
        <w:keepNext/>
        <w:keepLines/>
        <w:jc w:val="center"/>
      </w:pPr>
      <w:r w:rsidRPr="008C1D67">
        <w:rPr>
          <w:noProof/>
          <w:lang w:eastAsia="en-AU"/>
        </w:rPr>
        <w:drawing>
          <wp:inline distT="0" distB="0" distL="0" distR="0" wp14:anchorId="0C9AF1BA" wp14:editId="2F382CB6">
            <wp:extent cx="3438095" cy="3866667"/>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438095" cy="3866667"/>
                    </a:xfrm>
                    <a:prstGeom prst="rect">
                      <a:avLst/>
                    </a:prstGeom>
                  </pic:spPr>
                </pic:pic>
              </a:graphicData>
            </a:graphic>
          </wp:inline>
        </w:drawing>
      </w:r>
    </w:p>
    <w:p w:rsidR="00DF7447" w:rsidRDefault="00DF7447" w:rsidP="0026739A">
      <w:pPr>
        <w:keepNext/>
        <w:keepLines/>
        <w:jc w:val="center"/>
        <w:rPr>
          <w:sz w:val="16"/>
          <w:szCs w:val="16"/>
        </w:rPr>
      </w:pPr>
      <w:r w:rsidRPr="007B1D7D">
        <w:rPr>
          <w:sz w:val="16"/>
          <w:szCs w:val="16"/>
        </w:rPr>
        <w:t>Source: AEMC</w:t>
      </w:r>
      <w:r>
        <w:rPr>
          <w:sz w:val="16"/>
          <w:szCs w:val="16"/>
        </w:rPr>
        <w:t>,</w:t>
      </w:r>
      <w:r w:rsidRPr="007B1D7D">
        <w:rPr>
          <w:sz w:val="16"/>
          <w:szCs w:val="16"/>
        </w:rPr>
        <w:t xml:space="preserve"> </w:t>
      </w:r>
      <w:r w:rsidRPr="00310D27">
        <w:rPr>
          <w:i/>
          <w:sz w:val="16"/>
          <w:szCs w:val="16"/>
        </w:rPr>
        <w:t>2014 Residential Electricity Price Trends: Final Report</w:t>
      </w:r>
      <w:r>
        <w:rPr>
          <w:sz w:val="16"/>
          <w:szCs w:val="16"/>
        </w:rPr>
        <w:t>, December 2014</w:t>
      </w:r>
    </w:p>
    <w:p w:rsidR="00DF7447" w:rsidRPr="00DF7447" w:rsidRDefault="00DF7447" w:rsidP="0026739A">
      <w:pPr>
        <w:keepNext/>
        <w:keepLines/>
        <w:jc w:val="center"/>
        <w:rPr>
          <w:sz w:val="16"/>
          <w:szCs w:val="16"/>
        </w:rPr>
      </w:pPr>
    </w:p>
    <w:p w:rsidR="00DF7447" w:rsidRPr="003F27AC" w:rsidRDefault="00DF7447" w:rsidP="0026739A">
      <w:pPr>
        <w:pStyle w:val="TableHeading"/>
        <w:keepNext/>
        <w:keepLines/>
      </w:pPr>
      <w:r>
        <w:t xml:space="preserve">Graph </w:t>
      </w:r>
      <w:r w:rsidRPr="00DD08DF">
        <w:t>18</w:t>
      </w:r>
      <w:r>
        <w:t>: Expected movements in cost components of the average residential electricity price in Victoria</w:t>
      </w:r>
    </w:p>
    <w:p w:rsidR="007D5826" w:rsidRDefault="00DF7447" w:rsidP="0026739A">
      <w:pPr>
        <w:keepNext/>
        <w:keepLines/>
        <w:jc w:val="center"/>
        <w:rPr>
          <w:rFonts w:eastAsiaTheme="majorEastAsia" w:cstheme="majorBidi"/>
          <w:b/>
          <w:bCs/>
          <w:i/>
          <w:iCs/>
          <w:color w:val="51626F"/>
          <w:sz w:val="24"/>
        </w:rPr>
      </w:pPr>
      <w:r w:rsidRPr="001607F4">
        <w:rPr>
          <w:noProof/>
          <w:color w:val="1F497D"/>
          <w:lang w:eastAsia="en-AU"/>
        </w:rPr>
        <w:drawing>
          <wp:inline distT="0" distB="0" distL="0" distR="0" wp14:anchorId="1918082E" wp14:editId="49FE79D1">
            <wp:extent cx="4451231" cy="3367767"/>
            <wp:effectExtent l="0" t="0" r="6985" b="4445"/>
            <wp:docPr id="32" name="Picture 32" descr="cid:image001.png@01D075E6.BA567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075E6.BA567320"/>
                    <pic:cNvPicPr>
                      <a:picLocks noChangeAspect="1" noChangeArrowheads="1"/>
                    </pic:cNvPicPr>
                  </pic:nvPicPr>
                  <pic:blipFill>
                    <a:blip r:embed="rId29" r:link="rId30">
                      <a:extLst>
                        <a:ext uri="{28A0092B-C50C-407E-A947-70E740481C1C}">
                          <a14:useLocalDpi xmlns:a14="http://schemas.microsoft.com/office/drawing/2010/main" val="0"/>
                        </a:ext>
                      </a:extLst>
                    </a:blip>
                    <a:srcRect/>
                    <a:stretch>
                      <a:fillRect/>
                    </a:stretch>
                  </pic:blipFill>
                  <pic:spPr bwMode="auto">
                    <a:xfrm>
                      <a:off x="0" y="0"/>
                      <a:ext cx="4454129" cy="3369959"/>
                    </a:xfrm>
                    <a:prstGeom prst="rect">
                      <a:avLst/>
                    </a:prstGeom>
                    <a:noFill/>
                    <a:ln>
                      <a:noFill/>
                    </a:ln>
                  </pic:spPr>
                </pic:pic>
              </a:graphicData>
            </a:graphic>
          </wp:inline>
        </w:drawing>
      </w:r>
    </w:p>
    <w:p w:rsidR="0026739A" w:rsidRPr="0026739A" w:rsidRDefault="0026739A" w:rsidP="0026739A">
      <w:pPr>
        <w:keepNext/>
        <w:keepLines/>
        <w:jc w:val="center"/>
        <w:rPr>
          <w:sz w:val="16"/>
          <w:szCs w:val="16"/>
        </w:rPr>
      </w:pPr>
      <w:r w:rsidRPr="007B1D7D">
        <w:rPr>
          <w:sz w:val="16"/>
          <w:szCs w:val="16"/>
        </w:rPr>
        <w:t>Source: AEMC</w:t>
      </w:r>
      <w:r>
        <w:rPr>
          <w:sz w:val="16"/>
          <w:szCs w:val="16"/>
        </w:rPr>
        <w:t>,</w:t>
      </w:r>
      <w:r w:rsidRPr="007B1D7D">
        <w:rPr>
          <w:sz w:val="16"/>
          <w:szCs w:val="16"/>
        </w:rPr>
        <w:t xml:space="preserve"> </w:t>
      </w:r>
      <w:r w:rsidRPr="00310D27">
        <w:rPr>
          <w:i/>
          <w:sz w:val="16"/>
          <w:szCs w:val="16"/>
        </w:rPr>
        <w:t>2014 Residential Electricity Price Trends: Final Report</w:t>
      </w:r>
      <w:r>
        <w:rPr>
          <w:sz w:val="16"/>
          <w:szCs w:val="16"/>
        </w:rPr>
        <w:t>, December 2014</w:t>
      </w:r>
    </w:p>
    <w:p w:rsidR="00AB36D9" w:rsidRPr="00AB36D9" w:rsidRDefault="00AB36D9" w:rsidP="005731FB">
      <w:pPr>
        <w:pStyle w:val="Heading4"/>
      </w:pPr>
      <w:r w:rsidRPr="00AB36D9">
        <w:lastRenderedPageBreak/>
        <w:t>Conclusion</w:t>
      </w:r>
    </w:p>
    <w:p w:rsidR="00AB36D9" w:rsidRPr="00AB36D9" w:rsidRDefault="00AB36D9" w:rsidP="00AB36D9">
      <w:r w:rsidRPr="00AB36D9">
        <w:t>Over the period of the carbon tax and its repeal, other cost factors have contributed to the increase in the price of electricity. While electricity prices have fallen after the repeal of the carbon tax, prices remain above what they were in 2012, and in some states above what they were in June 2014 just prior to the repeal.</w:t>
      </w:r>
    </w:p>
    <w:p w:rsidR="00AB36D9" w:rsidRPr="00AB36D9" w:rsidRDefault="00AB36D9" w:rsidP="005731FB">
      <w:pPr>
        <w:pStyle w:val="Heading2"/>
      </w:pPr>
      <w:bookmarkStart w:id="25" w:name="_Toc417460229"/>
      <w:r w:rsidRPr="00AB36D9">
        <w:t>N</w:t>
      </w:r>
      <w:r w:rsidR="00876DC2">
        <w:t>atural g</w:t>
      </w:r>
      <w:r w:rsidRPr="00AB36D9">
        <w:t>as</w:t>
      </w:r>
      <w:bookmarkEnd w:id="25"/>
    </w:p>
    <w:p w:rsidR="00AB36D9" w:rsidRPr="00AB36D9" w:rsidRDefault="00AB36D9" w:rsidP="00B54A88">
      <w:pPr>
        <w:pStyle w:val="Boxedtext"/>
        <w:shd w:val="clear" w:color="auto" w:fill="D9D9D9" w:themeFill="background1" w:themeFillShade="D9"/>
      </w:pPr>
      <w:r w:rsidRPr="00AB36D9">
        <w:t xml:space="preserve">The ACCC received pricing data from natural gas retailers to monitor prices from March-April 2014 to January-February 2015. Overall residential prices have mostly increased in the past year mainly due to increases in the wholesale price of </w:t>
      </w:r>
      <w:r w:rsidR="00A14172">
        <w:t xml:space="preserve">natural </w:t>
      </w:r>
      <w:r w:rsidRPr="00AB36D9">
        <w:t>gas and network costs. However, these increases are less than they otherwise would have been due to the repeal of the carbon tax.</w:t>
      </w:r>
    </w:p>
    <w:p w:rsidR="00AB36D9" w:rsidRPr="00AB36D9" w:rsidRDefault="00AB36D9" w:rsidP="00B54A88">
      <w:pPr>
        <w:pStyle w:val="Boxedtext"/>
        <w:shd w:val="clear" w:color="auto" w:fill="D9D9D9" w:themeFill="background1" w:themeFillShade="D9"/>
      </w:pPr>
      <w:r w:rsidRPr="00AB36D9">
        <w:t>Based on the information available, the ACCC is satisfied that retailers’ calculation of the carbon tax costs to be removed from prices after repeal corresponds to the carbon tax component that was included in prices prior to repeal, with a small adjustment for repeal implementation costs in some cases. The ACCC is satisfied that retailers have passed on all of the carbon tax repeal cost savings received to consumers.</w:t>
      </w:r>
    </w:p>
    <w:p w:rsidR="00AB36D9" w:rsidRPr="00AB36D9" w:rsidRDefault="00AB36D9" w:rsidP="00B54A88">
      <w:pPr>
        <w:pStyle w:val="Boxedtext"/>
        <w:shd w:val="clear" w:color="auto" w:fill="D9D9D9" w:themeFill="background1" w:themeFillShade="D9"/>
      </w:pPr>
      <w:r w:rsidRPr="00AB36D9">
        <w:t>Over the period of the carbon tax and its repeal, other cost factors have contributed to the increase in the price of natural gas. Increases in network costs at the time of the</w:t>
      </w:r>
      <w:r w:rsidR="00A14172">
        <w:t xml:space="preserve"> introduction of the carbon tax</w:t>
      </w:r>
      <w:r w:rsidRPr="00AB36D9">
        <w:t xml:space="preserve"> and in wholesale costs in 2014, have contributed to the net increase in retail</w:t>
      </w:r>
      <w:r w:rsidR="00102C3E">
        <w:t xml:space="preserve"> natural</w:t>
      </w:r>
      <w:r w:rsidRPr="00AB36D9">
        <w:t xml:space="preserve"> gas prices since January 2012. However, these increases are less than they otherwise would have been absent the carbon tax repeal.</w:t>
      </w:r>
    </w:p>
    <w:p w:rsidR="00AB36D9" w:rsidRPr="00AB36D9" w:rsidRDefault="00AB36D9" w:rsidP="005731FB">
      <w:pPr>
        <w:pStyle w:val="Heading3"/>
      </w:pPr>
      <w:bookmarkStart w:id="26" w:name="_Toc417460230"/>
      <w:r w:rsidRPr="00AB36D9">
        <w:t>Overview of price changes</w:t>
      </w:r>
      <w:bookmarkEnd w:id="26"/>
    </w:p>
    <w:p w:rsidR="00AB36D9" w:rsidRPr="00AB36D9" w:rsidRDefault="00AB36D9" w:rsidP="00AB36D9">
      <w:pPr>
        <w:keepNext/>
        <w:keepLines/>
      </w:pPr>
      <w:r w:rsidRPr="00AB36D9">
        <w:t xml:space="preserve">As part of its monitoring activities, the ACCC collected pricing data from natural gas retailers as at March-April 2014, July-August 2014, October 2014 and January-February 2015. The ACCC used the data to calculate average annual bills in each state and territory, based on a consumption of 45GJ per annum. </w:t>
      </w:r>
    </w:p>
    <w:p w:rsidR="00AB36D9" w:rsidRPr="00AB36D9" w:rsidRDefault="00AB36D9" w:rsidP="00AB36D9">
      <w:r w:rsidRPr="00AB36D9">
        <w:t>The graph below shows the difference in those annual bills for residential standing offers between each period of data collection. The figures are averages for the jurisdiction, and individual consumers’ experiences will vary depending on their tariff structure, location and consumption.</w:t>
      </w:r>
    </w:p>
    <w:p w:rsidR="00AB36D9" w:rsidRPr="00AB36D9" w:rsidRDefault="00AB36D9" w:rsidP="00AB36D9">
      <w:r w:rsidRPr="00AB36D9">
        <w:t>The ACCC’s analysis focuses on residential standing offers as the ACCC considers these to be a good benchmark to assess the pass through of cost savings from the repeal of the carbon tax. However, the ACCC has also examined most common market offers and small business offers.</w:t>
      </w:r>
    </w:p>
    <w:p w:rsidR="00AB36D9" w:rsidRPr="005731FB" w:rsidRDefault="00AB36D9" w:rsidP="00AB36D9">
      <w:pPr>
        <w:keepNext/>
        <w:keepLines/>
        <w:spacing w:before="240" w:after="120"/>
        <w:rPr>
          <w:rStyle w:val="Strong"/>
        </w:rPr>
      </w:pPr>
      <w:r w:rsidRPr="005731FB">
        <w:rPr>
          <w:rStyle w:val="TabletitleChar"/>
        </w:rPr>
        <w:lastRenderedPageBreak/>
        <w:t xml:space="preserve">Graph </w:t>
      </w:r>
      <w:r w:rsidRPr="00DD08DF">
        <w:rPr>
          <w:rStyle w:val="TabletitleChar"/>
        </w:rPr>
        <w:t>1</w:t>
      </w:r>
      <w:r w:rsidR="00C70009" w:rsidRPr="00DD08DF">
        <w:rPr>
          <w:rStyle w:val="TabletitleChar"/>
        </w:rPr>
        <w:t>9</w:t>
      </w:r>
      <w:r w:rsidRPr="005731FB">
        <w:rPr>
          <w:rStyle w:val="TabletitleChar"/>
        </w:rPr>
        <w:t>: Average price change for residential standing offers based on ACCC calculations of annual bills</w:t>
      </w:r>
      <w:r w:rsidRPr="009847F6">
        <w:rPr>
          <w:szCs w:val="20"/>
          <w:vertAlign w:val="superscript"/>
        </w:rPr>
        <w:footnoteReference w:id="35"/>
      </w:r>
    </w:p>
    <w:p w:rsidR="00AB36D9" w:rsidRPr="00AB36D9" w:rsidRDefault="00AB36D9" w:rsidP="00AB36D9">
      <w:pPr>
        <w:keepNext/>
        <w:keepLines/>
      </w:pPr>
      <w:r w:rsidRPr="00AB36D9">
        <w:rPr>
          <w:noProof/>
          <w:lang w:eastAsia="en-AU"/>
        </w:rPr>
        <w:drawing>
          <wp:inline distT="0" distB="0" distL="0" distR="0" wp14:anchorId="67232D68" wp14:editId="4B91D49C">
            <wp:extent cx="5731510" cy="3130550"/>
            <wp:effectExtent l="0" t="0" r="21590" b="1270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AB36D9" w:rsidRPr="00AB36D9" w:rsidRDefault="00AB36D9" w:rsidP="00AB36D9">
      <w:r w:rsidRPr="00AB36D9">
        <w:t>Graph</w:t>
      </w:r>
      <w:r w:rsidRPr="005731FB">
        <w:rPr>
          <w:rStyle w:val="Strong"/>
        </w:rPr>
        <w:t xml:space="preserve"> </w:t>
      </w:r>
      <w:r w:rsidRPr="00DD08DF">
        <w:rPr>
          <w:rStyle w:val="Strong"/>
          <w:b w:val="0"/>
        </w:rPr>
        <w:t>1</w:t>
      </w:r>
      <w:r w:rsidR="00C70009" w:rsidRPr="00DD08DF">
        <w:rPr>
          <w:rStyle w:val="Strong"/>
          <w:b w:val="0"/>
        </w:rPr>
        <w:t>9</w:t>
      </w:r>
      <w:r w:rsidRPr="00AB36D9">
        <w:t xml:space="preserve"> shows the differences observed in the pricing data obtained from natural gas retailers as at March-April 2014 to July-August 2014, July-August 2014 to October 2014 and October 2014 to January-February 2015. </w:t>
      </w:r>
    </w:p>
    <w:p w:rsidR="00AB36D9" w:rsidRPr="00AB36D9" w:rsidRDefault="00AB36D9" w:rsidP="00AB36D9">
      <w:r w:rsidRPr="00AB36D9">
        <w:t>The following observations can be made:</w:t>
      </w:r>
    </w:p>
    <w:p w:rsidR="00AB36D9" w:rsidRPr="00AB36D9" w:rsidRDefault="00AB36D9" w:rsidP="005731FB">
      <w:pPr>
        <w:pStyle w:val="Bulletpoint"/>
      </w:pPr>
      <w:r w:rsidRPr="00AB36D9">
        <w:t>As noted in the ACCC’s January 2015 Carbon Report, retailers adjusted their natural gas prices to account for the repeal of the carbon tax at different times. Three retailers removed the carbon tax component from their prices from 1 July 2014 in anticipation of the repeal, while all others removed carbon tax components between July and October 2014.</w:t>
      </w:r>
      <w:r w:rsidRPr="00AB36D9">
        <w:rPr>
          <w:vertAlign w:val="superscript"/>
        </w:rPr>
        <w:footnoteReference w:id="36"/>
      </w:r>
    </w:p>
    <w:p w:rsidR="00AB36D9" w:rsidRPr="00AB36D9" w:rsidRDefault="00AB36D9" w:rsidP="005731FB">
      <w:pPr>
        <w:pStyle w:val="Bulletpoint"/>
      </w:pPr>
      <w:r w:rsidRPr="00AB36D9">
        <w:t xml:space="preserve">For Victoria and Tasmania, Graph </w:t>
      </w:r>
      <w:r w:rsidRPr="00DD08DF">
        <w:rPr>
          <w:rStyle w:val="Strong"/>
          <w:b w:val="0"/>
        </w:rPr>
        <w:t>1</w:t>
      </w:r>
      <w:r w:rsidR="00C70009" w:rsidRPr="00DD08DF">
        <w:rPr>
          <w:rStyle w:val="Strong"/>
          <w:b w:val="0"/>
        </w:rPr>
        <w:t>9</w:t>
      </w:r>
      <w:r w:rsidRPr="00AB36D9">
        <w:t xml:space="preserve"> shows an increase in average bills between October 2014 and January 2015. Retailers in Tasmania and Victoria typically adjust prices around January each year as network tariffs change at this time. Retailers have indicated that increases in commodity costs and network costs were the main reasons for the increase in prices.</w:t>
      </w:r>
    </w:p>
    <w:p w:rsidR="00AB36D9" w:rsidRPr="00AB36D9" w:rsidRDefault="00AB36D9" w:rsidP="005731FB">
      <w:pPr>
        <w:pStyle w:val="Bulletpoint"/>
      </w:pPr>
      <w:r w:rsidRPr="00AB36D9">
        <w:t xml:space="preserve">In other NEM jurisdictions this price adjustment typically occurs around July each year as network tariffs change at that time. Some retailers implemented a single price adjustment between July and October 2014 to reflect changes in network and other costs, and to remove the carbon tax components. Some retailers have further adjusted prices in January 2015 due to further cost changes such as wholesale prices. </w:t>
      </w:r>
    </w:p>
    <w:p w:rsidR="00AB36D9" w:rsidRPr="00AB36D9" w:rsidRDefault="00AB36D9" w:rsidP="00AB36D9">
      <w:r w:rsidRPr="00AB36D9">
        <w:t xml:space="preserve">Graph </w:t>
      </w:r>
      <w:r w:rsidR="00C70009" w:rsidRPr="00DD08DF">
        <w:rPr>
          <w:rStyle w:val="Strong"/>
          <w:b w:val="0"/>
        </w:rPr>
        <w:t>20</w:t>
      </w:r>
      <w:r w:rsidRPr="00AB36D9">
        <w:t xml:space="preserve"> below presents average price changes between March-April 2014 and January-February 2015 and therefore illustrates the overall effect of the removal of the carbon tax and adjustments to prices for other factors, including changes to network tariffs.</w:t>
      </w:r>
      <w:r w:rsidRPr="00AB36D9">
        <w:rPr>
          <w:vertAlign w:val="superscript"/>
        </w:rPr>
        <w:footnoteReference w:id="37"/>
      </w:r>
    </w:p>
    <w:p w:rsidR="00AB36D9" w:rsidRPr="00AB36D9" w:rsidRDefault="00AB36D9" w:rsidP="00AB36D9">
      <w:r w:rsidRPr="00AB36D9">
        <w:lastRenderedPageBreak/>
        <w:t>Individual consumers may experience different price changes in their bills based on their unique circumstances including which distribution network they use, how much natural gas they consume and what type of offer they are on.</w:t>
      </w:r>
    </w:p>
    <w:p w:rsidR="00AB36D9" w:rsidRPr="005731FB" w:rsidRDefault="00AB36D9" w:rsidP="005731FB">
      <w:pPr>
        <w:pStyle w:val="Tabletitle"/>
      </w:pPr>
      <w:r w:rsidRPr="005731FB">
        <w:t xml:space="preserve">Graph </w:t>
      </w:r>
      <w:r w:rsidR="00C70009" w:rsidRPr="00DD08DF">
        <w:t>20</w:t>
      </w:r>
      <w:r w:rsidRPr="005731FB">
        <w:t>: Average price change for residential standing offers from March-April 2014 to January-February 2015 based on ACCC calculations of annual bills</w:t>
      </w:r>
    </w:p>
    <w:p w:rsidR="00AB36D9" w:rsidRPr="00AB36D9" w:rsidRDefault="00AB36D9" w:rsidP="00AB36D9">
      <w:r w:rsidRPr="00AB36D9">
        <w:rPr>
          <w:noProof/>
          <w:lang w:eastAsia="en-AU"/>
        </w:rPr>
        <w:drawing>
          <wp:inline distT="0" distB="0" distL="0" distR="0" wp14:anchorId="3496469B" wp14:editId="041F6B4C">
            <wp:extent cx="5731510" cy="2337917"/>
            <wp:effectExtent l="0" t="0" r="21590" b="24765"/>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AB36D9" w:rsidRPr="00AB36D9" w:rsidRDefault="00AB36D9" w:rsidP="00AB36D9">
      <w:r w:rsidRPr="00AB36D9">
        <w:t>The net effect of price changes from March-April 2014 to January-February 2015 has been an increase in the Australian Capital Territory, New South Wales, Queensland, South Australia and Tasmania. Over the period, increases in the wholesale price of</w:t>
      </w:r>
      <w:r w:rsidR="00A14172">
        <w:t xml:space="preserve"> natural</w:t>
      </w:r>
      <w:r w:rsidRPr="00AB36D9">
        <w:t xml:space="preserve"> gas and network costs have been the main factors leading to the overall average net increase in natural gas prices after the removal of the carbon tax. Tariff restructures by one retailer has also affected the average increase in New South Wales.</w:t>
      </w:r>
    </w:p>
    <w:p w:rsidR="00AB36D9" w:rsidRPr="00AB36D9" w:rsidRDefault="00AB36D9" w:rsidP="005731FB">
      <w:pPr>
        <w:pStyle w:val="Heading3"/>
      </w:pPr>
      <w:bookmarkStart w:id="27" w:name="_Toc417460231"/>
      <w:r w:rsidRPr="00AB36D9">
        <w:t>Assessment of removal of carbon tax component from retail gas prices</w:t>
      </w:r>
      <w:bookmarkEnd w:id="27"/>
    </w:p>
    <w:p w:rsidR="00AB36D9" w:rsidRPr="00AB36D9" w:rsidRDefault="00AB36D9" w:rsidP="00AB36D9">
      <w:pPr>
        <w:keepNext/>
        <w:keepLines/>
      </w:pPr>
      <w:r w:rsidRPr="00AB36D9">
        <w:t xml:space="preserve">As outlined in previous carbon tax price monitoring reports, the ACCC has obtained information from natural gas retailers through carbon tax removal substantiation notices, carbon tax removal substantiation statements, the collection of pricing data and other information obtained on a voluntary basis. This information was used to analyse the method and figures retailers used to calculate cost savings relating to the repeal of the carbon tax and assessing whether those savings have been passed back to consumers. </w:t>
      </w:r>
    </w:p>
    <w:p w:rsidR="00AB36D9" w:rsidRPr="00AB36D9" w:rsidRDefault="00AB36D9" w:rsidP="005731FB">
      <w:pPr>
        <w:pStyle w:val="Heading4"/>
      </w:pPr>
      <w:r w:rsidRPr="00AB36D9">
        <w:t>Identifying carbon tax repeal cost savings</w:t>
      </w:r>
    </w:p>
    <w:p w:rsidR="00AB36D9" w:rsidRPr="00AB36D9" w:rsidRDefault="00AB36D9" w:rsidP="00AB36D9">
      <w:r w:rsidRPr="00AB36D9">
        <w:t>The ACCC sought to ensure that:</w:t>
      </w:r>
    </w:p>
    <w:p w:rsidR="00AB36D9" w:rsidRPr="00AB36D9" w:rsidRDefault="00AB36D9" w:rsidP="005731FB">
      <w:pPr>
        <w:pStyle w:val="Bulletpoint"/>
      </w:pPr>
      <w:r w:rsidRPr="00AB36D9">
        <w:t>the methodology used by retailers to calculate the cost savings from the removal of the carbon tax was the same as that used to calculate the carbon tax component in retail prices when the carbon tax was introduced or when the carbon tax component was last adjusted, and</w:t>
      </w:r>
    </w:p>
    <w:p w:rsidR="00AB36D9" w:rsidRPr="00AB36D9" w:rsidRDefault="00AB36D9" w:rsidP="005731FB">
      <w:pPr>
        <w:pStyle w:val="Bulletpoint"/>
      </w:pPr>
      <w:r w:rsidRPr="00AB36D9">
        <w:t>the figures used in the calculation of the carbon tax repeal cost savings were the same as those used to determine the carbon tax component in retail prices at the last price adjustment prior to repeal. The ACCC also considered that if a retailer had any compliance costs related to the carbon tax repeal then these may be relevant to how the retailer adjusts its prices following the repeal.</w:t>
      </w:r>
    </w:p>
    <w:p w:rsidR="00AB36D9" w:rsidRPr="00AB36D9" w:rsidRDefault="00AB36D9" w:rsidP="00AB36D9">
      <w:r w:rsidRPr="00AB36D9">
        <w:t>The ACCC sought further information from a number of retailers to clarify the above issues.</w:t>
      </w:r>
    </w:p>
    <w:p w:rsidR="00AB36D9" w:rsidRPr="00AB36D9" w:rsidRDefault="00AB36D9" w:rsidP="00AB36D9">
      <w:r w:rsidRPr="00AB36D9">
        <w:t>Natural gas retailers identified savings to consumers on a dollar per gigajoule basis. This included the direct emissions liability (scope 1</w:t>
      </w:r>
      <w:r w:rsidR="00102C3E">
        <w:t xml:space="preserve"> carbon tax costs</w:t>
      </w:r>
      <w:r w:rsidRPr="00AB36D9">
        <w:t xml:space="preserve">) as well as the various </w:t>
      </w:r>
      <w:r w:rsidRPr="00AB36D9">
        <w:lastRenderedPageBreak/>
        <w:t>upstream liabilities that were passed through to the retailer (scope 3</w:t>
      </w:r>
      <w:r w:rsidR="00102C3E">
        <w:t xml:space="preserve"> carbon tax costs</w:t>
      </w:r>
      <w:r w:rsidRPr="00AB36D9">
        <w:t xml:space="preserve">) and the direct pass though of network carbon tax costs. Natural gas retailers advised that they used National Greenhouse and Energy Reporting (NGER) figures to generate the values for the scope 1 carbon tax costs. Scope 1 emissions have an identified set value across Australia. Some retailers also used NGER figures to calculate scope 3 emissions; however, others used their own monitoring to determine their scope 3 carbon tax costs. Scope 3 carbon tax costs vary between retailers, depending on which basins they source their gas from. </w:t>
      </w:r>
    </w:p>
    <w:p w:rsidR="00AB36D9" w:rsidRPr="00AB36D9" w:rsidRDefault="00AB36D9" w:rsidP="00AB36D9">
      <w:r w:rsidRPr="00AB36D9">
        <w:t>In New South Wales where natural gas standing offers are regulated, retailers indicated that they followed the pricing approved by the Independent Pricing and Regulatory Tribunal (IPART) for the incumbent retailer in each distribution zone before and after repeal.</w:t>
      </w:r>
    </w:p>
    <w:p w:rsidR="00AB36D9" w:rsidRPr="00AB36D9" w:rsidRDefault="00AB36D9" w:rsidP="00AB36D9">
      <w:r w:rsidRPr="00AB36D9">
        <w:t>Based on the information available, the ACCC is satisfied that retailers’ calculation of the carbon tax costs to be removed from prices after repeal corresponds to the carbon tax component that was included in prices prior to repeal, with a small adjustment for repeal implementation costs in some cases.</w:t>
      </w:r>
      <w:r w:rsidRPr="00AB36D9">
        <w:rPr>
          <w:vertAlign w:val="superscript"/>
        </w:rPr>
        <w:footnoteReference w:id="38"/>
      </w:r>
    </w:p>
    <w:p w:rsidR="00AB36D9" w:rsidRPr="00AB36D9" w:rsidRDefault="00AB36D9" w:rsidP="005731FB">
      <w:pPr>
        <w:pStyle w:val="Heading4"/>
      </w:pPr>
      <w:r w:rsidRPr="00AB36D9">
        <w:t>Reflecting carbon tax repeal cost savings in retail prices</w:t>
      </w:r>
    </w:p>
    <w:p w:rsidR="00AB36D9" w:rsidRPr="00AB36D9" w:rsidRDefault="00AB36D9" w:rsidP="00AB36D9">
      <w:r w:rsidRPr="00AB36D9">
        <w:t>Natural gas retailers have been providing quarterly pricing data which the ACCC used to assess whether the identified carbon tax costs have been removed from tariffs. Where possible, the ACCC compared the carbon tax repeal cost savings identified by retailers to actual price changes.</w:t>
      </w:r>
      <w:r w:rsidRPr="00AB36D9">
        <w:rPr>
          <w:vertAlign w:val="superscript"/>
        </w:rPr>
        <w:footnoteReference w:id="39"/>
      </w:r>
      <w:r w:rsidRPr="00AB36D9">
        <w:t xml:space="preserve"> The ACCC observed that the difference in actual prices reflected the carbon tax costs that retailers indicated were in the prices that prevailed prior to the repeal of the carbon tax (after adjustments for implementation costs where relevant).</w:t>
      </w:r>
    </w:p>
    <w:p w:rsidR="00AB36D9" w:rsidRPr="00AB36D9" w:rsidRDefault="00AB36D9" w:rsidP="00AB36D9">
      <w:r w:rsidRPr="00AB36D9">
        <w:t>Table</w:t>
      </w:r>
      <w:r w:rsidRPr="005731FB">
        <w:rPr>
          <w:rStyle w:val="Strong"/>
        </w:rPr>
        <w:t xml:space="preserve"> </w:t>
      </w:r>
      <w:r w:rsidRPr="00DD08DF">
        <w:rPr>
          <w:rStyle w:val="Strong"/>
          <w:b w:val="0"/>
        </w:rPr>
        <w:t>5</w:t>
      </w:r>
      <w:r w:rsidRPr="00AB36D9">
        <w:t xml:space="preserve"> below summarises the carbon tax repeal cost savings passed on to residential customers by natural gas retailers.</w:t>
      </w:r>
    </w:p>
    <w:p w:rsidR="00AB36D9" w:rsidRPr="005731FB" w:rsidRDefault="00AB36D9" w:rsidP="00AB36D9">
      <w:pPr>
        <w:keepNext/>
        <w:keepLines/>
        <w:spacing w:before="240" w:after="120"/>
        <w:rPr>
          <w:rStyle w:val="Strong"/>
        </w:rPr>
      </w:pPr>
      <w:r w:rsidRPr="005731FB">
        <w:rPr>
          <w:rStyle w:val="TabletitleChar"/>
        </w:rPr>
        <w:t xml:space="preserve">Table </w:t>
      </w:r>
      <w:r w:rsidRPr="00DD08DF">
        <w:rPr>
          <w:rStyle w:val="TabletitleChar"/>
        </w:rPr>
        <w:t>5</w:t>
      </w:r>
      <w:r w:rsidRPr="005731FB">
        <w:rPr>
          <w:rStyle w:val="TabletitleChar"/>
        </w:rPr>
        <w:t>: Carbon tax repeal cost savings passed on to natural gas customers</w:t>
      </w:r>
      <w:r w:rsidRPr="009847F6">
        <w:rPr>
          <w:szCs w:val="20"/>
          <w:vertAlign w:val="superscript"/>
        </w:rPr>
        <w:footnoteReference w:id="40"/>
      </w:r>
    </w:p>
    <w:tbl>
      <w:tblPr>
        <w:tblStyle w:val="LightShading1"/>
        <w:tblW w:w="6596" w:type="dxa"/>
        <w:jc w:val="center"/>
        <w:tblLook w:val="04A0" w:firstRow="1" w:lastRow="0" w:firstColumn="1" w:lastColumn="0" w:noHBand="0" w:noVBand="1"/>
      </w:tblPr>
      <w:tblGrid>
        <w:gridCol w:w="1526"/>
        <w:gridCol w:w="2535"/>
        <w:gridCol w:w="2535"/>
      </w:tblGrid>
      <w:tr w:rsidR="00AB36D9" w:rsidRPr="00AB36D9" w:rsidTr="00645FF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6" w:type="dxa"/>
          </w:tcPr>
          <w:p w:rsidR="00AB36D9" w:rsidRPr="00AB36D9" w:rsidRDefault="00AB36D9" w:rsidP="00645FF7">
            <w:pPr>
              <w:pStyle w:val="Tabletext"/>
              <w:jc w:val="center"/>
              <w:rPr>
                <w:lang w:eastAsia="en-AU"/>
              </w:rPr>
            </w:pPr>
            <w:r w:rsidRPr="00AB36D9">
              <w:rPr>
                <w:lang w:eastAsia="en-AU"/>
              </w:rPr>
              <w:t>State</w:t>
            </w:r>
          </w:p>
        </w:tc>
        <w:tc>
          <w:tcPr>
            <w:tcW w:w="2535" w:type="dxa"/>
          </w:tcPr>
          <w:p w:rsidR="00AB36D9" w:rsidRPr="00AB36D9" w:rsidRDefault="00AB36D9" w:rsidP="00645FF7">
            <w:pPr>
              <w:pStyle w:val="Tabletext"/>
              <w:jc w:val="center"/>
              <w:cnfStyle w:val="100000000000" w:firstRow="1" w:lastRow="0" w:firstColumn="0" w:lastColumn="0" w:oddVBand="0" w:evenVBand="0" w:oddHBand="0" w:evenHBand="0" w:firstRowFirstColumn="0" w:firstRowLastColumn="0" w:lastRowFirstColumn="0" w:lastRowLastColumn="0"/>
              <w:rPr>
                <w:lang w:eastAsia="en-AU"/>
              </w:rPr>
            </w:pPr>
            <w:r w:rsidRPr="00AB36D9">
              <w:rPr>
                <w:lang w:eastAsia="en-AU"/>
              </w:rPr>
              <w:t>Range (c/MJ)</w:t>
            </w:r>
          </w:p>
        </w:tc>
        <w:tc>
          <w:tcPr>
            <w:tcW w:w="2535" w:type="dxa"/>
          </w:tcPr>
          <w:p w:rsidR="00AB36D9" w:rsidRPr="00AB36D9" w:rsidRDefault="00AB36D9" w:rsidP="00645FF7">
            <w:pPr>
              <w:pStyle w:val="Tabletext"/>
              <w:jc w:val="center"/>
              <w:cnfStyle w:val="100000000000" w:firstRow="1" w:lastRow="0" w:firstColumn="0" w:lastColumn="0" w:oddVBand="0" w:evenVBand="0" w:oddHBand="0" w:evenHBand="0" w:firstRowFirstColumn="0" w:firstRowLastColumn="0" w:lastRowFirstColumn="0" w:lastRowLastColumn="0"/>
              <w:rPr>
                <w:lang w:eastAsia="en-AU"/>
              </w:rPr>
            </w:pPr>
            <w:r w:rsidRPr="00AB36D9">
              <w:rPr>
                <w:lang w:eastAsia="en-AU"/>
              </w:rPr>
              <w:t>Average (c/MJ)</w:t>
            </w:r>
          </w:p>
        </w:tc>
      </w:tr>
      <w:tr w:rsidR="00AB36D9" w:rsidRPr="00AB36D9" w:rsidTr="00645FF7">
        <w:trPr>
          <w:jc w:val="center"/>
        </w:trPr>
        <w:tc>
          <w:tcPr>
            <w:cnfStyle w:val="001000000000" w:firstRow="0" w:lastRow="0" w:firstColumn="1" w:lastColumn="0" w:oddVBand="0" w:evenVBand="0" w:oddHBand="0" w:evenHBand="0" w:firstRowFirstColumn="0" w:firstRowLastColumn="0" w:lastRowFirstColumn="0" w:lastRowLastColumn="0"/>
            <w:tcW w:w="1526" w:type="dxa"/>
          </w:tcPr>
          <w:p w:rsidR="00AB36D9" w:rsidRPr="00AB36D9" w:rsidRDefault="00AB36D9" w:rsidP="00645FF7">
            <w:pPr>
              <w:pStyle w:val="Tabletext"/>
              <w:jc w:val="center"/>
              <w:rPr>
                <w:lang w:eastAsia="en-AU"/>
              </w:rPr>
            </w:pPr>
            <w:r w:rsidRPr="00AB36D9">
              <w:rPr>
                <w:lang w:eastAsia="en-AU"/>
              </w:rPr>
              <w:t>NSW</w:t>
            </w:r>
          </w:p>
        </w:tc>
        <w:tc>
          <w:tcPr>
            <w:tcW w:w="2535" w:type="dxa"/>
          </w:tcPr>
          <w:p w:rsidR="00AB36D9" w:rsidRPr="00AB36D9" w:rsidRDefault="00AB36D9" w:rsidP="00645FF7">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AB36D9">
              <w:rPr>
                <w:lang w:eastAsia="en-AU"/>
              </w:rPr>
              <w:t>0.143 - 0.197</w:t>
            </w:r>
          </w:p>
        </w:tc>
        <w:tc>
          <w:tcPr>
            <w:tcW w:w="2535" w:type="dxa"/>
          </w:tcPr>
          <w:p w:rsidR="00AB36D9" w:rsidRPr="00AB36D9" w:rsidRDefault="00AB36D9" w:rsidP="00645FF7">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AB36D9">
              <w:rPr>
                <w:lang w:eastAsia="en-AU"/>
              </w:rPr>
              <w:t>0.179</w:t>
            </w:r>
          </w:p>
        </w:tc>
      </w:tr>
      <w:tr w:rsidR="00AB36D9" w:rsidRPr="00AB36D9" w:rsidTr="00645FF7">
        <w:trPr>
          <w:jc w:val="center"/>
        </w:trPr>
        <w:tc>
          <w:tcPr>
            <w:cnfStyle w:val="001000000000" w:firstRow="0" w:lastRow="0" w:firstColumn="1" w:lastColumn="0" w:oddVBand="0" w:evenVBand="0" w:oddHBand="0" w:evenHBand="0" w:firstRowFirstColumn="0" w:firstRowLastColumn="0" w:lastRowFirstColumn="0" w:lastRowLastColumn="0"/>
            <w:tcW w:w="1526" w:type="dxa"/>
          </w:tcPr>
          <w:p w:rsidR="00AB36D9" w:rsidRPr="00AB36D9" w:rsidRDefault="00AB36D9" w:rsidP="00645FF7">
            <w:pPr>
              <w:pStyle w:val="Tabletext"/>
              <w:jc w:val="center"/>
              <w:rPr>
                <w:lang w:eastAsia="en-AU"/>
              </w:rPr>
            </w:pPr>
            <w:r w:rsidRPr="00AB36D9">
              <w:rPr>
                <w:lang w:eastAsia="en-AU"/>
              </w:rPr>
              <w:t>VIC</w:t>
            </w:r>
          </w:p>
        </w:tc>
        <w:tc>
          <w:tcPr>
            <w:tcW w:w="2535" w:type="dxa"/>
          </w:tcPr>
          <w:p w:rsidR="00AB36D9" w:rsidRPr="00AB36D9" w:rsidRDefault="00AB36D9" w:rsidP="00645FF7">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AB36D9">
              <w:rPr>
                <w:lang w:eastAsia="en-AU"/>
              </w:rPr>
              <w:t>0.130 – 0.161</w:t>
            </w:r>
          </w:p>
        </w:tc>
        <w:tc>
          <w:tcPr>
            <w:tcW w:w="2535" w:type="dxa"/>
          </w:tcPr>
          <w:p w:rsidR="00AB36D9" w:rsidRPr="00AB36D9" w:rsidRDefault="00AB36D9" w:rsidP="00645FF7">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AB36D9">
              <w:rPr>
                <w:lang w:eastAsia="en-AU"/>
              </w:rPr>
              <w:t>0.147</w:t>
            </w:r>
          </w:p>
        </w:tc>
      </w:tr>
      <w:tr w:rsidR="00AB36D9" w:rsidRPr="00AB36D9" w:rsidTr="00645FF7">
        <w:trPr>
          <w:jc w:val="center"/>
        </w:trPr>
        <w:tc>
          <w:tcPr>
            <w:cnfStyle w:val="001000000000" w:firstRow="0" w:lastRow="0" w:firstColumn="1" w:lastColumn="0" w:oddVBand="0" w:evenVBand="0" w:oddHBand="0" w:evenHBand="0" w:firstRowFirstColumn="0" w:firstRowLastColumn="0" w:lastRowFirstColumn="0" w:lastRowLastColumn="0"/>
            <w:tcW w:w="1526" w:type="dxa"/>
          </w:tcPr>
          <w:p w:rsidR="00AB36D9" w:rsidRPr="00AB36D9" w:rsidRDefault="00AB36D9" w:rsidP="00645FF7">
            <w:pPr>
              <w:pStyle w:val="Tabletext"/>
              <w:jc w:val="center"/>
              <w:rPr>
                <w:lang w:eastAsia="en-AU"/>
              </w:rPr>
            </w:pPr>
            <w:r w:rsidRPr="00AB36D9">
              <w:rPr>
                <w:lang w:eastAsia="en-AU"/>
              </w:rPr>
              <w:t>SA</w:t>
            </w:r>
          </w:p>
        </w:tc>
        <w:tc>
          <w:tcPr>
            <w:tcW w:w="2535" w:type="dxa"/>
          </w:tcPr>
          <w:p w:rsidR="00AB36D9" w:rsidRPr="00AB36D9" w:rsidRDefault="00AB36D9" w:rsidP="00645FF7">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AB36D9">
              <w:rPr>
                <w:lang w:eastAsia="en-AU"/>
              </w:rPr>
              <w:t>0.142 – 0.212</w:t>
            </w:r>
          </w:p>
        </w:tc>
        <w:tc>
          <w:tcPr>
            <w:tcW w:w="2535" w:type="dxa"/>
          </w:tcPr>
          <w:p w:rsidR="00AB36D9" w:rsidRPr="00AB36D9" w:rsidRDefault="00AB36D9" w:rsidP="00645FF7">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AB36D9">
              <w:rPr>
                <w:lang w:eastAsia="en-AU"/>
              </w:rPr>
              <w:t>0.165</w:t>
            </w:r>
          </w:p>
        </w:tc>
      </w:tr>
      <w:tr w:rsidR="00AB36D9" w:rsidRPr="00AB36D9" w:rsidTr="00645FF7">
        <w:trPr>
          <w:jc w:val="center"/>
        </w:trPr>
        <w:tc>
          <w:tcPr>
            <w:cnfStyle w:val="001000000000" w:firstRow="0" w:lastRow="0" w:firstColumn="1" w:lastColumn="0" w:oddVBand="0" w:evenVBand="0" w:oddHBand="0" w:evenHBand="0" w:firstRowFirstColumn="0" w:firstRowLastColumn="0" w:lastRowFirstColumn="0" w:lastRowLastColumn="0"/>
            <w:tcW w:w="1526" w:type="dxa"/>
          </w:tcPr>
          <w:p w:rsidR="00AB36D9" w:rsidRPr="00AB36D9" w:rsidRDefault="00AB36D9" w:rsidP="00645FF7">
            <w:pPr>
              <w:pStyle w:val="Tabletext"/>
              <w:jc w:val="center"/>
              <w:rPr>
                <w:lang w:eastAsia="en-AU"/>
              </w:rPr>
            </w:pPr>
            <w:r w:rsidRPr="00AB36D9">
              <w:rPr>
                <w:lang w:eastAsia="en-AU"/>
              </w:rPr>
              <w:t>QLD</w:t>
            </w:r>
          </w:p>
        </w:tc>
        <w:tc>
          <w:tcPr>
            <w:tcW w:w="2535" w:type="dxa"/>
          </w:tcPr>
          <w:p w:rsidR="00AB36D9" w:rsidRPr="00AB36D9" w:rsidRDefault="00AB36D9" w:rsidP="00645FF7">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AB36D9">
              <w:rPr>
                <w:lang w:eastAsia="en-AU"/>
              </w:rPr>
              <w:t>0.149 – 0.163</w:t>
            </w:r>
          </w:p>
        </w:tc>
        <w:tc>
          <w:tcPr>
            <w:tcW w:w="2535" w:type="dxa"/>
          </w:tcPr>
          <w:p w:rsidR="00AB36D9" w:rsidRPr="00AB36D9" w:rsidRDefault="00AB36D9" w:rsidP="00645FF7">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AB36D9">
              <w:rPr>
                <w:lang w:eastAsia="en-AU"/>
              </w:rPr>
              <w:t>0.156</w:t>
            </w:r>
          </w:p>
        </w:tc>
      </w:tr>
      <w:tr w:rsidR="00AB36D9" w:rsidRPr="00AB36D9" w:rsidTr="00645FF7">
        <w:trPr>
          <w:jc w:val="center"/>
        </w:trPr>
        <w:tc>
          <w:tcPr>
            <w:cnfStyle w:val="001000000000" w:firstRow="0" w:lastRow="0" w:firstColumn="1" w:lastColumn="0" w:oddVBand="0" w:evenVBand="0" w:oddHBand="0" w:evenHBand="0" w:firstRowFirstColumn="0" w:firstRowLastColumn="0" w:lastRowFirstColumn="0" w:lastRowLastColumn="0"/>
            <w:tcW w:w="1526" w:type="dxa"/>
          </w:tcPr>
          <w:p w:rsidR="00AB36D9" w:rsidRPr="00AB36D9" w:rsidRDefault="00AB36D9" w:rsidP="00645FF7">
            <w:pPr>
              <w:pStyle w:val="Tabletext"/>
              <w:jc w:val="center"/>
              <w:rPr>
                <w:lang w:eastAsia="en-AU"/>
              </w:rPr>
            </w:pPr>
            <w:r w:rsidRPr="00AB36D9">
              <w:rPr>
                <w:lang w:eastAsia="en-AU"/>
              </w:rPr>
              <w:t>ACT</w:t>
            </w:r>
          </w:p>
        </w:tc>
        <w:tc>
          <w:tcPr>
            <w:tcW w:w="2535" w:type="dxa"/>
          </w:tcPr>
          <w:p w:rsidR="00AB36D9" w:rsidRPr="00AB36D9" w:rsidRDefault="00AB36D9" w:rsidP="00645FF7">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AB36D9">
              <w:rPr>
                <w:lang w:eastAsia="en-AU"/>
              </w:rPr>
              <w:t>0.188 – 0.199</w:t>
            </w:r>
          </w:p>
        </w:tc>
        <w:tc>
          <w:tcPr>
            <w:tcW w:w="2535" w:type="dxa"/>
          </w:tcPr>
          <w:p w:rsidR="00AB36D9" w:rsidRPr="00AB36D9" w:rsidRDefault="00AB36D9" w:rsidP="00645FF7">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AB36D9">
              <w:rPr>
                <w:lang w:eastAsia="en-AU"/>
              </w:rPr>
              <w:t>0.192</w:t>
            </w:r>
          </w:p>
        </w:tc>
      </w:tr>
      <w:tr w:rsidR="00AB36D9" w:rsidRPr="00AB36D9" w:rsidTr="00645FF7">
        <w:trPr>
          <w:jc w:val="center"/>
        </w:trPr>
        <w:tc>
          <w:tcPr>
            <w:cnfStyle w:val="001000000000" w:firstRow="0" w:lastRow="0" w:firstColumn="1" w:lastColumn="0" w:oddVBand="0" w:evenVBand="0" w:oddHBand="0" w:evenHBand="0" w:firstRowFirstColumn="0" w:firstRowLastColumn="0" w:lastRowFirstColumn="0" w:lastRowLastColumn="0"/>
            <w:tcW w:w="1526" w:type="dxa"/>
          </w:tcPr>
          <w:p w:rsidR="00AB36D9" w:rsidRPr="00AB36D9" w:rsidRDefault="00AB36D9" w:rsidP="00645FF7">
            <w:pPr>
              <w:pStyle w:val="Tabletext"/>
              <w:jc w:val="center"/>
              <w:rPr>
                <w:lang w:eastAsia="en-AU"/>
              </w:rPr>
            </w:pPr>
            <w:r w:rsidRPr="00AB36D9">
              <w:rPr>
                <w:lang w:eastAsia="en-AU"/>
              </w:rPr>
              <w:t>TAS</w:t>
            </w:r>
          </w:p>
        </w:tc>
        <w:tc>
          <w:tcPr>
            <w:tcW w:w="2535" w:type="dxa"/>
          </w:tcPr>
          <w:p w:rsidR="00AB36D9" w:rsidRPr="00AB36D9" w:rsidRDefault="00AB36D9" w:rsidP="00645FF7">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AB36D9">
              <w:rPr>
                <w:lang w:eastAsia="en-AU"/>
              </w:rPr>
              <w:t>0.142 – 0.158</w:t>
            </w:r>
          </w:p>
        </w:tc>
        <w:tc>
          <w:tcPr>
            <w:tcW w:w="2535" w:type="dxa"/>
          </w:tcPr>
          <w:p w:rsidR="00AB36D9" w:rsidRPr="00AB36D9" w:rsidRDefault="00AB36D9" w:rsidP="00645FF7">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AB36D9">
              <w:rPr>
                <w:lang w:eastAsia="en-AU"/>
              </w:rPr>
              <w:t>0.150</w:t>
            </w:r>
          </w:p>
        </w:tc>
      </w:tr>
      <w:tr w:rsidR="00AB36D9" w:rsidRPr="00AB36D9" w:rsidTr="00645FF7">
        <w:trPr>
          <w:jc w:val="center"/>
        </w:trPr>
        <w:tc>
          <w:tcPr>
            <w:cnfStyle w:val="001000000000" w:firstRow="0" w:lastRow="0" w:firstColumn="1" w:lastColumn="0" w:oddVBand="0" w:evenVBand="0" w:oddHBand="0" w:evenHBand="0" w:firstRowFirstColumn="0" w:firstRowLastColumn="0" w:lastRowFirstColumn="0" w:lastRowLastColumn="0"/>
            <w:tcW w:w="1526" w:type="dxa"/>
          </w:tcPr>
          <w:p w:rsidR="00AB36D9" w:rsidRPr="00AB36D9" w:rsidRDefault="00AB36D9" w:rsidP="00645FF7">
            <w:pPr>
              <w:pStyle w:val="Tabletext"/>
              <w:jc w:val="center"/>
              <w:rPr>
                <w:lang w:eastAsia="en-AU"/>
              </w:rPr>
            </w:pPr>
            <w:r w:rsidRPr="00AB36D9">
              <w:rPr>
                <w:lang w:eastAsia="en-AU"/>
              </w:rPr>
              <w:t>WA</w:t>
            </w:r>
          </w:p>
        </w:tc>
        <w:tc>
          <w:tcPr>
            <w:tcW w:w="2535" w:type="dxa"/>
          </w:tcPr>
          <w:p w:rsidR="00AB36D9" w:rsidRPr="00AB36D9" w:rsidRDefault="00AB36D9" w:rsidP="00645FF7">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AB36D9">
              <w:rPr>
                <w:lang w:eastAsia="en-AU"/>
              </w:rPr>
              <w:t>0.158 – 0.170</w:t>
            </w:r>
          </w:p>
        </w:tc>
        <w:tc>
          <w:tcPr>
            <w:tcW w:w="2535" w:type="dxa"/>
          </w:tcPr>
          <w:p w:rsidR="00AB36D9" w:rsidRPr="00AB36D9" w:rsidRDefault="00AB36D9" w:rsidP="00645FF7">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AB36D9">
              <w:rPr>
                <w:lang w:eastAsia="en-AU"/>
              </w:rPr>
              <w:t>0.164</w:t>
            </w:r>
          </w:p>
        </w:tc>
      </w:tr>
    </w:tbl>
    <w:p w:rsidR="00AB36D9" w:rsidRPr="00AB36D9" w:rsidRDefault="00AB36D9" w:rsidP="00AB36D9">
      <w:r w:rsidRPr="00AB36D9">
        <w:lastRenderedPageBreak/>
        <w:t>To illustrate the impact of the above carbon tax repeal cost savings on customers, the ACCC has calculated estimated average annual cost savings and percentage savings based on the retailers’ standing offers</w:t>
      </w:r>
      <w:bookmarkStart w:id="28" w:name="_Ref416774102"/>
      <w:r w:rsidRPr="00AB36D9">
        <w:rPr>
          <w:vertAlign w:val="superscript"/>
        </w:rPr>
        <w:footnoteReference w:id="41"/>
      </w:r>
      <w:bookmarkEnd w:id="28"/>
      <w:r w:rsidRPr="00AB36D9">
        <w:t xml:space="preserve"> and typical consumption values per jurisdictions.</w:t>
      </w:r>
      <w:bookmarkStart w:id="29" w:name="_Ref416774108"/>
      <w:r w:rsidRPr="00AB36D9">
        <w:rPr>
          <w:vertAlign w:val="superscript"/>
        </w:rPr>
        <w:footnoteReference w:id="42"/>
      </w:r>
      <w:bookmarkEnd w:id="29"/>
      <w:r w:rsidRPr="00AB36D9">
        <w:t xml:space="preserve"> </w:t>
      </w:r>
    </w:p>
    <w:p w:rsidR="00AB36D9" w:rsidRPr="00AB36D9" w:rsidRDefault="00AB36D9" w:rsidP="00AB36D9">
      <w:r w:rsidRPr="00AB36D9">
        <w:t xml:space="preserve">The estimated carbon tax repeal cost savings and percentage savings based on retailers’ standing offers are set out in Graphs </w:t>
      </w:r>
      <w:r w:rsidRPr="00DD08DF">
        <w:rPr>
          <w:rStyle w:val="Strong"/>
          <w:b w:val="0"/>
        </w:rPr>
        <w:t>2</w:t>
      </w:r>
      <w:r w:rsidR="00C70009" w:rsidRPr="00DD08DF">
        <w:rPr>
          <w:rStyle w:val="Strong"/>
          <w:b w:val="0"/>
        </w:rPr>
        <w:t>1</w:t>
      </w:r>
      <w:r w:rsidRPr="00AB36D9">
        <w:t xml:space="preserve"> and </w:t>
      </w:r>
      <w:r w:rsidRPr="00DD08DF">
        <w:rPr>
          <w:rStyle w:val="Strong"/>
          <w:b w:val="0"/>
        </w:rPr>
        <w:t>2</w:t>
      </w:r>
      <w:r w:rsidR="00C70009" w:rsidRPr="00DD08DF">
        <w:rPr>
          <w:rStyle w:val="Strong"/>
          <w:b w:val="0"/>
        </w:rPr>
        <w:t>2</w:t>
      </w:r>
      <w:r w:rsidRPr="00AB36D9">
        <w:t xml:space="preserve"> below. Typical consumption values vary markedly between jurisdictions and is a key factor affecting the value of carbon tax repeal cost savings. </w:t>
      </w:r>
    </w:p>
    <w:p w:rsidR="00AB36D9" w:rsidRPr="005731FB" w:rsidRDefault="00AB36D9" w:rsidP="005731FB">
      <w:pPr>
        <w:pStyle w:val="Tabletitle"/>
      </w:pPr>
      <w:r w:rsidRPr="005731FB">
        <w:t xml:space="preserve">Graph </w:t>
      </w:r>
      <w:r w:rsidRPr="00DD08DF">
        <w:t>2</w:t>
      </w:r>
      <w:r w:rsidR="00C70009" w:rsidRPr="00DD08DF">
        <w:t>1</w:t>
      </w:r>
      <w:r w:rsidRPr="005731FB">
        <w:t>: Estimated average carbon tax repeal cost savings for typical state consumption values</w:t>
      </w:r>
    </w:p>
    <w:p w:rsidR="00AB36D9" w:rsidRPr="00AB36D9" w:rsidRDefault="00AB36D9" w:rsidP="009847F6">
      <w:r w:rsidRPr="00AB36D9">
        <w:rPr>
          <w:noProof/>
          <w:lang w:eastAsia="en-AU"/>
        </w:rPr>
        <w:drawing>
          <wp:inline distT="0" distB="0" distL="0" distR="0" wp14:anchorId="446404EC" wp14:editId="4C1DA20F">
            <wp:extent cx="5731510" cy="2741985"/>
            <wp:effectExtent l="0" t="0" r="21590" b="2032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AB36D9" w:rsidRPr="005731FB" w:rsidRDefault="00AB36D9" w:rsidP="005731FB">
      <w:pPr>
        <w:pStyle w:val="Tabletitle"/>
      </w:pPr>
      <w:r w:rsidRPr="005731FB">
        <w:lastRenderedPageBreak/>
        <w:t xml:space="preserve">Graph </w:t>
      </w:r>
      <w:r w:rsidRPr="00DD08DF">
        <w:t>2</w:t>
      </w:r>
      <w:r w:rsidR="00C70009" w:rsidRPr="00DD08DF">
        <w:t>2</w:t>
      </w:r>
      <w:r w:rsidRPr="005731FB">
        <w:t>: Estimated percentage carbon tax repeal cost savings for typical state consumption values</w:t>
      </w:r>
    </w:p>
    <w:p w:rsidR="00AB36D9" w:rsidRPr="00AB36D9" w:rsidRDefault="007438F4" w:rsidP="00AB36D9">
      <w:pPr>
        <w:keepNext/>
        <w:keepLines/>
      </w:pPr>
      <w:r>
        <w:rPr>
          <w:noProof/>
          <w:lang w:eastAsia="en-AU"/>
        </w:rPr>
        <w:drawing>
          <wp:inline distT="0" distB="0" distL="0" distR="0" wp14:anchorId="154BEB37" wp14:editId="4655D069">
            <wp:extent cx="5731510" cy="2715732"/>
            <wp:effectExtent l="0" t="0" r="21590" b="2794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AB36D9" w:rsidRPr="00AB36D9" w:rsidRDefault="00AB36D9" w:rsidP="005731FB">
      <w:pPr>
        <w:pStyle w:val="Heading4"/>
      </w:pPr>
      <w:r w:rsidRPr="00AB36D9">
        <w:t>Conclusion</w:t>
      </w:r>
    </w:p>
    <w:p w:rsidR="00AB36D9" w:rsidRPr="00AB36D9" w:rsidRDefault="00AB36D9" w:rsidP="00AB36D9">
      <w:r w:rsidRPr="00AB36D9">
        <w:t>On the information available, the ACCC is satisfied that retailers have passed on all of the carbon tax repeal cost savings received to consumers.</w:t>
      </w:r>
    </w:p>
    <w:p w:rsidR="00AB36D9" w:rsidRPr="00AB36D9" w:rsidRDefault="00AB36D9" w:rsidP="005C22A4">
      <w:pPr>
        <w:pStyle w:val="Heading3"/>
      </w:pPr>
      <w:bookmarkStart w:id="30" w:name="_Toc417460232"/>
      <w:r w:rsidRPr="00AB36D9">
        <w:t>Overview of retail price movements since January 2012</w:t>
      </w:r>
      <w:bookmarkEnd w:id="30"/>
      <w:r w:rsidRPr="00AB36D9">
        <w:t xml:space="preserve"> </w:t>
      </w:r>
    </w:p>
    <w:p w:rsidR="00AB36D9" w:rsidRPr="00AB36D9" w:rsidRDefault="00AB36D9" w:rsidP="00AB36D9">
      <w:pPr>
        <w:keepNext/>
        <w:keepLines/>
      </w:pPr>
      <w:r w:rsidRPr="00AB36D9">
        <w:t xml:space="preserve">As with electricity, the analysis of residential price movements from January 2012 to January 2015 seeks to illustrate consumers’ experience with natural gas prices over the period of the carbon tax and its repeal, and the contribution of the carbon tax and other factors to changes in prices over the period. </w:t>
      </w:r>
    </w:p>
    <w:p w:rsidR="00AB36D9" w:rsidRPr="00AB36D9" w:rsidRDefault="00AB36D9" w:rsidP="00AB36D9">
      <w:pPr>
        <w:keepNext/>
        <w:keepLines/>
      </w:pPr>
      <w:r w:rsidRPr="00AB36D9">
        <w:t xml:space="preserve">The ACCC commissioned Alviss Consulting to conduct research into residential natural gas pricing over the period of the carbon tax and its repeal. </w:t>
      </w:r>
    </w:p>
    <w:p w:rsidR="00AB36D9" w:rsidRPr="00AB36D9" w:rsidRDefault="00AB36D9" w:rsidP="00AB36D9">
      <w:r w:rsidRPr="00AB36D9">
        <w:t xml:space="preserve">Graph </w:t>
      </w:r>
      <w:r w:rsidRPr="00DD08DF">
        <w:rPr>
          <w:rStyle w:val="Strong"/>
          <w:b w:val="0"/>
        </w:rPr>
        <w:t>2</w:t>
      </w:r>
      <w:r w:rsidR="00C70009" w:rsidRPr="00DD08DF">
        <w:rPr>
          <w:rStyle w:val="Strong"/>
          <w:b w:val="0"/>
        </w:rPr>
        <w:t>3</w:t>
      </w:r>
      <w:r w:rsidRPr="00AB36D9">
        <w:t xml:space="preserve"> below shows average annual bills calculated using a consumption value of 40GJ per year. It is worth noting that prices vary substantially between jurisdictions.</w:t>
      </w:r>
    </w:p>
    <w:p w:rsidR="00AB36D9" w:rsidRPr="005731FB" w:rsidRDefault="00AB36D9" w:rsidP="005731FB">
      <w:pPr>
        <w:pStyle w:val="Tabletitle"/>
      </w:pPr>
      <w:r w:rsidRPr="005731FB">
        <w:lastRenderedPageBreak/>
        <w:t xml:space="preserve">Graph </w:t>
      </w:r>
      <w:r w:rsidRPr="00DD08DF">
        <w:t>2</w:t>
      </w:r>
      <w:r w:rsidR="00C70009" w:rsidRPr="00DD08DF">
        <w:t>3</w:t>
      </w:r>
      <w:r w:rsidRPr="005731FB">
        <w:t xml:space="preserve"> – Natural gas prices ($) January 2012 to January 2015 as annual bills by jurisdiction for households consuming 40GJ per annum</w:t>
      </w:r>
    </w:p>
    <w:p w:rsidR="00AB36D9" w:rsidRPr="00AB36D9" w:rsidRDefault="00AB36D9" w:rsidP="00645FF7">
      <w:pPr>
        <w:jc w:val="center"/>
      </w:pPr>
      <w:r w:rsidRPr="00AB36D9">
        <w:rPr>
          <w:noProof/>
          <w:lang w:eastAsia="en-AU"/>
        </w:rPr>
        <w:drawing>
          <wp:inline distT="0" distB="0" distL="0" distR="0" wp14:anchorId="2C19A3B9" wp14:editId="6EAAAED8">
            <wp:extent cx="4581525" cy="3086100"/>
            <wp:effectExtent l="0" t="0" r="9525" b="1905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AB36D9" w:rsidRPr="005731FB" w:rsidRDefault="00AB36D9" w:rsidP="0016090E">
      <w:pPr>
        <w:pStyle w:val="Source"/>
        <w:jc w:val="center"/>
      </w:pPr>
      <w:r w:rsidRPr="005731FB">
        <w:t>Source: Alviss Consulting, March</w:t>
      </w:r>
      <w:r w:rsidRPr="009847F6">
        <w:t xml:space="preserve"> </w:t>
      </w:r>
      <w:r w:rsidRPr="005731FB">
        <w:t>2015</w:t>
      </w:r>
    </w:p>
    <w:p w:rsidR="00AB36D9" w:rsidRPr="00AB36D9" w:rsidRDefault="00AB36D9" w:rsidP="00AB36D9">
      <w:r w:rsidRPr="00AB36D9">
        <w:t>The impact of the introduction and subsequent removal of the carbon tax is visible. However, the introduction of the carbon tax coincided with a regular price change in many jurisdictions. As noted above, retailers adjusted prices for the removal of the carbon tax at different times.</w:t>
      </w:r>
    </w:p>
    <w:p w:rsidR="00AB36D9" w:rsidRPr="005731FB" w:rsidRDefault="00AB36D9" w:rsidP="005C22A4">
      <w:pPr>
        <w:pStyle w:val="Tabletitle"/>
        <w:keepLines/>
      </w:pPr>
      <w:r w:rsidRPr="005731FB">
        <w:lastRenderedPageBreak/>
        <w:t xml:space="preserve">Graph </w:t>
      </w:r>
      <w:r w:rsidRPr="00DD08DF">
        <w:t>2</w:t>
      </w:r>
      <w:r w:rsidR="00C70009" w:rsidRPr="00DD08DF">
        <w:t>4</w:t>
      </w:r>
      <w:r w:rsidRPr="005731FB">
        <w:t xml:space="preserve"> – Six monthly changes (%) to annual gas bill by jurisdiction for households consuming 40GJ per annum</w:t>
      </w:r>
    </w:p>
    <w:p w:rsidR="00AB36D9" w:rsidRPr="00AB36D9" w:rsidRDefault="00AB36D9" w:rsidP="005C22A4">
      <w:pPr>
        <w:keepNext/>
        <w:keepLines/>
        <w:jc w:val="center"/>
      </w:pPr>
      <w:r w:rsidRPr="00AB36D9">
        <w:rPr>
          <w:noProof/>
          <w:lang w:eastAsia="en-AU"/>
        </w:rPr>
        <w:drawing>
          <wp:inline distT="0" distB="0" distL="0" distR="0" wp14:anchorId="5861095B" wp14:editId="1DB0DD8C">
            <wp:extent cx="4546121" cy="3761117"/>
            <wp:effectExtent l="0" t="0" r="26035" b="10795"/>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AB36D9" w:rsidRPr="00F62389" w:rsidRDefault="00AB36D9" w:rsidP="005C22A4">
      <w:pPr>
        <w:pStyle w:val="Source"/>
        <w:keepNext/>
        <w:keepLines/>
        <w:jc w:val="center"/>
      </w:pPr>
      <w:r w:rsidRPr="00F62389">
        <w:t>Source: Alviss Consulting, March</w:t>
      </w:r>
      <w:r w:rsidRPr="009847F6">
        <w:t xml:space="preserve"> </w:t>
      </w:r>
      <w:r w:rsidRPr="00F62389">
        <w:t>2015</w:t>
      </w:r>
    </w:p>
    <w:p w:rsidR="00AB36D9" w:rsidRPr="00AB36D9" w:rsidRDefault="00AB36D9" w:rsidP="00AB36D9">
      <w:r w:rsidRPr="00AB36D9">
        <w:t xml:space="preserve">Consistent with the ACCC’s findings, Graph </w:t>
      </w:r>
      <w:r w:rsidRPr="00DD08DF">
        <w:rPr>
          <w:rStyle w:val="Strong"/>
          <w:b w:val="0"/>
        </w:rPr>
        <w:t>2</w:t>
      </w:r>
      <w:r w:rsidR="00C70009" w:rsidRPr="00DD08DF">
        <w:rPr>
          <w:rStyle w:val="Strong"/>
          <w:b w:val="0"/>
        </w:rPr>
        <w:t>4</w:t>
      </w:r>
      <w:r w:rsidRPr="005731FB">
        <w:rPr>
          <w:rStyle w:val="Strong"/>
        </w:rPr>
        <w:t xml:space="preserve"> </w:t>
      </w:r>
      <w:r w:rsidRPr="00AB36D9">
        <w:t>above shows that on average,</w:t>
      </w:r>
      <w:r w:rsidR="00102C3E">
        <w:t xml:space="preserve"> natural</w:t>
      </w:r>
      <w:r w:rsidRPr="00AB36D9">
        <w:t xml:space="preserve"> gas bills decreased between July and October 2014 in all jurisdictions. The values in this graph may not always be comparable to the values in Graph </w:t>
      </w:r>
      <w:r w:rsidRPr="00DD08DF">
        <w:rPr>
          <w:rStyle w:val="Strong"/>
          <w:b w:val="0"/>
        </w:rPr>
        <w:t>1</w:t>
      </w:r>
      <w:r w:rsidR="00C70009" w:rsidRPr="00DD08DF">
        <w:rPr>
          <w:rStyle w:val="Strong"/>
          <w:b w:val="0"/>
        </w:rPr>
        <w:t>9</w:t>
      </w:r>
      <w:r w:rsidRPr="00AB36D9">
        <w:t xml:space="preserve"> above as they are based on different data sources. In addition, Alviss Consulting collected data in January and July each year and October 2014, whereas the ACCC’s data reflects prices as at March-April 2014, July-August 2014, October 2014 and January-February 2015.</w:t>
      </w:r>
    </w:p>
    <w:p w:rsidR="00AB36D9" w:rsidRPr="00AB36D9" w:rsidRDefault="00AB36D9" w:rsidP="00F62389">
      <w:pPr>
        <w:pStyle w:val="Heading4"/>
      </w:pPr>
      <w:r w:rsidRPr="00AB36D9">
        <w:t xml:space="preserve">Analysis of price movements by jurisdictions </w:t>
      </w:r>
    </w:p>
    <w:p w:rsidR="00AB36D9" w:rsidRPr="00AB36D9" w:rsidRDefault="00102C3E" w:rsidP="00AB36D9">
      <w:r>
        <w:t>Natural g</w:t>
      </w:r>
      <w:r w:rsidR="00AB36D9" w:rsidRPr="00AB36D9">
        <w:t xml:space="preserve">as consumption varies markedly between jurisdictions. To better illustrate the impact of natural gas price changes on consumer bills, an analysis of natural gas price movements has been undertaken based on typical consumption levels for households in each state. The typical consumption levels used are set out in Table </w:t>
      </w:r>
      <w:r w:rsidR="00AB36D9" w:rsidRPr="00DD08DF">
        <w:rPr>
          <w:rStyle w:val="Strong"/>
          <w:b w:val="0"/>
        </w:rPr>
        <w:t>6</w:t>
      </w:r>
      <w:r w:rsidR="00AB36D9" w:rsidRPr="00AB36D9">
        <w:t xml:space="preserve"> below.</w:t>
      </w:r>
    </w:p>
    <w:p w:rsidR="00AB36D9" w:rsidRPr="00F62389" w:rsidRDefault="00AB36D9" w:rsidP="00F62389">
      <w:pPr>
        <w:pStyle w:val="Tabletitle"/>
      </w:pPr>
      <w:r w:rsidRPr="00F62389">
        <w:t xml:space="preserve">Table </w:t>
      </w:r>
      <w:r w:rsidRPr="00DD08DF">
        <w:t>6</w:t>
      </w:r>
      <w:r w:rsidRPr="00F62389">
        <w:t>: Typical annual gas consumption per households (GJ)</w:t>
      </w:r>
    </w:p>
    <w:tbl>
      <w:tblPr>
        <w:tblStyle w:val="LightShading1"/>
        <w:tblW w:w="0" w:type="auto"/>
        <w:jc w:val="center"/>
        <w:tblLook w:val="0420" w:firstRow="1" w:lastRow="0" w:firstColumn="0" w:lastColumn="0" w:noHBand="0" w:noVBand="1"/>
      </w:tblPr>
      <w:tblGrid>
        <w:gridCol w:w="1027"/>
        <w:gridCol w:w="1027"/>
        <w:gridCol w:w="1027"/>
        <w:gridCol w:w="1027"/>
        <w:gridCol w:w="1027"/>
        <w:gridCol w:w="1027"/>
      </w:tblGrid>
      <w:tr w:rsidR="00AB36D9" w:rsidRPr="00AB36D9" w:rsidTr="00645FF7">
        <w:trPr>
          <w:cnfStyle w:val="100000000000" w:firstRow="1" w:lastRow="0" w:firstColumn="0" w:lastColumn="0" w:oddVBand="0" w:evenVBand="0" w:oddHBand="0" w:evenHBand="0" w:firstRowFirstColumn="0" w:firstRowLastColumn="0" w:lastRowFirstColumn="0" w:lastRowLastColumn="0"/>
          <w:jc w:val="center"/>
        </w:trPr>
        <w:tc>
          <w:tcPr>
            <w:tcW w:w="1027" w:type="dxa"/>
          </w:tcPr>
          <w:p w:rsidR="00AB36D9" w:rsidRPr="00AB36D9" w:rsidRDefault="00AB36D9" w:rsidP="00645FF7">
            <w:pPr>
              <w:pStyle w:val="Tabletext"/>
              <w:jc w:val="center"/>
            </w:pPr>
            <w:r w:rsidRPr="00AB36D9">
              <w:t>QLD</w:t>
            </w:r>
          </w:p>
        </w:tc>
        <w:tc>
          <w:tcPr>
            <w:tcW w:w="1027" w:type="dxa"/>
          </w:tcPr>
          <w:p w:rsidR="00AB36D9" w:rsidRPr="00AB36D9" w:rsidRDefault="00AB36D9" w:rsidP="00645FF7">
            <w:pPr>
              <w:pStyle w:val="Tabletext"/>
              <w:jc w:val="center"/>
            </w:pPr>
            <w:r w:rsidRPr="00AB36D9">
              <w:t>NSW</w:t>
            </w:r>
          </w:p>
        </w:tc>
        <w:tc>
          <w:tcPr>
            <w:tcW w:w="1027" w:type="dxa"/>
          </w:tcPr>
          <w:p w:rsidR="00AB36D9" w:rsidRPr="00AB36D9" w:rsidRDefault="00AB36D9" w:rsidP="00645FF7">
            <w:pPr>
              <w:pStyle w:val="Tabletext"/>
              <w:jc w:val="center"/>
            </w:pPr>
            <w:r w:rsidRPr="00AB36D9">
              <w:t>SA</w:t>
            </w:r>
          </w:p>
        </w:tc>
        <w:tc>
          <w:tcPr>
            <w:tcW w:w="1027" w:type="dxa"/>
          </w:tcPr>
          <w:p w:rsidR="00AB36D9" w:rsidRPr="00AB36D9" w:rsidRDefault="00AB36D9" w:rsidP="00645FF7">
            <w:pPr>
              <w:pStyle w:val="Tabletext"/>
              <w:jc w:val="center"/>
            </w:pPr>
            <w:r w:rsidRPr="00AB36D9">
              <w:t>ACT</w:t>
            </w:r>
          </w:p>
        </w:tc>
        <w:tc>
          <w:tcPr>
            <w:tcW w:w="1027" w:type="dxa"/>
          </w:tcPr>
          <w:p w:rsidR="00AB36D9" w:rsidRPr="00AB36D9" w:rsidRDefault="00AB36D9" w:rsidP="00645FF7">
            <w:pPr>
              <w:pStyle w:val="Tabletext"/>
              <w:jc w:val="center"/>
            </w:pPr>
            <w:r w:rsidRPr="00AB36D9">
              <w:t>TAS</w:t>
            </w:r>
          </w:p>
        </w:tc>
        <w:tc>
          <w:tcPr>
            <w:tcW w:w="1027" w:type="dxa"/>
          </w:tcPr>
          <w:p w:rsidR="00AB36D9" w:rsidRPr="00AB36D9" w:rsidRDefault="00AB36D9" w:rsidP="00645FF7">
            <w:pPr>
              <w:pStyle w:val="Tabletext"/>
              <w:jc w:val="center"/>
            </w:pPr>
            <w:r w:rsidRPr="00AB36D9">
              <w:t>VIC</w:t>
            </w:r>
          </w:p>
        </w:tc>
      </w:tr>
      <w:tr w:rsidR="00AB36D9" w:rsidRPr="00AB36D9" w:rsidTr="00645FF7">
        <w:trPr>
          <w:jc w:val="center"/>
        </w:trPr>
        <w:tc>
          <w:tcPr>
            <w:tcW w:w="1027" w:type="dxa"/>
          </w:tcPr>
          <w:p w:rsidR="00AB36D9" w:rsidRPr="00425F3B" w:rsidRDefault="00AB36D9" w:rsidP="00645FF7">
            <w:pPr>
              <w:pStyle w:val="Tabletext"/>
              <w:jc w:val="center"/>
            </w:pPr>
            <w:r w:rsidRPr="00425F3B">
              <w:t>10</w:t>
            </w:r>
          </w:p>
        </w:tc>
        <w:tc>
          <w:tcPr>
            <w:tcW w:w="1027" w:type="dxa"/>
          </w:tcPr>
          <w:p w:rsidR="00AB36D9" w:rsidRPr="00AB36D9" w:rsidRDefault="00AB36D9" w:rsidP="00645FF7">
            <w:pPr>
              <w:pStyle w:val="Tabletext"/>
              <w:jc w:val="center"/>
            </w:pPr>
            <w:r w:rsidRPr="00AB36D9">
              <w:t>20</w:t>
            </w:r>
          </w:p>
        </w:tc>
        <w:tc>
          <w:tcPr>
            <w:tcW w:w="1027" w:type="dxa"/>
          </w:tcPr>
          <w:p w:rsidR="00AB36D9" w:rsidRPr="00AB36D9" w:rsidRDefault="00AB36D9" w:rsidP="00645FF7">
            <w:pPr>
              <w:pStyle w:val="Tabletext"/>
              <w:jc w:val="center"/>
            </w:pPr>
            <w:r w:rsidRPr="00AB36D9">
              <w:t>20</w:t>
            </w:r>
          </w:p>
        </w:tc>
        <w:tc>
          <w:tcPr>
            <w:tcW w:w="1027" w:type="dxa"/>
          </w:tcPr>
          <w:p w:rsidR="00AB36D9" w:rsidRPr="00AB36D9" w:rsidRDefault="00AB36D9" w:rsidP="00645FF7">
            <w:pPr>
              <w:pStyle w:val="Tabletext"/>
              <w:jc w:val="center"/>
            </w:pPr>
            <w:r w:rsidRPr="00AB36D9">
              <w:t>40</w:t>
            </w:r>
          </w:p>
        </w:tc>
        <w:tc>
          <w:tcPr>
            <w:tcW w:w="1027" w:type="dxa"/>
          </w:tcPr>
          <w:p w:rsidR="00AB36D9" w:rsidRPr="00AB36D9" w:rsidRDefault="00AB36D9" w:rsidP="00645FF7">
            <w:pPr>
              <w:pStyle w:val="Tabletext"/>
              <w:jc w:val="center"/>
            </w:pPr>
            <w:r w:rsidRPr="00AB36D9">
              <w:t>40</w:t>
            </w:r>
          </w:p>
        </w:tc>
        <w:tc>
          <w:tcPr>
            <w:tcW w:w="1027" w:type="dxa"/>
          </w:tcPr>
          <w:p w:rsidR="00AB36D9" w:rsidRPr="00AB36D9" w:rsidRDefault="00AB36D9" w:rsidP="00645FF7">
            <w:pPr>
              <w:pStyle w:val="Tabletext"/>
              <w:jc w:val="center"/>
            </w:pPr>
            <w:r w:rsidRPr="00AB36D9">
              <w:t>60</w:t>
            </w:r>
          </w:p>
        </w:tc>
      </w:tr>
    </w:tbl>
    <w:p w:rsidR="00AB36D9" w:rsidRPr="00F62389" w:rsidRDefault="00AB36D9" w:rsidP="00645FF7">
      <w:pPr>
        <w:pStyle w:val="Source"/>
        <w:jc w:val="center"/>
      </w:pPr>
      <w:r w:rsidRPr="00F62389">
        <w:t>Source: Alviss Consulting, March</w:t>
      </w:r>
      <w:r w:rsidRPr="009847F6">
        <w:t xml:space="preserve"> </w:t>
      </w:r>
      <w:r w:rsidRPr="00F62389">
        <w:t>2015</w:t>
      </w:r>
    </w:p>
    <w:p w:rsidR="00AB36D9" w:rsidRPr="00AB36D9" w:rsidRDefault="00AB36D9" w:rsidP="00AB36D9">
      <w:r w:rsidRPr="00AB36D9">
        <w:t>The following graphs show annual bills for regulated, standing and market offers from January 2012 to January 2015 for the NEM jurisdictions, using the above typical consumption levels.</w:t>
      </w:r>
    </w:p>
    <w:p w:rsidR="00AB36D9" w:rsidRPr="00AB36D9" w:rsidRDefault="00AB36D9" w:rsidP="00AB36D9">
      <w:r w:rsidRPr="00AB36D9">
        <w:t>Of the NEM jurisdictions, only New South Wales currently regulates residential retail</w:t>
      </w:r>
      <w:r w:rsidR="00102C3E">
        <w:t xml:space="preserve"> natural</w:t>
      </w:r>
      <w:r w:rsidRPr="00AB36D9">
        <w:t xml:space="preserve"> gas prices. In Victoria and South Australia, retailers are required to publish natural gas </w:t>
      </w:r>
      <w:r w:rsidRPr="00AB36D9">
        <w:lastRenderedPageBreak/>
        <w:t>standing offer rates. New South Wales, Victoria, South Australia, Queensland, Tasmania and the Australian Capital Territory all have more than one retailer offering</w:t>
      </w:r>
      <w:r w:rsidR="00102C3E">
        <w:t xml:space="preserve"> natural</w:t>
      </w:r>
      <w:r w:rsidRPr="00AB36D9">
        <w:t xml:space="preserve"> gas market offers to residential customers. As Queensland, Tasmania and the Australian Capital Territory do not have either regulated prices or requirements to publish a standing offer, any </w:t>
      </w:r>
      <w:r w:rsidR="00102C3E">
        <w:t xml:space="preserve">natural </w:t>
      </w:r>
      <w:r w:rsidRPr="00AB36D9">
        <w:t>gas offers by retailers are classified as market offers by Alviss Consulting. The average market offer bills in the graphs below include guaranteed discounts.</w:t>
      </w:r>
    </w:p>
    <w:p w:rsidR="00AB36D9" w:rsidRPr="00AB36D9" w:rsidRDefault="00AB36D9" w:rsidP="00AB36D9">
      <w:r w:rsidRPr="00AB36D9">
        <w:t>The graphs clearly show an increase in natural gas prices in July 2012 when the carbon tax was introduced. However, the introduction of the carbon tax coincided with annual price adjustments in the Australian Capital Territory, New South Wales, Queensland and South Australia. In particular, network costs increased in these jurisdictions in July 2012 and have continued to rise over the past two years.</w:t>
      </w:r>
    </w:p>
    <w:p w:rsidR="00AB36D9" w:rsidRPr="00AB36D9" w:rsidRDefault="00AB36D9" w:rsidP="00AB36D9">
      <w:r w:rsidRPr="00AB36D9">
        <w:t xml:space="preserve">The increase in the wholesale price of natural gas was a key factor in the increase in retail </w:t>
      </w:r>
      <w:r w:rsidR="00102C3E">
        <w:t xml:space="preserve">natural </w:t>
      </w:r>
      <w:r w:rsidRPr="00AB36D9">
        <w:t>gas prices around July 2014.</w:t>
      </w:r>
    </w:p>
    <w:p w:rsidR="00AB36D9" w:rsidRPr="00AB36D9" w:rsidRDefault="00AB36D9" w:rsidP="00AB36D9">
      <w:r w:rsidRPr="00AB36D9">
        <w:t>As some retailers in South Australia and New South Wales implemented price changes between July and October 2014 to account for both the removal of the carbon tax and increases in other costs, the calculation of an average bill for October 2014 does not clearly show the removal of the carbon tax from market offers. In all other jurisdictions and for all standing offers, the removal of the carbon tax from natural gas prices is clearly visible.</w:t>
      </w:r>
    </w:p>
    <w:p w:rsidR="00AB36D9" w:rsidRPr="005731FB" w:rsidRDefault="00AB36D9" w:rsidP="009847F6">
      <w:pPr>
        <w:spacing w:before="240" w:after="120"/>
        <w:rPr>
          <w:rStyle w:val="Strong"/>
        </w:rPr>
      </w:pPr>
      <w:r w:rsidRPr="009847F6">
        <w:rPr>
          <w:rStyle w:val="TabletitleChar"/>
        </w:rPr>
        <w:t xml:space="preserve">Graph </w:t>
      </w:r>
      <w:r w:rsidRPr="00DD08DF">
        <w:rPr>
          <w:rStyle w:val="TabletitleChar"/>
        </w:rPr>
        <w:t>2</w:t>
      </w:r>
      <w:r w:rsidR="00C70009" w:rsidRPr="00DD08DF">
        <w:rPr>
          <w:rStyle w:val="TabletitleChar"/>
        </w:rPr>
        <w:t>5</w:t>
      </w:r>
      <w:r w:rsidRPr="009847F6">
        <w:rPr>
          <w:rStyle w:val="TabletitleChar"/>
        </w:rPr>
        <w:t xml:space="preserve"> – Natural gas prices as annual bills from January 2012 to January 2015 in New South Wales</w:t>
      </w:r>
      <w:r w:rsidRPr="009847F6">
        <w:rPr>
          <w:szCs w:val="20"/>
          <w:vertAlign w:val="superscript"/>
        </w:rPr>
        <w:footnoteReference w:id="43"/>
      </w:r>
    </w:p>
    <w:p w:rsidR="00AB36D9" w:rsidRPr="00AB36D9" w:rsidRDefault="00AB36D9" w:rsidP="00645FF7">
      <w:pPr>
        <w:jc w:val="center"/>
      </w:pPr>
      <w:r w:rsidRPr="00AB36D9">
        <w:rPr>
          <w:noProof/>
          <w:lang w:eastAsia="en-AU"/>
        </w:rPr>
        <w:drawing>
          <wp:inline distT="0" distB="0" distL="0" distR="0" wp14:anchorId="580DB41A" wp14:editId="20C31D71">
            <wp:extent cx="4572000" cy="2743200"/>
            <wp:effectExtent l="0" t="0" r="19050" b="1905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AB36D9" w:rsidRPr="00F62389" w:rsidRDefault="00AB36D9" w:rsidP="00645FF7">
      <w:pPr>
        <w:pStyle w:val="Source"/>
        <w:jc w:val="center"/>
      </w:pPr>
      <w:r w:rsidRPr="00F62389">
        <w:t>Source: Alviss Consulting, March</w:t>
      </w:r>
      <w:r w:rsidRPr="009847F6">
        <w:t xml:space="preserve"> </w:t>
      </w:r>
      <w:r w:rsidRPr="00F62389">
        <w:t>2015</w:t>
      </w:r>
    </w:p>
    <w:p w:rsidR="00AB36D9" w:rsidRPr="005731FB" w:rsidRDefault="00AB36D9" w:rsidP="00AB36D9">
      <w:pPr>
        <w:keepNext/>
        <w:keepLines/>
        <w:spacing w:before="240" w:after="120"/>
        <w:rPr>
          <w:rStyle w:val="Strong"/>
        </w:rPr>
      </w:pPr>
      <w:r w:rsidRPr="009847F6">
        <w:rPr>
          <w:rStyle w:val="TabletitleChar"/>
        </w:rPr>
        <w:lastRenderedPageBreak/>
        <w:t xml:space="preserve">Graph </w:t>
      </w:r>
      <w:r w:rsidRPr="00DD08DF">
        <w:rPr>
          <w:rStyle w:val="TabletitleChar"/>
        </w:rPr>
        <w:t>2</w:t>
      </w:r>
      <w:r w:rsidR="00C70009" w:rsidRPr="00DD08DF">
        <w:rPr>
          <w:rStyle w:val="TabletitleChar"/>
        </w:rPr>
        <w:t>6</w:t>
      </w:r>
      <w:r w:rsidRPr="009847F6">
        <w:rPr>
          <w:rStyle w:val="TabletitleChar"/>
        </w:rPr>
        <w:t xml:space="preserve"> – Natural gas prices as annual bills from January 2012 to January 2015 in Victoria</w:t>
      </w:r>
      <w:r w:rsidRPr="009847F6">
        <w:rPr>
          <w:szCs w:val="20"/>
          <w:vertAlign w:val="superscript"/>
        </w:rPr>
        <w:footnoteReference w:id="44"/>
      </w:r>
    </w:p>
    <w:p w:rsidR="00AB36D9" w:rsidRPr="00AB36D9" w:rsidRDefault="00AB36D9" w:rsidP="00645FF7">
      <w:pPr>
        <w:jc w:val="center"/>
      </w:pPr>
      <w:r w:rsidRPr="00AB36D9">
        <w:rPr>
          <w:noProof/>
          <w:lang w:eastAsia="en-AU"/>
        </w:rPr>
        <w:drawing>
          <wp:inline distT="0" distB="0" distL="0" distR="0" wp14:anchorId="784D4347" wp14:editId="471AE2B8">
            <wp:extent cx="4572000" cy="2743200"/>
            <wp:effectExtent l="0" t="0" r="19050" b="1905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AB36D9" w:rsidRPr="00F62389" w:rsidRDefault="00AB36D9" w:rsidP="00645FF7">
      <w:pPr>
        <w:pStyle w:val="Source"/>
        <w:jc w:val="center"/>
      </w:pPr>
      <w:r w:rsidRPr="00F62389">
        <w:t>Source: Alviss Consulting, March</w:t>
      </w:r>
      <w:r w:rsidRPr="009847F6">
        <w:t xml:space="preserve"> </w:t>
      </w:r>
      <w:r w:rsidRPr="00F62389">
        <w:t>2015</w:t>
      </w:r>
    </w:p>
    <w:p w:rsidR="00AB36D9" w:rsidRPr="005731FB" w:rsidRDefault="00AB36D9" w:rsidP="00AB36D9">
      <w:pPr>
        <w:keepLines/>
        <w:spacing w:before="240" w:after="120"/>
        <w:rPr>
          <w:rStyle w:val="Strong"/>
        </w:rPr>
      </w:pPr>
      <w:r w:rsidRPr="00F62389">
        <w:rPr>
          <w:rStyle w:val="TabletitleChar"/>
        </w:rPr>
        <w:t xml:space="preserve">Graph </w:t>
      </w:r>
      <w:r w:rsidRPr="00DD08DF">
        <w:rPr>
          <w:rStyle w:val="TabletitleChar"/>
        </w:rPr>
        <w:t>2</w:t>
      </w:r>
      <w:r w:rsidR="00C70009" w:rsidRPr="00DD08DF">
        <w:rPr>
          <w:rStyle w:val="TabletitleChar"/>
        </w:rPr>
        <w:t>7</w:t>
      </w:r>
      <w:r w:rsidRPr="00F62389">
        <w:rPr>
          <w:rStyle w:val="TabletitleChar"/>
        </w:rPr>
        <w:t>– Natural gas prices as annual bills from January 2012 to January 2015 in South Australia</w:t>
      </w:r>
      <w:r w:rsidRPr="009847F6">
        <w:rPr>
          <w:rStyle w:val="FootnoteReference"/>
        </w:rPr>
        <w:footnoteReference w:id="45"/>
      </w:r>
    </w:p>
    <w:p w:rsidR="00AB36D9" w:rsidRPr="00AB36D9" w:rsidRDefault="00AB36D9" w:rsidP="00645FF7">
      <w:pPr>
        <w:jc w:val="center"/>
      </w:pPr>
      <w:r w:rsidRPr="00AB36D9">
        <w:rPr>
          <w:noProof/>
          <w:lang w:eastAsia="en-AU"/>
        </w:rPr>
        <w:drawing>
          <wp:inline distT="0" distB="0" distL="0" distR="0" wp14:anchorId="6D788448" wp14:editId="4377BD62">
            <wp:extent cx="4572000" cy="2743200"/>
            <wp:effectExtent l="0" t="0" r="19050" b="1905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AB36D9" w:rsidRPr="00AB36D9" w:rsidRDefault="00AB36D9" w:rsidP="00645FF7">
      <w:pPr>
        <w:pStyle w:val="Source"/>
        <w:jc w:val="center"/>
      </w:pPr>
      <w:r w:rsidRPr="009847F6">
        <w:t>Source: Alviss Consulting, March 2015</w:t>
      </w:r>
    </w:p>
    <w:p w:rsidR="00AB36D9" w:rsidRPr="005731FB" w:rsidRDefault="00AB36D9" w:rsidP="00AB36D9">
      <w:pPr>
        <w:keepNext/>
        <w:keepLines/>
        <w:spacing w:before="240" w:after="120"/>
        <w:rPr>
          <w:rStyle w:val="Strong"/>
        </w:rPr>
      </w:pPr>
      <w:r w:rsidRPr="007D5826">
        <w:rPr>
          <w:rStyle w:val="TabletitleChar"/>
        </w:rPr>
        <w:lastRenderedPageBreak/>
        <w:t xml:space="preserve">Graph </w:t>
      </w:r>
      <w:r w:rsidRPr="00DD08DF">
        <w:rPr>
          <w:rStyle w:val="TabletitleChar"/>
        </w:rPr>
        <w:t>2</w:t>
      </w:r>
      <w:r w:rsidR="00C70009" w:rsidRPr="00DD08DF">
        <w:rPr>
          <w:rStyle w:val="TabletitleChar"/>
        </w:rPr>
        <w:t>8</w:t>
      </w:r>
      <w:r w:rsidRPr="007D5826">
        <w:rPr>
          <w:rStyle w:val="TabletitleChar"/>
        </w:rPr>
        <w:t xml:space="preserve"> – Natural gas prices as annual bills from January 2012 to January 2015 in Queensland</w:t>
      </w:r>
      <w:r w:rsidRPr="009847F6">
        <w:rPr>
          <w:szCs w:val="20"/>
          <w:vertAlign w:val="superscript"/>
        </w:rPr>
        <w:footnoteReference w:id="46"/>
      </w:r>
    </w:p>
    <w:p w:rsidR="00AB36D9" w:rsidRPr="00AB36D9" w:rsidRDefault="00AB36D9" w:rsidP="00645FF7">
      <w:pPr>
        <w:jc w:val="center"/>
      </w:pPr>
      <w:r w:rsidRPr="00AB36D9">
        <w:rPr>
          <w:noProof/>
          <w:lang w:eastAsia="en-AU"/>
        </w:rPr>
        <w:drawing>
          <wp:inline distT="0" distB="0" distL="0" distR="0" wp14:anchorId="63A942C6" wp14:editId="6F738E87">
            <wp:extent cx="4572000" cy="2743200"/>
            <wp:effectExtent l="0" t="0" r="19050" b="1905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AB36D9" w:rsidRPr="00F62389" w:rsidRDefault="00AB36D9" w:rsidP="00645FF7">
      <w:pPr>
        <w:pStyle w:val="Source"/>
        <w:jc w:val="center"/>
      </w:pPr>
      <w:r w:rsidRPr="00F62389">
        <w:t>Source: Alviss Consulting, March</w:t>
      </w:r>
      <w:r w:rsidRPr="009847F6">
        <w:t xml:space="preserve"> </w:t>
      </w:r>
      <w:r w:rsidRPr="00F62389">
        <w:t>2015</w:t>
      </w:r>
    </w:p>
    <w:p w:rsidR="00AB36D9" w:rsidRPr="005731FB" w:rsidRDefault="00AB36D9" w:rsidP="00AB36D9">
      <w:pPr>
        <w:keepNext/>
        <w:keepLines/>
        <w:spacing w:before="240" w:after="120"/>
        <w:rPr>
          <w:rStyle w:val="Strong"/>
        </w:rPr>
      </w:pPr>
      <w:r w:rsidRPr="00F62389">
        <w:rPr>
          <w:rStyle w:val="TabletitleChar"/>
        </w:rPr>
        <w:t xml:space="preserve">Graph </w:t>
      </w:r>
      <w:r w:rsidRPr="00DD08DF">
        <w:rPr>
          <w:rStyle w:val="TabletitleChar"/>
        </w:rPr>
        <w:t>2</w:t>
      </w:r>
      <w:r w:rsidR="00C70009" w:rsidRPr="00DD08DF">
        <w:rPr>
          <w:rStyle w:val="TabletitleChar"/>
        </w:rPr>
        <w:t>9</w:t>
      </w:r>
      <w:r w:rsidRPr="00F62389">
        <w:rPr>
          <w:rStyle w:val="TabletitleChar"/>
        </w:rPr>
        <w:t xml:space="preserve"> – Natural gas market offer prices as annual bills from January 2012 to January 2015 in Tasmania</w:t>
      </w:r>
      <w:r w:rsidRPr="009847F6">
        <w:rPr>
          <w:szCs w:val="20"/>
          <w:vertAlign w:val="superscript"/>
        </w:rPr>
        <w:footnoteReference w:id="47"/>
      </w:r>
    </w:p>
    <w:p w:rsidR="00AB36D9" w:rsidRPr="00AB36D9" w:rsidRDefault="00AB36D9" w:rsidP="00645FF7">
      <w:pPr>
        <w:jc w:val="center"/>
      </w:pPr>
      <w:r w:rsidRPr="00AB36D9">
        <w:rPr>
          <w:noProof/>
          <w:lang w:eastAsia="en-AU"/>
        </w:rPr>
        <w:drawing>
          <wp:inline distT="0" distB="0" distL="0" distR="0" wp14:anchorId="3F2FC0C3" wp14:editId="2602CC16">
            <wp:extent cx="4572000" cy="2743200"/>
            <wp:effectExtent l="0" t="0" r="19050" b="1905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AB36D9" w:rsidRPr="00F62389" w:rsidRDefault="00AB36D9" w:rsidP="00645FF7">
      <w:pPr>
        <w:pStyle w:val="Source"/>
        <w:jc w:val="center"/>
      </w:pPr>
      <w:r w:rsidRPr="00F62389">
        <w:t>Source: Alviss Consulting, March</w:t>
      </w:r>
      <w:r w:rsidRPr="009847F6">
        <w:t xml:space="preserve"> </w:t>
      </w:r>
      <w:r w:rsidRPr="00F62389">
        <w:t>2015</w:t>
      </w:r>
    </w:p>
    <w:p w:rsidR="00AB36D9" w:rsidRPr="005731FB" w:rsidRDefault="00AB36D9" w:rsidP="00AB36D9">
      <w:pPr>
        <w:keepNext/>
        <w:keepLines/>
        <w:spacing w:before="240" w:after="120"/>
        <w:rPr>
          <w:rStyle w:val="Strong"/>
        </w:rPr>
      </w:pPr>
      <w:r w:rsidRPr="00F62389">
        <w:rPr>
          <w:rStyle w:val="TabletitleChar"/>
        </w:rPr>
        <w:lastRenderedPageBreak/>
        <w:t xml:space="preserve">Graph </w:t>
      </w:r>
      <w:r w:rsidR="00C70009" w:rsidRPr="00DD08DF">
        <w:rPr>
          <w:rStyle w:val="TabletitleChar"/>
        </w:rPr>
        <w:t>30</w:t>
      </w:r>
      <w:r w:rsidRPr="00F62389">
        <w:rPr>
          <w:rStyle w:val="TabletitleChar"/>
        </w:rPr>
        <w:t xml:space="preserve"> – Natural gas market offer prices as annual bills from January 2012 to January 2015 in the Australian Capital Territory</w:t>
      </w:r>
      <w:r w:rsidRPr="00AB36D9">
        <w:rPr>
          <w:szCs w:val="20"/>
          <w:vertAlign w:val="superscript"/>
        </w:rPr>
        <w:footnoteReference w:id="48"/>
      </w:r>
      <w:r w:rsidRPr="005731FB">
        <w:rPr>
          <w:rStyle w:val="Strong"/>
        </w:rPr>
        <w:t xml:space="preserve"> </w:t>
      </w:r>
    </w:p>
    <w:p w:rsidR="00AB36D9" w:rsidRPr="00AB36D9" w:rsidRDefault="00AB36D9" w:rsidP="00645FF7">
      <w:pPr>
        <w:jc w:val="center"/>
      </w:pPr>
      <w:r w:rsidRPr="00AB36D9">
        <w:rPr>
          <w:noProof/>
          <w:lang w:eastAsia="en-AU"/>
        </w:rPr>
        <w:drawing>
          <wp:inline distT="0" distB="0" distL="0" distR="0" wp14:anchorId="545C3A43" wp14:editId="7134071C">
            <wp:extent cx="4572000" cy="2743200"/>
            <wp:effectExtent l="0" t="0" r="19050" b="1905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AB36D9" w:rsidRPr="00F62389" w:rsidRDefault="00AB36D9" w:rsidP="00645FF7">
      <w:pPr>
        <w:pStyle w:val="Source"/>
        <w:jc w:val="center"/>
      </w:pPr>
      <w:r w:rsidRPr="00F62389">
        <w:t>Source: Alviss Consulting, March</w:t>
      </w:r>
      <w:r w:rsidRPr="009847F6">
        <w:t xml:space="preserve"> </w:t>
      </w:r>
      <w:r w:rsidRPr="00F62389">
        <w:t>2015</w:t>
      </w:r>
    </w:p>
    <w:p w:rsidR="00AB36D9" w:rsidRPr="00AB36D9" w:rsidRDefault="00AB36D9" w:rsidP="00F62389">
      <w:pPr>
        <w:pStyle w:val="Heading4"/>
      </w:pPr>
      <w:r w:rsidRPr="00AB36D9">
        <w:t>Conclusion</w:t>
      </w:r>
    </w:p>
    <w:p w:rsidR="00AB36D9" w:rsidRPr="00AB36D9" w:rsidRDefault="00AB36D9" w:rsidP="00AB36D9">
      <w:pPr>
        <w:keepNext/>
        <w:keepLines/>
      </w:pPr>
      <w:r w:rsidRPr="00AB36D9">
        <w:t>Over the period of the carbon tax and its repeal, other cost factors have contributed to the increase in the price of natural gas. Increases in network costs at the time of the introduction of th</w:t>
      </w:r>
      <w:r w:rsidR="00BE0975">
        <w:t>e carbon tax,</w:t>
      </w:r>
      <w:r w:rsidRPr="00AB36D9">
        <w:t xml:space="preserve"> and in wholesale costs in 2014, have contributed to the net increase in retail</w:t>
      </w:r>
      <w:r w:rsidR="00DF1F20">
        <w:t xml:space="preserve"> natural</w:t>
      </w:r>
      <w:r w:rsidRPr="00AB36D9">
        <w:t xml:space="preserve"> gas prices since January 2012. However, these increases are less than they otherwise would have been absent the carbon tax repeal.</w:t>
      </w:r>
    </w:p>
    <w:p w:rsidR="00AB36D9" w:rsidRPr="00AB36D9" w:rsidRDefault="00AB36D9" w:rsidP="00F62389">
      <w:pPr>
        <w:pStyle w:val="Heading2"/>
      </w:pPr>
      <w:bookmarkStart w:id="31" w:name="_Toc417460233"/>
      <w:r w:rsidRPr="00AB36D9">
        <w:t>Conclusion – carbon tax repeal cost savings in electricity and natural gas</w:t>
      </w:r>
      <w:bookmarkEnd w:id="31"/>
    </w:p>
    <w:p w:rsidR="00AB36D9" w:rsidRPr="00AB36D9" w:rsidRDefault="00AB36D9" w:rsidP="00AB36D9">
      <w:r w:rsidRPr="00AB36D9">
        <w:t>To illustrate the overall impact of the repeal of the carbon tax on customers with regard to their electricity and natural gas bills, the ACCC has calculated the estimated combined average annual cost savings based on the retailers’ standing offers and typical consumption values per jurisdictions.</w:t>
      </w:r>
      <w:r w:rsidRPr="00AB36D9">
        <w:rPr>
          <w:vertAlign w:val="superscript"/>
        </w:rPr>
        <w:footnoteReference w:id="49"/>
      </w:r>
      <w:r w:rsidRPr="00AB36D9">
        <w:t xml:space="preserve"> The estimated average annual carbon tax repeal cost savings for both electricity and natural gas are set out in Graph </w:t>
      </w:r>
      <w:r w:rsidRPr="00DD08DF">
        <w:rPr>
          <w:rStyle w:val="Strong"/>
          <w:b w:val="0"/>
        </w:rPr>
        <w:t>3</w:t>
      </w:r>
      <w:r w:rsidR="00C70009" w:rsidRPr="00DD08DF">
        <w:rPr>
          <w:rStyle w:val="Strong"/>
          <w:b w:val="0"/>
        </w:rPr>
        <w:t>1</w:t>
      </w:r>
      <w:r w:rsidRPr="005731FB">
        <w:rPr>
          <w:rStyle w:val="Strong"/>
        </w:rPr>
        <w:t xml:space="preserve"> </w:t>
      </w:r>
      <w:r w:rsidRPr="00AB36D9">
        <w:t>below.</w:t>
      </w:r>
    </w:p>
    <w:p w:rsidR="00AB36D9" w:rsidRPr="00F62389" w:rsidRDefault="00AB36D9" w:rsidP="00F62389">
      <w:pPr>
        <w:pStyle w:val="Tabletitle"/>
      </w:pPr>
      <w:r w:rsidRPr="00F62389">
        <w:lastRenderedPageBreak/>
        <w:t xml:space="preserve">Graph </w:t>
      </w:r>
      <w:r w:rsidRPr="00DD08DF">
        <w:t>3</w:t>
      </w:r>
      <w:r w:rsidR="000D1E1F" w:rsidRPr="00DD08DF">
        <w:t>1</w:t>
      </w:r>
      <w:r w:rsidRPr="00F62389">
        <w:t>: Estimated average annual carbon tax repeal cost savings for electricity and natural gas</w:t>
      </w:r>
    </w:p>
    <w:p w:rsidR="00AB36D9" w:rsidRPr="00AB36D9" w:rsidRDefault="005C22A4" w:rsidP="00AB36D9">
      <w:pPr>
        <w:keepNext/>
        <w:keepLines/>
      </w:pPr>
      <w:r>
        <w:rPr>
          <w:noProof/>
          <w:lang w:eastAsia="en-AU"/>
        </w:rPr>
        <w:drawing>
          <wp:inline distT="0" distB="0" distL="0" distR="0" wp14:anchorId="4FDE4FE6" wp14:editId="5DC36F70">
            <wp:extent cx="5731510" cy="2836363"/>
            <wp:effectExtent l="0" t="0" r="21590" b="2159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AB36D9" w:rsidRPr="00AB36D9" w:rsidRDefault="00876DC2" w:rsidP="00F62389">
      <w:pPr>
        <w:pStyle w:val="Heading2"/>
      </w:pPr>
      <w:bookmarkStart w:id="32" w:name="_Toc417460234"/>
      <w:r>
        <w:t>Synthetic g</w:t>
      </w:r>
      <w:r w:rsidR="00AB36D9" w:rsidRPr="00AB36D9">
        <w:t xml:space="preserve">reenhouse </w:t>
      </w:r>
      <w:r>
        <w:t>g</w:t>
      </w:r>
      <w:r w:rsidR="00AB36D9" w:rsidRPr="00AB36D9">
        <w:t>ases</w:t>
      </w:r>
      <w:bookmarkEnd w:id="32"/>
    </w:p>
    <w:p w:rsidR="00AB36D9" w:rsidRPr="00AB36D9" w:rsidRDefault="00AB36D9" w:rsidP="00B54A88">
      <w:pPr>
        <w:pStyle w:val="Boxedtext"/>
        <w:shd w:val="clear" w:color="auto" w:fill="D9D9D9" w:themeFill="background1" w:themeFillShade="D9"/>
      </w:pPr>
      <w:r w:rsidRPr="00AB36D9">
        <w:t>Prices for most SGGs have reduced to approximately the same levels as prior to the introduction of the carbon tax. The ACCC will continue to engage with downstream SGG wholesaling customers to confirm the effect of the carbon tax repeal on the price of SGGs.</w:t>
      </w:r>
    </w:p>
    <w:p w:rsidR="00AB36D9" w:rsidRPr="00AB36D9" w:rsidRDefault="00AB36D9" w:rsidP="00B54A88">
      <w:pPr>
        <w:pStyle w:val="Boxedtext"/>
        <w:shd w:val="clear" w:color="auto" w:fill="D9D9D9" w:themeFill="background1" w:themeFillShade="D9"/>
      </w:pPr>
      <w:r w:rsidRPr="00AB36D9">
        <w:t>The ACCC has also issued compulsory information requests or notices pursuant to section 60H of the CCA to those SGG entities who did not respond to the ACCC’s inquiries in a timely manner in order to obtain the requested information. Any additional findings will be reported in the July 2015 Carbon Report.</w:t>
      </w:r>
    </w:p>
    <w:p w:rsidR="00AB36D9" w:rsidRPr="00AB36D9" w:rsidRDefault="00AB36D9" w:rsidP="00AB36D9">
      <w:r w:rsidRPr="00AB36D9">
        <w:t>In the January 2015 Carbon Report, the ACCC reported on the effect of the carbon tax and its repeal on costs</w:t>
      </w:r>
      <w:r w:rsidR="00DF1F20">
        <w:t>,</w:t>
      </w:r>
      <w:r w:rsidRPr="00AB36D9">
        <w:t xml:space="preserve"> and prices of bulk SGG importers and wholesalers.</w:t>
      </w:r>
      <w:r w:rsidRPr="00AB36D9">
        <w:rPr>
          <w:vertAlign w:val="superscript"/>
        </w:rPr>
        <w:footnoteReference w:id="50"/>
      </w:r>
      <w:r w:rsidRPr="00AB36D9">
        <w:t xml:space="preserve"> For the April 2015 Carbon Report, the ACCC looked further down the supply chain to assess the effect of the carbon tax and its repeal on their customers, wholesalers who did not import SGGs (non-importer SGG wholesalers). The effects on SGG equipment were also explored further for this report.</w:t>
      </w:r>
    </w:p>
    <w:p w:rsidR="00AB36D9" w:rsidRPr="00AB36D9" w:rsidRDefault="00AB36D9" w:rsidP="00AB36D9">
      <w:r w:rsidRPr="00AB36D9">
        <w:t>This has provided the ACCC with an understanding of pricing practices throughout the supply chain over the period of the carbon tax and its repeal which informs whether post repeal prices include pass through of carbon tax repeal savings.</w:t>
      </w:r>
    </w:p>
    <w:p w:rsidR="00F62389" w:rsidRPr="009847F6" w:rsidRDefault="00F62389">
      <w:r>
        <w:br w:type="page"/>
      </w:r>
    </w:p>
    <w:p w:rsidR="00AB36D9" w:rsidRPr="00AB36D9" w:rsidRDefault="00AB36D9" w:rsidP="00F62389">
      <w:pPr>
        <w:pStyle w:val="Heading3"/>
      </w:pPr>
      <w:bookmarkStart w:id="33" w:name="_Toc417460235"/>
      <w:r w:rsidRPr="00AB36D9">
        <w:lastRenderedPageBreak/>
        <w:t>Non-importer synthetic greenhouse gas wholesalers</w:t>
      </w:r>
      <w:bookmarkEnd w:id="33"/>
    </w:p>
    <w:p w:rsidR="00AB36D9" w:rsidRPr="00AB36D9" w:rsidRDefault="00AB36D9" w:rsidP="00AB36D9">
      <w:pPr>
        <w:keepNext/>
        <w:keepLines/>
      </w:pPr>
      <w:r w:rsidRPr="00AB36D9">
        <w:t>As reported in the January 2015 Carbon Report, many bulk SGG importer/wholesalers stockpiled SGGs prior to the introduction of the carbon tax and did not incur large carbon tax costs as a result. However, wholesale prices did increase sharply around the time of the introduction of the carbon tax as a result of import parity pricing. While the cause of the price increases may not have been directly due to increased carbon tax costs, savings were nevertheless reported upon repeal as the viable alternative of imports without the carbon tax applied re-emerged.</w:t>
      </w:r>
    </w:p>
    <w:p w:rsidR="00AB36D9" w:rsidRPr="00AB36D9" w:rsidRDefault="00AB36D9" w:rsidP="00AB36D9">
      <w:r w:rsidRPr="00AB36D9">
        <w:t xml:space="preserve">The ACCC has now engaged with the customers of the importer/wholesalers, the non-importer SGG wholesalers, to understand their experience of the carbon tax and its repeal. </w:t>
      </w:r>
    </w:p>
    <w:p w:rsidR="00AB36D9" w:rsidRPr="00AB36D9" w:rsidRDefault="00AB36D9" w:rsidP="00AB36D9">
      <w:r w:rsidRPr="00AB36D9">
        <w:t xml:space="preserve">Most non-importer SGG wholesalers reported being unsure of their actual carbon tax costs. Their suppliers did not typically identify a separate carbon tax cost to them. Some had inferred a carbon tax cost in the price increases seen after the introduction of the carbon tax. However, they did not ultimately know when the particular stock had been imported and therefore whether the carbon tax levy had applied to it. </w:t>
      </w:r>
    </w:p>
    <w:p w:rsidR="00AB36D9" w:rsidRPr="00AB36D9" w:rsidRDefault="00AB36D9" w:rsidP="00AB36D9">
      <w:r w:rsidRPr="00AB36D9">
        <w:t xml:space="preserve">Likewise, upon repeal the non-importer SGG wholesalers could not confidently identify savings as a result of the carbon tax repeal for the most part. Nevertheless, prices for most SGGs have reduced to approximately the same levels as prior to the carbon tax. </w:t>
      </w:r>
    </w:p>
    <w:p w:rsidR="00AB36D9" w:rsidRPr="00AB36D9" w:rsidRDefault="00AB36D9" w:rsidP="00AB36D9">
      <w:r w:rsidRPr="00AB36D9">
        <w:t xml:space="preserve">Most SGG wholesalers reported using a market pricing methodology for setting SGG prices, as opposed to simply adding a fixed or percentage margin to costs. Many also reported seeing reduced demand </w:t>
      </w:r>
      <w:r w:rsidR="00BE0975">
        <w:t>during the carbon tax period;</w:t>
      </w:r>
      <w:r w:rsidR="00DF1F20">
        <w:t xml:space="preserve"> however,</w:t>
      </w:r>
      <w:r w:rsidRPr="00AB36D9">
        <w:t xml:space="preserve"> there appeared to be an emerging view that demand is recovering post repeal.</w:t>
      </w:r>
    </w:p>
    <w:p w:rsidR="00AB36D9" w:rsidRPr="00AB36D9" w:rsidRDefault="00AB36D9" w:rsidP="00F62389">
      <w:pPr>
        <w:pStyle w:val="Heading3"/>
      </w:pPr>
      <w:bookmarkStart w:id="34" w:name="_Toc417460236"/>
      <w:r w:rsidRPr="00AB36D9">
        <w:t>S</w:t>
      </w:r>
      <w:r w:rsidR="00876DC2">
        <w:t>ynthetic greenhouse gas</w:t>
      </w:r>
      <w:r w:rsidRPr="00AB36D9">
        <w:t xml:space="preserve"> </w:t>
      </w:r>
      <w:r w:rsidR="00876DC2">
        <w:t>e</w:t>
      </w:r>
      <w:r w:rsidRPr="00AB36D9">
        <w:t>quipment</w:t>
      </w:r>
      <w:bookmarkEnd w:id="34"/>
    </w:p>
    <w:p w:rsidR="00AB36D9" w:rsidRPr="00AB36D9" w:rsidRDefault="00AB36D9" w:rsidP="00AB36D9">
      <w:r w:rsidRPr="00AB36D9">
        <w:t xml:space="preserve">SGG equipment suppliers typically imported SGG equipment, such as air conditioners and refrigerators, pre-charged with SGG. </w:t>
      </w:r>
    </w:p>
    <w:p w:rsidR="00AB36D9" w:rsidRPr="00AB36D9" w:rsidRDefault="00AB36D9" w:rsidP="00AB36D9">
      <w:r w:rsidRPr="00AB36D9">
        <w:t>Unlike bulk SGG</w:t>
      </w:r>
      <w:r w:rsidR="00DF1F20">
        <w:t>s</w:t>
      </w:r>
      <w:r w:rsidRPr="00AB36D9">
        <w:t>, the ACCC understands there was little stockpiling of SGG equipment. As a result, SGG equipment suppliers tended to pay a carbon tax levy for the import of SGG equipment during the effective period of the carbon tax.</w:t>
      </w:r>
    </w:p>
    <w:p w:rsidR="00AB36D9" w:rsidRPr="00AB36D9" w:rsidRDefault="00AB36D9" w:rsidP="00AB36D9">
      <w:r w:rsidRPr="00AB36D9">
        <w:t xml:space="preserve">However, most SGG equipment suppliers did not simply pass the carbon tax levy on as a separately identified line item but rather treated it as a typical cost or component of the full price. Generally the carbon tax was negligible compared to the overall cost of the product. </w:t>
      </w:r>
    </w:p>
    <w:p w:rsidR="00AB36D9" w:rsidRPr="00AB36D9" w:rsidRDefault="00AB36D9" w:rsidP="00AB36D9">
      <w:r w:rsidRPr="00AB36D9">
        <w:t xml:space="preserve">Wholesale prices for SGG equipment were generally set with reference to the market price for the particular features or functions of the equipment, as these are the significant factors that influence the wholesale price of the product. </w:t>
      </w:r>
    </w:p>
    <w:p w:rsidR="00AB36D9" w:rsidRPr="00AB36D9" w:rsidRDefault="00AB36D9" w:rsidP="00AB36D9">
      <w:r w:rsidRPr="00AB36D9">
        <w:t xml:space="preserve">The ACCC has also observed from SGG equipment wholesaler responses that there was no significant changes in SGG equipment demand during the carbon tax scheme or since the carbon tax repeal. Assessment of the negligible complaints to the ACCC regarding SGG equipment suppliers not passing on carbon tax repeal cost savings appears to indicate that post repeal prices do in fact include carbon tax repeal cost savings. </w:t>
      </w:r>
    </w:p>
    <w:p w:rsidR="00AB36D9" w:rsidRPr="00AB36D9" w:rsidRDefault="00AB36D9" w:rsidP="00AB36D9">
      <w:r w:rsidRPr="00AB36D9">
        <w:t>In the January 2015 Carbon Report, the ACCC reported receiving a small number of complaints concerning the carbon tax repeal related savings offered by SGG equipment suppliers. Following ACCC inquiries, the complaints were addressed and to date no further complaints have been received. The ACCC will continue to assess and monitor for further complaints.</w:t>
      </w:r>
    </w:p>
    <w:p w:rsidR="00AB36D9" w:rsidRPr="00AB36D9" w:rsidRDefault="00AB36D9" w:rsidP="00AB36D9">
      <w:r w:rsidRPr="00AB36D9">
        <w:lastRenderedPageBreak/>
        <w:t>The cost of the SGG refrigerant component of such equipment often represented a relatively small proportion of the overall price of the equipment. Nevertheless, the ACCC has been advised of instances of refunds to wholesale customers for carbon tax components charged on SGG equipment. In some cases, carbon tax costs which were not genuinely incurred were passed on and then reversed. In others, rebates were provided even when genuine carbon tax costs had been incurred on the equipment, in order to maintain goodwill with customers.</w:t>
      </w:r>
    </w:p>
    <w:p w:rsidR="00AB36D9" w:rsidRPr="00AB36D9" w:rsidRDefault="00AB36D9" w:rsidP="00AB36D9">
      <w:r w:rsidRPr="00AB36D9">
        <w:t xml:space="preserve">Some SGG equipment suppliers who had imported SGG equipment reported being at a disadvantage to local suppliers whom they considered were able to purchase stockpiled bulk SGG locally. Some SGG equipment suppliers considered they were in the position of an overall net loss taking into consideration electricity and other costs, such as compliance with government regulations. </w:t>
      </w:r>
    </w:p>
    <w:p w:rsidR="00AB36D9" w:rsidRPr="00AB36D9" w:rsidRDefault="00AB36D9" w:rsidP="00F62389">
      <w:pPr>
        <w:pStyle w:val="Heading3"/>
      </w:pPr>
      <w:bookmarkStart w:id="35" w:name="_Toc417460237"/>
      <w:r w:rsidRPr="00AB36D9">
        <w:t>The ACCC’s monitoring activities</w:t>
      </w:r>
      <w:bookmarkEnd w:id="35"/>
    </w:p>
    <w:p w:rsidR="00AB36D9" w:rsidRPr="00AB36D9" w:rsidRDefault="00AB36D9" w:rsidP="00AB36D9">
      <w:pPr>
        <w:keepNext/>
        <w:keepLines/>
      </w:pPr>
      <w:r w:rsidRPr="00AB36D9">
        <w:t xml:space="preserve">The ACCC has issued section 60H notices to those SGG entities who did not respond to the ACCC’s voluntary information requests issued in February 2015. The ACCC will report the findings from these responses in the July 2015 Carbon Report.   </w:t>
      </w:r>
    </w:p>
    <w:p w:rsidR="00AB36D9" w:rsidRPr="00AB36D9" w:rsidRDefault="00AB36D9" w:rsidP="00AB36D9">
      <w:r w:rsidRPr="00AB36D9">
        <w:t xml:space="preserve">The ACCC will continue to engage with bulk SGG importer/wholesalers, non-importer SGG wholesalers and SGG equipment suppliers to confirm the carbon tax repeal is reflected in SGG prices. </w:t>
      </w:r>
    </w:p>
    <w:p w:rsidR="00AB36D9" w:rsidRPr="00AB36D9" w:rsidRDefault="00AB36D9" w:rsidP="00F62389">
      <w:pPr>
        <w:pStyle w:val="Heading2"/>
      </w:pPr>
      <w:bookmarkStart w:id="36" w:name="_Toc417460238"/>
      <w:r w:rsidRPr="00AB36D9">
        <w:t>Landfill</w:t>
      </w:r>
      <w:bookmarkEnd w:id="36"/>
    </w:p>
    <w:p w:rsidR="00AB36D9" w:rsidRPr="00AB36D9" w:rsidRDefault="00AB36D9" w:rsidP="00B54A88">
      <w:pPr>
        <w:pStyle w:val="Boxedtext"/>
        <w:shd w:val="clear" w:color="auto" w:fill="D9D9D9" w:themeFill="background1" w:themeFillShade="D9"/>
      </w:pPr>
      <w:bookmarkStart w:id="37" w:name="_Toc404348202"/>
      <w:r w:rsidRPr="00AB36D9">
        <w:t>Of those entities that included a carbon tax cost component in their 2014/15 gate fees and subsequently removed the</w:t>
      </w:r>
      <w:r w:rsidR="006D666D">
        <w:t>se</w:t>
      </w:r>
      <w:r w:rsidRPr="00AB36D9">
        <w:t xml:space="preserve"> cost components after repeal, some undertook to refund customers for the carbon tax cost components they paid during the refund period. These entities have now largely completed the process of providing these refunds.</w:t>
      </w:r>
    </w:p>
    <w:p w:rsidR="00AB36D9" w:rsidRPr="00AB36D9" w:rsidRDefault="00AB36D9" w:rsidP="00B54A88">
      <w:pPr>
        <w:pStyle w:val="Boxedtext"/>
        <w:shd w:val="clear" w:color="auto" w:fill="D9D9D9" w:themeFill="background1" w:themeFillShade="D9"/>
      </w:pPr>
      <w:r w:rsidRPr="00AB36D9">
        <w:t>The ACCC considers that the approach to the issue of future carbon tax liabilities that will no longer eventuate in the landfill sector, as set out in the Department of the Environment’s draft Framework, is appropriate. The ACCC will continue to seek information from entities within this industry to confirm their decisions regarding the use of funds for future carbon tax liabilities that will no longer eventuate due to the repeal of the carbon tax.</w:t>
      </w:r>
    </w:p>
    <w:p w:rsidR="00AB36D9" w:rsidRPr="00AB36D9" w:rsidRDefault="00AB36D9" w:rsidP="00B54A88">
      <w:pPr>
        <w:pStyle w:val="Boxedtext"/>
        <w:shd w:val="clear" w:color="auto" w:fill="D9D9D9" w:themeFill="background1" w:themeFillShade="D9"/>
      </w:pPr>
      <w:r w:rsidRPr="00AB36D9">
        <w:t>Landfill facility operators are not suppliers of regulated goods so the price exploitation provisions of the CCA do not apply to them. Landfill facilities are generally operated by private companies or local councils. Many landfills did not exceed the relevant emissions threshold and therefore the operators of these landfills are not liable entities.</w:t>
      </w:r>
    </w:p>
    <w:p w:rsidR="00AB36D9" w:rsidRPr="00AB36D9" w:rsidRDefault="00AB36D9" w:rsidP="008F0AA0">
      <w:pPr>
        <w:pStyle w:val="Heading3"/>
      </w:pPr>
      <w:bookmarkStart w:id="38" w:name="_Toc417460239"/>
      <w:bookmarkEnd w:id="37"/>
      <w:r w:rsidRPr="00AB36D9">
        <w:t>Refunds provided due to the retrospective application of the carbon tax repeal legislation</w:t>
      </w:r>
      <w:bookmarkEnd w:id="38"/>
      <w:r w:rsidRPr="00AB36D9">
        <w:t xml:space="preserve"> </w:t>
      </w:r>
    </w:p>
    <w:p w:rsidR="00AB36D9" w:rsidRPr="00AB36D9" w:rsidRDefault="00AB36D9" w:rsidP="00AB36D9">
      <w:r w:rsidRPr="00AB36D9">
        <w:t>The ACCC’s October 2014 Carbon Report noted that:</w:t>
      </w:r>
    </w:p>
    <w:p w:rsidR="00AB36D9" w:rsidRPr="00AB36D9" w:rsidRDefault="00AB36D9" w:rsidP="008F0AA0">
      <w:pPr>
        <w:pStyle w:val="Bulletpoint"/>
      </w:pPr>
      <w:r w:rsidRPr="00AB36D9">
        <w:t>some landfill facility operators that are liable entities had not passed through any carbon tax costs in their landfill facilities’ gate fees du</w:t>
      </w:r>
      <w:r w:rsidR="00AB0AD3">
        <w:t>ring the life of the carbon tax</w:t>
      </w:r>
    </w:p>
    <w:p w:rsidR="00AB36D9" w:rsidRPr="00AB36D9" w:rsidRDefault="00AB36D9" w:rsidP="008F0AA0">
      <w:pPr>
        <w:pStyle w:val="Bulletpoint"/>
      </w:pPr>
      <w:r w:rsidRPr="00AB36D9">
        <w:t>some did not include carbon tax cost components in their gate fees from 1 July 2014 in anticipation of the carbon tax being repealed during the 2014/15 financial year, and</w:t>
      </w:r>
    </w:p>
    <w:p w:rsidR="00AB36D9" w:rsidRPr="00AB36D9" w:rsidRDefault="00AB36D9" w:rsidP="008F0AA0">
      <w:pPr>
        <w:pStyle w:val="Bulletpoint"/>
      </w:pPr>
      <w:r w:rsidRPr="00AB36D9">
        <w:lastRenderedPageBreak/>
        <w:t>some included a carbon tax cost component in the gate fees they set for the 2014/15 financial year and subsequently removed the carbon tax cost components after the carbon tax was repealed.</w:t>
      </w:r>
      <w:r w:rsidRPr="00AB36D9">
        <w:rPr>
          <w:vertAlign w:val="superscript"/>
        </w:rPr>
        <w:footnoteReference w:id="51"/>
      </w:r>
    </w:p>
    <w:p w:rsidR="00AB36D9" w:rsidRPr="00AB36D9" w:rsidRDefault="00AB36D9" w:rsidP="00AB36D9">
      <w:r w:rsidRPr="00AB36D9">
        <w:t>Of those entities that included a carbon tax cost component in their 2014/15 gate fees and subsequently removed the carbon tax cost components after repeal, some undertook to refund customers for the carbon tax cost components they paid during the refund period. These entities have now largely completed the process of providing these refunds.</w:t>
      </w:r>
    </w:p>
    <w:p w:rsidR="00AB36D9" w:rsidRPr="00AB36D9" w:rsidRDefault="00AB36D9" w:rsidP="00AB36D9">
      <w:r w:rsidRPr="00AB36D9">
        <w:t>Across all entities that chose to provide such ref</w:t>
      </w:r>
      <w:r w:rsidR="00DF1F20">
        <w:t>unds, the average refund amount</w:t>
      </w:r>
      <w:r w:rsidRPr="00AB36D9">
        <w:t xml:space="preserve"> and total refund amounts, provided to each customer type is as follows:</w:t>
      </w:r>
    </w:p>
    <w:p w:rsidR="00AB36D9" w:rsidRPr="008F0AA0" w:rsidRDefault="00AB36D9" w:rsidP="008F0AA0">
      <w:pPr>
        <w:pStyle w:val="Tabletitle"/>
      </w:pPr>
      <w:r w:rsidRPr="008F0AA0">
        <w:t xml:space="preserve">Table </w:t>
      </w:r>
      <w:r w:rsidRPr="00DD08DF">
        <w:t>7</w:t>
      </w:r>
      <w:r w:rsidRPr="008F0AA0">
        <w:t>: Refunds provided due to retrospective application of the carbon tax repeal legislation for carbon tax components paid during the refund period</w:t>
      </w:r>
    </w:p>
    <w:tbl>
      <w:tblPr>
        <w:tblStyle w:val="LightShading11"/>
        <w:tblW w:w="0" w:type="auto"/>
        <w:jc w:val="center"/>
        <w:tblLook w:val="04A0" w:firstRow="1" w:lastRow="0" w:firstColumn="1" w:lastColumn="0" w:noHBand="0" w:noVBand="1"/>
      </w:tblPr>
      <w:tblGrid>
        <w:gridCol w:w="3292"/>
        <w:gridCol w:w="3159"/>
        <w:gridCol w:w="2791"/>
      </w:tblGrid>
      <w:tr w:rsidR="00AB36D9" w:rsidRPr="00AB36D9" w:rsidTr="00D721D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92" w:type="dxa"/>
          </w:tcPr>
          <w:p w:rsidR="00AB36D9" w:rsidRPr="00AB36D9" w:rsidRDefault="00AB36D9" w:rsidP="00D721DE">
            <w:pPr>
              <w:pStyle w:val="Tabletext"/>
            </w:pPr>
            <w:r w:rsidRPr="00AB36D9">
              <w:t>Customer Type</w:t>
            </w:r>
          </w:p>
        </w:tc>
        <w:tc>
          <w:tcPr>
            <w:tcW w:w="3159" w:type="dxa"/>
          </w:tcPr>
          <w:p w:rsidR="00AB36D9" w:rsidRPr="00AB36D9" w:rsidRDefault="00AB36D9" w:rsidP="00D721DE">
            <w:pPr>
              <w:pStyle w:val="Tabletext-right"/>
              <w:jc w:val="center"/>
              <w:cnfStyle w:val="100000000000" w:firstRow="1" w:lastRow="0" w:firstColumn="0" w:lastColumn="0" w:oddVBand="0" w:evenVBand="0" w:oddHBand="0" w:evenHBand="0" w:firstRowFirstColumn="0" w:firstRowLastColumn="0" w:lastRowFirstColumn="0" w:lastRowLastColumn="0"/>
            </w:pPr>
            <w:r w:rsidRPr="00AB36D9">
              <w:t>Average refund provided</w:t>
            </w:r>
          </w:p>
        </w:tc>
        <w:tc>
          <w:tcPr>
            <w:tcW w:w="2791" w:type="dxa"/>
          </w:tcPr>
          <w:p w:rsidR="00AB36D9" w:rsidRPr="00AB36D9" w:rsidRDefault="00AB36D9" w:rsidP="00D721DE">
            <w:pPr>
              <w:pStyle w:val="Tabletext-right"/>
              <w:jc w:val="center"/>
              <w:cnfStyle w:val="100000000000" w:firstRow="1" w:lastRow="0" w:firstColumn="0" w:lastColumn="0" w:oddVBand="0" w:evenVBand="0" w:oddHBand="0" w:evenHBand="0" w:firstRowFirstColumn="0" w:firstRowLastColumn="0" w:lastRowFirstColumn="0" w:lastRowLastColumn="0"/>
            </w:pPr>
            <w:r w:rsidRPr="00AB36D9">
              <w:t>Total refunds provided</w:t>
            </w:r>
          </w:p>
        </w:tc>
      </w:tr>
      <w:tr w:rsidR="00AB36D9" w:rsidRPr="00AB36D9" w:rsidTr="00D721DE">
        <w:trPr>
          <w:jc w:val="center"/>
        </w:trPr>
        <w:tc>
          <w:tcPr>
            <w:cnfStyle w:val="001000000000" w:firstRow="0" w:lastRow="0" w:firstColumn="1" w:lastColumn="0" w:oddVBand="0" w:evenVBand="0" w:oddHBand="0" w:evenHBand="0" w:firstRowFirstColumn="0" w:firstRowLastColumn="0" w:lastRowFirstColumn="0" w:lastRowLastColumn="0"/>
            <w:tcW w:w="3292" w:type="dxa"/>
          </w:tcPr>
          <w:p w:rsidR="00AB36D9" w:rsidRPr="00AB36D9" w:rsidRDefault="00AB36D9" w:rsidP="00D721DE">
            <w:pPr>
              <w:pStyle w:val="Tabletext"/>
            </w:pPr>
            <w:r w:rsidRPr="00AB36D9">
              <w:t>Customers on contracts</w:t>
            </w:r>
          </w:p>
        </w:tc>
        <w:tc>
          <w:tcPr>
            <w:tcW w:w="3159" w:type="dxa"/>
          </w:tcPr>
          <w:p w:rsidR="00AB36D9" w:rsidRPr="00AB36D9" w:rsidRDefault="00AB36D9" w:rsidP="00D721DE">
            <w:pPr>
              <w:pStyle w:val="Tabletext-right"/>
              <w:jc w:val="center"/>
              <w:cnfStyle w:val="000000000000" w:firstRow="0" w:lastRow="0" w:firstColumn="0" w:lastColumn="0" w:oddVBand="0" w:evenVBand="0" w:oddHBand="0" w:evenHBand="0" w:firstRowFirstColumn="0" w:firstRowLastColumn="0" w:lastRowFirstColumn="0" w:lastRowLastColumn="0"/>
            </w:pPr>
            <w:r w:rsidRPr="00AB36D9">
              <w:t>$20</w:t>
            </w:r>
            <w:r w:rsidR="000A28C7">
              <w:t xml:space="preserve"> </w:t>
            </w:r>
            <w:r w:rsidRPr="00AB36D9">
              <w:t>181.45</w:t>
            </w:r>
          </w:p>
        </w:tc>
        <w:tc>
          <w:tcPr>
            <w:tcW w:w="2791" w:type="dxa"/>
          </w:tcPr>
          <w:p w:rsidR="00AB36D9" w:rsidRPr="00AB36D9" w:rsidRDefault="00AB36D9" w:rsidP="00D721DE">
            <w:pPr>
              <w:pStyle w:val="Tabletext-right"/>
              <w:jc w:val="center"/>
              <w:cnfStyle w:val="000000000000" w:firstRow="0" w:lastRow="0" w:firstColumn="0" w:lastColumn="0" w:oddVBand="0" w:evenVBand="0" w:oddHBand="0" w:evenHBand="0" w:firstRowFirstColumn="0" w:firstRowLastColumn="0" w:lastRowFirstColumn="0" w:lastRowLastColumn="0"/>
            </w:pPr>
            <w:r w:rsidRPr="00AB36D9">
              <w:t>$40</w:t>
            </w:r>
            <w:r w:rsidR="007D5826">
              <w:t xml:space="preserve"> </w:t>
            </w:r>
            <w:r w:rsidRPr="00AB36D9">
              <w:t>362.89</w:t>
            </w:r>
          </w:p>
        </w:tc>
      </w:tr>
      <w:tr w:rsidR="00AB36D9" w:rsidRPr="00AB36D9" w:rsidTr="00D721DE">
        <w:trPr>
          <w:jc w:val="center"/>
        </w:trPr>
        <w:tc>
          <w:tcPr>
            <w:cnfStyle w:val="001000000000" w:firstRow="0" w:lastRow="0" w:firstColumn="1" w:lastColumn="0" w:oddVBand="0" w:evenVBand="0" w:oddHBand="0" w:evenHBand="0" w:firstRowFirstColumn="0" w:firstRowLastColumn="0" w:lastRowFirstColumn="0" w:lastRowLastColumn="0"/>
            <w:tcW w:w="3292" w:type="dxa"/>
          </w:tcPr>
          <w:p w:rsidR="00AB36D9" w:rsidRPr="00AB36D9" w:rsidRDefault="00AB36D9" w:rsidP="00D721DE">
            <w:pPr>
              <w:pStyle w:val="Tabletext"/>
            </w:pPr>
            <w:r w:rsidRPr="00AB36D9">
              <w:t>Account customers</w:t>
            </w:r>
          </w:p>
        </w:tc>
        <w:tc>
          <w:tcPr>
            <w:tcW w:w="3159" w:type="dxa"/>
          </w:tcPr>
          <w:p w:rsidR="00AB36D9" w:rsidRPr="00AB36D9" w:rsidRDefault="00AB36D9" w:rsidP="00D721DE">
            <w:pPr>
              <w:pStyle w:val="Tabletext-right"/>
              <w:jc w:val="center"/>
              <w:cnfStyle w:val="000000000000" w:firstRow="0" w:lastRow="0" w:firstColumn="0" w:lastColumn="0" w:oddVBand="0" w:evenVBand="0" w:oddHBand="0" w:evenHBand="0" w:firstRowFirstColumn="0" w:firstRowLastColumn="0" w:lastRowFirstColumn="0" w:lastRowLastColumn="0"/>
            </w:pPr>
            <w:r w:rsidRPr="00AB36D9">
              <w:t>$911.28</w:t>
            </w:r>
          </w:p>
        </w:tc>
        <w:tc>
          <w:tcPr>
            <w:tcW w:w="2791" w:type="dxa"/>
          </w:tcPr>
          <w:p w:rsidR="00AB36D9" w:rsidRPr="00AB36D9" w:rsidRDefault="007D5826" w:rsidP="00D721DE">
            <w:pPr>
              <w:pStyle w:val="Tabletext-right"/>
              <w:jc w:val="center"/>
              <w:cnfStyle w:val="000000000000" w:firstRow="0" w:lastRow="0" w:firstColumn="0" w:lastColumn="0" w:oddVBand="0" w:evenVBand="0" w:oddHBand="0" w:evenHBand="0" w:firstRowFirstColumn="0" w:firstRowLastColumn="0" w:lastRowFirstColumn="0" w:lastRowLastColumn="0"/>
            </w:pPr>
            <w:r>
              <w:t xml:space="preserve">$7 </w:t>
            </w:r>
            <w:r w:rsidR="00AB36D9" w:rsidRPr="00AB36D9">
              <w:t>290.24</w:t>
            </w:r>
          </w:p>
        </w:tc>
      </w:tr>
      <w:tr w:rsidR="00AB36D9" w:rsidRPr="00AB36D9" w:rsidTr="00D721DE">
        <w:trPr>
          <w:jc w:val="center"/>
        </w:trPr>
        <w:tc>
          <w:tcPr>
            <w:cnfStyle w:val="001000000000" w:firstRow="0" w:lastRow="0" w:firstColumn="1" w:lastColumn="0" w:oddVBand="0" w:evenVBand="0" w:oddHBand="0" w:evenHBand="0" w:firstRowFirstColumn="0" w:firstRowLastColumn="0" w:lastRowFirstColumn="0" w:lastRowLastColumn="0"/>
            <w:tcW w:w="3292" w:type="dxa"/>
          </w:tcPr>
          <w:p w:rsidR="00AB36D9" w:rsidRPr="00AB36D9" w:rsidRDefault="00AB36D9" w:rsidP="00D721DE">
            <w:pPr>
              <w:pStyle w:val="Tabletext"/>
            </w:pPr>
            <w:r w:rsidRPr="00AB36D9">
              <w:t>Identifiable cash customers</w:t>
            </w:r>
            <w:r w:rsidRPr="00AB36D9">
              <w:rPr>
                <w:b w:val="0"/>
                <w:vertAlign w:val="superscript"/>
              </w:rPr>
              <w:footnoteReference w:id="52"/>
            </w:r>
          </w:p>
        </w:tc>
        <w:tc>
          <w:tcPr>
            <w:tcW w:w="3159" w:type="dxa"/>
          </w:tcPr>
          <w:p w:rsidR="00AB36D9" w:rsidRPr="00AB36D9" w:rsidRDefault="00AB36D9" w:rsidP="00D721DE">
            <w:pPr>
              <w:pStyle w:val="Tabletext-right"/>
              <w:jc w:val="center"/>
              <w:cnfStyle w:val="000000000000" w:firstRow="0" w:lastRow="0" w:firstColumn="0" w:lastColumn="0" w:oddVBand="0" w:evenVBand="0" w:oddHBand="0" w:evenHBand="0" w:firstRowFirstColumn="0" w:firstRowLastColumn="0" w:lastRowFirstColumn="0" w:lastRowLastColumn="0"/>
            </w:pPr>
            <w:r w:rsidRPr="00AB36D9">
              <w:t>$300.38</w:t>
            </w:r>
          </w:p>
        </w:tc>
        <w:tc>
          <w:tcPr>
            <w:tcW w:w="2791" w:type="dxa"/>
          </w:tcPr>
          <w:p w:rsidR="00AB36D9" w:rsidRPr="00AB36D9" w:rsidRDefault="00AB36D9" w:rsidP="00D721DE">
            <w:pPr>
              <w:pStyle w:val="Tabletext-right"/>
              <w:jc w:val="center"/>
              <w:cnfStyle w:val="000000000000" w:firstRow="0" w:lastRow="0" w:firstColumn="0" w:lastColumn="0" w:oddVBand="0" w:evenVBand="0" w:oddHBand="0" w:evenHBand="0" w:firstRowFirstColumn="0" w:firstRowLastColumn="0" w:lastRowFirstColumn="0" w:lastRowLastColumn="0"/>
            </w:pPr>
            <w:r w:rsidRPr="00AB36D9">
              <w:t>$300.38</w:t>
            </w:r>
          </w:p>
        </w:tc>
      </w:tr>
      <w:tr w:rsidR="00AB36D9" w:rsidRPr="00AB36D9" w:rsidTr="00D721DE">
        <w:trPr>
          <w:jc w:val="center"/>
        </w:trPr>
        <w:tc>
          <w:tcPr>
            <w:cnfStyle w:val="001000000000" w:firstRow="0" w:lastRow="0" w:firstColumn="1" w:lastColumn="0" w:oddVBand="0" w:evenVBand="0" w:oddHBand="0" w:evenHBand="0" w:firstRowFirstColumn="0" w:firstRowLastColumn="0" w:lastRowFirstColumn="0" w:lastRowLastColumn="0"/>
            <w:tcW w:w="3292" w:type="dxa"/>
          </w:tcPr>
          <w:p w:rsidR="00AB36D9" w:rsidRPr="00AB36D9" w:rsidRDefault="00AB36D9" w:rsidP="00D721DE">
            <w:pPr>
              <w:pStyle w:val="Tabletext"/>
            </w:pPr>
            <w:r w:rsidRPr="00AB36D9">
              <w:t>Unidentifiable cash customers</w:t>
            </w:r>
            <w:r w:rsidRPr="00AB36D9">
              <w:rPr>
                <w:b w:val="0"/>
                <w:vertAlign w:val="superscript"/>
              </w:rPr>
              <w:footnoteReference w:id="53"/>
            </w:r>
          </w:p>
        </w:tc>
        <w:tc>
          <w:tcPr>
            <w:tcW w:w="3159" w:type="dxa"/>
          </w:tcPr>
          <w:p w:rsidR="00AB36D9" w:rsidRPr="00AB36D9" w:rsidRDefault="00AB36D9" w:rsidP="00D721DE">
            <w:pPr>
              <w:pStyle w:val="Tabletext-right"/>
              <w:jc w:val="center"/>
              <w:cnfStyle w:val="000000000000" w:firstRow="0" w:lastRow="0" w:firstColumn="0" w:lastColumn="0" w:oddVBand="0" w:evenVBand="0" w:oddHBand="0" w:evenHBand="0" w:firstRowFirstColumn="0" w:firstRowLastColumn="0" w:lastRowFirstColumn="0" w:lastRowLastColumn="0"/>
            </w:pPr>
            <w:r w:rsidRPr="00AB36D9">
              <w:t>$137.19</w:t>
            </w:r>
          </w:p>
        </w:tc>
        <w:tc>
          <w:tcPr>
            <w:tcW w:w="2791" w:type="dxa"/>
          </w:tcPr>
          <w:p w:rsidR="00AB36D9" w:rsidRPr="00AB36D9" w:rsidRDefault="00AB36D9" w:rsidP="00D721DE">
            <w:pPr>
              <w:pStyle w:val="Tabletext-right"/>
              <w:jc w:val="center"/>
              <w:cnfStyle w:val="000000000000" w:firstRow="0" w:lastRow="0" w:firstColumn="0" w:lastColumn="0" w:oddVBand="0" w:evenVBand="0" w:oddHBand="0" w:evenHBand="0" w:firstRowFirstColumn="0" w:firstRowLastColumn="0" w:lastRowFirstColumn="0" w:lastRowLastColumn="0"/>
            </w:pPr>
            <w:r w:rsidRPr="00AB36D9">
              <w:t>$274.38</w:t>
            </w:r>
          </w:p>
        </w:tc>
      </w:tr>
    </w:tbl>
    <w:p w:rsidR="00AB36D9" w:rsidRPr="00AB36D9" w:rsidRDefault="00AB36D9" w:rsidP="00AB36D9">
      <w:r w:rsidRPr="00AB36D9">
        <w:t>As noted in the October 2014 Carbon Report, those entities who did not refund customers for the carbon tax cost components paid during the refund period instead decided to utilise the money in ways such as funding improvements or redevelopments to their landfill facility, funding the installation and operation of emissions abatement measures, or to set gate fees for the 2015/16 financial year lower than they otherwise would have been.</w:t>
      </w:r>
    </w:p>
    <w:p w:rsidR="00AB36D9" w:rsidRPr="00AB36D9" w:rsidRDefault="00AB36D9" w:rsidP="009847F6">
      <w:pPr>
        <w:pStyle w:val="Heading3"/>
      </w:pPr>
      <w:bookmarkStart w:id="39" w:name="_Toc417460240"/>
      <w:r w:rsidRPr="00AB36D9">
        <w:t>Money collected for future carbon tax liabilities that will no longer eventuate</w:t>
      </w:r>
      <w:bookmarkEnd w:id="39"/>
      <w:r w:rsidRPr="00AB36D9">
        <w:t xml:space="preserve"> </w:t>
      </w:r>
    </w:p>
    <w:p w:rsidR="00AB36D9" w:rsidRPr="00AB36D9" w:rsidRDefault="00AB36D9" w:rsidP="00AB36D9">
      <w:r w:rsidRPr="00AB36D9">
        <w:t xml:space="preserve">The January 2015 Carbon Report noted that the Department of the Environment had released a consultation paper on 22 December 2014 regarding a proposed industry-wide voluntary framework for the use of money collected by landfill operators for future carbon tax liabilities that will no longer eventuate (the </w:t>
      </w:r>
      <w:r w:rsidR="00A1767F">
        <w:t xml:space="preserve">draft </w:t>
      </w:r>
      <w:r w:rsidRPr="00AB36D9">
        <w:t>Framework). A significant number of landfill operators who are liable entities have advised the ACCC that they are waiting for the Department of the Environment to settle the</w:t>
      </w:r>
      <w:r w:rsidR="00A1767F">
        <w:t xml:space="preserve"> draft</w:t>
      </w:r>
      <w:r w:rsidRPr="00AB36D9">
        <w:t xml:space="preserve"> Framework before making a decision as to what they should do with the excess funds.</w:t>
      </w:r>
    </w:p>
    <w:p w:rsidR="00AB36D9" w:rsidRPr="00AB36D9" w:rsidRDefault="00AB36D9" w:rsidP="00AB36D9">
      <w:r w:rsidRPr="00AB36D9">
        <w:t xml:space="preserve">The consultation paper invited submissions from industry stakeholders on the proposed terms of the </w:t>
      </w:r>
      <w:r w:rsidR="00A1767F">
        <w:t xml:space="preserve">draft </w:t>
      </w:r>
      <w:r w:rsidRPr="00AB36D9">
        <w:t xml:space="preserve">Framework. The period for submitting responses to the consultation paper closed on 12 February 2015. The Department of the Environment has published the submissions it has received, which can be viewed at </w:t>
      </w:r>
      <w:hyperlink r:id="rId44" w:history="1">
        <w:r w:rsidRPr="00AB36D9">
          <w:rPr>
            <w:color w:val="0000FF"/>
            <w:u w:val="single"/>
          </w:rPr>
          <w:t>the Department of the Environment's website</w:t>
        </w:r>
      </w:hyperlink>
      <w:r w:rsidRPr="00AB36D9">
        <w:t>.</w:t>
      </w:r>
    </w:p>
    <w:p w:rsidR="00AB36D9" w:rsidRPr="00AB36D9" w:rsidRDefault="00AB36D9" w:rsidP="00AB36D9">
      <w:r w:rsidRPr="00AB36D9">
        <w:t xml:space="preserve">The Department of the Environment is </w:t>
      </w:r>
      <w:r w:rsidR="00B85F2D" w:rsidRPr="00B85F2D">
        <w:t>working further on the draft Framework in light of</w:t>
      </w:r>
      <w:r w:rsidRPr="00AB36D9">
        <w:t xml:space="preserve"> submissions received during the consultation period</w:t>
      </w:r>
      <w:r w:rsidR="00B85F2D" w:rsidRPr="00B85F2D">
        <w:t xml:space="preserve"> with a view to making a recommendation to the Minister for the Environment and to the landfill industry in</w:t>
      </w:r>
      <w:r w:rsidRPr="000A28C7">
        <w:rPr>
          <w:rStyle w:val="Strong"/>
          <w:b w:val="0"/>
        </w:rPr>
        <w:t xml:space="preserve"> May 2015</w:t>
      </w:r>
      <w:r w:rsidRPr="000A28C7">
        <w:rPr>
          <w:b/>
        </w:rPr>
        <w:t>.</w:t>
      </w:r>
    </w:p>
    <w:p w:rsidR="00AB36D9" w:rsidRPr="00AB36D9" w:rsidRDefault="00AB36D9" w:rsidP="00FB25CA">
      <w:pPr>
        <w:pStyle w:val="Heading3"/>
        <w:keepNext/>
        <w:keepLines/>
      </w:pPr>
      <w:bookmarkStart w:id="40" w:name="_Toc417460241"/>
      <w:r w:rsidRPr="00AB36D9">
        <w:lastRenderedPageBreak/>
        <w:t>The ACCC’s monitoring activities</w:t>
      </w:r>
      <w:bookmarkEnd w:id="40"/>
    </w:p>
    <w:p w:rsidR="00AB36D9" w:rsidRPr="00AB36D9" w:rsidRDefault="00AB36D9" w:rsidP="00FB25CA">
      <w:pPr>
        <w:keepNext/>
        <w:keepLines/>
      </w:pPr>
      <w:r w:rsidRPr="00AB36D9">
        <w:t xml:space="preserve">In its monitoring role, the ACCC will continue to seek information from entities within this industry. Subsequent information gathering will focus on confirming entities’ decisions regarding the use of any money collected for future carbon tax liabilities that will no longer eventuate. Although the price exploitation provisions of the CCA do not apply to the landfill industry, the ACCC expects landfill operators to be transparent with customers and rate-payers about how they will deal with this money. </w:t>
      </w:r>
    </w:p>
    <w:p w:rsidR="00AB36D9" w:rsidRPr="00AB36D9" w:rsidRDefault="00AB36D9" w:rsidP="00AB36D9">
      <w:r w:rsidRPr="00AB36D9">
        <w:t>The ACCC will also continue to monitor the industry for complaints.</w:t>
      </w:r>
    </w:p>
    <w:p w:rsidR="00AB36D9" w:rsidRPr="00AB36D9" w:rsidRDefault="00AB36D9" w:rsidP="008F0AA0">
      <w:pPr>
        <w:pStyle w:val="Heading2"/>
      </w:pPr>
      <w:bookmarkStart w:id="41" w:name="_Toc417460242"/>
      <w:r w:rsidRPr="00AB36D9">
        <w:t>Construction material manufacturing</w:t>
      </w:r>
      <w:bookmarkEnd w:id="41"/>
    </w:p>
    <w:p w:rsidR="00AB36D9" w:rsidRPr="00AB36D9" w:rsidRDefault="00AB36D9" w:rsidP="00B54A88">
      <w:pPr>
        <w:pStyle w:val="Boxedtext"/>
        <w:shd w:val="clear" w:color="auto" w:fill="D9D9D9" w:themeFill="background1" w:themeFillShade="D9"/>
      </w:pPr>
      <w:r w:rsidRPr="00AB36D9">
        <w:t>The ACCC is satisfied that, where carbon-tax related price increases were made, there is no information available to indicate that any liable entities in the construction material manufacturing sector are continuing to charge prices that include any carbon tax components.</w:t>
      </w:r>
      <w:r w:rsidR="00063DF1">
        <w:t xml:space="preserve"> The ACCC does not consider that any of those entities’ representations or conduct could be held to be misleading.</w:t>
      </w:r>
    </w:p>
    <w:p w:rsidR="00AB36D9" w:rsidRPr="00AB36D9" w:rsidRDefault="00AB36D9" w:rsidP="00B54A88">
      <w:pPr>
        <w:pStyle w:val="Boxedtext"/>
        <w:shd w:val="clear" w:color="auto" w:fill="D9D9D9" w:themeFill="background1" w:themeFillShade="D9"/>
        <w:rPr>
          <w:bCs/>
        </w:rPr>
      </w:pPr>
      <w:r w:rsidRPr="00AB36D9">
        <w:t>Entities in this sector are not suppliers of regulated goods so the price exploitation provisions of the CCA do not apply to them. However they are prohibited from making any misrepresentations about the effect of the carbon tax or its repeal.</w:t>
      </w:r>
    </w:p>
    <w:p w:rsidR="00AB36D9" w:rsidRPr="00AB36D9" w:rsidRDefault="00AB36D9" w:rsidP="008F0AA0">
      <w:pPr>
        <w:pStyle w:val="Heading3"/>
      </w:pPr>
      <w:bookmarkStart w:id="42" w:name="_Toc417460243"/>
      <w:r w:rsidRPr="00AB36D9">
        <w:t>Bricks and related products</w:t>
      </w:r>
      <w:bookmarkEnd w:id="42"/>
    </w:p>
    <w:p w:rsidR="00AB36D9" w:rsidRPr="00AB36D9" w:rsidRDefault="00AB36D9" w:rsidP="00AB36D9">
      <w:r w:rsidRPr="00AB36D9">
        <w:t>In the January 2015 Carbon Report, the ACCC considered it was unclear whether recent adjustments to the prices for bricks and related products reflected the pass through of any cost savings from the carbon tax repeal, and as such whether any carbon tax component remained in the prices for those products post repeal.</w:t>
      </w:r>
      <w:r w:rsidR="00063DF1">
        <w:t xml:space="preserve"> The ACCC’s monitoring focused on two entities in this sector because of representations they made (to the general public and its customers in one case, and to customers in the other case) prior to the introduction of the carbon tax in 2012. The entities’ statements and/or conduct after the repeal of the carbon tax appeared to be potentially inconsistent with the representations made prior to the introduction of the carbon tax.</w:t>
      </w:r>
      <w:r w:rsidRPr="00AB36D9">
        <w:t xml:space="preserve"> The ACCC has now obtained further information from </w:t>
      </w:r>
      <w:r w:rsidR="00063DF1">
        <w:t xml:space="preserve">these </w:t>
      </w:r>
      <w:r w:rsidRPr="00AB36D9">
        <w:t>brick manufacturing entities to better understand th</w:t>
      </w:r>
      <w:r w:rsidR="00063DF1">
        <w:t>ese</w:t>
      </w:r>
      <w:r w:rsidRPr="00AB36D9">
        <w:t xml:space="preserve"> issue</w:t>
      </w:r>
      <w:r w:rsidR="00063DF1">
        <w:t>s</w:t>
      </w:r>
      <w:r w:rsidRPr="00AB36D9">
        <w:t>.</w:t>
      </w:r>
    </w:p>
    <w:p w:rsidR="001D5183" w:rsidRDefault="001D5183" w:rsidP="001D5183">
      <w:r>
        <w:rPr>
          <w:color w:val="000000"/>
        </w:rPr>
        <w:t>The ACCC has recently noted that, quite apart from the effects of the carbon tax, the brick industry has been undergoing a long term shift in demand due to the shift to multi-residential dwellings which has placed pressure on the returns that brick manufacturers have been able to achieve.</w:t>
      </w:r>
      <w:r>
        <w:rPr>
          <w:rStyle w:val="FootnoteReference"/>
          <w:color w:val="000000"/>
        </w:rPr>
        <w:footnoteReference w:id="54"/>
      </w:r>
      <w:r>
        <w:rPr>
          <w:color w:val="000000"/>
        </w:rPr>
        <w:t xml:space="preserve"> </w:t>
      </w:r>
    </w:p>
    <w:p w:rsidR="00AB36D9" w:rsidRPr="00AB36D9" w:rsidRDefault="00AB36D9" w:rsidP="00AB36D9">
      <w:r w:rsidRPr="00AB36D9">
        <w:t>In the January 2015 Carbon Report, the ACCC noted that one entity:</w:t>
      </w:r>
    </w:p>
    <w:p w:rsidR="00AB36D9" w:rsidRPr="00AB36D9" w:rsidRDefault="00AB36D9" w:rsidP="008F0AA0">
      <w:pPr>
        <w:pStyle w:val="Bulletpoint"/>
      </w:pPr>
      <w:r w:rsidRPr="00AB36D9">
        <w:t>made public statements prior to the commencement of the carbon tax that it intended to raise i</w:t>
      </w:r>
      <w:r w:rsidR="00DF1F20">
        <w:t>ts prices due to the carbon tax</w:t>
      </w:r>
    </w:p>
    <w:p w:rsidR="00AB36D9" w:rsidRPr="00AB36D9" w:rsidRDefault="00AB36D9" w:rsidP="008F0AA0">
      <w:pPr>
        <w:pStyle w:val="Bulletpoint"/>
      </w:pPr>
      <w:r w:rsidRPr="00AB36D9">
        <w:t>raised its prices shortly before the commencement of the carbon tax, and</w:t>
      </w:r>
    </w:p>
    <w:p w:rsidR="00AB36D9" w:rsidRPr="00AB36D9" w:rsidRDefault="00AB36D9" w:rsidP="008F0AA0">
      <w:pPr>
        <w:pStyle w:val="Bulletpoint"/>
      </w:pPr>
      <w:r w:rsidRPr="00AB36D9">
        <w:t>in communicating those price rises to its customers, advised them there would be no separate price increase when the carbon tax commenced.</w:t>
      </w:r>
    </w:p>
    <w:p w:rsidR="00AB36D9" w:rsidRPr="00AB36D9" w:rsidRDefault="00AB36D9" w:rsidP="00AB36D9">
      <w:r w:rsidRPr="00AB36D9">
        <w:t>The ACCC considered that, in these circumstances, it was unclear whether the entity’s prices might have included carbon tax components. This entity is Brickworks Ltd and its related brick manufacturing companies (Brickworks).</w:t>
      </w:r>
    </w:p>
    <w:p w:rsidR="00AB36D9" w:rsidRPr="00AB36D9" w:rsidRDefault="00AB36D9" w:rsidP="00AB36D9">
      <w:r w:rsidRPr="00AB36D9">
        <w:lastRenderedPageBreak/>
        <w:t xml:space="preserve">Brickworks has advised the ACCC that in calculating the price rises it </w:t>
      </w:r>
      <w:r w:rsidR="001D5183">
        <w:t>sought</w:t>
      </w:r>
      <w:r w:rsidRPr="00AB36D9">
        <w:t xml:space="preserve"> to implement at </w:t>
      </w:r>
      <w:r w:rsidR="006C1A25">
        <w:t xml:space="preserve">or about </w:t>
      </w:r>
      <w:r w:rsidRPr="00AB36D9">
        <w:t xml:space="preserve">the time of the commencement of the carbon tax, it took into account all of its </w:t>
      </w:r>
      <w:r w:rsidR="006C1A25">
        <w:t xml:space="preserve">increased </w:t>
      </w:r>
      <w:r w:rsidR="00FB25CA">
        <w:t>costs, including carbon</w:t>
      </w:r>
      <w:r w:rsidRPr="00AB36D9">
        <w:t xml:space="preserve"> </w:t>
      </w:r>
      <w:r w:rsidR="006C1A25">
        <w:t xml:space="preserve">and higher energy costs, </w:t>
      </w:r>
      <w:r w:rsidRPr="00AB36D9">
        <w:t xml:space="preserve">and </w:t>
      </w:r>
      <w:r w:rsidR="006C1A25">
        <w:t>considered</w:t>
      </w:r>
      <w:r w:rsidRPr="00AB36D9">
        <w:t xml:space="preserve"> price</w:t>
      </w:r>
      <w:r w:rsidR="006C1A25">
        <w:t xml:space="preserve"> increase</w:t>
      </w:r>
      <w:r w:rsidRPr="00AB36D9">
        <w:t xml:space="preserve">s which would cover those costs. However, after examining prevailing market conditions, it determined that attempting to </w:t>
      </w:r>
      <w:r w:rsidR="006C1A25">
        <w:t>increase</w:t>
      </w:r>
      <w:r w:rsidR="006C1A25" w:rsidRPr="00AB36D9">
        <w:t xml:space="preserve"> </w:t>
      </w:r>
      <w:r w:rsidRPr="00AB36D9">
        <w:t xml:space="preserve">these prices </w:t>
      </w:r>
      <w:r w:rsidR="006C1A25">
        <w:t xml:space="preserve">to cover all these costs </w:t>
      </w:r>
      <w:r w:rsidRPr="00AB36D9">
        <w:t xml:space="preserve">would result in significantly lower sales volumes, and therefore lower revenue. It therefore raised its prices to lower levels, which it </w:t>
      </w:r>
      <w:r w:rsidR="006C1A25">
        <w:t>advises</w:t>
      </w:r>
      <w:r w:rsidR="006C1A25" w:rsidRPr="00AB36D9">
        <w:t xml:space="preserve"> </w:t>
      </w:r>
      <w:r w:rsidRPr="00AB36D9">
        <w:t>did not cover its carbon tax costs. Given this, Brickworks reiterated its claim that its prices at the time of the carbon tax repeal contained no carbon tax component.</w:t>
      </w:r>
    </w:p>
    <w:p w:rsidR="00AB36D9" w:rsidRPr="00AB36D9" w:rsidRDefault="00AB36D9" w:rsidP="00AB36D9">
      <w:r w:rsidRPr="00AB36D9">
        <w:t xml:space="preserve">Brickworks has clarified that in stating to </w:t>
      </w:r>
      <w:r w:rsidR="006C1A25">
        <w:t>customers</w:t>
      </w:r>
      <w:r w:rsidR="006C1A25" w:rsidRPr="00AB36D9">
        <w:t xml:space="preserve"> </w:t>
      </w:r>
      <w:r w:rsidRPr="00AB36D9">
        <w:t>that there would be no separate price rise when the carbon tax commenced, it intended to convey that there would be no price rise specifically attributed to the carbon tax. It claims that almost none of its customers understood its price rises as being linked to the carbon tax, with only one customer seeking a pricing adjustment due to the repeal. Brickworks did not adjust this customer’s prices on the basis that its prices at the time of repeal contained no carbon tax component.</w:t>
      </w:r>
    </w:p>
    <w:p w:rsidR="00AB36D9" w:rsidRPr="00AB36D9" w:rsidRDefault="00AB36D9" w:rsidP="00AB36D9">
      <w:r w:rsidRPr="00AB36D9">
        <w:t>Brickworks has stated to the ACCC that the carbon tax and its repeal have had relatively little impact on its overall costs and profitability compared to the non-carbon tax related increases to its energy, wages, fuel and other input costs. Over the life of the carbon tax, its prices and sales volume both rose, but not sufficiently to cover decreases in profitability which occurred in previous years. Brickworks continues to be concerned about the long term viability of its business, and to focus on the long term task of margin repair.</w:t>
      </w:r>
    </w:p>
    <w:p w:rsidR="00AB36D9" w:rsidRPr="00AB36D9" w:rsidRDefault="00AB36D9" w:rsidP="00AB36D9">
      <w:r w:rsidRPr="00AB36D9">
        <w:t>In the January 2015 Carbon Report in relation to another brick manufacturer, Boral, the ACCC stated that it was not clear whether its brick business had passed on all cost savings arising from the carbon tax repeal. Since that time, Boral has provided further details regarding the effect of the carbon tax repeal on its costs and about its price setting processes.</w:t>
      </w:r>
    </w:p>
    <w:p w:rsidR="00AB36D9" w:rsidRPr="00AB36D9" w:rsidRDefault="00AB36D9" w:rsidP="00AB36D9">
      <w:r w:rsidRPr="00AB36D9">
        <w:t xml:space="preserve">Boral has outlined the factors it considered in setting its prices after the repeal, which included: </w:t>
      </w:r>
    </w:p>
    <w:p w:rsidR="00AB36D9" w:rsidRPr="00AB36D9" w:rsidRDefault="00AB36D9" w:rsidP="008F0AA0">
      <w:pPr>
        <w:pStyle w:val="Bulletpoint"/>
      </w:pPr>
      <w:r w:rsidRPr="00AB36D9">
        <w:t xml:space="preserve">changes to its costs, in particular: </w:t>
      </w:r>
    </w:p>
    <w:p w:rsidR="00AB36D9" w:rsidRPr="00AB36D9" w:rsidRDefault="00AB36D9" w:rsidP="008F0AA0">
      <w:pPr>
        <w:pStyle w:val="Bulletpoint2"/>
      </w:pPr>
      <w:r w:rsidRPr="00AB36D9">
        <w:t xml:space="preserve">minor savings from the carbon tax repeal, and </w:t>
      </w:r>
    </w:p>
    <w:p w:rsidR="00AB36D9" w:rsidRPr="00AB36D9" w:rsidRDefault="00AB36D9" w:rsidP="008F0AA0">
      <w:pPr>
        <w:pStyle w:val="Bulletpoint2"/>
      </w:pPr>
      <w:r w:rsidRPr="00AB36D9">
        <w:t>signi</w:t>
      </w:r>
      <w:r w:rsidR="00AB0AD3">
        <w:t>ficant increases to other costs</w:t>
      </w:r>
    </w:p>
    <w:p w:rsidR="00AB36D9" w:rsidRPr="00AB36D9" w:rsidRDefault="00AB0AD3" w:rsidP="008F0AA0">
      <w:pPr>
        <w:pStyle w:val="Bulletpoint"/>
      </w:pPr>
      <w:r>
        <w:t>the demand for its products</w:t>
      </w:r>
    </w:p>
    <w:p w:rsidR="00AB36D9" w:rsidRPr="00AB36D9" w:rsidRDefault="00AB36D9" w:rsidP="008F0AA0">
      <w:pPr>
        <w:pStyle w:val="Bulletpoint"/>
      </w:pPr>
      <w:r w:rsidRPr="00AB36D9">
        <w:t>the</w:t>
      </w:r>
      <w:r w:rsidR="00AB0AD3">
        <w:t xml:space="preserve"> market price for such products</w:t>
      </w:r>
    </w:p>
    <w:p w:rsidR="00AB36D9" w:rsidRPr="00AB36D9" w:rsidRDefault="00AB36D9" w:rsidP="008F0AA0">
      <w:pPr>
        <w:pStyle w:val="Bulletpoint"/>
      </w:pPr>
      <w:r w:rsidRPr="00AB36D9">
        <w:t xml:space="preserve">the impact of previous price rise attempts on actual prices paid, and </w:t>
      </w:r>
    </w:p>
    <w:p w:rsidR="00AB36D9" w:rsidRPr="00AB36D9" w:rsidRDefault="00AB36D9" w:rsidP="008F0AA0">
      <w:pPr>
        <w:pStyle w:val="Bulletpoint"/>
      </w:pPr>
      <w:r w:rsidRPr="00AB36D9">
        <w:t>the overall profitability of the business.</w:t>
      </w:r>
    </w:p>
    <w:p w:rsidR="00AB36D9" w:rsidRPr="00AB36D9" w:rsidRDefault="00AB36D9" w:rsidP="00AB36D9">
      <w:r w:rsidRPr="00AB36D9">
        <w:t xml:space="preserve">Boral has advised its customers that its list prices for bricks will rise at varying times depending on location in early 2015. Following its consideration of the factors noted above, Boral concluded that reducing its list prices to reflect the minor savings from the carbon tax repeal would not have been reasonable or sustainable. It claims that, if it had lowered its prices following the repeal, its list prices would then have needed to rise by more than is currently forecast or to rise sooner than early 2015, or both. </w:t>
      </w:r>
    </w:p>
    <w:p w:rsidR="00AB36D9" w:rsidRPr="00AB36D9" w:rsidRDefault="00AB36D9" w:rsidP="00AB36D9">
      <w:r w:rsidRPr="00AB36D9">
        <w:t>The ACCC considers that this outcome is consistent with information provided to the ACCC by other entities in the construction materials sector, and by manufacturers generally, that the repeal of the carbon tax has meant that prices have not risen as much as they otherwise would have. Savings from the carbon tax repeal have offset rises in other costs, as well as price rises caused by rising demand for some construction materials.</w:t>
      </w:r>
    </w:p>
    <w:p w:rsidR="00AE150C" w:rsidRDefault="00AB36D9" w:rsidP="00AE150C">
      <w:bookmarkStart w:id="43" w:name="_Toc409084943"/>
      <w:bookmarkStart w:id="44" w:name="_Toc409702802"/>
      <w:bookmarkStart w:id="45" w:name="_Toc409705322"/>
      <w:r w:rsidRPr="00AB36D9">
        <w:lastRenderedPageBreak/>
        <w:t>In light of the further information received from these entities, the ACCC is now satisfied that, where carbon tax-rel</w:t>
      </w:r>
      <w:r w:rsidR="00A1767F">
        <w:t>ated price increases were made,</w:t>
      </w:r>
      <w:r w:rsidRPr="00AB36D9">
        <w:t xml:space="preserve"> there is no information available to indicate that any liable entities in this sector are continuing to charge prices that include any carbon tax components.</w:t>
      </w:r>
      <w:r w:rsidR="00063DF1">
        <w:t xml:space="preserve"> The ACCC does </w:t>
      </w:r>
      <w:r w:rsidR="00063DF1" w:rsidRPr="007B0EB1">
        <w:t xml:space="preserve">not consider that any of </w:t>
      </w:r>
      <w:r w:rsidR="00063DF1">
        <w:t>those entities’</w:t>
      </w:r>
      <w:r w:rsidR="00063DF1" w:rsidRPr="007B0EB1">
        <w:t xml:space="preserve"> representations or conduct could be held to be misleading</w:t>
      </w:r>
      <w:r w:rsidR="00063DF1">
        <w:t>.</w:t>
      </w:r>
    </w:p>
    <w:p w:rsidR="00AB36D9" w:rsidRPr="00AB36D9" w:rsidRDefault="00AB36D9" w:rsidP="00AE150C">
      <w:pPr>
        <w:pStyle w:val="Heading3"/>
      </w:pPr>
      <w:bookmarkStart w:id="46" w:name="_Toc417460244"/>
      <w:r w:rsidRPr="00AB36D9">
        <w:t>The ACCC’s monitoring activities</w:t>
      </w:r>
      <w:bookmarkEnd w:id="43"/>
      <w:bookmarkEnd w:id="44"/>
      <w:bookmarkEnd w:id="45"/>
      <w:bookmarkEnd w:id="46"/>
    </w:p>
    <w:p w:rsidR="00AB36D9" w:rsidRPr="00AB36D9" w:rsidRDefault="00AB36D9" w:rsidP="00AE150C">
      <w:r w:rsidRPr="00AB36D9">
        <w:t xml:space="preserve">The ACCC will cease reporting on this sector in future monitoring reports, but will continue to monitor for complaints and to ensure misrepresentations do not occur. </w:t>
      </w:r>
    </w:p>
    <w:p w:rsidR="00AB36D9" w:rsidRPr="00AB36D9" w:rsidRDefault="00AB36D9" w:rsidP="008F0AA0">
      <w:pPr>
        <w:pStyle w:val="Heading2"/>
      </w:pPr>
      <w:bookmarkStart w:id="47" w:name="_Toc417460245"/>
      <w:r w:rsidRPr="00AB36D9">
        <w:t>Domestic passenger air transport services</w:t>
      </w:r>
      <w:bookmarkEnd w:id="47"/>
    </w:p>
    <w:p w:rsidR="00AB36D9" w:rsidRPr="00AB36D9" w:rsidRDefault="00AB36D9" w:rsidP="00B54A88">
      <w:pPr>
        <w:pStyle w:val="Boxedtext"/>
        <w:shd w:val="clear" w:color="auto" w:fill="D9D9D9" w:themeFill="background1" w:themeFillShade="D9"/>
      </w:pPr>
      <w:r w:rsidRPr="00AB36D9">
        <w:t xml:space="preserve">In previous reports the ACCC has indicated it was assessing the representations made by </w:t>
      </w:r>
      <w:r w:rsidR="002E50EA">
        <w:t xml:space="preserve">the </w:t>
      </w:r>
      <w:r w:rsidRPr="00AB36D9">
        <w:t xml:space="preserve">domestic airlines regarding the effect </w:t>
      </w:r>
      <w:r w:rsidR="00876DC2">
        <w:t>of the carbon tax repeal on air</w:t>
      </w:r>
      <w:r w:rsidRPr="00AB36D9">
        <w:t xml:space="preserve">fares. The ACCC has now completed that assessment of the representations made by Qantas and Virgin about the effect </w:t>
      </w:r>
      <w:r w:rsidR="00876DC2">
        <w:t>of the carbon tax repeal on air</w:t>
      </w:r>
      <w:r w:rsidRPr="00AB36D9">
        <w:t>fares and does not propose any further action.</w:t>
      </w:r>
    </w:p>
    <w:p w:rsidR="00AB36D9" w:rsidRPr="00AB36D9" w:rsidRDefault="00AB36D9" w:rsidP="00B54A88">
      <w:pPr>
        <w:pStyle w:val="Boxedtext"/>
        <w:shd w:val="clear" w:color="auto" w:fill="D9D9D9" w:themeFill="background1" w:themeFillShade="D9"/>
      </w:pPr>
      <w:r w:rsidRPr="00AB36D9">
        <w:t>The ACCC found that the airlines attempted to recover the cost of the carbon tax by increasing their airfares and were likely to have had some, albeit limited, success in recovering these costs in the period immediately after these fare increases were applied. However, the ACCC considers these fare increases were likely to have been transitory, and not enduring over the period that the carbon tax was in effect.</w:t>
      </w:r>
    </w:p>
    <w:p w:rsidR="00AB36D9" w:rsidRPr="00AB36D9" w:rsidRDefault="00AB36D9" w:rsidP="00B54A88">
      <w:pPr>
        <w:pStyle w:val="Boxedtext"/>
        <w:shd w:val="clear" w:color="auto" w:fill="D9D9D9" w:themeFill="background1" w:themeFillShade="D9"/>
      </w:pPr>
      <w:r w:rsidRPr="00AB36D9">
        <w:t>As domestic airlines are not suppliers of regulated goods, the price exploitation provisions of the CCA do not apply to them. Instead, the ACCC assessed the representations made by the airlines to determine if they may be misleading or deceptive.</w:t>
      </w:r>
    </w:p>
    <w:p w:rsidR="00AB36D9" w:rsidRPr="00AB36D9" w:rsidRDefault="00AB36D9" w:rsidP="009847F6">
      <w:pPr>
        <w:pStyle w:val="Heading3"/>
      </w:pPr>
      <w:bookmarkStart w:id="48" w:name="_Toc417460246"/>
      <w:r w:rsidRPr="00AB36D9">
        <w:t>Representations regarding the carbon tax repeal</w:t>
      </w:r>
      <w:bookmarkEnd w:id="48"/>
    </w:p>
    <w:p w:rsidR="00AB36D9" w:rsidRPr="00AB36D9" w:rsidRDefault="00AB36D9" w:rsidP="00AB36D9">
      <w:r w:rsidRPr="00AB36D9">
        <w:t xml:space="preserve">On 2 February 2012, prior to the introduction of the carbon tax, </w:t>
      </w:r>
      <w:r w:rsidR="00876DC2">
        <w:t>Qantas</w:t>
      </w:r>
      <w:r w:rsidRPr="00AB36D9">
        <w:t xml:space="preserve"> issued a media release stating that it would impose a distance based surcharge to recover the cost of the carbon tax.</w:t>
      </w:r>
      <w:r w:rsidRPr="00AB36D9">
        <w:rPr>
          <w:vertAlign w:val="superscript"/>
        </w:rPr>
        <w:footnoteReference w:id="55"/>
      </w:r>
      <w:r w:rsidRPr="00AB36D9">
        <w:t xml:space="preserve"> On 9 July 2014, while the carbon tax was being repealed, Qantas stated that:</w:t>
      </w:r>
    </w:p>
    <w:p w:rsidR="00AB36D9" w:rsidRPr="00AB36D9" w:rsidRDefault="00AB36D9" w:rsidP="008F0AA0">
      <w:pPr>
        <w:pStyle w:val="Quote"/>
      </w:pPr>
      <w:r w:rsidRPr="00AB36D9">
        <w:t>‘…We were not able to recover the cost of the carbon tax through price increases as originally intended. Our all-inclusive fares did not rise though we did keep a small carbon surcharge on domestic fares so that we could keep track internally of the cost of the tax. This has now been removed but there won’t be any change to the prices that customers pay as it’s an administrative step only.’</w:t>
      </w:r>
      <w:r w:rsidRPr="00AB36D9">
        <w:rPr>
          <w:vertAlign w:val="superscript"/>
        </w:rPr>
        <w:footnoteReference w:id="56"/>
      </w:r>
    </w:p>
    <w:p w:rsidR="00AB36D9" w:rsidRPr="00AB36D9" w:rsidRDefault="00AB36D9" w:rsidP="00AB36D9">
      <w:r w:rsidRPr="00AB36D9">
        <w:t>On 11 July 2011, Virgin stated that it would be unable to absorb the cost of the carbon tax and would pass that cost on to consumers in full.</w:t>
      </w:r>
      <w:r w:rsidRPr="00AB36D9">
        <w:rPr>
          <w:vertAlign w:val="superscript"/>
        </w:rPr>
        <w:footnoteReference w:id="57"/>
      </w:r>
      <w:r w:rsidRPr="00AB36D9">
        <w:t xml:space="preserve"> As noted in the ACCC’s October 2014</w:t>
      </w:r>
      <w:r w:rsidR="00A1767F">
        <w:t xml:space="preserve"> Carbon Report</w:t>
      </w:r>
      <w:r w:rsidRPr="00AB36D9">
        <w:t>, Virgin’s position when the carbon tax was repealed was that it had absorbed the carbon tax costs and had not added them to ticket prices.</w:t>
      </w:r>
      <w:r w:rsidRPr="00AB36D9">
        <w:rPr>
          <w:vertAlign w:val="superscript"/>
        </w:rPr>
        <w:footnoteReference w:id="58"/>
      </w:r>
      <w:r w:rsidRPr="00AB36D9">
        <w:t xml:space="preserve"> </w:t>
      </w:r>
    </w:p>
    <w:p w:rsidR="00AB36D9" w:rsidRPr="00AB36D9" w:rsidRDefault="00AB36D9" w:rsidP="00876DC2">
      <w:pPr>
        <w:pStyle w:val="Heading3"/>
        <w:keepNext/>
        <w:keepLines/>
      </w:pPr>
      <w:bookmarkStart w:id="49" w:name="_Toc417460247"/>
      <w:r w:rsidRPr="00AB36D9">
        <w:lastRenderedPageBreak/>
        <w:t>The ACCC’s assessment</w:t>
      </w:r>
      <w:bookmarkEnd w:id="49"/>
    </w:p>
    <w:p w:rsidR="00AB36D9" w:rsidRPr="00AB36D9" w:rsidRDefault="00AB36D9" w:rsidP="00876DC2">
      <w:pPr>
        <w:keepNext/>
        <w:keepLines/>
      </w:pPr>
      <w:r w:rsidRPr="00AB36D9">
        <w:t>In assessing Qantas’ representations, the ACCC sought to determine whether Qantas’ final fares had increased due to the cost of the carbon tax. If this were the case, Qantas’ statement that fares had not increased and hence, would not fall upon the repeal of the carbon tax would likely be misleading or deceptive. The ACCC found that Qantas and Virgin each planned to recover carbon tax costs by raising fares and each took steps to implement their plans, including initially increasing fares for travel after 1 July 2012. However, around the same time that the carbon tax took effect the airlines added significant capacity (flights) in the domestic market in terms of number of seats flown. Under pressure to fill these extra seats, the airlines reduced fares which effectively removed most or all of the carbon tax related fare increases they had previously implemented.</w:t>
      </w:r>
    </w:p>
    <w:p w:rsidR="00AB36D9" w:rsidRPr="00AB36D9" w:rsidRDefault="00AB36D9" w:rsidP="00AB36D9">
      <w:r w:rsidRPr="00AB36D9">
        <w:t xml:space="preserve">While the airlines claim that they did not recover carbon tax costs while the carbon tax was in effect, the ACCC assessment is that they are likely to have had some, albeit limited, success in recovering carbon tax costs from consumers in the period immediately after these fare increases were applied, including on fares charged for travel taking place after 1 July 2012, but booked before that date. </w:t>
      </w:r>
    </w:p>
    <w:p w:rsidR="00AB36D9" w:rsidRPr="00AB36D9" w:rsidRDefault="00AB36D9" w:rsidP="00AB36D9">
      <w:r w:rsidRPr="00AB36D9">
        <w:t xml:space="preserve">It appears that the airlines continued to make significant capacity additions over most of the two year period in which the carbon tax was in effect. Based on material produced to the ACCC under its monitoring role (which the ACCC is unable to disclose), it is likely that there were limited opportunities for the airlines to resume their attempts to recover carbon tax costs by raising fares (or deciding not to pass through fare reductions) as this would have led to more empty seats and potentially less revenue. </w:t>
      </w:r>
    </w:p>
    <w:p w:rsidR="00AB36D9" w:rsidRPr="00AB36D9" w:rsidRDefault="00AB36D9" w:rsidP="00AB36D9">
      <w:r w:rsidRPr="00AB36D9">
        <w:t xml:space="preserve">The ACCC also found that Qantas recouped some of its carbon tax costs (other than by initially raising its fares) by effectively reducing discounts to corporate customers while the carbon tax was in effect. Because fees and surcharges are excluded from the calculation of these discounts, the introduction of Qantas’ carbon tax surcharge had the effect of reducing the proportion of the total fare to which the discount applied. When the carbon tax was repealed, the ACCC understands that Qantas took steps to restore the proportion of the fare to which corporate discounts were applied. </w:t>
      </w:r>
    </w:p>
    <w:p w:rsidR="00AB36D9" w:rsidRPr="00AB36D9" w:rsidRDefault="00AB36D9" w:rsidP="00AB36D9">
      <w:r w:rsidRPr="00AB36D9">
        <w:t xml:space="preserve">The Qantas 9 July 2014 media release may have given consumers the impression that its fares were wholly unaffected by its efforts to recover the cost of the carbon tax, or that it absorbed the whole of that cost. In the ACCC’s opinion, this is unlikely to be the case, given that some consumers are likely to have paid higher fares in the period immediately after Qantas’ fare increases were applied and corporate customers contributed to Qantas’ recoupment of some of its carbon tax costs because they received lower discounts. The ACCC considers that Qantas failed to adequately qualify the statements in its 9 July 2014 media release. </w:t>
      </w:r>
    </w:p>
    <w:p w:rsidR="00AB36D9" w:rsidRPr="00AB36D9" w:rsidRDefault="00AB36D9" w:rsidP="00AB36D9">
      <w:r w:rsidRPr="00AB36D9">
        <w:t xml:space="preserve">However, the ACCC acknowledges that any fare increase resulting from the carbon tax surcharge is likely to have been transitory and not enduring over the period that the carbon tax was in effect. The ACCC also understands that Qantas has restored the proportion of the fare to which corporate discounts were applied as part of the process of removing its carbon tax surcharge. As a consequence, the ACCC considers it unlikely that significant consumer harm resulted from Qantas’ representations and will therefore be taking no further action. </w:t>
      </w:r>
    </w:p>
    <w:p w:rsidR="00AB36D9" w:rsidRPr="00AB36D9" w:rsidRDefault="00AB36D9" w:rsidP="00AB36D9">
      <w:r w:rsidRPr="00AB36D9">
        <w:t xml:space="preserve">The ACCC has obtained information from Virgin and conducted an assessment of Virgin’s representations. The ACCC considers it likely that Virgin absorbed something less than a hundred per cent of its carbon tax costs. However, the ACCC accepts that Virgin’s attempts to recover its carbon tax costs were abandoned long before the carbon tax was repealed. Based on its assessment, the ACCC does not have concerns regarding Virgin’s representations that it had absorbed the cost of the carbon tax and not added it to ticket prices. The ACCC will be taking no further action. </w:t>
      </w:r>
    </w:p>
    <w:p w:rsidR="00AB36D9" w:rsidRPr="00AB36D9" w:rsidRDefault="00AB36D9" w:rsidP="008F0AA0">
      <w:pPr>
        <w:pStyle w:val="Heading1"/>
      </w:pPr>
      <w:bookmarkStart w:id="50" w:name="_Toc417460248"/>
      <w:r w:rsidRPr="00AB36D9">
        <w:lastRenderedPageBreak/>
        <w:t>Compliance</w:t>
      </w:r>
      <w:bookmarkEnd w:id="50"/>
    </w:p>
    <w:p w:rsidR="00AB36D9" w:rsidRPr="00AB36D9" w:rsidRDefault="00AB36D9" w:rsidP="00AB36D9">
      <w:r w:rsidRPr="00AB36D9">
        <w:t>The ACCC’s role in the March 2015 quarter has focused on seeking confirmation from entities about the pass through of carbon tax repeal cost savings and monitoring price movements to determine the impact of the carbon tax repeal on prices.</w:t>
      </w:r>
    </w:p>
    <w:p w:rsidR="00AB36D9" w:rsidRPr="00AB36D9" w:rsidRDefault="00AB36D9" w:rsidP="00AB36D9">
      <w:r w:rsidRPr="00AB36D9">
        <w:t>In the March 2015 quarter, the ACCC:</w:t>
      </w:r>
    </w:p>
    <w:p w:rsidR="00AB36D9" w:rsidRPr="00AB36D9" w:rsidRDefault="00AB36D9" w:rsidP="008F0AA0">
      <w:pPr>
        <w:pStyle w:val="Bulletpoint"/>
      </w:pPr>
      <w:r w:rsidRPr="00AB36D9">
        <w:t>met with one stakeho</w:t>
      </w:r>
      <w:r w:rsidR="00AB0AD3">
        <w:t>lder</w:t>
      </w:r>
    </w:p>
    <w:p w:rsidR="00AB36D9" w:rsidRPr="00AB36D9" w:rsidRDefault="00AB36D9" w:rsidP="008F0AA0">
      <w:pPr>
        <w:pStyle w:val="Bulletpoint"/>
      </w:pPr>
      <w:r w:rsidRPr="00AB36D9">
        <w:t xml:space="preserve">sent 46 price monitoring requests to entities </w:t>
      </w:r>
      <w:r w:rsidR="00AB0AD3">
        <w:t>in the SGG and landfill sectors</w:t>
      </w:r>
    </w:p>
    <w:p w:rsidR="00AB36D9" w:rsidRPr="00AB36D9" w:rsidRDefault="00AB36D9" w:rsidP="008F0AA0">
      <w:pPr>
        <w:pStyle w:val="Bulletpoint"/>
      </w:pPr>
      <w:r w:rsidRPr="00AB36D9">
        <w:t xml:space="preserve">released one publication on 29 January 2015: </w:t>
      </w:r>
      <w:hyperlink r:id="rId45" w:history="1">
        <w:r w:rsidRPr="00AB36D9">
          <w:rPr>
            <w:color w:val="0000FF"/>
            <w:u w:val="single"/>
          </w:rPr>
          <w:t>Carbon tax price reduction obligation: the ACCC's operations December 2014 quarter</w:t>
        </w:r>
      </w:hyperlink>
      <w:r w:rsidRPr="00AB36D9">
        <w:t>, and</w:t>
      </w:r>
    </w:p>
    <w:p w:rsidR="00AB36D9" w:rsidRPr="00AB36D9" w:rsidRDefault="00AB36D9" w:rsidP="008F0AA0">
      <w:pPr>
        <w:pStyle w:val="Bulletpoint"/>
      </w:pPr>
      <w:r w:rsidRPr="00AB36D9">
        <w:t>received the following carbon tax related complaints and enquiries:</w:t>
      </w:r>
    </w:p>
    <w:p w:rsidR="00AB36D9" w:rsidRPr="008F0AA0" w:rsidRDefault="00AB36D9" w:rsidP="008F0AA0">
      <w:pPr>
        <w:pStyle w:val="Tabletitle"/>
      </w:pPr>
      <w:r w:rsidRPr="008F0AA0">
        <w:t xml:space="preserve">Table </w:t>
      </w:r>
      <w:r w:rsidRPr="00DD08DF">
        <w:t>8</w:t>
      </w:r>
      <w:r w:rsidRPr="008F0AA0">
        <w:t>: March 2015 quarter complaint summary – conduct</w:t>
      </w:r>
    </w:p>
    <w:tbl>
      <w:tblPr>
        <w:tblStyle w:val="LightShading2"/>
        <w:tblW w:w="9345" w:type="dxa"/>
        <w:tblLook w:val="0420" w:firstRow="1" w:lastRow="0" w:firstColumn="0" w:lastColumn="0" w:noHBand="0" w:noVBand="1"/>
      </w:tblPr>
      <w:tblGrid>
        <w:gridCol w:w="2541"/>
        <w:gridCol w:w="3828"/>
        <w:gridCol w:w="1275"/>
        <w:gridCol w:w="1701"/>
      </w:tblGrid>
      <w:tr w:rsidR="008F0AA0" w:rsidRPr="00AB36D9" w:rsidTr="008F0AA0">
        <w:trPr>
          <w:cnfStyle w:val="100000000000" w:firstRow="1" w:lastRow="0" w:firstColumn="0" w:lastColumn="0" w:oddVBand="0" w:evenVBand="0" w:oddHBand="0" w:evenHBand="0" w:firstRowFirstColumn="0" w:firstRowLastColumn="0" w:lastRowFirstColumn="0" w:lastRowLastColumn="0"/>
          <w:trHeight w:val="364"/>
        </w:trPr>
        <w:tc>
          <w:tcPr>
            <w:tcW w:w="2541" w:type="dxa"/>
            <w:vMerge w:val="restart"/>
            <w:shd w:val="clear" w:color="auto" w:fill="F2F2F2" w:themeFill="background1" w:themeFillShade="F2"/>
            <w:noWrap/>
            <w:vAlign w:val="top"/>
            <w:hideMark/>
          </w:tcPr>
          <w:p w:rsidR="008F0AA0" w:rsidRPr="00AB36D9" w:rsidRDefault="008F0AA0" w:rsidP="008F0AA0">
            <w:pPr>
              <w:pStyle w:val="Tabletext"/>
              <w:rPr>
                <w:rFonts w:ascii="Calibri" w:hAnsi="Calibri"/>
                <w:lang w:eastAsia="en-AU"/>
              </w:rPr>
            </w:pPr>
            <w:r w:rsidRPr="00AB36D9">
              <w:rPr>
                <w:lang w:eastAsia="en-AU"/>
              </w:rPr>
              <w:t>Alleged Conduct</w:t>
            </w:r>
          </w:p>
        </w:tc>
        <w:tc>
          <w:tcPr>
            <w:tcW w:w="3828" w:type="dxa"/>
            <w:vMerge w:val="restart"/>
            <w:shd w:val="clear" w:color="auto" w:fill="F2F2F2" w:themeFill="background1" w:themeFillShade="F2"/>
            <w:noWrap/>
            <w:vAlign w:val="top"/>
            <w:hideMark/>
          </w:tcPr>
          <w:p w:rsidR="008F0AA0" w:rsidRPr="00AB36D9" w:rsidRDefault="008F0AA0" w:rsidP="008F0AA0">
            <w:pPr>
              <w:pStyle w:val="Tabletext"/>
              <w:rPr>
                <w:rFonts w:ascii="Calibri" w:hAnsi="Calibri"/>
                <w:lang w:eastAsia="en-AU"/>
              </w:rPr>
            </w:pPr>
            <w:r w:rsidRPr="00AB36D9">
              <w:rPr>
                <w:lang w:eastAsia="en-AU"/>
              </w:rPr>
              <w:t>Description</w:t>
            </w:r>
          </w:p>
        </w:tc>
        <w:tc>
          <w:tcPr>
            <w:tcW w:w="1275" w:type="dxa"/>
            <w:vMerge w:val="restart"/>
            <w:shd w:val="clear" w:color="auto" w:fill="F2F2F2" w:themeFill="background1" w:themeFillShade="F2"/>
            <w:noWrap/>
            <w:vAlign w:val="top"/>
            <w:hideMark/>
          </w:tcPr>
          <w:p w:rsidR="008F0AA0" w:rsidRPr="00AB36D9" w:rsidRDefault="008F0AA0" w:rsidP="00D721DE">
            <w:pPr>
              <w:pStyle w:val="Tabletext"/>
              <w:jc w:val="center"/>
              <w:rPr>
                <w:rFonts w:ascii="Calibri" w:hAnsi="Calibri"/>
                <w:lang w:eastAsia="en-AU"/>
              </w:rPr>
            </w:pPr>
            <w:r w:rsidRPr="00AB36D9">
              <w:rPr>
                <w:lang w:eastAsia="en-AU"/>
              </w:rPr>
              <w:t>This Period</w:t>
            </w:r>
          </w:p>
        </w:tc>
        <w:tc>
          <w:tcPr>
            <w:tcW w:w="1701" w:type="dxa"/>
            <w:vMerge w:val="restart"/>
            <w:shd w:val="clear" w:color="auto" w:fill="F2F2F2" w:themeFill="background1" w:themeFillShade="F2"/>
            <w:vAlign w:val="top"/>
            <w:hideMark/>
          </w:tcPr>
          <w:p w:rsidR="008F0AA0" w:rsidRPr="00AB36D9" w:rsidRDefault="008F0AA0" w:rsidP="00D721DE">
            <w:pPr>
              <w:pStyle w:val="Tabletext"/>
              <w:jc w:val="center"/>
              <w:rPr>
                <w:rFonts w:ascii="Calibri" w:hAnsi="Calibri"/>
                <w:lang w:eastAsia="en-AU"/>
              </w:rPr>
            </w:pPr>
            <w:r w:rsidRPr="00AB36D9">
              <w:rPr>
                <w:lang w:eastAsia="en-AU"/>
              </w:rPr>
              <w:t>Total Since</w:t>
            </w:r>
            <w:r w:rsidRPr="00AB36D9">
              <w:rPr>
                <w:lang w:eastAsia="en-AU"/>
              </w:rPr>
              <w:br/>
              <w:t>1 July 2014</w:t>
            </w:r>
          </w:p>
        </w:tc>
      </w:tr>
      <w:tr w:rsidR="008F0AA0" w:rsidRPr="00AB36D9" w:rsidTr="008F0AA0">
        <w:trPr>
          <w:trHeight w:val="504"/>
        </w:trPr>
        <w:tc>
          <w:tcPr>
            <w:tcW w:w="2541" w:type="dxa"/>
            <w:vMerge/>
            <w:shd w:val="clear" w:color="auto" w:fill="F2F2F2" w:themeFill="background1" w:themeFillShade="F2"/>
            <w:vAlign w:val="top"/>
            <w:hideMark/>
          </w:tcPr>
          <w:p w:rsidR="008F0AA0" w:rsidRPr="00AB36D9" w:rsidRDefault="008F0AA0" w:rsidP="008F0AA0">
            <w:pPr>
              <w:pStyle w:val="Tabletext"/>
              <w:rPr>
                <w:lang w:eastAsia="en-AU"/>
              </w:rPr>
            </w:pPr>
          </w:p>
        </w:tc>
        <w:tc>
          <w:tcPr>
            <w:tcW w:w="3828" w:type="dxa"/>
            <w:vMerge/>
            <w:shd w:val="clear" w:color="auto" w:fill="F2F2F2" w:themeFill="background1" w:themeFillShade="F2"/>
            <w:vAlign w:val="top"/>
            <w:hideMark/>
          </w:tcPr>
          <w:p w:rsidR="008F0AA0" w:rsidRPr="00AB36D9" w:rsidRDefault="008F0AA0" w:rsidP="008F0AA0">
            <w:pPr>
              <w:pStyle w:val="Tabletext"/>
              <w:rPr>
                <w:lang w:eastAsia="en-AU"/>
              </w:rPr>
            </w:pPr>
          </w:p>
        </w:tc>
        <w:tc>
          <w:tcPr>
            <w:tcW w:w="1275" w:type="dxa"/>
            <w:vMerge/>
            <w:shd w:val="clear" w:color="auto" w:fill="F2F2F2" w:themeFill="background1" w:themeFillShade="F2"/>
            <w:vAlign w:val="top"/>
            <w:hideMark/>
          </w:tcPr>
          <w:p w:rsidR="008F0AA0" w:rsidRPr="00AB36D9" w:rsidRDefault="008F0AA0" w:rsidP="00D721DE">
            <w:pPr>
              <w:pStyle w:val="Tabletext"/>
              <w:jc w:val="center"/>
              <w:rPr>
                <w:lang w:eastAsia="en-AU"/>
              </w:rPr>
            </w:pPr>
          </w:p>
        </w:tc>
        <w:tc>
          <w:tcPr>
            <w:tcW w:w="1701" w:type="dxa"/>
            <w:vMerge/>
            <w:shd w:val="clear" w:color="auto" w:fill="F2F2F2" w:themeFill="background1" w:themeFillShade="F2"/>
            <w:vAlign w:val="top"/>
            <w:hideMark/>
          </w:tcPr>
          <w:p w:rsidR="008F0AA0" w:rsidRPr="00AB36D9" w:rsidRDefault="008F0AA0" w:rsidP="00D721DE">
            <w:pPr>
              <w:pStyle w:val="Tabletext"/>
              <w:jc w:val="center"/>
              <w:rPr>
                <w:lang w:eastAsia="en-AU"/>
              </w:rPr>
            </w:pPr>
          </w:p>
        </w:tc>
      </w:tr>
      <w:tr w:rsidR="008F0AA0" w:rsidRPr="00AB36D9" w:rsidTr="008F0AA0">
        <w:trPr>
          <w:trHeight w:val="509"/>
        </w:trPr>
        <w:tc>
          <w:tcPr>
            <w:tcW w:w="2541" w:type="dxa"/>
            <w:vMerge w:val="restart"/>
            <w:vAlign w:val="top"/>
            <w:hideMark/>
          </w:tcPr>
          <w:p w:rsidR="008F0AA0" w:rsidRPr="00AB36D9" w:rsidRDefault="008F0AA0" w:rsidP="008F0AA0">
            <w:pPr>
              <w:pStyle w:val="Tabletext"/>
              <w:rPr>
                <w:rFonts w:ascii="Calibri" w:hAnsi="Calibri"/>
                <w:lang w:eastAsia="en-AU"/>
              </w:rPr>
            </w:pPr>
            <w:r>
              <w:rPr>
                <w:lang w:eastAsia="en-AU"/>
              </w:rPr>
              <w:t>F</w:t>
            </w:r>
            <w:r w:rsidRPr="00AB36D9">
              <w:rPr>
                <w:lang w:eastAsia="en-AU"/>
              </w:rPr>
              <w:t>alse or misleading represe</w:t>
            </w:r>
            <w:r w:rsidR="002E50EA">
              <w:rPr>
                <w:lang w:eastAsia="en-AU"/>
              </w:rPr>
              <w:t xml:space="preserve">ntations, or </w:t>
            </w:r>
            <w:r w:rsidR="002E50EA">
              <w:rPr>
                <w:lang w:eastAsia="en-AU"/>
              </w:rPr>
              <w:br/>
              <w:t>m</w:t>
            </w:r>
            <w:r w:rsidRPr="00AB36D9">
              <w:rPr>
                <w:lang w:eastAsia="en-AU"/>
              </w:rPr>
              <w:t>isleading or deceptive conduct</w:t>
            </w:r>
          </w:p>
        </w:tc>
        <w:tc>
          <w:tcPr>
            <w:tcW w:w="3828" w:type="dxa"/>
            <w:vMerge w:val="restart"/>
            <w:vAlign w:val="top"/>
            <w:hideMark/>
          </w:tcPr>
          <w:p w:rsidR="008F0AA0" w:rsidRPr="00AB36D9" w:rsidRDefault="008F0AA0" w:rsidP="002E50EA">
            <w:pPr>
              <w:pStyle w:val="Tabletext"/>
              <w:rPr>
                <w:rFonts w:ascii="Calibri" w:hAnsi="Calibri"/>
                <w:lang w:eastAsia="en-AU"/>
              </w:rPr>
            </w:pPr>
            <w:r w:rsidRPr="00AB36D9">
              <w:rPr>
                <w:lang w:eastAsia="en-AU"/>
              </w:rPr>
              <w:t xml:space="preserve">In relation to the effect of the carbon tax/repeal </w:t>
            </w:r>
            <w:r w:rsidRPr="00AB36D9">
              <w:rPr>
                <w:lang w:eastAsia="en-AU"/>
              </w:rPr>
              <w:br/>
              <w:t>(s</w:t>
            </w:r>
            <w:r w:rsidR="002E50EA">
              <w:rPr>
                <w:lang w:eastAsia="en-AU"/>
              </w:rPr>
              <w:t xml:space="preserve"> 60K CCA, ss </w:t>
            </w:r>
            <w:r w:rsidRPr="00AB36D9">
              <w:rPr>
                <w:lang w:eastAsia="en-AU"/>
              </w:rPr>
              <w:t>18, 29 ACL)</w:t>
            </w:r>
          </w:p>
        </w:tc>
        <w:tc>
          <w:tcPr>
            <w:tcW w:w="1275" w:type="dxa"/>
            <w:vMerge w:val="restart"/>
            <w:noWrap/>
            <w:vAlign w:val="top"/>
            <w:hideMark/>
          </w:tcPr>
          <w:p w:rsidR="008F0AA0" w:rsidRPr="00AB36D9" w:rsidRDefault="008F0AA0" w:rsidP="00D721DE">
            <w:pPr>
              <w:pStyle w:val="Tabletext"/>
              <w:jc w:val="center"/>
              <w:rPr>
                <w:rFonts w:ascii="Calibri" w:hAnsi="Calibri"/>
                <w:lang w:eastAsia="en-AU"/>
              </w:rPr>
            </w:pPr>
            <w:r w:rsidRPr="00AB36D9">
              <w:rPr>
                <w:lang w:eastAsia="en-AU"/>
              </w:rPr>
              <w:t>9</w:t>
            </w:r>
          </w:p>
        </w:tc>
        <w:tc>
          <w:tcPr>
            <w:tcW w:w="1701" w:type="dxa"/>
            <w:vMerge w:val="restart"/>
            <w:noWrap/>
            <w:vAlign w:val="top"/>
            <w:hideMark/>
          </w:tcPr>
          <w:p w:rsidR="008F0AA0" w:rsidRPr="00AB36D9" w:rsidRDefault="008F0AA0" w:rsidP="00D721DE">
            <w:pPr>
              <w:pStyle w:val="Tabletext"/>
              <w:jc w:val="center"/>
              <w:rPr>
                <w:rFonts w:ascii="Calibri" w:hAnsi="Calibri"/>
                <w:lang w:eastAsia="en-AU"/>
              </w:rPr>
            </w:pPr>
            <w:r w:rsidRPr="00AB36D9">
              <w:rPr>
                <w:lang w:eastAsia="en-AU"/>
              </w:rPr>
              <w:t>43</w:t>
            </w:r>
          </w:p>
        </w:tc>
      </w:tr>
      <w:tr w:rsidR="008F0AA0" w:rsidRPr="00AB36D9" w:rsidTr="008F0AA0">
        <w:trPr>
          <w:trHeight w:val="504"/>
        </w:trPr>
        <w:tc>
          <w:tcPr>
            <w:tcW w:w="2541" w:type="dxa"/>
            <w:vMerge/>
            <w:vAlign w:val="top"/>
            <w:hideMark/>
          </w:tcPr>
          <w:p w:rsidR="008F0AA0" w:rsidRPr="00AB36D9" w:rsidRDefault="008F0AA0" w:rsidP="008F0AA0">
            <w:pPr>
              <w:pStyle w:val="Tabletext"/>
              <w:rPr>
                <w:lang w:eastAsia="en-AU"/>
              </w:rPr>
            </w:pPr>
          </w:p>
        </w:tc>
        <w:tc>
          <w:tcPr>
            <w:tcW w:w="3828" w:type="dxa"/>
            <w:vMerge/>
            <w:vAlign w:val="top"/>
            <w:hideMark/>
          </w:tcPr>
          <w:p w:rsidR="008F0AA0" w:rsidRPr="00AB36D9" w:rsidRDefault="008F0AA0" w:rsidP="008F0AA0">
            <w:pPr>
              <w:pStyle w:val="Tabletext"/>
              <w:rPr>
                <w:lang w:eastAsia="en-AU"/>
              </w:rPr>
            </w:pPr>
          </w:p>
        </w:tc>
        <w:tc>
          <w:tcPr>
            <w:tcW w:w="1275" w:type="dxa"/>
            <w:vMerge/>
            <w:vAlign w:val="top"/>
            <w:hideMark/>
          </w:tcPr>
          <w:p w:rsidR="008F0AA0" w:rsidRPr="00AB36D9" w:rsidRDefault="008F0AA0" w:rsidP="00D721DE">
            <w:pPr>
              <w:pStyle w:val="Tabletext"/>
              <w:jc w:val="center"/>
              <w:rPr>
                <w:lang w:eastAsia="en-AU"/>
              </w:rPr>
            </w:pPr>
          </w:p>
        </w:tc>
        <w:tc>
          <w:tcPr>
            <w:tcW w:w="1701" w:type="dxa"/>
            <w:vMerge/>
            <w:vAlign w:val="top"/>
            <w:hideMark/>
          </w:tcPr>
          <w:p w:rsidR="008F0AA0" w:rsidRPr="00AB36D9" w:rsidRDefault="008F0AA0" w:rsidP="00D721DE">
            <w:pPr>
              <w:pStyle w:val="Tabletext"/>
              <w:jc w:val="center"/>
              <w:rPr>
                <w:lang w:eastAsia="en-AU"/>
              </w:rPr>
            </w:pPr>
          </w:p>
        </w:tc>
      </w:tr>
      <w:tr w:rsidR="008F0AA0" w:rsidRPr="00AB36D9" w:rsidTr="008F0AA0">
        <w:trPr>
          <w:trHeight w:val="300"/>
        </w:trPr>
        <w:tc>
          <w:tcPr>
            <w:tcW w:w="2541" w:type="dxa"/>
            <w:vAlign w:val="top"/>
            <w:hideMark/>
          </w:tcPr>
          <w:p w:rsidR="008F0AA0" w:rsidRPr="00AB36D9" w:rsidRDefault="008F0AA0" w:rsidP="008F0AA0">
            <w:pPr>
              <w:pStyle w:val="Tabletext"/>
              <w:rPr>
                <w:rFonts w:ascii="Calibri" w:hAnsi="Calibri"/>
                <w:lang w:eastAsia="en-AU"/>
              </w:rPr>
            </w:pPr>
            <w:r w:rsidRPr="00AB36D9">
              <w:rPr>
                <w:lang w:eastAsia="en-AU"/>
              </w:rPr>
              <w:t>Price exploitation</w:t>
            </w:r>
          </w:p>
        </w:tc>
        <w:tc>
          <w:tcPr>
            <w:tcW w:w="3828" w:type="dxa"/>
            <w:noWrap/>
            <w:vAlign w:val="top"/>
            <w:hideMark/>
          </w:tcPr>
          <w:p w:rsidR="008F0AA0" w:rsidRPr="00AB36D9" w:rsidRDefault="008F0AA0" w:rsidP="002E50EA">
            <w:pPr>
              <w:pStyle w:val="Tabletext"/>
              <w:rPr>
                <w:rFonts w:ascii="Calibri" w:hAnsi="Calibri"/>
                <w:lang w:eastAsia="en-AU"/>
              </w:rPr>
            </w:pPr>
            <w:r w:rsidRPr="00AB36D9">
              <w:rPr>
                <w:lang w:eastAsia="en-AU"/>
              </w:rPr>
              <w:t>Failure to pass on all savings from carbon tax repeal (s</w:t>
            </w:r>
            <w:r w:rsidR="002E50EA">
              <w:rPr>
                <w:lang w:eastAsia="en-AU"/>
              </w:rPr>
              <w:t xml:space="preserve"> </w:t>
            </w:r>
            <w:r w:rsidRPr="00AB36D9">
              <w:rPr>
                <w:lang w:eastAsia="en-AU"/>
              </w:rPr>
              <w:t>60C)</w:t>
            </w:r>
          </w:p>
        </w:tc>
        <w:tc>
          <w:tcPr>
            <w:tcW w:w="1275" w:type="dxa"/>
            <w:noWrap/>
            <w:vAlign w:val="top"/>
            <w:hideMark/>
          </w:tcPr>
          <w:p w:rsidR="008F0AA0" w:rsidRPr="00AB36D9" w:rsidRDefault="008F0AA0" w:rsidP="00D721DE">
            <w:pPr>
              <w:pStyle w:val="Tabletext"/>
              <w:jc w:val="center"/>
              <w:rPr>
                <w:rFonts w:ascii="Calibri" w:hAnsi="Calibri"/>
                <w:lang w:eastAsia="en-AU"/>
              </w:rPr>
            </w:pPr>
            <w:r w:rsidRPr="00AB36D9">
              <w:rPr>
                <w:lang w:eastAsia="en-AU"/>
              </w:rPr>
              <w:t>36</w:t>
            </w:r>
          </w:p>
        </w:tc>
        <w:tc>
          <w:tcPr>
            <w:tcW w:w="1701" w:type="dxa"/>
            <w:noWrap/>
            <w:vAlign w:val="top"/>
            <w:hideMark/>
          </w:tcPr>
          <w:p w:rsidR="008F0AA0" w:rsidRPr="00AB36D9" w:rsidRDefault="008F0AA0" w:rsidP="00D721DE">
            <w:pPr>
              <w:pStyle w:val="Tabletext"/>
              <w:jc w:val="center"/>
              <w:rPr>
                <w:rFonts w:ascii="Calibri" w:hAnsi="Calibri"/>
                <w:lang w:eastAsia="en-AU"/>
              </w:rPr>
            </w:pPr>
            <w:r w:rsidRPr="00AB36D9">
              <w:rPr>
                <w:lang w:eastAsia="en-AU"/>
              </w:rPr>
              <w:t>194</w:t>
            </w:r>
          </w:p>
        </w:tc>
      </w:tr>
      <w:tr w:rsidR="008F0AA0" w:rsidRPr="00AB36D9" w:rsidTr="008F0AA0">
        <w:trPr>
          <w:trHeight w:val="300"/>
        </w:trPr>
        <w:tc>
          <w:tcPr>
            <w:tcW w:w="2541" w:type="dxa"/>
            <w:vAlign w:val="top"/>
            <w:hideMark/>
          </w:tcPr>
          <w:p w:rsidR="008F0AA0" w:rsidRPr="00AB36D9" w:rsidRDefault="008F0AA0" w:rsidP="008F0AA0">
            <w:pPr>
              <w:pStyle w:val="Tabletext"/>
              <w:rPr>
                <w:rFonts w:ascii="Calibri" w:hAnsi="Calibri"/>
                <w:lang w:eastAsia="en-AU"/>
              </w:rPr>
            </w:pPr>
            <w:r w:rsidRPr="00AB36D9">
              <w:rPr>
                <w:lang w:eastAsia="en-AU"/>
              </w:rPr>
              <w:t>Scams related to carbon tax</w:t>
            </w:r>
          </w:p>
        </w:tc>
        <w:tc>
          <w:tcPr>
            <w:tcW w:w="3828" w:type="dxa"/>
            <w:noWrap/>
            <w:vAlign w:val="top"/>
            <w:hideMark/>
          </w:tcPr>
          <w:p w:rsidR="008F0AA0" w:rsidRPr="00AB36D9" w:rsidRDefault="008F0AA0" w:rsidP="008F0AA0">
            <w:pPr>
              <w:pStyle w:val="Tabletext"/>
              <w:rPr>
                <w:rFonts w:ascii="Calibri" w:hAnsi="Calibri"/>
                <w:lang w:eastAsia="en-AU"/>
              </w:rPr>
            </w:pPr>
            <w:r w:rsidRPr="00AB36D9">
              <w:rPr>
                <w:lang w:eastAsia="en-AU"/>
              </w:rPr>
              <w:t>Scams related to the carbon tax/repeal</w:t>
            </w:r>
          </w:p>
        </w:tc>
        <w:tc>
          <w:tcPr>
            <w:tcW w:w="1275" w:type="dxa"/>
            <w:noWrap/>
            <w:vAlign w:val="top"/>
            <w:hideMark/>
          </w:tcPr>
          <w:p w:rsidR="008F0AA0" w:rsidRPr="00AB36D9" w:rsidRDefault="008F0AA0" w:rsidP="00D721DE">
            <w:pPr>
              <w:pStyle w:val="Tabletext"/>
              <w:jc w:val="center"/>
              <w:rPr>
                <w:rFonts w:ascii="Calibri" w:hAnsi="Calibri"/>
                <w:lang w:eastAsia="en-AU"/>
              </w:rPr>
            </w:pPr>
            <w:r w:rsidRPr="00AB36D9">
              <w:rPr>
                <w:lang w:eastAsia="en-AU"/>
              </w:rPr>
              <w:t>0</w:t>
            </w:r>
          </w:p>
        </w:tc>
        <w:tc>
          <w:tcPr>
            <w:tcW w:w="1701" w:type="dxa"/>
            <w:noWrap/>
            <w:vAlign w:val="top"/>
            <w:hideMark/>
          </w:tcPr>
          <w:p w:rsidR="008F0AA0" w:rsidRPr="00AB36D9" w:rsidRDefault="008F0AA0" w:rsidP="00D721DE">
            <w:pPr>
              <w:pStyle w:val="Tabletext"/>
              <w:jc w:val="center"/>
              <w:rPr>
                <w:rFonts w:ascii="Calibri" w:hAnsi="Calibri"/>
                <w:lang w:eastAsia="en-AU"/>
              </w:rPr>
            </w:pPr>
            <w:r w:rsidRPr="00AB36D9">
              <w:rPr>
                <w:lang w:eastAsia="en-AU"/>
              </w:rPr>
              <w:t>27</w:t>
            </w:r>
          </w:p>
        </w:tc>
      </w:tr>
      <w:tr w:rsidR="008F0AA0" w:rsidRPr="00AB36D9" w:rsidTr="008F0AA0">
        <w:trPr>
          <w:trHeight w:val="300"/>
        </w:trPr>
        <w:tc>
          <w:tcPr>
            <w:tcW w:w="2541" w:type="dxa"/>
            <w:vAlign w:val="top"/>
            <w:hideMark/>
          </w:tcPr>
          <w:p w:rsidR="008F0AA0" w:rsidRPr="00AB36D9" w:rsidRDefault="008F0AA0" w:rsidP="008F0AA0">
            <w:pPr>
              <w:pStyle w:val="Tabletext"/>
              <w:rPr>
                <w:rFonts w:ascii="Calibri" w:hAnsi="Calibri"/>
                <w:lang w:eastAsia="en-AU"/>
              </w:rPr>
            </w:pPr>
            <w:r w:rsidRPr="00AB36D9">
              <w:rPr>
                <w:lang w:eastAsia="en-AU"/>
              </w:rPr>
              <w:t>General carbon tax related enquiries</w:t>
            </w:r>
          </w:p>
        </w:tc>
        <w:tc>
          <w:tcPr>
            <w:tcW w:w="3828" w:type="dxa"/>
            <w:noWrap/>
            <w:vAlign w:val="top"/>
            <w:hideMark/>
          </w:tcPr>
          <w:p w:rsidR="008F0AA0" w:rsidRPr="00AB36D9" w:rsidRDefault="008F0AA0" w:rsidP="008F0AA0">
            <w:pPr>
              <w:pStyle w:val="Tabletext"/>
              <w:rPr>
                <w:rFonts w:ascii="Calibri" w:hAnsi="Calibri"/>
                <w:lang w:eastAsia="en-AU"/>
              </w:rPr>
            </w:pPr>
            <w:r w:rsidRPr="00AB36D9">
              <w:rPr>
                <w:lang w:eastAsia="en-AU"/>
              </w:rPr>
              <w:t>Requests for information or guidance about the carbon tax/repeal</w:t>
            </w:r>
          </w:p>
        </w:tc>
        <w:tc>
          <w:tcPr>
            <w:tcW w:w="1275" w:type="dxa"/>
            <w:noWrap/>
            <w:vAlign w:val="top"/>
            <w:hideMark/>
          </w:tcPr>
          <w:p w:rsidR="008F0AA0" w:rsidRPr="00AB36D9" w:rsidRDefault="008F0AA0" w:rsidP="00D721DE">
            <w:pPr>
              <w:pStyle w:val="Tabletext"/>
              <w:jc w:val="center"/>
              <w:rPr>
                <w:rFonts w:ascii="Calibri" w:hAnsi="Calibri"/>
                <w:lang w:eastAsia="en-AU"/>
              </w:rPr>
            </w:pPr>
            <w:r w:rsidRPr="00AB36D9">
              <w:rPr>
                <w:lang w:eastAsia="en-AU"/>
              </w:rPr>
              <w:t>11</w:t>
            </w:r>
          </w:p>
        </w:tc>
        <w:tc>
          <w:tcPr>
            <w:tcW w:w="1701" w:type="dxa"/>
            <w:noWrap/>
            <w:vAlign w:val="top"/>
            <w:hideMark/>
          </w:tcPr>
          <w:p w:rsidR="008F0AA0" w:rsidRPr="00AB36D9" w:rsidRDefault="008F0AA0" w:rsidP="00D721DE">
            <w:pPr>
              <w:pStyle w:val="Tabletext"/>
              <w:jc w:val="center"/>
              <w:rPr>
                <w:rFonts w:ascii="Calibri" w:hAnsi="Calibri"/>
                <w:lang w:eastAsia="en-AU"/>
              </w:rPr>
            </w:pPr>
            <w:r w:rsidRPr="00AB36D9">
              <w:rPr>
                <w:lang w:eastAsia="en-AU"/>
              </w:rPr>
              <w:t>198</w:t>
            </w:r>
          </w:p>
        </w:tc>
      </w:tr>
      <w:tr w:rsidR="008F0AA0" w:rsidRPr="00AB36D9" w:rsidTr="008F0AA0">
        <w:trPr>
          <w:trHeight w:val="300"/>
        </w:trPr>
        <w:tc>
          <w:tcPr>
            <w:tcW w:w="2541" w:type="dxa"/>
            <w:vAlign w:val="top"/>
            <w:hideMark/>
          </w:tcPr>
          <w:p w:rsidR="008F0AA0" w:rsidRPr="00AB36D9" w:rsidRDefault="008F0AA0" w:rsidP="008F0AA0">
            <w:pPr>
              <w:pStyle w:val="Tabletext"/>
              <w:rPr>
                <w:rFonts w:ascii="Calibri" w:hAnsi="Calibri"/>
                <w:lang w:eastAsia="en-AU"/>
              </w:rPr>
            </w:pPr>
            <w:r w:rsidRPr="00AB36D9">
              <w:rPr>
                <w:lang w:eastAsia="en-AU"/>
              </w:rPr>
              <w:t>General carbon tax complaints</w:t>
            </w:r>
          </w:p>
        </w:tc>
        <w:tc>
          <w:tcPr>
            <w:tcW w:w="3828" w:type="dxa"/>
            <w:noWrap/>
            <w:vAlign w:val="top"/>
            <w:hideMark/>
          </w:tcPr>
          <w:p w:rsidR="008F0AA0" w:rsidRPr="00AB36D9" w:rsidRDefault="008F0AA0" w:rsidP="008F0AA0">
            <w:pPr>
              <w:pStyle w:val="Tabletext"/>
              <w:rPr>
                <w:rFonts w:ascii="Calibri" w:hAnsi="Calibri"/>
                <w:lang w:eastAsia="en-AU"/>
              </w:rPr>
            </w:pPr>
            <w:r w:rsidRPr="00AB36D9">
              <w:rPr>
                <w:lang w:eastAsia="en-AU"/>
              </w:rPr>
              <w:t>General complaints about the carbon tax/repeal</w:t>
            </w:r>
          </w:p>
        </w:tc>
        <w:tc>
          <w:tcPr>
            <w:tcW w:w="1275" w:type="dxa"/>
            <w:noWrap/>
            <w:vAlign w:val="top"/>
            <w:hideMark/>
          </w:tcPr>
          <w:p w:rsidR="008F0AA0" w:rsidRPr="00AB36D9" w:rsidRDefault="008F0AA0" w:rsidP="00D721DE">
            <w:pPr>
              <w:pStyle w:val="Tabletext"/>
              <w:jc w:val="center"/>
              <w:rPr>
                <w:rFonts w:ascii="Calibri" w:hAnsi="Calibri"/>
                <w:lang w:eastAsia="en-AU"/>
              </w:rPr>
            </w:pPr>
            <w:r w:rsidRPr="00AB36D9">
              <w:rPr>
                <w:lang w:eastAsia="en-AU"/>
              </w:rPr>
              <w:t>12</w:t>
            </w:r>
          </w:p>
        </w:tc>
        <w:tc>
          <w:tcPr>
            <w:tcW w:w="1701" w:type="dxa"/>
            <w:noWrap/>
            <w:vAlign w:val="top"/>
            <w:hideMark/>
          </w:tcPr>
          <w:p w:rsidR="008F0AA0" w:rsidRPr="00AB36D9" w:rsidRDefault="008F0AA0" w:rsidP="00D721DE">
            <w:pPr>
              <w:pStyle w:val="Tabletext"/>
              <w:jc w:val="center"/>
              <w:rPr>
                <w:rFonts w:ascii="Calibri" w:hAnsi="Calibri"/>
                <w:lang w:eastAsia="en-AU"/>
              </w:rPr>
            </w:pPr>
            <w:r w:rsidRPr="00AB36D9">
              <w:rPr>
                <w:lang w:eastAsia="en-AU"/>
              </w:rPr>
              <w:t>212</w:t>
            </w:r>
          </w:p>
        </w:tc>
      </w:tr>
      <w:tr w:rsidR="008F0AA0" w:rsidRPr="008F0AA0" w:rsidTr="008F0AA0">
        <w:trPr>
          <w:trHeight w:val="300"/>
        </w:trPr>
        <w:tc>
          <w:tcPr>
            <w:tcW w:w="2541" w:type="dxa"/>
            <w:shd w:val="clear" w:color="auto" w:fill="F2F2F2" w:themeFill="background1" w:themeFillShade="F2"/>
            <w:vAlign w:val="top"/>
            <w:hideMark/>
          </w:tcPr>
          <w:p w:rsidR="008F0AA0" w:rsidRPr="008F0AA0" w:rsidRDefault="008F0AA0" w:rsidP="008F0AA0">
            <w:pPr>
              <w:pStyle w:val="Tabletext"/>
              <w:rPr>
                <w:rStyle w:val="Strong"/>
              </w:rPr>
            </w:pPr>
            <w:r w:rsidRPr="008F0AA0">
              <w:rPr>
                <w:rStyle w:val="Strong"/>
              </w:rPr>
              <w:t>Total</w:t>
            </w:r>
          </w:p>
        </w:tc>
        <w:tc>
          <w:tcPr>
            <w:tcW w:w="3828" w:type="dxa"/>
            <w:shd w:val="clear" w:color="auto" w:fill="F2F2F2" w:themeFill="background1" w:themeFillShade="F2"/>
            <w:noWrap/>
            <w:vAlign w:val="top"/>
            <w:hideMark/>
          </w:tcPr>
          <w:p w:rsidR="008F0AA0" w:rsidRPr="008F0AA0" w:rsidRDefault="008F0AA0" w:rsidP="008F0AA0">
            <w:pPr>
              <w:pStyle w:val="Tabletext"/>
              <w:rPr>
                <w:rStyle w:val="Strong"/>
              </w:rPr>
            </w:pPr>
            <w:r w:rsidRPr="008F0AA0">
              <w:rPr>
                <w:rStyle w:val="Strong"/>
              </w:rPr>
              <w:t> </w:t>
            </w:r>
          </w:p>
        </w:tc>
        <w:tc>
          <w:tcPr>
            <w:tcW w:w="1275" w:type="dxa"/>
            <w:shd w:val="clear" w:color="auto" w:fill="F2F2F2" w:themeFill="background1" w:themeFillShade="F2"/>
            <w:noWrap/>
            <w:vAlign w:val="top"/>
            <w:hideMark/>
          </w:tcPr>
          <w:p w:rsidR="008F0AA0" w:rsidRPr="008F0AA0" w:rsidRDefault="008F0AA0" w:rsidP="00D721DE">
            <w:pPr>
              <w:pStyle w:val="Tabletext"/>
              <w:jc w:val="center"/>
              <w:rPr>
                <w:rStyle w:val="Strong"/>
              </w:rPr>
            </w:pPr>
            <w:r w:rsidRPr="008F0AA0">
              <w:rPr>
                <w:rStyle w:val="Strong"/>
              </w:rPr>
              <w:t>68</w:t>
            </w:r>
          </w:p>
        </w:tc>
        <w:tc>
          <w:tcPr>
            <w:tcW w:w="1701" w:type="dxa"/>
            <w:shd w:val="clear" w:color="auto" w:fill="F2F2F2" w:themeFill="background1" w:themeFillShade="F2"/>
            <w:noWrap/>
            <w:vAlign w:val="top"/>
            <w:hideMark/>
          </w:tcPr>
          <w:p w:rsidR="008F0AA0" w:rsidRPr="008F0AA0" w:rsidRDefault="008F0AA0" w:rsidP="00D721DE">
            <w:pPr>
              <w:pStyle w:val="Tabletext"/>
              <w:jc w:val="center"/>
              <w:rPr>
                <w:rStyle w:val="Strong"/>
              </w:rPr>
            </w:pPr>
            <w:r w:rsidRPr="008F0AA0">
              <w:rPr>
                <w:rStyle w:val="Strong"/>
              </w:rPr>
              <w:t>674</w:t>
            </w:r>
          </w:p>
        </w:tc>
      </w:tr>
      <w:tr w:rsidR="008F0AA0" w:rsidRPr="00AB36D9" w:rsidTr="008F0AA0">
        <w:trPr>
          <w:trHeight w:val="300"/>
        </w:trPr>
        <w:tc>
          <w:tcPr>
            <w:tcW w:w="2541" w:type="dxa"/>
            <w:vAlign w:val="top"/>
            <w:hideMark/>
          </w:tcPr>
          <w:p w:rsidR="008F0AA0" w:rsidRPr="00AB36D9" w:rsidRDefault="008F0AA0" w:rsidP="008F0AA0">
            <w:pPr>
              <w:pStyle w:val="Tabletext"/>
              <w:rPr>
                <w:rFonts w:ascii="Calibri" w:hAnsi="Calibri"/>
                <w:lang w:eastAsia="en-AU"/>
              </w:rPr>
            </w:pPr>
            <w:r w:rsidRPr="00AB36D9">
              <w:rPr>
                <w:lang w:eastAsia="en-AU"/>
              </w:rPr>
              <w:t>Small Business</w:t>
            </w:r>
          </w:p>
        </w:tc>
        <w:tc>
          <w:tcPr>
            <w:tcW w:w="3828" w:type="dxa"/>
            <w:noWrap/>
            <w:vAlign w:val="top"/>
            <w:hideMark/>
          </w:tcPr>
          <w:p w:rsidR="008F0AA0" w:rsidRPr="00AB36D9" w:rsidRDefault="008F0AA0" w:rsidP="008F0AA0">
            <w:pPr>
              <w:pStyle w:val="Tabletext"/>
              <w:rPr>
                <w:rFonts w:ascii="Calibri" w:hAnsi="Calibri"/>
                <w:lang w:eastAsia="en-AU"/>
              </w:rPr>
            </w:pPr>
            <w:r w:rsidRPr="00AB36D9">
              <w:rPr>
                <w:lang w:eastAsia="en-AU"/>
              </w:rPr>
              <w:t>Subset of above related to small business</w:t>
            </w:r>
          </w:p>
        </w:tc>
        <w:tc>
          <w:tcPr>
            <w:tcW w:w="1275" w:type="dxa"/>
            <w:noWrap/>
            <w:vAlign w:val="top"/>
            <w:hideMark/>
          </w:tcPr>
          <w:p w:rsidR="008F0AA0" w:rsidRPr="00AB36D9" w:rsidRDefault="008F0AA0" w:rsidP="00D721DE">
            <w:pPr>
              <w:pStyle w:val="Tabletext"/>
              <w:jc w:val="center"/>
              <w:rPr>
                <w:rFonts w:ascii="Calibri" w:hAnsi="Calibri"/>
                <w:lang w:eastAsia="en-AU"/>
              </w:rPr>
            </w:pPr>
            <w:r w:rsidRPr="00AB36D9">
              <w:rPr>
                <w:lang w:eastAsia="en-AU"/>
              </w:rPr>
              <w:t>5</w:t>
            </w:r>
          </w:p>
        </w:tc>
        <w:tc>
          <w:tcPr>
            <w:tcW w:w="1701" w:type="dxa"/>
            <w:noWrap/>
            <w:vAlign w:val="top"/>
            <w:hideMark/>
          </w:tcPr>
          <w:p w:rsidR="008F0AA0" w:rsidRPr="00AB36D9" w:rsidRDefault="008F0AA0" w:rsidP="00D721DE">
            <w:pPr>
              <w:pStyle w:val="Tabletext"/>
              <w:jc w:val="center"/>
              <w:rPr>
                <w:rFonts w:ascii="Calibri" w:hAnsi="Calibri"/>
                <w:lang w:eastAsia="en-AU"/>
              </w:rPr>
            </w:pPr>
            <w:r w:rsidRPr="00AB36D9">
              <w:rPr>
                <w:lang w:eastAsia="en-AU"/>
              </w:rPr>
              <w:t>76</w:t>
            </w:r>
          </w:p>
        </w:tc>
      </w:tr>
    </w:tbl>
    <w:p w:rsidR="008F0AA0" w:rsidRDefault="008F0AA0" w:rsidP="008F0AA0">
      <w:pPr>
        <w:pStyle w:val="Tabletitle"/>
      </w:pPr>
    </w:p>
    <w:p w:rsidR="008F0AA0" w:rsidRPr="009847F6" w:rsidRDefault="008F0AA0">
      <w:pPr>
        <w:rPr>
          <w:rStyle w:val="Strong"/>
        </w:rPr>
      </w:pPr>
      <w:r>
        <w:br w:type="page"/>
      </w:r>
    </w:p>
    <w:p w:rsidR="00AB36D9" w:rsidRPr="008F0AA0" w:rsidRDefault="00AB36D9" w:rsidP="008F0AA0">
      <w:pPr>
        <w:pStyle w:val="Tabletitle"/>
      </w:pPr>
      <w:r w:rsidRPr="008F0AA0">
        <w:lastRenderedPageBreak/>
        <w:t xml:space="preserve">Table </w:t>
      </w:r>
      <w:r w:rsidRPr="00DD08DF">
        <w:t>9</w:t>
      </w:r>
      <w:r w:rsidRPr="008F0AA0">
        <w:t>: March 2015 quarter complaint summary - industry</w:t>
      </w:r>
    </w:p>
    <w:tbl>
      <w:tblPr>
        <w:tblStyle w:val="LightShading2"/>
        <w:tblW w:w="8247" w:type="dxa"/>
        <w:jc w:val="center"/>
        <w:tblLook w:val="04A0" w:firstRow="1" w:lastRow="0" w:firstColumn="1" w:lastColumn="0" w:noHBand="0" w:noVBand="1"/>
      </w:tblPr>
      <w:tblGrid>
        <w:gridCol w:w="931"/>
        <w:gridCol w:w="1363"/>
        <w:gridCol w:w="2295"/>
        <w:gridCol w:w="1829"/>
        <w:gridCol w:w="1829"/>
      </w:tblGrid>
      <w:tr w:rsidR="00AB36D9" w:rsidRPr="00AB36D9" w:rsidTr="00D721DE">
        <w:trPr>
          <w:cnfStyle w:val="100000000000" w:firstRow="1" w:lastRow="0" w:firstColumn="0" w:lastColumn="0" w:oddVBand="0" w:evenVBand="0" w:oddHBand="0" w:evenHBand="0" w:firstRowFirstColumn="0" w:firstRowLastColumn="0" w:lastRowFirstColumn="0" w:lastRowLastColumn="0"/>
          <w:trHeight w:val="551"/>
          <w:jc w:val="center"/>
        </w:trPr>
        <w:tc>
          <w:tcPr>
            <w:cnfStyle w:val="001000000000" w:firstRow="0" w:lastRow="0" w:firstColumn="1" w:lastColumn="0" w:oddVBand="0" w:evenVBand="0" w:oddHBand="0" w:evenHBand="0" w:firstRowFirstColumn="0" w:firstRowLastColumn="0" w:lastRowFirstColumn="0" w:lastRowLastColumn="0"/>
            <w:tcW w:w="931" w:type="dxa"/>
            <w:tcBorders>
              <w:top w:val="nil"/>
              <w:left w:val="nil"/>
              <w:bottom w:val="nil"/>
            </w:tcBorders>
            <w:noWrap/>
            <w:vAlign w:val="top"/>
            <w:hideMark/>
          </w:tcPr>
          <w:p w:rsidR="00AB36D9" w:rsidRPr="00AB36D9" w:rsidRDefault="00AB36D9" w:rsidP="008F0AA0">
            <w:pPr>
              <w:rPr>
                <w:rFonts w:ascii="Calibri" w:hAnsi="Calibri"/>
                <w:lang w:eastAsia="en-AU"/>
              </w:rPr>
            </w:pPr>
            <w:r w:rsidRPr="00AB36D9">
              <w:rPr>
                <w:lang w:eastAsia="en-AU"/>
              </w:rPr>
              <w:t> </w:t>
            </w:r>
          </w:p>
        </w:tc>
        <w:tc>
          <w:tcPr>
            <w:tcW w:w="3658" w:type="dxa"/>
            <w:gridSpan w:val="2"/>
            <w:vMerge w:val="restart"/>
            <w:shd w:val="clear" w:color="auto" w:fill="F2F2F2" w:themeFill="background1" w:themeFillShade="F2"/>
            <w:noWrap/>
            <w:vAlign w:val="top"/>
            <w:hideMark/>
          </w:tcPr>
          <w:p w:rsidR="00AB36D9" w:rsidRPr="00AB36D9" w:rsidRDefault="00AB36D9" w:rsidP="008F0AA0">
            <w:pPr>
              <w:cnfStyle w:val="100000000000" w:firstRow="1"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Industry</w:t>
            </w:r>
          </w:p>
        </w:tc>
        <w:tc>
          <w:tcPr>
            <w:tcW w:w="1829" w:type="dxa"/>
            <w:vMerge w:val="restart"/>
            <w:shd w:val="clear" w:color="auto" w:fill="F2F2F2" w:themeFill="background1" w:themeFillShade="F2"/>
            <w:noWrap/>
            <w:vAlign w:val="top"/>
            <w:hideMark/>
          </w:tcPr>
          <w:p w:rsidR="00AB36D9" w:rsidRPr="00AB36D9" w:rsidRDefault="00AB36D9" w:rsidP="00D721DE">
            <w:pPr>
              <w:jc w:val="center"/>
              <w:cnfStyle w:val="100000000000" w:firstRow="1"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This Period</w:t>
            </w:r>
          </w:p>
        </w:tc>
        <w:tc>
          <w:tcPr>
            <w:tcW w:w="1829" w:type="dxa"/>
            <w:vMerge w:val="restart"/>
            <w:shd w:val="clear" w:color="auto" w:fill="F2F2F2" w:themeFill="background1" w:themeFillShade="F2"/>
            <w:vAlign w:val="top"/>
            <w:hideMark/>
          </w:tcPr>
          <w:p w:rsidR="00AB36D9" w:rsidRPr="00AB36D9" w:rsidRDefault="00AB36D9" w:rsidP="00D721DE">
            <w:pPr>
              <w:jc w:val="center"/>
              <w:cnfStyle w:val="100000000000" w:firstRow="1"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Total Since</w:t>
            </w:r>
            <w:r w:rsidRPr="00AB36D9">
              <w:rPr>
                <w:lang w:eastAsia="en-AU"/>
              </w:rPr>
              <w:br/>
              <w:t>1 July 2014</w:t>
            </w:r>
          </w:p>
        </w:tc>
      </w:tr>
      <w:tr w:rsidR="00AB36D9" w:rsidRPr="00AB36D9" w:rsidTr="00D721DE">
        <w:trPr>
          <w:trHeight w:val="551"/>
          <w:jc w:val="center"/>
        </w:trPr>
        <w:tc>
          <w:tcPr>
            <w:cnfStyle w:val="001000000000" w:firstRow="0" w:lastRow="0" w:firstColumn="1" w:lastColumn="0" w:oddVBand="0" w:evenVBand="0" w:oddHBand="0" w:evenHBand="0" w:firstRowFirstColumn="0" w:firstRowLastColumn="0" w:lastRowFirstColumn="0" w:lastRowLastColumn="0"/>
            <w:tcW w:w="931" w:type="dxa"/>
            <w:tcBorders>
              <w:top w:val="nil"/>
              <w:left w:val="nil"/>
            </w:tcBorders>
            <w:noWrap/>
            <w:vAlign w:val="top"/>
            <w:hideMark/>
          </w:tcPr>
          <w:p w:rsidR="00AB36D9" w:rsidRPr="00AB36D9" w:rsidRDefault="00AB36D9" w:rsidP="008F0AA0">
            <w:pPr>
              <w:rPr>
                <w:rFonts w:ascii="Calibri" w:hAnsi="Calibri"/>
                <w:lang w:eastAsia="en-AU"/>
              </w:rPr>
            </w:pPr>
            <w:r w:rsidRPr="00AB36D9">
              <w:rPr>
                <w:lang w:eastAsia="en-AU"/>
              </w:rPr>
              <w:t> </w:t>
            </w:r>
          </w:p>
        </w:tc>
        <w:tc>
          <w:tcPr>
            <w:tcW w:w="0" w:type="auto"/>
            <w:gridSpan w:val="2"/>
            <w:vMerge/>
            <w:shd w:val="clear" w:color="auto" w:fill="F2F2F2" w:themeFill="background1" w:themeFillShade="F2"/>
            <w:vAlign w:val="top"/>
            <w:hideMark/>
          </w:tcPr>
          <w:p w:rsidR="00AB36D9" w:rsidRPr="00AB36D9" w:rsidRDefault="00AB36D9" w:rsidP="008F0AA0">
            <w:pPr>
              <w:cnfStyle w:val="000000000000" w:firstRow="0" w:lastRow="0" w:firstColumn="0" w:lastColumn="0" w:oddVBand="0" w:evenVBand="0" w:oddHBand="0" w:evenHBand="0" w:firstRowFirstColumn="0" w:firstRowLastColumn="0" w:lastRowFirstColumn="0" w:lastRowLastColumn="0"/>
              <w:rPr>
                <w:lang w:eastAsia="en-AU"/>
              </w:rPr>
            </w:pPr>
          </w:p>
        </w:tc>
        <w:tc>
          <w:tcPr>
            <w:tcW w:w="0" w:type="auto"/>
            <w:vMerge/>
            <w:shd w:val="clear" w:color="auto" w:fill="F2F2F2" w:themeFill="background1" w:themeFillShade="F2"/>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lang w:eastAsia="en-AU"/>
              </w:rPr>
            </w:pPr>
          </w:p>
        </w:tc>
        <w:tc>
          <w:tcPr>
            <w:tcW w:w="0" w:type="auto"/>
            <w:vMerge/>
            <w:shd w:val="clear" w:color="auto" w:fill="F2F2F2" w:themeFill="background1" w:themeFillShade="F2"/>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lang w:eastAsia="en-AU"/>
              </w:rPr>
            </w:pPr>
          </w:p>
        </w:tc>
      </w:tr>
      <w:tr w:rsidR="00AB36D9" w:rsidRPr="00AB36D9" w:rsidTr="00D721DE">
        <w:trPr>
          <w:trHeight w:val="551"/>
          <w:jc w:val="center"/>
        </w:trPr>
        <w:tc>
          <w:tcPr>
            <w:cnfStyle w:val="001000000000" w:firstRow="0" w:lastRow="0" w:firstColumn="1" w:lastColumn="0" w:oddVBand="0" w:evenVBand="0" w:oddHBand="0" w:evenHBand="0" w:firstRowFirstColumn="0" w:firstRowLastColumn="0" w:lastRowFirstColumn="0" w:lastRowLastColumn="0"/>
            <w:tcW w:w="931" w:type="dxa"/>
            <w:vMerge w:val="restart"/>
            <w:shd w:val="clear" w:color="auto" w:fill="F2F2F2" w:themeFill="background1" w:themeFillShade="F2"/>
            <w:noWrap/>
            <w:textDirection w:val="btLr"/>
            <w:hideMark/>
          </w:tcPr>
          <w:p w:rsidR="00AB36D9" w:rsidRPr="00AB36D9" w:rsidRDefault="00AB36D9" w:rsidP="008F0AA0">
            <w:pPr>
              <w:jc w:val="center"/>
              <w:rPr>
                <w:rFonts w:ascii="Calibri" w:hAnsi="Calibri"/>
                <w:lang w:eastAsia="en-AU"/>
              </w:rPr>
            </w:pPr>
            <w:r w:rsidRPr="00AB36D9">
              <w:rPr>
                <w:lang w:eastAsia="en-AU"/>
              </w:rPr>
              <w:t>Regulated</w:t>
            </w:r>
          </w:p>
        </w:tc>
        <w:tc>
          <w:tcPr>
            <w:tcW w:w="1363" w:type="dxa"/>
            <w:vMerge w:val="restart"/>
            <w:noWrap/>
            <w:vAlign w:val="top"/>
            <w:hideMark/>
          </w:tcPr>
          <w:p w:rsidR="00AB36D9" w:rsidRPr="00AB36D9" w:rsidRDefault="00AB36D9" w:rsidP="008F0AA0">
            <w:pP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Energy</w:t>
            </w:r>
          </w:p>
        </w:tc>
        <w:tc>
          <w:tcPr>
            <w:tcW w:w="2295" w:type="dxa"/>
            <w:noWrap/>
            <w:vAlign w:val="top"/>
            <w:hideMark/>
          </w:tcPr>
          <w:p w:rsidR="00AB36D9" w:rsidRPr="00AB36D9" w:rsidRDefault="00AB36D9" w:rsidP="008F0AA0">
            <w:pP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Electricity</w:t>
            </w:r>
          </w:p>
        </w:tc>
        <w:tc>
          <w:tcPr>
            <w:tcW w:w="1829" w:type="dxa"/>
            <w:noWrap/>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24</w:t>
            </w:r>
          </w:p>
        </w:tc>
        <w:tc>
          <w:tcPr>
            <w:tcW w:w="1829" w:type="dxa"/>
            <w:noWrap/>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170</w:t>
            </w:r>
          </w:p>
        </w:tc>
      </w:tr>
      <w:tr w:rsidR="00AB36D9" w:rsidRPr="00AB36D9" w:rsidTr="00D721DE">
        <w:trPr>
          <w:trHeight w:val="551"/>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F2F2F2" w:themeFill="background1" w:themeFillShade="F2"/>
            <w:hideMark/>
          </w:tcPr>
          <w:p w:rsidR="00AB36D9" w:rsidRPr="00AB36D9" w:rsidRDefault="00AB36D9" w:rsidP="008F0AA0">
            <w:pPr>
              <w:jc w:val="center"/>
              <w:rPr>
                <w:lang w:eastAsia="en-AU"/>
              </w:rPr>
            </w:pPr>
          </w:p>
        </w:tc>
        <w:tc>
          <w:tcPr>
            <w:tcW w:w="0" w:type="auto"/>
            <w:vMerge/>
            <w:vAlign w:val="top"/>
            <w:hideMark/>
          </w:tcPr>
          <w:p w:rsidR="00AB36D9" w:rsidRPr="00AB36D9" w:rsidRDefault="00AB36D9" w:rsidP="008F0AA0">
            <w:pPr>
              <w:cnfStyle w:val="000000000000" w:firstRow="0" w:lastRow="0" w:firstColumn="0" w:lastColumn="0" w:oddVBand="0" w:evenVBand="0" w:oddHBand="0" w:evenHBand="0" w:firstRowFirstColumn="0" w:firstRowLastColumn="0" w:lastRowFirstColumn="0" w:lastRowLastColumn="0"/>
              <w:rPr>
                <w:lang w:eastAsia="en-AU"/>
              </w:rPr>
            </w:pPr>
          </w:p>
        </w:tc>
        <w:tc>
          <w:tcPr>
            <w:tcW w:w="2295" w:type="dxa"/>
            <w:noWrap/>
            <w:vAlign w:val="top"/>
            <w:hideMark/>
          </w:tcPr>
          <w:p w:rsidR="00AB36D9" w:rsidRPr="00AB36D9" w:rsidRDefault="00AB36D9" w:rsidP="006B3B6B">
            <w:pP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 xml:space="preserve">Natural </w:t>
            </w:r>
            <w:r w:rsidR="006B3B6B">
              <w:rPr>
                <w:lang w:eastAsia="en-AU"/>
              </w:rPr>
              <w:t>g</w:t>
            </w:r>
            <w:r w:rsidRPr="00AB36D9">
              <w:rPr>
                <w:lang w:eastAsia="en-AU"/>
              </w:rPr>
              <w:t>as</w:t>
            </w:r>
          </w:p>
        </w:tc>
        <w:tc>
          <w:tcPr>
            <w:tcW w:w="1829" w:type="dxa"/>
            <w:noWrap/>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1</w:t>
            </w:r>
          </w:p>
        </w:tc>
        <w:tc>
          <w:tcPr>
            <w:tcW w:w="1829" w:type="dxa"/>
            <w:noWrap/>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32</w:t>
            </w:r>
          </w:p>
        </w:tc>
      </w:tr>
      <w:tr w:rsidR="00AB36D9" w:rsidRPr="00AB36D9" w:rsidTr="00D721DE">
        <w:trPr>
          <w:trHeight w:val="551"/>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F2F2F2" w:themeFill="background1" w:themeFillShade="F2"/>
            <w:hideMark/>
          </w:tcPr>
          <w:p w:rsidR="00AB36D9" w:rsidRPr="00AB36D9" w:rsidRDefault="00AB36D9" w:rsidP="008F0AA0">
            <w:pPr>
              <w:jc w:val="center"/>
              <w:rPr>
                <w:lang w:eastAsia="en-AU"/>
              </w:rPr>
            </w:pPr>
          </w:p>
        </w:tc>
        <w:tc>
          <w:tcPr>
            <w:tcW w:w="0" w:type="auto"/>
            <w:vMerge/>
            <w:vAlign w:val="top"/>
            <w:hideMark/>
          </w:tcPr>
          <w:p w:rsidR="00AB36D9" w:rsidRPr="00AB36D9" w:rsidRDefault="00AB36D9" w:rsidP="008F0AA0">
            <w:pPr>
              <w:cnfStyle w:val="000000000000" w:firstRow="0" w:lastRow="0" w:firstColumn="0" w:lastColumn="0" w:oddVBand="0" w:evenVBand="0" w:oddHBand="0" w:evenHBand="0" w:firstRowFirstColumn="0" w:firstRowLastColumn="0" w:lastRowFirstColumn="0" w:lastRowLastColumn="0"/>
              <w:rPr>
                <w:lang w:eastAsia="en-AU"/>
              </w:rPr>
            </w:pPr>
          </w:p>
        </w:tc>
        <w:tc>
          <w:tcPr>
            <w:tcW w:w="2295" w:type="dxa"/>
            <w:noWrap/>
            <w:vAlign w:val="top"/>
            <w:hideMark/>
          </w:tcPr>
          <w:p w:rsidR="00AB36D9" w:rsidRPr="00AB36D9" w:rsidRDefault="00AB36D9" w:rsidP="008F0AA0">
            <w:pP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Unspecified</w:t>
            </w:r>
          </w:p>
        </w:tc>
        <w:tc>
          <w:tcPr>
            <w:tcW w:w="1829" w:type="dxa"/>
            <w:noWrap/>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25</w:t>
            </w:r>
          </w:p>
        </w:tc>
        <w:tc>
          <w:tcPr>
            <w:tcW w:w="1829" w:type="dxa"/>
            <w:noWrap/>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207</w:t>
            </w:r>
          </w:p>
        </w:tc>
      </w:tr>
      <w:tr w:rsidR="00AB36D9" w:rsidRPr="00AB36D9" w:rsidTr="00D721DE">
        <w:trPr>
          <w:trHeight w:val="551"/>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F2F2F2" w:themeFill="background1" w:themeFillShade="F2"/>
            <w:hideMark/>
          </w:tcPr>
          <w:p w:rsidR="00AB36D9" w:rsidRPr="00AB36D9" w:rsidRDefault="00AB36D9" w:rsidP="008F0AA0">
            <w:pPr>
              <w:jc w:val="center"/>
              <w:rPr>
                <w:lang w:eastAsia="en-AU"/>
              </w:rPr>
            </w:pPr>
          </w:p>
        </w:tc>
        <w:tc>
          <w:tcPr>
            <w:tcW w:w="3658" w:type="dxa"/>
            <w:gridSpan w:val="2"/>
            <w:noWrap/>
            <w:vAlign w:val="top"/>
            <w:hideMark/>
          </w:tcPr>
          <w:p w:rsidR="00AB36D9" w:rsidRPr="00AB36D9" w:rsidRDefault="00AB36D9" w:rsidP="008F0AA0">
            <w:pP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Syn</w:t>
            </w:r>
            <w:r w:rsidR="002E50EA">
              <w:rPr>
                <w:lang w:eastAsia="en-AU"/>
              </w:rPr>
              <w:t>thetic greenhouse g</w:t>
            </w:r>
            <w:r w:rsidRPr="00AB36D9">
              <w:rPr>
                <w:lang w:eastAsia="en-AU"/>
              </w:rPr>
              <w:t>as</w:t>
            </w:r>
          </w:p>
        </w:tc>
        <w:tc>
          <w:tcPr>
            <w:tcW w:w="1829" w:type="dxa"/>
            <w:noWrap/>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4</w:t>
            </w:r>
          </w:p>
        </w:tc>
        <w:tc>
          <w:tcPr>
            <w:tcW w:w="1829" w:type="dxa"/>
            <w:noWrap/>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55</w:t>
            </w:r>
          </w:p>
        </w:tc>
      </w:tr>
      <w:tr w:rsidR="00AB36D9" w:rsidRPr="00AB36D9" w:rsidTr="00D721DE">
        <w:trPr>
          <w:trHeight w:val="551"/>
          <w:jc w:val="center"/>
        </w:trPr>
        <w:tc>
          <w:tcPr>
            <w:cnfStyle w:val="001000000000" w:firstRow="0" w:lastRow="0" w:firstColumn="1" w:lastColumn="0" w:oddVBand="0" w:evenVBand="0" w:oddHBand="0" w:evenHBand="0" w:firstRowFirstColumn="0" w:firstRowLastColumn="0" w:lastRowFirstColumn="0" w:lastRowLastColumn="0"/>
            <w:tcW w:w="931" w:type="dxa"/>
            <w:vMerge w:val="restart"/>
            <w:shd w:val="clear" w:color="auto" w:fill="F2F2F2" w:themeFill="background1" w:themeFillShade="F2"/>
            <w:noWrap/>
            <w:textDirection w:val="btLr"/>
            <w:hideMark/>
          </w:tcPr>
          <w:p w:rsidR="00AB36D9" w:rsidRPr="00AB36D9" w:rsidRDefault="00AB36D9" w:rsidP="008F0AA0">
            <w:pPr>
              <w:jc w:val="center"/>
              <w:rPr>
                <w:rFonts w:ascii="Calibri" w:hAnsi="Calibri"/>
                <w:lang w:eastAsia="en-AU"/>
              </w:rPr>
            </w:pPr>
            <w:r w:rsidRPr="00AB36D9">
              <w:rPr>
                <w:lang w:eastAsia="en-AU"/>
              </w:rPr>
              <w:t>Unregulated</w:t>
            </w:r>
          </w:p>
        </w:tc>
        <w:tc>
          <w:tcPr>
            <w:tcW w:w="3658" w:type="dxa"/>
            <w:gridSpan w:val="2"/>
            <w:noWrap/>
            <w:vAlign w:val="top"/>
            <w:hideMark/>
          </w:tcPr>
          <w:p w:rsidR="00AB36D9" w:rsidRPr="00AB36D9" w:rsidRDefault="00AB36D9" w:rsidP="008F0AA0">
            <w:pP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Waste or landfill</w:t>
            </w:r>
          </w:p>
        </w:tc>
        <w:tc>
          <w:tcPr>
            <w:tcW w:w="1829" w:type="dxa"/>
            <w:noWrap/>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2</w:t>
            </w:r>
          </w:p>
        </w:tc>
        <w:tc>
          <w:tcPr>
            <w:tcW w:w="1829" w:type="dxa"/>
            <w:noWrap/>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19</w:t>
            </w:r>
          </w:p>
        </w:tc>
      </w:tr>
      <w:tr w:rsidR="00AB36D9" w:rsidRPr="00AB36D9" w:rsidTr="00D721DE">
        <w:trPr>
          <w:trHeight w:val="551"/>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F2F2F2" w:themeFill="background1" w:themeFillShade="F2"/>
            <w:vAlign w:val="top"/>
            <w:hideMark/>
          </w:tcPr>
          <w:p w:rsidR="00AB36D9" w:rsidRPr="00AB36D9" w:rsidRDefault="00AB36D9" w:rsidP="008F0AA0">
            <w:pPr>
              <w:rPr>
                <w:lang w:eastAsia="en-AU"/>
              </w:rPr>
            </w:pPr>
          </w:p>
        </w:tc>
        <w:tc>
          <w:tcPr>
            <w:tcW w:w="3658" w:type="dxa"/>
            <w:gridSpan w:val="2"/>
            <w:noWrap/>
            <w:vAlign w:val="top"/>
            <w:hideMark/>
          </w:tcPr>
          <w:p w:rsidR="00AB36D9" w:rsidRPr="00AB36D9" w:rsidRDefault="002E50EA" w:rsidP="002E50EA">
            <w:pP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Pr>
                <w:lang w:eastAsia="en-AU"/>
              </w:rPr>
              <w:t>Transportation or f</w:t>
            </w:r>
            <w:r w:rsidR="00AB36D9" w:rsidRPr="00AB36D9">
              <w:rPr>
                <w:lang w:eastAsia="en-AU"/>
              </w:rPr>
              <w:t>uel</w:t>
            </w:r>
          </w:p>
        </w:tc>
        <w:tc>
          <w:tcPr>
            <w:tcW w:w="1829" w:type="dxa"/>
            <w:noWrap/>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1</w:t>
            </w:r>
          </w:p>
        </w:tc>
        <w:tc>
          <w:tcPr>
            <w:tcW w:w="1829" w:type="dxa"/>
            <w:noWrap/>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17</w:t>
            </w:r>
          </w:p>
        </w:tc>
      </w:tr>
      <w:tr w:rsidR="00AB36D9" w:rsidRPr="00AB36D9" w:rsidTr="00D721DE">
        <w:trPr>
          <w:trHeight w:val="551"/>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F2F2F2" w:themeFill="background1" w:themeFillShade="F2"/>
            <w:vAlign w:val="top"/>
            <w:hideMark/>
          </w:tcPr>
          <w:p w:rsidR="00AB36D9" w:rsidRPr="00AB36D9" w:rsidRDefault="00AB36D9" w:rsidP="008F0AA0">
            <w:pPr>
              <w:rPr>
                <w:lang w:eastAsia="en-AU"/>
              </w:rPr>
            </w:pPr>
          </w:p>
        </w:tc>
        <w:tc>
          <w:tcPr>
            <w:tcW w:w="3658" w:type="dxa"/>
            <w:gridSpan w:val="2"/>
            <w:noWrap/>
            <w:vAlign w:val="top"/>
            <w:hideMark/>
          </w:tcPr>
          <w:p w:rsidR="00AB36D9" w:rsidRPr="00AB36D9" w:rsidRDefault="00AB36D9" w:rsidP="002E50EA">
            <w:pP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 xml:space="preserve">Manufacturing or </w:t>
            </w:r>
            <w:r w:rsidR="002E50EA">
              <w:rPr>
                <w:lang w:eastAsia="en-AU"/>
              </w:rPr>
              <w:t>c</w:t>
            </w:r>
            <w:r w:rsidRPr="00AB36D9">
              <w:rPr>
                <w:lang w:eastAsia="en-AU"/>
              </w:rPr>
              <w:t>onstruction</w:t>
            </w:r>
          </w:p>
        </w:tc>
        <w:tc>
          <w:tcPr>
            <w:tcW w:w="1829" w:type="dxa"/>
            <w:noWrap/>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3</w:t>
            </w:r>
          </w:p>
        </w:tc>
        <w:tc>
          <w:tcPr>
            <w:tcW w:w="1829" w:type="dxa"/>
            <w:noWrap/>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16</w:t>
            </w:r>
          </w:p>
        </w:tc>
      </w:tr>
      <w:tr w:rsidR="00AB36D9" w:rsidRPr="00AB36D9" w:rsidTr="00D721DE">
        <w:trPr>
          <w:trHeight w:val="551"/>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F2F2F2" w:themeFill="background1" w:themeFillShade="F2"/>
            <w:vAlign w:val="top"/>
            <w:hideMark/>
          </w:tcPr>
          <w:p w:rsidR="00AB36D9" w:rsidRPr="00AB36D9" w:rsidRDefault="00AB36D9" w:rsidP="008F0AA0">
            <w:pPr>
              <w:rPr>
                <w:lang w:eastAsia="en-AU"/>
              </w:rPr>
            </w:pPr>
          </w:p>
        </w:tc>
        <w:tc>
          <w:tcPr>
            <w:tcW w:w="3658" w:type="dxa"/>
            <w:gridSpan w:val="2"/>
            <w:noWrap/>
            <w:vAlign w:val="top"/>
            <w:hideMark/>
          </w:tcPr>
          <w:p w:rsidR="00AB36D9" w:rsidRPr="00AB36D9" w:rsidRDefault="00AB36D9" w:rsidP="008F0AA0">
            <w:pP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Government</w:t>
            </w:r>
          </w:p>
        </w:tc>
        <w:tc>
          <w:tcPr>
            <w:tcW w:w="1829" w:type="dxa"/>
            <w:noWrap/>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5</w:t>
            </w:r>
          </w:p>
        </w:tc>
        <w:tc>
          <w:tcPr>
            <w:tcW w:w="1829" w:type="dxa"/>
            <w:noWrap/>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81</w:t>
            </w:r>
          </w:p>
        </w:tc>
      </w:tr>
      <w:tr w:rsidR="00AB36D9" w:rsidRPr="00AB36D9" w:rsidTr="00D721DE">
        <w:trPr>
          <w:trHeight w:val="551"/>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F2F2F2" w:themeFill="background1" w:themeFillShade="F2"/>
            <w:vAlign w:val="top"/>
            <w:hideMark/>
          </w:tcPr>
          <w:p w:rsidR="00AB36D9" w:rsidRPr="00AB36D9" w:rsidRDefault="00AB36D9" w:rsidP="008F0AA0">
            <w:pPr>
              <w:rPr>
                <w:lang w:eastAsia="en-AU"/>
              </w:rPr>
            </w:pPr>
          </w:p>
        </w:tc>
        <w:tc>
          <w:tcPr>
            <w:tcW w:w="3658" w:type="dxa"/>
            <w:gridSpan w:val="2"/>
            <w:noWrap/>
            <w:vAlign w:val="top"/>
            <w:hideMark/>
          </w:tcPr>
          <w:p w:rsidR="00AB36D9" w:rsidRPr="00AB36D9" w:rsidRDefault="00AB36D9" w:rsidP="008F0AA0">
            <w:pP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Retail</w:t>
            </w:r>
          </w:p>
        </w:tc>
        <w:tc>
          <w:tcPr>
            <w:tcW w:w="1829" w:type="dxa"/>
            <w:noWrap/>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0</w:t>
            </w:r>
          </w:p>
        </w:tc>
        <w:tc>
          <w:tcPr>
            <w:tcW w:w="1829" w:type="dxa"/>
            <w:noWrap/>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5</w:t>
            </w:r>
          </w:p>
        </w:tc>
      </w:tr>
      <w:tr w:rsidR="00AB36D9" w:rsidRPr="00AB36D9" w:rsidTr="00D721DE">
        <w:trPr>
          <w:trHeight w:val="551"/>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F2F2F2" w:themeFill="background1" w:themeFillShade="F2"/>
            <w:vAlign w:val="top"/>
            <w:hideMark/>
          </w:tcPr>
          <w:p w:rsidR="00AB36D9" w:rsidRPr="00AB36D9" w:rsidRDefault="00AB36D9" w:rsidP="008F0AA0">
            <w:pPr>
              <w:rPr>
                <w:lang w:eastAsia="en-AU"/>
              </w:rPr>
            </w:pPr>
          </w:p>
        </w:tc>
        <w:tc>
          <w:tcPr>
            <w:tcW w:w="3658" w:type="dxa"/>
            <w:gridSpan w:val="2"/>
            <w:noWrap/>
            <w:vAlign w:val="top"/>
            <w:hideMark/>
          </w:tcPr>
          <w:p w:rsidR="00AB36D9" w:rsidRPr="00AB36D9" w:rsidRDefault="002E50EA" w:rsidP="00A426CA">
            <w:pP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Pr>
                <w:lang w:eastAsia="en-AU"/>
              </w:rPr>
              <w:t>Food and g</w:t>
            </w:r>
            <w:r w:rsidR="00AB36D9" w:rsidRPr="00AB36D9">
              <w:rPr>
                <w:lang w:eastAsia="en-AU"/>
              </w:rPr>
              <w:t xml:space="preserve">rocery </w:t>
            </w:r>
          </w:p>
        </w:tc>
        <w:tc>
          <w:tcPr>
            <w:tcW w:w="1829" w:type="dxa"/>
            <w:noWrap/>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0</w:t>
            </w:r>
          </w:p>
        </w:tc>
        <w:tc>
          <w:tcPr>
            <w:tcW w:w="1829" w:type="dxa"/>
            <w:noWrap/>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6</w:t>
            </w:r>
          </w:p>
        </w:tc>
      </w:tr>
      <w:tr w:rsidR="00AB36D9" w:rsidRPr="00AB36D9" w:rsidTr="00D721DE">
        <w:trPr>
          <w:trHeight w:val="551"/>
          <w:jc w:val="center"/>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4" w:space="0" w:color="D5D6D2" w:themeColor="background2"/>
            </w:tcBorders>
            <w:shd w:val="clear" w:color="auto" w:fill="F2F2F2" w:themeFill="background1" w:themeFillShade="F2"/>
            <w:vAlign w:val="top"/>
            <w:hideMark/>
          </w:tcPr>
          <w:p w:rsidR="00AB36D9" w:rsidRPr="00AB36D9" w:rsidRDefault="00AB36D9" w:rsidP="008F0AA0">
            <w:pPr>
              <w:rPr>
                <w:lang w:eastAsia="en-AU"/>
              </w:rPr>
            </w:pPr>
          </w:p>
        </w:tc>
        <w:tc>
          <w:tcPr>
            <w:tcW w:w="3658" w:type="dxa"/>
            <w:gridSpan w:val="2"/>
            <w:noWrap/>
            <w:vAlign w:val="top"/>
            <w:hideMark/>
          </w:tcPr>
          <w:p w:rsidR="00AB36D9" w:rsidRPr="00AB36D9" w:rsidRDefault="00AB36D9" w:rsidP="008F0AA0">
            <w:pP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Other</w:t>
            </w:r>
          </w:p>
        </w:tc>
        <w:tc>
          <w:tcPr>
            <w:tcW w:w="1829" w:type="dxa"/>
            <w:noWrap/>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3</w:t>
            </w:r>
          </w:p>
        </w:tc>
        <w:tc>
          <w:tcPr>
            <w:tcW w:w="1829" w:type="dxa"/>
            <w:noWrap/>
            <w:vAlign w:val="top"/>
            <w:hideMark/>
          </w:tcPr>
          <w:p w:rsidR="00AB36D9" w:rsidRPr="00AB36D9" w:rsidRDefault="00AB36D9" w:rsidP="00D721DE">
            <w:pPr>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AB36D9">
              <w:rPr>
                <w:lang w:eastAsia="en-AU"/>
              </w:rPr>
              <w:t>66</w:t>
            </w:r>
          </w:p>
        </w:tc>
      </w:tr>
      <w:tr w:rsidR="00AB36D9" w:rsidRPr="00AB36D9" w:rsidTr="00D721DE">
        <w:trPr>
          <w:trHeight w:val="551"/>
          <w:jc w:val="center"/>
        </w:trPr>
        <w:tc>
          <w:tcPr>
            <w:cnfStyle w:val="001000000000" w:firstRow="0" w:lastRow="0" w:firstColumn="1" w:lastColumn="0" w:oddVBand="0" w:evenVBand="0" w:oddHBand="0" w:evenHBand="0" w:firstRowFirstColumn="0" w:firstRowLastColumn="0" w:lastRowFirstColumn="0" w:lastRowLastColumn="0"/>
            <w:tcW w:w="931" w:type="dxa"/>
            <w:tcBorders>
              <w:left w:val="nil"/>
              <w:bottom w:val="nil"/>
            </w:tcBorders>
            <w:noWrap/>
            <w:vAlign w:val="top"/>
            <w:hideMark/>
          </w:tcPr>
          <w:p w:rsidR="00AB36D9" w:rsidRPr="00AB36D9" w:rsidRDefault="00AB36D9" w:rsidP="008F0AA0">
            <w:pPr>
              <w:rPr>
                <w:rFonts w:ascii="Calibri" w:hAnsi="Calibri"/>
                <w:lang w:eastAsia="en-AU"/>
              </w:rPr>
            </w:pPr>
            <w:r w:rsidRPr="00AB36D9">
              <w:rPr>
                <w:lang w:eastAsia="en-AU"/>
              </w:rPr>
              <w:t> </w:t>
            </w:r>
          </w:p>
        </w:tc>
        <w:tc>
          <w:tcPr>
            <w:tcW w:w="3658" w:type="dxa"/>
            <w:gridSpan w:val="2"/>
            <w:shd w:val="clear" w:color="auto" w:fill="F2F2F2" w:themeFill="background1" w:themeFillShade="F2"/>
            <w:noWrap/>
            <w:vAlign w:val="top"/>
            <w:hideMark/>
          </w:tcPr>
          <w:p w:rsidR="00AB36D9" w:rsidRPr="008F0AA0" w:rsidRDefault="00AB36D9" w:rsidP="008F0AA0">
            <w:pPr>
              <w:cnfStyle w:val="000000000000" w:firstRow="0" w:lastRow="0" w:firstColumn="0" w:lastColumn="0" w:oddVBand="0" w:evenVBand="0" w:oddHBand="0" w:evenHBand="0" w:firstRowFirstColumn="0" w:firstRowLastColumn="0" w:lastRowFirstColumn="0" w:lastRowLastColumn="0"/>
              <w:rPr>
                <w:rStyle w:val="Strong"/>
              </w:rPr>
            </w:pPr>
            <w:r w:rsidRPr="008F0AA0">
              <w:rPr>
                <w:rStyle w:val="Strong"/>
              </w:rPr>
              <w:t>Total</w:t>
            </w:r>
          </w:p>
        </w:tc>
        <w:tc>
          <w:tcPr>
            <w:tcW w:w="1829" w:type="dxa"/>
            <w:shd w:val="clear" w:color="auto" w:fill="F2F2F2" w:themeFill="background1" w:themeFillShade="F2"/>
            <w:noWrap/>
            <w:vAlign w:val="top"/>
            <w:hideMark/>
          </w:tcPr>
          <w:p w:rsidR="00AB36D9" w:rsidRPr="008F0AA0" w:rsidRDefault="00AB36D9" w:rsidP="00D721DE">
            <w:pPr>
              <w:jc w:val="center"/>
              <w:cnfStyle w:val="000000000000" w:firstRow="0" w:lastRow="0" w:firstColumn="0" w:lastColumn="0" w:oddVBand="0" w:evenVBand="0" w:oddHBand="0" w:evenHBand="0" w:firstRowFirstColumn="0" w:firstRowLastColumn="0" w:lastRowFirstColumn="0" w:lastRowLastColumn="0"/>
              <w:rPr>
                <w:rStyle w:val="Strong"/>
              </w:rPr>
            </w:pPr>
            <w:r w:rsidRPr="008F0AA0">
              <w:rPr>
                <w:rStyle w:val="Strong"/>
              </w:rPr>
              <w:t>68</w:t>
            </w:r>
          </w:p>
        </w:tc>
        <w:tc>
          <w:tcPr>
            <w:tcW w:w="1829" w:type="dxa"/>
            <w:shd w:val="clear" w:color="auto" w:fill="F2F2F2" w:themeFill="background1" w:themeFillShade="F2"/>
            <w:noWrap/>
            <w:vAlign w:val="top"/>
            <w:hideMark/>
          </w:tcPr>
          <w:p w:rsidR="00AB36D9" w:rsidRPr="008F0AA0" w:rsidRDefault="00AB36D9" w:rsidP="00D721DE">
            <w:pPr>
              <w:jc w:val="center"/>
              <w:cnfStyle w:val="000000000000" w:firstRow="0" w:lastRow="0" w:firstColumn="0" w:lastColumn="0" w:oddVBand="0" w:evenVBand="0" w:oddHBand="0" w:evenHBand="0" w:firstRowFirstColumn="0" w:firstRowLastColumn="0" w:lastRowFirstColumn="0" w:lastRowLastColumn="0"/>
              <w:rPr>
                <w:rStyle w:val="Strong"/>
              </w:rPr>
            </w:pPr>
            <w:r w:rsidRPr="008F0AA0">
              <w:rPr>
                <w:rStyle w:val="Strong"/>
              </w:rPr>
              <w:t>674</w:t>
            </w:r>
          </w:p>
        </w:tc>
      </w:tr>
    </w:tbl>
    <w:p w:rsidR="00AB36D9" w:rsidRPr="00AB36D9" w:rsidRDefault="00AB36D9" w:rsidP="00AB36D9">
      <w:r w:rsidRPr="00AB36D9">
        <w:t>As anticipated, the majority of contacts received by the ACCC related to the electricity and natural gas industries. This quarter, contacts mainly focused on consumers inquiring about their energy bills, such as whether their discounts were in line with expectations.</w:t>
      </w:r>
    </w:p>
    <w:p w:rsidR="00AB36D9" w:rsidRPr="00AB36D9" w:rsidRDefault="00AB36D9" w:rsidP="00AB36D9">
      <w:r w:rsidRPr="00AB36D9">
        <w:t>The number of contacts was significantly lower than the number received in the December 2014 quarter. The ACCC has observed a steady decline in the number of complaints received since the September 2014 quarter. The number of contacts was also significantly lower than the number received in the March 2013 quarter, after the introduction of the carbon tax.</w:t>
      </w:r>
    </w:p>
    <w:p w:rsidR="00AB36D9" w:rsidRPr="00AB36D9" w:rsidRDefault="00AB36D9" w:rsidP="00AB36D9">
      <w:r w:rsidRPr="00AB36D9">
        <w:t>In the January 2015 Carbon Report, the ACCC noted that it would cease monitoring entities in the industries that the ACCC was satisfied had passed on carbon tax</w:t>
      </w:r>
      <w:r w:rsidR="00A1767F">
        <w:t xml:space="preserve"> repeal</w:t>
      </w:r>
      <w:r w:rsidRPr="00AB36D9">
        <w:t xml:space="preserve"> cost savings. However, the ACCC will continue to monitor for complaints in all industries.</w:t>
      </w:r>
    </w:p>
    <w:p w:rsidR="008F0AA0" w:rsidRDefault="008F0AA0">
      <w:pPr>
        <w:rPr>
          <w:rFonts w:ascii="Lucida Fax" w:eastAsiaTheme="majorEastAsia" w:hAnsi="Lucida Fax" w:cstheme="majorBidi"/>
          <w:bCs/>
          <w:color w:val="51626F"/>
          <w:sz w:val="32"/>
          <w:szCs w:val="28"/>
        </w:rPr>
      </w:pPr>
      <w:r>
        <w:br w:type="page"/>
      </w:r>
    </w:p>
    <w:p w:rsidR="00AB36D9" w:rsidRPr="00AB36D9" w:rsidRDefault="00AB36D9" w:rsidP="008F0AA0">
      <w:pPr>
        <w:pStyle w:val="Heading1"/>
      </w:pPr>
      <w:bookmarkStart w:id="51" w:name="_Toc417460249"/>
      <w:r w:rsidRPr="00AB36D9">
        <w:lastRenderedPageBreak/>
        <w:t>Enforcement</w:t>
      </w:r>
      <w:bookmarkEnd w:id="51"/>
    </w:p>
    <w:p w:rsidR="00AB36D9" w:rsidRPr="00AB36D9" w:rsidRDefault="00AB36D9" w:rsidP="00AB36D9">
      <w:r w:rsidRPr="00AB36D9">
        <w:t>The ACCC continues to be pleased with the high levels of compliance with the price reduction obligation and consequently, has not undertaken any enforcement activities in the March 2015 quarter.</w:t>
      </w:r>
    </w:p>
    <w:p w:rsidR="00AB36D9" w:rsidRPr="00AB36D9" w:rsidRDefault="00AB36D9" w:rsidP="00AB36D9">
      <w:r w:rsidRPr="00AB36D9">
        <w:t>The ACCC has not issued any notices to aid prevention of price exploitation in relation to the carbon tax repeal pursuant to section 60E of the CCA.</w:t>
      </w:r>
    </w:p>
    <w:p w:rsidR="00AB36D9" w:rsidRPr="00AB36D9" w:rsidRDefault="00AB36D9" w:rsidP="00AB36D9">
      <w:r w:rsidRPr="00AB36D9">
        <w:t>The ACCC has also been assessing statements made by additional entities that are not subject to the price exploitation provisions to ensure that they are not engaging in misleading or deceptive conduct about the impact of the carbon tax repeal on their prices. At this time, the ACCC does not consider that any additional entity has made misleading or deceptive statements about the impact of the carbon tax repeal on their prices.</w:t>
      </w:r>
    </w:p>
    <w:p w:rsidR="00AB36D9" w:rsidRPr="00AB36D9" w:rsidRDefault="00AB36D9" w:rsidP="00AB36D9">
      <w:r w:rsidRPr="00AB36D9">
        <w:t>On 2 April 2015,</w:t>
      </w:r>
      <w:r w:rsidR="00F02266">
        <w:t xml:space="preserve"> the Federal Court of Australia handed down</w:t>
      </w:r>
      <w:r w:rsidRPr="00AB36D9">
        <w:t xml:space="preserve"> judgment in</w:t>
      </w:r>
      <w:r w:rsidR="00F02266">
        <w:t xml:space="preserve"> ACCC v</w:t>
      </w:r>
      <w:r w:rsidRPr="00AB36D9">
        <w:t xml:space="preserve"> Actrol</w:t>
      </w:r>
      <w:r w:rsidR="00F02266">
        <w:t xml:space="preserve"> Parts Pty Ltd.</w:t>
      </w:r>
      <w:r w:rsidR="00F02266">
        <w:rPr>
          <w:rStyle w:val="FootnoteReference"/>
        </w:rPr>
        <w:footnoteReference w:id="59"/>
      </w:r>
      <w:r w:rsidRPr="00AB36D9">
        <w:t xml:space="preserve"> The Court found that Actrol had made false or misleading representations in letters to its customers and on its website</w:t>
      </w:r>
      <w:r w:rsidR="00F02266">
        <w:t xml:space="preserve"> in 2012</w:t>
      </w:r>
      <w:r w:rsidRPr="00AB36D9">
        <w:t xml:space="preserve">, by attributing significant price increases of certain SGGs to the implementation of the carbon tax, changes in input costs and general market conditions. The Court found that Actrol had in fact increased its prices to increase its margins and earnings. </w:t>
      </w:r>
    </w:p>
    <w:p w:rsidR="00AB36D9" w:rsidRPr="00AB36D9" w:rsidRDefault="00AB36D9" w:rsidP="00AB36D9">
      <w:r w:rsidRPr="00AB36D9">
        <w:t>The Court ordered Actrol to:</w:t>
      </w:r>
    </w:p>
    <w:p w:rsidR="00AB36D9" w:rsidRPr="00AB36D9" w:rsidRDefault="00AB36D9" w:rsidP="00425F3B">
      <w:pPr>
        <w:pStyle w:val="Bulletpoint"/>
      </w:pPr>
      <w:r w:rsidRPr="00AB36D9">
        <w:t>pay a pecuniary penalty of $520</w:t>
      </w:r>
      <w:r w:rsidR="008F0AA0">
        <w:t xml:space="preserve"> </w:t>
      </w:r>
      <w:r w:rsidR="00AB0AD3">
        <w:t>000</w:t>
      </w:r>
    </w:p>
    <w:p w:rsidR="00AB36D9" w:rsidRPr="00AB36D9" w:rsidRDefault="00AB36D9" w:rsidP="00425F3B">
      <w:pPr>
        <w:pStyle w:val="Bulletpoint"/>
      </w:pPr>
      <w:r w:rsidRPr="00AB36D9">
        <w:t>send a letter to its customers advising of the outcome of the ACCC’s court proceedings, publish th</w:t>
      </w:r>
      <w:r w:rsidR="00F02266">
        <w:t>e</w:t>
      </w:r>
      <w:r w:rsidRPr="00AB36D9">
        <w:t xml:space="preserve"> letter on its website and publish a cor</w:t>
      </w:r>
      <w:r w:rsidR="00AB0AD3">
        <w:t>rective notice in the newspaper</w:t>
      </w:r>
    </w:p>
    <w:p w:rsidR="00AB36D9" w:rsidRPr="00AB36D9" w:rsidRDefault="00AB36D9" w:rsidP="00425F3B">
      <w:pPr>
        <w:pStyle w:val="Bulletpoint"/>
      </w:pPr>
      <w:r w:rsidRPr="00AB36D9">
        <w:t>implement a competition and consumer complianc</w:t>
      </w:r>
      <w:r w:rsidR="00AB0AD3">
        <w:t>e program</w:t>
      </w:r>
    </w:p>
    <w:p w:rsidR="00AB36D9" w:rsidRPr="00AB36D9" w:rsidRDefault="00AB36D9" w:rsidP="00425F3B">
      <w:pPr>
        <w:pStyle w:val="Bulletpoint"/>
      </w:pPr>
      <w:r w:rsidRPr="00AB36D9">
        <w:t>refrain from engaging in similar conduct for a period of three years, and</w:t>
      </w:r>
    </w:p>
    <w:p w:rsidR="00AB36D9" w:rsidRPr="00AB36D9" w:rsidRDefault="00425F3B" w:rsidP="00425F3B">
      <w:pPr>
        <w:pStyle w:val="Bulletpoint"/>
      </w:pPr>
      <w:r>
        <w:t xml:space="preserve">contribute $50 </w:t>
      </w:r>
      <w:r w:rsidR="00AB36D9" w:rsidRPr="00AB36D9">
        <w:t>000 to the ACCC’s costs of the proceedings.</w:t>
      </w:r>
    </w:p>
    <w:p w:rsidR="00AB36D9" w:rsidRPr="005731FB" w:rsidRDefault="00AB36D9" w:rsidP="00AB36D9">
      <w:pPr>
        <w:rPr>
          <w:rStyle w:val="Strong"/>
        </w:rPr>
      </w:pPr>
    </w:p>
    <w:p w:rsidR="00425F3B" w:rsidRDefault="00425F3B">
      <w:pPr>
        <w:rPr>
          <w:rFonts w:ascii="Lucida Fax" w:eastAsiaTheme="majorEastAsia" w:hAnsi="Lucida Fax" w:cstheme="majorBidi"/>
          <w:bCs/>
          <w:color w:val="51626F"/>
          <w:sz w:val="32"/>
          <w:szCs w:val="28"/>
        </w:rPr>
      </w:pPr>
      <w:r>
        <w:br w:type="page"/>
      </w:r>
    </w:p>
    <w:p w:rsidR="00AB36D9" w:rsidRPr="00AB36D9" w:rsidRDefault="00AB36D9" w:rsidP="00425F3B">
      <w:pPr>
        <w:pStyle w:val="Heading1"/>
        <w:spacing w:after="240"/>
      </w:pPr>
      <w:bookmarkStart w:id="52" w:name="_Toc417460250"/>
      <w:r w:rsidRPr="00AB36D9">
        <w:lastRenderedPageBreak/>
        <w:t>Annexure 1: Glossary</w:t>
      </w:r>
      <w:bookmarkEnd w:id="52"/>
    </w:p>
    <w:tbl>
      <w:tblPr>
        <w:tblStyle w:val="LightShading1"/>
        <w:tblW w:w="0" w:type="auto"/>
        <w:tblLook w:val="0480" w:firstRow="0" w:lastRow="0" w:firstColumn="1" w:lastColumn="0" w:noHBand="0" w:noVBand="1"/>
      </w:tblPr>
      <w:tblGrid>
        <w:gridCol w:w="3510"/>
        <w:gridCol w:w="5387"/>
      </w:tblGrid>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Abatement measures</w:t>
            </w:r>
          </w:p>
        </w:tc>
        <w:tc>
          <w:tcPr>
            <w:tcW w:w="5387" w:type="dxa"/>
          </w:tcPr>
          <w:p w:rsidR="00AB36D9" w:rsidRPr="00AB36D9" w:rsidRDefault="00AB36D9" w:rsidP="00425F3B">
            <w:pPr>
              <w:pStyle w:val="Tabletext"/>
              <w:cnfStyle w:val="000000000000" w:firstRow="0" w:lastRow="0" w:firstColumn="0" w:lastColumn="0" w:oddVBand="0" w:evenVBand="0" w:oddHBand="0" w:evenHBand="0" w:firstRowFirstColumn="0" w:firstRowLastColumn="0" w:lastRowFirstColumn="0" w:lastRowLastColumn="0"/>
            </w:pPr>
            <w:r w:rsidRPr="00AB36D9">
              <w:t>Measures an entity has put in place in order to reduce its direct emissions and therefore its direct carbon tax costs.</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ACCC</w:t>
            </w:r>
          </w:p>
        </w:tc>
        <w:tc>
          <w:tcPr>
            <w:tcW w:w="5387" w:type="dxa"/>
          </w:tcPr>
          <w:p w:rsidR="00AB36D9" w:rsidRPr="00AB36D9" w:rsidRDefault="00BE0975" w:rsidP="00425F3B">
            <w:pPr>
              <w:pStyle w:val="Tabletext"/>
              <w:cnfStyle w:val="000000000000" w:firstRow="0" w:lastRow="0" w:firstColumn="0" w:lastColumn="0" w:oddVBand="0" w:evenVBand="0" w:oddHBand="0" w:evenHBand="0" w:firstRowFirstColumn="0" w:firstRowLastColumn="0" w:lastRowFirstColumn="0" w:lastRowLastColumn="0"/>
            </w:pPr>
            <w:r>
              <w:t xml:space="preserve">The </w:t>
            </w:r>
            <w:r w:rsidR="00AB36D9" w:rsidRPr="00AB36D9">
              <w:t>Australian Competition and Consumer Commission</w:t>
            </w:r>
            <w:r w:rsidR="002E50EA">
              <w:t>.</w:t>
            </w:r>
          </w:p>
        </w:tc>
      </w:tr>
      <w:tr w:rsidR="006B3B6B"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6B3B6B" w:rsidRPr="00AB36D9" w:rsidRDefault="006B3B6B" w:rsidP="00823774">
            <w:pPr>
              <w:pStyle w:val="Tabletext"/>
            </w:pPr>
            <w:r>
              <w:t>ACL</w:t>
            </w:r>
          </w:p>
        </w:tc>
        <w:tc>
          <w:tcPr>
            <w:tcW w:w="5387" w:type="dxa"/>
          </w:tcPr>
          <w:p w:rsidR="006B3B6B" w:rsidRPr="00AB36D9" w:rsidRDefault="006B3B6B" w:rsidP="00BE0975">
            <w:pPr>
              <w:pStyle w:val="Tabletext"/>
              <w:cnfStyle w:val="000000000000" w:firstRow="0" w:lastRow="0" w:firstColumn="0" w:lastColumn="0" w:oddVBand="0" w:evenVBand="0" w:oddHBand="0" w:evenHBand="0" w:firstRowFirstColumn="0" w:firstRowLastColumn="0" w:lastRowFirstColumn="0" w:lastRowLastColumn="0"/>
            </w:pPr>
            <w:r w:rsidRPr="00AB36D9">
              <w:t>The Australian Consumer Law contained in Schedule 2 of the CCA.</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Additional entities</w:t>
            </w:r>
          </w:p>
        </w:tc>
        <w:tc>
          <w:tcPr>
            <w:tcW w:w="5387" w:type="dxa"/>
          </w:tcPr>
          <w:p w:rsidR="00AB36D9" w:rsidRPr="00AB36D9" w:rsidRDefault="00AB36D9" w:rsidP="00425F3B">
            <w:pPr>
              <w:pStyle w:val="Tabletext"/>
              <w:cnfStyle w:val="000000000000" w:firstRow="0" w:lastRow="0" w:firstColumn="0" w:lastColumn="0" w:oddVBand="0" w:evenVBand="0" w:oddHBand="0" w:evenHBand="0" w:firstRowFirstColumn="0" w:firstRowLastColumn="0" w:lastRowFirstColumn="0" w:lastRowLastColumn="0"/>
            </w:pPr>
            <w:r w:rsidRPr="00AB36D9">
              <w:t xml:space="preserve">Entities which made public statements about the impact of the carbon tax on their prices, upon, or during, implementation and are not suppliers of regulated goods or liable entities. </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AEMC</w:t>
            </w:r>
          </w:p>
        </w:tc>
        <w:tc>
          <w:tcPr>
            <w:tcW w:w="5387" w:type="dxa"/>
          </w:tcPr>
          <w:p w:rsidR="00AB36D9" w:rsidRPr="00AB36D9" w:rsidRDefault="00AB36D9" w:rsidP="00BE0975">
            <w:pPr>
              <w:pStyle w:val="Tabletext"/>
              <w:cnfStyle w:val="000000000000" w:firstRow="0" w:lastRow="0" w:firstColumn="0" w:lastColumn="0" w:oddVBand="0" w:evenVBand="0" w:oddHBand="0" w:evenHBand="0" w:firstRowFirstColumn="0" w:firstRowLastColumn="0" w:lastRowFirstColumn="0" w:lastRowLastColumn="0"/>
            </w:pPr>
            <w:r w:rsidRPr="00AB36D9">
              <w:t>The Australian Energy Market Commission</w:t>
            </w:r>
            <w:r w:rsidR="002E50EA">
              <w:t>.</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AEMO</w:t>
            </w:r>
          </w:p>
        </w:tc>
        <w:tc>
          <w:tcPr>
            <w:tcW w:w="5387" w:type="dxa"/>
          </w:tcPr>
          <w:p w:rsidR="00AB36D9" w:rsidRPr="00AB36D9" w:rsidRDefault="00AB36D9" w:rsidP="00425F3B">
            <w:pPr>
              <w:pStyle w:val="Tabletext"/>
              <w:cnfStyle w:val="000000000000" w:firstRow="0" w:lastRow="0" w:firstColumn="0" w:lastColumn="0" w:oddVBand="0" w:evenVBand="0" w:oddHBand="0" w:evenHBand="0" w:firstRowFirstColumn="0" w:firstRowLastColumn="0" w:lastRowFirstColumn="0" w:lastRowLastColumn="0"/>
            </w:pPr>
            <w:r w:rsidRPr="00AB36D9">
              <w:t>The Australi</w:t>
            </w:r>
            <w:r w:rsidR="00BE0975">
              <w:t>an Energy Market Operator</w:t>
            </w:r>
            <w:r w:rsidRPr="00AB36D9">
              <w:t xml:space="preserve"> operates the wholesale and retail electricity and</w:t>
            </w:r>
            <w:r w:rsidR="002E50EA">
              <w:t xml:space="preserve"> natural</w:t>
            </w:r>
            <w:r w:rsidRPr="00AB36D9">
              <w:t xml:space="preserve"> gas markets across eastern and south-eastern Australia.</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AER</w:t>
            </w:r>
          </w:p>
        </w:tc>
        <w:tc>
          <w:tcPr>
            <w:tcW w:w="5387" w:type="dxa"/>
          </w:tcPr>
          <w:p w:rsidR="00AB36D9" w:rsidRPr="00AB36D9" w:rsidRDefault="00BE0975" w:rsidP="00425F3B">
            <w:pPr>
              <w:pStyle w:val="Tabletext"/>
              <w:cnfStyle w:val="000000000000" w:firstRow="0" w:lastRow="0" w:firstColumn="0" w:lastColumn="0" w:oddVBand="0" w:evenVBand="0" w:oddHBand="0" w:evenHBand="0" w:firstRowFirstColumn="0" w:firstRowLastColumn="0" w:lastRowFirstColumn="0" w:lastRowLastColumn="0"/>
            </w:pPr>
            <w:r>
              <w:t xml:space="preserve">The </w:t>
            </w:r>
            <w:r w:rsidR="00AB36D9" w:rsidRPr="00AB36D9">
              <w:t>Australian Energy Regulator</w:t>
            </w:r>
            <w:r w:rsidR="002E50EA">
              <w:t>.</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Carbon tax</w:t>
            </w:r>
          </w:p>
        </w:tc>
        <w:tc>
          <w:tcPr>
            <w:tcW w:w="5387" w:type="dxa"/>
          </w:tcPr>
          <w:p w:rsidR="00AB36D9" w:rsidRPr="00AB36D9" w:rsidRDefault="00AB36D9" w:rsidP="00425F3B">
            <w:pPr>
              <w:pStyle w:val="Tabletext"/>
              <w:cnfStyle w:val="000000000000" w:firstRow="0" w:lastRow="0" w:firstColumn="0" w:lastColumn="0" w:oddVBand="0" w:evenVBand="0" w:oddHBand="0" w:evenHBand="0" w:firstRowFirstColumn="0" w:firstRowLastColumn="0" w:lastRowFirstColumn="0" w:lastRowLastColumn="0"/>
            </w:pPr>
            <w:r w:rsidRPr="00AB36D9">
              <w:t>The carbon price mechanism which came into effect on 1 July 2012. It was a cap-and-trade emissions trading scheme, beginning with a three-year fixed price and then transitioning to a full emissions trading scheme in 2015. It applied to entities producing more than 25 000 tonnes per year of CO</w:t>
            </w:r>
            <w:r w:rsidRPr="00AB36D9">
              <w:rPr>
                <w:vertAlign w:val="subscript"/>
              </w:rPr>
              <w:t>2</w:t>
            </w:r>
            <w:r w:rsidRPr="00AB36D9">
              <w:t xml:space="preserve">-e emissions. </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Carbon tax levy</w:t>
            </w:r>
          </w:p>
        </w:tc>
        <w:tc>
          <w:tcPr>
            <w:tcW w:w="5387" w:type="dxa"/>
          </w:tcPr>
          <w:p w:rsidR="00AB36D9" w:rsidRPr="00AB36D9" w:rsidRDefault="00AB36D9" w:rsidP="00425F3B">
            <w:pPr>
              <w:pStyle w:val="Tabletext"/>
              <w:cnfStyle w:val="000000000000" w:firstRow="0" w:lastRow="0" w:firstColumn="0" w:lastColumn="0" w:oddVBand="0" w:evenVBand="0" w:oddHBand="0" w:evenHBand="0" w:firstRowFirstColumn="0" w:firstRowLastColumn="0" w:lastRowFirstColumn="0" w:lastRowLastColumn="0"/>
            </w:pPr>
            <w:r w:rsidRPr="00AB36D9">
              <w:t xml:space="preserve">SGGs listed under the Kyoto Protocol were subject to an equivalent carbon tax levy, applied through the </w:t>
            </w:r>
            <w:r w:rsidRPr="00425F3B">
              <w:rPr>
                <w:rStyle w:val="Emphasis"/>
              </w:rPr>
              <w:t>Ozone Protection and Synthetic Greenhouse Gas Management Act 1989</w:t>
            </w:r>
            <w:r w:rsidR="00276880">
              <w:rPr>
                <w:rStyle w:val="Emphasis"/>
                <w:i w:val="0"/>
              </w:rPr>
              <w:t xml:space="preserve"> (Cth)</w:t>
            </w:r>
            <w:r w:rsidRPr="00AB36D9">
              <w:t>. The carbon tax levy was based on the carbon price tax and the global warming potential of each gas relative to carbon dioxide.</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Carbon tax removal substantiation notice</w:t>
            </w:r>
          </w:p>
        </w:tc>
        <w:tc>
          <w:tcPr>
            <w:tcW w:w="5387" w:type="dxa"/>
          </w:tcPr>
          <w:p w:rsidR="00AB36D9" w:rsidRPr="00AB36D9" w:rsidRDefault="00AB36D9" w:rsidP="00425F3B">
            <w:pPr>
              <w:pStyle w:val="Tabletext"/>
              <w:cnfStyle w:val="000000000000" w:firstRow="0" w:lastRow="0" w:firstColumn="0" w:lastColumn="0" w:oddVBand="0" w:evenVBand="0" w:oddHBand="0" w:evenHBand="0" w:firstRowFirstColumn="0" w:firstRowLastColumn="0" w:lastRowFirstColumn="0" w:lastRowLastColumn="0"/>
            </w:pPr>
            <w:r w:rsidRPr="00AB36D9">
              <w:t>A notice issued by the ACCC pursuant to section 60FA of the CCA, to an electricity retailer or producer, a natural gas retailer or bulk SGG importer that sells to customers, requiring the entity to give to the ACCC a written statement that explains:</w:t>
            </w:r>
          </w:p>
          <w:p w:rsidR="00AB36D9" w:rsidRPr="00AB36D9" w:rsidRDefault="00AB36D9" w:rsidP="00A1767F">
            <w:pPr>
              <w:pStyle w:val="Bulletpoint"/>
              <w:ind w:left="340" w:hanging="340"/>
              <w:cnfStyle w:val="000000000000" w:firstRow="0" w:lastRow="0" w:firstColumn="0" w:lastColumn="0" w:oddVBand="0" w:evenVBand="0" w:oddHBand="0" w:evenHBand="0" w:firstRowFirstColumn="0" w:firstRowLastColumn="0" w:lastRowFirstColumn="0" w:lastRowLastColumn="0"/>
            </w:pPr>
            <w:r w:rsidRPr="00AB36D9">
              <w:t>how the carbon tax repeal has affected, or is affecting, the entity’s regulated supply input costs, and</w:t>
            </w:r>
          </w:p>
          <w:p w:rsidR="00AB36D9" w:rsidRPr="00AB36D9" w:rsidRDefault="00AB36D9" w:rsidP="00A1767F">
            <w:pPr>
              <w:pStyle w:val="Bulletpoint"/>
              <w:cnfStyle w:val="000000000000" w:firstRow="0" w:lastRow="0" w:firstColumn="0" w:lastColumn="0" w:oddVBand="0" w:evenVBand="0" w:oddHBand="0" w:evenHBand="0" w:firstRowFirstColumn="0" w:firstRowLastColumn="0" w:lastRowFirstColumn="0" w:lastRowLastColumn="0"/>
            </w:pPr>
            <w:r w:rsidRPr="00AB36D9">
              <w:t xml:space="preserve">how reductions in the entity’s regulated supply input costs that are directly or indirectly attributable to the carbon tax repeal are reflected in the prices charged by the entity for regulated supplies of electricity, natural gas or synthetic greenhouse gas. </w:t>
            </w:r>
          </w:p>
          <w:p w:rsidR="00AB36D9" w:rsidRPr="00AB36D9" w:rsidRDefault="00AB36D9" w:rsidP="00425F3B">
            <w:pPr>
              <w:pStyle w:val="Tabletext"/>
              <w:cnfStyle w:val="000000000000" w:firstRow="0" w:lastRow="0" w:firstColumn="0" w:lastColumn="0" w:oddVBand="0" w:evenVBand="0" w:oddHBand="0" w:evenHBand="0" w:firstRowFirstColumn="0" w:firstRowLastColumn="0" w:lastRowFirstColumn="0" w:lastRowLastColumn="0"/>
            </w:pPr>
            <w:r w:rsidRPr="00AB36D9">
              <w:t>The entity must provide the ACCC with information that substantiates the explanation set out in the statement, and/or produce to the ACCC documents that substantiate the explanation set out in the statement.</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Carbon tax removal substantiation statements</w:t>
            </w:r>
          </w:p>
        </w:tc>
        <w:tc>
          <w:tcPr>
            <w:tcW w:w="5387" w:type="dxa"/>
          </w:tcPr>
          <w:p w:rsidR="00AB36D9" w:rsidRPr="00AB36D9" w:rsidRDefault="00AB36D9" w:rsidP="00425F3B">
            <w:pPr>
              <w:pStyle w:val="Tabletext"/>
              <w:cnfStyle w:val="000000000000" w:firstRow="0" w:lastRow="0" w:firstColumn="0" w:lastColumn="0" w:oddVBand="0" w:evenVBand="0" w:oddHBand="0" w:evenHBand="0" w:firstRowFirstColumn="0" w:firstRowLastColumn="0" w:lastRowFirstColumn="0" w:lastRowLastColumn="0"/>
            </w:pPr>
            <w:r w:rsidRPr="00AB36D9">
              <w:t>A written statement pursuant to section 60FD of the CCA from an electricity retailer or producer, natural gas retailer or bulk SGG importer that sells to customers, provided to the ACCC that sets out:</w:t>
            </w:r>
          </w:p>
          <w:p w:rsidR="00AB36D9" w:rsidRPr="00AB36D9" w:rsidRDefault="00AB36D9" w:rsidP="00425F3B">
            <w:pPr>
              <w:pStyle w:val="Bulletpoint"/>
              <w:cnfStyle w:val="000000000000" w:firstRow="0" w:lastRow="0" w:firstColumn="0" w:lastColumn="0" w:oddVBand="0" w:evenVBand="0" w:oddHBand="0" w:evenHBand="0" w:firstRowFirstColumn="0" w:firstRowLastColumn="0" w:lastRowFirstColumn="0" w:lastRowLastColumn="0"/>
            </w:pPr>
            <w:r w:rsidRPr="00AB36D9">
              <w:t xml:space="preserve">the entity’s average annual percentage price basis, or </w:t>
            </w:r>
            <w:r w:rsidRPr="00AB36D9">
              <w:lastRenderedPageBreak/>
              <w:t xml:space="preserve">an average annual dollar price basis of the entity’s cost savings that have been, are, or will be, directly or indirectly attributable to the carbon tax repeal, and </w:t>
            </w:r>
          </w:p>
          <w:p w:rsidR="00AB36D9" w:rsidRPr="00AB36D9" w:rsidRDefault="00AB36D9" w:rsidP="00425F3B">
            <w:pPr>
              <w:pStyle w:val="Bulletpoint"/>
              <w:cnfStyle w:val="000000000000" w:firstRow="0" w:lastRow="0" w:firstColumn="0" w:lastColumn="0" w:oddVBand="0" w:evenVBand="0" w:oddHBand="0" w:evenHBand="0" w:firstRowFirstColumn="0" w:firstRowLastColumn="0" w:lastRowFirstColumn="0" w:lastRowLastColumn="0"/>
            </w:pPr>
            <w:r w:rsidRPr="00AB36D9">
              <w:t>that have been, are being, or will be, passed on to each class of its customers during the financial year that began on 1 July 2014.</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lastRenderedPageBreak/>
              <w:t>Carbon tax repeal transition period</w:t>
            </w:r>
          </w:p>
        </w:tc>
        <w:tc>
          <w:tcPr>
            <w:tcW w:w="5387" w:type="dxa"/>
          </w:tcPr>
          <w:p w:rsidR="00AB36D9" w:rsidRPr="00AB36D9" w:rsidRDefault="00AB36D9" w:rsidP="00425F3B">
            <w:pPr>
              <w:pStyle w:val="Tabletext"/>
              <w:cnfStyle w:val="000000000000" w:firstRow="0" w:lastRow="0" w:firstColumn="0" w:lastColumn="0" w:oddVBand="0" w:evenVBand="0" w:oddHBand="0" w:evenHBand="0" w:firstRowFirstColumn="0" w:firstRowLastColumn="0" w:lastRowFirstColumn="0" w:lastRowLastColumn="0"/>
            </w:pPr>
            <w:r w:rsidRPr="00AB36D9">
              <w:t>Under section 60A of the CCA, means the period:</w:t>
            </w:r>
          </w:p>
          <w:p w:rsidR="00AB36D9" w:rsidRPr="00AB36D9" w:rsidRDefault="00AB36D9" w:rsidP="00FB25CA">
            <w:pPr>
              <w:pStyle w:val="Tabletext"/>
              <w:numPr>
                <w:ilvl w:val="0"/>
                <w:numId w:val="35"/>
              </w:numPr>
              <w:ind w:left="318" w:hanging="284"/>
              <w:cnfStyle w:val="000000000000" w:firstRow="0" w:lastRow="0" w:firstColumn="0" w:lastColumn="0" w:oddVBand="0" w:evenVBand="0" w:oddHBand="0" w:evenHBand="0" w:firstRowFirstColumn="0" w:firstRowLastColumn="0" w:lastRowFirstColumn="0" w:lastRowLastColumn="0"/>
            </w:pPr>
            <w:r w:rsidRPr="00AB36D9">
              <w:t>beginning at the start of 1 July 2014, and</w:t>
            </w:r>
          </w:p>
          <w:p w:rsidR="00AB36D9" w:rsidRPr="00AB36D9" w:rsidRDefault="00AB36D9" w:rsidP="00FB25CA">
            <w:pPr>
              <w:pStyle w:val="Tabletext"/>
              <w:numPr>
                <w:ilvl w:val="0"/>
                <w:numId w:val="35"/>
              </w:numPr>
              <w:ind w:left="318" w:hanging="284"/>
              <w:cnfStyle w:val="000000000000" w:firstRow="0" w:lastRow="0" w:firstColumn="0" w:lastColumn="0" w:oddVBand="0" w:evenVBand="0" w:oddHBand="0" w:evenHBand="0" w:firstRowFirstColumn="0" w:firstRowLastColumn="0" w:lastRowFirstColumn="0" w:lastRowLastColumn="0"/>
            </w:pPr>
            <w:r w:rsidRPr="00AB36D9">
              <w:t>ending at the end of 30 June 2015.</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CCA</w:t>
            </w:r>
          </w:p>
        </w:tc>
        <w:tc>
          <w:tcPr>
            <w:tcW w:w="5387" w:type="dxa"/>
          </w:tcPr>
          <w:p w:rsidR="00AB36D9" w:rsidRPr="00AB36D9" w:rsidRDefault="00AB36D9" w:rsidP="00425F3B">
            <w:pPr>
              <w:pStyle w:val="Tabletext"/>
              <w:cnfStyle w:val="000000000000" w:firstRow="0" w:lastRow="0" w:firstColumn="0" w:lastColumn="0" w:oddVBand="0" w:evenVBand="0" w:oddHBand="0" w:evenHBand="0" w:firstRowFirstColumn="0" w:firstRowLastColumn="0" w:lastRowFirstColumn="0" w:lastRowLastColumn="0"/>
              <w:rPr>
                <w:iCs/>
                <w:spacing w:val="10"/>
              </w:rPr>
            </w:pPr>
            <w:r w:rsidRPr="00425F3B">
              <w:rPr>
                <w:rStyle w:val="Emphasis"/>
              </w:rPr>
              <w:t>Competition and Consumer Act 2010</w:t>
            </w:r>
            <w:r w:rsidRPr="009847F6">
              <w:t xml:space="preserve"> (Cth)</w:t>
            </w:r>
            <w:r w:rsidR="00276880">
              <w:t>.</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Direct carbon tax cost</w:t>
            </w:r>
          </w:p>
        </w:tc>
        <w:tc>
          <w:tcPr>
            <w:tcW w:w="5387" w:type="dxa"/>
          </w:tcPr>
          <w:p w:rsidR="00AB36D9" w:rsidRPr="00AB36D9" w:rsidRDefault="00AB36D9" w:rsidP="00425F3B">
            <w:pPr>
              <w:pStyle w:val="Tabletext"/>
              <w:cnfStyle w:val="000000000000" w:firstRow="0" w:lastRow="0" w:firstColumn="0" w:lastColumn="0" w:oddVBand="0" w:evenVBand="0" w:oddHBand="0" w:evenHBand="0" w:firstRowFirstColumn="0" w:firstRowLastColumn="0" w:lastRowFirstColumn="0" w:lastRowLastColumn="0"/>
            </w:pPr>
            <w:r w:rsidRPr="00AB36D9">
              <w:t>An entity’s financial liability under the carbon tax arising from emissions produced by that entity.</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Electricity on-sellers</w:t>
            </w:r>
          </w:p>
        </w:tc>
        <w:tc>
          <w:tcPr>
            <w:tcW w:w="5387" w:type="dxa"/>
          </w:tcPr>
          <w:p w:rsidR="00AB36D9" w:rsidRPr="00AB36D9" w:rsidRDefault="00AB36D9" w:rsidP="00425F3B">
            <w:pPr>
              <w:pStyle w:val="Tabletext"/>
              <w:cnfStyle w:val="000000000000" w:firstRow="0" w:lastRow="0" w:firstColumn="0" w:lastColumn="0" w:oddVBand="0" w:evenVBand="0" w:oddHBand="0" w:evenHBand="0" w:firstRowFirstColumn="0" w:firstRowLastColumn="0" w:lastRowFirstColumn="0" w:lastRowLastColumn="0"/>
            </w:pPr>
            <w:r w:rsidRPr="00AB36D9">
              <w:t>Private electricity networks that purchase the aggregate electricity usage of the site in bulk (or have another entity do so on their behalf) and on-sell it to the site’s occupants, without being authorised as an electricity retailer.</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IPART</w:t>
            </w:r>
          </w:p>
        </w:tc>
        <w:tc>
          <w:tcPr>
            <w:tcW w:w="5387" w:type="dxa"/>
          </w:tcPr>
          <w:p w:rsidR="00AB36D9" w:rsidRPr="00AB36D9" w:rsidRDefault="00AB36D9" w:rsidP="00BE0975">
            <w:pPr>
              <w:pStyle w:val="Tabletext"/>
              <w:cnfStyle w:val="000000000000" w:firstRow="0" w:lastRow="0" w:firstColumn="0" w:lastColumn="0" w:oddVBand="0" w:evenVBand="0" w:oddHBand="0" w:evenHBand="0" w:firstRowFirstColumn="0" w:firstRowLastColumn="0" w:lastRowFirstColumn="0" w:lastRowLastColumn="0"/>
            </w:pPr>
            <w:r w:rsidRPr="00AB36D9">
              <w:t xml:space="preserve">The Independent Pricing and Regulatory Tribunal is the independent regulator that determines the maximum prices that can be charged for certain retail energy, water and transport services in New South Wales, and also determines New South Wales local government rates. </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kWh</w:t>
            </w:r>
          </w:p>
        </w:tc>
        <w:tc>
          <w:tcPr>
            <w:tcW w:w="5387" w:type="dxa"/>
          </w:tcPr>
          <w:p w:rsidR="00AB36D9" w:rsidRPr="00AB36D9" w:rsidRDefault="00AB36D9" w:rsidP="00BE0975">
            <w:pPr>
              <w:pStyle w:val="Tabletext"/>
              <w:cnfStyle w:val="000000000000" w:firstRow="0" w:lastRow="0" w:firstColumn="0" w:lastColumn="0" w:oddVBand="0" w:evenVBand="0" w:oddHBand="0" w:evenHBand="0" w:firstRowFirstColumn="0" w:firstRowLastColumn="0" w:lastRowFirstColumn="0" w:lastRowLastColumn="0"/>
            </w:pPr>
            <w:r w:rsidRPr="00AB36D9">
              <w:t>Kilowatt-hour</w:t>
            </w:r>
            <w:r w:rsidR="006B3B6B">
              <w:t>.</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Liable entity</w:t>
            </w:r>
          </w:p>
        </w:tc>
        <w:tc>
          <w:tcPr>
            <w:tcW w:w="5387" w:type="dxa"/>
          </w:tcPr>
          <w:p w:rsidR="00AB36D9" w:rsidRPr="00AB36D9" w:rsidRDefault="00AB36D9" w:rsidP="00425F3B">
            <w:pPr>
              <w:spacing w:after="60"/>
              <w:cnfStyle w:val="000000000000" w:firstRow="0" w:lastRow="0" w:firstColumn="0" w:lastColumn="0" w:oddVBand="0" w:evenVBand="0" w:oddHBand="0" w:evenHBand="0" w:firstRowFirstColumn="0" w:firstRowLastColumn="0" w:lastRowFirstColumn="0" w:lastRowLastColumn="0"/>
            </w:pPr>
            <w:r w:rsidRPr="00AB36D9">
              <w:t xml:space="preserve">An entity listed on the Liable Entities Public Information Database for the 2012/13 and/or 2013/14 financial years (within the meaning of the </w:t>
            </w:r>
            <w:r w:rsidRPr="00425F3B">
              <w:rPr>
                <w:rStyle w:val="Emphasis"/>
              </w:rPr>
              <w:t>Clean Energy Act 2011</w:t>
            </w:r>
            <w:r w:rsidR="00FB25CA">
              <w:rPr>
                <w:rStyle w:val="Emphasis"/>
              </w:rPr>
              <w:t xml:space="preserve"> </w:t>
            </w:r>
            <w:r w:rsidR="00FB25CA">
              <w:rPr>
                <w:rStyle w:val="Emphasis"/>
                <w:i w:val="0"/>
              </w:rPr>
              <w:t>(Cth)</w:t>
            </w:r>
            <w:r w:rsidRPr="00425F3B">
              <w:rPr>
                <w:rStyle w:val="Emphasis"/>
              </w:rPr>
              <w:t>,</w:t>
            </w:r>
            <w:r w:rsidRPr="00425F3B">
              <w:rPr>
                <w:rStyle w:val="TabletextChar"/>
              </w:rPr>
              <w:t xml:space="preserve"> </w:t>
            </w:r>
            <w:r w:rsidRPr="00AB36D9">
              <w:rPr>
                <w:iCs/>
              </w:rPr>
              <w:t>which has since been repealed</w:t>
            </w:r>
            <w:r w:rsidRPr="00AB36D9">
              <w:t>).</w:t>
            </w:r>
          </w:p>
        </w:tc>
      </w:tr>
      <w:tr w:rsidR="00FB25CA"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FB25CA" w:rsidRPr="00AB36D9" w:rsidRDefault="00FB25CA" w:rsidP="00425F3B">
            <w:pPr>
              <w:pStyle w:val="Tabletext"/>
            </w:pPr>
            <w:r>
              <w:t>MWh</w:t>
            </w:r>
          </w:p>
        </w:tc>
        <w:tc>
          <w:tcPr>
            <w:tcW w:w="5387" w:type="dxa"/>
          </w:tcPr>
          <w:p w:rsidR="00FB25CA" w:rsidRPr="00AB36D9" w:rsidRDefault="00FB25CA" w:rsidP="00BE0975">
            <w:pPr>
              <w:spacing w:after="60"/>
              <w:cnfStyle w:val="000000000000" w:firstRow="0" w:lastRow="0" w:firstColumn="0" w:lastColumn="0" w:oddVBand="0" w:evenVBand="0" w:oddHBand="0" w:evenHBand="0" w:firstRowFirstColumn="0" w:firstRowLastColumn="0" w:lastRowFirstColumn="0" w:lastRowLastColumn="0"/>
            </w:pPr>
            <w:r>
              <w:t>M</w:t>
            </w:r>
            <w:r w:rsidRPr="00FB25CA">
              <w:t>egawatt hour</w:t>
            </w:r>
            <w:r w:rsidR="006B3B6B">
              <w:t>.</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rPr>
                <w:highlight w:val="yellow"/>
              </w:rPr>
            </w:pPr>
            <w:r w:rsidRPr="00AB36D9">
              <w:t>NEM</w:t>
            </w:r>
          </w:p>
        </w:tc>
        <w:tc>
          <w:tcPr>
            <w:tcW w:w="5387" w:type="dxa"/>
          </w:tcPr>
          <w:p w:rsidR="00AB36D9" w:rsidRPr="00AB36D9" w:rsidRDefault="00AB36D9" w:rsidP="00BE0975">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AB36D9">
              <w:t>The National Electricity Market is Australia’s principal electricity grid. The NEM covers southern and eastern Australia. Electricity generators in the NEM sell their electricity through a central pool. The market sets a separate spot price for each of the five NEM regions: Queensland, New South Wales, Victoria, South Australia and Tasmania.</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NGER</w:t>
            </w:r>
          </w:p>
        </w:tc>
        <w:tc>
          <w:tcPr>
            <w:tcW w:w="5387" w:type="dxa"/>
          </w:tcPr>
          <w:p w:rsidR="00AB36D9" w:rsidRPr="00AB36D9" w:rsidRDefault="00AB36D9" w:rsidP="00BE0975">
            <w:pPr>
              <w:pStyle w:val="Tabletext"/>
              <w:cnfStyle w:val="000000000000" w:firstRow="0" w:lastRow="0" w:firstColumn="0" w:lastColumn="0" w:oddVBand="0" w:evenVBand="0" w:oddHBand="0" w:evenHBand="0" w:firstRowFirstColumn="0" w:firstRowLastColumn="0" w:lastRowFirstColumn="0" w:lastRowLastColumn="0"/>
            </w:pPr>
            <w:r w:rsidRPr="00AB36D9">
              <w:t>The National Greenhouse and Energy Reporting is the framework for corporations to report on greenhouse gas emissions, energy use and energy production.</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Part V of the CCA</w:t>
            </w:r>
          </w:p>
        </w:tc>
        <w:tc>
          <w:tcPr>
            <w:tcW w:w="5387" w:type="dxa"/>
          </w:tcPr>
          <w:p w:rsidR="00AB36D9" w:rsidRPr="00AB36D9" w:rsidRDefault="00AB36D9" w:rsidP="00425F3B">
            <w:pPr>
              <w:pStyle w:val="Tabletext"/>
              <w:cnfStyle w:val="000000000000" w:firstRow="0" w:lastRow="0" w:firstColumn="0" w:lastColumn="0" w:oddVBand="0" w:evenVBand="0" w:oddHBand="0" w:evenHBand="0" w:firstRowFirstColumn="0" w:firstRowLastColumn="0" w:lastRowFirstColumn="0" w:lastRowLastColumn="0"/>
            </w:pPr>
            <w:r w:rsidRPr="00AB36D9">
              <w:t>Carbon tax price reduction obligation legislation now contained in the CCA.</w:t>
            </w:r>
            <w:r w:rsidR="00DD08DF">
              <w:t xml:space="preserve"> </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Price</w:t>
            </w:r>
          </w:p>
        </w:tc>
        <w:tc>
          <w:tcPr>
            <w:tcW w:w="5387" w:type="dxa"/>
          </w:tcPr>
          <w:p w:rsidR="00AB36D9" w:rsidRPr="00AB36D9" w:rsidRDefault="00AB36D9" w:rsidP="00425F3B">
            <w:pPr>
              <w:pStyle w:val="Tabletext"/>
              <w:cnfStyle w:val="000000000000" w:firstRow="0" w:lastRow="0" w:firstColumn="0" w:lastColumn="0" w:oddVBand="0" w:evenVBand="0" w:oddHBand="0" w:evenHBand="0" w:firstRowFirstColumn="0" w:firstRowLastColumn="0" w:lastRowFirstColumn="0" w:lastRowLastColumn="0"/>
            </w:pPr>
            <w:r w:rsidRPr="00AB36D9">
              <w:t xml:space="preserve">Under section 60A of the CCA, in relation to a supply, includes: </w:t>
            </w:r>
          </w:p>
          <w:p w:rsidR="00AB36D9" w:rsidRPr="00AB36D9" w:rsidRDefault="00AB36D9" w:rsidP="00425F3B">
            <w:pPr>
              <w:pStyle w:val="Bulletpoint"/>
              <w:cnfStyle w:val="000000000000" w:firstRow="0" w:lastRow="0" w:firstColumn="0" w:lastColumn="0" w:oddVBand="0" w:evenVBand="0" w:oddHBand="0" w:evenHBand="0" w:firstRowFirstColumn="0" w:firstRowLastColumn="0" w:lastRowFirstColumn="0" w:lastRowLastColumn="0"/>
            </w:pPr>
            <w:r w:rsidRPr="00AB36D9">
              <w:t xml:space="preserve">a charge of any description for the supply, and </w:t>
            </w:r>
          </w:p>
          <w:p w:rsidR="00AB36D9" w:rsidRPr="00AB36D9" w:rsidRDefault="00AB36D9" w:rsidP="00425F3B">
            <w:pPr>
              <w:pStyle w:val="Bulletpoint"/>
              <w:cnfStyle w:val="000000000000" w:firstRow="0" w:lastRow="0" w:firstColumn="0" w:lastColumn="0" w:oddVBand="0" w:evenVBand="0" w:oddHBand="0" w:evenHBand="0" w:firstRowFirstColumn="0" w:firstRowLastColumn="0" w:lastRowFirstColumn="0" w:lastRowLastColumn="0"/>
            </w:pPr>
            <w:r w:rsidRPr="00AB36D9">
              <w:t>any pecuniary or other benefit, whether direct or indirect, received or to be received by a person for or in a connection with the supply.</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Price exploitation provisions</w:t>
            </w:r>
          </w:p>
        </w:tc>
        <w:tc>
          <w:tcPr>
            <w:tcW w:w="5387" w:type="dxa"/>
          </w:tcPr>
          <w:p w:rsidR="00AB36D9" w:rsidRPr="00AB36D9" w:rsidRDefault="00AB36D9" w:rsidP="00425F3B">
            <w:pPr>
              <w:pStyle w:val="Tabletext"/>
              <w:cnfStyle w:val="000000000000" w:firstRow="0" w:lastRow="0" w:firstColumn="0" w:lastColumn="0" w:oddVBand="0" w:evenVBand="0" w:oddHBand="0" w:evenHBand="0" w:firstRowFirstColumn="0" w:firstRowLastColumn="0" w:lastRowFirstColumn="0" w:lastRowLastColumn="0"/>
            </w:pPr>
            <w:r w:rsidRPr="00AB36D9">
              <w:t xml:space="preserve">The provisions contained in Division 2 of Part V of the CCA. The price exploitation provisions prohibit suppliers </w:t>
            </w:r>
            <w:r w:rsidRPr="00AB36D9">
              <w:lastRenderedPageBreak/>
              <w:t>of regulated goods from not passing through all of their cost savings that are directly or indirectly attributable to the carbon tax repeal (see section 60C), and provide a penalty of 250</w:t>
            </w:r>
            <w:r w:rsidR="00425F3B">
              <w:t xml:space="preserve"> per cent</w:t>
            </w:r>
            <w:r w:rsidRPr="00AB36D9">
              <w:t xml:space="preserve"> of the cost savings not passed through, in contravention of section 60C (see section 60CA).</w:t>
            </w:r>
          </w:p>
          <w:p w:rsidR="00AB36D9" w:rsidRPr="00AB36D9" w:rsidRDefault="00AB36D9" w:rsidP="00425F3B">
            <w:pPr>
              <w:pStyle w:val="Tabletext"/>
              <w:cnfStyle w:val="000000000000" w:firstRow="0" w:lastRow="0" w:firstColumn="0" w:lastColumn="0" w:oddVBand="0" w:evenVBand="0" w:oddHBand="0" w:evenHBand="0" w:firstRowFirstColumn="0" w:firstRowLastColumn="0" w:lastRowFirstColumn="0" w:lastRowLastColumn="0"/>
            </w:pPr>
            <w:r w:rsidRPr="00AB36D9">
              <w:t xml:space="preserve">The price exploitation provisions also allows the ACCC to issue a notice to an entity that is considered to have engaged in price exploitation </w:t>
            </w:r>
            <w:r w:rsidR="00DD08DF">
              <w:t>i</w:t>
            </w:r>
            <w:r w:rsidRPr="00AB36D9">
              <w:t>n relation to the carbon tax repeal (see section 60D), and to issue a notice to aid prevention of price exploitation in relation to the carbon tax repeal (see section 60E).</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lastRenderedPageBreak/>
              <w:t>Price monitoring</w:t>
            </w:r>
          </w:p>
        </w:tc>
        <w:tc>
          <w:tcPr>
            <w:tcW w:w="5387" w:type="dxa"/>
          </w:tcPr>
          <w:p w:rsidR="00AB36D9" w:rsidRPr="00AB36D9" w:rsidRDefault="00AB36D9" w:rsidP="00425F3B">
            <w:pPr>
              <w:pStyle w:val="Tabletext"/>
              <w:cnfStyle w:val="000000000000" w:firstRow="0" w:lastRow="0" w:firstColumn="0" w:lastColumn="0" w:oddVBand="0" w:evenVBand="0" w:oddHBand="0" w:evenHBand="0" w:firstRowFirstColumn="0" w:firstRowLastColumn="0" w:lastRowFirstColumn="0" w:lastRowLastColumn="0"/>
            </w:pPr>
            <w:r w:rsidRPr="00AB36D9">
              <w:t>Pursuant to section 60G of the CCA the ACCC may monitor prices to assess the general effect of the carbon tax repeal on prices charged by entities for supplies, in the carbon tax repeal transition period, of relevant goods.</w:t>
            </w:r>
          </w:p>
        </w:tc>
      </w:tr>
      <w:tr w:rsidR="00D95CC1"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D95CC1" w:rsidRPr="00AB36D9" w:rsidRDefault="00D95CC1" w:rsidP="00425F3B">
            <w:pPr>
              <w:pStyle w:val="Tabletext"/>
            </w:pPr>
            <w:r>
              <w:t>P</w:t>
            </w:r>
            <w:r w:rsidRPr="00AB36D9">
              <w:t>rice reduction obligation</w:t>
            </w:r>
          </w:p>
        </w:tc>
        <w:tc>
          <w:tcPr>
            <w:tcW w:w="5387" w:type="dxa"/>
          </w:tcPr>
          <w:p w:rsidR="00D95CC1" w:rsidRPr="00AB36D9" w:rsidRDefault="00D95CC1" w:rsidP="00425F3B">
            <w:pPr>
              <w:pStyle w:val="Tabletext"/>
              <w:cnfStyle w:val="000000000000" w:firstRow="0" w:lastRow="0" w:firstColumn="0" w:lastColumn="0" w:oddVBand="0" w:evenVBand="0" w:oddHBand="0" w:evenHBand="0" w:firstRowFirstColumn="0" w:firstRowLastColumn="0" w:lastRowFirstColumn="0" w:lastRowLastColumn="0"/>
            </w:pPr>
            <w:r w:rsidRPr="00AB36D9">
              <w:rPr>
                <w:rFonts w:eastAsiaTheme="majorEastAsia" w:cstheme="majorBidi"/>
                <w:szCs w:val="20"/>
              </w:rPr>
              <w:t xml:space="preserve">Part V of the CCA that was inserted into the CCA by the </w:t>
            </w:r>
            <w:r w:rsidRPr="00425F3B">
              <w:rPr>
                <w:rStyle w:val="Emphasis"/>
              </w:rPr>
              <w:t>Clean Energy Legislation (Carbon</w:t>
            </w:r>
            <w:r>
              <w:rPr>
                <w:rStyle w:val="Emphasis"/>
              </w:rPr>
              <w:t xml:space="preserve"> </w:t>
            </w:r>
            <w:r w:rsidRPr="00425F3B">
              <w:rPr>
                <w:rStyle w:val="Emphasis"/>
              </w:rPr>
              <w:t>Tax Repeal Act</w:t>
            </w:r>
            <w:r w:rsidRPr="00AB36D9">
              <w:rPr>
                <w:rFonts w:eastAsiaTheme="majorEastAsia" w:cstheme="majorBidi"/>
                <w:szCs w:val="20"/>
              </w:rPr>
              <w:t>) 2014. The carbon tax price reduction obligation legislation contains all the substantive provisions of the CCA that specifically apply to the repeal of the carbon tax.</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Refund period</w:t>
            </w:r>
          </w:p>
        </w:tc>
        <w:tc>
          <w:tcPr>
            <w:tcW w:w="5387" w:type="dxa"/>
          </w:tcPr>
          <w:p w:rsidR="00AB36D9" w:rsidRPr="00AB36D9" w:rsidRDefault="00AB36D9" w:rsidP="00425F3B">
            <w:pPr>
              <w:pStyle w:val="Tabletext"/>
              <w:cnfStyle w:val="000000000000" w:firstRow="0" w:lastRow="0" w:firstColumn="0" w:lastColumn="0" w:oddVBand="0" w:evenVBand="0" w:oddHBand="0" w:evenHBand="0" w:firstRowFirstColumn="0" w:firstRowLastColumn="0" w:lastRowFirstColumn="0" w:lastRowLastColumn="0"/>
              <w:rPr>
                <w:rFonts w:cs="Arial"/>
              </w:rPr>
            </w:pPr>
            <w:r w:rsidRPr="00AB36D9">
              <w:t>The period from 1 July 2014 to the date that a given entity removed the carbon tax component from its prices, given the retrospective application of the carbon tax repeal legislation. See definition of ‘retrospective application’.</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Regulated goods</w:t>
            </w:r>
          </w:p>
        </w:tc>
        <w:tc>
          <w:tcPr>
            <w:tcW w:w="5387" w:type="dxa"/>
          </w:tcPr>
          <w:p w:rsidR="00AB36D9" w:rsidRPr="00AB36D9" w:rsidRDefault="00AB36D9" w:rsidP="00425F3B">
            <w:pPr>
              <w:pStyle w:val="Tabletext"/>
              <w:cnfStyle w:val="000000000000" w:firstRow="0" w:lastRow="0" w:firstColumn="0" w:lastColumn="0" w:oddVBand="0" w:evenVBand="0" w:oddHBand="0" w:evenHBand="0" w:firstRowFirstColumn="0" w:firstRowLastColumn="0" w:lastRowFirstColumn="0" w:lastRowLastColumn="0"/>
            </w:pPr>
            <w:r w:rsidRPr="00AB36D9">
              <w:t xml:space="preserve">Natural gas, electricity, SGGs and SGG equipment (section 60B of the CCA). Other goods may be specified by legislative instrument by the Minister pursuant to subsection 60B(2). </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Regulated supply</w:t>
            </w:r>
          </w:p>
        </w:tc>
        <w:tc>
          <w:tcPr>
            <w:tcW w:w="5387" w:type="dxa"/>
          </w:tcPr>
          <w:p w:rsidR="00AB36D9" w:rsidRPr="00AB36D9" w:rsidRDefault="00AB36D9" w:rsidP="00425F3B">
            <w:pPr>
              <w:pStyle w:val="Tabletext"/>
              <w:cnfStyle w:val="000000000000" w:firstRow="0" w:lastRow="0" w:firstColumn="0" w:lastColumn="0" w:oddVBand="0" w:evenVBand="0" w:oddHBand="0" w:evenHBand="0" w:firstRowFirstColumn="0" w:firstRowLastColumn="0" w:lastRowFirstColumn="0" w:lastRowLastColumn="0"/>
            </w:pPr>
            <w:r w:rsidRPr="00AB36D9">
              <w:t>Supply of regulated goods that occurs during the carbon tax repeal transition period.</w:t>
            </w:r>
          </w:p>
        </w:tc>
      </w:tr>
      <w:tr w:rsidR="00AB36D9" w:rsidRPr="00AB36D9" w:rsidTr="007D5826">
        <w:trPr>
          <w:trHeight w:val="908"/>
        </w:trPr>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Relevant goods</w:t>
            </w:r>
          </w:p>
        </w:tc>
        <w:tc>
          <w:tcPr>
            <w:tcW w:w="5387" w:type="dxa"/>
          </w:tcPr>
          <w:p w:rsidR="00AB36D9" w:rsidRPr="00AB36D9" w:rsidRDefault="00AB36D9" w:rsidP="00425F3B">
            <w:pPr>
              <w:pStyle w:val="Tabletext"/>
              <w:cnfStyle w:val="000000000000" w:firstRow="0" w:lastRow="0" w:firstColumn="0" w:lastColumn="0" w:oddVBand="0" w:evenVBand="0" w:oddHBand="0" w:evenHBand="0" w:firstRowFirstColumn="0" w:firstRowLastColumn="0" w:lastRowFirstColumn="0" w:lastRowLastColumn="0"/>
            </w:pPr>
            <w:r w:rsidRPr="00AB36D9">
              <w:t xml:space="preserve">Regulated goods and other goods of a kind specified in a legislative instrument by the Minister pursuant to subsection 60G(12) of the CCA. </w:t>
            </w:r>
          </w:p>
        </w:tc>
      </w:tr>
      <w:tr w:rsidR="00AB36D9" w:rsidRPr="00AB36D9" w:rsidTr="007D5826">
        <w:trPr>
          <w:trHeight w:val="520"/>
        </w:trPr>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Reticulated gas</w:t>
            </w:r>
          </w:p>
        </w:tc>
        <w:tc>
          <w:tcPr>
            <w:tcW w:w="5387" w:type="dxa"/>
          </w:tcPr>
          <w:p w:rsidR="00AB36D9" w:rsidRPr="00AB36D9" w:rsidRDefault="00AB36D9" w:rsidP="00425F3B">
            <w:pPr>
              <w:pStyle w:val="Tabletext"/>
              <w:cnfStyle w:val="000000000000" w:firstRow="0" w:lastRow="0" w:firstColumn="0" w:lastColumn="0" w:oddVBand="0" w:evenVBand="0" w:oddHBand="0" w:evenHBand="0" w:firstRowFirstColumn="0" w:firstRowLastColumn="0" w:lastRowFirstColumn="0" w:lastRowLastColumn="0"/>
            </w:pPr>
            <w:r w:rsidRPr="00AB36D9">
              <w:t>LPG supplied by piped gas network to households.</w:t>
            </w:r>
          </w:p>
        </w:tc>
      </w:tr>
      <w:tr w:rsidR="00AB36D9"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AB36D9" w:rsidRPr="00AB36D9" w:rsidRDefault="00AB36D9" w:rsidP="00425F3B">
            <w:pPr>
              <w:pStyle w:val="Tabletext"/>
            </w:pPr>
            <w:r w:rsidRPr="00AB36D9">
              <w:t>Retrospective application</w:t>
            </w:r>
          </w:p>
        </w:tc>
        <w:tc>
          <w:tcPr>
            <w:tcW w:w="5387" w:type="dxa"/>
          </w:tcPr>
          <w:p w:rsidR="00AB36D9" w:rsidRPr="00AB36D9" w:rsidRDefault="00AB36D9" w:rsidP="00425F3B">
            <w:pPr>
              <w:pStyle w:val="Tabletext"/>
              <w:cnfStyle w:val="000000000000" w:firstRow="0" w:lastRow="0" w:firstColumn="0" w:lastColumn="0" w:oddVBand="0" w:evenVBand="0" w:oddHBand="0" w:evenHBand="0" w:firstRowFirstColumn="0" w:firstRowLastColumn="0" w:lastRowFirstColumn="0" w:lastRowLastColumn="0"/>
            </w:pPr>
            <w:r w:rsidRPr="00AB36D9">
              <w:t>The carbon tax repeal legislation will affect carbon liabilities dating back to 1 July 2014, although the legislation was passed by Parliament on 17 July 2014. For this reason the carbon tax repeal legislation has been commonly referred to as having a ‘retrospective application’. When the word ‘retrospective’ is used in this report it should be understood in its common usage rather than its technical legal usage. Retrospective in its technical legal usage refers to legislation taking effect at an earlier point of time before it was passed.</w:t>
            </w:r>
          </w:p>
        </w:tc>
      </w:tr>
      <w:tr w:rsidR="00550026"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550026" w:rsidRPr="00AB36D9" w:rsidRDefault="00550026" w:rsidP="00425F3B">
            <w:pPr>
              <w:pStyle w:val="Tabletext"/>
            </w:pPr>
            <w:r w:rsidRPr="00AB36D9">
              <w:t>Scope 1 carbon tax costs</w:t>
            </w:r>
          </w:p>
        </w:tc>
        <w:tc>
          <w:tcPr>
            <w:tcW w:w="5387" w:type="dxa"/>
          </w:tcPr>
          <w:p w:rsidR="00550026" w:rsidRPr="00AB36D9" w:rsidRDefault="00550026" w:rsidP="00425F3B">
            <w:pPr>
              <w:pStyle w:val="Tabletext"/>
              <w:cnfStyle w:val="000000000000" w:firstRow="0" w:lastRow="0" w:firstColumn="0" w:lastColumn="0" w:oddVBand="0" w:evenVBand="0" w:oddHBand="0" w:evenHBand="0" w:firstRowFirstColumn="0" w:firstRowLastColumn="0" w:lastRowFirstColumn="0" w:lastRowLastColumn="0"/>
            </w:pPr>
            <w:r w:rsidRPr="00AB36D9">
              <w:t>Emissions created by combustion or consumption of natural gas.</w:t>
            </w:r>
          </w:p>
        </w:tc>
      </w:tr>
      <w:tr w:rsidR="00550026"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550026" w:rsidRPr="00AB36D9" w:rsidRDefault="00550026" w:rsidP="00425F3B">
            <w:pPr>
              <w:pStyle w:val="Tabletext"/>
            </w:pPr>
            <w:r w:rsidRPr="00AB36D9">
              <w:t>Scope 3 carbon tax costs</w:t>
            </w:r>
          </w:p>
        </w:tc>
        <w:tc>
          <w:tcPr>
            <w:tcW w:w="5387" w:type="dxa"/>
          </w:tcPr>
          <w:p w:rsidR="00550026" w:rsidRPr="00AB36D9" w:rsidRDefault="00550026" w:rsidP="00425F3B">
            <w:pPr>
              <w:pStyle w:val="Tabletext"/>
              <w:cnfStyle w:val="000000000000" w:firstRow="0" w:lastRow="0" w:firstColumn="0" w:lastColumn="0" w:oddVBand="0" w:evenVBand="0" w:oddHBand="0" w:evenHBand="0" w:firstRowFirstColumn="0" w:firstRowLastColumn="0" w:lastRowFirstColumn="0" w:lastRowLastColumn="0"/>
            </w:pPr>
            <w:r w:rsidRPr="00AB36D9">
              <w:t>Other indirect emissions related to the extraction and production of natural gas passed through to natural gas retailers.</w:t>
            </w:r>
          </w:p>
        </w:tc>
      </w:tr>
      <w:tr w:rsidR="00550026"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550026" w:rsidRPr="00AB36D9" w:rsidRDefault="00550026" w:rsidP="00425F3B">
            <w:pPr>
              <w:pStyle w:val="Tabletext"/>
            </w:pPr>
            <w:r w:rsidRPr="00AB36D9">
              <w:lastRenderedPageBreak/>
              <w:t xml:space="preserve">SGG </w:t>
            </w:r>
          </w:p>
        </w:tc>
        <w:tc>
          <w:tcPr>
            <w:tcW w:w="5387" w:type="dxa"/>
          </w:tcPr>
          <w:p w:rsidR="00550026" w:rsidRPr="00AB36D9" w:rsidRDefault="00550026" w:rsidP="00BE0975">
            <w:pPr>
              <w:spacing w:after="60"/>
              <w:cnfStyle w:val="000000000000" w:firstRow="0" w:lastRow="0" w:firstColumn="0" w:lastColumn="0" w:oddVBand="0" w:evenVBand="0" w:oddHBand="0" w:evenHBand="0" w:firstRowFirstColumn="0" w:firstRowLastColumn="0" w:lastRowFirstColumn="0" w:lastRowLastColumn="0"/>
            </w:pPr>
            <w:r w:rsidRPr="00425F3B">
              <w:rPr>
                <w:rStyle w:val="TabletextChar"/>
              </w:rPr>
              <w:t xml:space="preserve">Synthetic greenhouse gas or commonly referred to as refrigerant gases, which are used in refrigerators and air conditioning units, means a hydrofluorocarbon, a perfluorocarbon or sulfur hexafluoride (section 7 of </w:t>
            </w:r>
            <w:r w:rsidRPr="00425F3B">
              <w:rPr>
                <w:rStyle w:val="Emphasis"/>
              </w:rPr>
              <w:t>the Ozone Protection &amp; Synthetic Greenhouse Gas Management Act 1989</w:t>
            </w:r>
            <w:r w:rsidR="00BE0975">
              <w:rPr>
                <w:rStyle w:val="Emphasis"/>
                <w:i w:val="0"/>
              </w:rPr>
              <w:t xml:space="preserve"> (Cth))</w:t>
            </w:r>
            <w:r w:rsidRPr="00425F3B">
              <w:rPr>
                <w:rStyle w:val="Emphasis"/>
              </w:rPr>
              <w:t>.</w:t>
            </w:r>
            <w:r w:rsidRPr="00AB36D9">
              <w:t xml:space="preserve"> </w:t>
            </w:r>
          </w:p>
        </w:tc>
      </w:tr>
      <w:tr w:rsidR="00550026"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550026" w:rsidRPr="00AB36D9" w:rsidRDefault="00550026" w:rsidP="00425F3B">
            <w:pPr>
              <w:pStyle w:val="Tabletext"/>
            </w:pPr>
            <w:r w:rsidRPr="00AB36D9">
              <w:t>SGG equipment</w:t>
            </w:r>
          </w:p>
        </w:tc>
        <w:tc>
          <w:tcPr>
            <w:tcW w:w="5387" w:type="dxa"/>
          </w:tcPr>
          <w:p w:rsidR="00550026" w:rsidRPr="00AB36D9" w:rsidRDefault="00550026" w:rsidP="00425F3B">
            <w:pPr>
              <w:pStyle w:val="Tabletext"/>
              <w:cnfStyle w:val="000000000000" w:firstRow="0" w:lastRow="0" w:firstColumn="0" w:lastColumn="0" w:oddVBand="0" w:evenVBand="0" w:oddHBand="0" w:evenHBand="0" w:firstRowFirstColumn="0" w:firstRowLastColumn="0" w:lastRowFirstColumn="0" w:lastRowLastColumn="0"/>
            </w:pPr>
            <w:r w:rsidRPr="00AB36D9">
              <w:t>Equipment which already contains synthetic greenhouse gas. Includes items such as refrigerators, automobiles and air conditioning units which will ordinarily contain synthetic greenhouse gases when imported.</w:t>
            </w:r>
          </w:p>
        </w:tc>
      </w:tr>
      <w:tr w:rsidR="00550026" w:rsidRPr="00AB36D9" w:rsidTr="007D5826">
        <w:tc>
          <w:tcPr>
            <w:cnfStyle w:val="001000000000" w:firstRow="0" w:lastRow="0" w:firstColumn="1" w:lastColumn="0" w:oddVBand="0" w:evenVBand="0" w:oddHBand="0" w:evenHBand="0" w:firstRowFirstColumn="0" w:firstRowLastColumn="0" w:lastRowFirstColumn="0" w:lastRowLastColumn="0"/>
            <w:tcW w:w="3510" w:type="dxa"/>
          </w:tcPr>
          <w:p w:rsidR="00550026" w:rsidRPr="00AB36D9" w:rsidRDefault="00550026" w:rsidP="00425F3B">
            <w:pPr>
              <w:pStyle w:val="Tabletext"/>
            </w:pPr>
            <w:r w:rsidRPr="00AB36D9">
              <w:t>Standing offer</w:t>
            </w:r>
          </w:p>
        </w:tc>
        <w:tc>
          <w:tcPr>
            <w:tcW w:w="5387" w:type="dxa"/>
          </w:tcPr>
          <w:p w:rsidR="00550026" w:rsidRPr="00AB36D9" w:rsidRDefault="00550026" w:rsidP="00425F3B">
            <w:pPr>
              <w:pStyle w:val="Tabletext"/>
              <w:cnfStyle w:val="000000000000" w:firstRow="0" w:lastRow="0" w:firstColumn="0" w:lastColumn="0" w:oddVBand="0" w:evenVBand="0" w:oddHBand="0" w:evenHBand="0" w:firstRowFirstColumn="0" w:firstRowLastColumn="0" w:lastRowFirstColumn="0" w:lastRowLastColumn="0"/>
            </w:pPr>
            <w:r w:rsidRPr="00AB36D9">
              <w:t>A standing offer refers to a basic contract for electricity or natural gas. All retailers are required to have a standing offer and in some jurisdictions the standing offer tariff is regulated.</w:t>
            </w:r>
          </w:p>
        </w:tc>
      </w:tr>
    </w:tbl>
    <w:p w:rsidR="00AB36D9" w:rsidRPr="00425F3B" w:rsidRDefault="00AB36D9" w:rsidP="00425F3B"/>
    <w:p w:rsidR="00AB36D9" w:rsidRPr="00425F3B" w:rsidRDefault="00AB36D9" w:rsidP="00425F3B"/>
    <w:p w:rsidR="00AB36D9" w:rsidRPr="00425F3B" w:rsidRDefault="00AB36D9" w:rsidP="00425F3B"/>
    <w:sectPr w:rsidR="00AB36D9" w:rsidRPr="00425F3B" w:rsidSect="00C06739">
      <w:footerReference w:type="default" r:id="rId46"/>
      <w:pgSz w:w="11906" w:h="16838"/>
      <w:pgMar w:top="1276"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3774" w:rsidRDefault="00823774" w:rsidP="004B4412">
      <w:pPr>
        <w:spacing w:before="0"/>
      </w:pPr>
      <w:r>
        <w:separator/>
      </w:r>
    </w:p>
  </w:endnote>
  <w:endnote w:type="continuationSeparator" w:id="0">
    <w:p w:rsidR="00823774" w:rsidRDefault="00823774" w:rsidP="004B4412">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Lucida Fax">
    <w:panose1 w:val="020606020505050202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774" w:rsidRDefault="00823774">
    <w:pPr>
      <w:pStyle w:val="Footer"/>
    </w:pPr>
    <w:r>
      <w:fldChar w:fldCharType="begin"/>
    </w:r>
    <w:r>
      <w:instrText xml:space="preserve"> PAGE   \* MERGEFORMAT </w:instrText>
    </w:r>
    <w:r>
      <w:fldChar w:fldCharType="separate"/>
    </w:r>
    <w:r w:rsidR="00543B1C">
      <w:rPr>
        <w:noProof/>
      </w:rPr>
      <w:t>3</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3774" w:rsidRDefault="00823774" w:rsidP="004B4412">
      <w:pPr>
        <w:spacing w:before="0"/>
      </w:pPr>
      <w:r>
        <w:separator/>
      </w:r>
    </w:p>
  </w:footnote>
  <w:footnote w:type="continuationSeparator" w:id="0">
    <w:p w:rsidR="00823774" w:rsidRDefault="00823774" w:rsidP="004B4412">
      <w:pPr>
        <w:spacing w:before="0"/>
      </w:pPr>
      <w:r>
        <w:continuationSeparator/>
      </w:r>
    </w:p>
  </w:footnote>
  <w:footnote w:id="1">
    <w:p w:rsidR="00823774" w:rsidRDefault="00823774" w:rsidP="007E1353">
      <w:pPr>
        <w:pStyle w:val="FootnoteText"/>
      </w:pPr>
      <w:r>
        <w:rPr>
          <w:rStyle w:val="FootnoteReference"/>
        </w:rPr>
        <w:footnoteRef/>
      </w:r>
      <w:r>
        <w:t xml:space="preserve"> </w:t>
      </w:r>
      <w:r>
        <w:tab/>
        <w:t xml:space="preserve">The carbon tax price reduction obligation contained in Part V of the </w:t>
      </w:r>
      <w:r>
        <w:rPr>
          <w:i/>
        </w:rPr>
        <w:t>Competition and Consumer Act 2010</w:t>
      </w:r>
      <w:r>
        <w:t xml:space="preserve"> (Cth). </w:t>
      </w:r>
    </w:p>
  </w:footnote>
  <w:footnote w:id="2">
    <w:p w:rsidR="00850464" w:rsidRDefault="00850464" w:rsidP="00850464">
      <w:pPr>
        <w:pStyle w:val="FootnoteText"/>
      </w:pPr>
      <w:r w:rsidRPr="005624B7">
        <w:rPr>
          <w:rStyle w:val="FootnoteReference"/>
        </w:rPr>
        <w:footnoteRef/>
      </w:r>
      <w:r w:rsidRPr="00E24761">
        <w:t xml:space="preserve"> </w:t>
      </w:r>
      <w:r>
        <w:tab/>
      </w:r>
      <w:r w:rsidRPr="00E24761">
        <w:t>Entities</w:t>
      </w:r>
      <w:r>
        <w:t xml:space="preserve"> refers to the suppliers of regulated goods, liable entities listed on the Liable Entities Public Information Database for the 2012/13 and/or 2013/14 financial years, and additional entities that made public statements about the impact of the carbon tax on their prices, upon, or during, implementation.</w:t>
      </w:r>
    </w:p>
  </w:footnote>
  <w:footnote w:id="3">
    <w:p w:rsidR="00823774" w:rsidRDefault="00823774" w:rsidP="00AB36D9">
      <w:pPr>
        <w:pStyle w:val="FootnoteText"/>
      </w:pPr>
      <w:r w:rsidRPr="00906249">
        <w:rPr>
          <w:rStyle w:val="FootnoteReference"/>
        </w:rPr>
        <w:footnoteRef/>
      </w:r>
      <w:r w:rsidRPr="00906249">
        <w:t xml:space="preserve"> </w:t>
      </w:r>
      <w:r>
        <w:tab/>
      </w:r>
      <w:r w:rsidRPr="00906249">
        <w:t>The estimated average cost savings are based on retailers</w:t>
      </w:r>
      <w:r w:rsidRPr="001727D9">
        <w:t>’ standing offers and</w:t>
      </w:r>
      <w:r>
        <w:t xml:space="preserve"> </w:t>
      </w:r>
      <w:r w:rsidRPr="001727D9">
        <w:t>typical</w:t>
      </w:r>
      <w:r w:rsidRPr="000837C6">
        <w:t xml:space="preserve"> consumption</w:t>
      </w:r>
      <w:r w:rsidRPr="001727D9">
        <w:t xml:space="preserve"> as at mid-2014. These consumption values vary between states and have decreased over the past few years. Individual customers’ cost savings will depend on the customer’s tariff structure, location and consumption.</w:t>
      </w:r>
    </w:p>
  </w:footnote>
  <w:footnote w:id="4">
    <w:p w:rsidR="00823774" w:rsidRPr="0073511F" w:rsidRDefault="00823774" w:rsidP="00AB36D9">
      <w:pPr>
        <w:pStyle w:val="FootnoteText"/>
      </w:pPr>
      <w:r w:rsidRPr="001727D9">
        <w:rPr>
          <w:rStyle w:val="FootnoteReference"/>
        </w:rPr>
        <w:footnoteRef/>
      </w:r>
      <w:r w:rsidRPr="001727D9">
        <w:t xml:space="preserve"> </w:t>
      </w:r>
      <w:r>
        <w:tab/>
      </w:r>
      <w:r w:rsidRPr="001727D9">
        <w:t>The estimated average cost savings</w:t>
      </w:r>
      <w:r>
        <w:t xml:space="preserve"> are</w:t>
      </w:r>
      <w:r w:rsidRPr="0073511F">
        <w:t xml:space="preserve"> based on retailers</w:t>
      </w:r>
      <w:r>
        <w:t>’</w:t>
      </w:r>
      <w:r w:rsidRPr="0073511F">
        <w:t xml:space="preserve"> standing offers and typical consumption values, which vary markedly between jurisdictions. Individual customers’ cost savings will depend on the customer’s tariff structure, location and consumption.</w:t>
      </w:r>
    </w:p>
  </w:footnote>
  <w:footnote w:id="5">
    <w:p w:rsidR="00823774" w:rsidRDefault="00823774" w:rsidP="00AB36D9">
      <w:pPr>
        <w:pStyle w:val="FootnoteText"/>
      </w:pPr>
      <w:r w:rsidRPr="005624B7">
        <w:rPr>
          <w:rStyle w:val="FootnoteReference"/>
        </w:rPr>
        <w:footnoteRef/>
      </w:r>
      <w:r w:rsidRPr="00F40BBD">
        <w:t xml:space="preserve"> </w:t>
      </w:r>
      <w:r>
        <w:tab/>
      </w:r>
      <w:r w:rsidRPr="005624B7">
        <w:t xml:space="preserve">The ACCC’s </w:t>
      </w:r>
      <w:hyperlink r:id="rId1" w:history="1">
        <w:r w:rsidRPr="005624B7">
          <w:rPr>
            <w:rStyle w:val="Hyperlink"/>
            <w:sz w:val="16"/>
            <w:szCs w:val="16"/>
          </w:rPr>
          <w:t>January 2015 Carbon Report</w:t>
        </w:r>
      </w:hyperlink>
      <w:r w:rsidRPr="005624B7">
        <w:t>, pages 28 to 29</w:t>
      </w:r>
      <w:r>
        <w:t>.</w:t>
      </w:r>
    </w:p>
  </w:footnote>
  <w:footnote w:id="6">
    <w:p w:rsidR="00823774" w:rsidRPr="00E24761" w:rsidRDefault="00823774" w:rsidP="00AB36D9">
      <w:pPr>
        <w:pStyle w:val="FootnoteText"/>
      </w:pPr>
      <w:r w:rsidRPr="00E24761">
        <w:rPr>
          <w:rStyle w:val="FootnoteReference"/>
        </w:rPr>
        <w:footnoteRef/>
      </w:r>
      <w:r w:rsidRPr="00E24761">
        <w:t xml:space="preserve"> </w:t>
      </w:r>
      <w:r>
        <w:tab/>
      </w:r>
      <w:r w:rsidRPr="00E24761">
        <w:t xml:space="preserve">Andrew Potts, </w:t>
      </w:r>
      <w:r w:rsidRPr="002F0747">
        <w:rPr>
          <w:i/>
        </w:rPr>
        <w:t>Gold Coast City Council saves $4.7M after Abbott Government axes carbon tax</w:t>
      </w:r>
      <w:r w:rsidRPr="00E24761">
        <w:t>, Gold Coast Bulletin, 17 March 2015, viewed 19 March 2015</w:t>
      </w:r>
      <w:r w:rsidRPr="005624B7">
        <w:rPr>
          <w:szCs w:val="16"/>
        </w:rPr>
        <w:t xml:space="preserve">, </w:t>
      </w:r>
      <w:hyperlink r:id="rId2" w:history="1">
        <w:r w:rsidRPr="00C42E35">
          <w:rPr>
            <w:rStyle w:val="Hyperlink"/>
            <w:sz w:val="16"/>
            <w:szCs w:val="16"/>
          </w:rPr>
          <w:t>http://www.goldcoastbulletin.com.au/news/gold-coast-city-council-saves-47m-after-abbott-government-axes-carbon-tax/story-fnj94j0t-1227266312389</w:t>
        </w:r>
        <w:r w:rsidRPr="00C42E35">
          <w:rPr>
            <w:rStyle w:val="Hyperlink"/>
            <w:sz w:val="16"/>
          </w:rPr>
          <w:t>.</w:t>
        </w:r>
      </w:hyperlink>
    </w:p>
  </w:footnote>
  <w:footnote w:id="7">
    <w:p w:rsidR="00823774" w:rsidRPr="00E24761" w:rsidRDefault="00823774" w:rsidP="00AB36D9">
      <w:pPr>
        <w:pStyle w:val="FootnoteText"/>
      </w:pPr>
      <w:r w:rsidRPr="00E24761">
        <w:rPr>
          <w:rStyle w:val="FootnoteReference"/>
        </w:rPr>
        <w:footnoteRef/>
      </w:r>
      <w:r w:rsidRPr="00E24761">
        <w:t xml:space="preserve"> </w:t>
      </w:r>
      <w:r>
        <w:tab/>
      </w:r>
      <w:r w:rsidRPr="00E24761">
        <w:t xml:space="preserve">Gold Coast City Council, </w:t>
      </w:r>
      <w:r w:rsidRPr="002F0747">
        <w:rPr>
          <w:i/>
        </w:rPr>
        <w:t>Adopted Report of the Special Budget Committee Meeting, 5 November 2014</w:t>
      </w:r>
      <w:r w:rsidRPr="00E24761">
        <w:t xml:space="preserve">, viewed 17 March 2015, </w:t>
      </w:r>
      <w:hyperlink r:id="rId3" w:history="1">
        <w:r w:rsidRPr="005624B7">
          <w:rPr>
            <w:rStyle w:val="Hyperlink"/>
            <w:sz w:val="16"/>
            <w:szCs w:val="16"/>
          </w:rPr>
          <w:t>http://www.goldcoast.qld.gov.au/documents/ma/budget-20141105-adopted_report.pdf</w:t>
        </w:r>
      </w:hyperlink>
      <w:r w:rsidRPr="005624B7">
        <w:rPr>
          <w:szCs w:val="16"/>
        </w:rPr>
        <w:t>.</w:t>
      </w:r>
    </w:p>
  </w:footnote>
  <w:footnote w:id="8">
    <w:p w:rsidR="00823774" w:rsidRPr="006C5860" w:rsidRDefault="00823774" w:rsidP="00C42E35">
      <w:pPr>
        <w:pStyle w:val="FootnoteText"/>
        <w:tabs>
          <w:tab w:val="left" w:pos="5812"/>
        </w:tabs>
      </w:pPr>
      <w:r w:rsidRPr="00E24761">
        <w:rPr>
          <w:rStyle w:val="FootnoteReference"/>
        </w:rPr>
        <w:footnoteRef/>
      </w:r>
      <w:r w:rsidRPr="00E24761">
        <w:t xml:space="preserve"> </w:t>
      </w:r>
      <w:r>
        <w:tab/>
      </w:r>
      <w:r w:rsidRPr="00E24761">
        <w:t xml:space="preserve">Gold Coast City Council, </w:t>
      </w:r>
      <w:r w:rsidRPr="002F0747">
        <w:rPr>
          <w:i/>
        </w:rPr>
        <w:t>Ratepayers to receive refund due to carbon tax repeal</w:t>
      </w:r>
      <w:r w:rsidRPr="00E24761">
        <w:t xml:space="preserve">, 6 November 2014, viewed 17 March 2015, </w:t>
      </w:r>
      <w:hyperlink r:id="rId4" w:history="1">
        <w:r w:rsidRPr="005624B7">
          <w:rPr>
            <w:rStyle w:val="Hyperlink"/>
            <w:sz w:val="16"/>
            <w:szCs w:val="16"/>
          </w:rPr>
          <w:t>http://www.goldcoast.qld.gov.au/ratepayers-to-receive-refund-due-to-carbon-tax-repeal-24007.html</w:t>
        </w:r>
      </w:hyperlink>
      <w:r w:rsidRPr="005624B7">
        <w:rPr>
          <w:szCs w:val="16"/>
        </w:rPr>
        <w:t>.</w:t>
      </w:r>
      <w:r>
        <w:t xml:space="preserve"> </w:t>
      </w:r>
      <w:r w:rsidRPr="006C5860">
        <w:t xml:space="preserve"> </w:t>
      </w:r>
    </w:p>
  </w:footnote>
  <w:footnote w:id="9">
    <w:p w:rsidR="00823774" w:rsidRPr="00590E6A" w:rsidRDefault="00823774" w:rsidP="00AB36D9">
      <w:pPr>
        <w:pStyle w:val="FootnoteText"/>
      </w:pPr>
      <w:r w:rsidRPr="00590E6A">
        <w:rPr>
          <w:rStyle w:val="FootnoteReference"/>
        </w:rPr>
        <w:footnoteRef/>
      </w:r>
      <w:r w:rsidRPr="00590E6A">
        <w:t xml:space="preserve"> </w:t>
      </w:r>
      <w:r>
        <w:tab/>
        <w:t>AGL, EnergyAustralia and Origin.</w:t>
      </w:r>
    </w:p>
  </w:footnote>
  <w:footnote w:id="10">
    <w:p w:rsidR="00823774" w:rsidRPr="00A96640" w:rsidRDefault="00823774" w:rsidP="00AB36D9">
      <w:pPr>
        <w:pStyle w:val="FootnoteText"/>
      </w:pPr>
      <w:r w:rsidRPr="00590E6A">
        <w:rPr>
          <w:rStyle w:val="FootnoteReference"/>
        </w:rPr>
        <w:footnoteRef/>
      </w:r>
      <w:r w:rsidRPr="00590E6A">
        <w:t xml:space="preserve"> </w:t>
      </w:r>
      <w:r>
        <w:tab/>
      </w:r>
      <w:r w:rsidRPr="00590E6A">
        <w:t>As a result of further data collection in January 2015 some issues</w:t>
      </w:r>
      <w:r w:rsidRPr="00A96640">
        <w:t xml:space="preserve"> with previous rounds of data collection were identified and corrected. This has resulted in some minor variation in the figures for March-April to July-August; and July-August to October when compared with Graph 4 of the ACCC’s </w:t>
      </w:r>
      <w:r>
        <w:t>January 2015 Carbon Report</w:t>
      </w:r>
      <w:r w:rsidRPr="00A96640">
        <w:t>.</w:t>
      </w:r>
    </w:p>
  </w:footnote>
  <w:footnote w:id="11">
    <w:p w:rsidR="00823774" w:rsidRPr="005A1E1C" w:rsidRDefault="00823774" w:rsidP="00AB36D9">
      <w:pPr>
        <w:pStyle w:val="FootnoteText"/>
      </w:pPr>
      <w:r w:rsidRPr="005A1E1C">
        <w:rPr>
          <w:rStyle w:val="FootnoteReference"/>
        </w:rPr>
        <w:footnoteRef/>
      </w:r>
      <w:r w:rsidRPr="005A1E1C">
        <w:t xml:space="preserve"> </w:t>
      </w:r>
      <w:r>
        <w:tab/>
      </w:r>
      <w:r w:rsidRPr="005A1E1C">
        <w:t>The average price changes are not weighted by number of customers.</w:t>
      </w:r>
    </w:p>
  </w:footnote>
  <w:footnote w:id="12">
    <w:p w:rsidR="00823774" w:rsidRPr="003D2EF2" w:rsidRDefault="00823774" w:rsidP="00AB36D9">
      <w:pPr>
        <w:pStyle w:val="FootnoteText"/>
      </w:pPr>
      <w:r w:rsidRPr="003D2EF2">
        <w:rPr>
          <w:rStyle w:val="FootnoteReference"/>
        </w:rPr>
        <w:footnoteRef/>
      </w:r>
      <w:r w:rsidRPr="003D2EF2">
        <w:t xml:space="preserve"> </w:t>
      </w:r>
      <w:r>
        <w:tab/>
      </w:r>
      <w:r w:rsidRPr="003D2EF2">
        <w:t>The pricing order</w:t>
      </w:r>
      <w:r>
        <w:t xml:space="preserve"> specifies</w:t>
      </w:r>
      <w:r w:rsidRPr="003D2EF2">
        <w:t xml:space="preserve"> the maximum price that can be charged to customers that consume less than 750MWh of electricity per annum.</w:t>
      </w:r>
    </w:p>
  </w:footnote>
  <w:footnote w:id="13">
    <w:p w:rsidR="00823774" w:rsidRPr="00424CDA" w:rsidRDefault="00823774" w:rsidP="00AB36D9">
      <w:pPr>
        <w:pStyle w:val="FootnoteText"/>
      </w:pPr>
      <w:r w:rsidRPr="00424CDA">
        <w:rPr>
          <w:rStyle w:val="FootnoteReference"/>
        </w:rPr>
        <w:footnoteRef/>
      </w:r>
      <w:r w:rsidRPr="00424CDA">
        <w:t xml:space="preserve"> </w:t>
      </w:r>
      <w:r>
        <w:tab/>
      </w:r>
      <w:r w:rsidRPr="00424CDA">
        <w:t>The ACCC’s</w:t>
      </w:r>
      <w:r>
        <w:t xml:space="preserve"> </w:t>
      </w:r>
      <w:hyperlink r:id="rId5" w:history="1">
        <w:r w:rsidRPr="005624B7">
          <w:rPr>
            <w:rStyle w:val="Hyperlink"/>
            <w:sz w:val="16"/>
            <w:szCs w:val="16"/>
          </w:rPr>
          <w:t>January 2015 Carbon Report</w:t>
        </w:r>
      </w:hyperlink>
      <w:r w:rsidRPr="00424CDA">
        <w:t>, page</w:t>
      </w:r>
      <w:r>
        <w:t xml:space="preserve">s </w:t>
      </w:r>
      <w:r w:rsidRPr="00424CDA">
        <w:t>15-16.</w:t>
      </w:r>
    </w:p>
  </w:footnote>
  <w:footnote w:id="14">
    <w:p w:rsidR="00823774" w:rsidRPr="003A518C" w:rsidRDefault="00823774" w:rsidP="00AB36D9">
      <w:pPr>
        <w:pStyle w:val="FootnoteText"/>
      </w:pPr>
      <w:r w:rsidRPr="003A518C">
        <w:rPr>
          <w:rStyle w:val="FootnoteReference"/>
        </w:rPr>
        <w:footnoteRef/>
      </w:r>
      <w:r w:rsidRPr="003A518C">
        <w:t xml:space="preserve"> </w:t>
      </w:r>
      <w:r>
        <w:tab/>
      </w:r>
      <w:r w:rsidRPr="003A518C">
        <w:t>Two retailers have been excluded from this analysis as a full data set was not available in March-April 2014.</w:t>
      </w:r>
    </w:p>
  </w:footnote>
  <w:footnote w:id="15">
    <w:p w:rsidR="00823774" w:rsidRPr="00424CDA" w:rsidRDefault="00823774" w:rsidP="00AB36D9">
      <w:pPr>
        <w:pStyle w:val="FootnoteText"/>
      </w:pPr>
      <w:r w:rsidRPr="005624B7">
        <w:rPr>
          <w:rStyle w:val="FootnoteReference"/>
        </w:rPr>
        <w:footnoteRef/>
      </w:r>
      <w:r w:rsidRPr="005624B7">
        <w:rPr>
          <w:rStyle w:val="FootnoteReference"/>
        </w:rPr>
        <w:t xml:space="preserve"> </w:t>
      </w:r>
      <w:r>
        <w:tab/>
      </w:r>
      <w:r w:rsidRPr="00446AE3">
        <w:t xml:space="preserve">The </w:t>
      </w:r>
      <w:r w:rsidRPr="00446AE3">
        <w:rPr>
          <w:szCs w:val="16"/>
        </w:rPr>
        <w:t xml:space="preserve">ACCC’s </w:t>
      </w:r>
      <w:hyperlink r:id="rId6" w:history="1">
        <w:r w:rsidRPr="005624B7">
          <w:rPr>
            <w:rStyle w:val="Hyperlink"/>
            <w:sz w:val="16"/>
            <w:szCs w:val="16"/>
          </w:rPr>
          <w:t>January 2015 Carbon Report</w:t>
        </w:r>
      </w:hyperlink>
      <w:r w:rsidRPr="00446AE3">
        <w:rPr>
          <w:szCs w:val="16"/>
        </w:rPr>
        <w:t>, page</w:t>
      </w:r>
      <w:r w:rsidRPr="00446AE3">
        <w:rPr>
          <w:sz w:val="12"/>
        </w:rPr>
        <w:t xml:space="preserve"> </w:t>
      </w:r>
      <w:r w:rsidRPr="00446AE3">
        <w:t>17</w:t>
      </w:r>
      <w:r w:rsidRPr="00424CDA">
        <w:t>.</w:t>
      </w:r>
    </w:p>
  </w:footnote>
  <w:footnote w:id="16">
    <w:p w:rsidR="00823774" w:rsidRPr="00291F36" w:rsidRDefault="00823774" w:rsidP="00AB36D9">
      <w:pPr>
        <w:pStyle w:val="FootnoteText"/>
        <w:rPr>
          <w:rFonts w:cs="Arial"/>
          <w:szCs w:val="16"/>
        </w:rPr>
      </w:pPr>
      <w:r w:rsidRPr="005624B7">
        <w:rPr>
          <w:rStyle w:val="FootnoteReference"/>
        </w:rPr>
        <w:footnoteRef/>
      </w:r>
      <w:r w:rsidRPr="00193E81">
        <w:t xml:space="preserve"> </w:t>
      </w:r>
      <w:r>
        <w:tab/>
      </w:r>
      <w:r w:rsidRPr="00193E81">
        <w:t>As</w:t>
      </w:r>
      <w:r w:rsidRPr="00291F36">
        <w:rPr>
          <w:rFonts w:cs="Arial"/>
          <w:szCs w:val="16"/>
        </w:rPr>
        <w:t xml:space="preserve"> electricity flows through the transmission and distribution networks, energy is lost due to electrical resistance and the heating of conductors. The losses are equivalent to approximately 10 per cent of the total electricity transported between power station and market customers. For more information see </w:t>
      </w:r>
      <w:hyperlink r:id="rId7" w:tooltip="http://www.aemo.com.au/Electricity/Market-Operations/Loss-Factors-and-Regional-Boundaries" w:history="1">
        <w:r w:rsidRPr="005624B7">
          <w:rPr>
            <w:rStyle w:val="Hyperlink"/>
            <w:rFonts w:cs="Arial"/>
            <w:sz w:val="16"/>
            <w:szCs w:val="16"/>
          </w:rPr>
          <w:t>http://www.aemo.com.au/Electricity/Market-Operations/Loss-Factors-and-Regional-Boundaries</w:t>
        </w:r>
      </w:hyperlink>
      <w:r w:rsidRPr="005624B7">
        <w:rPr>
          <w:rFonts w:cs="Arial"/>
          <w:color w:val="000000"/>
          <w:szCs w:val="16"/>
        </w:rPr>
        <w:t>.</w:t>
      </w:r>
    </w:p>
    <w:p w:rsidR="00823774" w:rsidRDefault="00823774" w:rsidP="00AB36D9">
      <w:pPr>
        <w:pStyle w:val="FootnoteText"/>
      </w:pPr>
    </w:p>
  </w:footnote>
  <w:footnote w:id="17">
    <w:p w:rsidR="00823774" w:rsidRPr="00F0791C" w:rsidRDefault="00823774" w:rsidP="00AB36D9">
      <w:pPr>
        <w:pStyle w:val="FootnoteText"/>
      </w:pPr>
      <w:r w:rsidRPr="00F0791C">
        <w:rPr>
          <w:rStyle w:val="FootnoteReference"/>
        </w:rPr>
        <w:footnoteRef/>
      </w:r>
      <w:r w:rsidRPr="00F0791C">
        <w:t xml:space="preserve"> </w:t>
      </w:r>
      <w:r>
        <w:tab/>
      </w:r>
      <w:r w:rsidRPr="00F0791C">
        <w:t>Note that price monitoring data was not a</w:t>
      </w:r>
      <w:r>
        <w:t>lways comparable. Some retailers</w:t>
      </w:r>
      <w:r w:rsidRPr="00F0791C">
        <w:t xml:space="preserve"> indicated that they implemented a single price change to remove carbon</w:t>
      </w:r>
      <w:r>
        <w:t xml:space="preserve"> tax components</w:t>
      </w:r>
      <w:r w:rsidRPr="00F0791C">
        <w:t xml:space="preserve"> and also adjust</w:t>
      </w:r>
      <w:r>
        <w:t>ed</w:t>
      </w:r>
      <w:r w:rsidRPr="00F0791C">
        <w:t xml:space="preserve"> prices for other factors. As such, the ACCC cannot clearly observe the carbon</w:t>
      </w:r>
      <w:r>
        <w:t xml:space="preserve"> tax</w:t>
      </w:r>
      <w:r w:rsidRPr="00F0791C">
        <w:t xml:space="preserve"> component being removed.</w:t>
      </w:r>
    </w:p>
  </w:footnote>
  <w:footnote w:id="18">
    <w:p w:rsidR="00823774" w:rsidRPr="00F0791C" w:rsidRDefault="00823774" w:rsidP="00AB36D9">
      <w:pPr>
        <w:pStyle w:val="FootnoteText"/>
      </w:pPr>
      <w:r w:rsidRPr="00F0791C">
        <w:rPr>
          <w:rStyle w:val="FootnoteReference"/>
        </w:rPr>
        <w:footnoteRef/>
      </w:r>
      <w:r w:rsidRPr="00F0791C">
        <w:t xml:space="preserve"> </w:t>
      </w:r>
      <w:r>
        <w:tab/>
      </w:r>
      <w:r w:rsidRPr="00F0791C">
        <w:t>Figures are GST exclusive. Individual customers’ experience will vary between retailers.</w:t>
      </w:r>
    </w:p>
  </w:footnote>
  <w:footnote w:id="19">
    <w:p w:rsidR="00823774" w:rsidRDefault="00823774" w:rsidP="00AB36D9">
      <w:pPr>
        <w:pStyle w:val="FootnoteText"/>
      </w:pPr>
      <w:r w:rsidRPr="000A14D7">
        <w:rPr>
          <w:rStyle w:val="FootnoteReference"/>
        </w:rPr>
        <w:footnoteRef/>
      </w:r>
      <w:r w:rsidRPr="00022402">
        <w:t xml:space="preserve"> </w:t>
      </w:r>
      <w:r>
        <w:tab/>
      </w:r>
      <w:r w:rsidRPr="00022402">
        <w:t>The estimated average percentage savings are calculated by reference to the retailers</w:t>
      </w:r>
      <w:r w:rsidRPr="00D924A4">
        <w:t>’ standing offer prices in effect in July-August 2014 p</w:t>
      </w:r>
      <w:r>
        <w:t>rior to retailers implementing the carbon tax repeal in their prices. For those retailers who implemented a single price change to remove carbon tax components and adjust prices for other factors, the standing offer prices are those collected by the ACCC for March-April 2014.</w:t>
      </w:r>
    </w:p>
  </w:footnote>
  <w:footnote w:id="20">
    <w:p w:rsidR="00823774" w:rsidRDefault="00823774" w:rsidP="00AB36D9">
      <w:pPr>
        <w:pStyle w:val="FootnoteText"/>
      </w:pPr>
      <w:r w:rsidRPr="000A14D7">
        <w:rPr>
          <w:rStyle w:val="FootnoteReference"/>
        </w:rPr>
        <w:footnoteRef/>
      </w:r>
      <w:r w:rsidRPr="007628D4">
        <w:t xml:space="preserve"> </w:t>
      </w:r>
      <w:r>
        <w:tab/>
      </w:r>
      <w:r w:rsidRPr="007628D4">
        <w:t>The consumption</w:t>
      </w:r>
      <w:r>
        <w:t xml:space="preserve"> values used are 4050kWh in Victoria, 5310kWh in New South Wales, 5400kWh in Queensland, 5,600kWh in Western Australia, 5980kWh in South Australia, 6730kWh in the Australian Capital Territory, 6750kWh in the Northern Territory and 8080kWh in Tasmania. These values are discussed in the next sections of the report. </w:t>
      </w:r>
    </w:p>
  </w:footnote>
  <w:footnote w:id="21">
    <w:p w:rsidR="00823774" w:rsidRDefault="00823774">
      <w:pPr>
        <w:pStyle w:val="FootnoteText"/>
      </w:pPr>
      <w:r>
        <w:rPr>
          <w:rStyle w:val="FootnoteReference"/>
        </w:rPr>
        <w:footnoteRef/>
      </w:r>
      <w:r>
        <w:t xml:space="preserve"> </w:t>
      </w:r>
      <w:r>
        <w:tab/>
        <w:t>The price per tonne for carbon emissions was due to increase on 1 July 2014 if the carbon tax had not been repealed.</w:t>
      </w:r>
    </w:p>
  </w:footnote>
  <w:footnote w:id="22">
    <w:p w:rsidR="00823774" w:rsidRPr="00BE09A6" w:rsidRDefault="00823774" w:rsidP="00AB36D9">
      <w:pPr>
        <w:pStyle w:val="FootnoteText"/>
      </w:pPr>
      <w:r w:rsidRPr="00BE09A6">
        <w:rPr>
          <w:rStyle w:val="FootnoteReference"/>
        </w:rPr>
        <w:footnoteRef/>
      </w:r>
      <w:r w:rsidRPr="00BE09A6">
        <w:t xml:space="preserve"> </w:t>
      </w:r>
      <w:r>
        <w:tab/>
      </w:r>
      <w:r w:rsidRPr="00BE09A6">
        <w:t xml:space="preserve">See the ACCC’s </w:t>
      </w:r>
      <w:hyperlink r:id="rId8" w:history="1">
        <w:r w:rsidRPr="000A14D7">
          <w:rPr>
            <w:rStyle w:val="Hyperlink"/>
            <w:sz w:val="16"/>
            <w:szCs w:val="16"/>
          </w:rPr>
          <w:t>January 2015 Carbon Report</w:t>
        </w:r>
      </w:hyperlink>
      <w:r>
        <w:rPr>
          <w:rStyle w:val="Hyperlink"/>
          <w:sz w:val="16"/>
          <w:szCs w:val="16"/>
        </w:rPr>
        <w:t>,</w:t>
      </w:r>
      <w:r w:rsidRPr="00BE09A6">
        <w:t xml:space="preserve"> page 18</w:t>
      </w:r>
      <w:r>
        <w:t xml:space="preserve"> for information regarding commercial &amp; industrial customers and the meaning of ‘carbon inclusive’ contracts</w:t>
      </w:r>
      <w:r w:rsidRPr="00BE09A6">
        <w:t>.</w:t>
      </w:r>
    </w:p>
  </w:footnote>
  <w:footnote w:id="23">
    <w:p w:rsidR="00823774" w:rsidRPr="004036B5" w:rsidRDefault="00823774" w:rsidP="00AB36D9">
      <w:pPr>
        <w:pStyle w:val="FootnoteText"/>
      </w:pPr>
      <w:r w:rsidRPr="004036B5">
        <w:rPr>
          <w:rStyle w:val="FootnoteReference"/>
        </w:rPr>
        <w:footnoteRef/>
      </w:r>
      <w:r w:rsidRPr="004036B5">
        <w:t xml:space="preserve"> </w:t>
      </w:r>
      <w:r>
        <w:tab/>
      </w:r>
      <w:r w:rsidRPr="004036B5">
        <w:t>The retailer with a regulatory obligation to supply new customers in an area.</w:t>
      </w:r>
    </w:p>
  </w:footnote>
  <w:footnote w:id="24">
    <w:p w:rsidR="00823774" w:rsidRPr="00A9005A" w:rsidRDefault="00823774" w:rsidP="00AB36D9">
      <w:pPr>
        <w:pStyle w:val="FootnoteText"/>
      </w:pPr>
      <w:r w:rsidRPr="00A9005A">
        <w:rPr>
          <w:rStyle w:val="FootnoteReference"/>
        </w:rPr>
        <w:footnoteRef/>
      </w:r>
      <w:r w:rsidRPr="00A9005A">
        <w:t xml:space="preserve"> </w:t>
      </w:r>
      <w:r>
        <w:tab/>
      </w:r>
      <w:r w:rsidRPr="00A9005A">
        <w:t xml:space="preserve">Alviss Consulting, </w:t>
      </w:r>
      <w:r w:rsidRPr="000149B0">
        <w:rPr>
          <w:i/>
        </w:rPr>
        <w:t>Residential electricity and gas prices from January 2012 to January 2015, a report to the ACCC</w:t>
      </w:r>
      <w:r w:rsidRPr="00A9005A">
        <w:t>, March 2015</w:t>
      </w:r>
      <w:r>
        <w:t>.</w:t>
      </w:r>
    </w:p>
  </w:footnote>
  <w:footnote w:id="25">
    <w:p w:rsidR="00823774" w:rsidRPr="00CF3E69" w:rsidRDefault="00823774" w:rsidP="00AB36D9">
      <w:pPr>
        <w:pStyle w:val="FootnoteText"/>
      </w:pPr>
      <w:r w:rsidRPr="00CF3E69">
        <w:rPr>
          <w:rStyle w:val="FootnoteReference"/>
        </w:rPr>
        <w:footnoteRef/>
      </w:r>
      <w:r w:rsidRPr="00CF3E69">
        <w:t xml:space="preserve"> </w:t>
      </w:r>
      <w:r>
        <w:tab/>
      </w:r>
      <w:r w:rsidRPr="00CF3E69">
        <w:t xml:space="preserve">The consumption values chosen are based on the ACIL Allen Consulting report for the AER, </w:t>
      </w:r>
      <w:r w:rsidRPr="00CF3E69">
        <w:rPr>
          <w:i/>
        </w:rPr>
        <w:t>Electricity Bill Benchmarks for residential customers</w:t>
      </w:r>
      <w:r w:rsidRPr="00CF3E69">
        <w:t>, October 2014</w:t>
      </w:r>
      <w:r>
        <w:t xml:space="preserve"> for 3 person households with reticulated gas (except in the Northern Territory) and no swimming pool</w:t>
      </w:r>
      <w:r w:rsidRPr="00CF3E69">
        <w:t>. For W</w:t>
      </w:r>
      <w:r>
        <w:t xml:space="preserve">estern </w:t>
      </w:r>
      <w:r w:rsidRPr="00CF3E69">
        <w:t>A</w:t>
      </w:r>
      <w:r>
        <w:t>ustralia,</w:t>
      </w:r>
      <w:r w:rsidRPr="00CF3E69">
        <w:t xml:space="preserve"> the annual consumption level is based on the Independent Market Operator’s 2014 </w:t>
      </w:r>
      <w:r w:rsidRPr="000A14D7">
        <w:rPr>
          <w:rStyle w:val="Emphasis"/>
        </w:rPr>
        <w:t>SWIS Electricity Demand Outlook</w:t>
      </w:r>
      <w:r w:rsidRPr="00CF3E69">
        <w:t>, July 2014.</w:t>
      </w:r>
    </w:p>
  </w:footnote>
  <w:footnote w:id="26">
    <w:p w:rsidR="00823774" w:rsidRPr="00CF3E69" w:rsidRDefault="00823774" w:rsidP="00AB36D9">
      <w:pPr>
        <w:pStyle w:val="FootnoteText"/>
      </w:pPr>
      <w:r w:rsidRPr="001E3565">
        <w:rPr>
          <w:rStyle w:val="FootnoteReference"/>
        </w:rPr>
        <w:footnoteRef/>
      </w:r>
      <w:r w:rsidRPr="001E3565">
        <w:t xml:space="preserve"> </w:t>
      </w:r>
      <w:r>
        <w:tab/>
      </w:r>
      <w:r w:rsidRPr="001E3565">
        <w:t xml:space="preserve">Except for the </w:t>
      </w:r>
      <w:r>
        <w:t>Northern Territory</w:t>
      </w:r>
      <w:r w:rsidRPr="001E3565">
        <w:t>.</w:t>
      </w:r>
    </w:p>
  </w:footnote>
  <w:footnote w:id="27">
    <w:p w:rsidR="00823774" w:rsidRPr="000A14D7" w:rsidRDefault="00823774" w:rsidP="00AB36D9">
      <w:pPr>
        <w:pStyle w:val="FootnoteText"/>
        <w:rPr>
          <w:szCs w:val="16"/>
        </w:rPr>
      </w:pPr>
      <w:r w:rsidRPr="00966893">
        <w:rPr>
          <w:rStyle w:val="FootnoteReference"/>
        </w:rPr>
        <w:footnoteRef/>
      </w:r>
      <w:r w:rsidRPr="00966893">
        <w:t xml:space="preserve"> </w:t>
      </w:r>
      <w:r>
        <w:tab/>
      </w:r>
      <w:r w:rsidRPr="00966893">
        <w:t xml:space="preserve">See </w:t>
      </w:r>
      <w:hyperlink r:id="rId9" w:history="1">
        <w:r w:rsidRPr="000A14D7">
          <w:rPr>
            <w:rStyle w:val="Hyperlink"/>
            <w:sz w:val="16"/>
            <w:szCs w:val="16"/>
          </w:rPr>
          <w:t>Aurora Energy's frequently asked questions about the carbon tax repeal</w:t>
        </w:r>
      </w:hyperlink>
      <w:r w:rsidRPr="000A14D7">
        <w:rPr>
          <w:szCs w:val="16"/>
        </w:rPr>
        <w:t>.</w:t>
      </w:r>
    </w:p>
  </w:footnote>
  <w:footnote w:id="28">
    <w:p w:rsidR="00823774" w:rsidRPr="00CF3E69" w:rsidRDefault="00823774" w:rsidP="00AB36D9">
      <w:pPr>
        <w:pStyle w:val="FootnoteText"/>
      </w:pPr>
      <w:r w:rsidRPr="00CF3E69">
        <w:rPr>
          <w:rStyle w:val="FootnoteReference"/>
        </w:rPr>
        <w:footnoteRef/>
      </w:r>
      <w:r>
        <w:t xml:space="preserve"> </w:t>
      </w:r>
      <w:r>
        <w:tab/>
        <w:t>Market offers based on seven</w:t>
      </w:r>
      <w:r w:rsidRPr="00CF3E69">
        <w:t xml:space="preserve"> retailers’ prices.</w:t>
      </w:r>
    </w:p>
  </w:footnote>
  <w:footnote w:id="29">
    <w:p w:rsidR="00823774" w:rsidRPr="0066551D" w:rsidRDefault="00823774" w:rsidP="00AB36D9">
      <w:pPr>
        <w:pStyle w:val="FootnoteText"/>
      </w:pPr>
      <w:r w:rsidRPr="00CF3E69">
        <w:rPr>
          <w:rStyle w:val="FootnoteReference"/>
        </w:rPr>
        <w:footnoteRef/>
      </w:r>
      <w:r w:rsidRPr="00CF3E69">
        <w:t xml:space="preserve"> </w:t>
      </w:r>
      <w:r>
        <w:tab/>
      </w:r>
      <w:r w:rsidRPr="00CF3E69">
        <w:t>The standing offers are the regulated rates until New South Wales deregulated in July 2014, and the incumbent’s standing offers after that. The market offers are based on 11 retailers’</w:t>
      </w:r>
      <w:r w:rsidRPr="0066551D">
        <w:t xml:space="preserve"> prices.</w:t>
      </w:r>
    </w:p>
  </w:footnote>
  <w:footnote w:id="30">
    <w:p w:rsidR="00823774" w:rsidRPr="0066551D" w:rsidRDefault="00823774" w:rsidP="00AB36D9">
      <w:pPr>
        <w:pStyle w:val="FootnoteText"/>
      </w:pPr>
      <w:r w:rsidRPr="0066551D">
        <w:rPr>
          <w:rStyle w:val="FootnoteReference"/>
        </w:rPr>
        <w:footnoteRef/>
      </w:r>
      <w:r w:rsidRPr="0066551D">
        <w:t xml:space="preserve"> </w:t>
      </w:r>
      <w:r>
        <w:tab/>
      </w:r>
      <w:r w:rsidRPr="0066551D">
        <w:t>Market offers based on ActewAGL’s prices.</w:t>
      </w:r>
    </w:p>
  </w:footnote>
  <w:footnote w:id="31">
    <w:p w:rsidR="00823774" w:rsidRPr="005D5A3F" w:rsidRDefault="00823774" w:rsidP="00AB36D9">
      <w:pPr>
        <w:pStyle w:val="FootnoteText"/>
      </w:pPr>
      <w:r w:rsidRPr="004036B5">
        <w:rPr>
          <w:rStyle w:val="FootnoteReference"/>
        </w:rPr>
        <w:footnoteRef/>
      </w:r>
      <w:r w:rsidRPr="004036B5">
        <w:t xml:space="preserve"> </w:t>
      </w:r>
      <w:r>
        <w:tab/>
      </w:r>
      <w:r w:rsidRPr="004036B5">
        <w:t>The average standing offer</w:t>
      </w:r>
      <w:r>
        <w:t>s are based on the</w:t>
      </w:r>
      <w:r w:rsidRPr="004036B5">
        <w:t xml:space="preserve"> three major retailers</w:t>
      </w:r>
      <w:r>
        <w:t>.</w:t>
      </w:r>
      <w:r w:rsidRPr="004036B5">
        <w:t xml:space="preserve"> The market offers are based on 15 retailers’ prices.</w:t>
      </w:r>
    </w:p>
  </w:footnote>
  <w:footnote w:id="32">
    <w:p w:rsidR="00823774" w:rsidRPr="000F44EC" w:rsidRDefault="00823774" w:rsidP="00AB36D9">
      <w:pPr>
        <w:pStyle w:val="FootnoteText"/>
      </w:pPr>
      <w:r w:rsidRPr="000F44EC">
        <w:rPr>
          <w:rStyle w:val="FootnoteReference"/>
        </w:rPr>
        <w:footnoteRef/>
      </w:r>
      <w:r w:rsidRPr="000F44EC">
        <w:t xml:space="preserve"> </w:t>
      </w:r>
      <w:r>
        <w:tab/>
      </w:r>
      <w:r w:rsidRPr="000F44EC">
        <w:t xml:space="preserve">The standing offers are the regulated rates until </w:t>
      </w:r>
      <w:r>
        <w:t>South Australia</w:t>
      </w:r>
      <w:r w:rsidRPr="000F44EC">
        <w:t xml:space="preserve"> deregulated in February 2013, and the incumbent’s standing offers after that. The market offers are based on 12 retailers’ prices.</w:t>
      </w:r>
    </w:p>
  </w:footnote>
  <w:footnote w:id="33">
    <w:p w:rsidR="00823774" w:rsidRDefault="00823774" w:rsidP="00AB36D9">
      <w:pPr>
        <w:pStyle w:val="FootnoteText"/>
      </w:pPr>
      <w:r w:rsidRPr="005731FB">
        <w:rPr>
          <w:rStyle w:val="FootnoteReference"/>
        </w:rPr>
        <w:footnoteRef/>
      </w:r>
      <w:r w:rsidRPr="002C1E04">
        <w:t xml:space="preserve"> </w:t>
      </w:r>
      <w:r>
        <w:tab/>
        <w:t>Market offer is based on Aurora’s Pay As You Go offer.</w:t>
      </w:r>
    </w:p>
  </w:footnote>
  <w:footnote w:id="34">
    <w:p w:rsidR="00823774" w:rsidRDefault="00823774" w:rsidP="00AB36D9">
      <w:pPr>
        <w:pStyle w:val="FootnoteText"/>
      </w:pPr>
      <w:r w:rsidRPr="00966893">
        <w:rPr>
          <w:rStyle w:val="FootnoteReference"/>
        </w:rPr>
        <w:footnoteRef/>
      </w:r>
      <w:r w:rsidRPr="00966893">
        <w:t xml:space="preserve"> </w:t>
      </w:r>
      <w:r>
        <w:tab/>
      </w:r>
      <w:r w:rsidRPr="00966893">
        <w:t xml:space="preserve">In </w:t>
      </w:r>
      <w:r>
        <w:t>New South Wales</w:t>
      </w:r>
      <w:r w:rsidRPr="00966893">
        <w:t xml:space="preserve"> and Victoria the graph is an average of metropolitan distribution zones only. Average consumption of 6500</w:t>
      </w:r>
      <w:r>
        <w:t>k</w:t>
      </w:r>
      <w:r w:rsidRPr="00966893">
        <w:t>Wh per annum has been used in all jurisdictions.</w:t>
      </w:r>
    </w:p>
  </w:footnote>
  <w:footnote w:id="35">
    <w:p w:rsidR="00823774" w:rsidRPr="00E9036B" w:rsidRDefault="00823774" w:rsidP="00AB36D9">
      <w:pPr>
        <w:pStyle w:val="FootnoteText"/>
      </w:pPr>
      <w:r w:rsidRPr="00E9036B">
        <w:rPr>
          <w:rStyle w:val="FootnoteReference"/>
        </w:rPr>
        <w:footnoteRef/>
      </w:r>
      <w:r w:rsidRPr="00E9036B">
        <w:t xml:space="preserve"> </w:t>
      </w:r>
      <w:r>
        <w:tab/>
      </w:r>
      <w:r w:rsidRPr="00E9036B">
        <w:t>As a result of further data collection in January 2015 some issues with previous rounds of data collection were identified and corrected. This has resulted in some minor variation in the figures for March-April to July-August; and July-August to Oc</w:t>
      </w:r>
      <w:r w:rsidR="00A14172">
        <w:t>tober when compared with Graph 10</w:t>
      </w:r>
      <w:r w:rsidRPr="00E9036B">
        <w:t xml:space="preserve"> of the ACCC’s </w:t>
      </w:r>
      <w:r>
        <w:t>January 2015 Carbon Report</w:t>
      </w:r>
      <w:r w:rsidRPr="00E9036B">
        <w:t>.</w:t>
      </w:r>
    </w:p>
  </w:footnote>
  <w:footnote w:id="36">
    <w:p w:rsidR="00823774" w:rsidRPr="00E9036B" w:rsidRDefault="00823774" w:rsidP="00AB36D9">
      <w:pPr>
        <w:pStyle w:val="FootnoteText"/>
      </w:pPr>
      <w:r w:rsidRPr="00E9036B">
        <w:rPr>
          <w:rStyle w:val="FootnoteReference"/>
        </w:rPr>
        <w:footnoteRef/>
      </w:r>
      <w:r w:rsidRPr="00E9036B">
        <w:t xml:space="preserve"> </w:t>
      </w:r>
      <w:r>
        <w:tab/>
      </w:r>
      <w:r w:rsidRPr="00E9036B">
        <w:t>See</w:t>
      </w:r>
      <w:r>
        <w:t xml:space="preserve"> the ACCC’s </w:t>
      </w:r>
      <w:hyperlink r:id="rId10" w:history="1">
        <w:r w:rsidRPr="005731FB">
          <w:rPr>
            <w:rStyle w:val="Hyperlink"/>
            <w:sz w:val="16"/>
            <w:szCs w:val="16"/>
          </w:rPr>
          <w:t>January 2015 Carbon Report</w:t>
        </w:r>
      </w:hyperlink>
      <w:r>
        <w:rPr>
          <w:rStyle w:val="Hyperlink"/>
          <w:sz w:val="16"/>
          <w:szCs w:val="16"/>
        </w:rPr>
        <w:t>,</w:t>
      </w:r>
      <w:r>
        <w:t xml:space="preserve"> </w:t>
      </w:r>
      <w:r w:rsidRPr="00E9036B">
        <w:t>page 20. The three retailers were Aurora, Red Energy and Kleenheat.</w:t>
      </w:r>
    </w:p>
  </w:footnote>
  <w:footnote w:id="37">
    <w:p w:rsidR="00823774" w:rsidRDefault="00823774" w:rsidP="00AB36D9">
      <w:pPr>
        <w:pStyle w:val="FootnoteText"/>
      </w:pPr>
      <w:r w:rsidRPr="00E9036B">
        <w:rPr>
          <w:rStyle w:val="FootnoteReference"/>
        </w:rPr>
        <w:footnoteRef/>
      </w:r>
      <w:r w:rsidRPr="00E9036B">
        <w:t xml:space="preserve"> </w:t>
      </w:r>
      <w:r>
        <w:tab/>
        <w:t>One</w:t>
      </w:r>
      <w:r w:rsidRPr="00E9036B">
        <w:t xml:space="preserve"> retailer</w:t>
      </w:r>
      <w:r>
        <w:t xml:space="preserve"> was not included in</w:t>
      </w:r>
      <w:r w:rsidRPr="00E9036B">
        <w:t xml:space="preserve"> this analysis</w:t>
      </w:r>
      <w:r>
        <w:t xml:space="preserve"> as it was not covered by the ACCC price monitoring prior to July 2014.</w:t>
      </w:r>
    </w:p>
  </w:footnote>
  <w:footnote w:id="38">
    <w:p w:rsidR="00823774" w:rsidRDefault="00823774" w:rsidP="00AB36D9">
      <w:pPr>
        <w:pStyle w:val="FootnoteText"/>
      </w:pPr>
      <w:r w:rsidRPr="005731FB">
        <w:rPr>
          <w:rStyle w:val="FootnoteReference"/>
        </w:rPr>
        <w:footnoteRef/>
      </w:r>
      <w:r w:rsidRPr="00D924A4">
        <w:t xml:space="preserve"> </w:t>
      </w:r>
      <w:r>
        <w:tab/>
      </w:r>
      <w:r w:rsidRPr="00D924A4">
        <w:t>In</w:t>
      </w:r>
      <w:r>
        <w:t xml:space="preserve"> some areas, retailers adjusted the carbon tax component to be removed from prices for any residual network carbon tax costs not yet passed on to retailers. Network operators removed the carbon tax components from their prices effective from dates ranging between 1 July 2014 and 1 September 2014. Any over-recovery of carbon tax costs from 1 July 2014 to the effective date of the price change has or will be either refunded to customers in the current regulatory year or in the next regulatory year. Any over-recovery not yet refunded to retailers is minimal.</w:t>
      </w:r>
    </w:p>
  </w:footnote>
  <w:footnote w:id="39">
    <w:p w:rsidR="00823774" w:rsidRPr="00421959" w:rsidRDefault="00823774" w:rsidP="00AB36D9">
      <w:pPr>
        <w:pStyle w:val="FootnoteText"/>
      </w:pPr>
      <w:r w:rsidRPr="00421959">
        <w:rPr>
          <w:rStyle w:val="FootnoteReference"/>
        </w:rPr>
        <w:footnoteRef/>
      </w:r>
      <w:r w:rsidRPr="00421959">
        <w:t xml:space="preserve"> </w:t>
      </w:r>
      <w:r>
        <w:tab/>
      </w:r>
      <w:r w:rsidRPr="00421959">
        <w:t>Note that price monitoring data was not always comparable. Some retailers indicated that they implemented a single price change to remove carbon</w:t>
      </w:r>
      <w:r>
        <w:t xml:space="preserve"> tax components and</w:t>
      </w:r>
      <w:r w:rsidRPr="00421959">
        <w:t xml:space="preserve"> also adjust prices for other factors, as such the ACCC cannot clearly observe the carbon</w:t>
      </w:r>
      <w:r>
        <w:t xml:space="preserve"> tax</w:t>
      </w:r>
      <w:r w:rsidRPr="00421959">
        <w:t xml:space="preserve"> component being removed. </w:t>
      </w:r>
    </w:p>
  </w:footnote>
  <w:footnote w:id="40">
    <w:p w:rsidR="00823774" w:rsidRPr="005656BC" w:rsidRDefault="00823774" w:rsidP="00AB36D9">
      <w:pPr>
        <w:pStyle w:val="FootnoteText"/>
      </w:pPr>
      <w:r w:rsidRPr="005656BC">
        <w:rPr>
          <w:rStyle w:val="FootnoteReference"/>
        </w:rPr>
        <w:footnoteRef/>
      </w:r>
      <w:r>
        <w:t xml:space="preserve"> </w:t>
      </w:r>
      <w:r>
        <w:tab/>
        <w:t>In South Australia, Queensland and</w:t>
      </w:r>
      <w:r w:rsidRPr="005656BC">
        <w:t xml:space="preserve"> V</w:t>
      </w:r>
      <w:r>
        <w:t>ictoria</w:t>
      </w:r>
      <w:r w:rsidRPr="005656BC">
        <w:t>, carbon</w:t>
      </w:r>
      <w:r>
        <w:t xml:space="preserve"> tax</w:t>
      </w:r>
      <w:r w:rsidRPr="005656BC">
        <w:t xml:space="preserve"> costs on the Envestra distribution network were</w:t>
      </w:r>
      <w:r>
        <w:t xml:space="preserve"> generally</w:t>
      </w:r>
      <w:r w:rsidRPr="005656BC">
        <w:t xml:space="preserve"> passed on through the daily charge. For</w:t>
      </w:r>
      <w:r>
        <w:t xml:space="preserve"> these</w:t>
      </w:r>
      <w:r w:rsidRPr="005656BC">
        <w:t xml:space="preserve"> customers there is</w:t>
      </w:r>
      <w:r>
        <w:t xml:space="preserve"> generally</w:t>
      </w:r>
      <w:r w:rsidRPr="005656BC">
        <w:t xml:space="preserve"> an additional cost saving of 1.86c a day in Victoria, 3.4c a day in </w:t>
      </w:r>
      <w:r>
        <w:t>South Australia</w:t>
      </w:r>
      <w:r w:rsidRPr="005656BC">
        <w:t xml:space="preserve"> and 4.86c in Queensland.</w:t>
      </w:r>
    </w:p>
  </w:footnote>
  <w:footnote w:id="41">
    <w:p w:rsidR="00823774" w:rsidRDefault="00823774" w:rsidP="00AB36D9">
      <w:pPr>
        <w:pStyle w:val="FootnoteText"/>
      </w:pPr>
      <w:r w:rsidRPr="005731FB">
        <w:rPr>
          <w:rStyle w:val="FootnoteReference"/>
        </w:rPr>
        <w:footnoteRef/>
      </w:r>
      <w:r w:rsidRPr="00CC5FFD">
        <w:t xml:space="preserve"> </w:t>
      </w:r>
      <w:r>
        <w:tab/>
      </w:r>
      <w:r w:rsidRPr="00CC5FFD">
        <w:t>The</w:t>
      </w:r>
      <w:r>
        <w:t xml:space="preserve"> estimated average percentage savings are calculated by reference to the retailers’ standing offer prices in effect in July-August 2014 prior to the retailers removing carbon tax components from their prices. For those retailers who implemented a single price change to remove carbon tax components and adjust prices for other factors, the standing offer prices are those collected by the ACCC for March-April 2014.</w:t>
      </w:r>
    </w:p>
  </w:footnote>
  <w:footnote w:id="42">
    <w:p w:rsidR="00823774" w:rsidRDefault="00823774" w:rsidP="00AB36D9">
      <w:pPr>
        <w:pStyle w:val="FootnoteText"/>
      </w:pPr>
      <w:r w:rsidRPr="005731FB">
        <w:rPr>
          <w:rStyle w:val="FootnoteReference"/>
        </w:rPr>
        <w:footnoteRef/>
      </w:r>
      <w:r w:rsidRPr="00271980">
        <w:t xml:space="preserve"> </w:t>
      </w:r>
      <w:r>
        <w:tab/>
        <w:t>The consumption values used are 10GJ in Queensland and Western Australia, 20GJ for New South Wales and South Australia, 40GJ for the Australian Capital Territory and Tasmania, and 60GJ for Victoria.</w:t>
      </w:r>
    </w:p>
  </w:footnote>
  <w:footnote w:id="43">
    <w:p w:rsidR="00823774" w:rsidRPr="000045A3" w:rsidRDefault="00823774" w:rsidP="00AB36D9">
      <w:pPr>
        <w:pStyle w:val="FootnoteText"/>
      </w:pPr>
      <w:r w:rsidRPr="000045A3">
        <w:rPr>
          <w:rStyle w:val="FootnoteReference"/>
        </w:rPr>
        <w:footnoteRef/>
      </w:r>
      <w:r>
        <w:t xml:space="preserve"> </w:t>
      </w:r>
      <w:r>
        <w:tab/>
        <w:t>In New South Wales, the standing offer figures reflect the regulated rates</w:t>
      </w:r>
      <w:r w:rsidRPr="000045A3">
        <w:t>. The market offers are based on four retailers’ prices.</w:t>
      </w:r>
    </w:p>
  </w:footnote>
  <w:footnote w:id="44">
    <w:p w:rsidR="00823774" w:rsidRDefault="00823774" w:rsidP="00AB36D9">
      <w:pPr>
        <w:pStyle w:val="FootnoteText"/>
      </w:pPr>
      <w:r w:rsidRPr="000045A3">
        <w:rPr>
          <w:rStyle w:val="FootnoteReference"/>
        </w:rPr>
        <w:footnoteRef/>
      </w:r>
      <w:r w:rsidRPr="000045A3">
        <w:t xml:space="preserve"> </w:t>
      </w:r>
      <w:r>
        <w:tab/>
      </w:r>
      <w:r w:rsidRPr="000045A3">
        <w:t>For Victoria, the standing offer figures are based on the incumbent retailers’ (AGL, Origin and EnergyAustralia) standing offers across five metropolitan pricing zones. The market offers are based on eight retailers’ market offers.</w:t>
      </w:r>
    </w:p>
  </w:footnote>
  <w:footnote w:id="45">
    <w:p w:rsidR="00823774" w:rsidRPr="000045A3" w:rsidRDefault="00823774" w:rsidP="00AB36D9">
      <w:pPr>
        <w:pStyle w:val="FootnoteText"/>
      </w:pPr>
      <w:r w:rsidRPr="000045A3">
        <w:rPr>
          <w:rStyle w:val="FootnoteReference"/>
        </w:rPr>
        <w:footnoteRef/>
      </w:r>
      <w:r w:rsidRPr="000045A3">
        <w:t xml:space="preserve"> </w:t>
      </w:r>
      <w:r>
        <w:tab/>
        <w:t>South Australia</w:t>
      </w:r>
      <w:r w:rsidRPr="000045A3">
        <w:t xml:space="preserve"> deregulated in February 2013 and all </w:t>
      </w:r>
      <w:r>
        <w:t>South Australian</w:t>
      </w:r>
      <w:r w:rsidRPr="000045A3">
        <w:t xml:space="preserve"> standing offers prior to January 2013 are based on the regulated rate in the Adelaide price zone. The figures after deregulation are based on the incumbent (Origin Energy) standing offers. Average market offer bill</w:t>
      </w:r>
      <w:r>
        <w:t>s are</w:t>
      </w:r>
      <w:r w:rsidRPr="000045A3">
        <w:t xml:space="preserve"> based on five retailers in </w:t>
      </w:r>
      <w:r>
        <w:t>South Australia</w:t>
      </w:r>
      <w:r w:rsidRPr="000045A3">
        <w:t xml:space="preserve">. There is no data available for </w:t>
      </w:r>
      <w:r>
        <w:t>South Australian natural</w:t>
      </w:r>
      <w:r w:rsidRPr="000045A3">
        <w:t xml:space="preserve"> gas market offers prior to July 201</w:t>
      </w:r>
      <w:r>
        <w:t>2.</w:t>
      </w:r>
    </w:p>
  </w:footnote>
  <w:footnote w:id="46">
    <w:p w:rsidR="00823774" w:rsidRDefault="00823774" w:rsidP="00AB36D9">
      <w:pPr>
        <w:pStyle w:val="FootnoteText"/>
      </w:pPr>
      <w:r w:rsidRPr="000045A3">
        <w:rPr>
          <w:rStyle w:val="FootnoteReference"/>
        </w:rPr>
        <w:footnoteRef/>
      </w:r>
      <w:r w:rsidRPr="000045A3">
        <w:t xml:space="preserve"> </w:t>
      </w:r>
      <w:r>
        <w:tab/>
      </w:r>
      <w:r w:rsidRPr="000045A3">
        <w:t>Average market offer bill based on two retailers in Queensland. There is no data available for Queensland</w:t>
      </w:r>
      <w:r>
        <w:t xml:space="preserve"> natural</w:t>
      </w:r>
      <w:r w:rsidRPr="000045A3">
        <w:t xml:space="preserve"> gas market offers prior to July 201</w:t>
      </w:r>
      <w:r>
        <w:t>2</w:t>
      </w:r>
      <w:r w:rsidRPr="000045A3">
        <w:t>.</w:t>
      </w:r>
    </w:p>
  </w:footnote>
  <w:footnote w:id="47">
    <w:p w:rsidR="00823774" w:rsidRPr="000045A3" w:rsidRDefault="00823774" w:rsidP="00AB36D9">
      <w:pPr>
        <w:pStyle w:val="FootnoteText"/>
      </w:pPr>
      <w:r w:rsidRPr="000045A3">
        <w:rPr>
          <w:rStyle w:val="FootnoteReference"/>
        </w:rPr>
        <w:footnoteRef/>
      </w:r>
      <w:r w:rsidRPr="000045A3">
        <w:t xml:space="preserve"> </w:t>
      </w:r>
      <w:r>
        <w:tab/>
      </w:r>
      <w:r w:rsidRPr="000045A3">
        <w:t xml:space="preserve">In Tasmania, average market offer bill is based on Aurora and Tas Gas prices, however, neither have market offer discounts.  </w:t>
      </w:r>
    </w:p>
  </w:footnote>
  <w:footnote w:id="48">
    <w:p w:rsidR="00823774" w:rsidRDefault="00823774" w:rsidP="00AB36D9">
      <w:pPr>
        <w:pStyle w:val="FootnoteText"/>
      </w:pPr>
      <w:r w:rsidRPr="000045A3">
        <w:rPr>
          <w:rStyle w:val="FootnoteReference"/>
        </w:rPr>
        <w:footnoteRef/>
      </w:r>
      <w:r>
        <w:t xml:space="preserve"> </w:t>
      </w:r>
      <w:r>
        <w:tab/>
        <w:t>In the Australian Capital Territory</w:t>
      </w:r>
      <w:r w:rsidRPr="000045A3">
        <w:t>, the figures are based on ActewAGL market offers which can be tracked back to January 2012. EnergyAustralia a</w:t>
      </w:r>
      <w:r>
        <w:t>lso has market offers in the Australian Capital Territory</w:t>
      </w:r>
      <w:r w:rsidRPr="000045A3">
        <w:t xml:space="preserve"> but has a very small market share. Origin has a</w:t>
      </w:r>
      <w:r>
        <w:t>lso started retailing in the Australian Capital Territory</w:t>
      </w:r>
      <w:r w:rsidRPr="000045A3">
        <w:t xml:space="preserve"> recently.</w:t>
      </w:r>
    </w:p>
  </w:footnote>
  <w:footnote w:id="49">
    <w:p w:rsidR="00823774" w:rsidRDefault="00823774" w:rsidP="00AB36D9">
      <w:pPr>
        <w:pStyle w:val="FootnoteText"/>
      </w:pPr>
      <w:r w:rsidRPr="00F62389">
        <w:rPr>
          <w:rStyle w:val="FootnoteReference"/>
        </w:rPr>
        <w:footnoteRef/>
      </w:r>
      <w:r w:rsidRPr="007628D4">
        <w:t xml:space="preserve"> </w:t>
      </w:r>
      <w:r>
        <w:tab/>
      </w:r>
      <w:r w:rsidRPr="007628D4">
        <w:t>See</w:t>
      </w:r>
      <w:r>
        <w:t xml:space="preserve"> footnotes </w:t>
      </w:r>
      <w:r>
        <w:fldChar w:fldCharType="begin"/>
      </w:r>
      <w:r>
        <w:instrText xml:space="preserve"> NOTEREF _Ref416774036 \h </w:instrText>
      </w:r>
      <w:r>
        <w:fldChar w:fldCharType="separate"/>
      </w:r>
      <w:r w:rsidR="00543B1C">
        <w:t>19</w:t>
      </w:r>
      <w:r>
        <w:fldChar w:fldCharType="end"/>
      </w:r>
      <w:r>
        <w:t xml:space="preserve">, </w:t>
      </w:r>
      <w:r>
        <w:fldChar w:fldCharType="begin"/>
      </w:r>
      <w:r>
        <w:instrText xml:space="preserve"> NOTEREF _Ref416774055 \h </w:instrText>
      </w:r>
      <w:r>
        <w:fldChar w:fldCharType="separate"/>
      </w:r>
      <w:r w:rsidR="00543B1C">
        <w:t>20</w:t>
      </w:r>
      <w:r>
        <w:fldChar w:fldCharType="end"/>
      </w:r>
      <w:r>
        <w:t xml:space="preserve">, </w:t>
      </w:r>
      <w:r>
        <w:fldChar w:fldCharType="begin"/>
      </w:r>
      <w:r>
        <w:instrText xml:space="preserve"> NOTEREF _Ref416774102 \h </w:instrText>
      </w:r>
      <w:r>
        <w:fldChar w:fldCharType="separate"/>
      </w:r>
      <w:r w:rsidR="00543B1C">
        <w:t>41</w:t>
      </w:r>
      <w:r>
        <w:fldChar w:fldCharType="end"/>
      </w:r>
      <w:r>
        <w:t xml:space="preserve"> and </w:t>
      </w:r>
      <w:r>
        <w:fldChar w:fldCharType="begin"/>
      </w:r>
      <w:r>
        <w:instrText xml:space="preserve"> NOTEREF _Ref416774108 \h </w:instrText>
      </w:r>
      <w:r>
        <w:fldChar w:fldCharType="separate"/>
      </w:r>
      <w:r w:rsidR="00543B1C">
        <w:t>42</w:t>
      </w:r>
      <w:r>
        <w:fldChar w:fldCharType="end"/>
      </w:r>
      <w:r>
        <w:t>.</w:t>
      </w:r>
    </w:p>
  </w:footnote>
  <w:footnote w:id="50">
    <w:p w:rsidR="00823774" w:rsidRDefault="00823774" w:rsidP="00AB36D9">
      <w:pPr>
        <w:pStyle w:val="FootnoteText"/>
      </w:pPr>
      <w:r w:rsidRPr="00F62389">
        <w:rPr>
          <w:rStyle w:val="FootnoteReference"/>
        </w:rPr>
        <w:footnoteRef/>
      </w:r>
      <w:r w:rsidRPr="00F62389">
        <w:rPr>
          <w:rStyle w:val="FootnoteReference"/>
        </w:rPr>
        <w:t xml:space="preserve"> </w:t>
      </w:r>
      <w:r>
        <w:tab/>
      </w:r>
      <w:r w:rsidRPr="002C0C34">
        <w:t>In the January 2</w:t>
      </w:r>
      <w:r>
        <w:t>015 Carbon R</w:t>
      </w:r>
      <w:r w:rsidRPr="002C0C34">
        <w:t>eport, the ACCC noted that one retailer had claimed that the price o</w:t>
      </w:r>
      <w:r w:rsidRPr="002F0747">
        <w:t>f one SGG was lower after the carbon tax repeal than prior to the introduction of the carbon tax. The ACCC has received no further information to confirm that</w:t>
      </w:r>
      <w:r>
        <w:t xml:space="preserve"> claim</w:t>
      </w:r>
      <w:r w:rsidRPr="002F0747">
        <w:t>.</w:t>
      </w:r>
    </w:p>
  </w:footnote>
  <w:footnote w:id="51">
    <w:p w:rsidR="00823774" w:rsidRPr="004940F0" w:rsidRDefault="00823774" w:rsidP="00AB36D9">
      <w:pPr>
        <w:pStyle w:val="FootnoteText"/>
      </w:pPr>
      <w:r w:rsidRPr="004940F0">
        <w:rPr>
          <w:rStyle w:val="FootnoteReference"/>
        </w:rPr>
        <w:footnoteRef/>
      </w:r>
      <w:r w:rsidRPr="004940F0">
        <w:t xml:space="preserve"> </w:t>
      </w:r>
      <w:r>
        <w:tab/>
      </w:r>
      <w:r w:rsidRPr="004940F0">
        <w:t xml:space="preserve">The ACCC’s </w:t>
      </w:r>
      <w:hyperlink r:id="rId11" w:history="1">
        <w:r w:rsidRPr="00A1767F">
          <w:rPr>
            <w:rStyle w:val="Hyperlink"/>
            <w:sz w:val="16"/>
            <w:szCs w:val="16"/>
          </w:rPr>
          <w:t>October 2014 Carbon Report</w:t>
        </w:r>
      </w:hyperlink>
      <w:r w:rsidRPr="00A1767F">
        <w:rPr>
          <w:szCs w:val="16"/>
        </w:rPr>
        <w:t>,</w:t>
      </w:r>
      <w:r>
        <w:t xml:space="preserve"> page 61.</w:t>
      </w:r>
    </w:p>
  </w:footnote>
  <w:footnote w:id="52">
    <w:p w:rsidR="00823774" w:rsidRPr="004940F0" w:rsidRDefault="00823774" w:rsidP="00AB36D9">
      <w:pPr>
        <w:pStyle w:val="FootnoteText"/>
      </w:pPr>
      <w:r w:rsidRPr="004940F0">
        <w:rPr>
          <w:rStyle w:val="FootnoteReference"/>
        </w:rPr>
        <w:footnoteRef/>
      </w:r>
      <w:r w:rsidRPr="004940F0">
        <w:t xml:space="preserve"> </w:t>
      </w:r>
      <w:r>
        <w:tab/>
      </w:r>
      <w:r w:rsidRPr="004940F0">
        <w:t>Only one landfill operator reported that it pro-actively sought out identifiable cash customers and provided such customers with refunds.</w:t>
      </w:r>
    </w:p>
  </w:footnote>
  <w:footnote w:id="53">
    <w:p w:rsidR="00823774" w:rsidRDefault="00823774" w:rsidP="00AB36D9">
      <w:pPr>
        <w:pStyle w:val="FootnoteText"/>
      </w:pPr>
      <w:r w:rsidRPr="004940F0">
        <w:rPr>
          <w:rStyle w:val="FootnoteReference"/>
        </w:rPr>
        <w:footnoteRef/>
      </w:r>
      <w:r w:rsidRPr="004940F0">
        <w:t xml:space="preserve"> </w:t>
      </w:r>
      <w:r>
        <w:tab/>
      </w:r>
      <w:r w:rsidRPr="004940F0">
        <w:t>Unidentifiable cash customers are customers who pro-actively sought a refund and obtained a refund upon production of a receipt.</w:t>
      </w:r>
    </w:p>
  </w:footnote>
  <w:footnote w:id="54">
    <w:p w:rsidR="00823774" w:rsidRDefault="00823774">
      <w:pPr>
        <w:pStyle w:val="FootnoteText"/>
      </w:pPr>
      <w:r>
        <w:rPr>
          <w:rStyle w:val="FootnoteReference"/>
        </w:rPr>
        <w:footnoteRef/>
      </w:r>
      <w:r>
        <w:t xml:space="preserve"> </w:t>
      </w:r>
      <w:r>
        <w:tab/>
        <w:t>Australian Competition and Consumer Commission</w:t>
      </w:r>
      <w:r w:rsidRPr="00E24761">
        <w:t xml:space="preserve">, </w:t>
      </w:r>
      <w:r w:rsidRPr="001D5183">
        <w:rPr>
          <w:i/>
          <w:lang w:val="en"/>
        </w:rPr>
        <w:t>ACCC to not oppose CSR and Boral's proposed clay brick joint venture</w:t>
      </w:r>
      <w:r w:rsidRPr="00E24761">
        <w:t xml:space="preserve">, </w:t>
      </w:r>
      <w:r>
        <w:t>18</w:t>
      </w:r>
      <w:r w:rsidRPr="00E24761">
        <w:t xml:space="preserve"> </w:t>
      </w:r>
      <w:r>
        <w:t>December</w:t>
      </w:r>
      <w:r w:rsidRPr="00E24761">
        <w:t xml:space="preserve"> 2014, viewed </w:t>
      </w:r>
      <w:r>
        <w:t>20 April</w:t>
      </w:r>
      <w:r w:rsidRPr="00E24761">
        <w:t xml:space="preserve"> 2015, </w:t>
      </w:r>
      <w:hyperlink r:id="rId12" w:history="1">
        <w:r w:rsidRPr="001D5183">
          <w:rPr>
            <w:rStyle w:val="Hyperlink"/>
            <w:sz w:val="16"/>
          </w:rPr>
          <w:t>http://accc.gov.au/media-release/accc-to-not-oppose-csr-and-borals-proposed-clay-brick-joint-venture</w:t>
        </w:r>
      </w:hyperlink>
      <w:r w:rsidRPr="005624B7">
        <w:rPr>
          <w:szCs w:val="16"/>
        </w:rPr>
        <w:t>.</w:t>
      </w:r>
      <w:r>
        <w:t xml:space="preserve"> </w:t>
      </w:r>
      <w:r w:rsidRPr="006C5860">
        <w:t xml:space="preserve"> </w:t>
      </w:r>
    </w:p>
  </w:footnote>
  <w:footnote w:id="55">
    <w:p w:rsidR="00823774" w:rsidRPr="00F162E3" w:rsidRDefault="00823774" w:rsidP="00AB36D9">
      <w:pPr>
        <w:pStyle w:val="FootnoteText"/>
      </w:pPr>
      <w:r w:rsidRPr="008F0AA0">
        <w:rPr>
          <w:rStyle w:val="FootnoteReference"/>
        </w:rPr>
        <w:footnoteRef/>
      </w:r>
      <w:r w:rsidRPr="00B13882">
        <w:t xml:space="preserve"> </w:t>
      </w:r>
      <w:r>
        <w:tab/>
        <w:t xml:space="preserve">Qantas Airways, </w:t>
      </w:r>
      <w:r w:rsidRPr="00641989">
        <w:rPr>
          <w:i/>
        </w:rPr>
        <w:t>Qantas’ position on the carbon tax</w:t>
      </w:r>
      <w:r w:rsidRPr="00B13882">
        <w:t>, 9 July 2014</w:t>
      </w:r>
      <w:r>
        <w:t>,</w:t>
      </w:r>
      <w:r w:rsidRPr="00B13882">
        <w:t xml:space="preserve"> </w:t>
      </w:r>
      <w:r>
        <w:t>viewed</w:t>
      </w:r>
      <w:r w:rsidRPr="00B13882">
        <w:t xml:space="preserve"> on 13 February 2015</w:t>
      </w:r>
      <w:r>
        <w:t>,</w:t>
      </w:r>
      <w:r w:rsidRPr="00B13882">
        <w:t xml:space="preserve"> </w:t>
      </w:r>
      <w:hyperlink r:id="rId13" w:history="1">
        <w:r w:rsidRPr="008F0AA0">
          <w:rPr>
            <w:rStyle w:val="Hyperlink"/>
            <w:sz w:val="16"/>
            <w:szCs w:val="16"/>
          </w:rPr>
          <w:t>http://www.qantasnewsroom.com.au/qantas-responds/qantas-position-on-the-carbon-tax</w:t>
        </w:r>
      </w:hyperlink>
      <w:r>
        <w:rPr>
          <w:rStyle w:val="Hyperlink"/>
          <w:sz w:val="16"/>
          <w:szCs w:val="16"/>
        </w:rPr>
        <w:t>.</w:t>
      </w:r>
      <w:r>
        <w:t xml:space="preserve"> </w:t>
      </w:r>
    </w:p>
  </w:footnote>
  <w:footnote w:id="56">
    <w:p w:rsidR="00823774" w:rsidRDefault="00823774" w:rsidP="00AB36D9">
      <w:pPr>
        <w:pStyle w:val="FootnoteText"/>
      </w:pPr>
      <w:r w:rsidRPr="008F0AA0">
        <w:rPr>
          <w:rStyle w:val="FootnoteReference"/>
        </w:rPr>
        <w:footnoteRef/>
      </w:r>
      <w:r>
        <w:t xml:space="preserve"> </w:t>
      </w:r>
      <w:r>
        <w:tab/>
        <w:t>Miles Godfrey</w:t>
      </w:r>
      <w:r w:rsidRPr="00B13882">
        <w:t xml:space="preserve">, </w:t>
      </w:r>
      <w:r w:rsidRPr="00641989">
        <w:rPr>
          <w:i/>
        </w:rPr>
        <w:t>Qantas, Virgin Australia and Woolworths refuse to reduce prices once the carbon tax is ditched</w:t>
      </w:r>
      <w:r w:rsidRPr="00B13882">
        <w:t>,</w:t>
      </w:r>
      <w:r>
        <w:t xml:space="preserve"> the Daily Telegraph,</w:t>
      </w:r>
      <w:r w:rsidRPr="00B13882">
        <w:t xml:space="preserve"> 10 July 2014</w:t>
      </w:r>
      <w:r>
        <w:t>, viewed 18 March 2015</w:t>
      </w:r>
      <w:r>
        <w:rPr>
          <w:szCs w:val="16"/>
        </w:rPr>
        <w:t xml:space="preserve">; </w:t>
      </w:r>
      <w:hyperlink r:id="rId14" w:history="1">
        <w:r w:rsidRPr="008F0AA0">
          <w:rPr>
            <w:rStyle w:val="Hyperlink"/>
            <w:sz w:val="16"/>
            <w:szCs w:val="16"/>
          </w:rPr>
          <w:t>http://www.dailytelegraph.com.au/news/nsw/qantas-virgin-australia-and-woolworths-refuse-to-reduce-prices-once-the-carbon-tax-is-ditched/story-fni0cx12-1226983528607</w:t>
        </w:r>
      </w:hyperlink>
      <w:r w:rsidRPr="008F0AA0">
        <w:rPr>
          <w:rStyle w:val="Hyperlink"/>
          <w:sz w:val="16"/>
          <w:szCs w:val="16"/>
        </w:rPr>
        <w:t>.</w:t>
      </w:r>
    </w:p>
  </w:footnote>
  <w:footnote w:id="57">
    <w:p w:rsidR="00823774" w:rsidRDefault="00823774" w:rsidP="00AB36D9">
      <w:pPr>
        <w:pStyle w:val="FootnoteText"/>
      </w:pPr>
      <w:r w:rsidRPr="008F0AA0">
        <w:rPr>
          <w:rStyle w:val="FootnoteReference"/>
        </w:rPr>
        <w:footnoteRef/>
      </w:r>
      <w:r>
        <w:t xml:space="preserve"> </w:t>
      </w:r>
      <w:r>
        <w:tab/>
        <w:t>Virgin Australia Airlines,</w:t>
      </w:r>
      <w:r w:rsidRPr="00B13882">
        <w:t xml:space="preserve"> </w:t>
      </w:r>
      <w:r w:rsidRPr="00641989">
        <w:rPr>
          <w:i/>
        </w:rPr>
        <w:t>Carbon price impact</w:t>
      </w:r>
      <w:r w:rsidRPr="00B13882">
        <w:t xml:space="preserve">, ASX Release, 11 July 2011, </w:t>
      </w:r>
      <w:r>
        <w:t>viewed</w:t>
      </w:r>
      <w:r w:rsidRPr="00B13882">
        <w:t xml:space="preserve"> on 12 February 2015 at</w:t>
      </w:r>
      <w:r>
        <w:rPr>
          <w:szCs w:val="16"/>
        </w:rPr>
        <w:t xml:space="preserve"> </w:t>
      </w:r>
      <w:hyperlink r:id="rId15" w:history="1">
        <w:r w:rsidRPr="007D5826">
          <w:rPr>
            <w:rStyle w:val="Hyperlink"/>
            <w:sz w:val="16"/>
            <w:szCs w:val="16"/>
          </w:rPr>
          <w:t>http://www.asx.com.au/asxpdf/20110711/pdf/41zq2zwxk5s874.pdf</w:t>
        </w:r>
      </w:hyperlink>
      <w:r w:rsidRPr="007D5826">
        <w:rPr>
          <w:szCs w:val="16"/>
        </w:rPr>
        <w:t>.</w:t>
      </w:r>
    </w:p>
  </w:footnote>
  <w:footnote w:id="58">
    <w:p w:rsidR="00823774" w:rsidRDefault="00823774" w:rsidP="00AB36D9">
      <w:pPr>
        <w:pStyle w:val="FootnoteText"/>
      </w:pPr>
      <w:r w:rsidRPr="008F0AA0">
        <w:rPr>
          <w:rStyle w:val="FootnoteReference"/>
        </w:rPr>
        <w:footnoteRef/>
      </w:r>
      <w:r>
        <w:t xml:space="preserve"> </w:t>
      </w:r>
      <w:r>
        <w:tab/>
        <w:t>Miles Godfrey</w:t>
      </w:r>
      <w:r w:rsidRPr="00B13882">
        <w:t xml:space="preserve">, </w:t>
      </w:r>
      <w:r w:rsidRPr="00641989">
        <w:rPr>
          <w:i/>
        </w:rPr>
        <w:t>Qantas, Virgin Australia and Woolworths refuse to reduce prices once the carbon tax is ditched</w:t>
      </w:r>
      <w:r w:rsidRPr="00B13882">
        <w:t>,</w:t>
      </w:r>
      <w:r>
        <w:t xml:space="preserve"> the Daily Telegraph,</w:t>
      </w:r>
      <w:r w:rsidRPr="00B13882">
        <w:t xml:space="preserve"> 10 July 2014</w:t>
      </w:r>
      <w:r>
        <w:t>, viewed 18 March 2015</w:t>
      </w:r>
      <w:r>
        <w:rPr>
          <w:szCs w:val="16"/>
        </w:rPr>
        <w:t xml:space="preserve">; </w:t>
      </w:r>
      <w:hyperlink r:id="rId16" w:history="1">
        <w:r w:rsidRPr="008F0AA0">
          <w:rPr>
            <w:rStyle w:val="Hyperlink"/>
            <w:sz w:val="16"/>
            <w:szCs w:val="16"/>
          </w:rPr>
          <w:t>http://www.dailytelegraph.com.au/news/nsw/qantas-virgin-australia-and-woolworths-refuse-to-reduce-prices-once-the-carbon-tax-is-ditched/story-fni0cx12-1226983528607</w:t>
        </w:r>
      </w:hyperlink>
      <w:r w:rsidRPr="008F0AA0">
        <w:rPr>
          <w:rStyle w:val="Hyperlink"/>
          <w:sz w:val="16"/>
          <w:szCs w:val="16"/>
        </w:rPr>
        <w:t>.</w:t>
      </w:r>
    </w:p>
  </w:footnote>
  <w:footnote w:id="59">
    <w:p w:rsidR="00823774" w:rsidRDefault="00823774">
      <w:pPr>
        <w:pStyle w:val="FootnoteText"/>
      </w:pPr>
      <w:r>
        <w:rPr>
          <w:rStyle w:val="FootnoteReference"/>
        </w:rPr>
        <w:footnoteRef/>
      </w:r>
      <w:r>
        <w:t xml:space="preserve"> </w:t>
      </w:r>
      <w:r>
        <w:tab/>
        <w:t>ACCC v Actrol Parts Pty Ltd [2015] FCA 312</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34BEAAD6"/>
    <w:lvl w:ilvl="0">
      <w:start w:val="1"/>
      <w:numFmt w:val="decimal"/>
      <w:pStyle w:val="ListNumber5"/>
      <w:lvlText w:val="%1."/>
      <w:lvlJc w:val="left"/>
      <w:pPr>
        <w:ind w:left="1701" w:hanging="340"/>
      </w:pPr>
      <w:rPr>
        <w:rFonts w:hint="default"/>
      </w:rPr>
    </w:lvl>
  </w:abstractNum>
  <w:abstractNum w:abstractNumId="1">
    <w:nsid w:val="FFFFFF7D"/>
    <w:multiLevelType w:val="singleLevel"/>
    <w:tmpl w:val="33EA20A0"/>
    <w:lvl w:ilvl="0">
      <w:start w:val="1"/>
      <w:numFmt w:val="decimal"/>
      <w:pStyle w:val="ListNumber4"/>
      <w:lvlText w:val="%1."/>
      <w:lvlJc w:val="left"/>
      <w:pPr>
        <w:ind w:left="1361" w:hanging="340"/>
      </w:pPr>
      <w:rPr>
        <w:rFonts w:hint="default"/>
      </w:rPr>
    </w:lvl>
  </w:abstractNum>
  <w:abstractNum w:abstractNumId="2">
    <w:nsid w:val="FFFFFF7E"/>
    <w:multiLevelType w:val="singleLevel"/>
    <w:tmpl w:val="91FCDF1E"/>
    <w:lvl w:ilvl="0">
      <w:start w:val="1"/>
      <w:numFmt w:val="decimal"/>
      <w:pStyle w:val="ListNumber3"/>
      <w:lvlText w:val="%1."/>
      <w:lvlJc w:val="left"/>
      <w:pPr>
        <w:ind w:left="1021" w:hanging="341"/>
      </w:pPr>
      <w:rPr>
        <w:rFonts w:hint="default"/>
      </w:rPr>
    </w:lvl>
  </w:abstractNum>
  <w:abstractNum w:abstractNumId="3">
    <w:nsid w:val="FFFFFF7F"/>
    <w:multiLevelType w:val="singleLevel"/>
    <w:tmpl w:val="C1DEEDE0"/>
    <w:lvl w:ilvl="0">
      <w:start w:val="1"/>
      <w:numFmt w:val="decimal"/>
      <w:pStyle w:val="ListNumber2"/>
      <w:lvlText w:val="%1."/>
      <w:lvlJc w:val="left"/>
      <w:pPr>
        <w:ind w:left="680" w:hanging="340"/>
      </w:pPr>
      <w:rPr>
        <w:rFonts w:hint="default"/>
      </w:rPr>
    </w:lvl>
  </w:abstractNum>
  <w:abstractNum w:abstractNumId="4">
    <w:nsid w:val="FFFFFF80"/>
    <w:multiLevelType w:val="singleLevel"/>
    <w:tmpl w:val="E38619F2"/>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93BE8B62"/>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E46A7DC6"/>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E262730C"/>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42BC9528"/>
    <w:lvl w:ilvl="0">
      <w:start w:val="1"/>
      <w:numFmt w:val="decimal"/>
      <w:pStyle w:val="ListNumber"/>
      <w:lvlText w:val="%1."/>
      <w:lvlJc w:val="left"/>
      <w:pPr>
        <w:tabs>
          <w:tab w:val="num" w:pos="340"/>
        </w:tabs>
        <w:ind w:left="340" w:hanging="340"/>
      </w:pPr>
      <w:rPr>
        <w:rFonts w:hint="default"/>
      </w:rPr>
    </w:lvl>
  </w:abstractNum>
  <w:abstractNum w:abstractNumId="9">
    <w:nsid w:val="0DD2542B"/>
    <w:multiLevelType w:val="hybridMultilevel"/>
    <w:tmpl w:val="7C60E1FC"/>
    <w:lvl w:ilvl="0" w:tplc="021E8868">
      <w:start w:val="1"/>
      <w:numFmt w:val="decimal"/>
      <w:pStyle w:val="ListParagraph"/>
      <w:lvlText w:val="%1."/>
      <w:lvlJc w:val="left"/>
      <w:pPr>
        <w:ind w:left="340" w:hanging="34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nsid w:val="133E73B6"/>
    <w:multiLevelType w:val="hybridMultilevel"/>
    <w:tmpl w:val="80220B84"/>
    <w:lvl w:ilvl="0" w:tplc="F5987420">
      <w:start w:val="1"/>
      <w:numFmt w:val="decimal"/>
      <w:pStyle w:val="Numberedparagraph"/>
      <w:lvlText w:val="%1."/>
      <w:lvlJc w:val="left"/>
      <w:pPr>
        <w:ind w:left="360" w:hanging="360"/>
      </w:pPr>
      <w:rPr>
        <w:rFonts w:hint="default"/>
      </w:rPr>
    </w:lvl>
    <w:lvl w:ilvl="1" w:tplc="A5728FDE" w:tentative="1">
      <w:start w:val="1"/>
      <w:numFmt w:val="bullet"/>
      <w:lvlText w:val="o"/>
      <w:lvlJc w:val="left"/>
      <w:pPr>
        <w:ind w:left="2520" w:hanging="360"/>
      </w:pPr>
      <w:rPr>
        <w:rFonts w:ascii="Courier New" w:hAnsi="Courier New" w:cs="Courier New" w:hint="default"/>
      </w:rPr>
    </w:lvl>
    <w:lvl w:ilvl="2" w:tplc="B6B8266A" w:tentative="1">
      <w:start w:val="1"/>
      <w:numFmt w:val="bullet"/>
      <w:lvlText w:val=""/>
      <w:lvlJc w:val="left"/>
      <w:pPr>
        <w:ind w:left="3240" w:hanging="360"/>
      </w:pPr>
      <w:rPr>
        <w:rFonts w:ascii="Wingdings" w:hAnsi="Wingdings" w:hint="default"/>
      </w:rPr>
    </w:lvl>
    <w:lvl w:ilvl="3" w:tplc="0E067E3E" w:tentative="1">
      <w:start w:val="1"/>
      <w:numFmt w:val="bullet"/>
      <w:lvlText w:val=""/>
      <w:lvlJc w:val="left"/>
      <w:pPr>
        <w:ind w:left="3960" w:hanging="360"/>
      </w:pPr>
      <w:rPr>
        <w:rFonts w:ascii="Symbol" w:hAnsi="Symbol" w:hint="default"/>
      </w:rPr>
    </w:lvl>
    <w:lvl w:ilvl="4" w:tplc="9D8444DE" w:tentative="1">
      <w:start w:val="1"/>
      <w:numFmt w:val="bullet"/>
      <w:lvlText w:val="o"/>
      <w:lvlJc w:val="left"/>
      <w:pPr>
        <w:ind w:left="4680" w:hanging="360"/>
      </w:pPr>
      <w:rPr>
        <w:rFonts w:ascii="Courier New" w:hAnsi="Courier New" w:cs="Courier New" w:hint="default"/>
      </w:rPr>
    </w:lvl>
    <w:lvl w:ilvl="5" w:tplc="47DE7D34" w:tentative="1">
      <w:start w:val="1"/>
      <w:numFmt w:val="bullet"/>
      <w:lvlText w:val=""/>
      <w:lvlJc w:val="left"/>
      <w:pPr>
        <w:ind w:left="5400" w:hanging="360"/>
      </w:pPr>
      <w:rPr>
        <w:rFonts w:ascii="Wingdings" w:hAnsi="Wingdings" w:hint="default"/>
      </w:rPr>
    </w:lvl>
    <w:lvl w:ilvl="6" w:tplc="9D0AFFEA" w:tentative="1">
      <w:start w:val="1"/>
      <w:numFmt w:val="bullet"/>
      <w:lvlText w:val=""/>
      <w:lvlJc w:val="left"/>
      <w:pPr>
        <w:ind w:left="6120" w:hanging="360"/>
      </w:pPr>
      <w:rPr>
        <w:rFonts w:ascii="Symbol" w:hAnsi="Symbol" w:hint="default"/>
      </w:rPr>
    </w:lvl>
    <w:lvl w:ilvl="7" w:tplc="663EE25A" w:tentative="1">
      <w:start w:val="1"/>
      <w:numFmt w:val="bullet"/>
      <w:lvlText w:val="o"/>
      <w:lvlJc w:val="left"/>
      <w:pPr>
        <w:ind w:left="6840" w:hanging="360"/>
      </w:pPr>
      <w:rPr>
        <w:rFonts w:ascii="Courier New" w:hAnsi="Courier New" w:cs="Courier New" w:hint="default"/>
      </w:rPr>
    </w:lvl>
    <w:lvl w:ilvl="8" w:tplc="2DD24F62" w:tentative="1">
      <w:start w:val="1"/>
      <w:numFmt w:val="bullet"/>
      <w:lvlText w:val=""/>
      <w:lvlJc w:val="left"/>
      <w:pPr>
        <w:ind w:left="7560" w:hanging="360"/>
      </w:pPr>
      <w:rPr>
        <w:rFonts w:ascii="Wingdings" w:hAnsi="Wingdings" w:hint="default"/>
      </w:rPr>
    </w:lvl>
  </w:abstractNum>
  <w:abstractNum w:abstractNumId="11">
    <w:nsid w:val="16C66F44"/>
    <w:multiLevelType w:val="hybridMultilevel"/>
    <w:tmpl w:val="4ED4762C"/>
    <w:lvl w:ilvl="0" w:tplc="78E8CC60">
      <w:start w:val="1"/>
      <w:numFmt w:val="lowerRoman"/>
      <w:pStyle w:val="ListLegal5"/>
      <w:lvlText w:val="%1."/>
      <w:lvlJc w:val="right"/>
      <w:pPr>
        <w:ind w:left="2041" w:hanging="340"/>
      </w:pPr>
      <w:rPr>
        <w:rFonts w:hint="default"/>
      </w:rPr>
    </w:lvl>
    <w:lvl w:ilvl="1" w:tplc="0C090019" w:tentative="1">
      <w:start w:val="1"/>
      <w:numFmt w:val="lowerLetter"/>
      <w:lvlText w:val="%2."/>
      <w:lvlJc w:val="left"/>
      <w:pPr>
        <w:ind w:left="2781" w:hanging="360"/>
      </w:pPr>
    </w:lvl>
    <w:lvl w:ilvl="2" w:tplc="0C09001B" w:tentative="1">
      <w:start w:val="1"/>
      <w:numFmt w:val="lowerRoman"/>
      <w:lvlText w:val="%3."/>
      <w:lvlJc w:val="right"/>
      <w:pPr>
        <w:ind w:left="3501" w:hanging="180"/>
      </w:pPr>
    </w:lvl>
    <w:lvl w:ilvl="3" w:tplc="0C09000F" w:tentative="1">
      <w:start w:val="1"/>
      <w:numFmt w:val="decimal"/>
      <w:lvlText w:val="%4."/>
      <w:lvlJc w:val="left"/>
      <w:pPr>
        <w:ind w:left="4221" w:hanging="360"/>
      </w:pPr>
    </w:lvl>
    <w:lvl w:ilvl="4" w:tplc="0C090019" w:tentative="1">
      <w:start w:val="1"/>
      <w:numFmt w:val="lowerLetter"/>
      <w:lvlText w:val="%5."/>
      <w:lvlJc w:val="left"/>
      <w:pPr>
        <w:ind w:left="4941" w:hanging="360"/>
      </w:pPr>
    </w:lvl>
    <w:lvl w:ilvl="5" w:tplc="0C09001B" w:tentative="1">
      <w:start w:val="1"/>
      <w:numFmt w:val="lowerRoman"/>
      <w:lvlText w:val="%6."/>
      <w:lvlJc w:val="right"/>
      <w:pPr>
        <w:ind w:left="5661" w:hanging="180"/>
      </w:pPr>
    </w:lvl>
    <w:lvl w:ilvl="6" w:tplc="0C09000F" w:tentative="1">
      <w:start w:val="1"/>
      <w:numFmt w:val="decimal"/>
      <w:lvlText w:val="%7."/>
      <w:lvlJc w:val="left"/>
      <w:pPr>
        <w:ind w:left="6381" w:hanging="360"/>
      </w:pPr>
    </w:lvl>
    <w:lvl w:ilvl="7" w:tplc="0C090019" w:tentative="1">
      <w:start w:val="1"/>
      <w:numFmt w:val="lowerLetter"/>
      <w:lvlText w:val="%8."/>
      <w:lvlJc w:val="left"/>
      <w:pPr>
        <w:ind w:left="7101" w:hanging="360"/>
      </w:pPr>
    </w:lvl>
    <w:lvl w:ilvl="8" w:tplc="0C09001B" w:tentative="1">
      <w:start w:val="1"/>
      <w:numFmt w:val="lowerRoman"/>
      <w:lvlText w:val="%9."/>
      <w:lvlJc w:val="right"/>
      <w:pPr>
        <w:ind w:left="7821" w:hanging="180"/>
      </w:pPr>
    </w:lvl>
  </w:abstractNum>
  <w:abstractNum w:abstractNumId="12">
    <w:nsid w:val="1A6E206A"/>
    <w:multiLevelType w:val="hybridMultilevel"/>
    <w:tmpl w:val="1FE4D442"/>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3">
    <w:nsid w:val="1CF519CE"/>
    <w:multiLevelType w:val="multilevel"/>
    <w:tmpl w:val="3AD8CB48"/>
    <w:lvl w:ilvl="0">
      <w:start w:val="1"/>
      <w:numFmt w:val="decimal"/>
      <w:pStyle w:val="Numbered1"/>
      <w:lvlText w:val="%1."/>
      <w:lvlJc w:val="left"/>
      <w:pPr>
        <w:ind w:left="360" w:hanging="360"/>
      </w:pPr>
    </w:lvl>
    <w:lvl w:ilvl="1">
      <w:start w:val="1"/>
      <w:numFmt w:val="decimal"/>
      <w:pStyle w:val="Numbered11"/>
      <w:lvlText w:val="%1.%2."/>
      <w:lvlJc w:val="left"/>
      <w:pPr>
        <w:ind w:left="792" w:hanging="432"/>
      </w:pPr>
    </w:lvl>
    <w:lvl w:ilvl="2">
      <w:start w:val="1"/>
      <w:numFmt w:val="decimal"/>
      <w:pStyle w:val="Numbered111"/>
      <w:lvlText w:val="%1.%2.%3."/>
      <w:lvlJc w:val="left"/>
      <w:pPr>
        <w:ind w:left="1224" w:hanging="504"/>
      </w:pPr>
    </w:lvl>
    <w:lvl w:ilvl="3">
      <w:start w:val="1"/>
      <w:numFmt w:val="decimal"/>
      <w:pStyle w:val="Numbered1111"/>
      <w:lvlText w:val="%1.%2.%3.%4."/>
      <w:lvlJc w:val="left"/>
      <w:pPr>
        <w:ind w:left="1728" w:hanging="648"/>
      </w:pPr>
    </w:lvl>
    <w:lvl w:ilvl="4">
      <w:start w:val="1"/>
      <w:numFmt w:val="decimal"/>
      <w:pStyle w:val="Numbered11111"/>
      <w:lvlText w:val="%1.%2.%3.%4.%5."/>
      <w:lvlJc w:val="left"/>
      <w:pPr>
        <w:ind w:left="2232" w:hanging="792"/>
      </w:pPr>
    </w:lvl>
    <w:lvl w:ilvl="5">
      <w:start w:val="1"/>
      <w:numFmt w:val="decimal"/>
      <w:pStyle w:val="Numbered111111"/>
      <w:lvlText w:val="%1.%2.%3.%4.%5.%6."/>
      <w:lvlJc w:val="left"/>
      <w:pPr>
        <w:ind w:left="2736" w:hanging="936"/>
      </w:pPr>
    </w:lvl>
    <w:lvl w:ilvl="6">
      <w:start w:val="1"/>
      <w:numFmt w:val="decimal"/>
      <w:pStyle w:val="Numbered1111111"/>
      <w:lvlText w:val="%1.%2.%3.%4.%5.%6.%7."/>
      <w:lvlJc w:val="left"/>
      <w:pPr>
        <w:ind w:left="3240" w:hanging="1080"/>
      </w:pPr>
    </w:lvl>
    <w:lvl w:ilvl="7">
      <w:start w:val="1"/>
      <w:numFmt w:val="decimal"/>
      <w:pStyle w:val="Numbered11111111"/>
      <w:lvlText w:val="%1.%2.%3.%4.%5.%6.%7.%8."/>
      <w:lvlJc w:val="left"/>
      <w:pPr>
        <w:ind w:left="3744" w:hanging="1224"/>
      </w:pPr>
    </w:lvl>
    <w:lvl w:ilvl="8">
      <w:start w:val="1"/>
      <w:numFmt w:val="decimal"/>
      <w:pStyle w:val="Numbered111111111"/>
      <w:lvlText w:val="%1.%2.%3.%4.%5.%6.%7.%8.%9."/>
      <w:lvlJc w:val="left"/>
      <w:pPr>
        <w:ind w:left="4320" w:hanging="1440"/>
      </w:pPr>
    </w:lvl>
  </w:abstractNum>
  <w:abstractNum w:abstractNumId="14">
    <w:nsid w:val="34B82394"/>
    <w:multiLevelType w:val="hybridMultilevel"/>
    <w:tmpl w:val="546ADF06"/>
    <w:lvl w:ilvl="0" w:tplc="403EE442">
      <w:start w:val="1"/>
      <w:numFmt w:val="lowerLetter"/>
      <w:pStyle w:val="Listalphabet3"/>
      <w:lvlText w:val="(%1)"/>
      <w:lvlJc w:val="left"/>
      <w:pPr>
        <w:ind w:left="1021" w:hanging="341"/>
      </w:pPr>
      <w:rPr>
        <w:rFonts w:hint="default"/>
      </w:r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15">
    <w:nsid w:val="36AB0989"/>
    <w:multiLevelType w:val="hybridMultilevel"/>
    <w:tmpl w:val="4DF62DEA"/>
    <w:lvl w:ilvl="0" w:tplc="83689BEE">
      <w:start w:val="1"/>
      <w:numFmt w:val="lowerLetter"/>
      <w:pStyle w:val="Listalphabet2"/>
      <w:lvlText w:val="(%1)"/>
      <w:lvlJc w:val="left"/>
      <w:pPr>
        <w:ind w:left="680" w:hanging="340"/>
      </w:pPr>
      <w:rPr>
        <w:rFonts w:hint="default"/>
      </w:rPr>
    </w:lvl>
    <w:lvl w:ilvl="1" w:tplc="0C090019" w:tentative="1">
      <w:start w:val="1"/>
      <w:numFmt w:val="lowerLetter"/>
      <w:lvlText w:val="%2."/>
      <w:lvlJc w:val="left"/>
      <w:pPr>
        <w:ind w:left="1420" w:hanging="360"/>
      </w:pPr>
    </w:lvl>
    <w:lvl w:ilvl="2" w:tplc="0C09001B" w:tentative="1">
      <w:start w:val="1"/>
      <w:numFmt w:val="lowerRoman"/>
      <w:lvlText w:val="%3."/>
      <w:lvlJc w:val="right"/>
      <w:pPr>
        <w:ind w:left="2140" w:hanging="180"/>
      </w:pPr>
    </w:lvl>
    <w:lvl w:ilvl="3" w:tplc="0C09000F" w:tentative="1">
      <w:start w:val="1"/>
      <w:numFmt w:val="decimal"/>
      <w:lvlText w:val="%4."/>
      <w:lvlJc w:val="left"/>
      <w:pPr>
        <w:ind w:left="2860" w:hanging="360"/>
      </w:pPr>
    </w:lvl>
    <w:lvl w:ilvl="4" w:tplc="0C090019" w:tentative="1">
      <w:start w:val="1"/>
      <w:numFmt w:val="lowerLetter"/>
      <w:lvlText w:val="%5."/>
      <w:lvlJc w:val="left"/>
      <w:pPr>
        <w:ind w:left="3580" w:hanging="360"/>
      </w:pPr>
    </w:lvl>
    <w:lvl w:ilvl="5" w:tplc="0C09001B" w:tentative="1">
      <w:start w:val="1"/>
      <w:numFmt w:val="lowerRoman"/>
      <w:lvlText w:val="%6."/>
      <w:lvlJc w:val="right"/>
      <w:pPr>
        <w:ind w:left="4300" w:hanging="180"/>
      </w:pPr>
    </w:lvl>
    <w:lvl w:ilvl="6" w:tplc="0C09000F" w:tentative="1">
      <w:start w:val="1"/>
      <w:numFmt w:val="decimal"/>
      <w:lvlText w:val="%7."/>
      <w:lvlJc w:val="left"/>
      <w:pPr>
        <w:ind w:left="5020" w:hanging="360"/>
      </w:pPr>
    </w:lvl>
    <w:lvl w:ilvl="7" w:tplc="0C090019" w:tentative="1">
      <w:start w:val="1"/>
      <w:numFmt w:val="lowerLetter"/>
      <w:lvlText w:val="%8."/>
      <w:lvlJc w:val="left"/>
      <w:pPr>
        <w:ind w:left="5740" w:hanging="360"/>
      </w:pPr>
    </w:lvl>
    <w:lvl w:ilvl="8" w:tplc="0C09001B" w:tentative="1">
      <w:start w:val="1"/>
      <w:numFmt w:val="lowerRoman"/>
      <w:lvlText w:val="%9."/>
      <w:lvlJc w:val="right"/>
      <w:pPr>
        <w:ind w:left="6460" w:hanging="180"/>
      </w:pPr>
    </w:lvl>
  </w:abstractNum>
  <w:abstractNum w:abstractNumId="16">
    <w:nsid w:val="3923347D"/>
    <w:multiLevelType w:val="hybridMultilevel"/>
    <w:tmpl w:val="D45C48E2"/>
    <w:lvl w:ilvl="0" w:tplc="D66A534E">
      <w:start w:val="1"/>
      <w:numFmt w:val="bullet"/>
      <w:pStyle w:val="ListBullet"/>
      <w:lvlText w:val=""/>
      <w:lvlJc w:val="left"/>
      <w:pPr>
        <w:ind w:left="720" w:hanging="360"/>
      </w:pPr>
      <w:rPr>
        <w:rFonts w:ascii="Symbol" w:hAnsi="Symbol" w:hint="default"/>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3CF07D5F"/>
    <w:multiLevelType w:val="hybridMultilevel"/>
    <w:tmpl w:val="D6DC675A"/>
    <w:lvl w:ilvl="0" w:tplc="6C6CF7F2">
      <w:start w:val="1"/>
      <w:numFmt w:val="lowerLetter"/>
      <w:pStyle w:val="Listalphabet4"/>
      <w:lvlText w:val="(%1)"/>
      <w:lvlJc w:val="left"/>
      <w:pPr>
        <w:ind w:left="1361" w:hanging="340"/>
      </w:pPr>
      <w:rPr>
        <w:rFonts w:hint="default"/>
      </w:rPr>
    </w:lvl>
    <w:lvl w:ilvl="1" w:tplc="0C090019" w:tentative="1">
      <w:start w:val="1"/>
      <w:numFmt w:val="lowerLetter"/>
      <w:lvlText w:val="%2."/>
      <w:lvlJc w:val="left"/>
      <w:pPr>
        <w:ind w:left="2101" w:hanging="360"/>
      </w:pPr>
    </w:lvl>
    <w:lvl w:ilvl="2" w:tplc="0C09001B" w:tentative="1">
      <w:start w:val="1"/>
      <w:numFmt w:val="lowerRoman"/>
      <w:lvlText w:val="%3."/>
      <w:lvlJc w:val="right"/>
      <w:pPr>
        <w:ind w:left="2821" w:hanging="180"/>
      </w:pPr>
    </w:lvl>
    <w:lvl w:ilvl="3" w:tplc="0C09000F" w:tentative="1">
      <w:start w:val="1"/>
      <w:numFmt w:val="decimal"/>
      <w:lvlText w:val="%4."/>
      <w:lvlJc w:val="left"/>
      <w:pPr>
        <w:ind w:left="3541" w:hanging="360"/>
      </w:pPr>
    </w:lvl>
    <w:lvl w:ilvl="4" w:tplc="0C090019" w:tentative="1">
      <w:start w:val="1"/>
      <w:numFmt w:val="lowerLetter"/>
      <w:lvlText w:val="%5."/>
      <w:lvlJc w:val="left"/>
      <w:pPr>
        <w:ind w:left="4261" w:hanging="360"/>
      </w:pPr>
    </w:lvl>
    <w:lvl w:ilvl="5" w:tplc="0C09001B" w:tentative="1">
      <w:start w:val="1"/>
      <w:numFmt w:val="lowerRoman"/>
      <w:lvlText w:val="%6."/>
      <w:lvlJc w:val="right"/>
      <w:pPr>
        <w:ind w:left="4981" w:hanging="180"/>
      </w:pPr>
    </w:lvl>
    <w:lvl w:ilvl="6" w:tplc="0C09000F" w:tentative="1">
      <w:start w:val="1"/>
      <w:numFmt w:val="decimal"/>
      <w:lvlText w:val="%7."/>
      <w:lvlJc w:val="left"/>
      <w:pPr>
        <w:ind w:left="5701" w:hanging="360"/>
      </w:pPr>
    </w:lvl>
    <w:lvl w:ilvl="7" w:tplc="0C090019" w:tentative="1">
      <w:start w:val="1"/>
      <w:numFmt w:val="lowerLetter"/>
      <w:lvlText w:val="%8."/>
      <w:lvlJc w:val="left"/>
      <w:pPr>
        <w:ind w:left="6421" w:hanging="360"/>
      </w:pPr>
    </w:lvl>
    <w:lvl w:ilvl="8" w:tplc="0C09001B" w:tentative="1">
      <w:start w:val="1"/>
      <w:numFmt w:val="lowerRoman"/>
      <w:lvlText w:val="%9."/>
      <w:lvlJc w:val="right"/>
      <w:pPr>
        <w:ind w:left="7141" w:hanging="180"/>
      </w:pPr>
    </w:lvl>
  </w:abstractNum>
  <w:abstractNum w:abstractNumId="18">
    <w:nsid w:val="49C55906"/>
    <w:multiLevelType w:val="multilevel"/>
    <w:tmpl w:val="21924E1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nsid w:val="49E52C90"/>
    <w:multiLevelType w:val="hybridMultilevel"/>
    <w:tmpl w:val="CBAC43EA"/>
    <w:lvl w:ilvl="0" w:tplc="F8C681F8">
      <w:start w:val="1"/>
      <w:numFmt w:val="lowerRoman"/>
      <w:pStyle w:val="ListLegal"/>
      <w:lvlText w:val="%1."/>
      <w:lvlJc w:val="right"/>
      <w:pPr>
        <w:ind w:left="680" w:hanging="34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53FA759E"/>
    <w:multiLevelType w:val="hybridMultilevel"/>
    <w:tmpl w:val="EC1466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59474DF1"/>
    <w:multiLevelType w:val="multilevel"/>
    <w:tmpl w:val="5BC065FC"/>
    <w:lvl w:ilvl="0">
      <w:start w:val="1"/>
      <w:numFmt w:val="decimal"/>
      <w:pStyle w:val="LegalNumbering"/>
      <w:isLgl/>
      <w:lvlText w:val="%1)"/>
      <w:lvlJc w:val="left"/>
      <w:pPr>
        <w:ind w:left="340" w:hanging="340"/>
      </w:pPr>
      <w:rPr>
        <w:rFonts w:hint="default"/>
      </w:rPr>
    </w:lvl>
    <w:lvl w:ilvl="1">
      <w:start w:val="1"/>
      <w:numFmt w:val="lowerLetter"/>
      <w:lvlText w:val="%2) "/>
      <w:lvlJc w:val="left"/>
      <w:pPr>
        <w:ind w:left="680" w:hanging="340"/>
      </w:pPr>
      <w:rPr>
        <w:rFonts w:hint="default"/>
      </w:rPr>
    </w:lvl>
    <w:lvl w:ilvl="2">
      <w:start w:val="1"/>
      <w:numFmt w:val="lowerRoman"/>
      <w:lvlText w:val="%3)"/>
      <w:lvlJc w:val="left"/>
      <w:pPr>
        <w:tabs>
          <w:tab w:val="num" w:pos="1701"/>
        </w:tabs>
        <w:ind w:left="1021" w:hanging="341"/>
      </w:pPr>
      <w:rPr>
        <w:rFonts w:hint="default"/>
      </w:rPr>
    </w:lvl>
    <w:lvl w:ilvl="3">
      <w:start w:val="1"/>
      <w:numFmt w:val="decimal"/>
      <w:lvlText w:val="(%4) "/>
      <w:lvlJc w:val="left"/>
      <w:pPr>
        <w:tabs>
          <w:tab w:val="num" w:pos="1758"/>
        </w:tabs>
        <w:ind w:left="1361" w:hanging="340"/>
      </w:pPr>
      <w:rPr>
        <w:rFonts w:hint="default"/>
      </w:rPr>
    </w:lvl>
    <w:lvl w:ilvl="4">
      <w:start w:val="1"/>
      <w:numFmt w:val="lowerLetter"/>
      <w:lvlText w:val="(%5)"/>
      <w:lvlJc w:val="left"/>
      <w:pPr>
        <w:ind w:left="1701" w:hanging="340"/>
      </w:pPr>
      <w:rPr>
        <w:rFonts w:hint="default"/>
      </w:rPr>
    </w:lvl>
    <w:lvl w:ilvl="5">
      <w:start w:val="1"/>
      <w:numFmt w:val="lowerRoman"/>
      <w:lvlText w:val="(%6)"/>
      <w:lvlJc w:val="left"/>
      <w:pPr>
        <w:tabs>
          <w:tab w:val="num" w:pos="2608"/>
        </w:tabs>
        <w:ind w:left="2041" w:hanging="340"/>
      </w:pPr>
      <w:rPr>
        <w:rFonts w:hint="default"/>
      </w:rPr>
    </w:lvl>
    <w:lvl w:ilvl="6">
      <w:start w:val="1"/>
      <w:numFmt w:val="decimal"/>
      <w:lvlText w:val="%7."/>
      <w:lvlJc w:val="left"/>
      <w:pPr>
        <w:tabs>
          <w:tab w:val="num" w:pos="3175"/>
        </w:tabs>
        <w:ind w:left="2381" w:hanging="340"/>
      </w:pPr>
      <w:rPr>
        <w:rFonts w:hint="default"/>
      </w:rPr>
    </w:lvl>
    <w:lvl w:ilvl="7">
      <w:start w:val="1"/>
      <w:numFmt w:val="lowerLetter"/>
      <w:lvlText w:val="%8."/>
      <w:lvlJc w:val="left"/>
      <w:pPr>
        <w:tabs>
          <w:tab w:val="num" w:pos="3799"/>
        </w:tabs>
        <w:ind w:left="2722" w:hanging="341"/>
      </w:pPr>
      <w:rPr>
        <w:rFonts w:hint="default"/>
      </w:rPr>
    </w:lvl>
    <w:lvl w:ilvl="8">
      <w:start w:val="1"/>
      <w:numFmt w:val="lowerRoman"/>
      <w:lvlText w:val="%9."/>
      <w:lvlJc w:val="left"/>
      <w:pPr>
        <w:ind w:left="3062" w:hanging="340"/>
      </w:pPr>
      <w:rPr>
        <w:rFonts w:hint="default"/>
      </w:rPr>
    </w:lvl>
  </w:abstractNum>
  <w:abstractNum w:abstractNumId="22">
    <w:nsid w:val="61124A8F"/>
    <w:multiLevelType w:val="hybridMultilevel"/>
    <w:tmpl w:val="65447B5C"/>
    <w:lvl w:ilvl="0" w:tplc="F77037F0">
      <w:start w:val="1"/>
      <w:numFmt w:val="lowerLetter"/>
      <w:pStyle w:val="Listalphabet"/>
      <w:lvlText w:val="(%1)"/>
      <w:lvlJc w:val="left"/>
      <w:pPr>
        <w:ind w:left="340" w:hanging="34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
    <w:nsid w:val="66540005"/>
    <w:multiLevelType w:val="hybridMultilevel"/>
    <w:tmpl w:val="5A10A8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66DC52CE"/>
    <w:multiLevelType w:val="hybridMultilevel"/>
    <w:tmpl w:val="05ACFE50"/>
    <w:lvl w:ilvl="0" w:tplc="5CD829E8">
      <w:start w:val="1"/>
      <w:numFmt w:val="decimal"/>
      <w:pStyle w:val="Heading9"/>
      <w:lvlText w:val="Table %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nsid w:val="6726588A"/>
    <w:multiLevelType w:val="hybridMultilevel"/>
    <w:tmpl w:val="CC927964"/>
    <w:lvl w:ilvl="0" w:tplc="0C09000F">
      <w:start w:val="1"/>
      <w:numFmt w:val="bullet"/>
      <w:pStyle w:val="Bulletpoint2"/>
      <w:lvlText w:val="o"/>
      <w:lvlJc w:val="left"/>
      <w:pPr>
        <w:ind w:left="1003" w:hanging="360"/>
      </w:pPr>
      <w:rPr>
        <w:rFonts w:ascii="Courier New" w:hAnsi="Courier New" w:cs="Courier New" w:hint="default"/>
      </w:rPr>
    </w:lvl>
    <w:lvl w:ilvl="1" w:tplc="0C090019" w:tentative="1">
      <w:start w:val="1"/>
      <w:numFmt w:val="bullet"/>
      <w:lvlText w:val="o"/>
      <w:lvlJc w:val="left"/>
      <w:pPr>
        <w:ind w:left="1723" w:hanging="360"/>
      </w:pPr>
      <w:rPr>
        <w:rFonts w:ascii="Courier New" w:hAnsi="Courier New" w:cs="Courier New" w:hint="default"/>
      </w:rPr>
    </w:lvl>
    <w:lvl w:ilvl="2" w:tplc="0C09001B" w:tentative="1">
      <w:start w:val="1"/>
      <w:numFmt w:val="bullet"/>
      <w:lvlText w:val=""/>
      <w:lvlJc w:val="left"/>
      <w:pPr>
        <w:ind w:left="2443" w:hanging="360"/>
      </w:pPr>
      <w:rPr>
        <w:rFonts w:ascii="Wingdings" w:hAnsi="Wingdings" w:hint="default"/>
      </w:rPr>
    </w:lvl>
    <w:lvl w:ilvl="3" w:tplc="0C09000F" w:tentative="1">
      <w:start w:val="1"/>
      <w:numFmt w:val="bullet"/>
      <w:lvlText w:val=""/>
      <w:lvlJc w:val="left"/>
      <w:pPr>
        <w:ind w:left="3163" w:hanging="360"/>
      </w:pPr>
      <w:rPr>
        <w:rFonts w:ascii="Symbol" w:hAnsi="Symbol" w:hint="default"/>
      </w:rPr>
    </w:lvl>
    <w:lvl w:ilvl="4" w:tplc="0C090019" w:tentative="1">
      <w:start w:val="1"/>
      <w:numFmt w:val="bullet"/>
      <w:lvlText w:val="o"/>
      <w:lvlJc w:val="left"/>
      <w:pPr>
        <w:ind w:left="3883" w:hanging="360"/>
      </w:pPr>
      <w:rPr>
        <w:rFonts w:ascii="Courier New" w:hAnsi="Courier New" w:cs="Courier New" w:hint="default"/>
      </w:rPr>
    </w:lvl>
    <w:lvl w:ilvl="5" w:tplc="0C09001B" w:tentative="1">
      <w:start w:val="1"/>
      <w:numFmt w:val="bullet"/>
      <w:lvlText w:val=""/>
      <w:lvlJc w:val="left"/>
      <w:pPr>
        <w:ind w:left="4603" w:hanging="360"/>
      </w:pPr>
      <w:rPr>
        <w:rFonts w:ascii="Wingdings" w:hAnsi="Wingdings" w:hint="default"/>
      </w:rPr>
    </w:lvl>
    <w:lvl w:ilvl="6" w:tplc="0C09000F" w:tentative="1">
      <w:start w:val="1"/>
      <w:numFmt w:val="bullet"/>
      <w:lvlText w:val=""/>
      <w:lvlJc w:val="left"/>
      <w:pPr>
        <w:ind w:left="5323" w:hanging="360"/>
      </w:pPr>
      <w:rPr>
        <w:rFonts w:ascii="Symbol" w:hAnsi="Symbol" w:hint="default"/>
      </w:rPr>
    </w:lvl>
    <w:lvl w:ilvl="7" w:tplc="0C090019" w:tentative="1">
      <w:start w:val="1"/>
      <w:numFmt w:val="bullet"/>
      <w:lvlText w:val="o"/>
      <w:lvlJc w:val="left"/>
      <w:pPr>
        <w:ind w:left="6043" w:hanging="360"/>
      </w:pPr>
      <w:rPr>
        <w:rFonts w:ascii="Courier New" w:hAnsi="Courier New" w:cs="Courier New" w:hint="default"/>
      </w:rPr>
    </w:lvl>
    <w:lvl w:ilvl="8" w:tplc="0C09001B" w:tentative="1">
      <w:start w:val="1"/>
      <w:numFmt w:val="bullet"/>
      <w:lvlText w:val=""/>
      <w:lvlJc w:val="left"/>
      <w:pPr>
        <w:ind w:left="6763" w:hanging="360"/>
      </w:pPr>
      <w:rPr>
        <w:rFonts w:ascii="Wingdings" w:hAnsi="Wingdings" w:hint="default"/>
      </w:rPr>
    </w:lvl>
  </w:abstractNum>
  <w:abstractNum w:abstractNumId="26">
    <w:nsid w:val="7103475A"/>
    <w:multiLevelType w:val="hybridMultilevel"/>
    <w:tmpl w:val="6CF43EC6"/>
    <w:lvl w:ilvl="0" w:tplc="2708A604">
      <w:start w:val="25"/>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71052EFE"/>
    <w:multiLevelType w:val="hybridMultilevel"/>
    <w:tmpl w:val="638C8810"/>
    <w:lvl w:ilvl="0" w:tplc="E1922DFC">
      <w:start w:val="1"/>
      <w:numFmt w:val="lowerRoman"/>
      <w:pStyle w:val="ListLegal3"/>
      <w:lvlText w:val="%1."/>
      <w:lvlJc w:val="right"/>
      <w:pPr>
        <w:ind w:left="1361" w:hanging="341"/>
      </w:pPr>
      <w:rPr>
        <w:rFonts w:hint="default"/>
      </w:rPr>
    </w:lvl>
    <w:lvl w:ilvl="1" w:tplc="0C090019">
      <w:start w:val="1"/>
      <w:numFmt w:val="lowerLetter"/>
      <w:lvlText w:val="%2."/>
      <w:lvlJc w:val="left"/>
      <w:pPr>
        <w:ind w:left="2100" w:hanging="360"/>
      </w:pPr>
    </w:lvl>
    <w:lvl w:ilvl="2" w:tplc="0C09001B" w:tentative="1">
      <w:start w:val="1"/>
      <w:numFmt w:val="lowerRoman"/>
      <w:lvlText w:val="%3."/>
      <w:lvlJc w:val="right"/>
      <w:pPr>
        <w:ind w:left="2820" w:hanging="180"/>
      </w:pPr>
    </w:lvl>
    <w:lvl w:ilvl="3" w:tplc="0C09000F" w:tentative="1">
      <w:start w:val="1"/>
      <w:numFmt w:val="decimal"/>
      <w:lvlText w:val="%4."/>
      <w:lvlJc w:val="left"/>
      <w:pPr>
        <w:ind w:left="3540" w:hanging="360"/>
      </w:pPr>
    </w:lvl>
    <w:lvl w:ilvl="4" w:tplc="0C090019" w:tentative="1">
      <w:start w:val="1"/>
      <w:numFmt w:val="lowerLetter"/>
      <w:lvlText w:val="%5."/>
      <w:lvlJc w:val="left"/>
      <w:pPr>
        <w:ind w:left="4260" w:hanging="360"/>
      </w:pPr>
    </w:lvl>
    <w:lvl w:ilvl="5" w:tplc="0C09001B" w:tentative="1">
      <w:start w:val="1"/>
      <w:numFmt w:val="lowerRoman"/>
      <w:lvlText w:val="%6."/>
      <w:lvlJc w:val="right"/>
      <w:pPr>
        <w:ind w:left="4980" w:hanging="180"/>
      </w:pPr>
    </w:lvl>
    <w:lvl w:ilvl="6" w:tplc="0C09000F" w:tentative="1">
      <w:start w:val="1"/>
      <w:numFmt w:val="decimal"/>
      <w:lvlText w:val="%7."/>
      <w:lvlJc w:val="left"/>
      <w:pPr>
        <w:ind w:left="5700" w:hanging="360"/>
      </w:pPr>
    </w:lvl>
    <w:lvl w:ilvl="7" w:tplc="0C090019" w:tentative="1">
      <w:start w:val="1"/>
      <w:numFmt w:val="lowerLetter"/>
      <w:lvlText w:val="%8."/>
      <w:lvlJc w:val="left"/>
      <w:pPr>
        <w:ind w:left="6420" w:hanging="360"/>
      </w:pPr>
    </w:lvl>
    <w:lvl w:ilvl="8" w:tplc="0C09001B" w:tentative="1">
      <w:start w:val="1"/>
      <w:numFmt w:val="lowerRoman"/>
      <w:lvlText w:val="%9."/>
      <w:lvlJc w:val="right"/>
      <w:pPr>
        <w:ind w:left="7140" w:hanging="180"/>
      </w:pPr>
    </w:lvl>
  </w:abstractNum>
  <w:abstractNum w:abstractNumId="28">
    <w:nsid w:val="73F84B72"/>
    <w:multiLevelType w:val="hybridMultilevel"/>
    <w:tmpl w:val="CDC0D9C4"/>
    <w:lvl w:ilvl="0" w:tplc="6C5C8C5A">
      <w:start w:val="1"/>
      <w:numFmt w:val="lowerLetter"/>
      <w:pStyle w:val="Listalphabet5"/>
      <w:lvlText w:val="(%1)"/>
      <w:lvlJc w:val="left"/>
      <w:pPr>
        <w:ind w:left="1701" w:hanging="341"/>
      </w:pPr>
      <w:rPr>
        <w:rFonts w:hint="default"/>
      </w:rPr>
    </w:lvl>
    <w:lvl w:ilvl="1" w:tplc="0C090019" w:tentative="1">
      <w:start w:val="1"/>
      <w:numFmt w:val="lowerLetter"/>
      <w:lvlText w:val="%2."/>
      <w:lvlJc w:val="left"/>
      <w:pPr>
        <w:ind w:left="2440" w:hanging="360"/>
      </w:pPr>
    </w:lvl>
    <w:lvl w:ilvl="2" w:tplc="0C09001B" w:tentative="1">
      <w:start w:val="1"/>
      <w:numFmt w:val="lowerRoman"/>
      <w:lvlText w:val="%3."/>
      <w:lvlJc w:val="right"/>
      <w:pPr>
        <w:ind w:left="3160" w:hanging="180"/>
      </w:pPr>
    </w:lvl>
    <w:lvl w:ilvl="3" w:tplc="0C09000F" w:tentative="1">
      <w:start w:val="1"/>
      <w:numFmt w:val="decimal"/>
      <w:lvlText w:val="%4."/>
      <w:lvlJc w:val="left"/>
      <w:pPr>
        <w:ind w:left="3880" w:hanging="360"/>
      </w:pPr>
    </w:lvl>
    <w:lvl w:ilvl="4" w:tplc="0C090019" w:tentative="1">
      <w:start w:val="1"/>
      <w:numFmt w:val="lowerLetter"/>
      <w:lvlText w:val="%5."/>
      <w:lvlJc w:val="left"/>
      <w:pPr>
        <w:ind w:left="4600" w:hanging="360"/>
      </w:pPr>
    </w:lvl>
    <w:lvl w:ilvl="5" w:tplc="0C09001B" w:tentative="1">
      <w:start w:val="1"/>
      <w:numFmt w:val="lowerRoman"/>
      <w:lvlText w:val="%6."/>
      <w:lvlJc w:val="right"/>
      <w:pPr>
        <w:ind w:left="5320" w:hanging="180"/>
      </w:pPr>
    </w:lvl>
    <w:lvl w:ilvl="6" w:tplc="0C09000F" w:tentative="1">
      <w:start w:val="1"/>
      <w:numFmt w:val="decimal"/>
      <w:lvlText w:val="%7."/>
      <w:lvlJc w:val="left"/>
      <w:pPr>
        <w:ind w:left="6040" w:hanging="360"/>
      </w:pPr>
    </w:lvl>
    <w:lvl w:ilvl="7" w:tplc="0C090019" w:tentative="1">
      <w:start w:val="1"/>
      <w:numFmt w:val="lowerLetter"/>
      <w:lvlText w:val="%8."/>
      <w:lvlJc w:val="left"/>
      <w:pPr>
        <w:ind w:left="6760" w:hanging="360"/>
      </w:pPr>
    </w:lvl>
    <w:lvl w:ilvl="8" w:tplc="0C09001B" w:tentative="1">
      <w:start w:val="1"/>
      <w:numFmt w:val="lowerRoman"/>
      <w:lvlText w:val="%9."/>
      <w:lvlJc w:val="right"/>
      <w:pPr>
        <w:ind w:left="7480" w:hanging="180"/>
      </w:pPr>
    </w:lvl>
  </w:abstractNum>
  <w:abstractNum w:abstractNumId="29">
    <w:nsid w:val="7605015A"/>
    <w:multiLevelType w:val="hybridMultilevel"/>
    <w:tmpl w:val="EC423E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760C7082"/>
    <w:multiLevelType w:val="hybridMultilevel"/>
    <w:tmpl w:val="C9D6B284"/>
    <w:lvl w:ilvl="0" w:tplc="A9080AEA">
      <w:start w:val="1"/>
      <w:numFmt w:val="lowerRoman"/>
      <w:pStyle w:val="ListLegal4"/>
      <w:lvlText w:val="%1."/>
      <w:lvlJc w:val="right"/>
      <w:pPr>
        <w:ind w:left="1701" w:hanging="340"/>
      </w:pPr>
      <w:rPr>
        <w:rFonts w:hint="default"/>
      </w:rPr>
    </w:lvl>
    <w:lvl w:ilvl="1" w:tplc="0C090019" w:tentative="1">
      <w:start w:val="1"/>
      <w:numFmt w:val="lowerLetter"/>
      <w:lvlText w:val="%2."/>
      <w:lvlJc w:val="left"/>
      <w:pPr>
        <w:ind w:left="2441" w:hanging="360"/>
      </w:pPr>
    </w:lvl>
    <w:lvl w:ilvl="2" w:tplc="0C09001B" w:tentative="1">
      <w:start w:val="1"/>
      <w:numFmt w:val="lowerRoman"/>
      <w:lvlText w:val="%3."/>
      <w:lvlJc w:val="right"/>
      <w:pPr>
        <w:ind w:left="3161" w:hanging="180"/>
      </w:pPr>
    </w:lvl>
    <w:lvl w:ilvl="3" w:tplc="0C09000F" w:tentative="1">
      <w:start w:val="1"/>
      <w:numFmt w:val="decimal"/>
      <w:lvlText w:val="%4."/>
      <w:lvlJc w:val="left"/>
      <w:pPr>
        <w:ind w:left="3881" w:hanging="360"/>
      </w:pPr>
    </w:lvl>
    <w:lvl w:ilvl="4" w:tplc="0C090019" w:tentative="1">
      <w:start w:val="1"/>
      <w:numFmt w:val="lowerLetter"/>
      <w:lvlText w:val="%5."/>
      <w:lvlJc w:val="left"/>
      <w:pPr>
        <w:ind w:left="4601" w:hanging="360"/>
      </w:pPr>
    </w:lvl>
    <w:lvl w:ilvl="5" w:tplc="0C09001B" w:tentative="1">
      <w:start w:val="1"/>
      <w:numFmt w:val="lowerRoman"/>
      <w:lvlText w:val="%6."/>
      <w:lvlJc w:val="right"/>
      <w:pPr>
        <w:ind w:left="5321" w:hanging="180"/>
      </w:pPr>
    </w:lvl>
    <w:lvl w:ilvl="6" w:tplc="0C09000F" w:tentative="1">
      <w:start w:val="1"/>
      <w:numFmt w:val="decimal"/>
      <w:lvlText w:val="%7."/>
      <w:lvlJc w:val="left"/>
      <w:pPr>
        <w:ind w:left="6041" w:hanging="360"/>
      </w:pPr>
    </w:lvl>
    <w:lvl w:ilvl="7" w:tplc="0C090019" w:tentative="1">
      <w:start w:val="1"/>
      <w:numFmt w:val="lowerLetter"/>
      <w:lvlText w:val="%8."/>
      <w:lvlJc w:val="left"/>
      <w:pPr>
        <w:ind w:left="6761" w:hanging="360"/>
      </w:pPr>
    </w:lvl>
    <w:lvl w:ilvl="8" w:tplc="0C09001B" w:tentative="1">
      <w:start w:val="1"/>
      <w:numFmt w:val="lowerRoman"/>
      <w:lvlText w:val="%9."/>
      <w:lvlJc w:val="right"/>
      <w:pPr>
        <w:ind w:left="7481" w:hanging="180"/>
      </w:pPr>
    </w:lvl>
  </w:abstractNum>
  <w:abstractNum w:abstractNumId="31">
    <w:nsid w:val="7ACB7F6B"/>
    <w:multiLevelType w:val="hybridMultilevel"/>
    <w:tmpl w:val="0F2A3F9A"/>
    <w:lvl w:ilvl="0" w:tplc="1038B32C">
      <w:start w:val="1"/>
      <w:numFmt w:val="lowerRoman"/>
      <w:pStyle w:val="ListLegal2"/>
      <w:lvlText w:val="%1."/>
      <w:lvlJc w:val="right"/>
      <w:pPr>
        <w:ind w:left="1021" w:hanging="341"/>
      </w:pPr>
      <w:rPr>
        <w:rFonts w:hint="default"/>
      </w:r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32">
    <w:nsid w:val="7E2819EC"/>
    <w:multiLevelType w:val="multilevel"/>
    <w:tmpl w:val="1250F310"/>
    <w:lvl w:ilvl="0">
      <w:start w:val="1"/>
      <w:numFmt w:val="bullet"/>
      <w:pStyle w:val="Bulletpoin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0"/>
  </w:num>
  <w:num w:numId="2">
    <w:abstractNumId w:val="32"/>
  </w:num>
  <w:num w:numId="3">
    <w:abstractNumId w:val="7"/>
  </w:num>
  <w:num w:numId="4">
    <w:abstractNumId w:val="6"/>
  </w:num>
  <w:num w:numId="5">
    <w:abstractNumId w:val="5"/>
  </w:num>
  <w:num w:numId="6">
    <w:abstractNumId w:val="4"/>
  </w:num>
  <w:num w:numId="7">
    <w:abstractNumId w:val="1"/>
  </w:num>
  <w:num w:numId="8">
    <w:abstractNumId w:val="0"/>
  </w:num>
  <w:num w:numId="9">
    <w:abstractNumId w:val="25"/>
  </w:num>
  <w:num w:numId="10">
    <w:abstractNumId w:val="16"/>
  </w:num>
  <w:num w:numId="11">
    <w:abstractNumId w:val="9"/>
  </w:num>
  <w:num w:numId="12">
    <w:abstractNumId w:val="13"/>
  </w:num>
  <w:num w:numId="13">
    <w:abstractNumId w:val="15"/>
  </w:num>
  <w:num w:numId="14">
    <w:abstractNumId w:val="2"/>
  </w:num>
  <w:num w:numId="15">
    <w:abstractNumId w:val="27"/>
  </w:num>
  <w:num w:numId="16">
    <w:abstractNumId w:val="31"/>
  </w:num>
  <w:num w:numId="17">
    <w:abstractNumId w:val="30"/>
  </w:num>
  <w:num w:numId="18">
    <w:abstractNumId w:val="21"/>
  </w:num>
  <w:num w:numId="19">
    <w:abstractNumId w:val="14"/>
  </w:num>
  <w:num w:numId="20">
    <w:abstractNumId w:val="17"/>
  </w:num>
  <w:num w:numId="21">
    <w:abstractNumId w:val="28"/>
  </w:num>
  <w:num w:numId="22">
    <w:abstractNumId w:val="22"/>
  </w:num>
  <w:num w:numId="23">
    <w:abstractNumId w:val="8"/>
  </w:num>
  <w:num w:numId="24">
    <w:abstractNumId w:val="3"/>
  </w:num>
  <w:num w:numId="25">
    <w:abstractNumId w:val="19"/>
  </w:num>
  <w:num w:numId="26">
    <w:abstractNumId w:val="11"/>
  </w:num>
  <w:num w:numId="27">
    <w:abstractNumId w:val="24"/>
  </w:num>
  <w:num w:numId="28">
    <w:abstractNumId w:val="26"/>
  </w:num>
  <w:num w:numId="29">
    <w:abstractNumId w:val="18"/>
  </w:num>
  <w:num w:numId="30">
    <w:abstractNumId w:val="12"/>
  </w:num>
  <w:num w:numId="31">
    <w:abstractNumId w:val="20"/>
  </w:num>
  <w:num w:numId="32">
    <w:abstractNumId w:val="32"/>
  </w:num>
  <w:num w:numId="33">
    <w:abstractNumId w:val="29"/>
  </w:num>
  <w:num w:numId="34">
    <w:abstractNumId w:val="32"/>
  </w:num>
  <w:num w:numId="35">
    <w:abstractNumId w:val="2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stylePaneFormatFilter w:val="9721" w:allStyles="1" w:customStyles="0" w:latentStyles="0" w:stylesInUse="0" w:headingStyles="1" w:numberingStyles="0" w:tableStyles="0" w:directFormattingOnRuns="1" w:directFormattingOnParagraphs="1" w:directFormattingOnNumbering="1" w:directFormattingOnTables="0" w:clearFormatting="1" w:top3HeadingStyles="0" w:visibleStyles="0" w:alternateStyleNames="1"/>
  <w:stylePaneSortMethod w:val="0000"/>
  <w:defaultTabStop w:val="34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urrentname" w:val="H:\FOR STORAGE\April 2015 Carbon Report to the Minister - Final draft version 16 April 2015.docx"/>
  </w:docVars>
  <w:rsids>
    <w:rsidRoot w:val="00AB36D9"/>
    <w:rsid w:val="0000250C"/>
    <w:rsid w:val="00014D5E"/>
    <w:rsid w:val="0002115F"/>
    <w:rsid w:val="00021202"/>
    <w:rsid w:val="000225C4"/>
    <w:rsid w:val="0003578C"/>
    <w:rsid w:val="00054E09"/>
    <w:rsid w:val="000555E6"/>
    <w:rsid w:val="00063247"/>
    <w:rsid w:val="00063DF1"/>
    <w:rsid w:val="00065469"/>
    <w:rsid w:val="00070F9F"/>
    <w:rsid w:val="0007137B"/>
    <w:rsid w:val="00085663"/>
    <w:rsid w:val="00085EBF"/>
    <w:rsid w:val="000A14D7"/>
    <w:rsid w:val="000A28C7"/>
    <w:rsid w:val="000A544F"/>
    <w:rsid w:val="000D122C"/>
    <w:rsid w:val="000D1E1F"/>
    <w:rsid w:val="000E1819"/>
    <w:rsid w:val="000E6C72"/>
    <w:rsid w:val="000F2368"/>
    <w:rsid w:val="0010179F"/>
    <w:rsid w:val="00102C3E"/>
    <w:rsid w:val="00116EB2"/>
    <w:rsid w:val="00124609"/>
    <w:rsid w:val="001573E4"/>
    <w:rsid w:val="00160756"/>
    <w:rsid w:val="0016090E"/>
    <w:rsid w:val="0017232E"/>
    <w:rsid w:val="00174102"/>
    <w:rsid w:val="00180157"/>
    <w:rsid w:val="00181223"/>
    <w:rsid w:val="00186F77"/>
    <w:rsid w:val="001926A4"/>
    <w:rsid w:val="001B45A0"/>
    <w:rsid w:val="001C18EE"/>
    <w:rsid w:val="001D055E"/>
    <w:rsid w:val="001D5183"/>
    <w:rsid w:val="001E12B3"/>
    <w:rsid w:val="001F0A70"/>
    <w:rsid w:val="001F492E"/>
    <w:rsid w:val="001F5D1A"/>
    <w:rsid w:val="001F6DA3"/>
    <w:rsid w:val="00212737"/>
    <w:rsid w:val="00216973"/>
    <w:rsid w:val="00224DB9"/>
    <w:rsid w:val="00251745"/>
    <w:rsid w:val="00263AC0"/>
    <w:rsid w:val="0026739A"/>
    <w:rsid w:val="0026772D"/>
    <w:rsid w:val="00276880"/>
    <w:rsid w:val="00276F30"/>
    <w:rsid w:val="00286874"/>
    <w:rsid w:val="00296B65"/>
    <w:rsid w:val="002A6506"/>
    <w:rsid w:val="002A7DEF"/>
    <w:rsid w:val="002E50EA"/>
    <w:rsid w:val="002F7986"/>
    <w:rsid w:val="00303C4A"/>
    <w:rsid w:val="00307F6D"/>
    <w:rsid w:val="003177A2"/>
    <w:rsid w:val="003271B5"/>
    <w:rsid w:val="003301BA"/>
    <w:rsid w:val="00331264"/>
    <w:rsid w:val="00334C8D"/>
    <w:rsid w:val="00340655"/>
    <w:rsid w:val="003459E6"/>
    <w:rsid w:val="003518B3"/>
    <w:rsid w:val="003846F1"/>
    <w:rsid w:val="003A673F"/>
    <w:rsid w:val="003B5A70"/>
    <w:rsid w:val="0040287B"/>
    <w:rsid w:val="00425F3B"/>
    <w:rsid w:val="00472FB5"/>
    <w:rsid w:val="00475DDE"/>
    <w:rsid w:val="00480B4B"/>
    <w:rsid w:val="00485DC4"/>
    <w:rsid w:val="004A2353"/>
    <w:rsid w:val="004A6FE3"/>
    <w:rsid w:val="004B4412"/>
    <w:rsid w:val="004C348C"/>
    <w:rsid w:val="004D55BA"/>
    <w:rsid w:val="004E7253"/>
    <w:rsid w:val="005038DB"/>
    <w:rsid w:val="00530128"/>
    <w:rsid w:val="00532467"/>
    <w:rsid w:val="00543B1C"/>
    <w:rsid w:val="00547CCF"/>
    <w:rsid w:val="00550026"/>
    <w:rsid w:val="00557347"/>
    <w:rsid w:val="005624B7"/>
    <w:rsid w:val="00564A4D"/>
    <w:rsid w:val="00571B35"/>
    <w:rsid w:val="00571C9F"/>
    <w:rsid w:val="005731FB"/>
    <w:rsid w:val="00577A09"/>
    <w:rsid w:val="00580FD0"/>
    <w:rsid w:val="00582BE8"/>
    <w:rsid w:val="00584D8F"/>
    <w:rsid w:val="00596D42"/>
    <w:rsid w:val="005A404D"/>
    <w:rsid w:val="005B1E3C"/>
    <w:rsid w:val="005C22A4"/>
    <w:rsid w:val="005C26CC"/>
    <w:rsid w:val="005E6C0E"/>
    <w:rsid w:val="0060328E"/>
    <w:rsid w:val="00615C6B"/>
    <w:rsid w:val="00632D6D"/>
    <w:rsid w:val="00642C3E"/>
    <w:rsid w:val="006445AA"/>
    <w:rsid w:val="00645FF7"/>
    <w:rsid w:val="00646025"/>
    <w:rsid w:val="00663DAD"/>
    <w:rsid w:val="00663ECE"/>
    <w:rsid w:val="00676679"/>
    <w:rsid w:val="006B3B6B"/>
    <w:rsid w:val="006B4CF9"/>
    <w:rsid w:val="006B7AC8"/>
    <w:rsid w:val="006C1A25"/>
    <w:rsid w:val="006D550F"/>
    <w:rsid w:val="006D666D"/>
    <w:rsid w:val="006D77F3"/>
    <w:rsid w:val="00701CAB"/>
    <w:rsid w:val="00707563"/>
    <w:rsid w:val="007131BA"/>
    <w:rsid w:val="0072348C"/>
    <w:rsid w:val="00724A37"/>
    <w:rsid w:val="007303C3"/>
    <w:rsid w:val="007418EA"/>
    <w:rsid w:val="00743223"/>
    <w:rsid w:val="007438F4"/>
    <w:rsid w:val="00745397"/>
    <w:rsid w:val="00746E01"/>
    <w:rsid w:val="00760091"/>
    <w:rsid w:val="00763E5D"/>
    <w:rsid w:val="00767740"/>
    <w:rsid w:val="00777EE6"/>
    <w:rsid w:val="00782EEA"/>
    <w:rsid w:val="007B2C72"/>
    <w:rsid w:val="007C1C53"/>
    <w:rsid w:val="007D5826"/>
    <w:rsid w:val="007E1353"/>
    <w:rsid w:val="007E26A9"/>
    <w:rsid w:val="007E4904"/>
    <w:rsid w:val="007E4CB5"/>
    <w:rsid w:val="007E585C"/>
    <w:rsid w:val="007F066B"/>
    <w:rsid w:val="008033C4"/>
    <w:rsid w:val="008043DA"/>
    <w:rsid w:val="00806C88"/>
    <w:rsid w:val="00807EC8"/>
    <w:rsid w:val="0081034E"/>
    <w:rsid w:val="00823774"/>
    <w:rsid w:val="008344F6"/>
    <w:rsid w:val="0083510F"/>
    <w:rsid w:val="00850464"/>
    <w:rsid w:val="00851209"/>
    <w:rsid w:val="00856C41"/>
    <w:rsid w:val="00876DC2"/>
    <w:rsid w:val="0088007E"/>
    <w:rsid w:val="008837AC"/>
    <w:rsid w:val="008945B4"/>
    <w:rsid w:val="008A587D"/>
    <w:rsid w:val="008B0211"/>
    <w:rsid w:val="008C5486"/>
    <w:rsid w:val="008E7031"/>
    <w:rsid w:val="008F0AA0"/>
    <w:rsid w:val="0091723E"/>
    <w:rsid w:val="00922C95"/>
    <w:rsid w:val="009233EE"/>
    <w:rsid w:val="00934318"/>
    <w:rsid w:val="009661DE"/>
    <w:rsid w:val="00973D19"/>
    <w:rsid w:val="009847F6"/>
    <w:rsid w:val="009856B7"/>
    <w:rsid w:val="0098602B"/>
    <w:rsid w:val="00991B3B"/>
    <w:rsid w:val="009962BA"/>
    <w:rsid w:val="009A0A60"/>
    <w:rsid w:val="009B74B0"/>
    <w:rsid w:val="009D4414"/>
    <w:rsid w:val="009D6B46"/>
    <w:rsid w:val="009E15C5"/>
    <w:rsid w:val="009E2692"/>
    <w:rsid w:val="009F4940"/>
    <w:rsid w:val="00A14172"/>
    <w:rsid w:val="00A1665B"/>
    <w:rsid w:val="00A1767F"/>
    <w:rsid w:val="00A426CA"/>
    <w:rsid w:val="00A4478A"/>
    <w:rsid w:val="00A44852"/>
    <w:rsid w:val="00A57D04"/>
    <w:rsid w:val="00A60A26"/>
    <w:rsid w:val="00A61598"/>
    <w:rsid w:val="00A64D38"/>
    <w:rsid w:val="00A84F46"/>
    <w:rsid w:val="00A871F4"/>
    <w:rsid w:val="00AB0282"/>
    <w:rsid w:val="00AB0AD3"/>
    <w:rsid w:val="00AB36D9"/>
    <w:rsid w:val="00AC1B2C"/>
    <w:rsid w:val="00AC3264"/>
    <w:rsid w:val="00AC6F01"/>
    <w:rsid w:val="00AE0FE2"/>
    <w:rsid w:val="00AE150C"/>
    <w:rsid w:val="00AE1B69"/>
    <w:rsid w:val="00AE1BF1"/>
    <w:rsid w:val="00AF0DD2"/>
    <w:rsid w:val="00AF1CB3"/>
    <w:rsid w:val="00B004EE"/>
    <w:rsid w:val="00B10314"/>
    <w:rsid w:val="00B13048"/>
    <w:rsid w:val="00B15998"/>
    <w:rsid w:val="00B1716D"/>
    <w:rsid w:val="00B17A1D"/>
    <w:rsid w:val="00B2055D"/>
    <w:rsid w:val="00B207A0"/>
    <w:rsid w:val="00B54A88"/>
    <w:rsid w:val="00B56E03"/>
    <w:rsid w:val="00B60F5D"/>
    <w:rsid w:val="00B67E91"/>
    <w:rsid w:val="00B763D2"/>
    <w:rsid w:val="00B8080B"/>
    <w:rsid w:val="00B8254E"/>
    <w:rsid w:val="00B85F2D"/>
    <w:rsid w:val="00B87C39"/>
    <w:rsid w:val="00BA4665"/>
    <w:rsid w:val="00BB2FB2"/>
    <w:rsid w:val="00BB3304"/>
    <w:rsid w:val="00BD3446"/>
    <w:rsid w:val="00BE0975"/>
    <w:rsid w:val="00BE1F1B"/>
    <w:rsid w:val="00BE47B5"/>
    <w:rsid w:val="00BE4C99"/>
    <w:rsid w:val="00BF3AD4"/>
    <w:rsid w:val="00BF3CD9"/>
    <w:rsid w:val="00C058AB"/>
    <w:rsid w:val="00C06739"/>
    <w:rsid w:val="00C2202D"/>
    <w:rsid w:val="00C35264"/>
    <w:rsid w:val="00C37E72"/>
    <w:rsid w:val="00C42826"/>
    <w:rsid w:val="00C42E35"/>
    <w:rsid w:val="00C538A9"/>
    <w:rsid w:val="00C53B5A"/>
    <w:rsid w:val="00C54F5A"/>
    <w:rsid w:val="00C70009"/>
    <w:rsid w:val="00C755AD"/>
    <w:rsid w:val="00C83814"/>
    <w:rsid w:val="00C86679"/>
    <w:rsid w:val="00CB666B"/>
    <w:rsid w:val="00CF799E"/>
    <w:rsid w:val="00D01CF0"/>
    <w:rsid w:val="00D0442A"/>
    <w:rsid w:val="00D203E1"/>
    <w:rsid w:val="00D3391E"/>
    <w:rsid w:val="00D353B4"/>
    <w:rsid w:val="00D40833"/>
    <w:rsid w:val="00D544B8"/>
    <w:rsid w:val="00D61388"/>
    <w:rsid w:val="00D61A54"/>
    <w:rsid w:val="00D64DEA"/>
    <w:rsid w:val="00D70037"/>
    <w:rsid w:val="00D721DE"/>
    <w:rsid w:val="00D7697B"/>
    <w:rsid w:val="00D80893"/>
    <w:rsid w:val="00D92CF1"/>
    <w:rsid w:val="00D92D38"/>
    <w:rsid w:val="00D94D11"/>
    <w:rsid w:val="00D950F5"/>
    <w:rsid w:val="00D95CC1"/>
    <w:rsid w:val="00DA6CFC"/>
    <w:rsid w:val="00DB0F93"/>
    <w:rsid w:val="00DC3789"/>
    <w:rsid w:val="00DC542F"/>
    <w:rsid w:val="00DC7981"/>
    <w:rsid w:val="00DD08DF"/>
    <w:rsid w:val="00DE4EFA"/>
    <w:rsid w:val="00DE5520"/>
    <w:rsid w:val="00DF1F20"/>
    <w:rsid w:val="00DF7447"/>
    <w:rsid w:val="00E04818"/>
    <w:rsid w:val="00E06442"/>
    <w:rsid w:val="00E23993"/>
    <w:rsid w:val="00E25B8C"/>
    <w:rsid w:val="00E4674F"/>
    <w:rsid w:val="00E65C85"/>
    <w:rsid w:val="00E66199"/>
    <w:rsid w:val="00E755EC"/>
    <w:rsid w:val="00E7624D"/>
    <w:rsid w:val="00EA3D42"/>
    <w:rsid w:val="00EA6B1B"/>
    <w:rsid w:val="00EE1E7A"/>
    <w:rsid w:val="00EE28F3"/>
    <w:rsid w:val="00EF0D5E"/>
    <w:rsid w:val="00EF5110"/>
    <w:rsid w:val="00F02266"/>
    <w:rsid w:val="00F06EDD"/>
    <w:rsid w:val="00F15882"/>
    <w:rsid w:val="00F20BD3"/>
    <w:rsid w:val="00F323DA"/>
    <w:rsid w:val="00F32857"/>
    <w:rsid w:val="00F373A5"/>
    <w:rsid w:val="00F47559"/>
    <w:rsid w:val="00F50EEF"/>
    <w:rsid w:val="00F60BE4"/>
    <w:rsid w:val="00F61B84"/>
    <w:rsid w:val="00F62389"/>
    <w:rsid w:val="00F64C7B"/>
    <w:rsid w:val="00F676DD"/>
    <w:rsid w:val="00F75A26"/>
    <w:rsid w:val="00F83FAD"/>
    <w:rsid w:val="00F91DC6"/>
    <w:rsid w:val="00F952A0"/>
    <w:rsid w:val="00FA3C7F"/>
    <w:rsid w:val="00FA3F97"/>
    <w:rsid w:val="00FB25CA"/>
    <w:rsid w:val="00FB52D7"/>
    <w:rsid w:val="00FB74E2"/>
    <w:rsid w:val="00FD5614"/>
    <w:rsid w:val="00FE0BE1"/>
    <w:rsid w:val="00FE1DE9"/>
    <w:rsid w:val="00FE39C2"/>
    <w:rsid w:val="00FE64A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before="20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2" w:qFormat="1"/>
    <w:lsdException w:name="heading 6" w:uiPriority="2" w:qFormat="1"/>
    <w:lsdException w:name="heading 7" w:uiPriority="2" w:qFormat="1"/>
    <w:lsdException w:name="heading 8" w:uiPriority="2" w:qFormat="1"/>
    <w:lsdException w:name="heading 9" w:uiPriority="2" w:qFormat="1"/>
    <w:lsdException w:name="toc 1" w:semiHidden="0" w:uiPriority="39" w:unhideWhenUsed="0" w:qFormat="1"/>
    <w:lsdException w:name="toc 2" w:semiHidden="0" w:uiPriority="39" w:unhideWhenUsed="0" w:qFormat="1"/>
    <w:lsdException w:name="toc 3" w:semiHidden="0" w:uiPriority="39" w:unhideWhenUsed="0" w:qFormat="1"/>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semiHidden="0" w:uiPriority="1" w:unhideWhenUsed="0"/>
    <w:lsdException w:name="footnote text" w:uiPriority="2"/>
    <w:lsdException w:name="header" w:qFormat="1"/>
    <w:lsdException w:name="foot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5A70"/>
    <w:rPr>
      <w:rFonts w:ascii="Arial" w:hAnsi="Arial"/>
    </w:rPr>
  </w:style>
  <w:style w:type="paragraph" w:styleId="Heading1">
    <w:name w:val="heading 1"/>
    <w:basedOn w:val="Normal"/>
    <w:next w:val="Normal"/>
    <w:link w:val="Heading1Char"/>
    <w:qFormat/>
    <w:rsid w:val="009D6B46"/>
    <w:pPr>
      <w:spacing w:before="240"/>
      <w:outlineLvl w:val="0"/>
    </w:pPr>
    <w:rPr>
      <w:rFonts w:ascii="Lucida Fax" w:eastAsiaTheme="majorEastAsia" w:hAnsi="Lucida Fax" w:cstheme="majorBidi"/>
      <w:bCs/>
      <w:color w:val="51626F"/>
      <w:sz w:val="32"/>
      <w:szCs w:val="28"/>
    </w:rPr>
  </w:style>
  <w:style w:type="paragraph" w:styleId="Heading2">
    <w:name w:val="heading 2"/>
    <w:next w:val="Normal"/>
    <w:link w:val="Heading2Char"/>
    <w:qFormat/>
    <w:rsid w:val="009D6B46"/>
    <w:pPr>
      <w:spacing w:line="240" w:lineRule="atLeast"/>
      <w:outlineLvl w:val="1"/>
    </w:pPr>
    <w:rPr>
      <w:rFonts w:ascii="Arial" w:eastAsiaTheme="majorEastAsia" w:hAnsi="Arial" w:cstheme="majorBidi"/>
      <w:b/>
      <w:bCs/>
      <w:color w:val="51626F"/>
      <w:sz w:val="28"/>
      <w:szCs w:val="26"/>
    </w:rPr>
  </w:style>
  <w:style w:type="paragraph" w:styleId="Heading3">
    <w:name w:val="heading 3"/>
    <w:basedOn w:val="Normal"/>
    <w:next w:val="Normal"/>
    <w:link w:val="Heading3Char"/>
    <w:qFormat/>
    <w:rsid w:val="009D6B46"/>
    <w:pPr>
      <w:spacing w:before="240"/>
      <w:outlineLvl w:val="2"/>
    </w:pPr>
    <w:rPr>
      <w:rFonts w:eastAsiaTheme="majorEastAsia" w:cstheme="majorBidi"/>
      <w:b/>
      <w:bCs/>
      <w:color w:val="000000" w:themeColor="text1" w:themeShade="BF"/>
      <w:sz w:val="24"/>
    </w:rPr>
  </w:style>
  <w:style w:type="paragraph" w:styleId="Heading4">
    <w:name w:val="heading 4"/>
    <w:basedOn w:val="Normal"/>
    <w:next w:val="Normal"/>
    <w:link w:val="Heading4Char"/>
    <w:qFormat/>
    <w:rsid w:val="009D6B46"/>
    <w:pPr>
      <w:spacing w:before="240"/>
      <w:outlineLvl w:val="3"/>
    </w:pPr>
    <w:rPr>
      <w:rFonts w:eastAsiaTheme="majorEastAsia" w:cstheme="majorBidi"/>
      <w:b/>
      <w:bCs/>
      <w:i/>
      <w:iCs/>
      <w:color w:val="51626F"/>
      <w:sz w:val="24"/>
    </w:rPr>
  </w:style>
  <w:style w:type="paragraph" w:styleId="Heading5">
    <w:name w:val="heading 5"/>
    <w:next w:val="Normal"/>
    <w:link w:val="Heading5Char"/>
    <w:uiPriority w:val="2"/>
    <w:qFormat/>
    <w:rsid w:val="009D6B46"/>
    <w:pPr>
      <w:spacing w:line="240" w:lineRule="atLeast"/>
      <w:outlineLvl w:val="4"/>
    </w:pPr>
    <w:rPr>
      <w:rFonts w:ascii="Arial" w:eastAsiaTheme="majorEastAsia" w:hAnsi="Arial" w:cstheme="majorBidi"/>
      <w:b/>
      <w:color w:val="283037" w:themeColor="accent1" w:themeShade="7F"/>
    </w:rPr>
  </w:style>
  <w:style w:type="paragraph" w:styleId="Heading6">
    <w:name w:val="heading 6"/>
    <w:basedOn w:val="Normal"/>
    <w:next w:val="Normal"/>
    <w:link w:val="Heading6Char"/>
    <w:uiPriority w:val="2"/>
    <w:qFormat/>
    <w:rsid w:val="009D6B46"/>
    <w:pPr>
      <w:spacing w:before="240"/>
      <w:outlineLvl w:val="5"/>
    </w:pPr>
    <w:rPr>
      <w:rFonts w:eastAsiaTheme="majorEastAsia" w:cstheme="majorBidi"/>
      <w:b/>
      <w:i/>
      <w:iCs/>
    </w:rPr>
  </w:style>
  <w:style w:type="paragraph" w:styleId="Heading7">
    <w:name w:val="heading 7"/>
    <w:basedOn w:val="Normal"/>
    <w:next w:val="Normal"/>
    <w:link w:val="Heading7Char"/>
    <w:uiPriority w:val="2"/>
    <w:qFormat/>
    <w:rsid w:val="009D6B46"/>
    <w:pPr>
      <w:spacing w:before="240"/>
      <w:outlineLvl w:val="6"/>
    </w:pPr>
    <w:rPr>
      <w:rFonts w:eastAsiaTheme="majorEastAsia" w:cstheme="majorBidi"/>
      <w:i/>
      <w:iCs/>
      <w:color w:val="404040" w:themeColor="text1" w:themeTint="BF"/>
    </w:rPr>
  </w:style>
  <w:style w:type="paragraph" w:styleId="Heading8">
    <w:name w:val="heading 8"/>
    <w:basedOn w:val="Normal"/>
    <w:next w:val="Normal"/>
    <w:link w:val="Heading8Char"/>
    <w:uiPriority w:val="2"/>
    <w:qFormat/>
    <w:rsid w:val="009D6B46"/>
    <w:pPr>
      <w:spacing w:before="240"/>
      <w:outlineLvl w:val="7"/>
    </w:pPr>
    <w:rPr>
      <w:rFonts w:eastAsiaTheme="majorEastAsia" w:cstheme="majorBidi"/>
      <w:color w:val="51626F" w:themeColor="accent1"/>
      <w:szCs w:val="20"/>
    </w:rPr>
  </w:style>
  <w:style w:type="paragraph" w:styleId="Heading9">
    <w:name w:val="heading 9"/>
    <w:aliases w:val="Numbered Table"/>
    <w:basedOn w:val="Normal"/>
    <w:next w:val="Normal"/>
    <w:link w:val="Heading9Char"/>
    <w:uiPriority w:val="2"/>
    <w:qFormat/>
    <w:rsid w:val="00646025"/>
    <w:pPr>
      <w:numPr>
        <w:numId w:val="27"/>
      </w:numPr>
      <w:tabs>
        <w:tab w:val="left" w:pos="340"/>
      </w:tabs>
      <w:spacing w:before="240" w:after="120"/>
      <w:outlineLvl w:val="8"/>
    </w:pPr>
    <w:rPr>
      <w:rFonts w:eastAsiaTheme="majorEastAsia" w:cstheme="majorBidi"/>
      <w:b/>
      <w:iCs/>
      <w:color w:val="000000" w:themeColor="text1"/>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D6B46"/>
    <w:rPr>
      <w:rFonts w:ascii="Lucida Fax" w:eastAsiaTheme="majorEastAsia" w:hAnsi="Lucida Fax" w:cstheme="majorBidi"/>
      <w:bCs/>
      <w:color w:val="51626F"/>
      <w:sz w:val="32"/>
      <w:szCs w:val="28"/>
    </w:rPr>
  </w:style>
  <w:style w:type="character" w:customStyle="1" w:styleId="Heading2Char">
    <w:name w:val="Heading 2 Char"/>
    <w:basedOn w:val="DefaultParagraphFont"/>
    <w:link w:val="Heading2"/>
    <w:rsid w:val="009D6B46"/>
    <w:rPr>
      <w:rFonts w:ascii="Arial" w:eastAsiaTheme="majorEastAsia" w:hAnsi="Arial" w:cstheme="majorBidi"/>
      <w:b/>
      <w:bCs/>
      <w:color w:val="51626F"/>
      <w:sz w:val="28"/>
      <w:szCs w:val="26"/>
    </w:rPr>
  </w:style>
  <w:style w:type="character" w:customStyle="1" w:styleId="Heading3Char">
    <w:name w:val="Heading 3 Char"/>
    <w:basedOn w:val="DefaultParagraphFont"/>
    <w:link w:val="Heading3"/>
    <w:rsid w:val="009D6B46"/>
    <w:rPr>
      <w:rFonts w:ascii="Arial" w:eastAsiaTheme="majorEastAsia" w:hAnsi="Arial" w:cstheme="majorBidi"/>
      <w:b/>
      <w:bCs/>
      <w:color w:val="000000" w:themeColor="text1" w:themeShade="BF"/>
      <w:sz w:val="24"/>
    </w:rPr>
  </w:style>
  <w:style w:type="character" w:customStyle="1" w:styleId="Heading4Char">
    <w:name w:val="Heading 4 Char"/>
    <w:basedOn w:val="DefaultParagraphFont"/>
    <w:link w:val="Heading4"/>
    <w:rsid w:val="009D6B46"/>
    <w:rPr>
      <w:rFonts w:ascii="Arial" w:eastAsiaTheme="majorEastAsia" w:hAnsi="Arial" w:cstheme="majorBidi"/>
      <w:b/>
      <w:bCs/>
      <w:i/>
      <w:iCs/>
      <w:color w:val="51626F"/>
      <w:sz w:val="24"/>
    </w:rPr>
  </w:style>
  <w:style w:type="character" w:customStyle="1" w:styleId="Heading5Char">
    <w:name w:val="Heading 5 Char"/>
    <w:basedOn w:val="DefaultParagraphFont"/>
    <w:link w:val="Heading5"/>
    <w:uiPriority w:val="2"/>
    <w:rsid w:val="009D6B46"/>
    <w:rPr>
      <w:rFonts w:ascii="Arial" w:eastAsiaTheme="majorEastAsia" w:hAnsi="Arial" w:cstheme="majorBidi"/>
      <w:b/>
      <w:color w:val="283037" w:themeColor="accent1" w:themeShade="7F"/>
    </w:rPr>
  </w:style>
  <w:style w:type="character" w:customStyle="1" w:styleId="Heading6Char">
    <w:name w:val="Heading 6 Char"/>
    <w:basedOn w:val="DefaultParagraphFont"/>
    <w:link w:val="Heading6"/>
    <w:uiPriority w:val="2"/>
    <w:rsid w:val="009D6B46"/>
    <w:rPr>
      <w:rFonts w:ascii="Arial" w:eastAsiaTheme="majorEastAsia" w:hAnsi="Arial" w:cstheme="majorBidi"/>
      <w:b/>
      <w:i/>
      <w:iCs/>
    </w:rPr>
  </w:style>
  <w:style w:type="paragraph" w:customStyle="1" w:styleId="Chaptertitle">
    <w:name w:val="Chapter title"/>
    <w:basedOn w:val="Normal"/>
    <w:link w:val="ChaptertitleChar"/>
    <w:rsid w:val="0088007E"/>
    <w:pPr>
      <w:spacing w:before="520" w:after="120"/>
    </w:pPr>
    <w:rPr>
      <w:rFonts w:ascii="Lucida Fax" w:hAnsi="Lucida Fax"/>
      <w:color w:val="4F2D7F"/>
      <w:sz w:val="52"/>
      <w:szCs w:val="52"/>
    </w:rPr>
  </w:style>
  <w:style w:type="character" w:customStyle="1" w:styleId="ChaptertitleChar">
    <w:name w:val="Chapter title Char"/>
    <w:basedOn w:val="DefaultParagraphFont"/>
    <w:link w:val="Chaptertitle"/>
    <w:rsid w:val="0088007E"/>
    <w:rPr>
      <w:rFonts w:ascii="Lucida Fax" w:hAnsi="Lucida Fax"/>
      <w:color w:val="4F2D7F"/>
      <w:sz w:val="52"/>
      <w:szCs w:val="52"/>
    </w:rPr>
  </w:style>
  <w:style w:type="paragraph" w:customStyle="1" w:styleId="Tabletext">
    <w:name w:val="Table text"/>
    <w:basedOn w:val="Normal"/>
    <w:link w:val="TabletextChar"/>
    <w:uiPriority w:val="1"/>
    <w:qFormat/>
    <w:rsid w:val="00584D8F"/>
    <w:pPr>
      <w:spacing w:before="120" w:after="60"/>
    </w:pPr>
    <w:rPr>
      <w:sz w:val="20"/>
    </w:rPr>
  </w:style>
  <w:style w:type="paragraph" w:customStyle="1" w:styleId="Copyrighttext">
    <w:name w:val="Copyright text"/>
    <w:basedOn w:val="Normal"/>
    <w:link w:val="CopyrighttextChar"/>
    <w:uiPriority w:val="2"/>
    <w:qFormat/>
    <w:rsid w:val="00F952A0"/>
    <w:pPr>
      <w:spacing w:line="360" w:lineRule="auto"/>
      <w:contextualSpacing/>
    </w:pPr>
    <w:rPr>
      <w:color w:val="51626F" w:themeColor="accent1"/>
      <w:sz w:val="16"/>
      <w:szCs w:val="16"/>
    </w:rPr>
  </w:style>
  <w:style w:type="character" w:customStyle="1" w:styleId="CopyrighttextChar">
    <w:name w:val="Copyright text Char"/>
    <w:basedOn w:val="DefaultParagraphFont"/>
    <w:link w:val="Copyrighttext"/>
    <w:uiPriority w:val="2"/>
    <w:rsid w:val="00724A37"/>
    <w:rPr>
      <w:rFonts w:ascii="Arial" w:hAnsi="Arial"/>
      <w:color w:val="51626F" w:themeColor="accent1"/>
      <w:sz w:val="16"/>
      <w:szCs w:val="16"/>
    </w:rPr>
  </w:style>
  <w:style w:type="paragraph" w:styleId="TOC8">
    <w:name w:val="toc 8"/>
    <w:basedOn w:val="Normal"/>
    <w:next w:val="Normal"/>
    <w:uiPriority w:val="39"/>
    <w:rsid w:val="009F4940"/>
    <w:pPr>
      <w:tabs>
        <w:tab w:val="right" w:leader="dot" w:pos="9016"/>
      </w:tabs>
      <w:spacing w:after="100"/>
      <w:ind w:left="2977"/>
    </w:pPr>
    <w:rPr>
      <w:noProof/>
    </w:rPr>
  </w:style>
  <w:style w:type="paragraph" w:styleId="TOC9">
    <w:name w:val="toc 9"/>
    <w:basedOn w:val="Normal"/>
    <w:next w:val="Normal"/>
    <w:uiPriority w:val="39"/>
    <w:rsid w:val="009F4940"/>
    <w:pPr>
      <w:tabs>
        <w:tab w:val="right" w:leader="dot" w:pos="9016"/>
      </w:tabs>
      <w:spacing w:after="100"/>
      <w:ind w:left="3402"/>
    </w:pPr>
    <w:rPr>
      <w:noProof/>
    </w:rPr>
  </w:style>
  <w:style w:type="paragraph" w:customStyle="1" w:styleId="Numbered1">
    <w:name w:val="Numbered 1"/>
    <w:basedOn w:val="Heading1"/>
    <w:next w:val="Normal"/>
    <w:link w:val="Numbered1Char"/>
    <w:qFormat/>
    <w:rsid w:val="00F61B84"/>
    <w:pPr>
      <w:numPr>
        <w:numId w:val="12"/>
      </w:numPr>
      <w:tabs>
        <w:tab w:val="left" w:pos="680"/>
      </w:tabs>
      <w:ind w:left="680" w:hanging="680"/>
    </w:pPr>
  </w:style>
  <w:style w:type="paragraph" w:customStyle="1" w:styleId="Numbered11">
    <w:name w:val="Numbered 1.1"/>
    <w:basedOn w:val="Heading2"/>
    <w:next w:val="Normal"/>
    <w:qFormat/>
    <w:rsid w:val="00F61B84"/>
    <w:pPr>
      <w:numPr>
        <w:ilvl w:val="1"/>
        <w:numId w:val="12"/>
      </w:numPr>
      <w:tabs>
        <w:tab w:val="left" w:pos="1021"/>
      </w:tabs>
      <w:ind w:left="1021" w:hanging="1021"/>
    </w:pPr>
    <w:rPr>
      <w:rFonts w:cs="Arial"/>
      <w:b w:val="0"/>
    </w:rPr>
  </w:style>
  <w:style w:type="paragraph" w:customStyle="1" w:styleId="Numbered111">
    <w:name w:val="Numbered 1.1.1"/>
    <w:basedOn w:val="Heading3"/>
    <w:next w:val="Normal"/>
    <w:qFormat/>
    <w:rsid w:val="00F61B84"/>
    <w:pPr>
      <w:numPr>
        <w:ilvl w:val="2"/>
        <w:numId w:val="12"/>
      </w:numPr>
      <w:tabs>
        <w:tab w:val="left" w:pos="1361"/>
      </w:tabs>
      <w:ind w:left="1361" w:hanging="1361"/>
      <w:contextualSpacing/>
    </w:pPr>
  </w:style>
  <w:style w:type="paragraph" w:customStyle="1" w:styleId="Numbered1111">
    <w:name w:val="Numbered 1.1.1.1"/>
    <w:basedOn w:val="Heading4"/>
    <w:next w:val="Normal"/>
    <w:rsid w:val="00F61B84"/>
    <w:pPr>
      <w:numPr>
        <w:ilvl w:val="3"/>
        <w:numId w:val="12"/>
      </w:numPr>
      <w:tabs>
        <w:tab w:val="left" w:pos="1361"/>
      </w:tabs>
      <w:ind w:left="1361" w:hanging="1361"/>
    </w:pPr>
  </w:style>
  <w:style w:type="paragraph" w:customStyle="1" w:styleId="Numbered11111">
    <w:name w:val="Numbered 1.1.1.1.1"/>
    <w:basedOn w:val="Heading5"/>
    <w:next w:val="Normal"/>
    <w:uiPriority w:val="2"/>
    <w:rsid w:val="00F61B84"/>
    <w:pPr>
      <w:numPr>
        <w:ilvl w:val="4"/>
        <w:numId w:val="12"/>
      </w:numPr>
      <w:tabs>
        <w:tab w:val="left" w:pos="1701"/>
      </w:tabs>
      <w:ind w:left="1701" w:hanging="1701"/>
    </w:pPr>
  </w:style>
  <w:style w:type="paragraph" w:customStyle="1" w:styleId="Numbered111111">
    <w:name w:val="Numbered 1.1.1.1.1.1"/>
    <w:basedOn w:val="Heading6"/>
    <w:next w:val="Normal"/>
    <w:uiPriority w:val="2"/>
    <w:rsid w:val="00F61B84"/>
    <w:pPr>
      <w:numPr>
        <w:ilvl w:val="5"/>
        <w:numId w:val="12"/>
      </w:numPr>
      <w:tabs>
        <w:tab w:val="left" w:pos="1701"/>
      </w:tabs>
      <w:ind w:left="1701" w:hanging="1701"/>
    </w:pPr>
  </w:style>
  <w:style w:type="paragraph" w:styleId="Header">
    <w:name w:val="header"/>
    <w:basedOn w:val="Normal"/>
    <w:link w:val="HeaderChar"/>
    <w:uiPriority w:val="99"/>
    <w:unhideWhenUsed/>
    <w:qFormat/>
    <w:rsid w:val="008344F6"/>
    <w:pPr>
      <w:tabs>
        <w:tab w:val="center" w:pos="4513"/>
        <w:tab w:val="right" w:pos="9026"/>
      </w:tabs>
      <w:spacing w:after="120"/>
    </w:pPr>
    <w:rPr>
      <w:color w:val="51626F" w:themeColor="accent1"/>
      <w:sz w:val="18"/>
    </w:rPr>
  </w:style>
  <w:style w:type="character" w:customStyle="1" w:styleId="HeaderChar">
    <w:name w:val="Header Char"/>
    <w:basedOn w:val="DefaultParagraphFont"/>
    <w:link w:val="Header"/>
    <w:uiPriority w:val="99"/>
    <w:rsid w:val="008344F6"/>
    <w:rPr>
      <w:rFonts w:ascii="Arial" w:hAnsi="Arial"/>
      <w:color w:val="51626F" w:themeColor="accent1"/>
      <w:sz w:val="18"/>
    </w:rPr>
  </w:style>
  <w:style w:type="paragraph" w:styleId="NoSpacing">
    <w:name w:val="No Spacing"/>
    <w:uiPriority w:val="1"/>
    <w:qFormat/>
    <w:rsid w:val="00724A37"/>
    <w:pPr>
      <w:spacing w:before="0"/>
    </w:pPr>
    <w:rPr>
      <w:rFonts w:ascii="Arial" w:hAnsi="Arial"/>
    </w:rPr>
  </w:style>
  <w:style w:type="paragraph" w:customStyle="1" w:styleId="Tabletitle">
    <w:name w:val="Table title"/>
    <w:basedOn w:val="Normal"/>
    <w:link w:val="TabletitleChar"/>
    <w:qFormat/>
    <w:rsid w:val="000A14D7"/>
    <w:pPr>
      <w:keepNext/>
      <w:spacing w:before="240" w:after="120"/>
    </w:pPr>
    <w:rPr>
      <w:b/>
      <w:szCs w:val="20"/>
    </w:rPr>
  </w:style>
  <w:style w:type="character" w:customStyle="1" w:styleId="TabletitleChar">
    <w:name w:val="Table title Char"/>
    <w:basedOn w:val="DefaultParagraphFont"/>
    <w:link w:val="Tabletitle"/>
    <w:rsid w:val="000A14D7"/>
    <w:rPr>
      <w:rFonts w:ascii="Arial" w:hAnsi="Arial"/>
      <w:b/>
      <w:szCs w:val="20"/>
    </w:rPr>
  </w:style>
  <w:style w:type="paragraph" w:customStyle="1" w:styleId="Charttitle">
    <w:name w:val="Chart title"/>
    <w:basedOn w:val="Tabletitle"/>
    <w:rsid w:val="005C26CC"/>
    <w:rPr>
      <w:sz w:val="24"/>
    </w:rPr>
  </w:style>
  <w:style w:type="paragraph" w:styleId="EndnoteText">
    <w:name w:val="endnote text"/>
    <w:basedOn w:val="Normal"/>
    <w:link w:val="EndnoteTextChar"/>
    <w:uiPriority w:val="99"/>
    <w:rsid w:val="00263AC0"/>
    <w:pPr>
      <w:spacing w:before="0"/>
    </w:pPr>
    <w:rPr>
      <w:sz w:val="20"/>
      <w:szCs w:val="20"/>
    </w:rPr>
  </w:style>
  <w:style w:type="paragraph" w:customStyle="1" w:styleId="Boxedtext">
    <w:name w:val="Boxed text"/>
    <w:basedOn w:val="Normal"/>
    <w:link w:val="BoxedtextChar"/>
    <w:uiPriority w:val="1"/>
    <w:rsid w:val="00180157"/>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hd w:val="clear" w:color="auto" w:fill="F2F2F2" w:themeFill="background1" w:themeFillShade="F2"/>
      <w:spacing w:after="240"/>
    </w:pPr>
    <w:rPr>
      <w:szCs w:val="20"/>
    </w:rPr>
  </w:style>
  <w:style w:type="character" w:customStyle="1" w:styleId="BoxedtextChar">
    <w:name w:val="Boxed text Char"/>
    <w:basedOn w:val="DefaultParagraphFont"/>
    <w:link w:val="Boxedtext"/>
    <w:uiPriority w:val="1"/>
    <w:rsid w:val="00AE1BF1"/>
    <w:rPr>
      <w:rFonts w:ascii="Arial" w:hAnsi="Arial"/>
      <w:szCs w:val="20"/>
      <w:shd w:val="clear" w:color="auto" w:fill="F2F2F2" w:themeFill="background1" w:themeFillShade="F2"/>
    </w:rPr>
  </w:style>
  <w:style w:type="paragraph" w:customStyle="1" w:styleId="Pullquoteheading">
    <w:name w:val="Pull quote heading"/>
    <w:basedOn w:val="Normal"/>
    <w:link w:val="PullquoteheadingChar"/>
    <w:uiPriority w:val="1"/>
    <w:rsid w:val="00EA3D42"/>
    <w:pPr>
      <w:spacing w:after="120"/>
      <w:contextualSpacing/>
    </w:pPr>
    <w:rPr>
      <w:rFonts w:ascii="Lucida Fax" w:hAnsi="Lucida Fax"/>
      <w:b/>
      <w:color w:val="DC5034"/>
      <w:sz w:val="24"/>
      <w:szCs w:val="24"/>
    </w:rPr>
  </w:style>
  <w:style w:type="character" w:customStyle="1" w:styleId="PullquoteheadingChar">
    <w:name w:val="Pull quote heading Char"/>
    <w:basedOn w:val="DefaultParagraphFont"/>
    <w:link w:val="Pullquoteheading"/>
    <w:uiPriority w:val="1"/>
    <w:rsid w:val="00AE1BF1"/>
    <w:rPr>
      <w:rFonts w:ascii="Lucida Fax" w:hAnsi="Lucida Fax"/>
      <w:b/>
      <w:color w:val="DC5034"/>
      <w:sz w:val="24"/>
      <w:szCs w:val="24"/>
    </w:rPr>
  </w:style>
  <w:style w:type="paragraph" w:customStyle="1" w:styleId="Pullquotetext">
    <w:name w:val="Pull quote text"/>
    <w:link w:val="PullquotetextChar"/>
    <w:uiPriority w:val="1"/>
    <w:rsid w:val="00AF0DD2"/>
    <w:pPr>
      <w:spacing w:before="120"/>
    </w:pPr>
    <w:rPr>
      <w:rFonts w:ascii="Lucida Fax" w:hAnsi="Lucida Fax"/>
      <w:color w:val="DC5034"/>
      <w:szCs w:val="24"/>
    </w:rPr>
  </w:style>
  <w:style w:type="character" w:customStyle="1" w:styleId="PullquotetextChar">
    <w:name w:val="Pull quote text Char"/>
    <w:basedOn w:val="PullquoteheadingChar"/>
    <w:link w:val="Pullquotetext"/>
    <w:uiPriority w:val="1"/>
    <w:rsid w:val="00AE1BF1"/>
    <w:rPr>
      <w:rFonts w:ascii="Lucida Fax" w:hAnsi="Lucida Fax"/>
      <w:b w:val="0"/>
      <w:color w:val="DC5034"/>
      <w:sz w:val="24"/>
      <w:szCs w:val="24"/>
    </w:rPr>
  </w:style>
  <w:style w:type="paragraph" w:customStyle="1" w:styleId="Note">
    <w:name w:val="Note"/>
    <w:basedOn w:val="Normal"/>
    <w:link w:val="NoteChar"/>
    <w:rsid w:val="00085663"/>
    <w:pPr>
      <w:spacing w:after="120"/>
    </w:pPr>
    <w:rPr>
      <w:i/>
      <w:sz w:val="16"/>
      <w:szCs w:val="16"/>
    </w:rPr>
  </w:style>
  <w:style w:type="character" w:customStyle="1" w:styleId="NoteChar">
    <w:name w:val="Note Char"/>
    <w:basedOn w:val="DefaultParagraphFont"/>
    <w:link w:val="Note"/>
    <w:rsid w:val="00085663"/>
    <w:rPr>
      <w:rFonts w:ascii="Arial" w:hAnsi="Arial"/>
      <w:i/>
      <w:sz w:val="16"/>
      <w:szCs w:val="16"/>
    </w:rPr>
  </w:style>
  <w:style w:type="paragraph" w:customStyle="1" w:styleId="Source">
    <w:name w:val="Source"/>
    <w:basedOn w:val="Normal"/>
    <w:link w:val="SourceChar"/>
    <w:rsid w:val="00085663"/>
    <w:pPr>
      <w:spacing w:after="60"/>
    </w:pPr>
    <w:rPr>
      <w:sz w:val="16"/>
      <w:szCs w:val="16"/>
    </w:rPr>
  </w:style>
  <w:style w:type="character" w:customStyle="1" w:styleId="SourceChar">
    <w:name w:val="Source Char"/>
    <w:basedOn w:val="DefaultParagraphFont"/>
    <w:link w:val="Source"/>
    <w:rsid w:val="00085663"/>
    <w:rPr>
      <w:rFonts w:ascii="Arial" w:hAnsi="Arial"/>
      <w:sz w:val="16"/>
      <w:szCs w:val="16"/>
    </w:rPr>
  </w:style>
  <w:style w:type="paragraph" w:customStyle="1" w:styleId="Footnotes">
    <w:name w:val="Footnotes"/>
    <w:basedOn w:val="FootnoteText"/>
    <w:link w:val="FootnotesChar"/>
    <w:uiPriority w:val="4"/>
    <w:semiHidden/>
    <w:qFormat/>
    <w:rsid w:val="00B8080B"/>
  </w:style>
  <w:style w:type="character" w:customStyle="1" w:styleId="FootnotesChar">
    <w:name w:val="Footnotes Char"/>
    <w:basedOn w:val="DefaultParagraphFont"/>
    <w:link w:val="Footnotes"/>
    <w:uiPriority w:val="4"/>
    <w:semiHidden/>
    <w:rsid w:val="00FE39C2"/>
    <w:rPr>
      <w:rFonts w:ascii="Arial" w:hAnsi="Arial"/>
      <w:sz w:val="20"/>
      <w:szCs w:val="20"/>
    </w:rPr>
  </w:style>
  <w:style w:type="paragraph" w:styleId="Quote">
    <w:name w:val="Quote"/>
    <w:basedOn w:val="Normal"/>
    <w:next w:val="Normal"/>
    <w:link w:val="QuoteChar"/>
    <w:uiPriority w:val="29"/>
    <w:qFormat/>
    <w:rsid w:val="001D055E"/>
    <w:pPr>
      <w:ind w:left="737"/>
    </w:pPr>
    <w:rPr>
      <w:i/>
      <w:iCs/>
      <w:color w:val="000000" w:themeColor="text1"/>
    </w:rPr>
  </w:style>
  <w:style w:type="character" w:customStyle="1" w:styleId="QuoteChar">
    <w:name w:val="Quote Char"/>
    <w:basedOn w:val="DefaultParagraphFont"/>
    <w:link w:val="Quote"/>
    <w:uiPriority w:val="29"/>
    <w:rsid w:val="001D055E"/>
    <w:rPr>
      <w:rFonts w:ascii="Arial" w:hAnsi="Arial"/>
      <w:i/>
      <w:iCs/>
      <w:color w:val="000000" w:themeColor="text1"/>
    </w:rPr>
  </w:style>
  <w:style w:type="paragraph" w:customStyle="1" w:styleId="Bulletpoint">
    <w:name w:val="Bullet point"/>
    <w:basedOn w:val="ListBullet"/>
    <w:qFormat/>
    <w:rsid w:val="00E4674F"/>
    <w:pPr>
      <w:numPr>
        <w:numId w:val="2"/>
      </w:numPr>
    </w:pPr>
    <w:rPr>
      <w:rFonts w:cs="Times New Roman"/>
    </w:rPr>
  </w:style>
  <w:style w:type="paragraph" w:styleId="ListBullet">
    <w:name w:val="List Bullet"/>
    <w:basedOn w:val="Normal"/>
    <w:uiPriority w:val="99"/>
    <w:rsid w:val="00DC542F"/>
    <w:pPr>
      <w:numPr>
        <w:numId w:val="10"/>
      </w:numPr>
      <w:tabs>
        <w:tab w:val="left" w:pos="340"/>
      </w:tabs>
      <w:spacing w:before="120"/>
      <w:ind w:left="340" w:hanging="340"/>
    </w:pPr>
  </w:style>
  <w:style w:type="paragraph" w:customStyle="1" w:styleId="Bulletpoint2">
    <w:name w:val="Bullet point 2"/>
    <w:basedOn w:val="ListBullet2"/>
    <w:uiPriority w:val="1"/>
    <w:qFormat/>
    <w:rsid w:val="00E4674F"/>
    <w:pPr>
      <w:numPr>
        <w:numId w:val="9"/>
      </w:numPr>
      <w:tabs>
        <w:tab w:val="left" w:pos="680"/>
      </w:tabs>
      <w:ind w:left="680" w:hanging="340"/>
    </w:pPr>
  </w:style>
  <w:style w:type="paragraph" w:styleId="ListNumber">
    <w:name w:val="List Number"/>
    <w:basedOn w:val="Normal"/>
    <w:uiPriority w:val="99"/>
    <w:rsid w:val="000F2368"/>
    <w:pPr>
      <w:numPr>
        <w:numId w:val="23"/>
      </w:numPr>
      <w:spacing w:before="120"/>
    </w:pPr>
    <w:rPr>
      <w:color w:val="000000" w:themeColor="text1" w:themeShade="BF"/>
    </w:rPr>
  </w:style>
  <w:style w:type="paragraph" w:styleId="ListBullet2">
    <w:name w:val="List Bullet 2"/>
    <w:basedOn w:val="Normal"/>
    <w:uiPriority w:val="99"/>
    <w:rsid w:val="00DC542F"/>
    <w:pPr>
      <w:numPr>
        <w:numId w:val="3"/>
      </w:numPr>
      <w:tabs>
        <w:tab w:val="clear" w:pos="643"/>
        <w:tab w:val="num" w:pos="680"/>
      </w:tabs>
      <w:spacing w:before="120"/>
      <w:ind w:left="680" w:hanging="340"/>
    </w:pPr>
  </w:style>
  <w:style w:type="paragraph" w:styleId="TOCHeading">
    <w:name w:val="TOC Heading"/>
    <w:aliases w:val="NCC TOC Heading"/>
    <w:basedOn w:val="Normal"/>
    <w:next w:val="Normal"/>
    <w:uiPriority w:val="39"/>
    <w:qFormat/>
    <w:rsid w:val="00E04818"/>
    <w:pPr>
      <w:spacing w:before="480" w:after="120" w:line="276" w:lineRule="auto"/>
    </w:pPr>
    <w:rPr>
      <w:rFonts w:ascii="Lucida Fax" w:eastAsiaTheme="majorEastAsia" w:hAnsi="Lucida Fax" w:cstheme="majorBidi"/>
      <w:bCs/>
      <w:color w:val="51626F"/>
      <w:sz w:val="32"/>
      <w:szCs w:val="28"/>
      <w:lang w:val="en-US" w:eastAsia="ja-JP"/>
    </w:rPr>
  </w:style>
  <w:style w:type="paragraph" w:styleId="ListNumber2">
    <w:name w:val="List Number 2"/>
    <w:next w:val="Normal"/>
    <w:uiPriority w:val="99"/>
    <w:rsid w:val="00BE4C99"/>
    <w:pPr>
      <w:numPr>
        <w:numId w:val="24"/>
      </w:numPr>
      <w:tabs>
        <w:tab w:val="left" w:pos="680"/>
      </w:tabs>
      <w:spacing w:before="120"/>
    </w:pPr>
    <w:rPr>
      <w:rFonts w:ascii="Arial" w:hAnsi="Arial"/>
    </w:rPr>
  </w:style>
  <w:style w:type="character" w:styleId="Hyperlink">
    <w:name w:val="Hyperlink"/>
    <w:basedOn w:val="DefaultParagraphFont"/>
    <w:uiPriority w:val="99"/>
    <w:qFormat/>
    <w:rsid w:val="00BE1F1B"/>
    <w:rPr>
      <w:rFonts w:ascii="Arial" w:hAnsi="Arial"/>
      <w:color w:val="0000FF"/>
      <w:sz w:val="22"/>
      <w:u w:val="single"/>
    </w:rPr>
  </w:style>
  <w:style w:type="paragraph" w:styleId="BalloonText">
    <w:name w:val="Balloon Text"/>
    <w:basedOn w:val="Normal"/>
    <w:link w:val="BalloonTextChar"/>
    <w:uiPriority w:val="99"/>
    <w:semiHidden/>
    <w:unhideWhenUsed/>
    <w:rsid w:val="003518B3"/>
    <w:pPr>
      <w:spacing w:before="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18B3"/>
    <w:rPr>
      <w:rFonts w:ascii="Tahoma" w:hAnsi="Tahoma" w:cs="Tahoma"/>
      <w:sz w:val="16"/>
      <w:szCs w:val="16"/>
    </w:rPr>
  </w:style>
  <w:style w:type="paragraph" w:styleId="Footer">
    <w:name w:val="footer"/>
    <w:basedOn w:val="Normal"/>
    <w:link w:val="FooterChar"/>
    <w:uiPriority w:val="99"/>
    <w:unhideWhenUsed/>
    <w:qFormat/>
    <w:rsid w:val="00A57D04"/>
    <w:pPr>
      <w:tabs>
        <w:tab w:val="center" w:pos="4513"/>
        <w:tab w:val="right" w:pos="9026"/>
      </w:tabs>
      <w:spacing w:after="120"/>
    </w:pPr>
    <w:rPr>
      <w:color w:val="51626F" w:themeColor="accent1"/>
      <w:sz w:val="18"/>
    </w:rPr>
  </w:style>
  <w:style w:type="character" w:customStyle="1" w:styleId="FooterChar">
    <w:name w:val="Footer Char"/>
    <w:basedOn w:val="DefaultParagraphFont"/>
    <w:link w:val="Footer"/>
    <w:uiPriority w:val="99"/>
    <w:rsid w:val="00A57D04"/>
    <w:rPr>
      <w:rFonts w:ascii="Arial" w:hAnsi="Arial"/>
      <w:color w:val="51626F" w:themeColor="accent1"/>
      <w:sz w:val="18"/>
    </w:rPr>
  </w:style>
  <w:style w:type="paragraph" w:styleId="ListParagraph">
    <w:name w:val="List Paragraph"/>
    <w:basedOn w:val="Normal"/>
    <w:uiPriority w:val="34"/>
    <w:qFormat/>
    <w:rsid w:val="00F61B84"/>
    <w:pPr>
      <w:numPr>
        <w:numId w:val="11"/>
      </w:numPr>
      <w:tabs>
        <w:tab w:val="left" w:pos="340"/>
      </w:tabs>
      <w:spacing w:before="120"/>
    </w:pPr>
  </w:style>
  <w:style w:type="character" w:customStyle="1" w:styleId="Heading7Char">
    <w:name w:val="Heading 7 Char"/>
    <w:basedOn w:val="DefaultParagraphFont"/>
    <w:link w:val="Heading7"/>
    <w:uiPriority w:val="2"/>
    <w:rsid w:val="009D6B46"/>
    <w:rPr>
      <w:rFonts w:ascii="Arial" w:eastAsiaTheme="majorEastAsia" w:hAnsi="Arial" w:cstheme="majorBidi"/>
      <w:i/>
      <w:iCs/>
      <w:color w:val="404040" w:themeColor="text1" w:themeTint="BF"/>
    </w:rPr>
  </w:style>
  <w:style w:type="character" w:customStyle="1" w:styleId="Heading8Char">
    <w:name w:val="Heading 8 Char"/>
    <w:basedOn w:val="DefaultParagraphFont"/>
    <w:link w:val="Heading8"/>
    <w:uiPriority w:val="2"/>
    <w:rsid w:val="009D6B46"/>
    <w:rPr>
      <w:rFonts w:ascii="Arial" w:eastAsiaTheme="majorEastAsia" w:hAnsi="Arial" w:cstheme="majorBidi"/>
      <w:color w:val="51626F" w:themeColor="accent1"/>
      <w:szCs w:val="20"/>
    </w:rPr>
  </w:style>
  <w:style w:type="character" w:customStyle="1" w:styleId="Heading9Char">
    <w:name w:val="Heading 9 Char"/>
    <w:aliases w:val="Numbered Table Char"/>
    <w:basedOn w:val="DefaultParagraphFont"/>
    <w:link w:val="Heading9"/>
    <w:uiPriority w:val="2"/>
    <w:rsid w:val="00646025"/>
    <w:rPr>
      <w:rFonts w:ascii="Arial" w:eastAsiaTheme="majorEastAsia" w:hAnsi="Arial" w:cstheme="majorBidi"/>
      <w:b/>
      <w:iCs/>
      <w:color w:val="000000" w:themeColor="text1"/>
      <w:sz w:val="24"/>
      <w:szCs w:val="20"/>
    </w:rPr>
  </w:style>
  <w:style w:type="paragraph" w:customStyle="1" w:styleId="Numbered1111111">
    <w:name w:val="Numbered 1.1.1.1.1.1.1"/>
    <w:basedOn w:val="Heading7"/>
    <w:next w:val="Normal"/>
    <w:uiPriority w:val="2"/>
    <w:rsid w:val="00F61B84"/>
    <w:pPr>
      <w:numPr>
        <w:ilvl w:val="6"/>
        <w:numId w:val="12"/>
      </w:numPr>
      <w:tabs>
        <w:tab w:val="left" w:pos="2041"/>
      </w:tabs>
      <w:ind w:left="2041" w:hanging="2041"/>
    </w:pPr>
  </w:style>
  <w:style w:type="paragraph" w:customStyle="1" w:styleId="Numbered11111111">
    <w:name w:val="Numbered 1.1.1.1.1.1.1.1"/>
    <w:basedOn w:val="Heading8"/>
    <w:next w:val="Normal"/>
    <w:uiPriority w:val="2"/>
    <w:rsid w:val="00F61B84"/>
    <w:pPr>
      <w:numPr>
        <w:ilvl w:val="7"/>
        <w:numId w:val="12"/>
      </w:numPr>
      <w:tabs>
        <w:tab w:val="left" w:pos="2041"/>
      </w:tabs>
      <w:ind w:left="2041" w:hanging="2041"/>
    </w:pPr>
  </w:style>
  <w:style w:type="table" w:styleId="TableGrid">
    <w:name w:val="Table Grid"/>
    <w:aliases w:val="ACCC Table"/>
    <w:basedOn w:val="TableNormal"/>
    <w:uiPriority w:val="59"/>
    <w:rsid w:val="00C53B5A"/>
    <w:pPr>
      <w:spacing w:before="60" w:after="60"/>
    </w:pPr>
    <w:rPr>
      <w:rFonts w:ascii="Arial" w:hAnsi="Arial"/>
      <w:sz w:val="20"/>
    </w:rPr>
    <w:tblPr>
      <w:tblBorders>
        <w:top w:val="single" w:sz="4" w:space="0" w:color="BFBFBF" w:themeColor="background1" w:themeShade="BF"/>
        <w:bottom w:val="single" w:sz="4" w:space="0" w:color="BFBFBF" w:themeColor="background1" w:themeShade="BF"/>
      </w:tblBorders>
    </w:tblPr>
    <w:tcPr>
      <w:shd w:val="clear" w:color="auto" w:fill="auto"/>
    </w:tcPr>
    <w:tblStylePr w:type="firstRow">
      <w:pPr>
        <w:wordWrap/>
        <w:spacing w:beforeLines="0" w:before="120" w:beforeAutospacing="0" w:afterLines="0" w:after="120" w:afterAutospacing="0"/>
      </w:pPr>
      <w:rPr>
        <w:rFonts w:ascii="Arial" w:hAnsi="Arial"/>
        <w:b/>
        <w:sz w:val="20"/>
      </w:rPr>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auto"/>
      </w:tcPr>
    </w:tblStylePr>
    <w:tblStylePr w:type="lastRow">
      <w:pPr>
        <w:wordWrap/>
        <w:spacing w:beforeLines="0" w:before="120" w:beforeAutospacing="0" w:afterLines="0" w:after="120" w:afterAutospacing="0" w:line="240" w:lineRule="auto"/>
      </w:pPr>
      <w:rPr>
        <w:rFonts w:ascii="Arial" w:hAnsi="Arial"/>
        <w:b/>
        <w:sz w:val="20"/>
      </w:rPr>
    </w:tblStylePr>
    <w:tblStylePr w:type="firstCol">
      <w:rPr>
        <w:rFonts w:ascii="Arial" w:hAnsi="Arial"/>
        <w:b/>
        <w:sz w:val="20"/>
      </w:rPr>
    </w:tblStylePr>
  </w:style>
  <w:style w:type="table" w:styleId="LightShading">
    <w:name w:val="Light Shading"/>
    <w:basedOn w:val="TableNormal"/>
    <w:uiPriority w:val="60"/>
    <w:rsid w:val="00C53B5A"/>
    <w:pPr>
      <w:spacing w:before="120" w:after="120"/>
    </w:pPr>
    <w:rPr>
      <w:sz w:val="20"/>
    </w:rPr>
    <w:tblPr>
      <w:tblBorders>
        <w:top w:val="single" w:sz="4" w:space="0" w:color="D5D6D2" w:themeColor="background2"/>
        <w:left w:val="single" w:sz="4" w:space="0" w:color="D5D6D2" w:themeColor="background2"/>
        <w:bottom w:val="single" w:sz="4" w:space="0" w:color="D5D6D2" w:themeColor="background2"/>
        <w:right w:val="single" w:sz="4" w:space="0" w:color="D5D6D2" w:themeColor="background2"/>
        <w:insideH w:val="single" w:sz="4" w:space="0" w:color="D5D6D2" w:themeColor="background2"/>
        <w:insideV w:val="single" w:sz="4" w:space="0" w:color="D5D6D2" w:themeColor="background2"/>
      </w:tblBorders>
    </w:tblPr>
    <w:tcPr>
      <w:shd w:val="clear" w:color="auto" w:fill="auto"/>
      <w:vAlign w:val="center"/>
    </w:tcPr>
    <w:tblStylePr w:type="firstRow">
      <w:pPr>
        <w:wordWrap/>
        <w:spacing w:beforeLines="0" w:before="120" w:beforeAutospacing="0" w:afterLines="0" w:after="120" w:afterAutospacing="0" w:line="240" w:lineRule="auto"/>
      </w:pPr>
      <w:rPr>
        <w:rFonts w:asciiTheme="minorHAnsi" w:hAnsiTheme="minorHAnsi"/>
        <w:b/>
        <w:bCs/>
        <w:sz w:val="20"/>
      </w:rPr>
      <w:tblPr/>
      <w:tcPr>
        <w:tcBorders>
          <w:top w:val="single" w:sz="4" w:space="0" w:color="D5D6D2" w:themeColor="background2"/>
          <w:left w:val="single" w:sz="4" w:space="0" w:color="D5D6D2" w:themeColor="background2"/>
          <w:bottom w:val="single" w:sz="4" w:space="0" w:color="D5D6D2" w:themeColor="background2"/>
          <w:right w:val="single" w:sz="4" w:space="0" w:color="D5D6D2" w:themeColor="background2"/>
          <w:insideH w:val="single" w:sz="4" w:space="0" w:color="D5D6D2" w:themeColor="background2"/>
          <w:insideV w:val="single" w:sz="4" w:space="0" w:color="D5D6D2" w:themeColor="background2"/>
        </w:tcBorders>
        <w:shd w:val="clear" w:color="auto" w:fill="auto"/>
      </w:tcPr>
    </w:tblStylePr>
    <w:tblStylePr w:type="lastRow">
      <w:pPr>
        <w:wordWrap/>
        <w:spacing w:beforeLines="0" w:before="120" w:beforeAutospacing="0" w:afterLines="0" w:after="120" w:afterAutospacing="0" w:line="240" w:lineRule="auto"/>
      </w:pPr>
      <w:rPr>
        <w:b/>
        <w:bCs/>
        <w:sz w:val="20"/>
      </w:rPr>
      <w:tblPr/>
      <w:tcPr>
        <w:tcBorders>
          <w:top w:val="single" w:sz="4" w:space="0" w:color="D5D6D2" w:themeColor="background2"/>
          <w:left w:val="single" w:sz="4" w:space="0" w:color="D5D6D2" w:themeColor="background2"/>
          <w:bottom w:val="single" w:sz="4" w:space="0" w:color="D5D6D2" w:themeColor="background2"/>
          <w:right w:val="single" w:sz="4" w:space="0" w:color="D5D6D2" w:themeColor="background2"/>
          <w:insideH w:val="single" w:sz="4" w:space="0" w:color="D5D6D2" w:themeColor="background2"/>
          <w:insideV w:val="single" w:sz="4" w:space="0" w:color="D5D6D2" w:themeColor="background2"/>
        </w:tcBorders>
      </w:tcPr>
    </w:tblStylePr>
    <w:tblStylePr w:type="firstCol">
      <w:rPr>
        <w:b/>
        <w:bCs/>
        <w:sz w:val="20"/>
      </w:rPr>
    </w:tblStylePr>
    <w:tblStylePr w:type="lastCol">
      <w:rPr>
        <w:b/>
        <w:bCs/>
      </w:rPr>
    </w:tblStylePr>
  </w:style>
  <w:style w:type="table" w:styleId="LightShading-Accent1">
    <w:name w:val="Light Shading Accent 1"/>
    <w:basedOn w:val="TableNormal"/>
    <w:uiPriority w:val="60"/>
    <w:rsid w:val="00A871F4"/>
    <w:pPr>
      <w:spacing w:before="0"/>
    </w:pPr>
    <w:rPr>
      <w:color w:val="3C4953" w:themeColor="accent1" w:themeShade="BF"/>
    </w:rPr>
    <w:tblPr>
      <w:tblStyleRowBandSize w:val="1"/>
      <w:tblStyleColBandSize w:val="1"/>
      <w:tblBorders>
        <w:top w:val="single" w:sz="8" w:space="0" w:color="51626F" w:themeColor="accent1"/>
        <w:bottom w:val="single" w:sz="8" w:space="0" w:color="51626F" w:themeColor="accent1"/>
      </w:tblBorders>
    </w:tblPr>
    <w:tblStylePr w:type="firstRow">
      <w:pPr>
        <w:spacing w:before="0" w:after="0" w:line="240" w:lineRule="auto"/>
      </w:pPr>
      <w:rPr>
        <w:b/>
        <w:bCs/>
      </w:rPr>
      <w:tblPr/>
      <w:tcPr>
        <w:tcBorders>
          <w:top w:val="single" w:sz="8" w:space="0" w:color="51626F" w:themeColor="accent1"/>
          <w:left w:val="nil"/>
          <w:bottom w:val="single" w:sz="8" w:space="0" w:color="51626F" w:themeColor="accent1"/>
          <w:right w:val="nil"/>
          <w:insideH w:val="nil"/>
          <w:insideV w:val="nil"/>
        </w:tcBorders>
      </w:tcPr>
    </w:tblStylePr>
    <w:tblStylePr w:type="lastRow">
      <w:pPr>
        <w:spacing w:before="0" w:after="0" w:line="240" w:lineRule="auto"/>
      </w:pPr>
      <w:rPr>
        <w:b/>
        <w:bCs/>
      </w:rPr>
      <w:tblPr/>
      <w:tcPr>
        <w:tcBorders>
          <w:top w:val="single" w:sz="8" w:space="0" w:color="51626F" w:themeColor="accent1"/>
          <w:left w:val="nil"/>
          <w:bottom w:val="single" w:sz="8" w:space="0" w:color="51626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1D8DD" w:themeFill="accent1" w:themeFillTint="3F"/>
      </w:tcPr>
    </w:tblStylePr>
    <w:tblStylePr w:type="band1Horz">
      <w:tblPr/>
      <w:tcPr>
        <w:tcBorders>
          <w:left w:val="nil"/>
          <w:right w:val="nil"/>
          <w:insideH w:val="nil"/>
          <w:insideV w:val="nil"/>
        </w:tcBorders>
        <w:shd w:val="clear" w:color="auto" w:fill="D1D8DD" w:themeFill="accent1" w:themeFillTint="3F"/>
      </w:tcPr>
    </w:tblStylePr>
  </w:style>
  <w:style w:type="table" w:styleId="LightShading-Accent2">
    <w:name w:val="Light Shading Accent 2"/>
    <w:basedOn w:val="TableNormal"/>
    <w:uiPriority w:val="60"/>
    <w:rsid w:val="00746E01"/>
    <w:pPr>
      <w:spacing w:before="0"/>
    </w:pPr>
    <w:rPr>
      <w:rFonts w:ascii="Arial" w:hAnsi="Arial"/>
      <w:color w:val="000000"/>
      <w14:textFill>
        <w14:solidFill>
          <w14:srgbClr w14:val="000000">
            <w14:lumMod w14:val="75000"/>
            <w14:lumOff w14:val="0"/>
          </w14:srgbClr>
        </w14:solidFill>
      </w14:textFill>
    </w:rPr>
    <w:tblPr>
      <w:tblBorders>
        <w:top w:val="single" w:sz="4" w:space="0" w:color="B71202" w:themeColor="accent5"/>
        <w:left w:val="single" w:sz="4" w:space="0" w:color="B71202" w:themeColor="accent5"/>
        <w:bottom w:val="single" w:sz="4" w:space="0" w:color="B71202" w:themeColor="accent5"/>
        <w:right w:val="single" w:sz="4" w:space="0" w:color="B71202" w:themeColor="accent5"/>
        <w:insideH w:val="single" w:sz="4" w:space="0" w:color="B71202" w:themeColor="accent5"/>
        <w:insideV w:val="single" w:sz="4" w:space="0" w:color="B71202" w:themeColor="accent5"/>
      </w:tblBorders>
    </w:tblPr>
    <w:tcPr>
      <w:vAlign w:val="center"/>
    </w:tcPr>
    <w:tblStylePr w:type="firstRow">
      <w:pPr>
        <w:spacing w:before="0" w:after="0" w:line="240" w:lineRule="auto"/>
      </w:pPr>
      <w:rPr>
        <w:b w:val="0"/>
        <w:bCs/>
      </w:rPr>
      <w:tblPr/>
      <w:tcPr>
        <w:tcBorders>
          <w:top w:val="single" w:sz="4" w:space="0" w:color="B71202" w:themeColor="accent5"/>
          <w:left w:val="single" w:sz="4" w:space="0" w:color="B71202" w:themeColor="accent5"/>
          <w:bottom w:val="single" w:sz="4" w:space="0" w:color="B71202" w:themeColor="accent5"/>
          <w:right w:val="single" w:sz="4" w:space="0" w:color="B71202" w:themeColor="accent5"/>
          <w:insideH w:val="single" w:sz="4" w:space="0" w:color="B71202" w:themeColor="accent5"/>
          <w:insideV w:val="single" w:sz="4" w:space="0" w:color="B71202" w:themeColor="accent5"/>
          <w:tl2br w:val="nil"/>
          <w:tr2bl w:val="nil"/>
        </w:tcBorders>
      </w:tcPr>
    </w:tblStylePr>
    <w:tblStylePr w:type="lastRow">
      <w:pPr>
        <w:spacing w:before="0" w:after="0" w:line="240" w:lineRule="auto"/>
      </w:pPr>
      <w:rPr>
        <w:b w:val="0"/>
        <w:bCs/>
      </w:rPr>
      <w:tblPr/>
      <w:tcPr>
        <w:tcBorders>
          <w:top w:val="single" w:sz="4" w:space="0" w:color="B71202" w:themeColor="accent5"/>
          <w:left w:val="single" w:sz="4" w:space="0" w:color="B71202" w:themeColor="accent5"/>
          <w:bottom w:val="single" w:sz="4" w:space="0" w:color="B71202" w:themeColor="accent5"/>
          <w:right w:val="single" w:sz="4" w:space="0" w:color="B71202" w:themeColor="accent5"/>
          <w:insideH w:val="single" w:sz="4" w:space="0" w:color="B71202" w:themeColor="accent5"/>
          <w:insideV w:val="single" w:sz="4" w:space="0" w:color="B71202" w:themeColor="accent5"/>
        </w:tcBorders>
      </w:tcPr>
    </w:tblStylePr>
    <w:tblStylePr w:type="firstCol">
      <w:rPr>
        <w:b w:val="0"/>
        <w:bCs/>
      </w:rPr>
    </w:tblStylePr>
    <w:tblStylePr w:type="lastCol">
      <w:rPr>
        <w:b w:val="0"/>
        <w:bCs/>
      </w:rPr>
    </w:tblStylePr>
  </w:style>
  <w:style w:type="table" w:styleId="LightShading-Accent3">
    <w:name w:val="Light Shading Accent 3"/>
    <w:basedOn w:val="TableNormal"/>
    <w:uiPriority w:val="60"/>
    <w:rsid w:val="00A871F4"/>
    <w:pPr>
      <w:spacing w:before="0"/>
    </w:pPr>
    <w:rPr>
      <w:color w:val="007192" w:themeColor="accent3" w:themeShade="BF"/>
    </w:rPr>
    <w:tblPr>
      <w:tblStyleRowBandSize w:val="1"/>
      <w:tblStyleColBandSize w:val="1"/>
      <w:tblBorders>
        <w:top w:val="single" w:sz="8" w:space="0" w:color="0098C3" w:themeColor="accent3"/>
        <w:bottom w:val="single" w:sz="8" w:space="0" w:color="0098C3" w:themeColor="accent3"/>
      </w:tblBorders>
    </w:tblPr>
    <w:tblStylePr w:type="firstRow">
      <w:pPr>
        <w:spacing w:before="0" w:after="0" w:line="240" w:lineRule="auto"/>
      </w:pPr>
      <w:rPr>
        <w:b/>
        <w:bCs/>
      </w:rPr>
      <w:tblPr/>
      <w:tcPr>
        <w:tcBorders>
          <w:top w:val="single" w:sz="8" w:space="0" w:color="0098C3" w:themeColor="accent3"/>
          <w:left w:val="nil"/>
          <w:bottom w:val="single" w:sz="8" w:space="0" w:color="0098C3" w:themeColor="accent3"/>
          <w:right w:val="nil"/>
          <w:insideH w:val="nil"/>
          <w:insideV w:val="nil"/>
        </w:tcBorders>
      </w:tcPr>
    </w:tblStylePr>
    <w:tblStylePr w:type="lastRow">
      <w:pPr>
        <w:spacing w:before="0" w:after="0" w:line="240" w:lineRule="auto"/>
      </w:pPr>
      <w:rPr>
        <w:b/>
        <w:bCs/>
      </w:rPr>
      <w:tblPr/>
      <w:tcPr>
        <w:tcBorders>
          <w:top w:val="single" w:sz="8" w:space="0" w:color="0098C3" w:themeColor="accent3"/>
          <w:left w:val="nil"/>
          <w:bottom w:val="single" w:sz="8" w:space="0" w:color="0098C3"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1EDFF" w:themeFill="accent3" w:themeFillTint="3F"/>
      </w:tcPr>
    </w:tblStylePr>
    <w:tblStylePr w:type="band1Horz">
      <w:tblPr/>
      <w:tcPr>
        <w:tcBorders>
          <w:left w:val="nil"/>
          <w:right w:val="nil"/>
          <w:insideH w:val="nil"/>
          <w:insideV w:val="nil"/>
        </w:tcBorders>
        <w:shd w:val="clear" w:color="auto" w:fill="B1EDFF" w:themeFill="accent3" w:themeFillTint="3F"/>
      </w:tcPr>
    </w:tblStylePr>
  </w:style>
  <w:style w:type="table" w:styleId="LightGrid-Accent6">
    <w:name w:val="Light Grid Accent 6"/>
    <w:basedOn w:val="TableNormal"/>
    <w:uiPriority w:val="62"/>
    <w:rsid w:val="00A871F4"/>
    <w:pPr>
      <w:spacing w:before="0"/>
    </w:pPr>
    <w:tblPr>
      <w:tblStyleRowBandSize w:val="1"/>
      <w:tblStyleColBandSize w:val="1"/>
      <w:tblBorders>
        <w:top w:val="single" w:sz="8" w:space="0" w:color="DC5034" w:themeColor="accent6"/>
        <w:left w:val="single" w:sz="8" w:space="0" w:color="DC5034" w:themeColor="accent6"/>
        <w:bottom w:val="single" w:sz="8" w:space="0" w:color="DC5034" w:themeColor="accent6"/>
        <w:right w:val="single" w:sz="8" w:space="0" w:color="DC5034" w:themeColor="accent6"/>
        <w:insideH w:val="single" w:sz="8" w:space="0" w:color="DC5034" w:themeColor="accent6"/>
        <w:insideV w:val="single" w:sz="8" w:space="0" w:color="DC5034"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C5034" w:themeColor="accent6"/>
          <w:left w:val="single" w:sz="8" w:space="0" w:color="DC5034" w:themeColor="accent6"/>
          <w:bottom w:val="single" w:sz="18" w:space="0" w:color="DC5034" w:themeColor="accent6"/>
          <w:right w:val="single" w:sz="8" w:space="0" w:color="DC5034" w:themeColor="accent6"/>
          <w:insideH w:val="nil"/>
          <w:insideV w:val="single" w:sz="8" w:space="0" w:color="DC5034"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C5034" w:themeColor="accent6"/>
          <w:left w:val="single" w:sz="8" w:space="0" w:color="DC5034" w:themeColor="accent6"/>
          <w:bottom w:val="single" w:sz="8" w:space="0" w:color="DC5034" w:themeColor="accent6"/>
          <w:right w:val="single" w:sz="8" w:space="0" w:color="DC5034" w:themeColor="accent6"/>
          <w:insideH w:val="nil"/>
          <w:insideV w:val="single" w:sz="8" w:space="0" w:color="DC5034"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C5034" w:themeColor="accent6"/>
          <w:left w:val="single" w:sz="8" w:space="0" w:color="DC5034" w:themeColor="accent6"/>
          <w:bottom w:val="single" w:sz="8" w:space="0" w:color="DC5034" w:themeColor="accent6"/>
          <w:right w:val="single" w:sz="8" w:space="0" w:color="DC5034" w:themeColor="accent6"/>
        </w:tcBorders>
      </w:tcPr>
    </w:tblStylePr>
    <w:tblStylePr w:type="band1Vert">
      <w:tblPr/>
      <w:tcPr>
        <w:tcBorders>
          <w:top w:val="single" w:sz="8" w:space="0" w:color="DC5034" w:themeColor="accent6"/>
          <w:left w:val="single" w:sz="8" w:space="0" w:color="DC5034" w:themeColor="accent6"/>
          <w:bottom w:val="single" w:sz="8" w:space="0" w:color="DC5034" w:themeColor="accent6"/>
          <w:right w:val="single" w:sz="8" w:space="0" w:color="DC5034" w:themeColor="accent6"/>
        </w:tcBorders>
        <w:shd w:val="clear" w:color="auto" w:fill="F6D3CC" w:themeFill="accent6" w:themeFillTint="3F"/>
      </w:tcPr>
    </w:tblStylePr>
    <w:tblStylePr w:type="band1Horz">
      <w:tblPr/>
      <w:tcPr>
        <w:tcBorders>
          <w:top w:val="single" w:sz="8" w:space="0" w:color="DC5034" w:themeColor="accent6"/>
          <w:left w:val="single" w:sz="8" w:space="0" w:color="DC5034" w:themeColor="accent6"/>
          <w:bottom w:val="single" w:sz="8" w:space="0" w:color="DC5034" w:themeColor="accent6"/>
          <w:right w:val="single" w:sz="8" w:space="0" w:color="DC5034" w:themeColor="accent6"/>
          <w:insideV w:val="single" w:sz="8" w:space="0" w:color="DC5034" w:themeColor="accent6"/>
        </w:tcBorders>
        <w:shd w:val="clear" w:color="auto" w:fill="F6D3CC" w:themeFill="accent6" w:themeFillTint="3F"/>
      </w:tcPr>
    </w:tblStylePr>
    <w:tblStylePr w:type="band2Horz">
      <w:tblPr/>
      <w:tcPr>
        <w:tcBorders>
          <w:top w:val="single" w:sz="8" w:space="0" w:color="DC5034" w:themeColor="accent6"/>
          <w:left w:val="single" w:sz="8" w:space="0" w:color="DC5034" w:themeColor="accent6"/>
          <w:bottom w:val="single" w:sz="8" w:space="0" w:color="DC5034" w:themeColor="accent6"/>
          <w:right w:val="single" w:sz="8" w:space="0" w:color="DC5034" w:themeColor="accent6"/>
          <w:insideV w:val="single" w:sz="8" w:space="0" w:color="DC5034" w:themeColor="accent6"/>
        </w:tcBorders>
      </w:tcPr>
    </w:tblStylePr>
  </w:style>
  <w:style w:type="table" w:styleId="MediumShading1">
    <w:name w:val="Medium Shading 1"/>
    <w:basedOn w:val="TableNormal"/>
    <w:uiPriority w:val="63"/>
    <w:rsid w:val="00A871F4"/>
    <w:pPr>
      <w:spacing w:before="0"/>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871F4"/>
    <w:pPr>
      <w:spacing w:before="0"/>
    </w:pPr>
    <w:tblPr>
      <w:tblStyleRowBandSize w:val="1"/>
      <w:tblStyleColBandSize w:val="1"/>
      <w:tblBorders>
        <w:top w:val="single" w:sz="8" w:space="0" w:color="758A9A" w:themeColor="accent1" w:themeTint="BF"/>
        <w:left w:val="single" w:sz="8" w:space="0" w:color="758A9A" w:themeColor="accent1" w:themeTint="BF"/>
        <w:bottom w:val="single" w:sz="8" w:space="0" w:color="758A9A" w:themeColor="accent1" w:themeTint="BF"/>
        <w:right w:val="single" w:sz="8" w:space="0" w:color="758A9A" w:themeColor="accent1" w:themeTint="BF"/>
        <w:insideH w:val="single" w:sz="8" w:space="0" w:color="758A9A" w:themeColor="accent1" w:themeTint="BF"/>
      </w:tblBorders>
    </w:tblPr>
    <w:tblStylePr w:type="firstRow">
      <w:pPr>
        <w:spacing w:before="0" w:after="0" w:line="240" w:lineRule="auto"/>
      </w:pPr>
      <w:rPr>
        <w:b/>
        <w:bCs/>
        <w:color w:val="FFFFFF" w:themeColor="background1"/>
      </w:rPr>
      <w:tblPr/>
      <w:tcPr>
        <w:tcBorders>
          <w:top w:val="single" w:sz="8" w:space="0" w:color="758A9A" w:themeColor="accent1" w:themeTint="BF"/>
          <w:left w:val="single" w:sz="8" w:space="0" w:color="758A9A" w:themeColor="accent1" w:themeTint="BF"/>
          <w:bottom w:val="single" w:sz="8" w:space="0" w:color="758A9A" w:themeColor="accent1" w:themeTint="BF"/>
          <w:right w:val="single" w:sz="8" w:space="0" w:color="758A9A" w:themeColor="accent1" w:themeTint="BF"/>
          <w:insideH w:val="nil"/>
          <w:insideV w:val="nil"/>
        </w:tcBorders>
        <w:shd w:val="clear" w:color="auto" w:fill="51626F" w:themeFill="accent1"/>
      </w:tcPr>
    </w:tblStylePr>
    <w:tblStylePr w:type="lastRow">
      <w:pPr>
        <w:spacing w:before="0" w:after="0" w:line="240" w:lineRule="auto"/>
      </w:pPr>
      <w:rPr>
        <w:b/>
        <w:bCs/>
      </w:rPr>
      <w:tblPr/>
      <w:tcPr>
        <w:tcBorders>
          <w:top w:val="double" w:sz="6" w:space="0" w:color="758A9A" w:themeColor="accent1" w:themeTint="BF"/>
          <w:left w:val="single" w:sz="8" w:space="0" w:color="758A9A" w:themeColor="accent1" w:themeTint="BF"/>
          <w:bottom w:val="single" w:sz="8" w:space="0" w:color="758A9A" w:themeColor="accent1" w:themeTint="BF"/>
          <w:right w:val="single" w:sz="8" w:space="0" w:color="758A9A" w:themeColor="accent1" w:themeTint="BF"/>
          <w:insideH w:val="nil"/>
          <w:insideV w:val="nil"/>
        </w:tcBorders>
      </w:tcPr>
    </w:tblStylePr>
    <w:tblStylePr w:type="firstCol">
      <w:rPr>
        <w:b/>
        <w:bCs/>
      </w:rPr>
    </w:tblStylePr>
    <w:tblStylePr w:type="lastCol">
      <w:rPr>
        <w:b/>
        <w:bCs/>
      </w:rPr>
    </w:tblStylePr>
    <w:tblStylePr w:type="band1Vert">
      <w:tblPr/>
      <w:tcPr>
        <w:shd w:val="clear" w:color="auto" w:fill="D1D8DD" w:themeFill="accent1" w:themeFillTint="3F"/>
      </w:tcPr>
    </w:tblStylePr>
    <w:tblStylePr w:type="band1Horz">
      <w:tblPr/>
      <w:tcPr>
        <w:tcBorders>
          <w:insideH w:val="nil"/>
          <w:insideV w:val="nil"/>
        </w:tcBorders>
        <w:shd w:val="clear" w:color="auto" w:fill="D1D8DD"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A871F4"/>
    <w:pPr>
      <w:spacing w:before="0"/>
    </w:pPr>
    <w:tblPr>
      <w:tblStyleRowBandSize w:val="1"/>
      <w:tblStyleColBandSize w:val="1"/>
      <w:tblBorders>
        <w:top w:val="single" w:sz="8" w:space="0" w:color="7643BB" w:themeColor="accent2" w:themeTint="BF"/>
        <w:left w:val="single" w:sz="8" w:space="0" w:color="7643BB" w:themeColor="accent2" w:themeTint="BF"/>
        <w:bottom w:val="single" w:sz="8" w:space="0" w:color="7643BB" w:themeColor="accent2" w:themeTint="BF"/>
        <w:right w:val="single" w:sz="8" w:space="0" w:color="7643BB" w:themeColor="accent2" w:themeTint="BF"/>
        <w:insideH w:val="single" w:sz="8" w:space="0" w:color="7643BB" w:themeColor="accent2" w:themeTint="BF"/>
      </w:tblBorders>
    </w:tblPr>
    <w:tblStylePr w:type="firstRow">
      <w:pPr>
        <w:spacing w:before="0" w:after="0" w:line="240" w:lineRule="auto"/>
      </w:pPr>
      <w:rPr>
        <w:b/>
        <w:bCs/>
        <w:color w:val="FFFFFF" w:themeColor="background1"/>
      </w:rPr>
      <w:tblPr/>
      <w:tcPr>
        <w:tcBorders>
          <w:top w:val="single" w:sz="8" w:space="0" w:color="7643BB" w:themeColor="accent2" w:themeTint="BF"/>
          <w:left w:val="single" w:sz="8" w:space="0" w:color="7643BB" w:themeColor="accent2" w:themeTint="BF"/>
          <w:bottom w:val="single" w:sz="8" w:space="0" w:color="7643BB" w:themeColor="accent2" w:themeTint="BF"/>
          <w:right w:val="single" w:sz="8" w:space="0" w:color="7643BB" w:themeColor="accent2" w:themeTint="BF"/>
          <w:insideH w:val="nil"/>
          <w:insideV w:val="nil"/>
        </w:tcBorders>
        <w:shd w:val="clear" w:color="auto" w:fill="4F2D7D" w:themeFill="accent2"/>
      </w:tcPr>
    </w:tblStylePr>
    <w:tblStylePr w:type="lastRow">
      <w:pPr>
        <w:spacing w:before="0" w:after="0" w:line="240" w:lineRule="auto"/>
      </w:pPr>
      <w:rPr>
        <w:b/>
        <w:bCs/>
      </w:rPr>
      <w:tblPr/>
      <w:tcPr>
        <w:tcBorders>
          <w:top w:val="double" w:sz="6" w:space="0" w:color="7643BB" w:themeColor="accent2" w:themeTint="BF"/>
          <w:left w:val="single" w:sz="8" w:space="0" w:color="7643BB" w:themeColor="accent2" w:themeTint="BF"/>
          <w:bottom w:val="single" w:sz="8" w:space="0" w:color="7643BB" w:themeColor="accent2" w:themeTint="BF"/>
          <w:right w:val="single" w:sz="8" w:space="0" w:color="7643BB" w:themeColor="accent2" w:themeTint="BF"/>
          <w:insideH w:val="nil"/>
          <w:insideV w:val="nil"/>
        </w:tcBorders>
      </w:tcPr>
    </w:tblStylePr>
    <w:tblStylePr w:type="firstCol">
      <w:rPr>
        <w:b/>
        <w:bCs/>
      </w:rPr>
    </w:tblStylePr>
    <w:tblStylePr w:type="lastCol">
      <w:rPr>
        <w:b/>
        <w:bCs/>
      </w:rPr>
    </w:tblStylePr>
    <w:tblStylePr w:type="band1Vert">
      <w:tblPr/>
      <w:tcPr>
        <w:shd w:val="clear" w:color="auto" w:fill="D1C1E8" w:themeFill="accent2" w:themeFillTint="3F"/>
      </w:tcPr>
    </w:tblStylePr>
    <w:tblStylePr w:type="band1Horz">
      <w:tblPr/>
      <w:tcPr>
        <w:tcBorders>
          <w:insideH w:val="nil"/>
          <w:insideV w:val="nil"/>
        </w:tcBorders>
        <w:shd w:val="clear" w:color="auto" w:fill="D1C1E8"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A871F4"/>
    <w:pPr>
      <w:spacing w:before="0"/>
    </w:pPr>
    <w:tblPr>
      <w:tblStyleRowBandSize w:val="1"/>
      <w:tblStyleColBandSize w:val="1"/>
      <w:tblBorders>
        <w:top w:val="single" w:sz="8" w:space="0" w:color="13CAFF" w:themeColor="accent3" w:themeTint="BF"/>
        <w:left w:val="single" w:sz="8" w:space="0" w:color="13CAFF" w:themeColor="accent3" w:themeTint="BF"/>
        <w:bottom w:val="single" w:sz="8" w:space="0" w:color="13CAFF" w:themeColor="accent3" w:themeTint="BF"/>
        <w:right w:val="single" w:sz="8" w:space="0" w:color="13CAFF" w:themeColor="accent3" w:themeTint="BF"/>
        <w:insideH w:val="single" w:sz="8" w:space="0" w:color="13CAFF" w:themeColor="accent3" w:themeTint="BF"/>
      </w:tblBorders>
    </w:tblPr>
    <w:tblStylePr w:type="firstRow">
      <w:pPr>
        <w:spacing w:before="0" w:after="0" w:line="240" w:lineRule="auto"/>
      </w:pPr>
      <w:rPr>
        <w:b/>
        <w:bCs/>
        <w:color w:val="FFFFFF" w:themeColor="background1"/>
      </w:rPr>
      <w:tblPr/>
      <w:tcPr>
        <w:tcBorders>
          <w:top w:val="single" w:sz="8" w:space="0" w:color="13CAFF" w:themeColor="accent3" w:themeTint="BF"/>
          <w:left w:val="single" w:sz="8" w:space="0" w:color="13CAFF" w:themeColor="accent3" w:themeTint="BF"/>
          <w:bottom w:val="single" w:sz="8" w:space="0" w:color="13CAFF" w:themeColor="accent3" w:themeTint="BF"/>
          <w:right w:val="single" w:sz="8" w:space="0" w:color="13CAFF" w:themeColor="accent3" w:themeTint="BF"/>
          <w:insideH w:val="nil"/>
          <w:insideV w:val="nil"/>
        </w:tcBorders>
        <w:shd w:val="clear" w:color="auto" w:fill="0098C3" w:themeFill="accent3"/>
      </w:tcPr>
    </w:tblStylePr>
    <w:tblStylePr w:type="lastRow">
      <w:pPr>
        <w:spacing w:before="0" w:after="0" w:line="240" w:lineRule="auto"/>
      </w:pPr>
      <w:rPr>
        <w:b/>
        <w:bCs/>
      </w:rPr>
      <w:tblPr/>
      <w:tcPr>
        <w:tcBorders>
          <w:top w:val="double" w:sz="6" w:space="0" w:color="13CAFF" w:themeColor="accent3" w:themeTint="BF"/>
          <w:left w:val="single" w:sz="8" w:space="0" w:color="13CAFF" w:themeColor="accent3" w:themeTint="BF"/>
          <w:bottom w:val="single" w:sz="8" w:space="0" w:color="13CAFF" w:themeColor="accent3" w:themeTint="BF"/>
          <w:right w:val="single" w:sz="8" w:space="0" w:color="13CAFF" w:themeColor="accent3" w:themeTint="BF"/>
          <w:insideH w:val="nil"/>
          <w:insideV w:val="nil"/>
        </w:tcBorders>
      </w:tcPr>
    </w:tblStylePr>
    <w:tblStylePr w:type="firstCol">
      <w:rPr>
        <w:b/>
        <w:bCs/>
      </w:rPr>
    </w:tblStylePr>
    <w:tblStylePr w:type="lastCol">
      <w:rPr>
        <w:b/>
        <w:bCs/>
      </w:rPr>
    </w:tblStylePr>
    <w:tblStylePr w:type="band1Vert">
      <w:tblPr/>
      <w:tcPr>
        <w:shd w:val="clear" w:color="auto" w:fill="B1EDFF" w:themeFill="accent3" w:themeFillTint="3F"/>
      </w:tcPr>
    </w:tblStylePr>
    <w:tblStylePr w:type="band1Horz">
      <w:tblPr/>
      <w:tcPr>
        <w:tcBorders>
          <w:insideH w:val="nil"/>
          <w:insideV w:val="nil"/>
        </w:tcBorders>
        <w:shd w:val="clear" w:color="auto" w:fill="B1ED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A871F4"/>
    <w:pPr>
      <w:spacing w:before="0"/>
    </w:pPr>
    <w:tblPr>
      <w:tblStyleRowBandSize w:val="1"/>
      <w:tblStyleColBandSize w:val="1"/>
      <w:tblBorders>
        <w:top w:val="single" w:sz="8" w:space="0" w:color="B7DAF0" w:themeColor="accent4" w:themeTint="BF"/>
        <w:left w:val="single" w:sz="8" w:space="0" w:color="B7DAF0" w:themeColor="accent4" w:themeTint="BF"/>
        <w:bottom w:val="single" w:sz="8" w:space="0" w:color="B7DAF0" w:themeColor="accent4" w:themeTint="BF"/>
        <w:right w:val="single" w:sz="8" w:space="0" w:color="B7DAF0" w:themeColor="accent4" w:themeTint="BF"/>
        <w:insideH w:val="single" w:sz="8" w:space="0" w:color="B7DAF0" w:themeColor="accent4" w:themeTint="BF"/>
      </w:tblBorders>
    </w:tblPr>
    <w:tblStylePr w:type="firstRow">
      <w:pPr>
        <w:spacing w:before="0" w:after="0" w:line="240" w:lineRule="auto"/>
      </w:pPr>
      <w:rPr>
        <w:b/>
        <w:bCs/>
        <w:color w:val="FFFFFF" w:themeColor="background1"/>
      </w:rPr>
      <w:tblPr/>
      <w:tcPr>
        <w:tcBorders>
          <w:top w:val="single" w:sz="8" w:space="0" w:color="B7DAF0" w:themeColor="accent4" w:themeTint="BF"/>
          <w:left w:val="single" w:sz="8" w:space="0" w:color="B7DAF0" w:themeColor="accent4" w:themeTint="BF"/>
          <w:bottom w:val="single" w:sz="8" w:space="0" w:color="B7DAF0" w:themeColor="accent4" w:themeTint="BF"/>
          <w:right w:val="single" w:sz="8" w:space="0" w:color="B7DAF0" w:themeColor="accent4" w:themeTint="BF"/>
          <w:insideH w:val="nil"/>
          <w:insideV w:val="nil"/>
        </w:tcBorders>
        <w:shd w:val="clear" w:color="auto" w:fill="A0CFEB" w:themeFill="accent4"/>
      </w:tcPr>
    </w:tblStylePr>
    <w:tblStylePr w:type="lastRow">
      <w:pPr>
        <w:spacing w:before="0" w:after="0" w:line="240" w:lineRule="auto"/>
      </w:pPr>
      <w:rPr>
        <w:b/>
        <w:bCs/>
      </w:rPr>
      <w:tblPr/>
      <w:tcPr>
        <w:tcBorders>
          <w:top w:val="double" w:sz="6" w:space="0" w:color="B7DAF0" w:themeColor="accent4" w:themeTint="BF"/>
          <w:left w:val="single" w:sz="8" w:space="0" w:color="B7DAF0" w:themeColor="accent4" w:themeTint="BF"/>
          <w:bottom w:val="single" w:sz="8" w:space="0" w:color="B7DAF0" w:themeColor="accent4" w:themeTint="BF"/>
          <w:right w:val="single" w:sz="8" w:space="0" w:color="B7DAF0" w:themeColor="accent4" w:themeTint="BF"/>
          <w:insideH w:val="nil"/>
          <w:insideV w:val="nil"/>
        </w:tcBorders>
      </w:tcPr>
    </w:tblStylePr>
    <w:tblStylePr w:type="firstCol">
      <w:rPr>
        <w:b/>
        <w:bCs/>
      </w:rPr>
    </w:tblStylePr>
    <w:tblStylePr w:type="lastCol">
      <w:rPr>
        <w:b/>
        <w:bCs/>
      </w:rPr>
    </w:tblStylePr>
    <w:tblStylePr w:type="band1Vert">
      <w:tblPr/>
      <w:tcPr>
        <w:shd w:val="clear" w:color="auto" w:fill="E7F3FA" w:themeFill="accent4" w:themeFillTint="3F"/>
      </w:tcPr>
    </w:tblStylePr>
    <w:tblStylePr w:type="band1Horz">
      <w:tblPr/>
      <w:tcPr>
        <w:tcBorders>
          <w:insideH w:val="nil"/>
          <w:insideV w:val="nil"/>
        </w:tcBorders>
        <w:shd w:val="clear" w:color="auto" w:fill="E7F3FA"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871F4"/>
    <w:pPr>
      <w:spacing w:before="0"/>
    </w:pPr>
    <w:tblPr>
      <w:tblStyleRowBandSize w:val="1"/>
      <w:tblStyleColBandSize w:val="1"/>
      <w:tblBorders>
        <w:top w:val="single" w:sz="8" w:space="0" w:color="FC220E" w:themeColor="accent5" w:themeTint="BF"/>
        <w:left w:val="single" w:sz="8" w:space="0" w:color="FC220E" w:themeColor="accent5" w:themeTint="BF"/>
        <w:bottom w:val="single" w:sz="8" w:space="0" w:color="FC220E" w:themeColor="accent5" w:themeTint="BF"/>
        <w:right w:val="single" w:sz="8" w:space="0" w:color="FC220E" w:themeColor="accent5" w:themeTint="BF"/>
        <w:insideH w:val="single" w:sz="8" w:space="0" w:color="FC220E" w:themeColor="accent5" w:themeTint="BF"/>
      </w:tblBorders>
    </w:tblPr>
    <w:tblStylePr w:type="firstRow">
      <w:pPr>
        <w:spacing w:before="0" w:after="0" w:line="240" w:lineRule="auto"/>
      </w:pPr>
      <w:rPr>
        <w:b/>
        <w:bCs/>
        <w:color w:val="FFFFFF" w:themeColor="background1"/>
      </w:rPr>
      <w:tblPr/>
      <w:tcPr>
        <w:tcBorders>
          <w:top w:val="single" w:sz="8" w:space="0" w:color="FC220E" w:themeColor="accent5" w:themeTint="BF"/>
          <w:left w:val="single" w:sz="8" w:space="0" w:color="FC220E" w:themeColor="accent5" w:themeTint="BF"/>
          <w:bottom w:val="single" w:sz="8" w:space="0" w:color="FC220E" w:themeColor="accent5" w:themeTint="BF"/>
          <w:right w:val="single" w:sz="8" w:space="0" w:color="FC220E" w:themeColor="accent5" w:themeTint="BF"/>
          <w:insideH w:val="nil"/>
          <w:insideV w:val="nil"/>
        </w:tcBorders>
        <w:shd w:val="clear" w:color="auto" w:fill="B71202" w:themeFill="accent5"/>
      </w:tcPr>
    </w:tblStylePr>
    <w:tblStylePr w:type="lastRow">
      <w:pPr>
        <w:spacing w:before="0" w:after="0" w:line="240" w:lineRule="auto"/>
      </w:pPr>
      <w:rPr>
        <w:b/>
        <w:bCs/>
      </w:rPr>
      <w:tblPr/>
      <w:tcPr>
        <w:tcBorders>
          <w:top w:val="double" w:sz="6" w:space="0" w:color="FC220E" w:themeColor="accent5" w:themeTint="BF"/>
          <w:left w:val="single" w:sz="8" w:space="0" w:color="FC220E" w:themeColor="accent5" w:themeTint="BF"/>
          <w:bottom w:val="single" w:sz="8" w:space="0" w:color="FC220E" w:themeColor="accent5" w:themeTint="BF"/>
          <w:right w:val="single" w:sz="8" w:space="0" w:color="FC220E" w:themeColor="accent5" w:themeTint="BF"/>
          <w:insideH w:val="nil"/>
          <w:insideV w:val="nil"/>
        </w:tcBorders>
      </w:tcPr>
    </w:tblStylePr>
    <w:tblStylePr w:type="firstCol">
      <w:rPr>
        <w:b/>
        <w:bCs/>
      </w:rPr>
    </w:tblStylePr>
    <w:tblStylePr w:type="lastCol">
      <w:rPr>
        <w:b/>
        <w:bCs/>
      </w:rPr>
    </w:tblStylePr>
    <w:tblStylePr w:type="band1Vert">
      <w:tblPr/>
      <w:tcPr>
        <w:shd w:val="clear" w:color="auto" w:fill="FEB6AF" w:themeFill="accent5" w:themeFillTint="3F"/>
      </w:tcPr>
    </w:tblStylePr>
    <w:tblStylePr w:type="band1Horz">
      <w:tblPr/>
      <w:tcPr>
        <w:tcBorders>
          <w:insideH w:val="nil"/>
          <w:insideV w:val="nil"/>
        </w:tcBorders>
        <w:shd w:val="clear" w:color="auto" w:fill="FEB6AF" w:themeFill="accent5" w:themeFillTint="3F"/>
      </w:tcPr>
    </w:tblStylePr>
    <w:tblStylePr w:type="band2Horz">
      <w:tblPr/>
      <w:tcPr>
        <w:tcBorders>
          <w:insideH w:val="nil"/>
          <w:insideV w:val="nil"/>
        </w:tcBorders>
      </w:tcPr>
    </w:tblStylePr>
  </w:style>
  <w:style w:type="table" w:styleId="LightList">
    <w:name w:val="Light List"/>
    <w:basedOn w:val="TableNormal"/>
    <w:uiPriority w:val="61"/>
    <w:rsid w:val="00A871F4"/>
    <w:pPr>
      <w:spacing w:before="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Shading-Accent5">
    <w:name w:val="Light Shading Accent 5"/>
    <w:basedOn w:val="TableNormal"/>
    <w:uiPriority w:val="60"/>
    <w:rsid w:val="00A871F4"/>
    <w:pPr>
      <w:spacing w:before="0"/>
    </w:pPr>
    <w:rPr>
      <w:color w:val="880D01" w:themeColor="accent5" w:themeShade="BF"/>
    </w:rPr>
    <w:tblPr>
      <w:tblStyleRowBandSize w:val="1"/>
      <w:tblStyleColBandSize w:val="1"/>
      <w:tblBorders>
        <w:top w:val="single" w:sz="8" w:space="0" w:color="B71202" w:themeColor="accent5"/>
        <w:bottom w:val="single" w:sz="8" w:space="0" w:color="B71202" w:themeColor="accent5"/>
      </w:tblBorders>
    </w:tblPr>
    <w:tblStylePr w:type="firstRow">
      <w:pPr>
        <w:spacing w:before="0" w:after="0" w:line="240" w:lineRule="auto"/>
      </w:pPr>
      <w:rPr>
        <w:b/>
        <w:bCs/>
      </w:rPr>
      <w:tblPr/>
      <w:tcPr>
        <w:tcBorders>
          <w:top w:val="single" w:sz="8" w:space="0" w:color="B71202" w:themeColor="accent5"/>
          <w:left w:val="nil"/>
          <w:bottom w:val="single" w:sz="8" w:space="0" w:color="B71202" w:themeColor="accent5"/>
          <w:right w:val="nil"/>
          <w:insideH w:val="nil"/>
          <w:insideV w:val="nil"/>
        </w:tcBorders>
      </w:tcPr>
    </w:tblStylePr>
    <w:tblStylePr w:type="lastRow">
      <w:pPr>
        <w:spacing w:before="0" w:after="0" w:line="240" w:lineRule="auto"/>
      </w:pPr>
      <w:rPr>
        <w:b/>
        <w:bCs/>
      </w:rPr>
      <w:tblPr/>
      <w:tcPr>
        <w:tcBorders>
          <w:top w:val="single" w:sz="8" w:space="0" w:color="B71202" w:themeColor="accent5"/>
          <w:left w:val="nil"/>
          <w:bottom w:val="single" w:sz="8" w:space="0" w:color="B7120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B6AF" w:themeFill="accent5" w:themeFillTint="3F"/>
      </w:tcPr>
    </w:tblStylePr>
    <w:tblStylePr w:type="band1Horz">
      <w:tblPr/>
      <w:tcPr>
        <w:tcBorders>
          <w:left w:val="nil"/>
          <w:right w:val="nil"/>
          <w:insideH w:val="nil"/>
          <w:insideV w:val="nil"/>
        </w:tcBorders>
        <w:shd w:val="clear" w:color="auto" w:fill="FEB6AF" w:themeFill="accent5" w:themeFillTint="3F"/>
      </w:tcPr>
    </w:tblStylePr>
  </w:style>
  <w:style w:type="table" w:styleId="LightGrid-Accent3">
    <w:name w:val="Light Grid Accent 3"/>
    <w:basedOn w:val="TableNormal"/>
    <w:uiPriority w:val="62"/>
    <w:rsid w:val="00A871F4"/>
    <w:pPr>
      <w:spacing w:before="0"/>
    </w:pPr>
    <w:tblPr>
      <w:tblStyleRowBandSize w:val="1"/>
      <w:tblStyleColBandSize w:val="1"/>
      <w:tblBorders>
        <w:top w:val="single" w:sz="8" w:space="0" w:color="0098C3" w:themeColor="accent3"/>
        <w:left w:val="single" w:sz="8" w:space="0" w:color="0098C3" w:themeColor="accent3"/>
        <w:bottom w:val="single" w:sz="8" w:space="0" w:color="0098C3" w:themeColor="accent3"/>
        <w:right w:val="single" w:sz="8" w:space="0" w:color="0098C3" w:themeColor="accent3"/>
        <w:insideH w:val="single" w:sz="8" w:space="0" w:color="0098C3" w:themeColor="accent3"/>
        <w:insideV w:val="single" w:sz="8" w:space="0" w:color="0098C3"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98C3" w:themeColor="accent3"/>
          <w:left w:val="single" w:sz="8" w:space="0" w:color="0098C3" w:themeColor="accent3"/>
          <w:bottom w:val="single" w:sz="18" w:space="0" w:color="0098C3" w:themeColor="accent3"/>
          <w:right w:val="single" w:sz="8" w:space="0" w:color="0098C3" w:themeColor="accent3"/>
          <w:insideH w:val="nil"/>
          <w:insideV w:val="single" w:sz="8" w:space="0" w:color="0098C3"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98C3" w:themeColor="accent3"/>
          <w:left w:val="single" w:sz="8" w:space="0" w:color="0098C3" w:themeColor="accent3"/>
          <w:bottom w:val="single" w:sz="8" w:space="0" w:color="0098C3" w:themeColor="accent3"/>
          <w:right w:val="single" w:sz="8" w:space="0" w:color="0098C3" w:themeColor="accent3"/>
          <w:insideH w:val="nil"/>
          <w:insideV w:val="single" w:sz="8" w:space="0" w:color="0098C3"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98C3" w:themeColor="accent3"/>
          <w:left w:val="single" w:sz="8" w:space="0" w:color="0098C3" w:themeColor="accent3"/>
          <w:bottom w:val="single" w:sz="8" w:space="0" w:color="0098C3" w:themeColor="accent3"/>
          <w:right w:val="single" w:sz="8" w:space="0" w:color="0098C3" w:themeColor="accent3"/>
        </w:tcBorders>
      </w:tcPr>
    </w:tblStylePr>
    <w:tblStylePr w:type="band1Vert">
      <w:tblPr/>
      <w:tcPr>
        <w:tcBorders>
          <w:top w:val="single" w:sz="8" w:space="0" w:color="0098C3" w:themeColor="accent3"/>
          <w:left w:val="single" w:sz="8" w:space="0" w:color="0098C3" w:themeColor="accent3"/>
          <w:bottom w:val="single" w:sz="8" w:space="0" w:color="0098C3" w:themeColor="accent3"/>
          <w:right w:val="single" w:sz="8" w:space="0" w:color="0098C3" w:themeColor="accent3"/>
        </w:tcBorders>
        <w:shd w:val="clear" w:color="auto" w:fill="B1EDFF" w:themeFill="accent3" w:themeFillTint="3F"/>
      </w:tcPr>
    </w:tblStylePr>
    <w:tblStylePr w:type="band1Horz">
      <w:tblPr/>
      <w:tcPr>
        <w:tcBorders>
          <w:top w:val="single" w:sz="8" w:space="0" w:color="0098C3" w:themeColor="accent3"/>
          <w:left w:val="single" w:sz="8" w:space="0" w:color="0098C3" w:themeColor="accent3"/>
          <w:bottom w:val="single" w:sz="8" w:space="0" w:color="0098C3" w:themeColor="accent3"/>
          <w:right w:val="single" w:sz="8" w:space="0" w:color="0098C3" w:themeColor="accent3"/>
          <w:insideV w:val="single" w:sz="8" w:space="0" w:color="0098C3" w:themeColor="accent3"/>
        </w:tcBorders>
        <w:shd w:val="clear" w:color="auto" w:fill="B1EDFF" w:themeFill="accent3" w:themeFillTint="3F"/>
      </w:tcPr>
    </w:tblStylePr>
    <w:tblStylePr w:type="band2Horz">
      <w:tblPr/>
      <w:tcPr>
        <w:tcBorders>
          <w:top w:val="single" w:sz="8" w:space="0" w:color="0098C3" w:themeColor="accent3"/>
          <w:left w:val="single" w:sz="8" w:space="0" w:color="0098C3" w:themeColor="accent3"/>
          <w:bottom w:val="single" w:sz="8" w:space="0" w:color="0098C3" w:themeColor="accent3"/>
          <w:right w:val="single" w:sz="8" w:space="0" w:color="0098C3" w:themeColor="accent3"/>
          <w:insideV w:val="single" w:sz="8" w:space="0" w:color="0098C3" w:themeColor="accent3"/>
        </w:tcBorders>
      </w:tcPr>
    </w:tblStylePr>
  </w:style>
  <w:style w:type="paragraph" w:styleId="Bibliography">
    <w:name w:val="Bibliography"/>
    <w:basedOn w:val="Normal"/>
    <w:next w:val="Normal"/>
    <w:uiPriority w:val="37"/>
    <w:semiHidden/>
    <w:rsid w:val="00EE28F3"/>
  </w:style>
  <w:style w:type="paragraph" w:styleId="BodyText3">
    <w:name w:val="Body Text 3"/>
    <w:basedOn w:val="Normal"/>
    <w:link w:val="BodyText3Char"/>
    <w:uiPriority w:val="99"/>
    <w:semiHidden/>
    <w:unhideWhenUsed/>
    <w:rsid w:val="005C26CC"/>
    <w:pPr>
      <w:spacing w:after="120"/>
    </w:pPr>
    <w:rPr>
      <w:szCs w:val="16"/>
    </w:rPr>
  </w:style>
  <w:style w:type="character" w:customStyle="1" w:styleId="BodyText3Char">
    <w:name w:val="Body Text 3 Char"/>
    <w:basedOn w:val="DefaultParagraphFont"/>
    <w:link w:val="BodyText3"/>
    <w:uiPriority w:val="99"/>
    <w:semiHidden/>
    <w:rsid w:val="005C26CC"/>
    <w:rPr>
      <w:rFonts w:ascii="Arial" w:hAnsi="Arial"/>
      <w:szCs w:val="16"/>
    </w:rPr>
  </w:style>
  <w:style w:type="paragraph" w:styleId="TOC1">
    <w:name w:val="toc 1"/>
    <w:basedOn w:val="Normal"/>
    <w:next w:val="Normal"/>
    <w:autoRedefine/>
    <w:uiPriority w:val="39"/>
    <w:qFormat/>
    <w:rsid w:val="009F4940"/>
    <w:pPr>
      <w:tabs>
        <w:tab w:val="left" w:pos="426"/>
        <w:tab w:val="right" w:leader="dot" w:pos="9016"/>
      </w:tabs>
      <w:spacing w:after="100"/>
    </w:pPr>
    <w:rPr>
      <w:noProof/>
      <w:lang w:val="en-US" w:eastAsia="ja-JP"/>
    </w:rPr>
  </w:style>
  <w:style w:type="paragraph" w:styleId="TOC2">
    <w:name w:val="toc 2"/>
    <w:basedOn w:val="Normal"/>
    <w:next w:val="Normal"/>
    <w:uiPriority w:val="39"/>
    <w:qFormat/>
    <w:rsid w:val="009F4940"/>
    <w:pPr>
      <w:tabs>
        <w:tab w:val="left" w:pos="880"/>
        <w:tab w:val="right" w:leader="dot" w:pos="9016"/>
      </w:tabs>
      <w:spacing w:after="100"/>
      <w:ind w:left="425"/>
    </w:pPr>
    <w:rPr>
      <w:noProof/>
    </w:rPr>
  </w:style>
  <w:style w:type="paragraph" w:styleId="TOC3">
    <w:name w:val="toc 3"/>
    <w:basedOn w:val="Normal"/>
    <w:next w:val="Normal"/>
    <w:uiPriority w:val="39"/>
    <w:qFormat/>
    <w:rsid w:val="009F4940"/>
    <w:pPr>
      <w:tabs>
        <w:tab w:val="left" w:pos="1760"/>
        <w:tab w:val="right" w:leader="dot" w:pos="9016"/>
      </w:tabs>
      <w:spacing w:after="100"/>
      <w:ind w:left="851"/>
    </w:pPr>
    <w:rPr>
      <w:noProof/>
    </w:rPr>
  </w:style>
  <w:style w:type="paragraph" w:styleId="Title">
    <w:name w:val="Title"/>
    <w:basedOn w:val="Normal"/>
    <w:next w:val="Normal"/>
    <w:link w:val="TitleChar"/>
    <w:uiPriority w:val="10"/>
    <w:qFormat/>
    <w:rsid w:val="00174102"/>
    <w:pPr>
      <w:spacing w:before="720" w:after="120"/>
      <w:contextualSpacing/>
      <w:outlineLvl w:val="0"/>
    </w:pPr>
    <w:rPr>
      <w:rFonts w:asciiTheme="majorHAnsi" w:eastAsiaTheme="majorEastAsia" w:hAnsiTheme="majorHAnsi" w:cstheme="majorBidi"/>
      <w:color w:val="4F2D7D" w:themeColor="accent2"/>
      <w:spacing w:val="5"/>
      <w:kern w:val="28"/>
      <w:sz w:val="72"/>
      <w:szCs w:val="52"/>
    </w:rPr>
  </w:style>
  <w:style w:type="character" w:customStyle="1" w:styleId="TitleChar">
    <w:name w:val="Title Char"/>
    <w:basedOn w:val="DefaultParagraphFont"/>
    <w:link w:val="Title"/>
    <w:uiPriority w:val="10"/>
    <w:rsid w:val="00174102"/>
    <w:rPr>
      <w:rFonts w:asciiTheme="majorHAnsi" w:eastAsiaTheme="majorEastAsia" w:hAnsiTheme="majorHAnsi" w:cstheme="majorBidi"/>
      <w:color w:val="4F2D7D" w:themeColor="accent2"/>
      <w:spacing w:val="5"/>
      <w:kern w:val="28"/>
      <w:sz w:val="72"/>
      <w:szCs w:val="52"/>
    </w:rPr>
  </w:style>
  <w:style w:type="paragraph" w:customStyle="1" w:styleId="CoverDate">
    <w:name w:val="Cover Date"/>
    <w:rsid w:val="00E4674F"/>
    <w:rPr>
      <w:rFonts w:ascii="Lucida Fax" w:hAnsi="Lucida Fax"/>
      <w:color w:val="DC5034"/>
      <w:sz w:val="24"/>
      <w:szCs w:val="24"/>
    </w:rPr>
  </w:style>
  <w:style w:type="character" w:styleId="BookTitle">
    <w:name w:val="Book Title"/>
    <w:uiPriority w:val="33"/>
    <w:qFormat/>
    <w:rsid w:val="0081034E"/>
    <w:rPr>
      <w:rFonts w:ascii="Arial" w:hAnsi="Arial"/>
      <w:bCs/>
      <w:i/>
      <w:caps w:val="0"/>
      <w:smallCaps w:val="0"/>
      <w:spacing w:val="0"/>
      <w:sz w:val="22"/>
    </w:rPr>
  </w:style>
  <w:style w:type="table" w:styleId="LightList-Accent1">
    <w:name w:val="Light List Accent 1"/>
    <w:basedOn w:val="TableNormal"/>
    <w:uiPriority w:val="61"/>
    <w:rsid w:val="0081034E"/>
    <w:pPr>
      <w:spacing w:before="0"/>
    </w:pPr>
    <w:tblPr>
      <w:tblStyleRowBandSize w:val="1"/>
      <w:tblStyleColBandSize w:val="1"/>
      <w:tblBorders>
        <w:top w:val="single" w:sz="8" w:space="0" w:color="51626F" w:themeColor="accent1"/>
        <w:left w:val="single" w:sz="8" w:space="0" w:color="51626F" w:themeColor="accent1"/>
        <w:bottom w:val="single" w:sz="8" w:space="0" w:color="51626F" w:themeColor="accent1"/>
        <w:right w:val="single" w:sz="8" w:space="0" w:color="51626F" w:themeColor="accent1"/>
      </w:tblBorders>
    </w:tblPr>
    <w:tblStylePr w:type="firstRow">
      <w:pPr>
        <w:spacing w:before="0" w:after="0" w:line="240" w:lineRule="auto"/>
      </w:pPr>
      <w:rPr>
        <w:b/>
        <w:bCs/>
        <w:color w:val="FFFFFF" w:themeColor="background1"/>
      </w:rPr>
      <w:tblPr/>
      <w:tcPr>
        <w:shd w:val="clear" w:color="auto" w:fill="51626F" w:themeFill="accent1"/>
      </w:tcPr>
    </w:tblStylePr>
    <w:tblStylePr w:type="lastRow">
      <w:pPr>
        <w:spacing w:before="0" w:after="0" w:line="240" w:lineRule="auto"/>
      </w:pPr>
      <w:rPr>
        <w:b/>
        <w:bCs/>
      </w:rPr>
      <w:tblPr/>
      <w:tcPr>
        <w:tcBorders>
          <w:top w:val="double" w:sz="6" w:space="0" w:color="51626F" w:themeColor="accent1"/>
          <w:left w:val="single" w:sz="8" w:space="0" w:color="51626F" w:themeColor="accent1"/>
          <w:bottom w:val="single" w:sz="8" w:space="0" w:color="51626F" w:themeColor="accent1"/>
          <w:right w:val="single" w:sz="8" w:space="0" w:color="51626F" w:themeColor="accent1"/>
        </w:tcBorders>
      </w:tcPr>
    </w:tblStylePr>
    <w:tblStylePr w:type="firstCol">
      <w:rPr>
        <w:b/>
        <w:bCs/>
      </w:rPr>
    </w:tblStylePr>
    <w:tblStylePr w:type="lastCol">
      <w:rPr>
        <w:b/>
        <w:bCs/>
      </w:rPr>
    </w:tblStylePr>
    <w:tblStylePr w:type="band1Vert">
      <w:tblPr/>
      <w:tcPr>
        <w:tcBorders>
          <w:top w:val="single" w:sz="8" w:space="0" w:color="51626F" w:themeColor="accent1"/>
          <w:left w:val="single" w:sz="8" w:space="0" w:color="51626F" w:themeColor="accent1"/>
          <w:bottom w:val="single" w:sz="8" w:space="0" w:color="51626F" w:themeColor="accent1"/>
          <w:right w:val="single" w:sz="8" w:space="0" w:color="51626F" w:themeColor="accent1"/>
        </w:tcBorders>
      </w:tcPr>
    </w:tblStylePr>
    <w:tblStylePr w:type="band1Horz">
      <w:tblPr/>
      <w:tcPr>
        <w:tcBorders>
          <w:top w:val="single" w:sz="8" w:space="0" w:color="51626F" w:themeColor="accent1"/>
          <w:left w:val="single" w:sz="8" w:space="0" w:color="51626F" w:themeColor="accent1"/>
          <w:bottom w:val="single" w:sz="8" w:space="0" w:color="51626F" w:themeColor="accent1"/>
          <w:right w:val="single" w:sz="8" w:space="0" w:color="51626F" w:themeColor="accent1"/>
        </w:tcBorders>
      </w:tcPr>
    </w:tblStylePr>
  </w:style>
  <w:style w:type="table" w:styleId="LightList-Accent3">
    <w:name w:val="Light List Accent 3"/>
    <w:basedOn w:val="TableNormal"/>
    <w:uiPriority w:val="61"/>
    <w:rsid w:val="0081034E"/>
    <w:pPr>
      <w:spacing w:before="0"/>
    </w:pPr>
    <w:tblPr>
      <w:tblStyleRowBandSize w:val="1"/>
      <w:tblStyleColBandSize w:val="1"/>
      <w:tblBorders>
        <w:top w:val="single" w:sz="8" w:space="0" w:color="0098C3" w:themeColor="accent3"/>
        <w:left w:val="single" w:sz="8" w:space="0" w:color="0098C3" w:themeColor="accent3"/>
        <w:bottom w:val="single" w:sz="8" w:space="0" w:color="0098C3" w:themeColor="accent3"/>
        <w:right w:val="single" w:sz="8" w:space="0" w:color="0098C3" w:themeColor="accent3"/>
      </w:tblBorders>
    </w:tblPr>
    <w:tblStylePr w:type="firstRow">
      <w:pPr>
        <w:spacing w:before="0" w:after="0" w:line="240" w:lineRule="auto"/>
      </w:pPr>
      <w:rPr>
        <w:b/>
        <w:bCs/>
        <w:color w:val="FFFFFF" w:themeColor="background1"/>
      </w:rPr>
      <w:tblPr/>
      <w:tcPr>
        <w:shd w:val="clear" w:color="auto" w:fill="0098C3" w:themeFill="accent3"/>
      </w:tcPr>
    </w:tblStylePr>
    <w:tblStylePr w:type="lastRow">
      <w:pPr>
        <w:spacing w:before="0" w:after="0" w:line="240" w:lineRule="auto"/>
      </w:pPr>
      <w:rPr>
        <w:b/>
        <w:bCs/>
      </w:rPr>
      <w:tblPr/>
      <w:tcPr>
        <w:tcBorders>
          <w:top w:val="double" w:sz="6" w:space="0" w:color="0098C3" w:themeColor="accent3"/>
          <w:left w:val="single" w:sz="8" w:space="0" w:color="0098C3" w:themeColor="accent3"/>
          <w:bottom w:val="single" w:sz="8" w:space="0" w:color="0098C3" w:themeColor="accent3"/>
          <w:right w:val="single" w:sz="8" w:space="0" w:color="0098C3" w:themeColor="accent3"/>
        </w:tcBorders>
      </w:tcPr>
    </w:tblStylePr>
    <w:tblStylePr w:type="firstCol">
      <w:rPr>
        <w:b/>
        <w:bCs/>
      </w:rPr>
    </w:tblStylePr>
    <w:tblStylePr w:type="lastCol">
      <w:rPr>
        <w:b/>
        <w:bCs/>
      </w:rPr>
    </w:tblStylePr>
    <w:tblStylePr w:type="band1Vert">
      <w:tblPr/>
      <w:tcPr>
        <w:tcBorders>
          <w:top w:val="single" w:sz="8" w:space="0" w:color="0098C3" w:themeColor="accent3"/>
          <w:left w:val="single" w:sz="8" w:space="0" w:color="0098C3" w:themeColor="accent3"/>
          <w:bottom w:val="single" w:sz="8" w:space="0" w:color="0098C3" w:themeColor="accent3"/>
          <w:right w:val="single" w:sz="8" w:space="0" w:color="0098C3" w:themeColor="accent3"/>
        </w:tcBorders>
      </w:tcPr>
    </w:tblStylePr>
    <w:tblStylePr w:type="band1Horz">
      <w:tblPr/>
      <w:tcPr>
        <w:tcBorders>
          <w:top w:val="single" w:sz="8" w:space="0" w:color="0098C3" w:themeColor="accent3"/>
          <w:left w:val="single" w:sz="8" w:space="0" w:color="0098C3" w:themeColor="accent3"/>
          <w:bottom w:val="single" w:sz="8" w:space="0" w:color="0098C3" w:themeColor="accent3"/>
          <w:right w:val="single" w:sz="8" w:space="0" w:color="0098C3" w:themeColor="accent3"/>
        </w:tcBorders>
      </w:tcPr>
    </w:tblStylePr>
  </w:style>
  <w:style w:type="table" w:styleId="LightList-Accent5">
    <w:name w:val="Light List Accent 5"/>
    <w:basedOn w:val="TableNormal"/>
    <w:uiPriority w:val="61"/>
    <w:rsid w:val="005B1E3C"/>
    <w:pPr>
      <w:spacing w:before="0"/>
    </w:pPr>
    <w:tblPr>
      <w:tblStyleRowBandSize w:val="1"/>
      <w:tblStyleColBandSize w:val="1"/>
      <w:tblBorders>
        <w:top w:val="single" w:sz="8" w:space="0" w:color="B71202" w:themeColor="accent5"/>
        <w:left w:val="single" w:sz="8" w:space="0" w:color="B71202" w:themeColor="accent5"/>
        <w:bottom w:val="single" w:sz="8" w:space="0" w:color="B71202" w:themeColor="accent5"/>
        <w:right w:val="single" w:sz="8" w:space="0" w:color="B71202" w:themeColor="accent5"/>
      </w:tblBorders>
    </w:tblPr>
    <w:tblStylePr w:type="firstRow">
      <w:pPr>
        <w:spacing w:before="0" w:after="0" w:line="240" w:lineRule="auto"/>
      </w:pPr>
      <w:rPr>
        <w:b/>
        <w:bCs/>
        <w:color w:val="auto"/>
      </w:rPr>
      <w:tblPr/>
      <w:tcPr>
        <w:shd w:val="clear" w:color="auto" w:fill="B71202" w:themeFill="accent5"/>
      </w:tcPr>
    </w:tblStylePr>
    <w:tblStylePr w:type="lastRow">
      <w:pPr>
        <w:spacing w:before="0" w:after="0" w:line="240" w:lineRule="auto"/>
      </w:pPr>
      <w:rPr>
        <w:b/>
        <w:bCs/>
      </w:rPr>
      <w:tblPr/>
      <w:tcPr>
        <w:tcBorders>
          <w:top w:val="double" w:sz="6" w:space="0" w:color="B71202" w:themeColor="accent5"/>
          <w:left w:val="single" w:sz="8" w:space="0" w:color="B71202" w:themeColor="accent5"/>
          <w:bottom w:val="single" w:sz="8" w:space="0" w:color="B71202" w:themeColor="accent5"/>
          <w:right w:val="single" w:sz="8" w:space="0" w:color="B71202" w:themeColor="accent5"/>
        </w:tcBorders>
      </w:tcPr>
    </w:tblStylePr>
    <w:tblStylePr w:type="firstCol">
      <w:rPr>
        <w:b/>
        <w:bCs/>
      </w:rPr>
    </w:tblStylePr>
    <w:tblStylePr w:type="lastCol">
      <w:rPr>
        <w:b/>
        <w:bCs/>
      </w:rPr>
    </w:tblStylePr>
    <w:tblStylePr w:type="band1Vert">
      <w:tblPr/>
      <w:tcPr>
        <w:tcBorders>
          <w:top w:val="single" w:sz="8" w:space="0" w:color="B71202" w:themeColor="accent5"/>
          <w:left w:val="single" w:sz="8" w:space="0" w:color="B71202" w:themeColor="accent5"/>
          <w:bottom w:val="single" w:sz="8" w:space="0" w:color="B71202" w:themeColor="accent5"/>
          <w:right w:val="single" w:sz="8" w:space="0" w:color="B71202" w:themeColor="accent5"/>
        </w:tcBorders>
      </w:tcPr>
    </w:tblStylePr>
    <w:tblStylePr w:type="band1Horz">
      <w:tblPr/>
      <w:tcPr>
        <w:tcBorders>
          <w:top w:val="single" w:sz="8" w:space="0" w:color="B71202" w:themeColor="accent5"/>
          <w:left w:val="single" w:sz="8" w:space="0" w:color="B71202" w:themeColor="accent5"/>
          <w:bottom w:val="single" w:sz="8" w:space="0" w:color="B71202" w:themeColor="accent5"/>
          <w:right w:val="single" w:sz="8" w:space="0" w:color="B71202" w:themeColor="accent5"/>
        </w:tcBorders>
      </w:tcPr>
    </w:tblStylePr>
  </w:style>
  <w:style w:type="character" w:styleId="Emphasis">
    <w:name w:val="Emphasis"/>
    <w:basedOn w:val="DefaultParagraphFont"/>
    <w:uiPriority w:val="20"/>
    <w:qFormat/>
    <w:rsid w:val="00701CAB"/>
    <w:rPr>
      <w:i/>
      <w:iCs/>
    </w:rPr>
  </w:style>
  <w:style w:type="paragraph" w:styleId="NormalIndent">
    <w:name w:val="Normal Indent"/>
    <w:basedOn w:val="Normal"/>
    <w:uiPriority w:val="1"/>
    <w:rsid w:val="00085663"/>
    <w:pPr>
      <w:ind w:left="720"/>
    </w:pPr>
  </w:style>
  <w:style w:type="paragraph" w:styleId="FootnoteText">
    <w:name w:val="footnote text"/>
    <w:basedOn w:val="Normal"/>
    <w:link w:val="FootnoteTextChar"/>
    <w:uiPriority w:val="2"/>
    <w:rsid w:val="003A673F"/>
    <w:pPr>
      <w:tabs>
        <w:tab w:val="left" w:pos="340"/>
      </w:tabs>
      <w:spacing w:before="60"/>
      <w:ind w:left="340" w:hanging="340"/>
    </w:pPr>
    <w:rPr>
      <w:sz w:val="16"/>
      <w:szCs w:val="20"/>
    </w:rPr>
  </w:style>
  <w:style w:type="character" w:customStyle="1" w:styleId="FootnoteTextChar">
    <w:name w:val="Footnote Text Char"/>
    <w:basedOn w:val="DefaultParagraphFont"/>
    <w:link w:val="FootnoteText"/>
    <w:uiPriority w:val="2"/>
    <w:rsid w:val="003A673F"/>
    <w:rPr>
      <w:rFonts w:ascii="Arial" w:hAnsi="Arial"/>
      <w:sz w:val="16"/>
      <w:szCs w:val="20"/>
    </w:rPr>
  </w:style>
  <w:style w:type="character" w:styleId="FootnoteReference">
    <w:name w:val="footnote reference"/>
    <w:basedOn w:val="DefaultParagraphFont"/>
    <w:uiPriority w:val="99"/>
    <w:unhideWhenUsed/>
    <w:rsid w:val="00701CAB"/>
    <w:rPr>
      <w:vertAlign w:val="superscript"/>
    </w:rPr>
  </w:style>
  <w:style w:type="character" w:styleId="Strong">
    <w:name w:val="Strong"/>
    <w:basedOn w:val="DefaultParagraphFont"/>
    <w:uiPriority w:val="22"/>
    <w:qFormat/>
    <w:rsid w:val="00EF5110"/>
    <w:rPr>
      <w:b/>
      <w:bCs/>
    </w:rPr>
  </w:style>
  <w:style w:type="paragraph" w:styleId="Subtitle">
    <w:name w:val="Subtitle"/>
    <w:next w:val="Normal"/>
    <w:link w:val="SubtitleChar"/>
    <w:uiPriority w:val="11"/>
    <w:qFormat/>
    <w:rsid w:val="008344F6"/>
    <w:pPr>
      <w:spacing w:before="360" w:after="120"/>
    </w:pPr>
    <w:rPr>
      <w:rFonts w:ascii="Lucida Fax" w:hAnsi="Lucida Fax"/>
      <w:color w:val="4F2D7F"/>
      <w:sz w:val="52"/>
      <w:szCs w:val="52"/>
    </w:rPr>
  </w:style>
  <w:style w:type="character" w:customStyle="1" w:styleId="SubtitleChar">
    <w:name w:val="Subtitle Char"/>
    <w:basedOn w:val="DefaultParagraphFont"/>
    <w:link w:val="Subtitle"/>
    <w:uiPriority w:val="11"/>
    <w:rsid w:val="008344F6"/>
    <w:rPr>
      <w:rFonts w:ascii="Lucida Fax" w:hAnsi="Lucida Fax"/>
      <w:color w:val="4F2D7F"/>
      <w:sz w:val="52"/>
      <w:szCs w:val="52"/>
    </w:rPr>
  </w:style>
  <w:style w:type="table" w:styleId="LightShading-Accent4">
    <w:name w:val="Light Shading Accent 4"/>
    <w:basedOn w:val="TableNormal"/>
    <w:uiPriority w:val="60"/>
    <w:rsid w:val="00746E01"/>
    <w:pPr>
      <w:spacing w:before="0"/>
    </w:pPr>
    <w:rPr>
      <w:color w:val="4DA5D9" w:themeColor="accent4" w:themeShade="BF"/>
    </w:rPr>
    <w:tblPr>
      <w:tblStyleRowBandSize w:val="1"/>
      <w:tblStyleColBandSize w:val="1"/>
      <w:tblBorders>
        <w:top w:val="single" w:sz="8" w:space="0" w:color="A0CFEB" w:themeColor="accent4"/>
        <w:bottom w:val="single" w:sz="8" w:space="0" w:color="A0CFEB" w:themeColor="accent4"/>
      </w:tblBorders>
    </w:tblPr>
    <w:tblStylePr w:type="firstRow">
      <w:pPr>
        <w:spacing w:before="0" w:after="0" w:line="240" w:lineRule="auto"/>
      </w:pPr>
      <w:rPr>
        <w:b/>
        <w:bCs/>
      </w:rPr>
      <w:tblPr/>
      <w:tcPr>
        <w:tcBorders>
          <w:top w:val="single" w:sz="8" w:space="0" w:color="A0CFEB" w:themeColor="accent4"/>
          <w:left w:val="nil"/>
          <w:bottom w:val="single" w:sz="8" w:space="0" w:color="A0CFEB" w:themeColor="accent4"/>
          <w:right w:val="nil"/>
          <w:insideH w:val="nil"/>
          <w:insideV w:val="nil"/>
        </w:tcBorders>
      </w:tcPr>
    </w:tblStylePr>
    <w:tblStylePr w:type="lastRow">
      <w:pPr>
        <w:spacing w:before="0" w:after="0" w:line="240" w:lineRule="auto"/>
      </w:pPr>
      <w:rPr>
        <w:b/>
        <w:bCs/>
      </w:rPr>
      <w:tblPr/>
      <w:tcPr>
        <w:tcBorders>
          <w:top w:val="single" w:sz="8" w:space="0" w:color="A0CFEB" w:themeColor="accent4"/>
          <w:left w:val="nil"/>
          <w:bottom w:val="single" w:sz="8" w:space="0" w:color="A0CFEB"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F3FA" w:themeFill="accent4" w:themeFillTint="3F"/>
      </w:tcPr>
    </w:tblStylePr>
    <w:tblStylePr w:type="band1Horz">
      <w:tblPr/>
      <w:tcPr>
        <w:tcBorders>
          <w:left w:val="nil"/>
          <w:right w:val="nil"/>
          <w:insideH w:val="nil"/>
          <w:insideV w:val="nil"/>
        </w:tcBorders>
        <w:shd w:val="clear" w:color="auto" w:fill="E7F3FA" w:themeFill="accent4" w:themeFillTint="3F"/>
      </w:tcPr>
    </w:tblStylePr>
  </w:style>
  <w:style w:type="table" w:styleId="LightShading-Accent6">
    <w:name w:val="Light Shading Accent 6"/>
    <w:basedOn w:val="TableNormal"/>
    <w:uiPriority w:val="60"/>
    <w:rsid w:val="00746E01"/>
    <w:pPr>
      <w:spacing w:before="0"/>
    </w:pPr>
    <w:rPr>
      <w:color w:val="AD351E" w:themeColor="accent6" w:themeShade="BF"/>
    </w:rPr>
    <w:tblPr>
      <w:tblStyleRowBandSize w:val="1"/>
      <w:tblStyleColBandSize w:val="1"/>
      <w:tblBorders>
        <w:top w:val="single" w:sz="8" w:space="0" w:color="DC5034" w:themeColor="accent6"/>
        <w:bottom w:val="single" w:sz="8" w:space="0" w:color="DC5034" w:themeColor="accent6"/>
      </w:tblBorders>
    </w:tblPr>
    <w:tblStylePr w:type="firstRow">
      <w:pPr>
        <w:spacing w:before="0" w:after="0" w:line="240" w:lineRule="auto"/>
      </w:pPr>
      <w:rPr>
        <w:b/>
        <w:bCs/>
      </w:rPr>
      <w:tblPr/>
      <w:tcPr>
        <w:tcBorders>
          <w:top w:val="single" w:sz="8" w:space="0" w:color="DC5034" w:themeColor="accent6"/>
          <w:left w:val="nil"/>
          <w:bottom w:val="single" w:sz="8" w:space="0" w:color="DC5034" w:themeColor="accent6"/>
          <w:right w:val="nil"/>
          <w:insideH w:val="nil"/>
          <w:insideV w:val="nil"/>
        </w:tcBorders>
      </w:tcPr>
    </w:tblStylePr>
    <w:tblStylePr w:type="lastRow">
      <w:pPr>
        <w:spacing w:before="0" w:after="0" w:line="240" w:lineRule="auto"/>
      </w:pPr>
      <w:rPr>
        <w:b/>
        <w:bCs/>
      </w:rPr>
      <w:tblPr/>
      <w:tcPr>
        <w:tcBorders>
          <w:top w:val="single" w:sz="8" w:space="0" w:color="DC5034" w:themeColor="accent6"/>
          <w:left w:val="nil"/>
          <w:bottom w:val="single" w:sz="8" w:space="0" w:color="DC5034"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D3CC" w:themeFill="accent6" w:themeFillTint="3F"/>
      </w:tcPr>
    </w:tblStylePr>
    <w:tblStylePr w:type="band1Horz">
      <w:tblPr/>
      <w:tcPr>
        <w:tcBorders>
          <w:left w:val="nil"/>
          <w:right w:val="nil"/>
          <w:insideH w:val="nil"/>
          <w:insideV w:val="nil"/>
        </w:tcBorders>
        <w:shd w:val="clear" w:color="auto" w:fill="F6D3CC" w:themeFill="accent6" w:themeFillTint="3F"/>
      </w:tcPr>
    </w:tblStylePr>
  </w:style>
  <w:style w:type="paragraph" w:styleId="TOC4">
    <w:name w:val="toc 4"/>
    <w:basedOn w:val="Normal"/>
    <w:next w:val="Normal"/>
    <w:uiPriority w:val="39"/>
    <w:rsid w:val="009F4940"/>
    <w:pPr>
      <w:tabs>
        <w:tab w:val="right" w:leader="dot" w:pos="9016"/>
      </w:tabs>
      <w:spacing w:after="100"/>
      <w:ind w:left="1276"/>
    </w:pPr>
    <w:rPr>
      <w:noProof/>
    </w:rPr>
  </w:style>
  <w:style w:type="paragraph" w:styleId="TOC5">
    <w:name w:val="toc 5"/>
    <w:basedOn w:val="Normal"/>
    <w:next w:val="Normal"/>
    <w:uiPriority w:val="39"/>
    <w:rsid w:val="009F4940"/>
    <w:pPr>
      <w:tabs>
        <w:tab w:val="right" w:leader="dot" w:pos="9016"/>
      </w:tabs>
      <w:spacing w:after="100"/>
      <w:ind w:left="1701"/>
    </w:pPr>
    <w:rPr>
      <w:noProof/>
    </w:rPr>
  </w:style>
  <w:style w:type="paragraph" w:styleId="TOC6">
    <w:name w:val="toc 6"/>
    <w:basedOn w:val="Normal"/>
    <w:next w:val="Normal"/>
    <w:uiPriority w:val="39"/>
    <w:rsid w:val="009F4940"/>
    <w:pPr>
      <w:tabs>
        <w:tab w:val="right" w:leader="dot" w:pos="9016"/>
      </w:tabs>
      <w:spacing w:after="100"/>
      <w:ind w:left="2127"/>
    </w:pPr>
    <w:rPr>
      <w:noProof/>
    </w:rPr>
  </w:style>
  <w:style w:type="paragraph" w:styleId="TOC7">
    <w:name w:val="toc 7"/>
    <w:basedOn w:val="Normal"/>
    <w:next w:val="Normal"/>
    <w:uiPriority w:val="39"/>
    <w:rsid w:val="009F4940"/>
    <w:pPr>
      <w:tabs>
        <w:tab w:val="right" w:leader="dot" w:pos="9016"/>
      </w:tabs>
      <w:spacing w:after="100"/>
      <w:ind w:left="2552"/>
    </w:pPr>
    <w:rPr>
      <w:noProof/>
    </w:rPr>
  </w:style>
  <w:style w:type="paragraph" w:styleId="TableofAuthorities">
    <w:name w:val="table of authorities"/>
    <w:basedOn w:val="Normal"/>
    <w:next w:val="Normal"/>
    <w:uiPriority w:val="99"/>
    <w:unhideWhenUsed/>
    <w:rsid w:val="00B60F5D"/>
    <w:pPr>
      <w:ind w:left="220" w:hanging="220"/>
    </w:pPr>
  </w:style>
  <w:style w:type="table" w:customStyle="1" w:styleId="LightShading1">
    <w:name w:val="Light Shading1"/>
    <w:basedOn w:val="TableNormal"/>
    <w:next w:val="LightShading"/>
    <w:uiPriority w:val="60"/>
    <w:rsid w:val="00C53B5A"/>
    <w:pPr>
      <w:spacing w:before="120" w:after="120"/>
    </w:pPr>
    <w:rPr>
      <w:color w:val="000000" w:themeColor="text1" w:themeShade="BF"/>
      <w:sz w:val="20"/>
    </w:rPr>
    <w:tblPr>
      <w:tblBorders>
        <w:top w:val="single" w:sz="4" w:space="0" w:color="D5D6D2" w:themeColor="background2"/>
        <w:bottom w:val="single" w:sz="4" w:space="0" w:color="D5D6D2" w:themeColor="background2"/>
        <w:insideH w:val="single" w:sz="4" w:space="0" w:color="D5D6D2" w:themeColor="background2"/>
      </w:tblBorders>
    </w:tblPr>
    <w:tcPr>
      <w:shd w:val="clear" w:color="auto" w:fill="auto"/>
    </w:tcPr>
    <w:tblStylePr w:type="firstRow">
      <w:pPr>
        <w:wordWrap/>
        <w:spacing w:beforeLines="0" w:before="120" w:beforeAutospacing="0" w:afterLines="0" w:after="120" w:afterAutospacing="0" w:line="240" w:lineRule="auto"/>
      </w:pPr>
      <w:rPr>
        <w:rFonts w:ascii="Arial" w:hAnsi="Arial"/>
        <w:b/>
        <w:bCs/>
        <w:sz w:val="20"/>
      </w:rPr>
      <w:tblPr/>
      <w:tcPr>
        <w:tcBorders>
          <w:top w:val="single" w:sz="8" w:space="0" w:color="000000" w:themeColor="text1"/>
          <w:left w:val="nil"/>
          <w:bottom w:val="single" w:sz="8" w:space="0" w:color="000000" w:themeColor="text1"/>
          <w:right w:val="nil"/>
          <w:insideH w:val="nil"/>
          <w:insideV w:val="nil"/>
        </w:tcBorders>
        <w:shd w:val="clear" w:color="auto" w:fill="auto"/>
      </w:tcPr>
    </w:tblStylePr>
    <w:tblStylePr w:type="lastRow">
      <w:pPr>
        <w:wordWrap/>
        <w:spacing w:beforeLines="0" w:before="120" w:beforeAutospacing="0" w:afterLines="0" w:after="120" w:afterAutospacing="0" w:line="240" w:lineRule="auto"/>
      </w:pPr>
      <w:rPr>
        <w:rFonts w:ascii="Arial" w:hAnsi="Arial"/>
        <w:b/>
        <w:bCs/>
        <w:sz w:val="20"/>
      </w:rPr>
      <w:tblPr/>
      <w:tcPr>
        <w:tcBorders>
          <w:top w:val="single" w:sz="8" w:space="0" w:color="000000" w:themeColor="text1"/>
          <w:left w:val="nil"/>
          <w:bottom w:val="single" w:sz="8" w:space="0" w:color="000000" w:themeColor="text1"/>
          <w:right w:val="nil"/>
          <w:insideH w:val="nil"/>
          <w:insideV w:val="nil"/>
        </w:tcBorders>
        <w:vAlign w:val="center"/>
      </w:tcPr>
    </w:tblStylePr>
    <w:tblStylePr w:type="firstCol">
      <w:rPr>
        <w:b/>
        <w:bCs/>
        <w:sz w:val="20"/>
      </w:rPr>
    </w:tblStylePr>
    <w:tblStylePr w:type="lastCol">
      <w:rPr>
        <w:b/>
        <w:bCs/>
      </w:rPr>
    </w:tblStylePr>
  </w:style>
  <w:style w:type="table" w:styleId="LightList-Accent2">
    <w:name w:val="Light List Accent 2"/>
    <w:basedOn w:val="TableNormal"/>
    <w:uiPriority w:val="61"/>
    <w:rsid w:val="009661DE"/>
    <w:pPr>
      <w:spacing w:before="0"/>
    </w:pPr>
    <w:tblPr>
      <w:tblStyleRowBandSize w:val="1"/>
      <w:tblStyleColBandSize w:val="1"/>
      <w:tblBorders>
        <w:top w:val="single" w:sz="8" w:space="0" w:color="4F2D7D" w:themeColor="accent2"/>
        <w:left w:val="single" w:sz="8" w:space="0" w:color="4F2D7D" w:themeColor="accent2"/>
        <w:bottom w:val="single" w:sz="8" w:space="0" w:color="4F2D7D" w:themeColor="accent2"/>
        <w:right w:val="single" w:sz="8" w:space="0" w:color="4F2D7D" w:themeColor="accent2"/>
      </w:tblBorders>
    </w:tblPr>
    <w:tblStylePr w:type="firstRow">
      <w:pPr>
        <w:spacing w:before="0" w:after="0" w:line="240" w:lineRule="auto"/>
      </w:pPr>
      <w:rPr>
        <w:b/>
        <w:bCs/>
        <w:color w:val="FFFFFF" w:themeColor="background1"/>
      </w:rPr>
      <w:tblPr/>
      <w:tcPr>
        <w:shd w:val="clear" w:color="auto" w:fill="4F2D7D" w:themeFill="accent2"/>
      </w:tcPr>
    </w:tblStylePr>
    <w:tblStylePr w:type="lastRow">
      <w:pPr>
        <w:spacing w:before="0" w:after="0" w:line="240" w:lineRule="auto"/>
      </w:pPr>
      <w:rPr>
        <w:b/>
        <w:bCs/>
      </w:rPr>
      <w:tblPr/>
      <w:tcPr>
        <w:tcBorders>
          <w:top w:val="double" w:sz="6" w:space="0" w:color="4F2D7D" w:themeColor="accent2"/>
          <w:left w:val="single" w:sz="8" w:space="0" w:color="4F2D7D" w:themeColor="accent2"/>
          <w:bottom w:val="single" w:sz="8" w:space="0" w:color="4F2D7D" w:themeColor="accent2"/>
          <w:right w:val="single" w:sz="8" w:space="0" w:color="4F2D7D" w:themeColor="accent2"/>
        </w:tcBorders>
      </w:tcPr>
    </w:tblStylePr>
    <w:tblStylePr w:type="firstCol">
      <w:rPr>
        <w:b/>
        <w:bCs/>
      </w:rPr>
    </w:tblStylePr>
    <w:tblStylePr w:type="lastCol">
      <w:rPr>
        <w:b/>
        <w:bCs/>
      </w:rPr>
    </w:tblStylePr>
    <w:tblStylePr w:type="band1Vert">
      <w:tblPr/>
      <w:tcPr>
        <w:tcBorders>
          <w:top w:val="single" w:sz="8" w:space="0" w:color="4F2D7D" w:themeColor="accent2"/>
          <w:left w:val="single" w:sz="8" w:space="0" w:color="4F2D7D" w:themeColor="accent2"/>
          <w:bottom w:val="single" w:sz="8" w:space="0" w:color="4F2D7D" w:themeColor="accent2"/>
          <w:right w:val="single" w:sz="8" w:space="0" w:color="4F2D7D" w:themeColor="accent2"/>
        </w:tcBorders>
      </w:tcPr>
    </w:tblStylePr>
    <w:tblStylePr w:type="band1Horz">
      <w:tblPr/>
      <w:tcPr>
        <w:tcBorders>
          <w:top w:val="single" w:sz="8" w:space="0" w:color="4F2D7D" w:themeColor="accent2"/>
          <w:left w:val="single" w:sz="8" w:space="0" w:color="4F2D7D" w:themeColor="accent2"/>
          <w:bottom w:val="single" w:sz="8" w:space="0" w:color="4F2D7D" w:themeColor="accent2"/>
          <w:right w:val="single" w:sz="8" w:space="0" w:color="4F2D7D" w:themeColor="accent2"/>
        </w:tcBorders>
      </w:tcPr>
    </w:tblStylePr>
  </w:style>
  <w:style w:type="table" w:styleId="LightList-Accent4">
    <w:name w:val="Light List Accent 4"/>
    <w:basedOn w:val="TableNormal"/>
    <w:uiPriority w:val="61"/>
    <w:rsid w:val="009661DE"/>
    <w:pPr>
      <w:spacing w:before="0"/>
    </w:pPr>
    <w:tblPr>
      <w:tblStyleRowBandSize w:val="1"/>
      <w:tblStyleColBandSize w:val="1"/>
      <w:tblBorders>
        <w:top w:val="single" w:sz="8" w:space="0" w:color="A0CFEB" w:themeColor="accent4"/>
        <w:left w:val="single" w:sz="8" w:space="0" w:color="A0CFEB" w:themeColor="accent4"/>
        <w:bottom w:val="single" w:sz="8" w:space="0" w:color="A0CFEB" w:themeColor="accent4"/>
        <w:right w:val="single" w:sz="8" w:space="0" w:color="A0CFEB" w:themeColor="accent4"/>
      </w:tblBorders>
    </w:tblPr>
    <w:tblStylePr w:type="firstRow">
      <w:pPr>
        <w:spacing w:before="0" w:after="0" w:line="240" w:lineRule="auto"/>
      </w:pPr>
      <w:rPr>
        <w:b/>
        <w:bCs/>
        <w:color w:val="FFFFFF" w:themeColor="background1"/>
      </w:rPr>
      <w:tblPr/>
      <w:tcPr>
        <w:shd w:val="clear" w:color="auto" w:fill="A0CFEB" w:themeFill="accent4"/>
      </w:tcPr>
    </w:tblStylePr>
    <w:tblStylePr w:type="lastRow">
      <w:pPr>
        <w:spacing w:before="0" w:after="0" w:line="240" w:lineRule="auto"/>
      </w:pPr>
      <w:rPr>
        <w:b/>
        <w:bCs/>
      </w:rPr>
      <w:tblPr/>
      <w:tcPr>
        <w:tcBorders>
          <w:top w:val="double" w:sz="6" w:space="0" w:color="A0CFEB" w:themeColor="accent4"/>
          <w:left w:val="single" w:sz="8" w:space="0" w:color="A0CFEB" w:themeColor="accent4"/>
          <w:bottom w:val="single" w:sz="8" w:space="0" w:color="A0CFEB" w:themeColor="accent4"/>
          <w:right w:val="single" w:sz="8" w:space="0" w:color="A0CFEB" w:themeColor="accent4"/>
        </w:tcBorders>
      </w:tcPr>
    </w:tblStylePr>
    <w:tblStylePr w:type="firstCol">
      <w:rPr>
        <w:b/>
        <w:bCs/>
      </w:rPr>
    </w:tblStylePr>
    <w:tblStylePr w:type="lastCol">
      <w:rPr>
        <w:b/>
        <w:bCs/>
      </w:rPr>
    </w:tblStylePr>
    <w:tblStylePr w:type="band1Vert">
      <w:tblPr/>
      <w:tcPr>
        <w:tcBorders>
          <w:top w:val="single" w:sz="8" w:space="0" w:color="A0CFEB" w:themeColor="accent4"/>
          <w:left w:val="single" w:sz="8" w:space="0" w:color="A0CFEB" w:themeColor="accent4"/>
          <w:bottom w:val="single" w:sz="8" w:space="0" w:color="A0CFEB" w:themeColor="accent4"/>
          <w:right w:val="single" w:sz="8" w:space="0" w:color="A0CFEB" w:themeColor="accent4"/>
        </w:tcBorders>
      </w:tcPr>
    </w:tblStylePr>
    <w:tblStylePr w:type="band1Horz">
      <w:tblPr/>
      <w:tcPr>
        <w:tcBorders>
          <w:top w:val="single" w:sz="8" w:space="0" w:color="A0CFEB" w:themeColor="accent4"/>
          <w:left w:val="single" w:sz="8" w:space="0" w:color="A0CFEB" w:themeColor="accent4"/>
          <w:bottom w:val="single" w:sz="8" w:space="0" w:color="A0CFEB" w:themeColor="accent4"/>
          <w:right w:val="single" w:sz="8" w:space="0" w:color="A0CFEB" w:themeColor="accent4"/>
        </w:tcBorders>
      </w:tcPr>
    </w:tblStylePr>
  </w:style>
  <w:style w:type="table" w:styleId="LightList-Accent6">
    <w:name w:val="Light List Accent 6"/>
    <w:basedOn w:val="TableNormal"/>
    <w:uiPriority w:val="61"/>
    <w:rsid w:val="009661DE"/>
    <w:pPr>
      <w:spacing w:before="0"/>
    </w:pPr>
    <w:tblPr>
      <w:tblStyleRowBandSize w:val="1"/>
      <w:tblStyleColBandSize w:val="1"/>
      <w:tblBorders>
        <w:top w:val="single" w:sz="8" w:space="0" w:color="DC5034" w:themeColor="accent6"/>
        <w:left w:val="single" w:sz="8" w:space="0" w:color="DC5034" w:themeColor="accent6"/>
        <w:bottom w:val="single" w:sz="8" w:space="0" w:color="DC5034" w:themeColor="accent6"/>
        <w:right w:val="single" w:sz="8" w:space="0" w:color="DC5034" w:themeColor="accent6"/>
      </w:tblBorders>
    </w:tblPr>
    <w:tblStylePr w:type="firstRow">
      <w:pPr>
        <w:spacing w:before="0" w:after="0" w:line="240" w:lineRule="auto"/>
      </w:pPr>
      <w:rPr>
        <w:b/>
        <w:bCs/>
        <w:color w:val="FFFFFF" w:themeColor="background1"/>
      </w:rPr>
      <w:tblPr/>
      <w:tcPr>
        <w:shd w:val="clear" w:color="auto" w:fill="DC5034" w:themeFill="accent6"/>
      </w:tcPr>
    </w:tblStylePr>
    <w:tblStylePr w:type="lastRow">
      <w:pPr>
        <w:spacing w:before="0" w:after="0" w:line="240" w:lineRule="auto"/>
      </w:pPr>
      <w:rPr>
        <w:b/>
        <w:bCs/>
      </w:rPr>
      <w:tblPr/>
      <w:tcPr>
        <w:tcBorders>
          <w:top w:val="double" w:sz="6" w:space="0" w:color="DC5034" w:themeColor="accent6"/>
          <w:left w:val="single" w:sz="8" w:space="0" w:color="DC5034" w:themeColor="accent6"/>
          <w:bottom w:val="single" w:sz="8" w:space="0" w:color="DC5034" w:themeColor="accent6"/>
          <w:right w:val="single" w:sz="8" w:space="0" w:color="DC5034" w:themeColor="accent6"/>
        </w:tcBorders>
      </w:tcPr>
    </w:tblStylePr>
    <w:tblStylePr w:type="firstCol">
      <w:rPr>
        <w:b/>
        <w:bCs/>
      </w:rPr>
    </w:tblStylePr>
    <w:tblStylePr w:type="lastCol">
      <w:rPr>
        <w:b/>
        <w:bCs/>
      </w:rPr>
    </w:tblStylePr>
    <w:tblStylePr w:type="band1Vert">
      <w:tblPr/>
      <w:tcPr>
        <w:tcBorders>
          <w:top w:val="single" w:sz="8" w:space="0" w:color="DC5034" w:themeColor="accent6"/>
          <w:left w:val="single" w:sz="8" w:space="0" w:color="DC5034" w:themeColor="accent6"/>
          <w:bottom w:val="single" w:sz="8" w:space="0" w:color="DC5034" w:themeColor="accent6"/>
          <w:right w:val="single" w:sz="8" w:space="0" w:color="DC5034" w:themeColor="accent6"/>
        </w:tcBorders>
      </w:tcPr>
    </w:tblStylePr>
    <w:tblStylePr w:type="band1Horz">
      <w:tblPr/>
      <w:tcPr>
        <w:tcBorders>
          <w:top w:val="single" w:sz="8" w:space="0" w:color="DC5034" w:themeColor="accent6"/>
          <w:left w:val="single" w:sz="8" w:space="0" w:color="DC5034" w:themeColor="accent6"/>
          <w:bottom w:val="single" w:sz="8" w:space="0" w:color="DC5034" w:themeColor="accent6"/>
          <w:right w:val="single" w:sz="8" w:space="0" w:color="DC5034" w:themeColor="accent6"/>
        </w:tcBorders>
      </w:tcPr>
    </w:tblStylePr>
  </w:style>
  <w:style w:type="table" w:styleId="LightGrid">
    <w:name w:val="Light Grid"/>
    <w:basedOn w:val="TableNormal"/>
    <w:uiPriority w:val="62"/>
    <w:rsid w:val="009661DE"/>
    <w:pPr>
      <w:spacing w:before="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9661DE"/>
    <w:pPr>
      <w:spacing w:before="0"/>
    </w:pPr>
    <w:tblPr>
      <w:tblStyleRowBandSize w:val="1"/>
      <w:tblStyleColBandSize w:val="1"/>
      <w:tblBorders>
        <w:top w:val="single" w:sz="8" w:space="0" w:color="51626F" w:themeColor="accent1"/>
        <w:left w:val="single" w:sz="8" w:space="0" w:color="51626F" w:themeColor="accent1"/>
        <w:bottom w:val="single" w:sz="8" w:space="0" w:color="51626F" w:themeColor="accent1"/>
        <w:right w:val="single" w:sz="8" w:space="0" w:color="51626F" w:themeColor="accent1"/>
        <w:insideH w:val="single" w:sz="8" w:space="0" w:color="51626F" w:themeColor="accent1"/>
        <w:insideV w:val="single" w:sz="8" w:space="0" w:color="51626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1626F" w:themeColor="accent1"/>
          <w:left w:val="single" w:sz="8" w:space="0" w:color="51626F" w:themeColor="accent1"/>
          <w:bottom w:val="single" w:sz="18" w:space="0" w:color="51626F" w:themeColor="accent1"/>
          <w:right w:val="single" w:sz="8" w:space="0" w:color="51626F" w:themeColor="accent1"/>
          <w:insideH w:val="nil"/>
          <w:insideV w:val="single" w:sz="8" w:space="0" w:color="51626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1626F" w:themeColor="accent1"/>
          <w:left w:val="single" w:sz="8" w:space="0" w:color="51626F" w:themeColor="accent1"/>
          <w:bottom w:val="single" w:sz="8" w:space="0" w:color="51626F" w:themeColor="accent1"/>
          <w:right w:val="single" w:sz="8" w:space="0" w:color="51626F" w:themeColor="accent1"/>
          <w:insideH w:val="nil"/>
          <w:insideV w:val="single" w:sz="8" w:space="0" w:color="51626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1626F" w:themeColor="accent1"/>
          <w:left w:val="single" w:sz="8" w:space="0" w:color="51626F" w:themeColor="accent1"/>
          <w:bottom w:val="single" w:sz="8" w:space="0" w:color="51626F" w:themeColor="accent1"/>
          <w:right w:val="single" w:sz="8" w:space="0" w:color="51626F" w:themeColor="accent1"/>
        </w:tcBorders>
      </w:tcPr>
    </w:tblStylePr>
    <w:tblStylePr w:type="band1Vert">
      <w:tblPr/>
      <w:tcPr>
        <w:tcBorders>
          <w:top w:val="single" w:sz="8" w:space="0" w:color="51626F" w:themeColor="accent1"/>
          <w:left w:val="single" w:sz="8" w:space="0" w:color="51626F" w:themeColor="accent1"/>
          <w:bottom w:val="single" w:sz="8" w:space="0" w:color="51626F" w:themeColor="accent1"/>
          <w:right w:val="single" w:sz="8" w:space="0" w:color="51626F" w:themeColor="accent1"/>
        </w:tcBorders>
        <w:shd w:val="clear" w:color="auto" w:fill="D1D8DD" w:themeFill="accent1" w:themeFillTint="3F"/>
      </w:tcPr>
    </w:tblStylePr>
    <w:tblStylePr w:type="band1Horz">
      <w:tblPr/>
      <w:tcPr>
        <w:tcBorders>
          <w:top w:val="single" w:sz="8" w:space="0" w:color="51626F" w:themeColor="accent1"/>
          <w:left w:val="single" w:sz="8" w:space="0" w:color="51626F" w:themeColor="accent1"/>
          <w:bottom w:val="single" w:sz="8" w:space="0" w:color="51626F" w:themeColor="accent1"/>
          <w:right w:val="single" w:sz="8" w:space="0" w:color="51626F" w:themeColor="accent1"/>
          <w:insideV w:val="single" w:sz="8" w:space="0" w:color="51626F" w:themeColor="accent1"/>
        </w:tcBorders>
        <w:shd w:val="clear" w:color="auto" w:fill="D1D8DD" w:themeFill="accent1" w:themeFillTint="3F"/>
      </w:tcPr>
    </w:tblStylePr>
    <w:tblStylePr w:type="band2Horz">
      <w:tblPr/>
      <w:tcPr>
        <w:tcBorders>
          <w:top w:val="single" w:sz="8" w:space="0" w:color="51626F" w:themeColor="accent1"/>
          <w:left w:val="single" w:sz="8" w:space="0" w:color="51626F" w:themeColor="accent1"/>
          <w:bottom w:val="single" w:sz="8" w:space="0" w:color="51626F" w:themeColor="accent1"/>
          <w:right w:val="single" w:sz="8" w:space="0" w:color="51626F" w:themeColor="accent1"/>
          <w:insideV w:val="single" w:sz="8" w:space="0" w:color="51626F" w:themeColor="accent1"/>
        </w:tcBorders>
      </w:tcPr>
    </w:tblStylePr>
  </w:style>
  <w:style w:type="table" w:styleId="LightGrid-Accent2">
    <w:name w:val="Light Grid Accent 2"/>
    <w:basedOn w:val="TableNormal"/>
    <w:uiPriority w:val="62"/>
    <w:rsid w:val="009661DE"/>
    <w:pPr>
      <w:spacing w:before="0"/>
    </w:pPr>
    <w:tblPr>
      <w:tblStyleRowBandSize w:val="1"/>
      <w:tblStyleColBandSize w:val="1"/>
      <w:tblBorders>
        <w:top w:val="single" w:sz="8" w:space="0" w:color="4F2D7D" w:themeColor="accent2"/>
        <w:left w:val="single" w:sz="8" w:space="0" w:color="4F2D7D" w:themeColor="accent2"/>
        <w:bottom w:val="single" w:sz="8" w:space="0" w:color="4F2D7D" w:themeColor="accent2"/>
        <w:right w:val="single" w:sz="8" w:space="0" w:color="4F2D7D" w:themeColor="accent2"/>
        <w:insideH w:val="single" w:sz="8" w:space="0" w:color="4F2D7D" w:themeColor="accent2"/>
        <w:insideV w:val="single" w:sz="8" w:space="0" w:color="4F2D7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2D7D" w:themeColor="accent2"/>
          <w:left w:val="single" w:sz="8" w:space="0" w:color="4F2D7D" w:themeColor="accent2"/>
          <w:bottom w:val="single" w:sz="18" w:space="0" w:color="4F2D7D" w:themeColor="accent2"/>
          <w:right w:val="single" w:sz="8" w:space="0" w:color="4F2D7D" w:themeColor="accent2"/>
          <w:insideH w:val="nil"/>
          <w:insideV w:val="single" w:sz="8" w:space="0" w:color="4F2D7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2D7D" w:themeColor="accent2"/>
          <w:left w:val="single" w:sz="8" w:space="0" w:color="4F2D7D" w:themeColor="accent2"/>
          <w:bottom w:val="single" w:sz="8" w:space="0" w:color="4F2D7D" w:themeColor="accent2"/>
          <w:right w:val="single" w:sz="8" w:space="0" w:color="4F2D7D" w:themeColor="accent2"/>
          <w:insideH w:val="nil"/>
          <w:insideV w:val="single" w:sz="8" w:space="0" w:color="4F2D7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2D7D" w:themeColor="accent2"/>
          <w:left w:val="single" w:sz="8" w:space="0" w:color="4F2D7D" w:themeColor="accent2"/>
          <w:bottom w:val="single" w:sz="8" w:space="0" w:color="4F2D7D" w:themeColor="accent2"/>
          <w:right w:val="single" w:sz="8" w:space="0" w:color="4F2D7D" w:themeColor="accent2"/>
        </w:tcBorders>
      </w:tcPr>
    </w:tblStylePr>
    <w:tblStylePr w:type="band1Vert">
      <w:tblPr/>
      <w:tcPr>
        <w:tcBorders>
          <w:top w:val="single" w:sz="8" w:space="0" w:color="4F2D7D" w:themeColor="accent2"/>
          <w:left w:val="single" w:sz="8" w:space="0" w:color="4F2D7D" w:themeColor="accent2"/>
          <w:bottom w:val="single" w:sz="8" w:space="0" w:color="4F2D7D" w:themeColor="accent2"/>
          <w:right w:val="single" w:sz="8" w:space="0" w:color="4F2D7D" w:themeColor="accent2"/>
        </w:tcBorders>
        <w:shd w:val="clear" w:color="auto" w:fill="D1C1E8" w:themeFill="accent2" w:themeFillTint="3F"/>
      </w:tcPr>
    </w:tblStylePr>
    <w:tblStylePr w:type="band1Horz">
      <w:tblPr/>
      <w:tcPr>
        <w:tcBorders>
          <w:top w:val="single" w:sz="8" w:space="0" w:color="4F2D7D" w:themeColor="accent2"/>
          <w:left w:val="single" w:sz="8" w:space="0" w:color="4F2D7D" w:themeColor="accent2"/>
          <w:bottom w:val="single" w:sz="8" w:space="0" w:color="4F2D7D" w:themeColor="accent2"/>
          <w:right w:val="single" w:sz="8" w:space="0" w:color="4F2D7D" w:themeColor="accent2"/>
          <w:insideV w:val="single" w:sz="8" w:space="0" w:color="4F2D7D" w:themeColor="accent2"/>
        </w:tcBorders>
        <w:shd w:val="clear" w:color="auto" w:fill="D1C1E8" w:themeFill="accent2" w:themeFillTint="3F"/>
      </w:tcPr>
    </w:tblStylePr>
    <w:tblStylePr w:type="band2Horz">
      <w:tblPr/>
      <w:tcPr>
        <w:tcBorders>
          <w:top w:val="single" w:sz="8" w:space="0" w:color="4F2D7D" w:themeColor="accent2"/>
          <w:left w:val="single" w:sz="8" w:space="0" w:color="4F2D7D" w:themeColor="accent2"/>
          <w:bottom w:val="single" w:sz="8" w:space="0" w:color="4F2D7D" w:themeColor="accent2"/>
          <w:right w:val="single" w:sz="8" w:space="0" w:color="4F2D7D" w:themeColor="accent2"/>
          <w:insideV w:val="single" w:sz="8" w:space="0" w:color="4F2D7D" w:themeColor="accent2"/>
        </w:tcBorders>
      </w:tcPr>
    </w:tblStylePr>
  </w:style>
  <w:style w:type="table" w:styleId="LightGrid-Accent4">
    <w:name w:val="Light Grid Accent 4"/>
    <w:basedOn w:val="TableNormal"/>
    <w:uiPriority w:val="62"/>
    <w:rsid w:val="009661DE"/>
    <w:pPr>
      <w:spacing w:before="0"/>
    </w:pPr>
    <w:tblPr>
      <w:tblStyleRowBandSize w:val="1"/>
      <w:tblStyleColBandSize w:val="1"/>
      <w:tblBorders>
        <w:top w:val="single" w:sz="8" w:space="0" w:color="A0CFEB" w:themeColor="accent4"/>
        <w:left w:val="single" w:sz="8" w:space="0" w:color="A0CFEB" w:themeColor="accent4"/>
        <w:bottom w:val="single" w:sz="8" w:space="0" w:color="A0CFEB" w:themeColor="accent4"/>
        <w:right w:val="single" w:sz="8" w:space="0" w:color="A0CFEB" w:themeColor="accent4"/>
        <w:insideH w:val="single" w:sz="8" w:space="0" w:color="A0CFEB" w:themeColor="accent4"/>
        <w:insideV w:val="single" w:sz="8" w:space="0" w:color="A0CFEB"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0CFEB" w:themeColor="accent4"/>
          <w:left w:val="single" w:sz="8" w:space="0" w:color="A0CFEB" w:themeColor="accent4"/>
          <w:bottom w:val="single" w:sz="18" w:space="0" w:color="A0CFEB" w:themeColor="accent4"/>
          <w:right w:val="single" w:sz="8" w:space="0" w:color="A0CFEB" w:themeColor="accent4"/>
          <w:insideH w:val="nil"/>
          <w:insideV w:val="single" w:sz="8" w:space="0" w:color="A0CFEB"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0CFEB" w:themeColor="accent4"/>
          <w:left w:val="single" w:sz="8" w:space="0" w:color="A0CFEB" w:themeColor="accent4"/>
          <w:bottom w:val="single" w:sz="8" w:space="0" w:color="A0CFEB" w:themeColor="accent4"/>
          <w:right w:val="single" w:sz="8" w:space="0" w:color="A0CFEB" w:themeColor="accent4"/>
          <w:insideH w:val="nil"/>
          <w:insideV w:val="single" w:sz="8" w:space="0" w:color="A0CFEB"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0CFEB" w:themeColor="accent4"/>
          <w:left w:val="single" w:sz="8" w:space="0" w:color="A0CFEB" w:themeColor="accent4"/>
          <w:bottom w:val="single" w:sz="8" w:space="0" w:color="A0CFEB" w:themeColor="accent4"/>
          <w:right w:val="single" w:sz="8" w:space="0" w:color="A0CFEB" w:themeColor="accent4"/>
        </w:tcBorders>
      </w:tcPr>
    </w:tblStylePr>
    <w:tblStylePr w:type="band1Vert">
      <w:tblPr/>
      <w:tcPr>
        <w:tcBorders>
          <w:top w:val="single" w:sz="8" w:space="0" w:color="A0CFEB" w:themeColor="accent4"/>
          <w:left w:val="single" w:sz="8" w:space="0" w:color="A0CFEB" w:themeColor="accent4"/>
          <w:bottom w:val="single" w:sz="8" w:space="0" w:color="A0CFEB" w:themeColor="accent4"/>
          <w:right w:val="single" w:sz="8" w:space="0" w:color="A0CFEB" w:themeColor="accent4"/>
        </w:tcBorders>
        <w:shd w:val="clear" w:color="auto" w:fill="E7F3FA" w:themeFill="accent4" w:themeFillTint="3F"/>
      </w:tcPr>
    </w:tblStylePr>
    <w:tblStylePr w:type="band1Horz">
      <w:tblPr/>
      <w:tcPr>
        <w:tcBorders>
          <w:top w:val="single" w:sz="8" w:space="0" w:color="A0CFEB" w:themeColor="accent4"/>
          <w:left w:val="single" w:sz="8" w:space="0" w:color="A0CFEB" w:themeColor="accent4"/>
          <w:bottom w:val="single" w:sz="8" w:space="0" w:color="A0CFEB" w:themeColor="accent4"/>
          <w:right w:val="single" w:sz="8" w:space="0" w:color="A0CFEB" w:themeColor="accent4"/>
          <w:insideV w:val="single" w:sz="8" w:space="0" w:color="A0CFEB" w:themeColor="accent4"/>
        </w:tcBorders>
        <w:shd w:val="clear" w:color="auto" w:fill="E7F3FA" w:themeFill="accent4" w:themeFillTint="3F"/>
      </w:tcPr>
    </w:tblStylePr>
    <w:tblStylePr w:type="band2Horz">
      <w:tblPr/>
      <w:tcPr>
        <w:tcBorders>
          <w:top w:val="single" w:sz="8" w:space="0" w:color="A0CFEB" w:themeColor="accent4"/>
          <w:left w:val="single" w:sz="8" w:space="0" w:color="A0CFEB" w:themeColor="accent4"/>
          <w:bottom w:val="single" w:sz="8" w:space="0" w:color="A0CFEB" w:themeColor="accent4"/>
          <w:right w:val="single" w:sz="8" w:space="0" w:color="A0CFEB" w:themeColor="accent4"/>
          <w:insideV w:val="single" w:sz="8" w:space="0" w:color="A0CFEB" w:themeColor="accent4"/>
        </w:tcBorders>
      </w:tcPr>
    </w:tblStylePr>
  </w:style>
  <w:style w:type="table" w:styleId="LightGrid-Accent5">
    <w:name w:val="Light Grid Accent 5"/>
    <w:basedOn w:val="TableNormal"/>
    <w:uiPriority w:val="62"/>
    <w:rsid w:val="009661DE"/>
    <w:pPr>
      <w:spacing w:before="0"/>
    </w:pPr>
    <w:tblPr>
      <w:tblStyleRowBandSize w:val="1"/>
      <w:tblStyleColBandSize w:val="1"/>
      <w:tblBorders>
        <w:top w:val="single" w:sz="8" w:space="0" w:color="B71202" w:themeColor="accent5"/>
        <w:left w:val="single" w:sz="8" w:space="0" w:color="B71202" w:themeColor="accent5"/>
        <w:bottom w:val="single" w:sz="8" w:space="0" w:color="B71202" w:themeColor="accent5"/>
        <w:right w:val="single" w:sz="8" w:space="0" w:color="B71202" w:themeColor="accent5"/>
        <w:insideH w:val="single" w:sz="8" w:space="0" w:color="B71202" w:themeColor="accent5"/>
        <w:insideV w:val="single" w:sz="8" w:space="0" w:color="B7120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71202" w:themeColor="accent5"/>
          <w:left w:val="single" w:sz="8" w:space="0" w:color="B71202" w:themeColor="accent5"/>
          <w:bottom w:val="single" w:sz="18" w:space="0" w:color="B71202" w:themeColor="accent5"/>
          <w:right w:val="single" w:sz="8" w:space="0" w:color="B71202" w:themeColor="accent5"/>
          <w:insideH w:val="nil"/>
          <w:insideV w:val="single" w:sz="8" w:space="0" w:color="B7120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71202" w:themeColor="accent5"/>
          <w:left w:val="single" w:sz="8" w:space="0" w:color="B71202" w:themeColor="accent5"/>
          <w:bottom w:val="single" w:sz="8" w:space="0" w:color="B71202" w:themeColor="accent5"/>
          <w:right w:val="single" w:sz="8" w:space="0" w:color="B71202" w:themeColor="accent5"/>
          <w:insideH w:val="nil"/>
          <w:insideV w:val="single" w:sz="8" w:space="0" w:color="B7120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71202" w:themeColor="accent5"/>
          <w:left w:val="single" w:sz="8" w:space="0" w:color="B71202" w:themeColor="accent5"/>
          <w:bottom w:val="single" w:sz="8" w:space="0" w:color="B71202" w:themeColor="accent5"/>
          <w:right w:val="single" w:sz="8" w:space="0" w:color="B71202" w:themeColor="accent5"/>
        </w:tcBorders>
      </w:tcPr>
    </w:tblStylePr>
    <w:tblStylePr w:type="band1Vert">
      <w:tblPr/>
      <w:tcPr>
        <w:tcBorders>
          <w:top w:val="single" w:sz="8" w:space="0" w:color="B71202" w:themeColor="accent5"/>
          <w:left w:val="single" w:sz="8" w:space="0" w:color="B71202" w:themeColor="accent5"/>
          <w:bottom w:val="single" w:sz="8" w:space="0" w:color="B71202" w:themeColor="accent5"/>
          <w:right w:val="single" w:sz="8" w:space="0" w:color="B71202" w:themeColor="accent5"/>
        </w:tcBorders>
        <w:shd w:val="clear" w:color="auto" w:fill="FEB6AF" w:themeFill="accent5" w:themeFillTint="3F"/>
      </w:tcPr>
    </w:tblStylePr>
    <w:tblStylePr w:type="band1Horz">
      <w:tblPr/>
      <w:tcPr>
        <w:tcBorders>
          <w:top w:val="single" w:sz="8" w:space="0" w:color="B71202" w:themeColor="accent5"/>
          <w:left w:val="single" w:sz="8" w:space="0" w:color="B71202" w:themeColor="accent5"/>
          <w:bottom w:val="single" w:sz="8" w:space="0" w:color="B71202" w:themeColor="accent5"/>
          <w:right w:val="single" w:sz="8" w:space="0" w:color="B71202" w:themeColor="accent5"/>
          <w:insideV w:val="single" w:sz="8" w:space="0" w:color="B71202" w:themeColor="accent5"/>
        </w:tcBorders>
        <w:shd w:val="clear" w:color="auto" w:fill="FEB6AF" w:themeFill="accent5" w:themeFillTint="3F"/>
      </w:tcPr>
    </w:tblStylePr>
    <w:tblStylePr w:type="band2Horz">
      <w:tblPr/>
      <w:tcPr>
        <w:tcBorders>
          <w:top w:val="single" w:sz="8" w:space="0" w:color="B71202" w:themeColor="accent5"/>
          <w:left w:val="single" w:sz="8" w:space="0" w:color="B71202" w:themeColor="accent5"/>
          <w:bottom w:val="single" w:sz="8" w:space="0" w:color="B71202" w:themeColor="accent5"/>
          <w:right w:val="single" w:sz="8" w:space="0" w:color="B71202" w:themeColor="accent5"/>
          <w:insideV w:val="single" w:sz="8" w:space="0" w:color="B71202" w:themeColor="accent5"/>
        </w:tcBorders>
      </w:tcPr>
    </w:tblStylePr>
  </w:style>
  <w:style w:type="paragraph" w:customStyle="1" w:styleId="HeaderRight">
    <w:name w:val="Header Right"/>
    <w:basedOn w:val="Header"/>
    <w:uiPriority w:val="35"/>
    <w:qFormat/>
    <w:rsid w:val="00A84F46"/>
    <w:pPr>
      <w:tabs>
        <w:tab w:val="clear" w:pos="4513"/>
        <w:tab w:val="clear" w:pos="9026"/>
        <w:tab w:val="center" w:pos="4320"/>
        <w:tab w:val="right" w:pos="8640"/>
      </w:tabs>
      <w:spacing w:before="0" w:after="200"/>
      <w:jc w:val="right"/>
    </w:pPr>
    <w:rPr>
      <w:rFonts w:asciiTheme="minorHAnsi" w:hAnsiTheme="minorHAnsi" w:cs="Times New Roman"/>
      <w:szCs w:val="20"/>
      <w:lang w:val="en-US" w:eastAsia="ja-JP"/>
    </w:rPr>
  </w:style>
  <w:style w:type="paragraph" w:customStyle="1" w:styleId="Numbered111111111">
    <w:name w:val="Numbered 1.1.1.1.1.1.1.1.1"/>
    <w:basedOn w:val="Heading9"/>
    <w:next w:val="Normal"/>
    <w:uiPriority w:val="2"/>
    <w:rsid w:val="00B60F5D"/>
    <w:pPr>
      <w:numPr>
        <w:ilvl w:val="8"/>
        <w:numId w:val="12"/>
      </w:numPr>
      <w:tabs>
        <w:tab w:val="left" w:pos="2381"/>
      </w:tabs>
      <w:ind w:left="2381" w:hanging="2381"/>
    </w:pPr>
  </w:style>
  <w:style w:type="paragraph" w:styleId="Caption">
    <w:name w:val="caption"/>
    <w:basedOn w:val="Normal"/>
    <w:next w:val="Normal"/>
    <w:uiPriority w:val="35"/>
    <w:unhideWhenUsed/>
    <w:qFormat/>
    <w:rsid w:val="00B1716D"/>
    <w:pPr>
      <w:spacing w:before="240" w:after="120"/>
    </w:pPr>
    <w:rPr>
      <w:b/>
      <w:bCs/>
      <w:sz w:val="24"/>
      <w:szCs w:val="18"/>
    </w:rPr>
  </w:style>
  <w:style w:type="paragraph" w:styleId="List">
    <w:name w:val="List"/>
    <w:basedOn w:val="Normal"/>
    <w:uiPriority w:val="99"/>
    <w:rsid w:val="00E4674F"/>
    <w:pPr>
      <w:tabs>
        <w:tab w:val="left" w:pos="340"/>
      </w:tabs>
      <w:spacing w:before="120"/>
      <w:ind w:left="340" w:hanging="340"/>
    </w:pPr>
  </w:style>
  <w:style w:type="paragraph" w:styleId="List2">
    <w:name w:val="List 2"/>
    <w:basedOn w:val="Normal"/>
    <w:uiPriority w:val="99"/>
    <w:rsid w:val="00E4674F"/>
    <w:pPr>
      <w:tabs>
        <w:tab w:val="left" w:pos="680"/>
      </w:tabs>
      <w:spacing w:before="120"/>
      <w:ind w:left="680" w:hanging="340"/>
    </w:pPr>
  </w:style>
  <w:style w:type="paragraph" w:styleId="List3">
    <w:name w:val="List 3"/>
    <w:basedOn w:val="Normal"/>
    <w:uiPriority w:val="99"/>
    <w:rsid w:val="00E4674F"/>
    <w:pPr>
      <w:tabs>
        <w:tab w:val="left" w:pos="1021"/>
      </w:tabs>
      <w:spacing w:before="120"/>
      <w:ind w:left="1020" w:hanging="340"/>
    </w:pPr>
  </w:style>
  <w:style w:type="paragraph" w:styleId="List4">
    <w:name w:val="List 4"/>
    <w:basedOn w:val="Normal"/>
    <w:uiPriority w:val="99"/>
    <w:rsid w:val="00E4674F"/>
    <w:pPr>
      <w:tabs>
        <w:tab w:val="left" w:pos="1361"/>
      </w:tabs>
      <w:spacing w:before="120"/>
      <w:ind w:left="1361" w:hanging="340"/>
    </w:pPr>
  </w:style>
  <w:style w:type="paragraph" w:styleId="List5">
    <w:name w:val="List 5"/>
    <w:basedOn w:val="Normal"/>
    <w:uiPriority w:val="99"/>
    <w:rsid w:val="00547CCF"/>
    <w:pPr>
      <w:tabs>
        <w:tab w:val="left" w:pos="1701"/>
      </w:tabs>
      <w:spacing w:before="120"/>
      <w:ind w:left="1701" w:hanging="340"/>
    </w:pPr>
  </w:style>
  <w:style w:type="paragraph" w:styleId="ListBullet3">
    <w:name w:val="List Bullet 3"/>
    <w:basedOn w:val="Normal"/>
    <w:uiPriority w:val="99"/>
    <w:rsid w:val="00181223"/>
    <w:pPr>
      <w:numPr>
        <w:numId w:val="4"/>
      </w:numPr>
      <w:tabs>
        <w:tab w:val="clear" w:pos="926"/>
        <w:tab w:val="num" w:pos="1021"/>
      </w:tabs>
      <w:spacing w:before="120"/>
      <w:ind w:left="1020" w:hanging="340"/>
    </w:pPr>
  </w:style>
  <w:style w:type="paragraph" w:styleId="ListBullet4">
    <w:name w:val="List Bullet 4"/>
    <w:basedOn w:val="Normal"/>
    <w:uiPriority w:val="99"/>
    <w:rsid w:val="00547CCF"/>
    <w:pPr>
      <w:numPr>
        <w:numId w:val="5"/>
      </w:numPr>
      <w:tabs>
        <w:tab w:val="clear" w:pos="1209"/>
        <w:tab w:val="num" w:pos="1361"/>
      </w:tabs>
      <w:spacing w:before="120"/>
      <w:ind w:left="1361" w:hanging="340"/>
    </w:pPr>
  </w:style>
  <w:style w:type="paragraph" w:styleId="ListBullet5">
    <w:name w:val="List Bullet 5"/>
    <w:basedOn w:val="Normal"/>
    <w:uiPriority w:val="99"/>
    <w:rsid w:val="00547CCF"/>
    <w:pPr>
      <w:numPr>
        <w:numId w:val="6"/>
      </w:numPr>
      <w:tabs>
        <w:tab w:val="clear" w:pos="1492"/>
        <w:tab w:val="num" w:pos="1701"/>
      </w:tabs>
      <w:spacing w:before="120"/>
      <w:ind w:left="1701" w:hanging="340"/>
    </w:pPr>
  </w:style>
  <w:style w:type="paragraph" w:styleId="ListContinue">
    <w:name w:val="List Continue"/>
    <w:basedOn w:val="Normal"/>
    <w:uiPriority w:val="99"/>
    <w:rsid w:val="00547CCF"/>
    <w:pPr>
      <w:tabs>
        <w:tab w:val="left" w:pos="340"/>
      </w:tabs>
      <w:spacing w:before="120"/>
      <w:ind w:left="340"/>
    </w:pPr>
  </w:style>
  <w:style w:type="paragraph" w:styleId="ListContinue2">
    <w:name w:val="List Continue 2"/>
    <w:basedOn w:val="Normal"/>
    <w:uiPriority w:val="99"/>
    <w:rsid w:val="00547CCF"/>
    <w:pPr>
      <w:tabs>
        <w:tab w:val="left" w:pos="680"/>
      </w:tabs>
      <w:spacing w:before="120"/>
      <w:ind w:left="680"/>
    </w:pPr>
  </w:style>
  <w:style w:type="paragraph" w:styleId="ListContinue3">
    <w:name w:val="List Continue 3"/>
    <w:basedOn w:val="Normal"/>
    <w:uiPriority w:val="99"/>
    <w:rsid w:val="00547CCF"/>
    <w:pPr>
      <w:tabs>
        <w:tab w:val="left" w:pos="1021"/>
      </w:tabs>
      <w:spacing w:before="120"/>
      <w:ind w:left="1021"/>
    </w:pPr>
  </w:style>
  <w:style w:type="paragraph" w:styleId="ListContinue4">
    <w:name w:val="List Continue 4"/>
    <w:basedOn w:val="Normal"/>
    <w:uiPriority w:val="99"/>
    <w:rsid w:val="00DC542F"/>
    <w:pPr>
      <w:tabs>
        <w:tab w:val="left" w:pos="1361"/>
      </w:tabs>
      <w:spacing w:before="120"/>
      <w:ind w:left="1361"/>
    </w:pPr>
  </w:style>
  <w:style w:type="paragraph" w:styleId="ListNumber3">
    <w:name w:val="List Number 3"/>
    <w:basedOn w:val="Normal"/>
    <w:uiPriority w:val="99"/>
    <w:rsid w:val="00BE4C99"/>
    <w:pPr>
      <w:numPr>
        <w:numId w:val="14"/>
      </w:numPr>
      <w:tabs>
        <w:tab w:val="left" w:pos="1021"/>
      </w:tabs>
      <w:spacing w:before="120"/>
    </w:pPr>
  </w:style>
  <w:style w:type="paragraph" w:styleId="ListNumber4">
    <w:name w:val="List Number 4"/>
    <w:basedOn w:val="Normal"/>
    <w:uiPriority w:val="99"/>
    <w:rsid w:val="00BE4C99"/>
    <w:pPr>
      <w:numPr>
        <w:numId w:val="7"/>
      </w:numPr>
      <w:tabs>
        <w:tab w:val="left" w:pos="1701"/>
      </w:tabs>
      <w:spacing w:before="120"/>
    </w:pPr>
  </w:style>
  <w:style w:type="paragraph" w:styleId="ListNumber5">
    <w:name w:val="List Number 5"/>
    <w:basedOn w:val="Normal"/>
    <w:uiPriority w:val="99"/>
    <w:rsid w:val="00BE4C99"/>
    <w:pPr>
      <w:numPr>
        <w:numId w:val="8"/>
      </w:numPr>
      <w:spacing w:before="120"/>
    </w:pPr>
  </w:style>
  <w:style w:type="paragraph" w:customStyle="1" w:styleId="TableHeading">
    <w:name w:val="Table Heading"/>
    <w:basedOn w:val="Tabletext"/>
    <w:link w:val="TableHeadingChar"/>
    <w:qFormat/>
    <w:rsid w:val="00584D8F"/>
    <w:pPr>
      <w:spacing w:before="60"/>
    </w:pPr>
    <w:rPr>
      <w:b/>
      <w:sz w:val="22"/>
    </w:rPr>
  </w:style>
  <w:style w:type="paragraph" w:customStyle="1" w:styleId="Tabletext-right">
    <w:name w:val="Table text - right"/>
    <w:basedOn w:val="Tabletext"/>
    <w:link w:val="Tabletext-rightChar"/>
    <w:rsid w:val="00063247"/>
    <w:pPr>
      <w:jc w:val="right"/>
    </w:pPr>
    <w:rPr>
      <w:rFonts w:eastAsia="Times New Roman" w:cs="Times New Roman"/>
      <w:szCs w:val="20"/>
    </w:rPr>
  </w:style>
  <w:style w:type="paragraph" w:customStyle="1" w:styleId="Tabletext-centred">
    <w:name w:val="Table text - centred"/>
    <w:basedOn w:val="Tabletext-right"/>
    <w:link w:val="Tabletext-centredChar"/>
    <w:rsid w:val="00063247"/>
    <w:pPr>
      <w:jc w:val="center"/>
    </w:pPr>
  </w:style>
  <w:style w:type="paragraph" w:customStyle="1" w:styleId="TableHeading-right">
    <w:name w:val="Table Heading - right"/>
    <w:basedOn w:val="TableHeading"/>
    <w:link w:val="TableHeading-rightChar"/>
    <w:rsid w:val="00584D8F"/>
    <w:pPr>
      <w:jc w:val="right"/>
    </w:pPr>
    <w:rPr>
      <w:rFonts w:eastAsia="Times New Roman" w:cs="Times New Roman"/>
      <w:bCs/>
      <w:szCs w:val="20"/>
    </w:rPr>
  </w:style>
  <w:style w:type="character" w:customStyle="1" w:styleId="Tabletext-rightChar">
    <w:name w:val="Table text - right Char"/>
    <w:basedOn w:val="TabletextChar"/>
    <w:link w:val="Tabletext-right"/>
    <w:rsid w:val="00063247"/>
    <w:rPr>
      <w:rFonts w:ascii="Arial" w:eastAsia="Times New Roman" w:hAnsi="Arial" w:cs="Times New Roman"/>
      <w:sz w:val="20"/>
      <w:szCs w:val="20"/>
    </w:rPr>
  </w:style>
  <w:style w:type="character" w:customStyle="1" w:styleId="TabletextChar">
    <w:name w:val="Table text Char"/>
    <w:basedOn w:val="DefaultParagraphFont"/>
    <w:link w:val="Tabletext"/>
    <w:uiPriority w:val="1"/>
    <w:rsid w:val="00584D8F"/>
    <w:rPr>
      <w:rFonts w:ascii="Arial" w:hAnsi="Arial"/>
      <w:sz w:val="20"/>
    </w:rPr>
  </w:style>
  <w:style w:type="character" w:customStyle="1" w:styleId="TableHeadingChar">
    <w:name w:val="Table Heading Char"/>
    <w:basedOn w:val="TabletextChar"/>
    <w:link w:val="TableHeading"/>
    <w:rsid w:val="00584D8F"/>
    <w:rPr>
      <w:rFonts w:ascii="Arial" w:hAnsi="Arial"/>
      <w:b/>
      <w:sz w:val="20"/>
    </w:rPr>
  </w:style>
  <w:style w:type="character" w:customStyle="1" w:styleId="TableHeading-rightChar">
    <w:name w:val="Table Heading - right Char"/>
    <w:basedOn w:val="TableHeadingChar"/>
    <w:link w:val="TableHeading-right"/>
    <w:rsid w:val="00584D8F"/>
    <w:rPr>
      <w:rFonts w:ascii="Arial" w:eastAsia="Times New Roman" w:hAnsi="Arial" w:cs="Times New Roman"/>
      <w:b/>
      <w:bCs/>
      <w:sz w:val="20"/>
      <w:szCs w:val="20"/>
    </w:rPr>
  </w:style>
  <w:style w:type="character" w:customStyle="1" w:styleId="Tabletext-centredChar">
    <w:name w:val="Table text - centred Char"/>
    <w:basedOn w:val="Tabletext-rightChar"/>
    <w:link w:val="Tabletext-centred"/>
    <w:rsid w:val="00063247"/>
    <w:rPr>
      <w:rFonts w:ascii="Arial" w:eastAsia="Times New Roman" w:hAnsi="Arial" w:cs="Times New Roman"/>
      <w:sz w:val="20"/>
      <w:szCs w:val="20"/>
    </w:rPr>
  </w:style>
  <w:style w:type="paragraph" w:customStyle="1" w:styleId="TableHeading-centred">
    <w:name w:val="Table Heading - centred"/>
    <w:basedOn w:val="TableHeading"/>
    <w:rsid w:val="00584D8F"/>
    <w:pPr>
      <w:jc w:val="center"/>
    </w:pPr>
    <w:rPr>
      <w:rFonts w:eastAsia="Times New Roman" w:cs="Times New Roman"/>
      <w:bCs/>
      <w:szCs w:val="20"/>
    </w:rPr>
  </w:style>
  <w:style w:type="character" w:customStyle="1" w:styleId="EndnoteTextChar">
    <w:name w:val="Endnote Text Char"/>
    <w:basedOn w:val="DefaultParagraphFont"/>
    <w:link w:val="EndnoteText"/>
    <w:uiPriority w:val="99"/>
    <w:rsid w:val="00334C8D"/>
    <w:rPr>
      <w:rFonts w:ascii="Arial" w:hAnsi="Arial"/>
      <w:sz w:val="20"/>
      <w:szCs w:val="20"/>
    </w:rPr>
  </w:style>
  <w:style w:type="paragraph" w:styleId="TableofFigures">
    <w:name w:val="table of figures"/>
    <w:basedOn w:val="Normal"/>
    <w:next w:val="Normal"/>
    <w:uiPriority w:val="99"/>
    <w:unhideWhenUsed/>
    <w:rsid w:val="00676679"/>
    <w:pPr>
      <w:spacing w:before="240" w:after="120"/>
    </w:pPr>
  </w:style>
  <w:style w:type="table" w:customStyle="1" w:styleId="ACCCTable3">
    <w:name w:val="ACCC Table 3"/>
    <w:basedOn w:val="TableNormal"/>
    <w:uiPriority w:val="99"/>
    <w:rsid w:val="00C53B5A"/>
    <w:pPr>
      <w:spacing w:before="0"/>
    </w:pPr>
    <w:rPr>
      <w:sz w:val="20"/>
    </w:rPr>
    <w:tblPr>
      <w:tblBorders>
        <w:insideV w:val="single" w:sz="4" w:space="0" w:color="D5D6D2" w:themeColor="background2"/>
      </w:tblBorders>
    </w:tblPr>
    <w:tblStylePr w:type="firstRow">
      <w:rPr>
        <w:rFonts w:asciiTheme="minorHAnsi" w:hAnsiTheme="minorHAnsi"/>
        <w:b/>
        <w:sz w:val="20"/>
      </w:rPr>
    </w:tblStylePr>
    <w:tblStylePr w:type="lastRow">
      <w:rPr>
        <w:rFonts w:ascii="Arial" w:hAnsi="Arial"/>
        <w:b/>
        <w:sz w:val="20"/>
      </w:rPr>
    </w:tblStylePr>
    <w:tblStylePr w:type="firstCol">
      <w:rPr>
        <w:rFonts w:ascii="Arial" w:hAnsi="Arial"/>
        <w:b/>
        <w:sz w:val="20"/>
      </w:rPr>
    </w:tblStylePr>
  </w:style>
  <w:style w:type="character" w:styleId="EndnoteReference">
    <w:name w:val="endnote reference"/>
    <w:basedOn w:val="DefaultParagraphFont"/>
    <w:uiPriority w:val="99"/>
    <w:rsid w:val="00E4674F"/>
    <w:rPr>
      <w:rFonts w:ascii="Arial" w:hAnsi="Arial"/>
      <w:sz w:val="16"/>
      <w:vertAlign w:val="superscript"/>
    </w:rPr>
  </w:style>
  <w:style w:type="paragraph" w:customStyle="1" w:styleId="Numberedparagraph11">
    <w:name w:val="Numbered paragraph 1.1"/>
    <w:basedOn w:val="Numbered11"/>
    <w:qFormat/>
    <w:rsid w:val="00340655"/>
    <w:pPr>
      <w:ind w:left="680" w:hanging="680"/>
      <w:outlineLvl w:val="9"/>
    </w:pPr>
    <w:rPr>
      <w:bCs w:val="0"/>
      <w:color w:val="auto"/>
      <w:sz w:val="22"/>
    </w:rPr>
  </w:style>
  <w:style w:type="character" w:customStyle="1" w:styleId="Numbered1Char">
    <w:name w:val="Numbered 1 Char"/>
    <w:basedOn w:val="Heading1Char"/>
    <w:link w:val="Numbered1"/>
    <w:rsid w:val="00F61B84"/>
    <w:rPr>
      <w:rFonts w:ascii="Lucida Fax" w:eastAsiaTheme="majorEastAsia" w:hAnsi="Lucida Fax" w:cstheme="majorBidi"/>
      <w:bCs/>
      <w:color w:val="51626F"/>
      <w:sz w:val="32"/>
      <w:szCs w:val="28"/>
    </w:rPr>
  </w:style>
  <w:style w:type="paragraph" w:customStyle="1" w:styleId="Numberedparagraph">
    <w:name w:val="Numbered paragraph"/>
    <w:basedOn w:val="Normal"/>
    <w:rsid w:val="00B60F5D"/>
    <w:pPr>
      <w:numPr>
        <w:numId w:val="1"/>
      </w:numPr>
      <w:ind w:left="680" w:hanging="680"/>
    </w:pPr>
    <w:rPr>
      <w:rFonts w:eastAsia="Times New Roman" w:cs="Times New Roman"/>
      <w:color w:val="000000" w:themeColor="text1" w:themeShade="BF"/>
      <w:szCs w:val="20"/>
    </w:rPr>
  </w:style>
  <w:style w:type="paragraph" w:customStyle="1" w:styleId="Listalphabet2">
    <w:name w:val="List alphabet 2"/>
    <w:rsid w:val="00CF799E"/>
    <w:pPr>
      <w:numPr>
        <w:numId w:val="13"/>
      </w:numPr>
      <w:tabs>
        <w:tab w:val="left" w:pos="680"/>
      </w:tabs>
      <w:spacing w:before="120"/>
    </w:pPr>
    <w:rPr>
      <w:rFonts w:ascii="Arial" w:hAnsi="Arial"/>
    </w:rPr>
  </w:style>
  <w:style w:type="paragraph" w:customStyle="1" w:styleId="Listalphabet3">
    <w:name w:val="List alphabet 3"/>
    <w:rsid w:val="00CF799E"/>
    <w:pPr>
      <w:numPr>
        <w:numId w:val="19"/>
      </w:numPr>
      <w:tabs>
        <w:tab w:val="left" w:pos="1021"/>
      </w:tabs>
      <w:spacing w:before="120"/>
    </w:pPr>
    <w:rPr>
      <w:rFonts w:ascii="Arial" w:hAnsi="Arial"/>
    </w:rPr>
  </w:style>
  <w:style w:type="paragraph" w:customStyle="1" w:styleId="Listalphabet4">
    <w:name w:val="List alphabet 4"/>
    <w:rsid w:val="00CF799E"/>
    <w:pPr>
      <w:numPr>
        <w:numId w:val="20"/>
      </w:numPr>
      <w:tabs>
        <w:tab w:val="left" w:pos="1361"/>
      </w:tabs>
      <w:spacing w:before="120"/>
    </w:pPr>
    <w:rPr>
      <w:rFonts w:ascii="Arial" w:hAnsi="Arial"/>
    </w:rPr>
  </w:style>
  <w:style w:type="paragraph" w:customStyle="1" w:styleId="Listalphabet5">
    <w:name w:val="List alphabet 5"/>
    <w:rsid w:val="00CF799E"/>
    <w:pPr>
      <w:numPr>
        <w:numId w:val="21"/>
      </w:numPr>
      <w:tabs>
        <w:tab w:val="left" w:pos="1701"/>
      </w:tabs>
      <w:spacing w:before="120"/>
    </w:pPr>
    <w:rPr>
      <w:rFonts w:ascii="Arial" w:hAnsi="Arial"/>
    </w:rPr>
  </w:style>
  <w:style w:type="paragraph" w:styleId="ListContinue5">
    <w:name w:val="List Continue 5"/>
    <w:basedOn w:val="Normal"/>
    <w:uiPriority w:val="99"/>
    <w:rsid w:val="00DC542F"/>
    <w:pPr>
      <w:tabs>
        <w:tab w:val="left" w:pos="1701"/>
      </w:tabs>
      <w:spacing w:before="120"/>
      <w:ind w:left="1701"/>
    </w:pPr>
  </w:style>
  <w:style w:type="paragraph" w:customStyle="1" w:styleId="Listalphabet">
    <w:name w:val="List alphabet"/>
    <w:qFormat/>
    <w:rsid w:val="003459E6"/>
    <w:pPr>
      <w:numPr>
        <w:numId w:val="22"/>
      </w:numPr>
      <w:tabs>
        <w:tab w:val="left" w:pos="340"/>
      </w:tabs>
      <w:spacing w:before="120"/>
    </w:pPr>
    <w:rPr>
      <w:rFonts w:ascii="Arial" w:hAnsi="Arial"/>
    </w:rPr>
  </w:style>
  <w:style w:type="paragraph" w:styleId="NoteHeading">
    <w:name w:val="Note Heading"/>
    <w:basedOn w:val="Normal"/>
    <w:next w:val="Normal"/>
    <w:link w:val="NoteHeadingChar"/>
    <w:uiPriority w:val="99"/>
    <w:semiHidden/>
    <w:unhideWhenUsed/>
    <w:rsid w:val="00F61B84"/>
    <w:pPr>
      <w:spacing w:before="0"/>
    </w:pPr>
  </w:style>
  <w:style w:type="character" w:customStyle="1" w:styleId="NoteHeadingChar">
    <w:name w:val="Note Heading Char"/>
    <w:basedOn w:val="DefaultParagraphFont"/>
    <w:link w:val="NoteHeading"/>
    <w:uiPriority w:val="99"/>
    <w:semiHidden/>
    <w:rsid w:val="00F61B84"/>
    <w:rPr>
      <w:rFonts w:ascii="Arial" w:hAnsi="Arial"/>
    </w:rPr>
  </w:style>
  <w:style w:type="character" w:styleId="SubtleReference">
    <w:name w:val="Subtle Reference"/>
    <w:basedOn w:val="DefaultParagraphFont"/>
    <w:uiPriority w:val="31"/>
    <w:unhideWhenUsed/>
    <w:qFormat/>
    <w:rsid w:val="00B60F5D"/>
    <w:rPr>
      <w:smallCaps/>
      <w:color w:val="4F2D7D" w:themeColor="accent2"/>
      <w:u w:val="single"/>
    </w:rPr>
  </w:style>
  <w:style w:type="paragraph" w:customStyle="1" w:styleId="ListLegal">
    <w:name w:val="List Legal"/>
    <w:basedOn w:val="ListParagraph"/>
    <w:rsid w:val="00CF799E"/>
    <w:pPr>
      <w:numPr>
        <w:numId w:val="25"/>
      </w:numPr>
      <w:tabs>
        <w:tab w:val="clear" w:pos="340"/>
        <w:tab w:val="left" w:pos="680"/>
      </w:tabs>
    </w:pPr>
  </w:style>
  <w:style w:type="paragraph" w:customStyle="1" w:styleId="ListLegal2">
    <w:name w:val="List Legal 2"/>
    <w:basedOn w:val="ListLegal"/>
    <w:rsid w:val="00C06739"/>
    <w:pPr>
      <w:numPr>
        <w:numId w:val="16"/>
      </w:numPr>
      <w:tabs>
        <w:tab w:val="clear" w:pos="680"/>
        <w:tab w:val="left" w:pos="1021"/>
      </w:tabs>
    </w:pPr>
  </w:style>
  <w:style w:type="paragraph" w:customStyle="1" w:styleId="ListLegal3">
    <w:name w:val="List Legal 3"/>
    <w:basedOn w:val="ListNumber3"/>
    <w:rsid w:val="00CF799E"/>
    <w:pPr>
      <w:numPr>
        <w:numId w:val="15"/>
      </w:numPr>
      <w:tabs>
        <w:tab w:val="clear" w:pos="1021"/>
        <w:tab w:val="left" w:pos="1361"/>
      </w:tabs>
    </w:pPr>
  </w:style>
  <w:style w:type="paragraph" w:customStyle="1" w:styleId="ListLegal4">
    <w:name w:val="List Legal 4"/>
    <w:basedOn w:val="ListLegal3"/>
    <w:rsid w:val="00CF799E"/>
    <w:pPr>
      <w:numPr>
        <w:numId w:val="17"/>
      </w:numPr>
      <w:tabs>
        <w:tab w:val="clear" w:pos="1361"/>
        <w:tab w:val="left" w:pos="1701"/>
      </w:tabs>
    </w:pPr>
  </w:style>
  <w:style w:type="paragraph" w:customStyle="1" w:styleId="ListLegal5">
    <w:name w:val="List Legal 5"/>
    <w:basedOn w:val="ListLegal4"/>
    <w:rsid w:val="000F2368"/>
    <w:pPr>
      <w:numPr>
        <w:numId w:val="26"/>
      </w:numPr>
      <w:tabs>
        <w:tab w:val="clear" w:pos="1701"/>
        <w:tab w:val="left" w:pos="2041"/>
      </w:tabs>
    </w:pPr>
  </w:style>
  <w:style w:type="paragraph" w:customStyle="1" w:styleId="LegalNumbering">
    <w:name w:val="Legal Numbering"/>
    <w:basedOn w:val="Normal"/>
    <w:qFormat/>
    <w:rsid w:val="0002115F"/>
    <w:pPr>
      <w:numPr>
        <w:numId w:val="18"/>
      </w:numPr>
      <w:tabs>
        <w:tab w:val="left" w:pos="340"/>
        <w:tab w:val="left" w:pos="680"/>
        <w:tab w:val="left" w:pos="1021"/>
        <w:tab w:val="left" w:pos="1361"/>
      </w:tabs>
    </w:pPr>
  </w:style>
  <w:style w:type="paragraph" w:customStyle="1" w:styleId="Reporttitle">
    <w:name w:val="Report title"/>
    <w:basedOn w:val="Normal"/>
    <w:link w:val="ReporttitleChar"/>
    <w:rsid w:val="00AB36D9"/>
    <w:pPr>
      <w:spacing w:before="520" w:after="120"/>
    </w:pPr>
    <w:rPr>
      <w:rFonts w:ascii="Lucida Fax" w:hAnsi="Lucida Fax"/>
      <w:color w:val="4F2D7F"/>
      <w:sz w:val="72"/>
      <w:szCs w:val="56"/>
    </w:rPr>
  </w:style>
  <w:style w:type="character" w:customStyle="1" w:styleId="ReporttitleChar">
    <w:name w:val="Report title Char"/>
    <w:basedOn w:val="DefaultParagraphFont"/>
    <w:link w:val="Reporttitle"/>
    <w:rsid w:val="00AB36D9"/>
    <w:rPr>
      <w:rFonts w:ascii="Lucida Fax" w:hAnsi="Lucida Fax"/>
      <w:color w:val="4F2D7F"/>
      <w:sz w:val="72"/>
      <w:szCs w:val="56"/>
    </w:rPr>
  </w:style>
  <w:style w:type="table" w:customStyle="1" w:styleId="ACCCTable1">
    <w:name w:val="ACCC Table1"/>
    <w:basedOn w:val="TableNormal"/>
    <w:next w:val="TableGrid"/>
    <w:uiPriority w:val="59"/>
    <w:rsid w:val="00AB36D9"/>
    <w:pPr>
      <w:spacing w:before="60" w:after="60" w:line="276" w:lineRule="auto"/>
    </w:pPr>
    <w:rPr>
      <w:rFonts w:ascii="Arial" w:eastAsiaTheme="minorEastAsia" w:hAnsi="Arial"/>
      <w:sz w:val="20"/>
    </w:rPr>
    <w:tblPr>
      <w:tblBorders>
        <w:top w:val="single" w:sz="4" w:space="0" w:color="BFBFBF" w:themeColor="background1" w:themeShade="BF"/>
        <w:bottom w:val="single" w:sz="4" w:space="0" w:color="BFBFBF" w:themeColor="background1" w:themeShade="BF"/>
      </w:tblBorders>
    </w:tblPr>
    <w:tcPr>
      <w:shd w:val="clear" w:color="auto" w:fill="auto"/>
    </w:tcPr>
    <w:tblStylePr w:type="firstRow">
      <w:pPr>
        <w:wordWrap/>
        <w:spacing w:beforeLines="0" w:before="120" w:beforeAutospacing="0" w:afterLines="0" w:after="120" w:afterAutospacing="0"/>
      </w:pPr>
      <w:rPr>
        <w:rFonts w:ascii="Arial" w:hAnsi="Arial"/>
        <w:b/>
        <w:sz w:val="20"/>
      </w:rPr>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auto"/>
      </w:tcPr>
    </w:tblStylePr>
    <w:tblStylePr w:type="lastRow">
      <w:pPr>
        <w:wordWrap/>
        <w:spacing w:beforeLines="0" w:before="120" w:beforeAutospacing="0" w:afterLines="0" w:after="120" w:afterAutospacing="0" w:line="240" w:lineRule="auto"/>
      </w:pPr>
      <w:rPr>
        <w:rFonts w:ascii="Arial" w:hAnsi="Arial"/>
        <w:b/>
        <w:sz w:val="20"/>
      </w:rPr>
    </w:tblStylePr>
    <w:tblStylePr w:type="firstCol">
      <w:rPr>
        <w:rFonts w:ascii="Arial" w:hAnsi="Arial"/>
        <w:b/>
        <w:sz w:val="20"/>
      </w:rPr>
    </w:tblStylePr>
  </w:style>
  <w:style w:type="table" w:customStyle="1" w:styleId="LightShading2">
    <w:name w:val="Light Shading2"/>
    <w:basedOn w:val="TableNormal"/>
    <w:next w:val="LightShading"/>
    <w:uiPriority w:val="60"/>
    <w:rsid w:val="00AB36D9"/>
    <w:pPr>
      <w:spacing w:before="120" w:after="120" w:line="276" w:lineRule="auto"/>
    </w:pPr>
    <w:rPr>
      <w:rFonts w:eastAsiaTheme="minorEastAsia"/>
      <w:sz w:val="20"/>
    </w:rPr>
    <w:tblPr>
      <w:tblBorders>
        <w:top w:val="single" w:sz="4" w:space="0" w:color="D5D6D2" w:themeColor="background2"/>
        <w:left w:val="single" w:sz="4" w:space="0" w:color="D5D6D2" w:themeColor="background2"/>
        <w:bottom w:val="single" w:sz="4" w:space="0" w:color="D5D6D2" w:themeColor="background2"/>
        <w:right w:val="single" w:sz="4" w:space="0" w:color="D5D6D2" w:themeColor="background2"/>
        <w:insideH w:val="single" w:sz="4" w:space="0" w:color="D5D6D2" w:themeColor="background2"/>
        <w:insideV w:val="single" w:sz="4" w:space="0" w:color="D5D6D2" w:themeColor="background2"/>
      </w:tblBorders>
    </w:tblPr>
    <w:tcPr>
      <w:shd w:val="clear" w:color="auto" w:fill="auto"/>
      <w:vAlign w:val="center"/>
    </w:tcPr>
    <w:tblStylePr w:type="firstRow">
      <w:pPr>
        <w:wordWrap/>
        <w:spacing w:beforeLines="0" w:before="120" w:beforeAutospacing="0" w:afterLines="0" w:after="120" w:afterAutospacing="0" w:line="240" w:lineRule="auto"/>
      </w:pPr>
      <w:rPr>
        <w:rFonts w:asciiTheme="minorHAnsi" w:hAnsiTheme="minorHAnsi"/>
        <w:b/>
        <w:bCs/>
        <w:sz w:val="20"/>
      </w:rPr>
      <w:tblPr/>
      <w:tcPr>
        <w:tcBorders>
          <w:top w:val="single" w:sz="4" w:space="0" w:color="D5D6D2" w:themeColor="background2"/>
          <w:left w:val="single" w:sz="4" w:space="0" w:color="D5D6D2" w:themeColor="background2"/>
          <w:bottom w:val="single" w:sz="4" w:space="0" w:color="D5D6D2" w:themeColor="background2"/>
          <w:right w:val="single" w:sz="4" w:space="0" w:color="D5D6D2" w:themeColor="background2"/>
          <w:insideH w:val="single" w:sz="4" w:space="0" w:color="D5D6D2" w:themeColor="background2"/>
          <w:insideV w:val="single" w:sz="4" w:space="0" w:color="D5D6D2" w:themeColor="background2"/>
        </w:tcBorders>
        <w:shd w:val="clear" w:color="auto" w:fill="auto"/>
      </w:tcPr>
    </w:tblStylePr>
    <w:tblStylePr w:type="lastRow">
      <w:pPr>
        <w:wordWrap/>
        <w:spacing w:beforeLines="0" w:before="120" w:beforeAutospacing="0" w:afterLines="0" w:after="120" w:afterAutospacing="0" w:line="240" w:lineRule="auto"/>
      </w:pPr>
      <w:rPr>
        <w:b/>
        <w:bCs/>
        <w:sz w:val="20"/>
      </w:rPr>
      <w:tblPr/>
      <w:tcPr>
        <w:tcBorders>
          <w:top w:val="single" w:sz="4" w:space="0" w:color="D5D6D2" w:themeColor="background2"/>
          <w:left w:val="single" w:sz="4" w:space="0" w:color="D5D6D2" w:themeColor="background2"/>
          <w:bottom w:val="single" w:sz="4" w:space="0" w:color="D5D6D2" w:themeColor="background2"/>
          <w:right w:val="single" w:sz="4" w:space="0" w:color="D5D6D2" w:themeColor="background2"/>
          <w:insideH w:val="single" w:sz="4" w:space="0" w:color="D5D6D2" w:themeColor="background2"/>
          <w:insideV w:val="single" w:sz="4" w:space="0" w:color="D5D6D2" w:themeColor="background2"/>
        </w:tcBorders>
      </w:tcPr>
    </w:tblStylePr>
    <w:tblStylePr w:type="firstCol">
      <w:rPr>
        <w:b/>
        <w:bCs/>
        <w:sz w:val="20"/>
      </w:rPr>
    </w:tblStylePr>
    <w:tblStylePr w:type="lastCol">
      <w:rPr>
        <w:b/>
        <w:bCs/>
      </w:rPr>
    </w:tblStylePr>
  </w:style>
  <w:style w:type="table" w:customStyle="1" w:styleId="LightShading-Accent11">
    <w:name w:val="Light Shading - Accent 11"/>
    <w:basedOn w:val="TableNormal"/>
    <w:next w:val="LightShading-Accent1"/>
    <w:uiPriority w:val="60"/>
    <w:rsid w:val="00AB36D9"/>
    <w:pPr>
      <w:spacing w:before="0" w:after="200" w:line="276" w:lineRule="auto"/>
    </w:pPr>
    <w:rPr>
      <w:rFonts w:eastAsiaTheme="minorEastAsia"/>
      <w:color w:val="3C4953" w:themeColor="accent1" w:themeShade="BF"/>
    </w:rPr>
    <w:tblPr>
      <w:tblStyleRowBandSize w:val="1"/>
      <w:tblStyleColBandSize w:val="1"/>
      <w:tblBorders>
        <w:top w:val="single" w:sz="8" w:space="0" w:color="51626F" w:themeColor="accent1"/>
        <w:bottom w:val="single" w:sz="8" w:space="0" w:color="51626F" w:themeColor="accent1"/>
      </w:tblBorders>
    </w:tblPr>
    <w:tblStylePr w:type="firstRow">
      <w:pPr>
        <w:spacing w:before="0" w:after="0" w:line="240" w:lineRule="auto"/>
      </w:pPr>
      <w:rPr>
        <w:b/>
        <w:bCs/>
      </w:rPr>
      <w:tblPr/>
      <w:tcPr>
        <w:tcBorders>
          <w:top w:val="single" w:sz="8" w:space="0" w:color="51626F" w:themeColor="accent1"/>
          <w:left w:val="nil"/>
          <w:bottom w:val="single" w:sz="8" w:space="0" w:color="51626F" w:themeColor="accent1"/>
          <w:right w:val="nil"/>
          <w:insideH w:val="nil"/>
          <w:insideV w:val="nil"/>
        </w:tcBorders>
      </w:tcPr>
    </w:tblStylePr>
    <w:tblStylePr w:type="lastRow">
      <w:pPr>
        <w:spacing w:before="0" w:after="0" w:line="240" w:lineRule="auto"/>
      </w:pPr>
      <w:rPr>
        <w:b/>
        <w:bCs/>
      </w:rPr>
      <w:tblPr/>
      <w:tcPr>
        <w:tcBorders>
          <w:top w:val="single" w:sz="8" w:space="0" w:color="51626F" w:themeColor="accent1"/>
          <w:left w:val="nil"/>
          <w:bottom w:val="single" w:sz="8" w:space="0" w:color="51626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1D8DD" w:themeFill="accent1" w:themeFillTint="3F"/>
      </w:tcPr>
    </w:tblStylePr>
    <w:tblStylePr w:type="band1Horz">
      <w:tblPr/>
      <w:tcPr>
        <w:tcBorders>
          <w:left w:val="nil"/>
          <w:right w:val="nil"/>
          <w:insideH w:val="nil"/>
          <w:insideV w:val="nil"/>
        </w:tcBorders>
        <w:shd w:val="clear" w:color="auto" w:fill="D1D8DD" w:themeFill="accent1" w:themeFillTint="3F"/>
      </w:tcPr>
    </w:tblStylePr>
  </w:style>
  <w:style w:type="table" w:customStyle="1" w:styleId="LightShading-Accent21">
    <w:name w:val="Light Shading - Accent 21"/>
    <w:basedOn w:val="TableNormal"/>
    <w:next w:val="LightShading-Accent2"/>
    <w:uiPriority w:val="60"/>
    <w:rsid w:val="00AB36D9"/>
    <w:pPr>
      <w:spacing w:before="0" w:after="200" w:line="276" w:lineRule="auto"/>
    </w:pPr>
    <w:rPr>
      <w:rFonts w:ascii="Arial" w:eastAsiaTheme="minorEastAsia" w:hAnsi="Arial"/>
      <w:color w:val="000000"/>
      <w14:textFill>
        <w14:solidFill>
          <w14:srgbClr w14:val="000000">
            <w14:lumMod w14:val="75000"/>
            <w14:lumOff w14:val="0"/>
          </w14:srgbClr>
        </w14:solidFill>
      </w14:textFill>
    </w:rPr>
    <w:tblPr>
      <w:tblBorders>
        <w:top w:val="single" w:sz="4" w:space="0" w:color="B71202" w:themeColor="accent5"/>
        <w:left w:val="single" w:sz="4" w:space="0" w:color="B71202" w:themeColor="accent5"/>
        <w:bottom w:val="single" w:sz="4" w:space="0" w:color="B71202" w:themeColor="accent5"/>
        <w:right w:val="single" w:sz="4" w:space="0" w:color="B71202" w:themeColor="accent5"/>
        <w:insideH w:val="single" w:sz="4" w:space="0" w:color="B71202" w:themeColor="accent5"/>
        <w:insideV w:val="single" w:sz="4" w:space="0" w:color="B71202" w:themeColor="accent5"/>
      </w:tblBorders>
    </w:tblPr>
    <w:tcPr>
      <w:vAlign w:val="center"/>
    </w:tcPr>
    <w:tblStylePr w:type="firstRow">
      <w:pPr>
        <w:spacing w:before="0" w:after="0" w:line="240" w:lineRule="auto"/>
      </w:pPr>
      <w:rPr>
        <w:b w:val="0"/>
        <w:bCs/>
      </w:rPr>
      <w:tblPr/>
      <w:tcPr>
        <w:tcBorders>
          <w:top w:val="single" w:sz="4" w:space="0" w:color="B71202" w:themeColor="accent5"/>
          <w:left w:val="single" w:sz="4" w:space="0" w:color="B71202" w:themeColor="accent5"/>
          <w:bottom w:val="single" w:sz="4" w:space="0" w:color="B71202" w:themeColor="accent5"/>
          <w:right w:val="single" w:sz="4" w:space="0" w:color="B71202" w:themeColor="accent5"/>
          <w:insideH w:val="single" w:sz="4" w:space="0" w:color="B71202" w:themeColor="accent5"/>
          <w:insideV w:val="single" w:sz="4" w:space="0" w:color="B71202" w:themeColor="accent5"/>
          <w:tl2br w:val="nil"/>
          <w:tr2bl w:val="nil"/>
        </w:tcBorders>
      </w:tcPr>
    </w:tblStylePr>
    <w:tblStylePr w:type="lastRow">
      <w:pPr>
        <w:spacing w:before="0" w:after="0" w:line="240" w:lineRule="auto"/>
      </w:pPr>
      <w:rPr>
        <w:b w:val="0"/>
        <w:bCs/>
      </w:rPr>
      <w:tblPr/>
      <w:tcPr>
        <w:tcBorders>
          <w:top w:val="single" w:sz="4" w:space="0" w:color="B71202" w:themeColor="accent5"/>
          <w:left w:val="single" w:sz="4" w:space="0" w:color="B71202" w:themeColor="accent5"/>
          <w:bottom w:val="single" w:sz="4" w:space="0" w:color="B71202" w:themeColor="accent5"/>
          <w:right w:val="single" w:sz="4" w:space="0" w:color="B71202" w:themeColor="accent5"/>
          <w:insideH w:val="single" w:sz="4" w:space="0" w:color="B71202" w:themeColor="accent5"/>
          <w:insideV w:val="single" w:sz="4" w:space="0" w:color="B71202" w:themeColor="accent5"/>
        </w:tcBorders>
      </w:tcPr>
    </w:tblStylePr>
    <w:tblStylePr w:type="firstCol">
      <w:rPr>
        <w:b w:val="0"/>
        <w:bCs/>
      </w:rPr>
    </w:tblStylePr>
    <w:tblStylePr w:type="lastCol">
      <w:rPr>
        <w:b w:val="0"/>
        <w:bCs/>
      </w:rPr>
    </w:tblStylePr>
  </w:style>
  <w:style w:type="table" w:customStyle="1" w:styleId="LightShading-Accent31">
    <w:name w:val="Light Shading - Accent 31"/>
    <w:basedOn w:val="TableNormal"/>
    <w:next w:val="LightShading-Accent3"/>
    <w:uiPriority w:val="60"/>
    <w:rsid w:val="00AB36D9"/>
    <w:pPr>
      <w:spacing w:before="0" w:after="200" w:line="276" w:lineRule="auto"/>
    </w:pPr>
    <w:rPr>
      <w:rFonts w:eastAsiaTheme="minorEastAsia"/>
      <w:color w:val="007192" w:themeColor="accent3" w:themeShade="BF"/>
    </w:rPr>
    <w:tblPr>
      <w:tblStyleRowBandSize w:val="1"/>
      <w:tblStyleColBandSize w:val="1"/>
      <w:tblBorders>
        <w:top w:val="single" w:sz="8" w:space="0" w:color="0098C3" w:themeColor="accent3"/>
        <w:bottom w:val="single" w:sz="8" w:space="0" w:color="0098C3" w:themeColor="accent3"/>
      </w:tblBorders>
    </w:tblPr>
    <w:tblStylePr w:type="firstRow">
      <w:pPr>
        <w:spacing w:before="0" w:after="0" w:line="240" w:lineRule="auto"/>
      </w:pPr>
      <w:rPr>
        <w:b/>
        <w:bCs/>
      </w:rPr>
      <w:tblPr/>
      <w:tcPr>
        <w:tcBorders>
          <w:top w:val="single" w:sz="8" w:space="0" w:color="0098C3" w:themeColor="accent3"/>
          <w:left w:val="nil"/>
          <w:bottom w:val="single" w:sz="8" w:space="0" w:color="0098C3" w:themeColor="accent3"/>
          <w:right w:val="nil"/>
          <w:insideH w:val="nil"/>
          <w:insideV w:val="nil"/>
        </w:tcBorders>
      </w:tcPr>
    </w:tblStylePr>
    <w:tblStylePr w:type="lastRow">
      <w:pPr>
        <w:spacing w:before="0" w:after="0" w:line="240" w:lineRule="auto"/>
      </w:pPr>
      <w:rPr>
        <w:b/>
        <w:bCs/>
      </w:rPr>
      <w:tblPr/>
      <w:tcPr>
        <w:tcBorders>
          <w:top w:val="single" w:sz="8" w:space="0" w:color="0098C3" w:themeColor="accent3"/>
          <w:left w:val="nil"/>
          <w:bottom w:val="single" w:sz="8" w:space="0" w:color="0098C3"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1EDFF" w:themeFill="accent3" w:themeFillTint="3F"/>
      </w:tcPr>
    </w:tblStylePr>
    <w:tblStylePr w:type="band1Horz">
      <w:tblPr/>
      <w:tcPr>
        <w:tcBorders>
          <w:left w:val="nil"/>
          <w:right w:val="nil"/>
          <w:insideH w:val="nil"/>
          <w:insideV w:val="nil"/>
        </w:tcBorders>
        <w:shd w:val="clear" w:color="auto" w:fill="B1EDFF" w:themeFill="accent3" w:themeFillTint="3F"/>
      </w:tcPr>
    </w:tblStylePr>
  </w:style>
  <w:style w:type="table" w:customStyle="1" w:styleId="LightGrid-Accent61">
    <w:name w:val="Light Grid - Accent 61"/>
    <w:basedOn w:val="TableNormal"/>
    <w:next w:val="LightGrid-Accent6"/>
    <w:uiPriority w:val="62"/>
    <w:rsid w:val="00AB36D9"/>
    <w:pPr>
      <w:spacing w:before="0" w:after="200" w:line="276" w:lineRule="auto"/>
    </w:pPr>
    <w:rPr>
      <w:rFonts w:eastAsiaTheme="minorEastAsia"/>
    </w:rPr>
    <w:tblPr>
      <w:tblStyleRowBandSize w:val="1"/>
      <w:tblStyleColBandSize w:val="1"/>
      <w:tblBorders>
        <w:top w:val="single" w:sz="8" w:space="0" w:color="DC5034" w:themeColor="accent6"/>
        <w:left w:val="single" w:sz="8" w:space="0" w:color="DC5034" w:themeColor="accent6"/>
        <w:bottom w:val="single" w:sz="8" w:space="0" w:color="DC5034" w:themeColor="accent6"/>
        <w:right w:val="single" w:sz="8" w:space="0" w:color="DC5034" w:themeColor="accent6"/>
        <w:insideH w:val="single" w:sz="8" w:space="0" w:color="DC5034" w:themeColor="accent6"/>
        <w:insideV w:val="single" w:sz="8" w:space="0" w:color="DC5034"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C5034" w:themeColor="accent6"/>
          <w:left w:val="single" w:sz="8" w:space="0" w:color="DC5034" w:themeColor="accent6"/>
          <w:bottom w:val="single" w:sz="18" w:space="0" w:color="DC5034" w:themeColor="accent6"/>
          <w:right w:val="single" w:sz="8" w:space="0" w:color="DC5034" w:themeColor="accent6"/>
          <w:insideH w:val="nil"/>
          <w:insideV w:val="single" w:sz="8" w:space="0" w:color="DC5034"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C5034" w:themeColor="accent6"/>
          <w:left w:val="single" w:sz="8" w:space="0" w:color="DC5034" w:themeColor="accent6"/>
          <w:bottom w:val="single" w:sz="8" w:space="0" w:color="DC5034" w:themeColor="accent6"/>
          <w:right w:val="single" w:sz="8" w:space="0" w:color="DC5034" w:themeColor="accent6"/>
          <w:insideH w:val="nil"/>
          <w:insideV w:val="single" w:sz="8" w:space="0" w:color="DC5034"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C5034" w:themeColor="accent6"/>
          <w:left w:val="single" w:sz="8" w:space="0" w:color="DC5034" w:themeColor="accent6"/>
          <w:bottom w:val="single" w:sz="8" w:space="0" w:color="DC5034" w:themeColor="accent6"/>
          <w:right w:val="single" w:sz="8" w:space="0" w:color="DC5034" w:themeColor="accent6"/>
        </w:tcBorders>
      </w:tcPr>
    </w:tblStylePr>
    <w:tblStylePr w:type="band1Vert">
      <w:tblPr/>
      <w:tcPr>
        <w:tcBorders>
          <w:top w:val="single" w:sz="8" w:space="0" w:color="DC5034" w:themeColor="accent6"/>
          <w:left w:val="single" w:sz="8" w:space="0" w:color="DC5034" w:themeColor="accent6"/>
          <w:bottom w:val="single" w:sz="8" w:space="0" w:color="DC5034" w:themeColor="accent6"/>
          <w:right w:val="single" w:sz="8" w:space="0" w:color="DC5034" w:themeColor="accent6"/>
        </w:tcBorders>
        <w:shd w:val="clear" w:color="auto" w:fill="F6D3CC" w:themeFill="accent6" w:themeFillTint="3F"/>
      </w:tcPr>
    </w:tblStylePr>
    <w:tblStylePr w:type="band1Horz">
      <w:tblPr/>
      <w:tcPr>
        <w:tcBorders>
          <w:top w:val="single" w:sz="8" w:space="0" w:color="DC5034" w:themeColor="accent6"/>
          <w:left w:val="single" w:sz="8" w:space="0" w:color="DC5034" w:themeColor="accent6"/>
          <w:bottom w:val="single" w:sz="8" w:space="0" w:color="DC5034" w:themeColor="accent6"/>
          <w:right w:val="single" w:sz="8" w:space="0" w:color="DC5034" w:themeColor="accent6"/>
          <w:insideV w:val="single" w:sz="8" w:space="0" w:color="DC5034" w:themeColor="accent6"/>
        </w:tcBorders>
        <w:shd w:val="clear" w:color="auto" w:fill="F6D3CC" w:themeFill="accent6" w:themeFillTint="3F"/>
      </w:tcPr>
    </w:tblStylePr>
    <w:tblStylePr w:type="band2Horz">
      <w:tblPr/>
      <w:tcPr>
        <w:tcBorders>
          <w:top w:val="single" w:sz="8" w:space="0" w:color="DC5034" w:themeColor="accent6"/>
          <w:left w:val="single" w:sz="8" w:space="0" w:color="DC5034" w:themeColor="accent6"/>
          <w:bottom w:val="single" w:sz="8" w:space="0" w:color="DC5034" w:themeColor="accent6"/>
          <w:right w:val="single" w:sz="8" w:space="0" w:color="DC5034" w:themeColor="accent6"/>
          <w:insideV w:val="single" w:sz="8" w:space="0" w:color="DC5034" w:themeColor="accent6"/>
        </w:tcBorders>
      </w:tcPr>
    </w:tblStylePr>
  </w:style>
  <w:style w:type="table" w:customStyle="1" w:styleId="MediumShading11">
    <w:name w:val="Medium Shading 11"/>
    <w:basedOn w:val="TableNormal"/>
    <w:next w:val="MediumShading1"/>
    <w:uiPriority w:val="63"/>
    <w:rsid w:val="00AB36D9"/>
    <w:pPr>
      <w:spacing w:before="0" w:after="200" w:line="276" w:lineRule="auto"/>
    </w:pPr>
    <w:rPr>
      <w:rFonts w:eastAsiaTheme="minorEastAsia"/>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1">
    <w:name w:val="Medium Shading 1 - Accent 11"/>
    <w:basedOn w:val="TableNormal"/>
    <w:next w:val="MediumShading1-Accent1"/>
    <w:uiPriority w:val="63"/>
    <w:rsid w:val="00AB36D9"/>
    <w:pPr>
      <w:spacing w:before="0" w:after="200" w:line="276" w:lineRule="auto"/>
    </w:pPr>
    <w:rPr>
      <w:rFonts w:eastAsiaTheme="minorEastAsia"/>
    </w:rPr>
    <w:tblPr>
      <w:tblStyleRowBandSize w:val="1"/>
      <w:tblStyleColBandSize w:val="1"/>
      <w:tblBorders>
        <w:top w:val="single" w:sz="8" w:space="0" w:color="758A9A" w:themeColor="accent1" w:themeTint="BF"/>
        <w:left w:val="single" w:sz="8" w:space="0" w:color="758A9A" w:themeColor="accent1" w:themeTint="BF"/>
        <w:bottom w:val="single" w:sz="8" w:space="0" w:color="758A9A" w:themeColor="accent1" w:themeTint="BF"/>
        <w:right w:val="single" w:sz="8" w:space="0" w:color="758A9A" w:themeColor="accent1" w:themeTint="BF"/>
        <w:insideH w:val="single" w:sz="8" w:space="0" w:color="758A9A" w:themeColor="accent1" w:themeTint="BF"/>
      </w:tblBorders>
    </w:tblPr>
    <w:tblStylePr w:type="firstRow">
      <w:pPr>
        <w:spacing w:before="0" w:after="0" w:line="240" w:lineRule="auto"/>
      </w:pPr>
      <w:rPr>
        <w:b/>
        <w:bCs/>
        <w:color w:val="FFFFFF" w:themeColor="background1"/>
      </w:rPr>
      <w:tblPr/>
      <w:tcPr>
        <w:tcBorders>
          <w:top w:val="single" w:sz="8" w:space="0" w:color="758A9A" w:themeColor="accent1" w:themeTint="BF"/>
          <w:left w:val="single" w:sz="8" w:space="0" w:color="758A9A" w:themeColor="accent1" w:themeTint="BF"/>
          <w:bottom w:val="single" w:sz="8" w:space="0" w:color="758A9A" w:themeColor="accent1" w:themeTint="BF"/>
          <w:right w:val="single" w:sz="8" w:space="0" w:color="758A9A" w:themeColor="accent1" w:themeTint="BF"/>
          <w:insideH w:val="nil"/>
          <w:insideV w:val="nil"/>
        </w:tcBorders>
        <w:shd w:val="clear" w:color="auto" w:fill="51626F" w:themeFill="accent1"/>
      </w:tcPr>
    </w:tblStylePr>
    <w:tblStylePr w:type="lastRow">
      <w:pPr>
        <w:spacing w:before="0" w:after="0" w:line="240" w:lineRule="auto"/>
      </w:pPr>
      <w:rPr>
        <w:b/>
        <w:bCs/>
      </w:rPr>
      <w:tblPr/>
      <w:tcPr>
        <w:tcBorders>
          <w:top w:val="double" w:sz="6" w:space="0" w:color="758A9A" w:themeColor="accent1" w:themeTint="BF"/>
          <w:left w:val="single" w:sz="8" w:space="0" w:color="758A9A" w:themeColor="accent1" w:themeTint="BF"/>
          <w:bottom w:val="single" w:sz="8" w:space="0" w:color="758A9A" w:themeColor="accent1" w:themeTint="BF"/>
          <w:right w:val="single" w:sz="8" w:space="0" w:color="758A9A" w:themeColor="accent1" w:themeTint="BF"/>
          <w:insideH w:val="nil"/>
          <w:insideV w:val="nil"/>
        </w:tcBorders>
      </w:tcPr>
    </w:tblStylePr>
    <w:tblStylePr w:type="firstCol">
      <w:rPr>
        <w:b/>
        <w:bCs/>
      </w:rPr>
    </w:tblStylePr>
    <w:tblStylePr w:type="lastCol">
      <w:rPr>
        <w:b/>
        <w:bCs/>
      </w:rPr>
    </w:tblStylePr>
    <w:tblStylePr w:type="band1Vert">
      <w:tblPr/>
      <w:tcPr>
        <w:shd w:val="clear" w:color="auto" w:fill="D1D8DD" w:themeFill="accent1" w:themeFillTint="3F"/>
      </w:tcPr>
    </w:tblStylePr>
    <w:tblStylePr w:type="band1Horz">
      <w:tblPr/>
      <w:tcPr>
        <w:tcBorders>
          <w:insideH w:val="nil"/>
          <w:insideV w:val="nil"/>
        </w:tcBorders>
        <w:shd w:val="clear" w:color="auto" w:fill="D1D8DD" w:themeFill="accent1" w:themeFillTint="3F"/>
      </w:tcPr>
    </w:tblStylePr>
    <w:tblStylePr w:type="band2Horz">
      <w:tblPr/>
      <w:tcPr>
        <w:tcBorders>
          <w:insideH w:val="nil"/>
          <w:insideV w:val="nil"/>
        </w:tcBorders>
      </w:tcPr>
    </w:tblStylePr>
  </w:style>
  <w:style w:type="table" w:customStyle="1" w:styleId="MediumShading1-Accent21">
    <w:name w:val="Medium Shading 1 - Accent 21"/>
    <w:basedOn w:val="TableNormal"/>
    <w:next w:val="MediumShading1-Accent2"/>
    <w:uiPriority w:val="63"/>
    <w:rsid w:val="00AB36D9"/>
    <w:pPr>
      <w:spacing w:before="0" w:after="200" w:line="276" w:lineRule="auto"/>
    </w:pPr>
    <w:rPr>
      <w:rFonts w:eastAsiaTheme="minorEastAsia"/>
    </w:rPr>
    <w:tblPr>
      <w:tblStyleRowBandSize w:val="1"/>
      <w:tblStyleColBandSize w:val="1"/>
      <w:tblBorders>
        <w:top w:val="single" w:sz="8" w:space="0" w:color="7643BB" w:themeColor="accent2" w:themeTint="BF"/>
        <w:left w:val="single" w:sz="8" w:space="0" w:color="7643BB" w:themeColor="accent2" w:themeTint="BF"/>
        <w:bottom w:val="single" w:sz="8" w:space="0" w:color="7643BB" w:themeColor="accent2" w:themeTint="BF"/>
        <w:right w:val="single" w:sz="8" w:space="0" w:color="7643BB" w:themeColor="accent2" w:themeTint="BF"/>
        <w:insideH w:val="single" w:sz="8" w:space="0" w:color="7643BB" w:themeColor="accent2" w:themeTint="BF"/>
      </w:tblBorders>
    </w:tblPr>
    <w:tblStylePr w:type="firstRow">
      <w:pPr>
        <w:spacing w:before="0" w:after="0" w:line="240" w:lineRule="auto"/>
      </w:pPr>
      <w:rPr>
        <w:b/>
        <w:bCs/>
        <w:color w:val="FFFFFF" w:themeColor="background1"/>
      </w:rPr>
      <w:tblPr/>
      <w:tcPr>
        <w:tcBorders>
          <w:top w:val="single" w:sz="8" w:space="0" w:color="7643BB" w:themeColor="accent2" w:themeTint="BF"/>
          <w:left w:val="single" w:sz="8" w:space="0" w:color="7643BB" w:themeColor="accent2" w:themeTint="BF"/>
          <w:bottom w:val="single" w:sz="8" w:space="0" w:color="7643BB" w:themeColor="accent2" w:themeTint="BF"/>
          <w:right w:val="single" w:sz="8" w:space="0" w:color="7643BB" w:themeColor="accent2" w:themeTint="BF"/>
          <w:insideH w:val="nil"/>
          <w:insideV w:val="nil"/>
        </w:tcBorders>
        <w:shd w:val="clear" w:color="auto" w:fill="4F2D7D" w:themeFill="accent2"/>
      </w:tcPr>
    </w:tblStylePr>
    <w:tblStylePr w:type="lastRow">
      <w:pPr>
        <w:spacing w:before="0" w:after="0" w:line="240" w:lineRule="auto"/>
      </w:pPr>
      <w:rPr>
        <w:b/>
        <w:bCs/>
      </w:rPr>
      <w:tblPr/>
      <w:tcPr>
        <w:tcBorders>
          <w:top w:val="double" w:sz="6" w:space="0" w:color="7643BB" w:themeColor="accent2" w:themeTint="BF"/>
          <w:left w:val="single" w:sz="8" w:space="0" w:color="7643BB" w:themeColor="accent2" w:themeTint="BF"/>
          <w:bottom w:val="single" w:sz="8" w:space="0" w:color="7643BB" w:themeColor="accent2" w:themeTint="BF"/>
          <w:right w:val="single" w:sz="8" w:space="0" w:color="7643BB" w:themeColor="accent2" w:themeTint="BF"/>
          <w:insideH w:val="nil"/>
          <w:insideV w:val="nil"/>
        </w:tcBorders>
      </w:tcPr>
    </w:tblStylePr>
    <w:tblStylePr w:type="firstCol">
      <w:rPr>
        <w:b/>
        <w:bCs/>
      </w:rPr>
    </w:tblStylePr>
    <w:tblStylePr w:type="lastCol">
      <w:rPr>
        <w:b/>
        <w:bCs/>
      </w:rPr>
    </w:tblStylePr>
    <w:tblStylePr w:type="band1Vert">
      <w:tblPr/>
      <w:tcPr>
        <w:shd w:val="clear" w:color="auto" w:fill="D1C1E8" w:themeFill="accent2" w:themeFillTint="3F"/>
      </w:tcPr>
    </w:tblStylePr>
    <w:tblStylePr w:type="band1Horz">
      <w:tblPr/>
      <w:tcPr>
        <w:tcBorders>
          <w:insideH w:val="nil"/>
          <w:insideV w:val="nil"/>
        </w:tcBorders>
        <w:shd w:val="clear" w:color="auto" w:fill="D1C1E8" w:themeFill="accent2" w:themeFillTint="3F"/>
      </w:tcPr>
    </w:tblStylePr>
    <w:tblStylePr w:type="band2Horz">
      <w:tblPr/>
      <w:tcPr>
        <w:tcBorders>
          <w:insideH w:val="nil"/>
          <w:insideV w:val="nil"/>
        </w:tcBorders>
      </w:tcPr>
    </w:tblStylePr>
  </w:style>
  <w:style w:type="table" w:customStyle="1" w:styleId="MediumShading1-Accent31">
    <w:name w:val="Medium Shading 1 - Accent 31"/>
    <w:basedOn w:val="TableNormal"/>
    <w:next w:val="MediumShading1-Accent3"/>
    <w:uiPriority w:val="63"/>
    <w:rsid w:val="00AB36D9"/>
    <w:pPr>
      <w:spacing w:before="0" w:after="200" w:line="276" w:lineRule="auto"/>
    </w:pPr>
    <w:rPr>
      <w:rFonts w:eastAsiaTheme="minorEastAsia"/>
    </w:rPr>
    <w:tblPr>
      <w:tblStyleRowBandSize w:val="1"/>
      <w:tblStyleColBandSize w:val="1"/>
      <w:tblBorders>
        <w:top w:val="single" w:sz="8" w:space="0" w:color="13CAFF" w:themeColor="accent3" w:themeTint="BF"/>
        <w:left w:val="single" w:sz="8" w:space="0" w:color="13CAFF" w:themeColor="accent3" w:themeTint="BF"/>
        <w:bottom w:val="single" w:sz="8" w:space="0" w:color="13CAFF" w:themeColor="accent3" w:themeTint="BF"/>
        <w:right w:val="single" w:sz="8" w:space="0" w:color="13CAFF" w:themeColor="accent3" w:themeTint="BF"/>
        <w:insideH w:val="single" w:sz="8" w:space="0" w:color="13CAFF" w:themeColor="accent3" w:themeTint="BF"/>
      </w:tblBorders>
    </w:tblPr>
    <w:tblStylePr w:type="firstRow">
      <w:pPr>
        <w:spacing w:before="0" w:after="0" w:line="240" w:lineRule="auto"/>
      </w:pPr>
      <w:rPr>
        <w:b/>
        <w:bCs/>
        <w:color w:val="FFFFFF" w:themeColor="background1"/>
      </w:rPr>
      <w:tblPr/>
      <w:tcPr>
        <w:tcBorders>
          <w:top w:val="single" w:sz="8" w:space="0" w:color="13CAFF" w:themeColor="accent3" w:themeTint="BF"/>
          <w:left w:val="single" w:sz="8" w:space="0" w:color="13CAFF" w:themeColor="accent3" w:themeTint="BF"/>
          <w:bottom w:val="single" w:sz="8" w:space="0" w:color="13CAFF" w:themeColor="accent3" w:themeTint="BF"/>
          <w:right w:val="single" w:sz="8" w:space="0" w:color="13CAFF" w:themeColor="accent3" w:themeTint="BF"/>
          <w:insideH w:val="nil"/>
          <w:insideV w:val="nil"/>
        </w:tcBorders>
        <w:shd w:val="clear" w:color="auto" w:fill="0098C3" w:themeFill="accent3"/>
      </w:tcPr>
    </w:tblStylePr>
    <w:tblStylePr w:type="lastRow">
      <w:pPr>
        <w:spacing w:before="0" w:after="0" w:line="240" w:lineRule="auto"/>
      </w:pPr>
      <w:rPr>
        <w:b/>
        <w:bCs/>
      </w:rPr>
      <w:tblPr/>
      <w:tcPr>
        <w:tcBorders>
          <w:top w:val="double" w:sz="6" w:space="0" w:color="13CAFF" w:themeColor="accent3" w:themeTint="BF"/>
          <w:left w:val="single" w:sz="8" w:space="0" w:color="13CAFF" w:themeColor="accent3" w:themeTint="BF"/>
          <w:bottom w:val="single" w:sz="8" w:space="0" w:color="13CAFF" w:themeColor="accent3" w:themeTint="BF"/>
          <w:right w:val="single" w:sz="8" w:space="0" w:color="13CAFF" w:themeColor="accent3" w:themeTint="BF"/>
          <w:insideH w:val="nil"/>
          <w:insideV w:val="nil"/>
        </w:tcBorders>
      </w:tcPr>
    </w:tblStylePr>
    <w:tblStylePr w:type="firstCol">
      <w:rPr>
        <w:b/>
        <w:bCs/>
      </w:rPr>
    </w:tblStylePr>
    <w:tblStylePr w:type="lastCol">
      <w:rPr>
        <w:b/>
        <w:bCs/>
      </w:rPr>
    </w:tblStylePr>
    <w:tblStylePr w:type="band1Vert">
      <w:tblPr/>
      <w:tcPr>
        <w:shd w:val="clear" w:color="auto" w:fill="B1EDFF" w:themeFill="accent3" w:themeFillTint="3F"/>
      </w:tcPr>
    </w:tblStylePr>
    <w:tblStylePr w:type="band1Horz">
      <w:tblPr/>
      <w:tcPr>
        <w:tcBorders>
          <w:insideH w:val="nil"/>
          <w:insideV w:val="nil"/>
        </w:tcBorders>
        <w:shd w:val="clear" w:color="auto" w:fill="B1EDFF" w:themeFill="accent3" w:themeFillTint="3F"/>
      </w:tcPr>
    </w:tblStylePr>
    <w:tblStylePr w:type="band2Horz">
      <w:tblPr/>
      <w:tcPr>
        <w:tcBorders>
          <w:insideH w:val="nil"/>
          <w:insideV w:val="nil"/>
        </w:tcBorders>
      </w:tcPr>
    </w:tblStylePr>
  </w:style>
  <w:style w:type="table" w:customStyle="1" w:styleId="MediumShading1-Accent41">
    <w:name w:val="Medium Shading 1 - Accent 41"/>
    <w:basedOn w:val="TableNormal"/>
    <w:next w:val="MediumShading1-Accent4"/>
    <w:uiPriority w:val="63"/>
    <w:rsid w:val="00AB36D9"/>
    <w:pPr>
      <w:spacing w:before="0" w:after="200" w:line="276" w:lineRule="auto"/>
    </w:pPr>
    <w:rPr>
      <w:rFonts w:eastAsiaTheme="minorEastAsia"/>
    </w:rPr>
    <w:tblPr>
      <w:tblStyleRowBandSize w:val="1"/>
      <w:tblStyleColBandSize w:val="1"/>
      <w:tblBorders>
        <w:top w:val="single" w:sz="8" w:space="0" w:color="B7DAF0" w:themeColor="accent4" w:themeTint="BF"/>
        <w:left w:val="single" w:sz="8" w:space="0" w:color="B7DAF0" w:themeColor="accent4" w:themeTint="BF"/>
        <w:bottom w:val="single" w:sz="8" w:space="0" w:color="B7DAF0" w:themeColor="accent4" w:themeTint="BF"/>
        <w:right w:val="single" w:sz="8" w:space="0" w:color="B7DAF0" w:themeColor="accent4" w:themeTint="BF"/>
        <w:insideH w:val="single" w:sz="8" w:space="0" w:color="B7DAF0" w:themeColor="accent4" w:themeTint="BF"/>
      </w:tblBorders>
    </w:tblPr>
    <w:tblStylePr w:type="firstRow">
      <w:pPr>
        <w:spacing w:before="0" w:after="0" w:line="240" w:lineRule="auto"/>
      </w:pPr>
      <w:rPr>
        <w:b/>
        <w:bCs/>
        <w:color w:val="FFFFFF" w:themeColor="background1"/>
      </w:rPr>
      <w:tblPr/>
      <w:tcPr>
        <w:tcBorders>
          <w:top w:val="single" w:sz="8" w:space="0" w:color="B7DAF0" w:themeColor="accent4" w:themeTint="BF"/>
          <w:left w:val="single" w:sz="8" w:space="0" w:color="B7DAF0" w:themeColor="accent4" w:themeTint="BF"/>
          <w:bottom w:val="single" w:sz="8" w:space="0" w:color="B7DAF0" w:themeColor="accent4" w:themeTint="BF"/>
          <w:right w:val="single" w:sz="8" w:space="0" w:color="B7DAF0" w:themeColor="accent4" w:themeTint="BF"/>
          <w:insideH w:val="nil"/>
          <w:insideV w:val="nil"/>
        </w:tcBorders>
        <w:shd w:val="clear" w:color="auto" w:fill="A0CFEB" w:themeFill="accent4"/>
      </w:tcPr>
    </w:tblStylePr>
    <w:tblStylePr w:type="lastRow">
      <w:pPr>
        <w:spacing w:before="0" w:after="0" w:line="240" w:lineRule="auto"/>
      </w:pPr>
      <w:rPr>
        <w:b/>
        <w:bCs/>
      </w:rPr>
      <w:tblPr/>
      <w:tcPr>
        <w:tcBorders>
          <w:top w:val="double" w:sz="6" w:space="0" w:color="B7DAF0" w:themeColor="accent4" w:themeTint="BF"/>
          <w:left w:val="single" w:sz="8" w:space="0" w:color="B7DAF0" w:themeColor="accent4" w:themeTint="BF"/>
          <w:bottom w:val="single" w:sz="8" w:space="0" w:color="B7DAF0" w:themeColor="accent4" w:themeTint="BF"/>
          <w:right w:val="single" w:sz="8" w:space="0" w:color="B7DAF0" w:themeColor="accent4" w:themeTint="BF"/>
          <w:insideH w:val="nil"/>
          <w:insideV w:val="nil"/>
        </w:tcBorders>
      </w:tcPr>
    </w:tblStylePr>
    <w:tblStylePr w:type="firstCol">
      <w:rPr>
        <w:b/>
        <w:bCs/>
      </w:rPr>
    </w:tblStylePr>
    <w:tblStylePr w:type="lastCol">
      <w:rPr>
        <w:b/>
        <w:bCs/>
      </w:rPr>
    </w:tblStylePr>
    <w:tblStylePr w:type="band1Vert">
      <w:tblPr/>
      <w:tcPr>
        <w:shd w:val="clear" w:color="auto" w:fill="E7F3FA" w:themeFill="accent4" w:themeFillTint="3F"/>
      </w:tcPr>
    </w:tblStylePr>
    <w:tblStylePr w:type="band1Horz">
      <w:tblPr/>
      <w:tcPr>
        <w:tcBorders>
          <w:insideH w:val="nil"/>
          <w:insideV w:val="nil"/>
        </w:tcBorders>
        <w:shd w:val="clear" w:color="auto" w:fill="E7F3FA" w:themeFill="accent4" w:themeFillTint="3F"/>
      </w:tcPr>
    </w:tblStylePr>
    <w:tblStylePr w:type="band2Horz">
      <w:tblPr/>
      <w:tcPr>
        <w:tcBorders>
          <w:insideH w:val="nil"/>
          <w:insideV w:val="nil"/>
        </w:tcBorders>
      </w:tcPr>
    </w:tblStylePr>
  </w:style>
  <w:style w:type="table" w:customStyle="1" w:styleId="MediumShading1-Accent51">
    <w:name w:val="Medium Shading 1 - Accent 51"/>
    <w:basedOn w:val="TableNormal"/>
    <w:next w:val="MediumShading1-Accent5"/>
    <w:uiPriority w:val="63"/>
    <w:rsid w:val="00AB36D9"/>
    <w:pPr>
      <w:spacing w:before="0" w:after="200" w:line="276" w:lineRule="auto"/>
    </w:pPr>
    <w:rPr>
      <w:rFonts w:eastAsiaTheme="minorEastAsia"/>
    </w:rPr>
    <w:tblPr>
      <w:tblStyleRowBandSize w:val="1"/>
      <w:tblStyleColBandSize w:val="1"/>
      <w:tblBorders>
        <w:top w:val="single" w:sz="8" w:space="0" w:color="FC220E" w:themeColor="accent5" w:themeTint="BF"/>
        <w:left w:val="single" w:sz="8" w:space="0" w:color="FC220E" w:themeColor="accent5" w:themeTint="BF"/>
        <w:bottom w:val="single" w:sz="8" w:space="0" w:color="FC220E" w:themeColor="accent5" w:themeTint="BF"/>
        <w:right w:val="single" w:sz="8" w:space="0" w:color="FC220E" w:themeColor="accent5" w:themeTint="BF"/>
        <w:insideH w:val="single" w:sz="8" w:space="0" w:color="FC220E" w:themeColor="accent5" w:themeTint="BF"/>
      </w:tblBorders>
    </w:tblPr>
    <w:tblStylePr w:type="firstRow">
      <w:pPr>
        <w:spacing w:before="0" w:after="0" w:line="240" w:lineRule="auto"/>
      </w:pPr>
      <w:rPr>
        <w:b/>
        <w:bCs/>
        <w:color w:val="FFFFFF" w:themeColor="background1"/>
      </w:rPr>
      <w:tblPr/>
      <w:tcPr>
        <w:tcBorders>
          <w:top w:val="single" w:sz="8" w:space="0" w:color="FC220E" w:themeColor="accent5" w:themeTint="BF"/>
          <w:left w:val="single" w:sz="8" w:space="0" w:color="FC220E" w:themeColor="accent5" w:themeTint="BF"/>
          <w:bottom w:val="single" w:sz="8" w:space="0" w:color="FC220E" w:themeColor="accent5" w:themeTint="BF"/>
          <w:right w:val="single" w:sz="8" w:space="0" w:color="FC220E" w:themeColor="accent5" w:themeTint="BF"/>
          <w:insideH w:val="nil"/>
          <w:insideV w:val="nil"/>
        </w:tcBorders>
        <w:shd w:val="clear" w:color="auto" w:fill="B71202" w:themeFill="accent5"/>
      </w:tcPr>
    </w:tblStylePr>
    <w:tblStylePr w:type="lastRow">
      <w:pPr>
        <w:spacing w:before="0" w:after="0" w:line="240" w:lineRule="auto"/>
      </w:pPr>
      <w:rPr>
        <w:b/>
        <w:bCs/>
      </w:rPr>
      <w:tblPr/>
      <w:tcPr>
        <w:tcBorders>
          <w:top w:val="double" w:sz="6" w:space="0" w:color="FC220E" w:themeColor="accent5" w:themeTint="BF"/>
          <w:left w:val="single" w:sz="8" w:space="0" w:color="FC220E" w:themeColor="accent5" w:themeTint="BF"/>
          <w:bottom w:val="single" w:sz="8" w:space="0" w:color="FC220E" w:themeColor="accent5" w:themeTint="BF"/>
          <w:right w:val="single" w:sz="8" w:space="0" w:color="FC220E" w:themeColor="accent5" w:themeTint="BF"/>
          <w:insideH w:val="nil"/>
          <w:insideV w:val="nil"/>
        </w:tcBorders>
      </w:tcPr>
    </w:tblStylePr>
    <w:tblStylePr w:type="firstCol">
      <w:rPr>
        <w:b/>
        <w:bCs/>
      </w:rPr>
    </w:tblStylePr>
    <w:tblStylePr w:type="lastCol">
      <w:rPr>
        <w:b/>
        <w:bCs/>
      </w:rPr>
    </w:tblStylePr>
    <w:tblStylePr w:type="band1Vert">
      <w:tblPr/>
      <w:tcPr>
        <w:shd w:val="clear" w:color="auto" w:fill="FEB6AF" w:themeFill="accent5" w:themeFillTint="3F"/>
      </w:tcPr>
    </w:tblStylePr>
    <w:tblStylePr w:type="band1Horz">
      <w:tblPr/>
      <w:tcPr>
        <w:tcBorders>
          <w:insideH w:val="nil"/>
          <w:insideV w:val="nil"/>
        </w:tcBorders>
        <w:shd w:val="clear" w:color="auto" w:fill="FEB6AF" w:themeFill="accent5" w:themeFillTint="3F"/>
      </w:tcPr>
    </w:tblStylePr>
    <w:tblStylePr w:type="band2Horz">
      <w:tblPr/>
      <w:tcPr>
        <w:tcBorders>
          <w:insideH w:val="nil"/>
          <w:insideV w:val="nil"/>
        </w:tcBorders>
      </w:tcPr>
    </w:tblStylePr>
  </w:style>
  <w:style w:type="table" w:customStyle="1" w:styleId="LightList1">
    <w:name w:val="Light List1"/>
    <w:basedOn w:val="TableNormal"/>
    <w:next w:val="LightList"/>
    <w:uiPriority w:val="61"/>
    <w:rsid w:val="00AB36D9"/>
    <w:pPr>
      <w:spacing w:before="0" w:after="200" w:line="276" w:lineRule="auto"/>
    </w:pPr>
    <w:rPr>
      <w:rFonts w:eastAsiaTheme="minorEastAsi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Accent51">
    <w:name w:val="Light Shading - Accent 51"/>
    <w:basedOn w:val="TableNormal"/>
    <w:next w:val="LightShading-Accent5"/>
    <w:uiPriority w:val="60"/>
    <w:rsid w:val="00AB36D9"/>
    <w:pPr>
      <w:spacing w:before="0" w:after="200" w:line="276" w:lineRule="auto"/>
    </w:pPr>
    <w:rPr>
      <w:rFonts w:eastAsiaTheme="minorEastAsia"/>
      <w:color w:val="880D01" w:themeColor="accent5" w:themeShade="BF"/>
    </w:rPr>
    <w:tblPr>
      <w:tblStyleRowBandSize w:val="1"/>
      <w:tblStyleColBandSize w:val="1"/>
      <w:tblBorders>
        <w:top w:val="single" w:sz="8" w:space="0" w:color="B71202" w:themeColor="accent5"/>
        <w:bottom w:val="single" w:sz="8" w:space="0" w:color="B71202" w:themeColor="accent5"/>
      </w:tblBorders>
    </w:tblPr>
    <w:tblStylePr w:type="firstRow">
      <w:pPr>
        <w:spacing w:before="0" w:after="0" w:line="240" w:lineRule="auto"/>
      </w:pPr>
      <w:rPr>
        <w:b/>
        <w:bCs/>
      </w:rPr>
      <w:tblPr/>
      <w:tcPr>
        <w:tcBorders>
          <w:top w:val="single" w:sz="8" w:space="0" w:color="B71202" w:themeColor="accent5"/>
          <w:left w:val="nil"/>
          <w:bottom w:val="single" w:sz="8" w:space="0" w:color="B71202" w:themeColor="accent5"/>
          <w:right w:val="nil"/>
          <w:insideH w:val="nil"/>
          <w:insideV w:val="nil"/>
        </w:tcBorders>
      </w:tcPr>
    </w:tblStylePr>
    <w:tblStylePr w:type="lastRow">
      <w:pPr>
        <w:spacing w:before="0" w:after="0" w:line="240" w:lineRule="auto"/>
      </w:pPr>
      <w:rPr>
        <w:b/>
        <w:bCs/>
      </w:rPr>
      <w:tblPr/>
      <w:tcPr>
        <w:tcBorders>
          <w:top w:val="single" w:sz="8" w:space="0" w:color="B71202" w:themeColor="accent5"/>
          <w:left w:val="nil"/>
          <w:bottom w:val="single" w:sz="8" w:space="0" w:color="B7120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B6AF" w:themeFill="accent5" w:themeFillTint="3F"/>
      </w:tcPr>
    </w:tblStylePr>
    <w:tblStylePr w:type="band1Horz">
      <w:tblPr/>
      <w:tcPr>
        <w:tcBorders>
          <w:left w:val="nil"/>
          <w:right w:val="nil"/>
          <w:insideH w:val="nil"/>
          <w:insideV w:val="nil"/>
        </w:tcBorders>
        <w:shd w:val="clear" w:color="auto" w:fill="FEB6AF" w:themeFill="accent5" w:themeFillTint="3F"/>
      </w:tcPr>
    </w:tblStylePr>
  </w:style>
  <w:style w:type="table" w:customStyle="1" w:styleId="LightGrid-Accent31">
    <w:name w:val="Light Grid - Accent 31"/>
    <w:basedOn w:val="TableNormal"/>
    <w:next w:val="LightGrid-Accent3"/>
    <w:uiPriority w:val="62"/>
    <w:rsid w:val="00AB36D9"/>
    <w:pPr>
      <w:spacing w:before="0" w:after="200" w:line="276" w:lineRule="auto"/>
    </w:pPr>
    <w:rPr>
      <w:rFonts w:eastAsiaTheme="minorEastAsia"/>
    </w:rPr>
    <w:tblPr>
      <w:tblStyleRowBandSize w:val="1"/>
      <w:tblStyleColBandSize w:val="1"/>
      <w:tblBorders>
        <w:top w:val="single" w:sz="8" w:space="0" w:color="0098C3" w:themeColor="accent3"/>
        <w:left w:val="single" w:sz="8" w:space="0" w:color="0098C3" w:themeColor="accent3"/>
        <w:bottom w:val="single" w:sz="8" w:space="0" w:color="0098C3" w:themeColor="accent3"/>
        <w:right w:val="single" w:sz="8" w:space="0" w:color="0098C3" w:themeColor="accent3"/>
        <w:insideH w:val="single" w:sz="8" w:space="0" w:color="0098C3" w:themeColor="accent3"/>
        <w:insideV w:val="single" w:sz="8" w:space="0" w:color="0098C3"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98C3" w:themeColor="accent3"/>
          <w:left w:val="single" w:sz="8" w:space="0" w:color="0098C3" w:themeColor="accent3"/>
          <w:bottom w:val="single" w:sz="18" w:space="0" w:color="0098C3" w:themeColor="accent3"/>
          <w:right w:val="single" w:sz="8" w:space="0" w:color="0098C3" w:themeColor="accent3"/>
          <w:insideH w:val="nil"/>
          <w:insideV w:val="single" w:sz="8" w:space="0" w:color="0098C3"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98C3" w:themeColor="accent3"/>
          <w:left w:val="single" w:sz="8" w:space="0" w:color="0098C3" w:themeColor="accent3"/>
          <w:bottom w:val="single" w:sz="8" w:space="0" w:color="0098C3" w:themeColor="accent3"/>
          <w:right w:val="single" w:sz="8" w:space="0" w:color="0098C3" w:themeColor="accent3"/>
          <w:insideH w:val="nil"/>
          <w:insideV w:val="single" w:sz="8" w:space="0" w:color="0098C3"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98C3" w:themeColor="accent3"/>
          <w:left w:val="single" w:sz="8" w:space="0" w:color="0098C3" w:themeColor="accent3"/>
          <w:bottom w:val="single" w:sz="8" w:space="0" w:color="0098C3" w:themeColor="accent3"/>
          <w:right w:val="single" w:sz="8" w:space="0" w:color="0098C3" w:themeColor="accent3"/>
        </w:tcBorders>
      </w:tcPr>
    </w:tblStylePr>
    <w:tblStylePr w:type="band1Vert">
      <w:tblPr/>
      <w:tcPr>
        <w:tcBorders>
          <w:top w:val="single" w:sz="8" w:space="0" w:color="0098C3" w:themeColor="accent3"/>
          <w:left w:val="single" w:sz="8" w:space="0" w:color="0098C3" w:themeColor="accent3"/>
          <w:bottom w:val="single" w:sz="8" w:space="0" w:color="0098C3" w:themeColor="accent3"/>
          <w:right w:val="single" w:sz="8" w:space="0" w:color="0098C3" w:themeColor="accent3"/>
        </w:tcBorders>
        <w:shd w:val="clear" w:color="auto" w:fill="B1EDFF" w:themeFill="accent3" w:themeFillTint="3F"/>
      </w:tcPr>
    </w:tblStylePr>
    <w:tblStylePr w:type="band1Horz">
      <w:tblPr/>
      <w:tcPr>
        <w:tcBorders>
          <w:top w:val="single" w:sz="8" w:space="0" w:color="0098C3" w:themeColor="accent3"/>
          <w:left w:val="single" w:sz="8" w:space="0" w:color="0098C3" w:themeColor="accent3"/>
          <w:bottom w:val="single" w:sz="8" w:space="0" w:color="0098C3" w:themeColor="accent3"/>
          <w:right w:val="single" w:sz="8" w:space="0" w:color="0098C3" w:themeColor="accent3"/>
          <w:insideV w:val="single" w:sz="8" w:space="0" w:color="0098C3" w:themeColor="accent3"/>
        </w:tcBorders>
        <w:shd w:val="clear" w:color="auto" w:fill="B1EDFF" w:themeFill="accent3" w:themeFillTint="3F"/>
      </w:tcPr>
    </w:tblStylePr>
    <w:tblStylePr w:type="band2Horz">
      <w:tblPr/>
      <w:tcPr>
        <w:tcBorders>
          <w:top w:val="single" w:sz="8" w:space="0" w:color="0098C3" w:themeColor="accent3"/>
          <w:left w:val="single" w:sz="8" w:space="0" w:color="0098C3" w:themeColor="accent3"/>
          <w:bottom w:val="single" w:sz="8" w:space="0" w:color="0098C3" w:themeColor="accent3"/>
          <w:right w:val="single" w:sz="8" w:space="0" w:color="0098C3" w:themeColor="accent3"/>
          <w:insideV w:val="single" w:sz="8" w:space="0" w:color="0098C3" w:themeColor="accent3"/>
        </w:tcBorders>
      </w:tcPr>
    </w:tblStylePr>
  </w:style>
  <w:style w:type="table" w:customStyle="1" w:styleId="LightList-Accent11">
    <w:name w:val="Light List - Accent 11"/>
    <w:basedOn w:val="TableNormal"/>
    <w:next w:val="LightList-Accent1"/>
    <w:uiPriority w:val="61"/>
    <w:rsid w:val="00AB36D9"/>
    <w:pPr>
      <w:spacing w:before="0" w:after="200" w:line="276" w:lineRule="auto"/>
    </w:pPr>
    <w:rPr>
      <w:rFonts w:eastAsiaTheme="minorEastAsia"/>
    </w:rPr>
    <w:tblPr>
      <w:tblStyleRowBandSize w:val="1"/>
      <w:tblStyleColBandSize w:val="1"/>
      <w:tblBorders>
        <w:top w:val="single" w:sz="8" w:space="0" w:color="51626F" w:themeColor="accent1"/>
        <w:left w:val="single" w:sz="8" w:space="0" w:color="51626F" w:themeColor="accent1"/>
        <w:bottom w:val="single" w:sz="8" w:space="0" w:color="51626F" w:themeColor="accent1"/>
        <w:right w:val="single" w:sz="8" w:space="0" w:color="51626F" w:themeColor="accent1"/>
      </w:tblBorders>
    </w:tblPr>
    <w:tblStylePr w:type="firstRow">
      <w:pPr>
        <w:spacing w:before="0" w:after="0" w:line="240" w:lineRule="auto"/>
      </w:pPr>
      <w:rPr>
        <w:b/>
        <w:bCs/>
        <w:color w:val="FFFFFF" w:themeColor="background1"/>
      </w:rPr>
      <w:tblPr/>
      <w:tcPr>
        <w:shd w:val="clear" w:color="auto" w:fill="51626F" w:themeFill="accent1"/>
      </w:tcPr>
    </w:tblStylePr>
    <w:tblStylePr w:type="lastRow">
      <w:pPr>
        <w:spacing w:before="0" w:after="0" w:line="240" w:lineRule="auto"/>
      </w:pPr>
      <w:rPr>
        <w:b/>
        <w:bCs/>
      </w:rPr>
      <w:tblPr/>
      <w:tcPr>
        <w:tcBorders>
          <w:top w:val="double" w:sz="6" w:space="0" w:color="51626F" w:themeColor="accent1"/>
          <w:left w:val="single" w:sz="8" w:space="0" w:color="51626F" w:themeColor="accent1"/>
          <w:bottom w:val="single" w:sz="8" w:space="0" w:color="51626F" w:themeColor="accent1"/>
          <w:right w:val="single" w:sz="8" w:space="0" w:color="51626F" w:themeColor="accent1"/>
        </w:tcBorders>
      </w:tcPr>
    </w:tblStylePr>
    <w:tblStylePr w:type="firstCol">
      <w:rPr>
        <w:b/>
        <w:bCs/>
      </w:rPr>
    </w:tblStylePr>
    <w:tblStylePr w:type="lastCol">
      <w:rPr>
        <w:b/>
        <w:bCs/>
      </w:rPr>
    </w:tblStylePr>
    <w:tblStylePr w:type="band1Vert">
      <w:tblPr/>
      <w:tcPr>
        <w:tcBorders>
          <w:top w:val="single" w:sz="8" w:space="0" w:color="51626F" w:themeColor="accent1"/>
          <w:left w:val="single" w:sz="8" w:space="0" w:color="51626F" w:themeColor="accent1"/>
          <w:bottom w:val="single" w:sz="8" w:space="0" w:color="51626F" w:themeColor="accent1"/>
          <w:right w:val="single" w:sz="8" w:space="0" w:color="51626F" w:themeColor="accent1"/>
        </w:tcBorders>
      </w:tcPr>
    </w:tblStylePr>
    <w:tblStylePr w:type="band1Horz">
      <w:tblPr/>
      <w:tcPr>
        <w:tcBorders>
          <w:top w:val="single" w:sz="8" w:space="0" w:color="51626F" w:themeColor="accent1"/>
          <w:left w:val="single" w:sz="8" w:space="0" w:color="51626F" w:themeColor="accent1"/>
          <w:bottom w:val="single" w:sz="8" w:space="0" w:color="51626F" w:themeColor="accent1"/>
          <w:right w:val="single" w:sz="8" w:space="0" w:color="51626F" w:themeColor="accent1"/>
        </w:tcBorders>
      </w:tcPr>
    </w:tblStylePr>
  </w:style>
  <w:style w:type="table" w:customStyle="1" w:styleId="LightList-Accent31">
    <w:name w:val="Light List - Accent 31"/>
    <w:basedOn w:val="TableNormal"/>
    <w:next w:val="LightList-Accent3"/>
    <w:uiPriority w:val="61"/>
    <w:rsid w:val="00AB36D9"/>
    <w:pPr>
      <w:spacing w:before="0" w:after="200" w:line="276" w:lineRule="auto"/>
    </w:pPr>
    <w:rPr>
      <w:rFonts w:eastAsiaTheme="minorEastAsia"/>
    </w:rPr>
    <w:tblPr>
      <w:tblStyleRowBandSize w:val="1"/>
      <w:tblStyleColBandSize w:val="1"/>
      <w:tblBorders>
        <w:top w:val="single" w:sz="8" w:space="0" w:color="0098C3" w:themeColor="accent3"/>
        <w:left w:val="single" w:sz="8" w:space="0" w:color="0098C3" w:themeColor="accent3"/>
        <w:bottom w:val="single" w:sz="8" w:space="0" w:color="0098C3" w:themeColor="accent3"/>
        <w:right w:val="single" w:sz="8" w:space="0" w:color="0098C3" w:themeColor="accent3"/>
      </w:tblBorders>
    </w:tblPr>
    <w:tblStylePr w:type="firstRow">
      <w:pPr>
        <w:spacing w:before="0" w:after="0" w:line="240" w:lineRule="auto"/>
      </w:pPr>
      <w:rPr>
        <w:b/>
        <w:bCs/>
        <w:color w:val="FFFFFF" w:themeColor="background1"/>
      </w:rPr>
      <w:tblPr/>
      <w:tcPr>
        <w:shd w:val="clear" w:color="auto" w:fill="0098C3" w:themeFill="accent3"/>
      </w:tcPr>
    </w:tblStylePr>
    <w:tblStylePr w:type="lastRow">
      <w:pPr>
        <w:spacing w:before="0" w:after="0" w:line="240" w:lineRule="auto"/>
      </w:pPr>
      <w:rPr>
        <w:b/>
        <w:bCs/>
      </w:rPr>
      <w:tblPr/>
      <w:tcPr>
        <w:tcBorders>
          <w:top w:val="double" w:sz="6" w:space="0" w:color="0098C3" w:themeColor="accent3"/>
          <w:left w:val="single" w:sz="8" w:space="0" w:color="0098C3" w:themeColor="accent3"/>
          <w:bottom w:val="single" w:sz="8" w:space="0" w:color="0098C3" w:themeColor="accent3"/>
          <w:right w:val="single" w:sz="8" w:space="0" w:color="0098C3" w:themeColor="accent3"/>
        </w:tcBorders>
      </w:tcPr>
    </w:tblStylePr>
    <w:tblStylePr w:type="firstCol">
      <w:rPr>
        <w:b/>
        <w:bCs/>
      </w:rPr>
    </w:tblStylePr>
    <w:tblStylePr w:type="lastCol">
      <w:rPr>
        <w:b/>
        <w:bCs/>
      </w:rPr>
    </w:tblStylePr>
    <w:tblStylePr w:type="band1Vert">
      <w:tblPr/>
      <w:tcPr>
        <w:tcBorders>
          <w:top w:val="single" w:sz="8" w:space="0" w:color="0098C3" w:themeColor="accent3"/>
          <w:left w:val="single" w:sz="8" w:space="0" w:color="0098C3" w:themeColor="accent3"/>
          <w:bottom w:val="single" w:sz="8" w:space="0" w:color="0098C3" w:themeColor="accent3"/>
          <w:right w:val="single" w:sz="8" w:space="0" w:color="0098C3" w:themeColor="accent3"/>
        </w:tcBorders>
      </w:tcPr>
    </w:tblStylePr>
    <w:tblStylePr w:type="band1Horz">
      <w:tblPr/>
      <w:tcPr>
        <w:tcBorders>
          <w:top w:val="single" w:sz="8" w:space="0" w:color="0098C3" w:themeColor="accent3"/>
          <w:left w:val="single" w:sz="8" w:space="0" w:color="0098C3" w:themeColor="accent3"/>
          <w:bottom w:val="single" w:sz="8" w:space="0" w:color="0098C3" w:themeColor="accent3"/>
          <w:right w:val="single" w:sz="8" w:space="0" w:color="0098C3" w:themeColor="accent3"/>
        </w:tcBorders>
      </w:tcPr>
    </w:tblStylePr>
  </w:style>
  <w:style w:type="table" w:customStyle="1" w:styleId="LightList-Accent51">
    <w:name w:val="Light List - Accent 51"/>
    <w:basedOn w:val="TableNormal"/>
    <w:next w:val="LightList-Accent5"/>
    <w:uiPriority w:val="61"/>
    <w:rsid w:val="00AB36D9"/>
    <w:pPr>
      <w:spacing w:before="0" w:after="200" w:line="276" w:lineRule="auto"/>
    </w:pPr>
    <w:rPr>
      <w:rFonts w:eastAsiaTheme="minorEastAsia"/>
    </w:rPr>
    <w:tblPr>
      <w:tblStyleRowBandSize w:val="1"/>
      <w:tblStyleColBandSize w:val="1"/>
      <w:tblBorders>
        <w:top w:val="single" w:sz="8" w:space="0" w:color="B71202" w:themeColor="accent5"/>
        <w:left w:val="single" w:sz="8" w:space="0" w:color="B71202" w:themeColor="accent5"/>
        <w:bottom w:val="single" w:sz="8" w:space="0" w:color="B71202" w:themeColor="accent5"/>
        <w:right w:val="single" w:sz="8" w:space="0" w:color="B71202" w:themeColor="accent5"/>
      </w:tblBorders>
    </w:tblPr>
    <w:tblStylePr w:type="firstRow">
      <w:pPr>
        <w:spacing w:before="0" w:after="0" w:line="240" w:lineRule="auto"/>
      </w:pPr>
      <w:rPr>
        <w:b/>
        <w:bCs/>
        <w:color w:val="auto"/>
      </w:rPr>
      <w:tblPr/>
      <w:tcPr>
        <w:shd w:val="clear" w:color="auto" w:fill="B71202" w:themeFill="accent5"/>
      </w:tcPr>
    </w:tblStylePr>
    <w:tblStylePr w:type="lastRow">
      <w:pPr>
        <w:spacing w:before="0" w:after="0" w:line="240" w:lineRule="auto"/>
      </w:pPr>
      <w:rPr>
        <w:b/>
        <w:bCs/>
      </w:rPr>
      <w:tblPr/>
      <w:tcPr>
        <w:tcBorders>
          <w:top w:val="double" w:sz="6" w:space="0" w:color="B71202" w:themeColor="accent5"/>
          <w:left w:val="single" w:sz="8" w:space="0" w:color="B71202" w:themeColor="accent5"/>
          <w:bottom w:val="single" w:sz="8" w:space="0" w:color="B71202" w:themeColor="accent5"/>
          <w:right w:val="single" w:sz="8" w:space="0" w:color="B71202" w:themeColor="accent5"/>
        </w:tcBorders>
      </w:tcPr>
    </w:tblStylePr>
    <w:tblStylePr w:type="firstCol">
      <w:rPr>
        <w:b/>
        <w:bCs/>
      </w:rPr>
    </w:tblStylePr>
    <w:tblStylePr w:type="lastCol">
      <w:rPr>
        <w:b/>
        <w:bCs/>
      </w:rPr>
    </w:tblStylePr>
    <w:tblStylePr w:type="band1Vert">
      <w:tblPr/>
      <w:tcPr>
        <w:tcBorders>
          <w:top w:val="single" w:sz="8" w:space="0" w:color="B71202" w:themeColor="accent5"/>
          <w:left w:val="single" w:sz="8" w:space="0" w:color="B71202" w:themeColor="accent5"/>
          <w:bottom w:val="single" w:sz="8" w:space="0" w:color="B71202" w:themeColor="accent5"/>
          <w:right w:val="single" w:sz="8" w:space="0" w:color="B71202" w:themeColor="accent5"/>
        </w:tcBorders>
      </w:tcPr>
    </w:tblStylePr>
    <w:tblStylePr w:type="band1Horz">
      <w:tblPr/>
      <w:tcPr>
        <w:tcBorders>
          <w:top w:val="single" w:sz="8" w:space="0" w:color="B71202" w:themeColor="accent5"/>
          <w:left w:val="single" w:sz="8" w:space="0" w:color="B71202" w:themeColor="accent5"/>
          <w:bottom w:val="single" w:sz="8" w:space="0" w:color="B71202" w:themeColor="accent5"/>
          <w:right w:val="single" w:sz="8" w:space="0" w:color="B71202" w:themeColor="accent5"/>
        </w:tcBorders>
      </w:tcPr>
    </w:tblStylePr>
  </w:style>
  <w:style w:type="table" w:customStyle="1" w:styleId="LightShading-Accent41">
    <w:name w:val="Light Shading - Accent 41"/>
    <w:basedOn w:val="TableNormal"/>
    <w:next w:val="LightShading-Accent4"/>
    <w:uiPriority w:val="60"/>
    <w:rsid w:val="00AB36D9"/>
    <w:pPr>
      <w:spacing w:before="0" w:after="200" w:line="276" w:lineRule="auto"/>
    </w:pPr>
    <w:rPr>
      <w:rFonts w:eastAsiaTheme="minorEastAsia"/>
      <w:color w:val="4DA5D9" w:themeColor="accent4" w:themeShade="BF"/>
    </w:rPr>
    <w:tblPr>
      <w:tblStyleRowBandSize w:val="1"/>
      <w:tblStyleColBandSize w:val="1"/>
      <w:tblBorders>
        <w:top w:val="single" w:sz="8" w:space="0" w:color="A0CFEB" w:themeColor="accent4"/>
        <w:bottom w:val="single" w:sz="8" w:space="0" w:color="A0CFEB" w:themeColor="accent4"/>
      </w:tblBorders>
    </w:tblPr>
    <w:tblStylePr w:type="firstRow">
      <w:pPr>
        <w:spacing w:before="0" w:after="0" w:line="240" w:lineRule="auto"/>
      </w:pPr>
      <w:rPr>
        <w:b/>
        <w:bCs/>
      </w:rPr>
      <w:tblPr/>
      <w:tcPr>
        <w:tcBorders>
          <w:top w:val="single" w:sz="8" w:space="0" w:color="A0CFEB" w:themeColor="accent4"/>
          <w:left w:val="nil"/>
          <w:bottom w:val="single" w:sz="8" w:space="0" w:color="A0CFEB" w:themeColor="accent4"/>
          <w:right w:val="nil"/>
          <w:insideH w:val="nil"/>
          <w:insideV w:val="nil"/>
        </w:tcBorders>
      </w:tcPr>
    </w:tblStylePr>
    <w:tblStylePr w:type="lastRow">
      <w:pPr>
        <w:spacing w:before="0" w:after="0" w:line="240" w:lineRule="auto"/>
      </w:pPr>
      <w:rPr>
        <w:b/>
        <w:bCs/>
      </w:rPr>
      <w:tblPr/>
      <w:tcPr>
        <w:tcBorders>
          <w:top w:val="single" w:sz="8" w:space="0" w:color="A0CFEB" w:themeColor="accent4"/>
          <w:left w:val="nil"/>
          <w:bottom w:val="single" w:sz="8" w:space="0" w:color="A0CFEB"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F3FA" w:themeFill="accent4" w:themeFillTint="3F"/>
      </w:tcPr>
    </w:tblStylePr>
    <w:tblStylePr w:type="band1Horz">
      <w:tblPr/>
      <w:tcPr>
        <w:tcBorders>
          <w:left w:val="nil"/>
          <w:right w:val="nil"/>
          <w:insideH w:val="nil"/>
          <w:insideV w:val="nil"/>
        </w:tcBorders>
        <w:shd w:val="clear" w:color="auto" w:fill="E7F3FA" w:themeFill="accent4" w:themeFillTint="3F"/>
      </w:tcPr>
    </w:tblStylePr>
  </w:style>
  <w:style w:type="table" w:customStyle="1" w:styleId="LightShading-Accent61">
    <w:name w:val="Light Shading - Accent 61"/>
    <w:basedOn w:val="TableNormal"/>
    <w:next w:val="LightShading-Accent6"/>
    <w:uiPriority w:val="60"/>
    <w:rsid w:val="00AB36D9"/>
    <w:pPr>
      <w:spacing w:before="0" w:after="200" w:line="276" w:lineRule="auto"/>
    </w:pPr>
    <w:rPr>
      <w:rFonts w:eastAsiaTheme="minorEastAsia"/>
      <w:color w:val="AD351E" w:themeColor="accent6" w:themeShade="BF"/>
    </w:rPr>
    <w:tblPr>
      <w:tblStyleRowBandSize w:val="1"/>
      <w:tblStyleColBandSize w:val="1"/>
      <w:tblBorders>
        <w:top w:val="single" w:sz="8" w:space="0" w:color="DC5034" w:themeColor="accent6"/>
        <w:bottom w:val="single" w:sz="8" w:space="0" w:color="DC5034" w:themeColor="accent6"/>
      </w:tblBorders>
    </w:tblPr>
    <w:tblStylePr w:type="firstRow">
      <w:pPr>
        <w:spacing w:before="0" w:after="0" w:line="240" w:lineRule="auto"/>
      </w:pPr>
      <w:rPr>
        <w:b/>
        <w:bCs/>
      </w:rPr>
      <w:tblPr/>
      <w:tcPr>
        <w:tcBorders>
          <w:top w:val="single" w:sz="8" w:space="0" w:color="DC5034" w:themeColor="accent6"/>
          <w:left w:val="nil"/>
          <w:bottom w:val="single" w:sz="8" w:space="0" w:color="DC5034" w:themeColor="accent6"/>
          <w:right w:val="nil"/>
          <w:insideH w:val="nil"/>
          <w:insideV w:val="nil"/>
        </w:tcBorders>
      </w:tcPr>
    </w:tblStylePr>
    <w:tblStylePr w:type="lastRow">
      <w:pPr>
        <w:spacing w:before="0" w:after="0" w:line="240" w:lineRule="auto"/>
      </w:pPr>
      <w:rPr>
        <w:b/>
        <w:bCs/>
      </w:rPr>
      <w:tblPr/>
      <w:tcPr>
        <w:tcBorders>
          <w:top w:val="single" w:sz="8" w:space="0" w:color="DC5034" w:themeColor="accent6"/>
          <w:left w:val="nil"/>
          <w:bottom w:val="single" w:sz="8" w:space="0" w:color="DC5034"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D3CC" w:themeFill="accent6" w:themeFillTint="3F"/>
      </w:tcPr>
    </w:tblStylePr>
    <w:tblStylePr w:type="band1Horz">
      <w:tblPr/>
      <w:tcPr>
        <w:tcBorders>
          <w:left w:val="nil"/>
          <w:right w:val="nil"/>
          <w:insideH w:val="nil"/>
          <w:insideV w:val="nil"/>
        </w:tcBorders>
        <w:shd w:val="clear" w:color="auto" w:fill="F6D3CC" w:themeFill="accent6" w:themeFillTint="3F"/>
      </w:tcPr>
    </w:tblStylePr>
  </w:style>
  <w:style w:type="paragraph" w:customStyle="1" w:styleId="Numberedlist">
    <w:name w:val="Numbered list"/>
    <w:basedOn w:val="ListNumber"/>
    <w:rsid w:val="00AB36D9"/>
    <w:pPr>
      <w:numPr>
        <w:numId w:val="0"/>
      </w:numPr>
      <w:ind w:left="357" w:hanging="357"/>
    </w:pPr>
  </w:style>
  <w:style w:type="table" w:customStyle="1" w:styleId="LightShading11">
    <w:name w:val="Light Shading11"/>
    <w:basedOn w:val="TableNormal"/>
    <w:next w:val="LightShading"/>
    <w:uiPriority w:val="60"/>
    <w:rsid w:val="00AB36D9"/>
    <w:pPr>
      <w:spacing w:before="120" w:after="120" w:line="276" w:lineRule="auto"/>
    </w:pPr>
    <w:rPr>
      <w:rFonts w:eastAsiaTheme="minorEastAsia"/>
      <w:color w:val="000000" w:themeColor="text1" w:themeShade="BF"/>
      <w:sz w:val="20"/>
    </w:rPr>
    <w:tblPr>
      <w:tblBorders>
        <w:top w:val="single" w:sz="4" w:space="0" w:color="D5D6D2" w:themeColor="background2"/>
        <w:bottom w:val="single" w:sz="4" w:space="0" w:color="D5D6D2" w:themeColor="background2"/>
        <w:insideH w:val="single" w:sz="4" w:space="0" w:color="D5D6D2" w:themeColor="background2"/>
      </w:tblBorders>
    </w:tblPr>
    <w:tcPr>
      <w:shd w:val="clear" w:color="auto" w:fill="auto"/>
    </w:tcPr>
    <w:tblStylePr w:type="firstRow">
      <w:pPr>
        <w:wordWrap/>
        <w:spacing w:beforeLines="0" w:before="120" w:beforeAutospacing="0" w:afterLines="0" w:after="120" w:afterAutospacing="0" w:line="240" w:lineRule="auto"/>
      </w:pPr>
      <w:rPr>
        <w:rFonts w:ascii="Arial" w:hAnsi="Arial"/>
        <w:b/>
        <w:bCs/>
        <w:sz w:val="20"/>
      </w:rPr>
      <w:tblPr/>
      <w:tcPr>
        <w:tcBorders>
          <w:top w:val="single" w:sz="8" w:space="0" w:color="000000" w:themeColor="text1"/>
          <w:left w:val="nil"/>
          <w:bottom w:val="single" w:sz="8" w:space="0" w:color="000000" w:themeColor="text1"/>
          <w:right w:val="nil"/>
          <w:insideH w:val="nil"/>
          <w:insideV w:val="nil"/>
        </w:tcBorders>
        <w:shd w:val="clear" w:color="auto" w:fill="auto"/>
      </w:tcPr>
    </w:tblStylePr>
    <w:tblStylePr w:type="lastRow">
      <w:pPr>
        <w:wordWrap/>
        <w:spacing w:beforeLines="0" w:before="120" w:beforeAutospacing="0" w:afterLines="0" w:after="120" w:afterAutospacing="0" w:line="240" w:lineRule="auto"/>
      </w:pPr>
      <w:rPr>
        <w:rFonts w:ascii="Arial" w:hAnsi="Arial"/>
        <w:b/>
        <w:bCs/>
        <w:sz w:val="20"/>
      </w:rPr>
      <w:tblPr/>
      <w:tcPr>
        <w:tcBorders>
          <w:top w:val="single" w:sz="8" w:space="0" w:color="000000" w:themeColor="text1"/>
          <w:left w:val="nil"/>
          <w:bottom w:val="single" w:sz="8" w:space="0" w:color="000000" w:themeColor="text1"/>
          <w:right w:val="nil"/>
          <w:insideH w:val="nil"/>
          <w:insideV w:val="nil"/>
        </w:tcBorders>
        <w:vAlign w:val="center"/>
      </w:tcPr>
    </w:tblStylePr>
    <w:tblStylePr w:type="firstCol">
      <w:rPr>
        <w:b/>
        <w:bCs/>
        <w:sz w:val="20"/>
      </w:rPr>
    </w:tblStylePr>
    <w:tblStylePr w:type="lastCol">
      <w:rPr>
        <w:b/>
        <w:bCs/>
      </w:rPr>
    </w:tblStylePr>
  </w:style>
  <w:style w:type="table" w:customStyle="1" w:styleId="LightList-Accent21">
    <w:name w:val="Light List - Accent 21"/>
    <w:basedOn w:val="TableNormal"/>
    <w:next w:val="LightList-Accent2"/>
    <w:uiPriority w:val="61"/>
    <w:rsid w:val="00AB36D9"/>
    <w:pPr>
      <w:spacing w:before="0" w:after="200" w:line="276" w:lineRule="auto"/>
    </w:pPr>
    <w:rPr>
      <w:rFonts w:eastAsiaTheme="minorEastAsia"/>
    </w:rPr>
    <w:tblPr>
      <w:tblStyleRowBandSize w:val="1"/>
      <w:tblStyleColBandSize w:val="1"/>
      <w:tblBorders>
        <w:top w:val="single" w:sz="8" w:space="0" w:color="4F2D7D" w:themeColor="accent2"/>
        <w:left w:val="single" w:sz="8" w:space="0" w:color="4F2D7D" w:themeColor="accent2"/>
        <w:bottom w:val="single" w:sz="8" w:space="0" w:color="4F2D7D" w:themeColor="accent2"/>
        <w:right w:val="single" w:sz="8" w:space="0" w:color="4F2D7D" w:themeColor="accent2"/>
      </w:tblBorders>
    </w:tblPr>
    <w:tblStylePr w:type="firstRow">
      <w:pPr>
        <w:spacing w:before="0" w:after="0" w:line="240" w:lineRule="auto"/>
      </w:pPr>
      <w:rPr>
        <w:b/>
        <w:bCs/>
        <w:color w:val="FFFFFF" w:themeColor="background1"/>
      </w:rPr>
      <w:tblPr/>
      <w:tcPr>
        <w:shd w:val="clear" w:color="auto" w:fill="4F2D7D" w:themeFill="accent2"/>
      </w:tcPr>
    </w:tblStylePr>
    <w:tblStylePr w:type="lastRow">
      <w:pPr>
        <w:spacing w:before="0" w:after="0" w:line="240" w:lineRule="auto"/>
      </w:pPr>
      <w:rPr>
        <w:b/>
        <w:bCs/>
      </w:rPr>
      <w:tblPr/>
      <w:tcPr>
        <w:tcBorders>
          <w:top w:val="double" w:sz="6" w:space="0" w:color="4F2D7D" w:themeColor="accent2"/>
          <w:left w:val="single" w:sz="8" w:space="0" w:color="4F2D7D" w:themeColor="accent2"/>
          <w:bottom w:val="single" w:sz="8" w:space="0" w:color="4F2D7D" w:themeColor="accent2"/>
          <w:right w:val="single" w:sz="8" w:space="0" w:color="4F2D7D" w:themeColor="accent2"/>
        </w:tcBorders>
      </w:tcPr>
    </w:tblStylePr>
    <w:tblStylePr w:type="firstCol">
      <w:rPr>
        <w:b/>
        <w:bCs/>
      </w:rPr>
    </w:tblStylePr>
    <w:tblStylePr w:type="lastCol">
      <w:rPr>
        <w:b/>
        <w:bCs/>
      </w:rPr>
    </w:tblStylePr>
    <w:tblStylePr w:type="band1Vert">
      <w:tblPr/>
      <w:tcPr>
        <w:tcBorders>
          <w:top w:val="single" w:sz="8" w:space="0" w:color="4F2D7D" w:themeColor="accent2"/>
          <w:left w:val="single" w:sz="8" w:space="0" w:color="4F2D7D" w:themeColor="accent2"/>
          <w:bottom w:val="single" w:sz="8" w:space="0" w:color="4F2D7D" w:themeColor="accent2"/>
          <w:right w:val="single" w:sz="8" w:space="0" w:color="4F2D7D" w:themeColor="accent2"/>
        </w:tcBorders>
      </w:tcPr>
    </w:tblStylePr>
    <w:tblStylePr w:type="band1Horz">
      <w:tblPr/>
      <w:tcPr>
        <w:tcBorders>
          <w:top w:val="single" w:sz="8" w:space="0" w:color="4F2D7D" w:themeColor="accent2"/>
          <w:left w:val="single" w:sz="8" w:space="0" w:color="4F2D7D" w:themeColor="accent2"/>
          <w:bottom w:val="single" w:sz="8" w:space="0" w:color="4F2D7D" w:themeColor="accent2"/>
          <w:right w:val="single" w:sz="8" w:space="0" w:color="4F2D7D" w:themeColor="accent2"/>
        </w:tcBorders>
      </w:tcPr>
    </w:tblStylePr>
  </w:style>
  <w:style w:type="table" w:customStyle="1" w:styleId="LightList-Accent41">
    <w:name w:val="Light List - Accent 41"/>
    <w:basedOn w:val="TableNormal"/>
    <w:next w:val="LightList-Accent4"/>
    <w:uiPriority w:val="61"/>
    <w:rsid w:val="00AB36D9"/>
    <w:pPr>
      <w:spacing w:before="0" w:after="200" w:line="276" w:lineRule="auto"/>
    </w:pPr>
    <w:rPr>
      <w:rFonts w:eastAsiaTheme="minorEastAsia"/>
    </w:rPr>
    <w:tblPr>
      <w:tblStyleRowBandSize w:val="1"/>
      <w:tblStyleColBandSize w:val="1"/>
      <w:tblBorders>
        <w:top w:val="single" w:sz="8" w:space="0" w:color="A0CFEB" w:themeColor="accent4"/>
        <w:left w:val="single" w:sz="8" w:space="0" w:color="A0CFEB" w:themeColor="accent4"/>
        <w:bottom w:val="single" w:sz="8" w:space="0" w:color="A0CFEB" w:themeColor="accent4"/>
        <w:right w:val="single" w:sz="8" w:space="0" w:color="A0CFEB" w:themeColor="accent4"/>
      </w:tblBorders>
    </w:tblPr>
    <w:tblStylePr w:type="firstRow">
      <w:pPr>
        <w:spacing w:before="0" w:after="0" w:line="240" w:lineRule="auto"/>
      </w:pPr>
      <w:rPr>
        <w:b/>
        <w:bCs/>
        <w:color w:val="FFFFFF" w:themeColor="background1"/>
      </w:rPr>
      <w:tblPr/>
      <w:tcPr>
        <w:shd w:val="clear" w:color="auto" w:fill="A0CFEB" w:themeFill="accent4"/>
      </w:tcPr>
    </w:tblStylePr>
    <w:tblStylePr w:type="lastRow">
      <w:pPr>
        <w:spacing w:before="0" w:after="0" w:line="240" w:lineRule="auto"/>
      </w:pPr>
      <w:rPr>
        <w:b/>
        <w:bCs/>
      </w:rPr>
      <w:tblPr/>
      <w:tcPr>
        <w:tcBorders>
          <w:top w:val="double" w:sz="6" w:space="0" w:color="A0CFEB" w:themeColor="accent4"/>
          <w:left w:val="single" w:sz="8" w:space="0" w:color="A0CFEB" w:themeColor="accent4"/>
          <w:bottom w:val="single" w:sz="8" w:space="0" w:color="A0CFEB" w:themeColor="accent4"/>
          <w:right w:val="single" w:sz="8" w:space="0" w:color="A0CFEB" w:themeColor="accent4"/>
        </w:tcBorders>
      </w:tcPr>
    </w:tblStylePr>
    <w:tblStylePr w:type="firstCol">
      <w:rPr>
        <w:b/>
        <w:bCs/>
      </w:rPr>
    </w:tblStylePr>
    <w:tblStylePr w:type="lastCol">
      <w:rPr>
        <w:b/>
        <w:bCs/>
      </w:rPr>
    </w:tblStylePr>
    <w:tblStylePr w:type="band1Vert">
      <w:tblPr/>
      <w:tcPr>
        <w:tcBorders>
          <w:top w:val="single" w:sz="8" w:space="0" w:color="A0CFEB" w:themeColor="accent4"/>
          <w:left w:val="single" w:sz="8" w:space="0" w:color="A0CFEB" w:themeColor="accent4"/>
          <w:bottom w:val="single" w:sz="8" w:space="0" w:color="A0CFEB" w:themeColor="accent4"/>
          <w:right w:val="single" w:sz="8" w:space="0" w:color="A0CFEB" w:themeColor="accent4"/>
        </w:tcBorders>
      </w:tcPr>
    </w:tblStylePr>
    <w:tblStylePr w:type="band1Horz">
      <w:tblPr/>
      <w:tcPr>
        <w:tcBorders>
          <w:top w:val="single" w:sz="8" w:space="0" w:color="A0CFEB" w:themeColor="accent4"/>
          <w:left w:val="single" w:sz="8" w:space="0" w:color="A0CFEB" w:themeColor="accent4"/>
          <w:bottom w:val="single" w:sz="8" w:space="0" w:color="A0CFEB" w:themeColor="accent4"/>
          <w:right w:val="single" w:sz="8" w:space="0" w:color="A0CFEB" w:themeColor="accent4"/>
        </w:tcBorders>
      </w:tcPr>
    </w:tblStylePr>
  </w:style>
  <w:style w:type="table" w:customStyle="1" w:styleId="LightList-Accent61">
    <w:name w:val="Light List - Accent 61"/>
    <w:basedOn w:val="TableNormal"/>
    <w:next w:val="LightList-Accent6"/>
    <w:uiPriority w:val="61"/>
    <w:rsid w:val="00AB36D9"/>
    <w:pPr>
      <w:spacing w:before="0" w:after="200" w:line="276" w:lineRule="auto"/>
    </w:pPr>
    <w:rPr>
      <w:rFonts w:eastAsiaTheme="minorEastAsia"/>
    </w:rPr>
    <w:tblPr>
      <w:tblStyleRowBandSize w:val="1"/>
      <w:tblStyleColBandSize w:val="1"/>
      <w:tblBorders>
        <w:top w:val="single" w:sz="8" w:space="0" w:color="DC5034" w:themeColor="accent6"/>
        <w:left w:val="single" w:sz="8" w:space="0" w:color="DC5034" w:themeColor="accent6"/>
        <w:bottom w:val="single" w:sz="8" w:space="0" w:color="DC5034" w:themeColor="accent6"/>
        <w:right w:val="single" w:sz="8" w:space="0" w:color="DC5034" w:themeColor="accent6"/>
      </w:tblBorders>
    </w:tblPr>
    <w:tblStylePr w:type="firstRow">
      <w:pPr>
        <w:spacing w:before="0" w:after="0" w:line="240" w:lineRule="auto"/>
      </w:pPr>
      <w:rPr>
        <w:b/>
        <w:bCs/>
        <w:color w:val="FFFFFF" w:themeColor="background1"/>
      </w:rPr>
      <w:tblPr/>
      <w:tcPr>
        <w:shd w:val="clear" w:color="auto" w:fill="DC5034" w:themeFill="accent6"/>
      </w:tcPr>
    </w:tblStylePr>
    <w:tblStylePr w:type="lastRow">
      <w:pPr>
        <w:spacing w:before="0" w:after="0" w:line="240" w:lineRule="auto"/>
      </w:pPr>
      <w:rPr>
        <w:b/>
        <w:bCs/>
      </w:rPr>
      <w:tblPr/>
      <w:tcPr>
        <w:tcBorders>
          <w:top w:val="double" w:sz="6" w:space="0" w:color="DC5034" w:themeColor="accent6"/>
          <w:left w:val="single" w:sz="8" w:space="0" w:color="DC5034" w:themeColor="accent6"/>
          <w:bottom w:val="single" w:sz="8" w:space="0" w:color="DC5034" w:themeColor="accent6"/>
          <w:right w:val="single" w:sz="8" w:space="0" w:color="DC5034" w:themeColor="accent6"/>
        </w:tcBorders>
      </w:tcPr>
    </w:tblStylePr>
    <w:tblStylePr w:type="firstCol">
      <w:rPr>
        <w:b/>
        <w:bCs/>
      </w:rPr>
    </w:tblStylePr>
    <w:tblStylePr w:type="lastCol">
      <w:rPr>
        <w:b/>
        <w:bCs/>
      </w:rPr>
    </w:tblStylePr>
    <w:tblStylePr w:type="band1Vert">
      <w:tblPr/>
      <w:tcPr>
        <w:tcBorders>
          <w:top w:val="single" w:sz="8" w:space="0" w:color="DC5034" w:themeColor="accent6"/>
          <w:left w:val="single" w:sz="8" w:space="0" w:color="DC5034" w:themeColor="accent6"/>
          <w:bottom w:val="single" w:sz="8" w:space="0" w:color="DC5034" w:themeColor="accent6"/>
          <w:right w:val="single" w:sz="8" w:space="0" w:color="DC5034" w:themeColor="accent6"/>
        </w:tcBorders>
      </w:tcPr>
    </w:tblStylePr>
    <w:tblStylePr w:type="band1Horz">
      <w:tblPr/>
      <w:tcPr>
        <w:tcBorders>
          <w:top w:val="single" w:sz="8" w:space="0" w:color="DC5034" w:themeColor="accent6"/>
          <w:left w:val="single" w:sz="8" w:space="0" w:color="DC5034" w:themeColor="accent6"/>
          <w:bottom w:val="single" w:sz="8" w:space="0" w:color="DC5034" w:themeColor="accent6"/>
          <w:right w:val="single" w:sz="8" w:space="0" w:color="DC5034" w:themeColor="accent6"/>
        </w:tcBorders>
      </w:tcPr>
    </w:tblStylePr>
  </w:style>
  <w:style w:type="table" w:customStyle="1" w:styleId="LightGrid1">
    <w:name w:val="Light Grid1"/>
    <w:basedOn w:val="TableNormal"/>
    <w:next w:val="LightGrid"/>
    <w:uiPriority w:val="62"/>
    <w:rsid w:val="00AB36D9"/>
    <w:pPr>
      <w:spacing w:before="0" w:after="200" w:line="276" w:lineRule="auto"/>
    </w:pPr>
    <w:rPr>
      <w:rFonts w:eastAsiaTheme="minorEastAsi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Accent11">
    <w:name w:val="Light Grid - Accent 11"/>
    <w:basedOn w:val="TableNormal"/>
    <w:next w:val="LightGrid-Accent1"/>
    <w:uiPriority w:val="62"/>
    <w:rsid w:val="00AB36D9"/>
    <w:pPr>
      <w:spacing w:before="0" w:after="200" w:line="276" w:lineRule="auto"/>
    </w:pPr>
    <w:rPr>
      <w:rFonts w:eastAsiaTheme="minorEastAsia"/>
    </w:rPr>
    <w:tblPr>
      <w:tblStyleRowBandSize w:val="1"/>
      <w:tblStyleColBandSize w:val="1"/>
      <w:tblBorders>
        <w:top w:val="single" w:sz="8" w:space="0" w:color="51626F" w:themeColor="accent1"/>
        <w:left w:val="single" w:sz="8" w:space="0" w:color="51626F" w:themeColor="accent1"/>
        <w:bottom w:val="single" w:sz="8" w:space="0" w:color="51626F" w:themeColor="accent1"/>
        <w:right w:val="single" w:sz="8" w:space="0" w:color="51626F" w:themeColor="accent1"/>
        <w:insideH w:val="single" w:sz="8" w:space="0" w:color="51626F" w:themeColor="accent1"/>
        <w:insideV w:val="single" w:sz="8" w:space="0" w:color="51626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1626F" w:themeColor="accent1"/>
          <w:left w:val="single" w:sz="8" w:space="0" w:color="51626F" w:themeColor="accent1"/>
          <w:bottom w:val="single" w:sz="18" w:space="0" w:color="51626F" w:themeColor="accent1"/>
          <w:right w:val="single" w:sz="8" w:space="0" w:color="51626F" w:themeColor="accent1"/>
          <w:insideH w:val="nil"/>
          <w:insideV w:val="single" w:sz="8" w:space="0" w:color="51626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1626F" w:themeColor="accent1"/>
          <w:left w:val="single" w:sz="8" w:space="0" w:color="51626F" w:themeColor="accent1"/>
          <w:bottom w:val="single" w:sz="8" w:space="0" w:color="51626F" w:themeColor="accent1"/>
          <w:right w:val="single" w:sz="8" w:space="0" w:color="51626F" w:themeColor="accent1"/>
          <w:insideH w:val="nil"/>
          <w:insideV w:val="single" w:sz="8" w:space="0" w:color="51626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1626F" w:themeColor="accent1"/>
          <w:left w:val="single" w:sz="8" w:space="0" w:color="51626F" w:themeColor="accent1"/>
          <w:bottom w:val="single" w:sz="8" w:space="0" w:color="51626F" w:themeColor="accent1"/>
          <w:right w:val="single" w:sz="8" w:space="0" w:color="51626F" w:themeColor="accent1"/>
        </w:tcBorders>
      </w:tcPr>
    </w:tblStylePr>
    <w:tblStylePr w:type="band1Vert">
      <w:tblPr/>
      <w:tcPr>
        <w:tcBorders>
          <w:top w:val="single" w:sz="8" w:space="0" w:color="51626F" w:themeColor="accent1"/>
          <w:left w:val="single" w:sz="8" w:space="0" w:color="51626F" w:themeColor="accent1"/>
          <w:bottom w:val="single" w:sz="8" w:space="0" w:color="51626F" w:themeColor="accent1"/>
          <w:right w:val="single" w:sz="8" w:space="0" w:color="51626F" w:themeColor="accent1"/>
        </w:tcBorders>
        <w:shd w:val="clear" w:color="auto" w:fill="D1D8DD" w:themeFill="accent1" w:themeFillTint="3F"/>
      </w:tcPr>
    </w:tblStylePr>
    <w:tblStylePr w:type="band1Horz">
      <w:tblPr/>
      <w:tcPr>
        <w:tcBorders>
          <w:top w:val="single" w:sz="8" w:space="0" w:color="51626F" w:themeColor="accent1"/>
          <w:left w:val="single" w:sz="8" w:space="0" w:color="51626F" w:themeColor="accent1"/>
          <w:bottom w:val="single" w:sz="8" w:space="0" w:color="51626F" w:themeColor="accent1"/>
          <w:right w:val="single" w:sz="8" w:space="0" w:color="51626F" w:themeColor="accent1"/>
          <w:insideV w:val="single" w:sz="8" w:space="0" w:color="51626F" w:themeColor="accent1"/>
        </w:tcBorders>
        <w:shd w:val="clear" w:color="auto" w:fill="D1D8DD" w:themeFill="accent1" w:themeFillTint="3F"/>
      </w:tcPr>
    </w:tblStylePr>
    <w:tblStylePr w:type="band2Horz">
      <w:tblPr/>
      <w:tcPr>
        <w:tcBorders>
          <w:top w:val="single" w:sz="8" w:space="0" w:color="51626F" w:themeColor="accent1"/>
          <w:left w:val="single" w:sz="8" w:space="0" w:color="51626F" w:themeColor="accent1"/>
          <w:bottom w:val="single" w:sz="8" w:space="0" w:color="51626F" w:themeColor="accent1"/>
          <w:right w:val="single" w:sz="8" w:space="0" w:color="51626F" w:themeColor="accent1"/>
          <w:insideV w:val="single" w:sz="8" w:space="0" w:color="51626F" w:themeColor="accent1"/>
        </w:tcBorders>
      </w:tcPr>
    </w:tblStylePr>
  </w:style>
  <w:style w:type="table" w:customStyle="1" w:styleId="LightGrid-Accent21">
    <w:name w:val="Light Grid - Accent 21"/>
    <w:basedOn w:val="TableNormal"/>
    <w:next w:val="LightGrid-Accent2"/>
    <w:uiPriority w:val="62"/>
    <w:rsid w:val="00AB36D9"/>
    <w:pPr>
      <w:spacing w:before="0" w:after="200" w:line="276" w:lineRule="auto"/>
    </w:pPr>
    <w:rPr>
      <w:rFonts w:eastAsiaTheme="minorEastAsia"/>
    </w:rPr>
    <w:tblPr>
      <w:tblStyleRowBandSize w:val="1"/>
      <w:tblStyleColBandSize w:val="1"/>
      <w:tblBorders>
        <w:top w:val="single" w:sz="8" w:space="0" w:color="4F2D7D" w:themeColor="accent2"/>
        <w:left w:val="single" w:sz="8" w:space="0" w:color="4F2D7D" w:themeColor="accent2"/>
        <w:bottom w:val="single" w:sz="8" w:space="0" w:color="4F2D7D" w:themeColor="accent2"/>
        <w:right w:val="single" w:sz="8" w:space="0" w:color="4F2D7D" w:themeColor="accent2"/>
        <w:insideH w:val="single" w:sz="8" w:space="0" w:color="4F2D7D" w:themeColor="accent2"/>
        <w:insideV w:val="single" w:sz="8" w:space="0" w:color="4F2D7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2D7D" w:themeColor="accent2"/>
          <w:left w:val="single" w:sz="8" w:space="0" w:color="4F2D7D" w:themeColor="accent2"/>
          <w:bottom w:val="single" w:sz="18" w:space="0" w:color="4F2D7D" w:themeColor="accent2"/>
          <w:right w:val="single" w:sz="8" w:space="0" w:color="4F2D7D" w:themeColor="accent2"/>
          <w:insideH w:val="nil"/>
          <w:insideV w:val="single" w:sz="8" w:space="0" w:color="4F2D7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2D7D" w:themeColor="accent2"/>
          <w:left w:val="single" w:sz="8" w:space="0" w:color="4F2D7D" w:themeColor="accent2"/>
          <w:bottom w:val="single" w:sz="8" w:space="0" w:color="4F2D7D" w:themeColor="accent2"/>
          <w:right w:val="single" w:sz="8" w:space="0" w:color="4F2D7D" w:themeColor="accent2"/>
          <w:insideH w:val="nil"/>
          <w:insideV w:val="single" w:sz="8" w:space="0" w:color="4F2D7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2D7D" w:themeColor="accent2"/>
          <w:left w:val="single" w:sz="8" w:space="0" w:color="4F2D7D" w:themeColor="accent2"/>
          <w:bottom w:val="single" w:sz="8" w:space="0" w:color="4F2D7D" w:themeColor="accent2"/>
          <w:right w:val="single" w:sz="8" w:space="0" w:color="4F2D7D" w:themeColor="accent2"/>
        </w:tcBorders>
      </w:tcPr>
    </w:tblStylePr>
    <w:tblStylePr w:type="band1Vert">
      <w:tblPr/>
      <w:tcPr>
        <w:tcBorders>
          <w:top w:val="single" w:sz="8" w:space="0" w:color="4F2D7D" w:themeColor="accent2"/>
          <w:left w:val="single" w:sz="8" w:space="0" w:color="4F2D7D" w:themeColor="accent2"/>
          <w:bottom w:val="single" w:sz="8" w:space="0" w:color="4F2D7D" w:themeColor="accent2"/>
          <w:right w:val="single" w:sz="8" w:space="0" w:color="4F2D7D" w:themeColor="accent2"/>
        </w:tcBorders>
        <w:shd w:val="clear" w:color="auto" w:fill="D1C1E8" w:themeFill="accent2" w:themeFillTint="3F"/>
      </w:tcPr>
    </w:tblStylePr>
    <w:tblStylePr w:type="band1Horz">
      <w:tblPr/>
      <w:tcPr>
        <w:tcBorders>
          <w:top w:val="single" w:sz="8" w:space="0" w:color="4F2D7D" w:themeColor="accent2"/>
          <w:left w:val="single" w:sz="8" w:space="0" w:color="4F2D7D" w:themeColor="accent2"/>
          <w:bottom w:val="single" w:sz="8" w:space="0" w:color="4F2D7D" w:themeColor="accent2"/>
          <w:right w:val="single" w:sz="8" w:space="0" w:color="4F2D7D" w:themeColor="accent2"/>
          <w:insideV w:val="single" w:sz="8" w:space="0" w:color="4F2D7D" w:themeColor="accent2"/>
        </w:tcBorders>
        <w:shd w:val="clear" w:color="auto" w:fill="D1C1E8" w:themeFill="accent2" w:themeFillTint="3F"/>
      </w:tcPr>
    </w:tblStylePr>
    <w:tblStylePr w:type="band2Horz">
      <w:tblPr/>
      <w:tcPr>
        <w:tcBorders>
          <w:top w:val="single" w:sz="8" w:space="0" w:color="4F2D7D" w:themeColor="accent2"/>
          <w:left w:val="single" w:sz="8" w:space="0" w:color="4F2D7D" w:themeColor="accent2"/>
          <w:bottom w:val="single" w:sz="8" w:space="0" w:color="4F2D7D" w:themeColor="accent2"/>
          <w:right w:val="single" w:sz="8" w:space="0" w:color="4F2D7D" w:themeColor="accent2"/>
          <w:insideV w:val="single" w:sz="8" w:space="0" w:color="4F2D7D" w:themeColor="accent2"/>
        </w:tcBorders>
      </w:tcPr>
    </w:tblStylePr>
  </w:style>
  <w:style w:type="table" w:customStyle="1" w:styleId="LightGrid-Accent41">
    <w:name w:val="Light Grid - Accent 41"/>
    <w:basedOn w:val="TableNormal"/>
    <w:next w:val="LightGrid-Accent4"/>
    <w:uiPriority w:val="62"/>
    <w:rsid w:val="00AB36D9"/>
    <w:pPr>
      <w:spacing w:before="0" w:after="200" w:line="276" w:lineRule="auto"/>
    </w:pPr>
    <w:rPr>
      <w:rFonts w:eastAsiaTheme="minorEastAsia"/>
    </w:rPr>
    <w:tblPr>
      <w:tblStyleRowBandSize w:val="1"/>
      <w:tblStyleColBandSize w:val="1"/>
      <w:tblBorders>
        <w:top w:val="single" w:sz="8" w:space="0" w:color="A0CFEB" w:themeColor="accent4"/>
        <w:left w:val="single" w:sz="8" w:space="0" w:color="A0CFEB" w:themeColor="accent4"/>
        <w:bottom w:val="single" w:sz="8" w:space="0" w:color="A0CFEB" w:themeColor="accent4"/>
        <w:right w:val="single" w:sz="8" w:space="0" w:color="A0CFEB" w:themeColor="accent4"/>
        <w:insideH w:val="single" w:sz="8" w:space="0" w:color="A0CFEB" w:themeColor="accent4"/>
        <w:insideV w:val="single" w:sz="8" w:space="0" w:color="A0CFEB"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0CFEB" w:themeColor="accent4"/>
          <w:left w:val="single" w:sz="8" w:space="0" w:color="A0CFEB" w:themeColor="accent4"/>
          <w:bottom w:val="single" w:sz="18" w:space="0" w:color="A0CFEB" w:themeColor="accent4"/>
          <w:right w:val="single" w:sz="8" w:space="0" w:color="A0CFEB" w:themeColor="accent4"/>
          <w:insideH w:val="nil"/>
          <w:insideV w:val="single" w:sz="8" w:space="0" w:color="A0CFEB"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0CFEB" w:themeColor="accent4"/>
          <w:left w:val="single" w:sz="8" w:space="0" w:color="A0CFEB" w:themeColor="accent4"/>
          <w:bottom w:val="single" w:sz="8" w:space="0" w:color="A0CFEB" w:themeColor="accent4"/>
          <w:right w:val="single" w:sz="8" w:space="0" w:color="A0CFEB" w:themeColor="accent4"/>
          <w:insideH w:val="nil"/>
          <w:insideV w:val="single" w:sz="8" w:space="0" w:color="A0CFEB"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0CFEB" w:themeColor="accent4"/>
          <w:left w:val="single" w:sz="8" w:space="0" w:color="A0CFEB" w:themeColor="accent4"/>
          <w:bottom w:val="single" w:sz="8" w:space="0" w:color="A0CFEB" w:themeColor="accent4"/>
          <w:right w:val="single" w:sz="8" w:space="0" w:color="A0CFEB" w:themeColor="accent4"/>
        </w:tcBorders>
      </w:tcPr>
    </w:tblStylePr>
    <w:tblStylePr w:type="band1Vert">
      <w:tblPr/>
      <w:tcPr>
        <w:tcBorders>
          <w:top w:val="single" w:sz="8" w:space="0" w:color="A0CFEB" w:themeColor="accent4"/>
          <w:left w:val="single" w:sz="8" w:space="0" w:color="A0CFEB" w:themeColor="accent4"/>
          <w:bottom w:val="single" w:sz="8" w:space="0" w:color="A0CFEB" w:themeColor="accent4"/>
          <w:right w:val="single" w:sz="8" w:space="0" w:color="A0CFEB" w:themeColor="accent4"/>
        </w:tcBorders>
        <w:shd w:val="clear" w:color="auto" w:fill="E7F3FA" w:themeFill="accent4" w:themeFillTint="3F"/>
      </w:tcPr>
    </w:tblStylePr>
    <w:tblStylePr w:type="band1Horz">
      <w:tblPr/>
      <w:tcPr>
        <w:tcBorders>
          <w:top w:val="single" w:sz="8" w:space="0" w:color="A0CFEB" w:themeColor="accent4"/>
          <w:left w:val="single" w:sz="8" w:space="0" w:color="A0CFEB" w:themeColor="accent4"/>
          <w:bottom w:val="single" w:sz="8" w:space="0" w:color="A0CFEB" w:themeColor="accent4"/>
          <w:right w:val="single" w:sz="8" w:space="0" w:color="A0CFEB" w:themeColor="accent4"/>
          <w:insideV w:val="single" w:sz="8" w:space="0" w:color="A0CFEB" w:themeColor="accent4"/>
        </w:tcBorders>
        <w:shd w:val="clear" w:color="auto" w:fill="E7F3FA" w:themeFill="accent4" w:themeFillTint="3F"/>
      </w:tcPr>
    </w:tblStylePr>
    <w:tblStylePr w:type="band2Horz">
      <w:tblPr/>
      <w:tcPr>
        <w:tcBorders>
          <w:top w:val="single" w:sz="8" w:space="0" w:color="A0CFEB" w:themeColor="accent4"/>
          <w:left w:val="single" w:sz="8" w:space="0" w:color="A0CFEB" w:themeColor="accent4"/>
          <w:bottom w:val="single" w:sz="8" w:space="0" w:color="A0CFEB" w:themeColor="accent4"/>
          <w:right w:val="single" w:sz="8" w:space="0" w:color="A0CFEB" w:themeColor="accent4"/>
          <w:insideV w:val="single" w:sz="8" w:space="0" w:color="A0CFEB" w:themeColor="accent4"/>
        </w:tcBorders>
      </w:tcPr>
    </w:tblStylePr>
  </w:style>
  <w:style w:type="table" w:customStyle="1" w:styleId="LightGrid-Accent51">
    <w:name w:val="Light Grid - Accent 51"/>
    <w:basedOn w:val="TableNormal"/>
    <w:next w:val="LightGrid-Accent5"/>
    <w:uiPriority w:val="62"/>
    <w:rsid w:val="00AB36D9"/>
    <w:pPr>
      <w:spacing w:before="0" w:after="200" w:line="276" w:lineRule="auto"/>
    </w:pPr>
    <w:rPr>
      <w:rFonts w:eastAsiaTheme="minorEastAsia"/>
    </w:rPr>
    <w:tblPr>
      <w:tblStyleRowBandSize w:val="1"/>
      <w:tblStyleColBandSize w:val="1"/>
      <w:tblBorders>
        <w:top w:val="single" w:sz="8" w:space="0" w:color="B71202" w:themeColor="accent5"/>
        <w:left w:val="single" w:sz="8" w:space="0" w:color="B71202" w:themeColor="accent5"/>
        <w:bottom w:val="single" w:sz="8" w:space="0" w:color="B71202" w:themeColor="accent5"/>
        <w:right w:val="single" w:sz="8" w:space="0" w:color="B71202" w:themeColor="accent5"/>
        <w:insideH w:val="single" w:sz="8" w:space="0" w:color="B71202" w:themeColor="accent5"/>
        <w:insideV w:val="single" w:sz="8" w:space="0" w:color="B7120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71202" w:themeColor="accent5"/>
          <w:left w:val="single" w:sz="8" w:space="0" w:color="B71202" w:themeColor="accent5"/>
          <w:bottom w:val="single" w:sz="18" w:space="0" w:color="B71202" w:themeColor="accent5"/>
          <w:right w:val="single" w:sz="8" w:space="0" w:color="B71202" w:themeColor="accent5"/>
          <w:insideH w:val="nil"/>
          <w:insideV w:val="single" w:sz="8" w:space="0" w:color="B7120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71202" w:themeColor="accent5"/>
          <w:left w:val="single" w:sz="8" w:space="0" w:color="B71202" w:themeColor="accent5"/>
          <w:bottom w:val="single" w:sz="8" w:space="0" w:color="B71202" w:themeColor="accent5"/>
          <w:right w:val="single" w:sz="8" w:space="0" w:color="B71202" w:themeColor="accent5"/>
          <w:insideH w:val="nil"/>
          <w:insideV w:val="single" w:sz="8" w:space="0" w:color="B7120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71202" w:themeColor="accent5"/>
          <w:left w:val="single" w:sz="8" w:space="0" w:color="B71202" w:themeColor="accent5"/>
          <w:bottom w:val="single" w:sz="8" w:space="0" w:color="B71202" w:themeColor="accent5"/>
          <w:right w:val="single" w:sz="8" w:space="0" w:color="B71202" w:themeColor="accent5"/>
        </w:tcBorders>
      </w:tcPr>
    </w:tblStylePr>
    <w:tblStylePr w:type="band1Vert">
      <w:tblPr/>
      <w:tcPr>
        <w:tcBorders>
          <w:top w:val="single" w:sz="8" w:space="0" w:color="B71202" w:themeColor="accent5"/>
          <w:left w:val="single" w:sz="8" w:space="0" w:color="B71202" w:themeColor="accent5"/>
          <w:bottom w:val="single" w:sz="8" w:space="0" w:color="B71202" w:themeColor="accent5"/>
          <w:right w:val="single" w:sz="8" w:space="0" w:color="B71202" w:themeColor="accent5"/>
        </w:tcBorders>
        <w:shd w:val="clear" w:color="auto" w:fill="FEB6AF" w:themeFill="accent5" w:themeFillTint="3F"/>
      </w:tcPr>
    </w:tblStylePr>
    <w:tblStylePr w:type="band1Horz">
      <w:tblPr/>
      <w:tcPr>
        <w:tcBorders>
          <w:top w:val="single" w:sz="8" w:space="0" w:color="B71202" w:themeColor="accent5"/>
          <w:left w:val="single" w:sz="8" w:space="0" w:color="B71202" w:themeColor="accent5"/>
          <w:bottom w:val="single" w:sz="8" w:space="0" w:color="B71202" w:themeColor="accent5"/>
          <w:right w:val="single" w:sz="8" w:space="0" w:color="B71202" w:themeColor="accent5"/>
          <w:insideV w:val="single" w:sz="8" w:space="0" w:color="B71202" w:themeColor="accent5"/>
        </w:tcBorders>
        <w:shd w:val="clear" w:color="auto" w:fill="FEB6AF" w:themeFill="accent5" w:themeFillTint="3F"/>
      </w:tcPr>
    </w:tblStylePr>
    <w:tblStylePr w:type="band2Horz">
      <w:tblPr/>
      <w:tcPr>
        <w:tcBorders>
          <w:top w:val="single" w:sz="8" w:space="0" w:color="B71202" w:themeColor="accent5"/>
          <w:left w:val="single" w:sz="8" w:space="0" w:color="B71202" w:themeColor="accent5"/>
          <w:bottom w:val="single" w:sz="8" w:space="0" w:color="B71202" w:themeColor="accent5"/>
          <w:right w:val="single" w:sz="8" w:space="0" w:color="B71202" w:themeColor="accent5"/>
          <w:insideV w:val="single" w:sz="8" w:space="0" w:color="B71202" w:themeColor="accent5"/>
        </w:tcBorders>
      </w:tcPr>
    </w:tblStylePr>
  </w:style>
  <w:style w:type="table" w:customStyle="1" w:styleId="ACCCTable31">
    <w:name w:val="ACCC Table 31"/>
    <w:basedOn w:val="TableNormal"/>
    <w:uiPriority w:val="99"/>
    <w:rsid w:val="00AB36D9"/>
    <w:pPr>
      <w:spacing w:before="0" w:after="200" w:line="276" w:lineRule="auto"/>
    </w:pPr>
    <w:rPr>
      <w:rFonts w:eastAsiaTheme="minorEastAsia"/>
      <w:sz w:val="20"/>
    </w:rPr>
    <w:tblPr>
      <w:tblBorders>
        <w:insideV w:val="single" w:sz="4" w:space="0" w:color="D5D6D2" w:themeColor="background2"/>
      </w:tblBorders>
    </w:tblPr>
    <w:tblStylePr w:type="firstRow">
      <w:rPr>
        <w:rFonts w:asciiTheme="minorHAnsi" w:hAnsiTheme="minorHAnsi"/>
        <w:b/>
        <w:sz w:val="20"/>
      </w:rPr>
    </w:tblStylePr>
    <w:tblStylePr w:type="lastRow">
      <w:rPr>
        <w:rFonts w:ascii="Arial" w:hAnsi="Arial"/>
        <w:b/>
        <w:sz w:val="20"/>
      </w:rPr>
    </w:tblStylePr>
    <w:tblStylePr w:type="firstCol">
      <w:rPr>
        <w:rFonts w:ascii="Arial" w:hAnsi="Arial"/>
        <w:b/>
        <w:sz w:val="20"/>
      </w:rPr>
    </w:tblStylePr>
  </w:style>
  <w:style w:type="character" w:styleId="CommentReference">
    <w:name w:val="annotation reference"/>
    <w:basedOn w:val="DefaultParagraphFont"/>
    <w:uiPriority w:val="99"/>
    <w:semiHidden/>
    <w:unhideWhenUsed/>
    <w:rsid w:val="00AB36D9"/>
    <w:rPr>
      <w:sz w:val="16"/>
      <w:szCs w:val="16"/>
    </w:rPr>
  </w:style>
  <w:style w:type="paragraph" w:styleId="CommentText">
    <w:name w:val="annotation text"/>
    <w:basedOn w:val="Normal"/>
    <w:link w:val="CommentTextChar"/>
    <w:uiPriority w:val="99"/>
    <w:unhideWhenUsed/>
    <w:rsid w:val="00AB36D9"/>
    <w:rPr>
      <w:sz w:val="20"/>
      <w:szCs w:val="20"/>
    </w:rPr>
  </w:style>
  <w:style w:type="character" w:customStyle="1" w:styleId="CommentTextChar">
    <w:name w:val="Comment Text Char"/>
    <w:basedOn w:val="DefaultParagraphFont"/>
    <w:link w:val="CommentText"/>
    <w:uiPriority w:val="99"/>
    <w:rsid w:val="00AB36D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AB36D9"/>
    <w:rPr>
      <w:b/>
      <w:bCs/>
    </w:rPr>
  </w:style>
  <w:style w:type="character" w:customStyle="1" w:styleId="CommentSubjectChar">
    <w:name w:val="Comment Subject Char"/>
    <w:basedOn w:val="CommentTextChar"/>
    <w:link w:val="CommentSubject"/>
    <w:uiPriority w:val="99"/>
    <w:semiHidden/>
    <w:rsid w:val="00AB36D9"/>
    <w:rPr>
      <w:rFonts w:ascii="Arial" w:hAnsi="Arial"/>
      <w:b/>
      <w:bCs/>
      <w:sz w:val="20"/>
      <w:szCs w:val="20"/>
    </w:rPr>
  </w:style>
  <w:style w:type="paragraph" w:styleId="IntenseQuote">
    <w:name w:val="Intense Quote"/>
    <w:basedOn w:val="Normal"/>
    <w:next w:val="Normal"/>
    <w:link w:val="IntenseQuoteChar"/>
    <w:uiPriority w:val="30"/>
    <w:qFormat/>
    <w:rsid w:val="00AB36D9"/>
    <w:pPr>
      <w:pBdr>
        <w:bottom w:val="single" w:sz="4" w:space="1" w:color="auto"/>
      </w:pBdr>
      <w:spacing w:after="280"/>
      <w:ind w:left="1008" w:right="1152"/>
      <w:jc w:val="both"/>
    </w:pPr>
    <w:rPr>
      <w:b/>
      <w:bCs/>
      <w:i/>
      <w:iCs/>
    </w:rPr>
  </w:style>
  <w:style w:type="character" w:customStyle="1" w:styleId="IntenseQuoteChar">
    <w:name w:val="Intense Quote Char"/>
    <w:basedOn w:val="DefaultParagraphFont"/>
    <w:link w:val="IntenseQuote"/>
    <w:uiPriority w:val="30"/>
    <w:rsid w:val="00AB36D9"/>
    <w:rPr>
      <w:rFonts w:ascii="Arial" w:hAnsi="Arial"/>
      <w:b/>
      <w:bCs/>
      <w:i/>
      <w:iCs/>
    </w:rPr>
  </w:style>
  <w:style w:type="character" w:styleId="SubtleEmphasis">
    <w:name w:val="Subtle Emphasis"/>
    <w:uiPriority w:val="19"/>
    <w:qFormat/>
    <w:rsid w:val="00AB36D9"/>
    <w:rPr>
      <w:i/>
      <w:iCs/>
    </w:rPr>
  </w:style>
  <w:style w:type="character" w:styleId="IntenseEmphasis">
    <w:name w:val="Intense Emphasis"/>
    <w:uiPriority w:val="21"/>
    <w:qFormat/>
    <w:rsid w:val="00AB36D9"/>
    <w:rPr>
      <w:b/>
      <w:bCs/>
    </w:rPr>
  </w:style>
  <w:style w:type="character" w:styleId="IntenseReference">
    <w:name w:val="Intense Reference"/>
    <w:uiPriority w:val="32"/>
    <w:qFormat/>
    <w:rsid w:val="00AB36D9"/>
    <w:rPr>
      <w:smallCaps/>
      <w:spacing w:val="5"/>
      <w:u w:val="single"/>
    </w:rPr>
  </w:style>
  <w:style w:type="paragraph" w:customStyle="1" w:styleId="Default">
    <w:name w:val="Default"/>
    <w:rsid w:val="00AB36D9"/>
    <w:pPr>
      <w:autoSpaceDE w:val="0"/>
      <w:autoSpaceDN w:val="0"/>
      <w:adjustRightInd w:val="0"/>
      <w:spacing w:before="0"/>
    </w:pPr>
    <w:rPr>
      <w:rFonts w:ascii="Arial" w:eastAsiaTheme="minorEastAsia" w:hAnsi="Arial" w:cs="Arial"/>
      <w:color w:val="000000"/>
      <w:sz w:val="24"/>
      <w:szCs w:val="24"/>
    </w:rPr>
  </w:style>
  <w:style w:type="character" w:styleId="FollowedHyperlink">
    <w:name w:val="FollowedHyperlink"/>
    <w:basedOn w:val="DefaultParagraphFont"/>
    <w:uiPriority w:val="99"/>
    <w:semiHidden/>
    <w:unhideWhenUsed/>
    <w:rsid w:val="001D5183"/>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before="20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2" w:qFormat="1"/>
    <w:lsdException w:name="heading 6" w:uiPriority="2" w:qFormat="1"/>
    <w:lsdException w:name="heading 7" w:uiPriority="2" w:qFormat="1"/>
    <w:lsdException w:name="heading 8" w:uiPriority="2" w:qFormat="1"/>
    <w:lsdException w:name="heading 9" w:uiPriority="2" w:qFormat="1"/>
    <w:lsdException w:name="toc 1" w:semiHidden="0" w:uiPriority="39" w:unhideWhenUsed="0" w:qFormat="1"/>
    <w:lsdException w:name="toc 2" w:semiHidden="0" w:uiPriority="39" w:unhideWhenUsed="0" w:qFormat="1"/>
    <w:lsdException w:name="toc 3" w:semiHidden="0" w:uiPriority="39" w:unhideWhenUsed="0" w:qFormat="1"/>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semiHidden="0" w:uiPriority="1" w:unhideWhenUsed="0"/>
    <w:lsdException w:name="footnote text" w:uiPriority="2"/>
    <w:lsdException w:name="header" w:qFormat="1"/>
    <w:lsdException w:name="foot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5A70"/>
    <w:rPr>
      <w:rFonts w:ascii="Arial" w:hAnsi="Arial"/>
    </w:rPr>
  </w:style>
  <w:style w:type="paragraph" w:styleId="Heading1">
    <w:name w:val="heading 1"/>
    <w:basedOn w:val="Normal"/>
    <w:next w:val="Normal"/>
    <w:link w:val="Heading1Char"/>
    <w:qFormat/>
    <w:rsid w:val="009D6B46"/>
    <w:pPr>
      <w:spacing w:before="240"/>
      <w:outlineLvl w:val="0"/>
    </w:pPr>
    <w:rPr>
      <w:rFonts w:ascii="Lucida Fax" w:eastAsiaTheme="majorEastAsia" w:hAnsi="Lucida Fax" w:cstheme="majorBidi"/>
      <w:bCs/>
      <w:color w:val="51626F"/>
      <w:sz w:val="32"/>
      <w:szCs w:val="28"/>
    </w:rPr>
  </w:style>
  <w:style w:type="paragraph" w:styleId="Heading2">
    <w:name w:val="heading 2"/>
    <w:next w:val="Normal"/>
    <w:link w:val="Heading2Char"/>
    <w:qFormat/>
    <w:rsid w:val="009D6B46"/>
    <w:pPr>
      <w:spacing w:line="240" w:lineRule="atLeast"/>
      <w:outlineLvl w:val="1"/>
    </w:pPr>
    <w:rPr>
      <w:rFonts w:ascii="Arial" w:eastAsiaTheme="majorEastAsia" w:hAnsi="Arial" w:cstheme="majorBidi"/>
      <w:b/>
      <w:bCs/>
      <w:color w:val="51626F"/>
      <w:sz w:val="28"/>
      <w:szCs w:val="26"/>
    </w:rPr>
  </w:style>
  <w:style w:type="paragraph" w:styleId="Heading3">
    <w:name w:val="heading 3"/>
    <w:basedOn w:val="Normal"/>
    <w:next w:val="Normal"/>
    <w:link w:val="Heading3Char"/>
    <w:qFormat/>
    <w:rsid w:val="009D6B46"/>
    <w:pPr>
      <w:spacing w:before="240"/>
      <w:outlineLvl w:val="2"/>
    </w:pPr>
    <w:rPr>
      <w:rFonts w:eastAsiaTheme="majorEastAsia" w:cstheme="majorBidi"/>
      <w:b/>
      <w:bCs/>
      <w:color w:val="000000" w:themeColor="text1" w:themeShade="BF"/>
      <w:sz w:val="24"/>
    </w:rPr>
  </w:style>
  <w:style w:type="paragraph" w:styleId="Heading4">
    <w:name w:val="heading 4"/>
    <w:basedOn w:val="Normal"/>
    <w:next w:val="Normal"/>
    <w:link w:val="Heading4Char"/>
    <w:qFormat/>
    <w:rsid w:val="009D6B46"/>
    <w:pPr>
      <w:spacing w:before="240"/>
      <w:outlineLvl w:val="3"/>
    </w:pPr>
    <w:rPr>
      <w:rFonts w:eastAsiaTheme="majorEastAsia" w:cstheme="majorBidi"/>
      <w:b/>
      <w:bCs/>
      <w:i/>
      <w:iCs/>
      <w:color w:val="51626F"/>
      <w:sz w:val="24"/>
    </w:rPr>
  </w:style>
  <w:style w:type="paragraph" w:styleId="Heading5">
    <w:name w:val="heading 5"/>
    <w:next w:val="Normal"/>
    <w:link w:val="Heading5Char"/>
    <w:uiPriority w:val="2"/>
    <w:qFormat/>
    <w:rsid w:val="009D6B46"/>
    <w:pPr>
      <w:spacing w:line="240" w:lineRule="atLeast"/>
      <w:outlineLvl w:val="4"/>
    </w:pPr>
    <w:rPr>
      <w:rFonts w:ascii="Arial" w:eastAsiaTheme="majorEastAsia" w:hAnsi="Arial" w:cstheme="majorBidi"/>
      <w:b/>
      <w:color w:val="283037" w:themeColor="accent1" w:themeShade="7F"/>
    </w:rPr>
  </w:style>
  <w:style w:type="paragraph" w:styleId="Heading6">
    <w:name w:val="heading 6"/>
    <w:basedOn w:val="Normal"/>
    <w:next w:val="Normal"/>
    <w:link w:val="Heading6Char"/>
    <w:uiPriority w:val="2"/>
    <w:qFormat/>
    <w:rsid w:val="009D6B46"/>
    <w:pPr>
      <w:spacing w:before="240"/>
      <w:outlineLvl w:val="5"/>
    </w:pPr>
    <w:rPr>
      <w:rFonts w:eastAsiaTheme="majorEastAsia" w:cstheme="majorBidi"/>
      <w:b/>
      <w:i/>
      <w:iCs/>
    </w:rPr>
  </w:style>
  <w:style w:type="paragraph" w:styleId="Heading7">
    <w:name w:val="heading 7"/>
    <w:basedOn w:val="Normal"/>
    <w:next w:val="Normal"/>
    <w:link w:val="Heading7Char"/>
    <w:uiPriority w:val="2"/>
    <w:qFormat/>
    <w:rsid w:val="009D6B46"/>
    <w:pPr>
      <w:spacing w:before="240"/>
      <w:outlineLvl w:val="6"/>
    </w:pPr>
    <w:rPr>
      <w:rFonts w:eastAsiaTheme="majorEastAsia" w:cstheme="majorBidi"/>
      <w:i/>
      <w:iCs/>
      <w:color w:val="404040" w:themeColor="text1" w:themeTint="BF"/>
    </w:rPr>
  </w:style>
  <w:style w:type="paragraph" w:styleId="Heading8">
    <w:name w:val="heading 8"/>
    <w:basedOn w:val="Normal"/>
    <w:next w:val="Normal"/>
    <w:link w:val="Heading8Char"/>
    <w:uiPriority w:val="2"/>
    <w:qFormat/>
    <w:rsid w:val="009D6B46"/>
    <w:pPr>
      <w:spacing w:before="240"/>
      <w:outlineLvl w:val="7"/>
    </w:pPr>
    <w:rPr>
      <w:rFonts w:eastAsiaTheme="majorEastAsia" w:cstheme="majorBidi"/>
      <w:color w:val="51626F" w:themeColor="accent1"/>
      <w:szCs w:val="20"/>
    </w:rPr>
  </w:style>
  <w:style w:type="paragraph" w:styleId="Heading9">
    <w:name w:val="heading 9"/>
    <w:aliases w:val="Numbered Table"/>
    <w:basedOn w:val="Normal"/>
    <w:next w:val="Normal"/>
    <w:link w:val="Heading9Char"/>
    <w:uiPriority w:val="2"/>
    <w:qFormat/>
    <w:rsid w:val="00646025"/>
    <w:pPr>
      <w:numPr>
        <w:numId w:val="27"/>
      </w:numPr>
      <w:tabs>
        <w:tab w:val="left" w:pos="340"/>
      </w:tabs>
      <w:spacing w:before="240" w:after="120"/>
      <w:outlineLvl w:val="8"/>
    </w:pPr>
    <w:rPr>
      <w:rFonts w:eastAsiaTheme="majorEastAsia" w:cstheme="majorBidi"/>
      <w:b/>
      <w:iCs/>
      <w:color w:val="000000" w:themeColor="text1"/>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D6B46"/>
    <w:rPr>
      <w:rFonts w:ascii="Lucida Fax" w:eastAsiaTheme="majorEastAsia" w:hAnsi="Lucida Fax" w:cstheme="majorBidi"/>
      <w:bCs/>
      <w:color w:val="51626F"/>
      <w:sz w:val="32"/>
      <w:szCs w:val="28"/>
    </w:rPr>
  </w:style>
  <w:style w:type="character" w:customStyle="1" w:styleId="Heading2Char">
    <w:name w:val="Heading 2 Char"/>
    <w:basedOn w:val="DefaultParagraphFont"/>
    <w:link w:val="Heading2"/>
    <w:rsid w:val="009D6B46"/>
    <w:rPr>
      <w:rFonts w:ascii="Arial" w:eastAsiaTheme="majorEastAsia" w:hAnsi="Arial" w:cstheme="majorBidi"/>
      <w:b/>
      <w:bCs/>
      <w:color w:val="51626F"/>
      <w:sz w:val="28"/>
      <w:szCs w:val="26"/>
    </w:rPr>
  </w:style>
  <w:style w:type="character" w:customStyle="1" w:styleId="Heading3Char">
    <w:name w:val="Heading 3 Char"/>
    <w:basedOn w:val="DefaultParagraphFont"/>
    <w:link w:val="Heading3"/>
    <w:rsid w:val="009D6B46"/>
    <w:rPr>
      <w:rFonts w:ascii="Arial" w:eastAsiaTheme="majorEastAsia" w:hAnsi="Arial" w:cstheme="majorBidi"/>
      <w:b/>
      <w:bCs/>
      <w:color w:val="000000" w:themeColor="text1" w:themeShade="BF"/>
      <w:sz w:val="24"/>
    </w:rPr>
  </w:style>
  <w:style w:type="character" w:customStyle="1" w:styleId="Heading4Char">
    <w:name w:val="Heading 4 Char"/>
    <w:basedOn w:val="DefaultParagraphFont"/>
    <w:link w:val="Heading4"/>
    <w:rsid w:val="009D6B46"/>
    <w:rPr>
      <w:rFonts w:ascii="Arial" w:eastAsiaTheme="majorEastAsia" w:hAnsi="Arial" w:cstheme="majorBidi"/>
      <w:b/>
      <w:bCs/>
      <w:i/>
      <w:iCs/>
      <w:color w:val="51626F"/>
      <w:sz w:val="24"/>
    </w:rPr>
  </w:style>
  <w:style w:type="character" w:customStyle="1" w:styleId="Heading5Char">
    <w:name w:val="Heading 5 Char"/>
    <w:basedOn w:val="DefaultParagraphFont"/>
    <w:link w:val="Heading5"/>
    <w:uiPriority w:val="2"/>
    <w:rsid w:val="009D6B46"/>
    <w:rPr>
      <w:rFonts w:ascii="Arial" w:eastAsiaTheme="majorEastAsia" w:hAnsi="Arial" w:cstheme="majorBidi"/>
      <w:b/>
      <w:color w:val="283037" w:themeColor="accent1" w:themeShade="7F"/>
    </w:rPr>
  </w:style>
  <w:style w:type="character" w:customStyle="1" w:styleId="Heading6Char">
    <w:name w:val="Heading 6 Char"/>
    <w:basedOn w:val="DefaultParagraphFont"/>
    <w:link w:val="Heading6"/>
    <w:uiPriority w:val="2"/>
    <w:rsid w:val="009D6B46"/>
    <w:rPr>
      <w:rFonts w:ascii="Arial" w:eastAsiaTheme="majorEastAsia" w:hAnsi="Arial" w:cstheme="majorBidi"/>
      <w:b/>
      <w:i/>
      <w:iCs/>
    </w:rPr>
  </w:style>
  <w:style w:type="paragraph" w:customStyle="1" w:styleId="Chaptertitle">
    <w:name w:val="Chapter title"/>
    <w:basedOn w:val="Normal"/>
    <w:link w:val="ChaptertitleChar"/>
    <w:rsid w:val="0088007E"/>
    <w:pPr>
      <w:spacing w:before="520" w:after="120"/>
    </w:pPr>
    <w:rPr>
      <w:rFonts w:ascii="Lucida Fax" w:hAnsi="Lucida Fax"/>
      <w:color w:val="4F2D7F"/>
      <w:sz w:val="52"/>
      <w:szCs w:val="52"/>
    </w:rPr>
  </w:style>
  <w:style w:type="character" w:customStyle="1" w:styleId="ChaptertitleChar">
    <w:name w:val="Chapter title Char"/>
    <w:basedOn w:val="DefaultParagraphFont"/>
    <w:link w:val="Chaptertitle"/>
    <w:rsid w:val="0088007E"/>
    <w:rPr>
      <w:rFonts w:ascii="Lucida Fax" w:hAnsi="Lucida Fax"/>
      <w:color w:val="4F2D7F"/>
      <w:sz w:val="52"/>
      <w:szCs w:val="52"/>
    </w:rPr>
  </w:style>
  <w:style w:type="paragraph" w:customStyle="1" w:styleId="Tabletext">
    <w:name w:val="Table text"/>
    <w:basedOn w:val="Normal"/>
    <w:link w:val="TabletextChar"/>
    <w:uiPriority w:val="1"/>
    <w:qFormat/>
    <w:rsid w:val="00584D8F"/>
    <w:pPr>
      <w:spacing w:before="120" w:after="60"/>
    </w:pPr>
    <w:rPr>
      <w:sz w:val="20"/>
    </w:rPr>
  </w:style>
  <w:style w:type="paragraph" w:customStyle="1" w:styleId="Copyrighttext">
    <w:name w:val="Copyright text"/>
    <w:basedOn w:val="Normal"/>
    <w:link w:val="CopyrighttextChar"/>
    <w:uiPriority w:val="2"/>
    <w:qFormat/>
    <w:rsid w:val="00F952A0"/>
    <w:pPr>
      <w:spacing w:line="360" w:lineRule="auto"/>
      <w:contextualSpacing/>
    </w:pPr>
    <w:rPr>
      <w:color w:val="51626F" w:themeColor="accent1"/>
      <w:sz w:val="16"/>
      <w:szCs w:val="16"/>
    </w:rPr>
  </w:style>
  <w:style w:type="character" w:customStyle="1" w:styleId="CopyrighttextChar">
    <w:name w:val="Copyright text Char"/>
    <w:basedOn w:val="DefaultParagraphFont"/>
    <w:link w:val="Copyrighttext"/>
    <w:uiPriority w:val="2"/>
    <w:rsid w:val="00724A37"/>
    <w:rPr>
      <w:rFonts w:ascii="Arial" w:hAnsi="Arial"/>
      <w:color w:val="51626F" w:themeColor="accent1"/>
      <w:sz w:val="16"/>
      <w:szCs w:val="16"/>
    </w:rPr>
  </w:style>
  <w:style w:type="paragraph" w:styleId="TOC8">
    <w:name w:val="toc 8"/>
    <w:basedOn w:val="Normal"/>
    <w:next w:val="Normal"/>
    <w:uiPriority w:val="39"/>
    <w:rsid w:val="009F4940"/>
    <w:pPr>
      <w:tabs>
        <w:tab w:val="right" w:leader="dot" w:pos="9016"/>
      </w:tabs>
      <w:spacing w:after="100"/>
      <w:ind w:left="2977"/>
    </w:pPr>
    <w:rPr>
      <w:noProof/>
    </w:rPr>
  </w:style>
  <w:style w:type="paragraph" w:styleId="TOC9">
    <w:name w:val="toc 9"/>
    <w:basedOn w:val="Normal"/>
    <w:next w:val="Normal"/>
    <w:uiPriority w:val="39"/>
    <w:rsid w:val="009F4940"/>
    <w:pPr>
      <w:tabs>
        <w:tab w:val="right" w:leader="dot" w:pos="9016"/>
      </w:tabs>
      <w:spacing w:after="100"/>
      <w:ind w:left="3402"/>
    </w:pPr>
    <w:rPr>
      <w:noProof/>
    </w:rPr>
  </w:style>
  <w:style w:type="paragraph" w:customStyle="1" w:styleId="Numbered1">
    <w:name w:val="Numbered 1"/>
    <w:basedOn w:val="Heading1"/>
    <w:next w:val="Normal"/>
    <w:link w:val="Numbered1Char"/>
    <w:qFormat/>
    <w:rsid w:val="00F61B84"/>
    <w:pPr>
      <w:numPr>
        <w:numId w:val="12"/>
      </w:numPr>
      <w:tabs>
        <w:tab w:val="left" w:pos="680"/>
      </w:tabs>
      <w:ind w:left="680" w:hanging="680"/>
    </w:pPr>
  </w:style>
  <w:style w:type="paragraph" w:customStyle="1" w:styleId="Numbered11">
    <w:name w:val="Numbered 1.1"/>
    <w:basedOn w:val="Heading2"/>
    <w:next w:val="Normal"/>
    <w:qFormat/>
    <w:rsid w:val="00F61B84"/>
    <w:pPr>
      <w:numPr>
        <w:ilvl w:val="1"/>
        <w:numId w:val="12"/>
      </w:numPr>
      <w:tabs>
        <w:tab w:val="left" w:pos="1021"/>
      </w:tabs>
      <w:ind w:left="1021" w:hanging="1021"/>
    </w:pPr>
    <w:rPr>
      <w:rFonts w:cs="Arial"/>
      <w:b w:val="0"/>
    </w:rPr>
  </w:style>
  <w:style w:type="paragraph" w:customStyle="1" w:styleId="Numbered111">
    <w:name w:val="Numbered 1.1.1"/>
    <w:basedOn w:val="Heading3"/>
    <w:next w:val="Normal"/>
    <w:qFormat/>
    <w:rsid w:val="00F61B84"/>
    <w:pPr>
      <w:numPr>
        <w:ilvl w:val="2"/>
        <w:numId w:val="12"/>
      </w:numPr>
      <w:tabs>
        <w:tab w:val="left" w:pos="1361"/>
      </w:tabs>
      <w:ind w:left="1361" w:hanging="1361"/>
      <w:contextualSpacing/>
    </w:pPr>
  </w:style>
  <w:style w:type="paragraph" w:customStyle="1" w:styleId="Numbered1111">
    <w:name w:val="Numbered 1.1.1.1"/>
    <w:basedOn w:val="Heading4"/>
    <w:next w:val="Normal"/>
    <w:rsid w:val="00F61B84"/>
    <w:pPr>
      <w:numPr>
        <w:ilvl w:val="3"/>
        <w:numId w:val="12"/>
      </w:numPr>
      <w:tabs>
        <w:tab w:val="left" w:pos="1361"/>
      </w:tabs>
      <w:ind w:left="1361" w:hanging="1361"/>
    </w:pPr>
  </w:style>
  <w:style w:type="paragraph" w:customStyle="1" w:styleId="Numbered11111">
    <w:name w:val="Numbered 1.1.1.1.1"/>
    <w:basedOn w:val="Heading5"/>
    <w:next w:val="Normal"/>
    <w:uiPriority w:val="2"/>
    <w:rsid w:val="00F61B84"/>
    <w:pPr>
      <w:numPr>
        <w:ilvl w:val="4"/>
        <w:numId w:val="12"/>
      </w:numPr>
      <w:tabs>
        <w:tab w:val="left" w:pos="1701"/>
      </w:tabs>
      <w:ind w:left="1701" w:hanging="1701"/>
    </w:pPr>
  </w:style>
  <w:style w:type="paragraph" w:customStyle="1" w:styleId="Numbered111111">
    <w:name w:val="Numbered 1.1.1.1.1.1"/>
    <w:basedOn w:val="Heading6"/>
    <w:next w:val="Normal"/>
    <w:uiPriority w:val="2"/>
    <w:rsid w:val="00F61B84"/>
    <w:pPr>
      <w:numPr>
        <w:ilvl w:val="5"/>
        <w:numId w:val="12"/>
      </w:numPr>
      <w:tabs>
        <w:tab w:val="left" w:pos="1701"/>
      </w:tabs>
      <w:ind w:left="1701" w:hanging="1701"/>
    </w:pPr>
  </w:style>
  <w:style w:type="paragraph" w:styleId="Header">
    <w:name w:val="header"/>
    <w:basedOn w:val="Normal"/>
    <w:link w:val="HeaderChar"/>
    <w:uiPriority w:val="99"/>
    <w:unhideWhenUsed/>
    <w:qFormat/>
    <w:rsid w:val="008344F6"/>
    <w:pPr>
      <w:tabs>
        <w:tab w:val="center" w:pos="4513"/>
        <w:tab w:val="right" w:pos="9026"/>
      </w:tabs>
      <w:spacing w:after="120"/>
    </w:pPr>
    <w:rPr>
      <w:color w:val="51626F" w:themeColor="accent1"/>
      <w:sz w:val="18"/>
    </w:rPr>
  </w:style>
  <w:style w:type="character" w:customStyle="1" w:styleId="HeaderChar">
    <w:name w:val="Header Char"/>
    <w:basedOn w:val="DefaultParagraphFont"/>
    <w:link w:val="Header"/>
    <w:uiPriority w:val="99"/>
    <w:rsid w:val="008344F6"/>
    <w:rPr>
      <w:rFonts w:ascii="Arial" w:hAnsi="Arial"/>
      <w:color w:val="51626F" w:themeColor="accent1"/>
      <w:sz w:val="18"/>
    </w:rPr>
  </w:style>
  <w:style w:type="paragraph" w:styleId="NoSpacing">
    <w:name w:val="No Spacing"/>
    <w:uiPriority w:val="1"/>
    <w:qFormat/>
    <w:rsid w:val="00724A37"/>
    <w:pPr>
      <w:spacing w:before="0"/>
    </w:pPr>
    <w:rPr>
      <w:rFonts w:ascii="Arial" w:hAnsi="Arial"/>
    </w:rPr>
  </w:style>
  <w:style w:type="paragraph" w:customStyle="1" w:styleId="Tabletitle">
    <w:name w:val="Table title"/>
    <w:basedOn w:val="Normal"/>
    <w:link w:val="TabletitleChar"/>
    <w:qFormat/>
    <w:rsid w:val="000A14D7"/>
    <w:pPr>
      <w:keepNext/>
      <w:spacing w:before="240" w:after="120"/>
    </w:pPr>
    <w:rPr>
      <w:b/>
      <w:szCs w:val="20"/>
    </w:rPr>
  </w:style>
  <w:style w:type="character" w:customStyle="1" w:styleId="TabletitleChar">
    <w:name w:val="Table title Char"/>
    <w:basedOn w:val="DefaultParagraphFont"/>
    <w:link w:val="Tabletitle"/>
    <w:rsid w:val="000A14D7"/>
    <w:rPr>
      <w:rFonts w:ascii="Arial" w:hAnsi="Arial"/>
      <w:b/>
      <w:szCs w:val="20"/>
    </w:rPr>
  </w:style>
  <w:style w:type="paragraph" w:customStyle="1" w:styleId="Charttitle">
    <w:name w:val="Chart title"/>
    <w:basedOn w:val="Tabletitle"/>
    <w:rsid w:val="005C26CC"/>
    <w:rPr>
      <w:sz w:val="24"/>
    </w:rPr>
  </w:style>
  <w:style w:type="paragraph" w:styleId="EndnoteText">
    <w:name w:val="endnote text"/>
    <w:basedOn w:val="Normal"/>
    <w:link w:val="EndnoteTextChar"/>
    <w:uiPriority w:val="99"/>
    <w:rsid w:val="00263AC0"/>
    <w:pPr>
      <w:spacing w:before="0"/>
    </w:pPr>
    <w:rPr>
      <w:sz w:val="20"/>
      <w:szCs w:val="20"/>
    </w:rPr>
  </w:style>
  <w:style w:type="paragraph" w:customStyle="1" w:styleId="Boxedtext">
    <w:name w:val="Boxed text"/>
    <w:basedOn w:val="Normal"/>
    <w:link w:val="BoxedtextChar"/>
    <w:uiPriority w:val="1"/>
    <w:rsid w:val="00180157"/>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hd w:val="clear" w:color="auto" w:fill="F2F2F2" w:themeFill="background1" w:themeFillShade="F2"/>
      <w:spacing w:after="240"/>
    </w:pPr>
    <w:rPr>
      <w:szCs w:val="20"/>
    </w:rPr>
  </w:style>
  <w:style w:type="character" w:customStyle="1" w:styleId="BoxedtextChar">
    <w:name w:val="Boxed text Char"/>
    <w:basedOn w:val="DefaultParagraphFont"/>
    <w:link w:val="Boxedtext"/>
    <w:uiPriority w:val="1"/>
    <w:rsid w:val="00AE1BF1"/>
    <w:rPr>
      <w:rFonts w:ascii="Arial" w:hAnsi="Arial"/>
      <w:szCs w:val="20"/>
      <w:shd w:val="clear" w:color="auto" w:fill="F2F2F2" w:themeFill="background1" w:themeFillShade="F2"/>
    </w:rPr>
  </w:style>
  <w:style w:type="paragraph" w:customStyle="1" w:styleId="Pullquoteheading">
    <w:name w:val="Pull quote heading"/>
    <w:basedOn w:val="Normal"/>
    <w:link w:val="PullquoteheadingChar"/>
    <w:uiPriority w:val="1"/>
    <w:rsid w:val="00EA3D42"/>
    <w:pPr>
      <w:spacing w:after="120"/>
      <w:contextualSpacing/>
    </w:pPr>
    <w:rPr>
      <w:rFonts w:ascii="Lucida Fax" w:hAnsi="Lucida Fax"/>
      <w:b/>
      <w:color w:val="DC5034"/>
      <w:sz w:val="24"/>
      <w:szCs w:val="24"/>
    </w:rPr>
  </w:style>
  <w:style w:type="character" w:customStyle="1" w:styleId="PullquoteheadingChar">
    <w:name w:val="Pull quote heading Char"/>
    <w:basedOn w:val="DefaultParagraphFont"/>
    <w:link w:val="Pullquoteheading"/>
    <w:uiPriority w:val="1"/>
    <w:rsid w:val="00AE1BF1"/>
    <w:rPr>
      <w:rFonts w:ascii="Lucida Fax" w:hAnsi="Lucida Fax"/>
      <w:b/>
      <w:color w:val="DC5034"/>
      <w:sz w:val="24"/>
      <w:szCs w:val="24"/>
    </w:rPr>
  </w:style>
  <w:style w:type="paragraph" w:customStyle="1" w:styleId="Pullquotetext">
    <w:name w:val="Pull quote text"/>
    <w:link w:val="PullquotetextChar"/>
    <w:uiPriority w:val="1"/>
    <w:rsid w:val="00AF0DD2"/>
    <w:pPr>
      <w:spacing w:before="120"/>
    </w:pPr>
    <w:rPr>
      <w:rFonts w:ascii="Lucida Fax" w:hAnsi="Lucida Fax"/>
      <w:color w:val="DC5034"/>
      <w:szCs w:val="24"/>
    </w:rPr>
  </w:style>
  <w:style w:type="character" w:customStyle="1" w:styleId="PullquotetextChar">
    <w:name w:val="Pull quote text Char"/>
    <w:basedOn w:val="PullquoteheadingChar"/>
    <w:link w:val="Pullquotetext"/>
    <w:uiPriority w:val="1"/>
    <w:rsid w:val="00AE1BF1"/>
    <w:rPr>
      <w:rFonts w:ascii="Lucida Fax" w:hAnsi="Lucida Fax"/>
      <w:b w:val="0"/>
      <w:color w:val="DC5034"/>
      <w:sz w:val="24"/>
      <w:szCs w:val="24"/>
    </w:rPr>
  </w:style>
  <w:style w:type="paragraph" w:customStyle="1" w:styleId="Note">
    <w:name w:val="Note"/>
    <w:basedOn w:val="Normal"/>
    <w:link w:val="NoteChar"/>
    <w:rsid w:val="00085663"/>
    <w:pPr>
      <w:spacing w:after="120"/>
    </w:pPr>
    <w:rPr>
      <w:i/>
      <w:sz w:val="16"/>
      <w:szCs w:val="16"/>
    </w:rPr>
  </w:style>
  <w:style w:type="character" w:customStyle="1" w:styleId="NoteChar">
    <w:name w:val="Note Char"/>
    <w:basedOn w:val="DefaultParagraphFont"/>
    <w:link w:val="Note"/>
    <w:rsid w:val="00085663"/>
    <w:rPr>
      <w:rFonts w:ascii="Arial" w:hAnsi="Arial"/>
      <w:i/>
      <w:sz w:val="16"/>
      <w:szCs w:val="16"/>
    </w:rPr>
  </w:style>
  <w:style w:type="paragraph" w:customStyle="1" w:styleId="Source">
    <w:name w:val="Source"/>
    <w:basedOn w:val="Normal"/>
    <w:link w:val="SourceChar"/>
    <w:rsid w:val="00085663"/>
    <w:pPr>
      <w:spacing w:after="60"/>
    </w:pPr>
    <w:rPr>
      <w:sz w:val="16"/>
      <w:szCs w:val="16"/>
    </w:rPr>
  </w:style>
  <w:style w:type="character" w:customStyle="1" w:styleId="SourceChar">
    <w:name w:val="Source Char"/>
    <w:basedOn w:val="DefaultParagraphFont"/>
    <w:link w:val="Source"/>
    <w:rsid w:val="00085663"/>
    <w:rPr>
      <w:rFonts w:ascii="Arial" w:hAnsi="Arial"/>
      <w:sz w:val="16"/>
      <w:szCs w:val="16"/>
    </w:rPr>
  </w:style>
  <w:style w:type="paragraph" w:customStyle="1" w:styleId="Footnotes">
    <w:name w:val="Footnotes"/>
    <w:basedOn w:val="FootnoteText"/>
    <w:link w:val="FootnotesChar"/>
    <w:uiPriority w:val="4"/>
    <w:semiHidden/>
    <w:qFormat/>
    <w:rsid w:val="00B8080B"/>
  </w:style>
  <w:style w:type="character" w:customStyle="1" w:styleId="FootnotesChar">
    <w:name w:val="Footnotes Char"/>
    <w:basedOn w:val="DefaultParagraphFont"/>
    <w:link w:val="Footnotes"/>
    <w:uiPriority w:val="4"/>
    <w:semiHidden/>
    <w:rsid w:val="00FE39C2"/>
    <w:rPr>
      <w:rFonts w:ascii="Arial" w:hAnsi="Arial"/>
      <w:sz w:val="20"/>
      <w:szCs w:val="20"/>
    </w:rPr>
  </w:style>
  <w:style w:type="paragraph" w:styleId="Quote">
    <w:name w:val="Quote"/>
    <w:basedOn w:val="Normal"/>
    <w:next w:val="Normal"/>
    <w:link w:val="QuoteChar"/>
    <w:uiPriority w:val="29"/>
    <w:qFormat/>
    <w:rsid w:val="001D055E"/>
    <w:pPr>
      <w:ind w:left="737"/>
    </w:pPr>
    <w:rPr>
      <w:i/>
      <w:iCs/>
      <w:color w:val="000000" w:themeColor="text1"/>
    </w:rPr>
  </w:style>
  <w:style w:type="character" w:customStyle="1" w:styleId="QuoteChar">
    <w:name w:val="Quote Char"/>
    <w:basedOn w:val="DefaultParagraphFont"/>
    <w:link w:val="Quote"/>
    <w:uiPriority w:val="29"/>
    <w:rsid w:val="001D055E"/>
    <w:rPr>
      <w:rFonts w:ascii="Arial" w:hAnsi="Arial"/>
      <w:i/>
      <w:iCs/>
      <w:color w:val="000000" w:themeColor="text1"/>
    </w:rPr>
  </w:style>
  <w:style w:type="paragraph" w:customStyle="1" w:styleId="Bulletpoint">
    <w:name w:val="Bullet point"/>
    <w:basedOn w:val="ListBullet"/>
    <w:qFormat/>
    <w:rsid w:val="00E4674F"/>
    <w:pPr>
      <w:numPr>
        <w:numId w:val="2"/>
      </w:numPr>
    </w:pPr>
    <w:rPr>
      <w:rFonts w:cs="Times New Roman"/>
    </w:rPr>
  </w:style>
  <w:style w:type="paragraph" w:styleId="ListBullet">
    <w:name w:val="List Bullet"/>
    <w:basedOn w:val="Normal"/>
    <w:uiPriority w:val="99"/>
    <w:rsid w:val="00DC542F"/>
    <w:pPr>
      <w:numPr>
        <w:numId w:val="10"/>
      </w:numPr>
      <w:tabs>
        <w:tab w:val="left" w:pos="340"/>
      </w:tabs>
      <w:spacing w:before="120"/>
      <w:ind w:left="340" w:hanging="340"/>
    </w:pPr>
  </w:style>
  <w:style w:type="paragraph" w:customStyle="1" w:styleId="Bulletpoint2">
    <w:name w:val="Bullet point 2"/>
    <w:basedOn w:val="ListBullet2"/>
    <w:uiPriority w:val="1"/>
    <w:qFormat/>
    <w:rsid w:val="00E4674F"/>
    <w:pPr>
      <w:numPr>
        <w:numId w:val="9"/>
      </w:numPr>
      <w:tabs>
        <w:tab w:val="left" w:pos="680"/>
      </w:tabs>
      <w:ind w:left="680" w:hanging="340"/>
    </w:pPr>
  </w:style>
  <w:style w:type="paragraph" w:styleId="ListNumber">
    <w:name w:val="List Number"/>
    <w:basedOn w:val="Normal"/>
    <w:uiPriority w:val="99"/>
    <w:rsid w:val="000F2368"/>
    <w:pPr>
      <w:numPr>
        <w:numId w:val="23"/>
      </w:numPr>
      <w:spacing w:before="120"/>
    </w:pPr>
    <w:rPr>
      <w:color w:val="000000" w:themeColor="text1" w:themeShade="BF"/>
    </w:rPr>
  </w:style>
  <w:style w:type="paragraph" w:styleId="ListBullet2">
    <w:name w:val="List Bullet 2"/>
    <w:basedOn w:val="Normal"/>
    <w:uiPriority w:val="99"/>
    <w:rsid w:val="00DC542F"/>
    <w:pPr>
      <w:numPr>
        <w:numId w:val="3"/>
      </w:numPr>
      <w:tabs>
        <w:tab w:val="clear" w:pos="643"/>
        <w:tab w:val="num" w:pos="680"/>
      </w:tabs>
      <w:spacing w:before="120"/>
      <w:ind w:left="680" w:hanging="340"/>
    </w:pPr>
  </w:style>
  <w:style w:type="paragraph" w:styleId="TOCHeading">
    <w:name w:val="TOC Heading"/>
    <w:aliases w:val="NCC TOC Heading"/>
    <w:basedOn w:val="Normal"/>
    <w:next w:val="Normal"/>
    <w:uiPriority w:val="39"/>
    <w:qFormat/>
    <w:rsid w:val="00E04818"/>
    <w:pPr>
      <w:spacing w:before="480" w:after="120" w:line="276" w:lineRule="auto"/>
    </w:pPr>
    <w:rPr>
      <w:rFonts w:ascii="Lucida Fax" w:eastAsiaTheme="majorEastAsia" w:hAnsi="Lucida Fax" w:cstheme="majorBidi"/>
      <w:bCs/>
      <w:color w:val="51626F"/>
      <w:sz w:val="32"/>
      <w:szCs w:val="28"/>
      <w:lang w:val="en-US" w:eastAsia="ja-JP"/>
    </w:rPr>
  </w:style>
  <w:style w:type="paragraph" w:styleId="ListNumber2">
    <w:name w:val="List Number 2"/>
    <w:next w:val="Normal"/>
    <w:uiPriority w:val="99"/>
    <w:rsid w:val="00BE4C99"/>
    <w:pPr>
      <w:numPr>
        <w:numId w:val="24"/>
      </w:numPr>
      <w:tabs>
        <w:tab w:val="left" w:pos="680"/>
      </w:tabs>
      <w:spacing w:before="120"/>
    </w:pPr>
    <w:rPr>
      <w:rFonts w:ascii="Arial" w:hAnsi="Arial"/>
    </w:rPr>
  </w:style>
  <w:style w:type="character" w:styleId="Hyperlink">
    <w:name w:val="Hyperlink"/>
    <w:basedOn w:val="DefaultParagraphFont"/>
    <w:uiPriority w:val="99"/>
    <w:qFormat/>
    <w:rsid w:val="00BE1F1B"/>
    <w:rPr>
      <w:rFonts w:ascii="Arial" w:hAnsi="Arial"/>
      <w:color w:val="0000FF"/>
      <w:sz w:val="22"/>
      <w:u w:val="single"/>
    </w:rPr>
  </w:style>
  <w:style w:type="paragraph" w:styleId="BalloonText">
    <w:name w:val="Balloon Text"/>
    <w:basedOn w:val="Normal"/>
    <w:link w:val="BalloonTextChar"/>
    <w:uiPriority w:val="99"/>
    <w:semiHidden/>
    <w:unhideWhenUsed/>
    <w:rsid w:val="003518B3"/>
    <w:pPr>
      <w:spacing w:before="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18B3"/>
    <w:rPr>
      <w:rFonts w:ascii="Tahoma" w:hAnsi="Tahoma" w:cs="Tahoma"/>
      <w:sz w:val="16"/>
      <w:szCs w:val="16"/>
    </w:rPr>
  </w:style>
  <w:style w:type="paragraph" w:styleId="Footer">
    <w:name w:val="footer"/>
    <w:basedOn w:val="Normal"/>
    <w:link w:val="FooterChar"/>
    <w:uiPriority w:val="99"/>
    <w:unhideWhenUsed/>
    <w:qFormat/>
    <w:rsid w:val="00A57D04"/>
    <w:pPr>
      <w:tabs>
        <w:tab w:val="center" w:pos="4513"/>
        <w:tab w:val="right" w:pos="9026"/>
      </w:tabs>
      <w:spacing w:after="120"/>
    </w:pPr>
    <w:rPr>
      <w:color w:val="51626F" w:themeColor="accent1"/>
      <w:sz w:val="18"/>
    </w:rPr>
  </w:style>
  <w:style w:type="character" w:customStyle="1" w:styleId="FooterChar">
    <w:name w:val="Footer Char"/>
    <w:basedOn w:val="DefaultParagraphFont"/>
    <w:link w:val="Footer"/>
    <w:uiPriority w:val="99"/>
    <w:rsid w:val="00A57D04"/>
    <w:rPr>
      <w:rFonts w:ascii="Arial" w:hAnsi="Arial"/>
      <w:color w:val="51626F" w:themeColor="accent1"/>
      <w:sz w:val="18"/>
    </w:rPr>
  </w:style>
  <w:style w:type="paragraph" w:styleId="ListParagraph">
    <w:name w:val="List Paragraph"/>
    <w:basedOn w:val="Normal"/>
    <w:uiPriority w:val="34"/>
    <w:qFormat/>
    <w:rsid w:val="00F61B84"/>
    <w:pPr>
      <w:numPr>
        <w:numId w:val="11"/>
      </w:numPr>
      <w:tabs>
        <w:tab w:val="left" w:pos="340"/>
      </w:tabs>
      <w:spacing w:before="120"/>
    </w:pPr>
  </w:style>
  <w:style w:type="character" w:customStyle="1" w:styleId="Heading7Char">
    <w:name w:val="Heading 7 Char"/>
    <w:basedOn w:val="DefaultParagraphFont"/>
    <w:link w:val="Heading7"/>
    <w:uiPriority w:val="2"/>
    <w:rsid w:val="009D6B46"/>
    <w:rPr>
      <w:rFonts w:ascii="Arial" w:eastAsiaTheme="majorEastAsia" w:hAnsi="Arial" w:cstheme="majorBidi"/>
      <w:i/>
      <w:iCs/>
      <w:color w:val="404040" w:themeColor="text1" w:themeTint="BF"/>
    </w:rPr>
  </w:style>
  <w:style w:type="character" w:customStyle="1" w:styleId="Heading8Char">
    <w:name w:val="Heading 8 Char"/>
    <w:basedOn w:val="DefaultParagraphFont"/>
    <w:link w:val="Heading8"/>
    <w:uiPriority w:val="2"/>
    <w:rsid w:val="009D6B46"/>
    <w:rPr>
      <w:rFonts w:ascii="Arial" w:eastAsiaTheme="majorEastAsia" w:hAnsi="Arial" w:cstheme="majorBidi"/>
      <w:color w:val="51626F" w:themeColor="accent1"/>
      <w:szCs w:val="20"/>
    </w:rPr>
  </w:style>
  <w:style w:type="character" w:customStyle="1" w:styleId="Heading9Char">
    <w:name w:val="Heading 9 Char"/>
    <w:aliases w:val="Numbered Table Char"/>
    <w:basedOn w:val="DefaultParagraphFont"/>
    <w:link w:val="Heading9"/>
    <w:uiPriority w:val="2"/>
    <w:rsid w:val="00646025"/>
    <w:rPr>
      <w:rFonts w:ascii="Arial" w:eastAsiaTheme="majorEastAsia" w:hAnsi="Arial" w:cstheme="majorBidi"/>
      <w:b/>
      <w:iCs/>
      <w:color w:val="000000" w:themeColor="text1"/>
      <w:sz w:val="24"/>
      <w:szCs w:val="20"/>
    </w:rPr>
  </w:style>
  <w:style w:type="paragraph" w:customStyle="1" w:styleId="Numbered1111111">
    <w:name w:val="Numbered 1.1.1.1.1.1.1"/>
    <w:basedOn w:val="Heading7"/>
    <w:next w:val="Normal"/>
    <w:uiPriority w:val="2"/>
    <w:rsid w:val="00F61B84"/>
    <w:pPr>
      <w:numPr>
        <w:ilvl w:val="6"/>
        <w:numId w:val="12"/>
      </w:numPr>
      <w:tabs>
        <w:tab w:val="left" w:pos="2041"/>
      </w:tabs>
      <w:ind w:left="2041" w:hanging="2041"/>
    </w:pPr>
  </w:style>
  <w:style w:type="paragraph" w:customStyle="1" w:styleId="Numbered11111111">
    <w:name w:val="Numbered 1.1.1.1.1.1.1.1"/>
    <w:basedOn w:val="Heading8"/>
    <w:next w:val="Normal"/>
    <w:uiPriority w:val="2"/>
    <w:rsid w:val="00F61B84"/>
    <w:pPr>
      <w:numPr>
        <w:ilvl w:val="7"/>
        <w:numId w:val="12"/>
      </w:numPr>
      <w:tabs>
        <w:tab w:val="left" w:pos="2041"/>
      </w:tabs>
      <w:ind w:left="2041" w:hanging="2041"/>
    </w:pPr>
  </w:style>
  <w:style w:type="table" w:styleId="TableGrid">
    <w:name w:val="Table Grid"/>
    <w:aliases w:val="ACCC Table"/>
    <w:basedOn w:val="TableNormal"/>
    <w:uiPriority w:val="59"/>
    <w:rsid w:val="00C53B5A"/>
    <w:pPr>
      <w:spacing w:before="60" w:after="60"/>
    </w:pPr>
    <w:rPr>
      <w:rFonts w:ascii="Arial" w:hAnsi="Arial"/>
      <w:sz w:val="20"/>
    </w:rPr>
    <w:tblPr>
      <w:tblBorders>
        <w:top w:val="single" w:sz="4" w:space="0" w:color="BFBFBF" w:themeColor="background1" w:themeShade="BF"/>
        <w:bottom w:val="single" w:sz="4" w:space="0" w:color="BFBFBF" w:themeColor="background1" w:themeShade="BF"/>
      </w:tblBorders>
    </w:tblPr>
    <w:tcPr>
      <w:shd w:val="clear" w:color="auto" w:fill="auto"/>
    </w:tcPr>
    <w:tblStylePr w:type="firstRow">
      <w:pPr>
        <w:wordWrap/>
        <w:spacing w:beforeLines="0" w:before="120" w:beforeAutospacing="0" w:afterLines="0" w:after="120" w:afterAutospacing="0"/>
      </w:pPr>
      <w:rPr>
        <w:rFonts w:ascii="Arial" w:hAnsi="Arial"/>
        <w:b/>
        <w:sz w:val="20"/>
      </w:rPr>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auto"/>
      </w:tcPr>
    </w:tblStylePr>
    <w:tblStylePr w:type="lastRow">
      <w:pPr>
        <w:wordWrap/>
        <w:spacing w:beforeLines="0" w:before="120" w:beforeAutospacing="0" w:afterLines="0" w:after="120" w:afterAutospacing="0" w:line="240" w:lineRule="auto"/>
      </w:pPr>
      <w:rPr>
        <w:rFonts w:ascii="Arial" w:hAnsi="Arial"/>
        <w:b/>
        <w:sz w:val="20"/>
      </w:rPr>
    </w:tblStylePr>
    <w:tblStylePr w:type="firstCol">
      <w:rPr>
        <w:rFonts w:ascii="Arial" w:hAnsi="Arial"/>
        <w:b/>
        <w:sz w:val="20"/>
      </w:rPr>
    </w:tblStylePr>
  </w:style>
  <w:style w:type="table" w:styleId="LightShading">
    <w:name w:val="Light Shading"/>
    <w:basedOn w:val="TableNormal"/>
    <w:uiPriority w:val="60"/>
    <w:rsid w:val="00C53B5A"/>
    <w:pPr>
      <w:spacing w:before="120" w:after="120"/>
    </w:pPr>
    <w:rPr>
      <w:sz w:val="20"/>
    </w:rPr>
    <w:tblPr>
      <w:tblBorders>
        <w:top w:val="single" w:sz="4" w:space="0" w:color="D5D6D2" w:themeColor="background2"/>
        <w:left w:val="single" w:sz="4" w:space="0" w:color="D5D6D2" w:themeColor="background2"/>
        <w:bottom w:val="single" w:sz="4" w:space="0" w:color="D5D6D2" w:themeColor="background2"/>
        <w:right w:val="single" w:sz="4" w:space="0" w:color="D5D6D2" w:themeColor="background2"/>
        <w:insideH w:val="single" w:sz="4" w:space="0" w:color="D5D6D2" w:themeColor="background2"/>
        <w:insideV w:val="single" w:sz="4" w:space="0" w:color="D5D6D2" w:themeColor="background2"/>
      </w:tblBorders>
    </w:tblPr>
    <w:tcPr>
      <w:shd w:val="clear" w:color="auto" w:fill="auto"/>
      <w:vAlign w:val="center"/>
    </w:tcPr>
    <w:tblStylePr w:type="firstRow">
      <w:pPr>
        <w:wordWrap/>
        <w:spacing w:beforeLines="0" w:before="120" w:beforeAutospacing="0" w:afterLines="0" w:after="120" w:afterAutospacing="0" w:line="240" w:lineRule="auto"/>
      </w:pPr>
      <w:rPr>
        <w:rFonts w:asciiTheme="minorHAnsi" w:hAnsiTheme="minorHAnsi"/>
        <w:b/>
        <w:bCs/>
        <w:sz w:val="20"/>
      </w:rPr>
      <w:tblPr/>
      <w:tcPr>
        <w:tcBorders>
          <w:top w:val="single" w:sz="4" w:space="0" w:color="D5D6D2" w:themeColor="background2"/>
          <w:left w:val="single" w:sz="4" w:space="0" w:color="D5D6D2" w:themeColor="background2"/>
          <w:bottom w:val="single" w:sz="4" w:space="0" w:color="D5D6D2" w:themeColor="background2"/>
          <w:right w:val="single" w:sz="4" w:space="0" w:color="D5D6D2" w:themeColor="background2"/>
          <w:insideH w:val="single" w:sz="4" w:space="0" w:color="D5D6D2" w:themeColor="background2"/>
          <w:insideV w:val="single" w:sz="4" w:space="0" w:color="D5D6D2" w:themeColor="background2"/>
        </w:tcBorders>
        <w:shd w:val="clear" w:color="auto" w:fill="auto"/>
      </w:tcPr>
    </w:tblStylePr>
    <w:tblStylePr w:type="lastRow">
      <w:pPr>
        <w:wordWrap/>
        <w:spacing w:beforeLines="0" w:before="120" w:beforeAutospacing="0" w:afterLines="0" w:after="120" w:afterAutospacing="0" w:line="240" w:lineRule="auto"/>
      </w:pPr>
      <w:rPr>
        <w:b/>
        <w:bCs/>
        <w:sz w:val="20"/>
      </w:rPr>
      <w:tblPr/>
      <w:tcPr>
        <w:tcBorders>
          <w:top w:val="single" w:sz="4" w:space="0" w:color="D5D6D2" w:themeColor="background2"/>
          <w:left w:val="single" w:sz="4" w:space="0" w:color="D5D6D2" w:themeColor="background2"/>
          <w:bottom w:val="single" w:sz="4" w:space="0" w:color="D5D6D2" w:themeColor="background2"/>
          <w:right w:val="single" w:sz="4" w:space="0" w:color="D5D6D2" w:themeColor="background2"/>
          <w:insideH w:val="single" w:sz="4" w:space="0" w:color="D5D6D2" w:themeColor="background2"/>
          <w:insideV w:val="single" w:sz="4" w:space="0" w:color="D5D6D2" w:themeColor="background2"/>
        </w:tcBorders>
      </w:tcPr>
    </w:tblStylePr>
    <w:tblStylePr w:type="firstCol">
      <w:rPr>
        <w:b/>
        <w:bCs/>
        <w:sz w:val="20"/>
      </w:rPr>
    </w:tblStylePr>
    <w:tblStylePr w:type="lastCol">
      <w:rPr>
        <w:b/>
        <w:bCs/>
      </w:rPr>
    </w:tblStylePr>
  </w:style>
  <w:style w:type="table" w:styleId="LightShading-Accent1">
    <w:name w:val="Light Shading Accent 1"/>
    <w:basedOn w:val="TableNormal"/>
    <w:uiPriority w:val="60"/>
    <w:rsid w:val="00A871F4"/>
    <w:pPr>
      <w:spacing w:before="0"/>
    </w:pPr>
    <w:rPr>
      <w:color w:val="3C4953" w:themeColor="accent1" w:themeShade="BF"/>
    </w:rPr>
    <w:tblPr>
      <w:tblStyleRowBandSize w:val="1"/>
      <w:tblStyleColBandSize w:val="1"/>
      <w:tblBorders>
        <w:top w:val="single" w:sz="8" w:space="0" w:color="51626F" w:themeColor="accent1"/>
        <w:bottom w:val="single" w:sz="8" w:space="0" w:color="51626F" w:themeColor="accent1"/>
      </w:tblBorders>
    </w:tblPr>
    <w:tblStylePr w:type="firstRow">
      <w:pPr>
        <w:spacing w:before="0" w:after="0" w:line="240" w:lineRule="auto"/>
      </w:pPr>
      <w:rPr>
        <w:b/>
        <w:bCs/>
      </w:rPr>
      <w:tblPr/>
      <w:tcPr>
        <w:tcBorders>
          <w:top w:val="single" w:sz="8" w:space="0" w:color="51626F" w:themeColor="accent1"/>
          <w:left w:val="nil"/>
          <w:bottom w:val="single" w:sz="8" w:space="0" w:color="51626F" w:themeColor="accent1"/>
          <w:right w:val="nil"/>
          <w:insideH w:val="nil"/>
          <w:insideV w:val="nil"/>
        </w:tcBorders>
      </w:tcPr>
    </w:tblStylePr>
    <w:tblStylePr w:type="lastRow">
      <w:pPr>
        <w:spacing w:before="0" w:after="0" w:line="240" w:lineRule="auto"/>
      </w:pPr>
      <w:rPr>
        <w:b/>
        <w:bCs/>
      </w:rPr>
      <w:tblPr/>
      <w:tcPr>
        <w:tcBorders>
          <w:top w:val="single" w:sz="8" w:space="0" w:color="51626F" w:themeColor="accent1"/>
          <w:left w:val="nil"/>
          <w:bottom w:val="single" w:sz="8" w:space="0" w:color="51626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1D8DD" w:themeFill="accent1" w:themeFillTint="3F"/>
      </w:tcPr>
    </w:tblStylePr>
    <w:tblStylePr w:type="band1Horz">
      <w:tblPr/>
      <w:tcPr>
        <w:tcBorders>
          <w:left w:val="nil"/>
          <w:right w:val="nil"/>
          <w:insideH w:val="nil"/>
          <w:insideV w:val="nil"/>
        </w:tcBorders>
        <w:shd w:val="clear" w:color="auto" w:fill="D1D8DD" w:themeFill="accent1" w:themeFillTint="3F"/>
      </w:tcPr>
    </w:tblStylePr>
  </w:style>
  <w:style w:type="table" w:styleId="LightShading-Accent2">
    <w:name w:val="Light Shading Accent 2"/>
    <w:basedOn w:val="TableNormal"/>
    <w:uiPriority w:val="60"/>
    <w:rsid w:val="00746E01"/>
    <w:pPr>
      <w:spacing w:before="0"/>
    </w:pPr>
    <w:rPr>
      <w:rFonts w:ascii="Arial" w:hAnsi="Arial"/>
      <w:color w:val="000000"/>
      <w14:textFill>
        <w14:solidFill>
          <w14:srgbClr w14:val="000000">
            <w14:lumMod w14:val="75000"/>
            <w14:lumOff w14:val="0"/>
          </w14:srgbClr>
        </w14:solidFill>
      </w14:textFill>
    </w:rPr>
    <w:tblPr>
      <w:tblBorders>
        <w:top w:val="single" w:sz="4" w:space="0" w:color="B71202" w:themeColor="accent5"/>
        <w:left w:val="single" w:sz="4" w:space="0" w:color="B71202" w:themeColor="accent5"/>
        <w:bottom w:val="single" w:sz="4" w:space="0" w:color="B71202" w:themeColor="accent5"/>
        <w:right w:val="single" w:sz="4" w:space="0" w:color="B71202" w:themeColor="accent5"/>
        <w:insideH w:val="single" w:sz="4" w:space="0" w:color="B71202" w:themeColor="accent5"/>
        <w:insideV w:val="single" w:sz="4" w:space="0" w:color="B71202" w:themeColor="accent5"/>
      </w:tblBorders>
    </w:tblPr>
    <w:tcPr>
      <w:vAlign w:val="center"/>
    </w:tcPr>
    <w:tblStylePr w:type="firstRow">
      <w:pPr>
        <w:spacing w:before="0" w:after="0" w:line="240" w:lineRule="auto"/>
      </w:pPr>
      <w:rPr>
        <w:b w:val="0"/>
        <w:bCs/>
      </w:rPr>
      <w:tblPr/>
      <w:tcPr>
        <w:tcBorders>
          <w:top w:val="single" w:sz="4" w:space="0" w:color="B71202" w:themeColor="accent5"/>
          <w:left w:val="single" w:sz="4" w:space="0" w:color="B71202" w:themeColor="accent5"/>
          <w:bottom w:val="single" w:sz="4" w:space="0" w:color="B71202" w:themeColor="accent5"/>
          <w:right w:val="single" w:sz="4" w:space="0" w:color="B71202" w:themeColor="accent5"/>
          <w:insideH w:val="single" w:sz="4" w:space="0" w:color="B71202" w:themeColor="accent5"/>
          <w:insideV w:val="single" w:sz="4" w:space="0" w:color="B71202" w:themeColor="accent5"/>
          <w:tl2br w:val="nil"/>
          <w:tr2bl w:val="nil"/>
        </w:tcBorders>
      </w:tcPr>
    </w:tblStylePr>
    <w:tblStylePr w:type="lastRow">
      <w:pPr>
        <w:spacing w:before="0" w:after="0" w:line="240" w:lineRule="auto"/>
      </w:pPr>
      <w:rPr>
        <w:b w:val="0"/>
        <w:bCs/>
      </w:rPr>
      <w:tblPr/>
      <w:tcPr>
        <w:tcBorders>
          <w:top w:val="single" w:sz="4" w:space="0" w:color="B71202" w:themeColor="accent5"/>
          <w:left w:val="single" w:sz="4" w:space="0" w:color="B71202" w:themeColor="accent5"/>
          <w:bottom w:val="single" w:sz="4" w:space="0" w:color="B71202" w:themeColor="accent5"/>
          <w:right w:val="single" w:sz="4" w:space="0" w:color="B71202" w:themeColor="accent5"/>
          <w:insideH w:val="single" w:sz="4" w:space="0" w:color="B71202" w:themeColor="accent5"/>
          <w:insideV w:val="single" w:sz="4" w:space="0" w:color="B71202" w:themeColor="accent5"/>
        </w:tcBorders>
      </w:tcPr>
    </w:tblStylePr>
    <w:tblStylePr w:type="firstCol">
      <w:rPr>
        <w:b w:val="0"/>
        <w:bCs/>
      </w:rPr>
    </w:tblStylePr>
    <w:tblStylePr w:type="lastCol">
      <w:rPr>
        <w:b w:val="0"/>
        <w:bCs/>
      </w:rPr>
    </w:tblStylePr>
  </w:style>
  <w:style w:type="table" w:styleId="LightShading-Accent3">
    <w:name w:val="Light Shading Accent 3"/>
    <w:basedOn w:val="TableNormal"/>
    <w:uiPriority w:val="60"/>
    <w:rsid w:val="00A871F4"/>
    <w:pPr>
      <w:spacing w:before="0"/>
    </w:pPr>
    <w:rPr>
      <w:color w:val="007192" w:themeColor="accent3" w:themeShade="BF"/>
    </w:rPr>
    <w:tblPr>
      <w:tblStyleRowBandSize w:val="1"/>
      <w:tblStyleColBandSize w:val="1"/>
      <w:tblBorders>
        <w:top w:val="single" w:sz="8" w:space="0" w:color="0098C3" w:themeColor="accent3"/>
        <w:bottom w:val="single" w:sz="8" w:space="0" w:color="0098C3" w:themeColor="accent3"/>
      </w:tblBorders>
    </w:tblPr>
    <w:tblStylePr w:type="firstRow">
      <w:pPr>
        <w:spacing w:before="0" w:after="0" w:line="240" w:lineRule="auto"/>
      </w:pPr>
      <w:rPr>
        <w:b/>
        <w:bCs/>
      </w:rPr>
      <w:tblPr/>
      <w:tcPr>
        <w:tcBorders>
          <w:top w:val="single" w:sz="8" w:space="0" w:color="0098C3" w:themeColor="accent3"/>
          <w:left w:val="nil"/>
          <w:bottom w:val="single" w:sz="8" w:space="0" w:color="0098C3" w:themeColor="accent3"/>
          <w:right w:val="nil"/>
          <w:insideH w:val="nil"/>
          <w:insideV w:val="nil"/>
        </w:tcBorders>
      </w:tcPr>
    </w:tblStylePr>
    <w:tblStylePr w:type="lastRow">
      <w:pPr>
        <w:spacing w:before="0" w:after="0" w:line="240" w:lineRule="auto"/>
      </w:pPr>
      <w:rPr>
        <w:b/>
        <w:bCs/>
      </w:rPr>
      <w:tblPr/>
      <w:tcPr>
        <w:tcBorders>
          <w:top w:val="single" w:sz="8" w:space="0" w:color="0098C3" w:themeColor="accent3"/>
          <w:left w:val="nil"/>
          <w:bottom w:val="single" w:sz="8" w:space="0" w:color="0098C3"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1EDFF" w:themeFill="accent3" w:themeFillTint="3F"/>
      </w:tcPr>
    </w:tblStylePr>
    <w:tblStylePr w:type="band1Horz">
      <w:tblPr/>
      <w:tcPr>
        <w:tcBorders>
          <w:left w:val="nil"/>
          <w:right w:val="nil"/>
          <w:insideH w:val="nil"/>
          <w:insideV w:val="nil"/>
        </w:tcBorders>
        <w:shd w:val="clear" w:color="auto" w:fill="B1EDFF" w:themeFill="accent3" w:themeFillTint="3F"/>
      </w:tcPr>
    </w:tblStylePr>
  </w:style>
  <w:style w:type="table" w:styleId="LightGrid-Accent6">
    <w:name w:val="Light Grid Accent 6"/>
    <w:basedOn w:val="TableNormal"/>
    <w:uiPriority w:val="62"/>
    <w:rsid w:val="00A871F4"/>
    <w:pPr>
      <w:spacing w:before="0"/>
    </w:pPr>
    <w:tblPr>
      <w:tblStyleRowBandSize w:val="1"/>
      <w:tblStyleColBandSize w:val="1"/>
      <w:tblBorders>
        <w:top w:val="single" w:sz="8" w:space="0" w:color="DC5034" w:themeColor="accent6"/>
        <w:left w:val="single" w:sz="8" w:space="0" w:color="DC5034" w:themeColor="accent6"/>
        <w:bottom w:val="single" w:sz="8" w:space="0" w:color="DC5034" w:themeColor="accent6"/>
        <w:right w:val="single" w:sz="8" w:space="0" w:color="DC5034" w:themeColor="accent6"/>
        <w:insideH w:val="single" w:sz="8" w:space="0" w:color="DC5034" w:themeColor="accent6"/>
        <w:insideV w:val="single" w:sz="8" w:space="0" w:color="DC5034"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C5034" w:themeColor="accent6"/>
          <w:left w:val="single" w:sz="8" w:space="0" w:color="DC5034" w:themeColor="accent6"/>
          <w:bottom w:val="single" w:sz="18" w:space="0" w:color="DC5034" w:themeColor="accent6"/>
          <w:right w:val="single" w:sz="8" w:space="0" w:color="DC5034" w:themeColor="accent6"/>
          <w:insideH w:val="nil"/>
          <w:insideV w:val="single" w:sz="8" w:space="0" w:color="DC5034"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C5034" w:themeColor="accent6"/>
          <w:left w:val="single" w:sz="8" w:space="0" w:color="DC5034" w:themeColor="accent6"/>
          <w:bottom w:val="single" w:sz="8" w:space="0" w:color="DC5034" w:themeColor="accent6"/>
          <w:right w:val="single" w:sz="8" w:space="0" w:color="DC5034" w:themeColor="accent6"/>
          <w:insideH w:val="nil"/>
          <w:insideV w:val="single" w:sz="8" w:space="0" w:color="DC5034"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C5034" w:themeColor="accent6"/>
          <w:left w:val="single" w:sz="8" w:space="0" w:color="DC5034" w:themeColor="accent6"/>
          <w:bottom w:val="single" w:sz="8" w:space="0" w:color="DC5034" w:themeColor="accent6"/>
          <w:right w:val="single" w:sz="8" w:space="0" w:color="DC5034" w:themeColor="accent6"/>
        </w:tcBorders>
      </w:tcPr>
    </w:tblStylePr>
    <w:tblStylePr w:type="band1Vert">
      <w:tblPr/>
      <w:tcPr>
        <w:tcBorders>
          <w:top w:val="single" w:sz="8" w:space="0" w:color="DC5034" w:themeColor="accent6"/>
          <w:left w:val="single" w:sz="8" w:space="0" w:color="DC5034" w:themeColor="accent6"/>
          <w:bottom w:val="single" w:sz="8" w:space="0" w:color="DC5034" w:themeColor="accent6"/>
          <w:right w:val="single" w:sz="8" w:space="0" w:color="DC5034" w:themeColor="accent6"/>
        </w:tcBorders>
        <w:shd w:val="clear" w:color="auto" w:fill="F6D3CC" w:themeFill="accent6" w:themeFillTint="3F"/>
      </w:tcPr>
    </w:tblStylePr>
    <w:tblStylePr w:type="band1Horz">
      <w:tblPr/>
      <w:tcPr>
        <w:tcBorders>
          <w:top w:val="single" w:sz="8" w:space="0" w:color="DC5034" w:themeColor="accent6"/>
          <w:left w:val="single" w:sz="8" w:space="0" w:color="DC5034" w:themeColor="accent6"/>
          <w:bottom w:val="single" w:sz="8" w:space="0" w:color="DC5034" w:themeColor="accent6"/>
          <w:right w:val="single" w:sz="8" w:space="0" w:color="DC5034" w:themeColor="accent6"/>
          <w:insideV w:val="single" w:sz="8" w:space="0" w:color="DC5034" w:themeColor="accent6"/>
        </w:tcBorders>
        <w:shd w:val="clear" w:color="auto" w:fill="F6D3CC" w:themeFill="accent6" w:themeFillTint="3F"/>
      </w:tcPr>
    </w:tblStylePr>
    <w:tblStylePr w:type="band2Horz">
      <w:tblPr/>
      <w:tcPr>
        <w:tcBorders>
          <w:top w:val="single" w:sz="8" w:space="0" w:color="DC5034" w:themeColor="accent6"/>
          <w:left w:val="single" w:sz="8" w:space="0" w:color="DC5034" w:themeColor="accent6"/>
          <w:bottom w:val="single" w:sz="8" w:space="0" w:color="DC5034" w:themeColor="accent6"/>
          <w:right w:val="single" w:sz="8" w:space="0" w:color="DC5034" w:themeColor="accent6"/>
          <w:insideV w:val="single" w:sz="8" w:space="0" w:color="DC5034" w:themeColor="accent6"/>
        </w:tcBorders>
      </w:tcPr>
    </w:tblStylePr>
  </w:style>
  <w:style w:type="table" w:styleId="MediumShading1">
    <w:name w:val="Medium Shading 1"/>
    <w:basedOn w:val="TableNormal"/>
    <w:uiPriority w:val="63"/>
    <w:rsid w:val="00A871F4"/>
    <w:pPr>
      <w:spacing w:before="0"/>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871F4"/>
    <w:pPr>
      <w:spacing w:before="0"/>
    </w:pPr>
    <w:tblPr>
      <w:tblStyleRowBandSize w:val="1"/>
      <w:tblStyleColBandSize w:val="1"/>
      <w:tblBorders>
        <w:top w:val="single" w:sz="8" w:space="0" w:color="758A9A" w:themeColor="accent1" w:themeTint="BF"/>
        <w:left w:val="single" w:sz="8" w:space="0" w:color="758A9A" w:themeColor="accent1" w:themeTint="BF"/>
        <w:bottom w:val="single" w:sz="8" w:space="0" w:color="758A9A" w:themeColor="accent1" w:themeTint="BF"/>
        <w:right w:val="single" w:sz="8" w:space="0" w:color="758A9A" w:themeColor="accent1" w:themeTint="BF"/>
        <w:insideH w:val="single" w:sz="8" w:space="0" w:color="758A9A" w:themeColor="accent1" w:themeTint="BF"/>
      </w:tblBorders>
    </w:tblPr>
    <w:tblStylePr w:type="firstRow">
      <w:pPr>
        <w:spacing w:before="0" w:after="0" w:line="240" w:lineRule="auto"/>
      </w:pPr>
      <w:rPr>
        <w:b/>
        <w:bCs/>
        <w:color w:val="FFFFFF" w:themeColor="background1"/>
      </w:rPr>
      <w:tblPr/>
      <w:tcPr>
        <w:tcBorders>
          <w:top w:val="single" w:sz="8" w:space="0" w:color="758A9A" w:themeColor="accent1" w:themeTint="BF"/>
          <w:left w:val="single" w:sz="8" w:space="0" w:color="758A9A" w:themeColor="accent1" w:themeTint="BF"/>
          <w:bottom w:val="single" w:sz="8" w:space="0" w:color="758A9A" w:themeColor="accent1" w:themeTint="BF"/>
          <w:right w:val="single" w:sz="8" w:space="0" w:color="758A9A" w:themeColor="accent1" w:themeTint="BF"/>
          <w:insideH w:val="nil"/>
          <w:insideV w:val="nil"/>
        </w:tcBorders>
        <w:shd w:val="clear" w:color="auto" w:fill="51626F" w:themeFill="accent1"/>
      </w:tcPr>
    </w:tblStylePr>
    <w:tblStylePr w:type="lastRow">
      <w:pPr>
        <w:spacing w:before="0" w:after="0" w:line="240" w:lineRule="auto"/>
      </w:pPr>
      <w:rPr>
        <w:b/>
        <w:bCs/>
      </w:rPr>
      <w:tblPr/>
      <w:tcPr>
        <w:tcBorders>
          <w:top w:val="double" w:sz="6" w:space="0" w:color="758A9A" w:themeColor="accent1" w:themeTint="BF"/>
          <w:left w:val="single" w:sz="8" w:space="0" w:color="758A9A" w:themeColor="accent1" w:themeTint="BF"/>
          <w:bottom w:val="single" w:sz="8" w:space="0" w:color="758A9A" w:themeColor="accent1" w:themeTint="BF"/>
          <w:right w:val="single" w:sz="8" w:space="0" w:color="758A9A" w:themeColor="accent1" w:themeTint="BF"/>
          <w:insideH w:val="nil"/>
          <w:insideV w:val="nil"/>
        </w:tcBorders>
      </w:tcPr>
    </w:tblStylePr>
    <w:tblStylePr w:type="firstCol">
      <w:rPr>
        <w:b/>
        <w:bCs/>
      </w:rPr>
    </w:tblStylePr>
    <w:tblStylePr w:type="lastCol">
      <w:rPr>
        <w:b/>
        <w:bCs/>
      </w:rPr>
    </w:tblStylePr>
    <w:tblStylePr w:type="band1Vert">
      <w:tblPr/>
      <w:tcPr>
        <w:shd w:val="clear" w:color="auto" w:fill="D1D8DD" w:themeFill="accent1" w:themeFillTint="3F"/>
      </w:tcPr>
    </w:tblStylePr>
    <w:tblStylePr w:type="band1Horz">
      <w:tblPr/>
      <w:tcPr>
        <w:tcBorders>
          <w:insideH w:val="nil"/>
          <w:insideV w:val="nil"/>
        </w:tcBorders>
        <w:shd w:val="clear" w:color="auto" w:fill="D1D8DD"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A871F4"/>
    <w:pPr>
      <w:spacing w:before="0"/>
    </w:pPr>
    <w:tblPr>
      <w:tblStyleRowBandSize w:val="1"/>
      <w:tblStyleColBandSize w:val="1"/>
      <w:tblBorders>
        <w:top w:val="single" w:sz="8" w:space="0" w:color="7643BB" w:themeColor="accent2" w:themeTint="BF"/>
        <w:left w:val="single" w:sz="8" w:space="0" w:color="7643BB" w:themeColor="accent2" w:themeTint="BF"/>
        <w:bottom w:val="single" w:sz="8" w:space="0" w:color="7643BB" w:themeColor="accent2" w:themeTint="BF"/>
        <w:right w:val="single" w:sz="8" w:space="0" w:color="7643BB" w:themeColor="accent2" w:themeTint="BF"/>
        <w:insideH w:val="single" w:sz="8" w:space="0" w:color="7643BB" w:themeColor="accent2" w:themeTint="BF"/>
      </w:tblBorders>
    </w:tblPr>
    <w:tblStylePr w:type="firstRow">
      <w:pPr>
        <w:spacing w:before="0" w:after="0" w:line="240" w:lineRule="auto"/>
      </w:pPr>
      <w:rPr>
        <w:b/>
        <w:bCs/>
        <w:color w:val="FFFFFF" w:themeColor="background1"/>
      </w:rPr>
      <w:tblPr/>
      <w:tcPr>
        <w:tcBorders>
          <w:top w:val="single" w:sz="8" w:space="0" w:color="7643BB" w:themeColor="accent2" w:themeTint="BF"/>
          <w:left w:val="single" w:sz="8" w:space="0" w:color="7643BB" w:themeColor="accent2" w:themeTint="BF"/>
          <w:bottom w:val="single" w:sz="8" w:space="0" w:color="7643BB" w:themeColor="accent2" w:themeTint="BF"/>
          <w:right w:val="single" w:sz="8" w:space="0" w:color="7643BB" w:themeColor="accent2" w:themeTint="BF"/>
          <w:insideH w:val="nil"/>
          <w:insideV w:val="nil"/>
        </w:tcBorders>
        <w:shd w:val="clear" w:color="auto" w:fill="4F2D7D" w:themeFill="accent2"/>
      </w:tcPr>
    </w:tblStylePr>
    <w:tblStylePr w:type="lastRow">
      <w:pPr>
        <w:spacing w:before="0" w:after="0" w:line="240" w:lineRule="auto"/>
      </w:pPr>
      <w:rPr>
        <w:b/>
        <w:bCs/>
      </w:rPr>
      <w:tblPr/>
      <w:tcPr>
        <w:tcBorders>
          <w:top w:val="double" w:sz="6" w:space="0" w:color="7643BB" w:themeColor="accent2" w:themeTint="BF"/>
          <w:left w:val="single" w:sz="8" w:space="0" w:color="7643BB" w:themeColor="accent2" w:themeTint="BF"/>
          <w:bottom w:val="single" w:sz="8" w:space="0" w:color="7643BB" w:themeColor="accent2" w:themeTint="BF"/>
          <w:right w:val="single" w:sz="8" w:space="0" w:color="7643BB" w:themeColor="accent2" w:themeTint="BF"/>
          <w:insideH w:val="nil"/>
          <w:insideV w:val="nil"/>
        </w:tcBorders>
      </w:tcPr>
    </w:tblStylePr>
    <w:tblStylePr w:type="firstCol">
      <w:rPr>
        <w:b/>
        <w:bCs/>
      </w:rPr>
    </w:tblStylePr>
    <w:tblStylePr w:type="lastCol">
      <w:rPr>
        <w:b/>
        <w:bCs/>
      </w:rPr>
    </w:tblStylePr>
    <w:tblStylePr w:type="band1Vert">
      <w:tblPr/>
      <w:tcPr>
        <w:shd w:val="clear" w:color="auto" w:fill="D1C1E8" w:themeFill="accent2" w:themeFillTint="3F"/>
      </w:tcPr>
    </w:tblStylePr>
    <w:tblStylePr w:type="band1Horz">
      <w:tblPr/>
      <w:tcPr>
        <w:tcBorders>
          <w:insideH w:val="nil"/>
          <w:insideV w:val="nil"/>
        </w:tcBorders>
        <w:shd w:val="clear" w:color="auto" w:fill="D1C1E8"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A871F4"/>
    <w:pPr>
      <w:spacing w:before="0"/>
    </w:pPr>
    <w:tblPr>
      <w:tblStyleRowBandSize w:val="1"/>
      <w:tblStyleColBandSize w:val="1"/>
      <w:tblBorders>
        <w:top w:val="single" w:sz="8" w:space="0" w:color="13CAFF" w:themeColor="accent3" w:themeTint="BF"/>
        <w:left w:val="single" w:sz="8" w:space="0" w:color="13CAFF" w:themeColor="accent3" w:themeTint="BF"/>
        <w:bottom w:val="single" w:sz="8" w:space="0" w:color="13CAFF" w:themeColor="accent3" w:themeTint="BF"/>
        <w:right w:val="single" w:sz="8" w:space="0" w:color="13CAFF" w:themeColor="accent3" w:themeTint="BF"/>
        <w:insideH w:val="single" w:sz="8" w:space="0" w:color="13CAFF" w:themeColor="accent3" w:themeTint="BF"/>
      </w:tblBorders>
    </w:tblPr>
    <w:tblStylePr w:type="firstRow">
      <w:pPr>
        <w:spacing w:before="0" w:after="0" w:line="240" w:lineRule="auto"/>
      </w:pPr>
      <w:rPr>
        <w:b/>
        <w:bCs/>
        <w:color w:val="FFFFFF" w:themeColor="background1"/>
      </w:rPr>
      <w:tblPr/>
      <w:tcPr>
        <w:tcBorders>
          <w:top w:val="single" w:sz="8" w:space="0" w:color="13CAFF" w:themeColor="accent3" w:themeTint="BF"/>
          <w:left w:val="single" w:sz="8" w:space="0" w:color="13CAFF" w:themeColor="accent3" w:themeTint="BF"/>
          <w:bottom w:val="single" w:sz="8" w:space="0" w:color="13CAFF" w:themeColor="accent3" w:themeTint="BF"/>
          <w:right w:val="single" w:sz="8" w:space="0" w:color="13CAFF" w:themeColor="accent3" w:themeTint="BF"/>
          <w:insideH w:val="nil"/>
          <w:insideV w:val="nil"/>
        </w:tcBorders>
        <w:shd w:val="clear" w:color="auto" w:fill="0098C3" w:themeFill="accent3"/>
      </w:tcPr>
    </w:tblStylePr>
    <w:tblStylePr w:type="lastRow">
      <w:pPr>
        <w:spacing w:before="0" w:after="0" w:line="240" w:lineRule="auto"/>
      </w:pPr>
      <w:rPr>
        <w:b/>
        <w:bCs/>
      </w:rPr>
      <w:tblPr/>
      <w:tcPr>
        <w:tcBorders>
          <w:top w:val="double" w:sz="6" w:space="0" w:color="13CAFF" w:themeColor="accent3" w:themeTint="BF"/>
          <w:left w:val="single" w:sz="8" w:space="0" w:color="13CAFF" w:themeColor="accent3" w:themeTint="BF"/>
          <w:bottom w:val="single" w:sz="8" w:space="0" w:color="13CAFF" w:themeColor="accent3" w:themeTint="BF"/>
          <w:right w:val="single" w:sz="8" w:space="0" w:color="13CAFF" w:themeColor="accent3" w:themeTint="BF"/>
          <w:insideH w:val="nil"/>
          <w:insideV w:val="nil"/>
        </w:tcBorders>
      </w:tcPr>
    </w:tblStylePr>
    <w:tblStylePr w:type="firstCol">
      <w:rPr>
        <w:b/>
        <w:bCs/>
      </w:rPr>
    </w:tblStylePr>
    <w:tblStylePr w:type="lastCol">
      <w:rPr>
        <w:b/>
        <w:bCs/>
      </w:rPr>
    </w:tblStylePr>
    <w:tblStylePr w:type="band1Vert">
      <w:tblPr/>
      <w:tcPr>
        <w:shd w:val="clear" w:color="auto" w:fill="B1EDFF" w:themeFill="accent3" w:themeFillTint="3F"/>
      </w:tcPr>
    </w:tblStylePr>
    <w:tblStylePr w:type="band1Horz">
      <w:tblPr/>
      <w:tcPr>
        <w:tcBorders>
          <w:insideH w:val="nil"/>
          <w:insideV w:val="nil"/>
        </w:tcBorders>
        <w:shd w:val="clear" w:color="auto" w:fill="B1ED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A871F4"/>
    <w:pPr>
      <w:spacing w:before="0"/>
    </w:pPr>
    <w:tblPr>
      <w:tblStyleRowBandSize w:val="1"/>
      <w:tblStyleColBandSize w:val="1"/>
      <w:tblBorders>
        <w:top w:val="single" w:sz="8" w:space="0" w:color="B7DAF0" w:themeColor="accent4" w:themeTint="BF"/>
        <w:left w:val="single" w:sz="8" w:space="0" w:color="B7DAF0" w:themeColor="accent4" w:themeTint="BF"/>
        <w:bottom w:val="single" w:sz="8" w:space="0" w:color="B7DAF0" w:themeColor="accent4" w:themeTint="BF"/>
        <w:right w:val="single" w:sz="8" w:space="0" w:color="B7DAF0" w:themeColor="accent4" w:themeTint="BF"/>
        <w:insideH w:val="single" w:sz="8" w:space="0" w:color="B7DAF0" w:themeColor="accent4" w:themeTint="BF"/>
      </w:tblBorders>
    </w:tblPr>
    <w:tblStylePr w:type="firstRow">
      <w:pPr>
        <w:spacing w:before="0" w:after="0" w:line="240" w:lineRule="auto"/>
      </w:pPr>
      <w:rPr>
        <w:b/>
        <w:bCs/>
        <w:color w:val="FFFFFF" w:themeColor="background1"/>
      </w:rPr>
      <w:tblPr/>
      <w:tcPr>
        <w:tcBorders>
          <w:top w:val="single" w:sz="8" w:space="0" w:color="B7DAF0" w:themeColor="accent4" w:themeTint="BF"/>
          <w:left w:val="single" w:sz="8" w:space="0" w:color="B7DAF0" w:themeColor="accent4" w:themeTint="BF"/>
          <w:bottom w:val="single" w:sz="8" w:space="0" w:color="B7DAF0" w:themeColor="accent4" w:themeTint="BF"/>
          <w:right w:val="single" w:sz="8" w:space="0" w:color="B7DAF0" w:themeColor="accent4" w:themeTint="BF"/>
          <w:insideH w:val="nil"/>
          <w:insideV w:val="nil"/>
        </w:tcBorders>
        <w:shd w:val="clear" w:color="auto" w:fill="A0CFEB" w:themeFill="accent4"/>
      </w:tcPr>
    </w:tblStylePr>
    <w:tblStylePr w:type="lastRow">
      <w:pPr>
        <w:spacing w:before="0" w:after="0" w:line="240" w:lineRule="auto"/>
      </w:pPr>
      <w:rPr>
        <w:b/>
        <w:bCs/>
      </w:rPr>
      <w:tblPr/>
      <w:tcPr>
        <w:tcBorders>
          <w:top w:val="double" w:sz="6" w:space="0" w:color="B7DAF0" w:themeColor="accent4" w:themeTint="BF"/>
          <w:left w:val="single" w:sz="8" w:space="0" w:color="B7DAF0" w:themeColor="accent4" w:themeTint="BF"/>
          <w:bottom w:val="single" w:sz="8" w:space="0" w:color="B7DAF0" w:themeColor="accent4" w:themeTint="BF"/>
          <w:right w:val="single" w:sz="8" w:space="0" w:color="B7DAF0" w:themeColor="accent4" w:themeTint="BF"/>
          <w:insideH w:val="nil"/>
          <w:insideV w:val="nil"/>
        </w:tcBorders>
      </w:tcPr>
    </w:tblStylePr>
    <w:tblStylePr w:type="firstCol">
      <w:rPr>
        <w:b/>
        <w:bCs/>
      </w:rPr>
    </w:tblStylePr>
    <w:tblStylePr w:type="lastCol">
      <w:rPr>
        <w:b/>
        <w:bCs/>
      </w:rPr>
    </w:tblStylePr>
    <w:tblStylePr w:type="band1Vert">
      <w:tblPr/>
      <w:tcPr>
        <w:shd w:val="clear" w:color="auto" w:fill="E7F3FA" w:themeFill="accent4" w:themeFillTint="3F"/>
      </w:tcPr>
    </w:tblStylePr>
    <w:tblStylePr w:type="band1Horz">
      <w:tblPr/>
      <w:tcPr>
        <w:tcBorders>
          <w:insideH w:val="nil"/>
          <w:insideV w:val="nil"/>
        </w:tcBorders>
        <w:shd w:val="clear" w:color="auto" w:fill="E7F3FA"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871F4"/>
    <w:pPr>
      <w:spacing w:before="0"/>
    </w:pPr>
    <w:tblPr>
      <w:tblStyleRowBandSize w:val="1"/>
      <w:tblStyleColBandSize w:val="1"/>
      <w:tblBorders>
        <w:top w:val="single" w:sz="8" w:space="0" w:color="FC220E" w:themeColor="accent5" w:themeTint="BF"/>
        <w:left w:val="single" w:sz="8" w:space="0" w:color="FC220E" w:themeColor="accent5" w:themeTint="BF"/>
        <w:bottom w:val="single" w:sz="8" w:space="0" w:color="FC220E" w:themeColor="accent5" w:themeTint="BF"/>
        <w:right w:val="single" w:sz="8" w:space="0" w:color="FC220E" w:themeColor="accent5" w:themeTint="BF"/>
        <w:insideH w:val="single" w:sz="8" w:space="0" w:color="FC220E" w:themeColor="accent5" w:themeTint="BF"/>
      </w:tblBorders>
    </w:tblPr>
    <w:tblStylePr w:type="firstRow">
      <w:pPr>
        <w:spacing w:before="0" w:after="0" w:line="240" w:lineRule="auto"/>
      </w:pPr>
      <w:rPr>
        <w:b/>
        <w:bCs/>
        <w:color w:val="FFFFFF" w:themeColor="background1"/>
      </w:rPr>
      <w:tblPr/>
      <w:tcPr>
        <w:tcBorders>
          <w:top w:val="single" w:sz="8" w:space="0" w:color="FC220E" w:themeColor="accent5" w:themeTint="BF"/>
          <w:left w:val="single" w:sz="8" w:space="0" w:color="FC220E" w:themeColor="accent5" w:themeTint="BF"/>
          <w:bottom w:val="single" w:sz="8" w:space="0" w:color="FC220E" w:themeColor="accent5" w:themeTint="BF"/>
          <w:right w:val="single" w:sz="8" w:space="0" w:color="FC220E" w:themeColor="accent5" w:themeTint="BF"/>
          <w:insideH w:val="nil"/>
          <w:insideV w:val="nil"/>
        </w:tcBorders>
        <w:shd w:val="clear" w:color="auto" w:fill="B71202" w:themeFill="accent5"/>
      </w:tcPr>
    </w:tblStylePr>
    <w:tblStylePr w:type="lastRow">
      <w:pPr>
        <w:spacing w:before="0" w:after="0" w:line="240" w:lineRule="auto"/>
      </w:pPr>
      <w:rPr>
        <w:b/>
        <w:bCs/>
      </w:rPr>
      <w:tblPr/>
      <w:tcPr>
        <w:tcBorders>
          <w:top w:val="double" w:sz="6" w:space="0" w:color="FC220E" w:themeColor="accent5" w:themeTint="BF"/>
          <w:left w:val="single" w:sz="8" w:space="0" w:color="FC220E" w:themeColor="accent5" w:themeTint="BF"/>
          <w:bottom w:val="single" w:sz="8" w:space="0" w:color="FC220E" w:themeColor="accent5" w:themeTint="BF"/>
          <w:right w:val="single" w:sz="8" w:space="0" w:color="FC220E" w:themeColor="accent5" w:themeTint="BF"/>
          <w:insideH w:val="nil"/>
          <w:insideV w:val="nil"/>
        </w:tcBorders>
      </w:tcPr>
    </w:tblStylePr>
    <w:tblStylePr w:type="firstCol">
      <w:rPr>
        <w:b/>
        <w:bCs/>
      </w:rPr>
    </w:tblStylePr>
    <w:tblStylePr w:type="lastCol">
      <w:rPr>
        <w:b/>
        <w:bCs/>
      </w:rPr>
    </w:tblStylePr>
    <w:tblStylePr w:type="band1Vert">
      <w:tblPr/>
      <w:tcPr>
        <w:shd w:val="clear" w:color="auto" w:fill="FEB6AF" w:themeFill="accent5" w:themeFillTint="3F"/>
      </w:tcPr>
    </w:tblStylePr>
    <w:tblStylePr w:type="band1Horz">
      <w:tblPr/>
      <w:tcPr>
        <w:tcBorders>
          <w:insideH w:val="nil"/>
          <w:insideV w:val="nil"/>
        </w:tcBorders>
        <w:shd w:val="clear" w:color="auto" w:fill="FEB6AF" w:themeFill="accent5" w:themeFillTint="3F"/>
      </w:tcPr>
    </w:tblStylePr>
    <w:tblStylePr w:type="band2Horz">
      <w:tblPr/>
      <w:tcPr>
        <w:tcBorders>
          <w:insideH w:val="nil"/>
          <w:insideV w:val="nil"/>
        </w:tcBorders>
      </w:tcPr>
    </w:tblStylePr>
  </w:style>
  <w:style w:type="table" w:styleId="LightList">
    <w:name w:val="Light List"/>
    <w:basedOn w:val="TableNormal"/>
    <w:uiPriority w:val="61"/>
    <w:rsid w:val="00A871F4"/>
    <w:pPr>
      <w:spacing w:before="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Shading-Accent5">
    <w:name w:val="Light Shading Accent 5"/>
    <w:basedOn w:val="TableNormal"/>
    <w:uiPriority w:val="60"/>
    <w:rsid w:val="00A871F4"/>
    <w:pPr>
      <w:spacing w:before="0"/>
    </w:pPr>
    <w:rPr>
      <w:color w:val="880D01" w:themeColor="accent5" w:themeShade="BF"/>
    </w:rPr>
    <w:tblPr>
      <w:tblStyleRowBandSize w:val="1"/>
      <w:tblStyleColBandSize w:val="1"/>
      <w:tblBorders>
        <w:top w:val="single" w:sz="8" w:space="0" w:color="B71202" w:themeColor="accent5"/>
        <w:bottom w:val="single" w:sz="8" w:space="0" w:color="B71202" w:themeColor="accent5"/>
      </w:tblBorders>
    </w:tblPr>
    <w:tblStylePr w:type="firstRow">
      <w:pPr>
        <w:spacing w:before="0" w:after="0" w:line="240" w:lineRule="auto"/>
      </w:pPr>
      <w:rPr>
        <w:b/>
        <w:bCs/>
      </w:rPr>
      <w:tblPr/>
      <w:tcPr>
        <w:tcBorders>
          <w:top w:val="single" w:sz="8" w:space="0" w:color="B71202" w:themeColor="accent5"/>
          <w:left w:val="nil"/>
          <w:bottom w:val="single" w:sz="8" w:space="0" w:color="B71202" w:themeColor="accent5"/>
          <w:right w:val="nil"/>
          <w:insideH w:val="nil"/>
          <w:insideV w:val="nil"/>
        </w:tcBorders>
      </w:tcPr>
    </w:tblStylePr>
    <w:tblStylePr w:type="lastRow">
      <w:pPr>
        <w:spacing w:before="0" w:after="0" w:line="240" w:lineRule="auto"/>
      </w:pPr>
      <w:rPr>
        <w:b/>
        <w:bCs/>
      </w:rPr>
      <w:tblPr/>
      <w:tcPr>
        <w:tcBorders>
          <w:top w:val="single" w:sz="8" w:space="0" w:color="B71202" w:themeColor="accent5"/>
          <w:left w:val="nil"/>
          <w:bottom w:val="single" w:sz="8" w:space="0" w:color="B7120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B6AF" w:themeFill="accent5" w:themeFillTint="3F"/>
      </w:tcPr>
    </w:tblStylePr>
    <w:tblStylePr w:type="band1Horz">
      <w:tblPr/>
      <w:tcPr>
        <w:tcBorders>
          <w:left w:val="nil"/>
          <w:right w:val="nil"/>
          <w:insideH w:val="nil"/>
          <w:insideV w:val="nil"/>
        </w:tcBorders>
        <w:shd w:val="clear" w:color="auto" w:fill="FEB6AF" w:themeFill="accent5" w:themeFillTint="3F"/>
      </w:tcPr>
    </w:tblStylePr>
  </w:style>
  <w:style w:type="table" w:styleId="LightGrid-Accent3">
    <w:name w:val="Light Grid Accent 3"/>
    <w:basedOn w:val="TableNormal"/>
    <w:uiPriority w:val="62"/>
    <w:rsid w:val="00A871F4"/>
    <w:pPr>
      <w:spacing w:before="0"/>
    </w:pPr>
    <w:tblPr>
      <w:tblStyleRowBandSize w:val="1"/>
      <w:tblStyleColBandSize w:val="1"/>
      <w:tblBorders>
        <w:top w:val="single" w:sz="8" w:space="0" w:color="0098C3" w:themeColor="accent3"/>
        <w:left w:val="single" w:sz="8" w:space="0" w:color="0098C3" w:themeColor="accent3"/>
        <w:bottom w:val="single" w:sz="8" w:space="0" w:color="0098C3" w:themeColor="accent3"/>
        <w:right w:val="single" w:sz="8" w:space="0" w:color="0098C3" w:themeColor="accent3"/>
        <w:insideH w:val="single" w:sz="8" w:space="0" w:color="0098C3" w:themeColor="accent3"/>
        <w:insideV w:val="single" w:sz="8" w:space="0" w:color="0098C3"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98C3" w:themeColor="accent3"/>
          <w:left w:val="single" w:sz="8" w:space="0" w:color="0098C3" w:themeColor="accent3"/>
          <w:bottom w:val="single" w:sz="18" w:space="0" w:color="0098C3" w:themeColor="accent3"/>
          <w:right w:val="single" w:sz="8" w:space="0" w:color="0098C3" w:themeColor="accent3"/>
          <w:insideH w:val="nil"/>
          <w:insideV w:val="single" w:sz="8" w:space="0" w:color="0098C3"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98C3" w:themeColor="accent3"/>
          <w:left w:val="single" w:sz="8" w:space="0" w:color="0098C3" w:themeColor="accent3"/>
          <w:bottom w:val="single" w:sz="8" w:space="0" w:color="0098C3" w:themeColor="accent3"/>
          <w:right w:val="single" w:sz="8" w:space="0" w:color="0098C3" w:themeColor="accent3"/>
          <w:insideH w:val="nil"/>
          <w:insideV w:val="single" w:sz="8" w:space="0" w:color="0098C3"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98C3" w:themeColor="accent3"/>
          <w:left w:val="single" w:sz="8" w:space="0" w:color="0098C3" w:themeColor="accent3"/>
          <w:bottom w:val="single" w:sz="8" w:space="0" w:color="0098C3" w:themeColor="accent3"/>
          <w:right w:val="single" w:sz="8" w:space="0" w:color="0098C3" w:themeColor="accent3"/>
        </w:tcBorders>
      </w:tcPr>
    </w:tblStylePr>
    <w:tblStylePr w:type="band1Vert">
      <w:tblPr/>
      <w:tcPr>
        <w:tcBorders>
          <w:top w:val="single" w:sz="8" w:space="0" w:color="0098C3" w:themeColor="accent3"/>
          <w:left w:val="single" w:sz="8" w:space="0" w:color="0098C3" w:themeColor="accent3"/>
          <w:bottom w:val="single" w:sz="8" w:space="0" w:color="0098C3" w:themeColor="accent3"/>
          <w:right w:val="single" w:sz="8" w:space="0" w:color="0098C3" w:themeColor="accent3"/>
        </w:tcBorders>
        <w:shd w:val="clear" w:color="auto" w:fill="B1EDFF" w:themeFill="accent3" w:themeFillTint="3F"/>
      </w:tcPr>
    </w:tblStylePr>
    <w:tblStylePr w:type="band1Horz">
      <w:tblPr/>
      <w:tcPr>
        <w:tcBorders>
          <w:top w:val="single" w:sz="8" w:space="0" w:color="0098C3" w:themeColor="accent3"/>
          <w:left w:val="single" w:sz="8" w:space="0" w:color="0098C3" w:themeColor="accent3"/>
          <w:bottom w:val="single" w:sz="8" w:space="0" w:color="0098C3" w:themeColor="accent3"/>
          <w:right w:val="single" w:sz="8" w:space="0" w:color="0098C3" w:themeColor="accent3"/>
          <w:insideV w:val="single" w:sz="8" w:space="0" w:color="0098C3" w:themeColor="accent3"/>
        </w:tcBorders>
        <w:shd w:val="clear" w:color="auto" w:fill="B1EDFF" w:themeFill="accent3" w:themeFillTint="3F"/>
      </w:tcPr>
    </w:tblStylePr>
    <w:tblStylePr w:type="band2Horz">
      <w:tblPr/>
      <w:tcPr>
        <w:tcBorders>
          <w:top w:val="single" w:sz="8" w:space="0" w:color="0098C3" w:themeColor="accent3"/>
          <w:left w:val="single" w:sz="8" w:space="0" w:color="0098C3" w:themeColor="accent3"/>
          <w:bottom w:val="single" w:sz="8" w:space="0" w:color="0098C3" w:themeColor="accent3"/>
          <w:right w:val="single" w:sz="8" w:space="0" w:color="0098C3" w:themeColor="accent3"/>
          <w:insideV w:val="single" w:sz="8" w:space="0" w:color="0098C3" w:themeColor="accent3"/>
        </w:tcBorders>
      </w:tcPr>
    </w:tblStylePr>
  </w:style>
  <w:style w:type="paragraph" w:styleId="Bibliography">
    <w:name w:val="Bibliography"/>
    <w:basedOn w:val="Normal"/>
    <w:next w:val="Normal"/>
    <w:uiPriority w:val="37"/>
    <w:semiHidden/>
    <w:rsid w:val="00EE28F3"/>
  </w:style>
  <w:style w:type="paragraph" w:styleId="BodyText3">
    <w:name w:val="Body Text 3"/>
    <w:basedOn w:val="Normal"/>
    <w:link w:val="BodyText3Char"/>
    <w:uiPriority w:val="99"/>
    <w:semiHidden/>
    <w:unhideWhenUsed/>
    <w:rsid w:val="005C26CC"/>
    <w:pPr>
      <w:spacing w:after="120"/>
    </w:pPr>
    <w:rPr>
      <w:szCs w:val="16"/>
    </w:rPr>
  </w:style>
  <w:style w:type="character" w:customStyle="1" w:styleId="BodyText3Char">
    <w:name w:val="Body Text 3 Char"/>
    <w:basedOn w:val="DefaultParagraphFont"/>
    <w:link w:val="BodyText3"/>
    <w:uiPriority w:val="99"/>
    <w:semiHidden/>
    <w:rsid w:val="005C26CC"/>
    <w:rPr>
      <w:rFonts w:ascii="Arial" w:hAnsi="Arial"/>
      <w:szCs w:val="16"/>
    </w:rPr>
  </w:style>
  <w:style w:type="paragraph" w:styleId="TOC1">
    <w:name w:val="toc 1"/>
    <w:basedOn w:val="Normal"/>
    <w:next w:val="Normal"/>
    <w:autoRedefine/>
    <w:uiPriority w:val="39"/>
    <w:qFormat/>
    <w:rsid w:val="009F4940"/>
    <w:pPr>
      <w:tabs>
        <w:tab w:val="left" w:pos="426"/>
        <w:tab w:val="right" w:leader="dot" w:pos="9016"/>
      </w:tabs>
      <w:spacing w:after="100"/>
    </w:pPr>
    <w:rPr>
      <w:noProof/>
      <w:lang w:val="en-US" w:eastAsia="ja-JP"/>
    </w:rPr>
  </w:style>
  <w:style w:type="paragraph" w:styleId="TOC2">
    <w:name w:val="toc 2"/>
    <w:basedOn w:val="Normal"/>
    <w:next w:val="Normal"/>
    <w:uiPriority w:val="39"/>
    <w:qFormat/>
    <w:rsid w:val="009F4940"/>
    <w:pPr>
      <w:tabs>
        <w:tab w:val="left" w:pos="880"/>
        <w:tab w:val="right" w:leader="dot" w:pos="9016"/>
      </w:tabs>
      <w:spacing w:after="100"/>
      <w:ind w:left="425"/>
    </w:pPr>
    <w:rPr>
      <w:noProof/>
    </w:rPr>
  </w:style>
  <w:style w:type="paragraph" w:styleId="TOC3">
    <w:name w:val="toc 3"/>
    <w:basedOn w:val="Normal"/>
    <w:next w:val="Normal"/>
    <w:uiPriority w:val="39"/>
    <w:qFormat/>
    <w:rsid w:val="009F4940"/>
    <w:pPr>
      <w:tabs>
        <w:tab w:val="left" w:pos="1760"/>
        <w:tab w:val="right" w:leader="dot" w:pos="9016"/>
      </w:tabs>
      <w:spacing w:after="100"/>
      <w:ind w:left="851"/>
    </w:pPr>
    <w:rPr>
      <w:noProof/>
    </w:rPr>
  </w:style>
  <w:style w:type="paragraph" w:styleId="Title">
    <w:name w:val="Title"/>
    <w:basedOn w:val="Normal"/>
    <w:next w:val="Normal"/>
    <w:link w:val="TitleChar"/>
    <w:uiPriority w:val="10"/>
    <w:qFormat/>
    <w:rsid w:val="00174102"/>
    <w:pPr>
      <w:spacing w:before="720" w:after="120"/>
      <w:contextualSpacing/>
      <w:outlineLvl w:val="0"/>
    </w:pPr>
    <w:rPr>
      <w:rFonts w:asciiTheme="majorHAnsi" w:eastAsiaTheme="majorEastAsia" w:hAnsiTheme="majorHAnsi" w:cstheme="majorBidi"/>
      <w:color w:val="4F2D7D" w:themeColor="accent2"/>
      <w:spacing w:val="5"/>
      <w:kern w:val="28"/>
      <w:sz w:val="72"/>
      <w:szCs w:val="52"/>
    </w:rPr>
  </w:style>
  <w:style w:type="character" w:customStyle="1" w:styleId="TitleChar">
    <w:name w:val="Title Char"/>
    <w:basedOn w:val="DefaultParagraphFont"/>
    <w:link w:val="Title"/>
    <w:uiPriority w:val="10"/>
    <w:rsid w:val="00174102"/>
    <w:rPr>
      <w:rFonts w:asciiTheme="majorHAnsi" w:eastAsiaTheme="majorEastAsia" w:hAnsiTheme="majorHAnsi" w:cstheme="majorBidi"/>
      <w:color w:val="4F2D7D" w:themeColor="accent2"/>
      <w:spacing w:val="5"/>
      <w:kern w:val="28"/>
      <w:sz w:val="72"/>
      <w:szCs w:val="52"/>
    </w:rPr>
  </w:style>
  <w:style w:type="paragraph" w:customStyle="1" w:styleId="CoverDate">
    <w:name w:val="Cover Date"/>
    <w:rsid w:val="00E4674F"/>
    <w:rPr>
      <w:rFonts w:ascii="Lucida Fax" w:hAnsi="Lucida Fax"/>
      <w:color w:val="DC5034"/>
      <w:sz w:val="24"/>
      <w:szCs w:val="24"/>
    </w:rPr>
  </w:style>
  <w:style w:type="character" w:styleId="BookTitle">
    <w:name w:val="Book Title"/>
    <w:uiPriority w:val="33"/>
    <w:qFormat/>
    <w:rsid w:val="0081034E"/>
    <w:rPr>
      <w:rFonts w:ascii="Arial" w:hAnsi="Arial"/>
      <w:bCs/>
      <w:i/>
      <w:caps w:val="0"/>
      <w:smallCaps w:val="0"/>
      <w:spacing w:val="0"/>
      <w:sz w:val="22"/>
    </w:rPr>
  </w:style>
  <w:style w:type="table" w:styleId="LightList-Accent1">
    <w:name w:val="Light List Accent 1"/>
    <w:basedOn w:val="TableNormal"/>
    <w:uiPriority w:val="61"/>
    <w:rsid w:val="0081034E"/>
    <w:pPr>
      <w:spacing w:before="0"/>
    </w:pPr>
    <w:tblPr>
      <w:tblStyleRowBandSize w:val="1"/>
      <w:tblStyleColBandSize w:val="1"/>
      <w:tblBorders>
        <w:top w:val="single" w:sz="8" w:space="0" w:color="51626F" w:themeColor="accent1"/>
        <w:left w:val="single" w:sz="8" w:space="0" w:color="51626F" w:themeColor="accent1"/>
        <w:bottom w:val="single" w:sz="8" w:space="0" w:color="51626F" w:themeColor="accent1"/>
        <w:right w:val="single" w:sz="8" w:space="0" w:color="51626F" w:themeColor="accent1"/>
      </w:tblBorders>
    </w:tblPr>
    <w:tblStylePr w:type="firstRow">
      <w:pPr>
        <w:spacing w:before="0" w:after="0" w:line="240" w:lineRule="auto"/>
      </w:pPr>
      <w:rPr>
        <w:b/>
        <w:bCs/>
        <w:color w:val="FFFFFF" w:themeColor="background1"/>
      </w:rPr>
      <w:tblPr/>
      <w:tcPr>
        <w:shd w:val="clear" w:color="auto" w:fill="51626F" w:themeFill="accent1"/>
      </w:tcPr>
    </w:tblStylePr>
    <w:tblStylePr w:type="lastRow">
      <w:pPr>
        <w:spacing w:before="0" w:after="0" w:line="240" w:lineRule="auto"/>
      </w:pPr>
      <w:rPr>
        <w:b/>
        <w:bCs/>
      </w:rPr>
      <w:tblPr/>
      <w:tcPr>
        <w:tcBorders>
          <w:top w:val="double" w:sz="6" w:space="0" w:color="51626F" w:themeColor="accent1"/>
          <w:left w:val="single" w:sz="8" w:space="0" w:color="51626F" w:themeColor="accent1"/>
          <w:bottom w:val="single" w:sz="8" w:space="0" w:color="51626F" w:themeColor="accent1"/>
          <w:right w:val="single" w:sz="8" w:space="0" w:color="51626F" w:themeColor="accent1"/>
        </w:tcBorders>
      </w:tcPr>
    </w:tblStylePr>
    <w:tblStylePr w:type="firstCol">
      <w:rPr>
        <w:b/>
        <w:bCs/>
      </w:rPr>
    </w:tblStylePr>
    <w:tblStylePr w:type="lastCol">
      <w:rPr>
        <w:b/>
        <w:bCs/>
      </w:rPr>
    </w:tblStylePr>
    <w:tblStylePr w:type="band1Vert">
      <w:tblPr/>
      <w:tcPr>
        <w:tcBorders>
          <w:top w:val="single" w:sz="8" w:space="0" w:color="51626F" w:themeColor="accent1"/>
          <w:left w:val="single" w:sz="8" w:space="0" w:color="51626F" w:themeColor="accent1"/>
          <w:bottom w:val="single" w:sz="8" w:space="0" w:color="51626F" w:themeColor="accent1"/>
          <w:right w:val="single" w:sz="8" w:space="0" w:color="51626F" w:themeColor="accent1"/>
        </w:tcBorders>
      </w:tcPr>
    </w:tblStylePr>
    <w:tblStylePr w:type="band1Horz">
      <w:tblPr/>
      <w:tcPr>
        <w:tcBorders>
          <w:top w:val="single" w:sz="8" w:space="0" w:color="51626F" w:themeColor="accent1"/>
          <w:left w:val="single" w:sz="8" w:space="0" w:color="51626F" w:themeColor="accent1"/>
          <w:bottom w:val="single" w:sz="8" w:space="0" w:color="51626F" w:themeColor="accent1"/>
          <w:right w:val="single" w:sz="8" w:space="0" w:color="51626F" w:themeColor="accent1"/>
        </w:tcBorders>
      </w:tcPr>
    </w:tblStylePr>
  </w:style>
  <w:style w:type="table" w:styleId="LightList-Accent3">
    <w:name w:val="Light List Accent 3"/>
    <w:basedOn w:val="TableNormal"/>
    <w:uiPriority w:val="61"/>
    <w:rsid w:val="0081034E"/>
    <w:pPr>
      <w:spacing w:before="0"/>
    </w:pPr>
    <w:tblPr>
      <w:tblStyleRowBandSize w:val="1"/>
      <w:tblStyleColBandSize w:val="1"/>
      <w:tblBorders>
        <w:top w:val="single" w:sz="8" w:space="0" w:color="0098C3" w:themeColor="accent3"/>
        <w:left w:val="single" w:sz="8" w:space="0" w:color="0098C3" w:themeColor="accent3"/>
        <w:bottom w:val="single" w:sz="8" w:space="0" w:color="0098C3" w:themeColor="accent3"/>
        <w:right w:val="single" w:sz="8" w:space="0" w:color="0098C3" w:themeColor="accent3"/>
      </w:tblBorders>
    </w:tblPr>
    <w:tblStylePr w:type="firstRow">
      <w:pPr>
        <w:spacing w:before="0" w:after="0" w:line="240" w:lineRule="auto"/>
      </w:pPr>
      <w:rPr>
        <w:b/>
        <w:bCs/>
        <w:color w:val="FFFFFF" w:themeColor="background1"/>
      </w:rPr>
      <w:tblPr/>
      <w:tcPr>
        <w:shd w:val="clear" w:color="auto" w:fill="0098C3" w:themeFill="accent3"/>
      </w:tcPr>
    </w:tblStylePr>
    <w:tblStylePr w:type="lastRow">
      <w:pPr>
        <w:spacing w:before="0" w:after="0" w:line="240" w:lineRule="auto"/>
      </w:pPr>
      <w:rPr>
        <w:b/>
        <w:bCs/>
      </w:rPr>
      <w:tblPr/>
      <w:tcPr>
        <w:tcBorders>
          <w:top w:val="double" w:sz="6" w:space="0" w:color="0098C3" w:themeColor="accent3"/>
          <w:left w:val="single" w:sz="8" w:space="0" w:color="0098C3" w:themeColor="accent3"/>
          <w:bottom w:val="single" w:sz="8" w:space="0" w:color="0098C3" w:themeColor="accent3"/>
          <w:right w:val="single" w:sz="8" w:space="0" w:color="0098C3" w:themeColor="accent3"/>
        </w:tcBorders>
      </w:tcPr>
    </w:tblStylePr>
    <w:tblStylePr w:type="firstCol">
      <w:rPr>
        <w:b/>
        <w:bCs/>
      </w:rPr>
    </w:tblStylePr>
    <w:tblStylePr w:type="lastCol">
      <w:rPr>
        <w:b/>
        <w:bCs/>
      </w:rPr>
    </w:tblStylePr>
    <w:tblStylePr w:type="band1Vert">
      <w:tblPr/>
      <w:tcPr>
        <w:tcBorders>
          <w:top w:val="single" w:sz="8" w:space="0" w:color="0098C3" w:themeColor="accent3"/>
          <w:left w:val="single" w:sz="8" w:space="0" w:color="0098C3" w:themeColor="accent3"/>
          <w:bottom w:val="single" w:sz="8" w:space="0" w:color="0098C3" w:themeColor="accent3"/>
          <w:right w:val="single" w:sz="8" w:space="0" w:color="0098C3" w:themeColor="accent3"/>
        </w:tcBorders>
      </w:tcPr>
    </w:tblStylePr>
    <w:tblStylePr w:type="band1Horz">
      <w:tblPr/>
      <w:tcPr>
        <w:tcBorders>
          <w:top w:val="single" w:sz="8" w:space="0" w:color="0098C3" w:themeColor="accent3"/>
          <w:left w:val="single" w:sz="8" w:space="0" w:color="0098C3" w:themeColor="accent3"/>
          <w:bottom w:val="single" w:sz="8" w:space="0" w:color="0098C3" w:themeColor="accent3"/>
          <w:right w:val="single" w:sz="8" w:space="0" w:color="0098C3" w:themeColor="accent3"/>
        </w:tcBorders>
      </w:tcPr>
    </w:tblStylePr>
  </w:style>
  <w:style w:type="table" w:styleId="LightList-Accent5">
    <w:name w:val="Light List Accent 5"/>
    <w:basedOn w:val="TableNormal"/>
    <w:uiPriority w:val="61"/>
    <w:rsid w:val="005B1E3C"/>
    <w:pPr>
      <w:spacing w:before="0"/>
    </w:pPr>
    <w:tblPr>
      <w:tblStyleRowBandSize w:val="1"/>
      <w:tblStyleColBandSize w:val="1"/>
      <w:tblBorders>
        <w:top w:val="single" w:sz="8" w:space="0" w:color="B71202" w:themeColor="accent5"/>
        <w:left w:val="single" w:sz="8" w:space="0" w:color="B71202" w:themeColor="accent5"/>
        <w:bottom w:val="single" w:sz="8" w:space="0" w:color="B71202" w:themeColor="accent5"/>
        <w:right w:val="single" w:sz="8" w:space="0" w:color="B71202" w:themeColor="accent5"/>
      </w:tblBorders>
    </w:tblPr>
    <w:tblStylePr w:type="firstRow">
      <w:pPr>
        <w:spacing w:before="0" w:after="0" w:line="240" w:lineRule="auto"/>
      </w:pPr>
      <w:rPr>
        <w:b/>
        <w:bCs/>
        <w:color w:val="auto"/>
      </w:rPr>
      <w:tblPr/>
      <w:tcPr>
        <w:shd w:val="clear" w:color="auto" w:fill="B71202" w:themeFill="accent5"/>
      </w:tcPr>
    </w:tblStylePr>
    <w:tblStylePr w:type="lastRow">
      <w:pPr>
        <w:spacing w:before="0" w:after="0" w:line="240" w:lineRule="auto"/>
      </w:pPr>
      <w:rPr>
        <w:b/>
        <w:bCs/>
      </w:rPr>
      <w:tblPr/>
      <w:tcPr>
        <w:tcBorders>
          <w:top w:val="double" w:sz="6" w:space="0" w:color="B71202" w:themeColor="accent5"/>
          <w:left w:val="single" w:sz="8" w:space="0" w:color="B71202" w:themeColor="accent5"/>
          <w:bottom w:val="single" w:sz="8" w:space="0" w:color="B71202" w:themeColor="accent5"/>
          <w:right w:val="single" w:sz="8" w:space="0" w:color="B71202" w:themeColor="accent5"/>
        </w:tcBorders>
      </w:tcPr>
    </w:tblStylePr>
    <w:tblStylePr w:type="firstCol">
      <w:rPr>
        <w:b/>
        <w:bCs/>
      </w:rPr>
    </w:tblStylePr>
    <w:tblStylePr w:type="lastCol">
      <w:rPr>
        <w:b/>
        <w:bCs/>
      </w:rPr>
    </w:tblStylePr>
    <w:tblStylePr w:type="band1Vert">
      <w:tblPr/>
      <w:tcPr>
        <w:tcBorders>
          <w:top w:val="single" w:sz="8" w:space="0" w:color="B71202" w:themeColor="accent5"/>
          <w:left w:val="single" w:sz="8" w:space="0" w:color="B71202" w:themeColor="accent5"/>
          <w:bottom w:val="single" w:sz="8" w:space="0" w:color="B71202" w:themeColor="accent5"/>
          <w:right w:val="single" w:sz="8" w:space="0" w:color="B71202" w:themeColor="accent5"/>
        </w:tcBorders>
      </w:tcPr>
    </w:tblStylePr>
    <w:tblStylePr w:type="band1Horz">
      <w:tblPr/>
      <w:tcPr>
        <w:tcBorders>
          <w:top w:val="single" w:sz="8" w:space="0" w:color="B71202" w:themeColor="accent5"/>
          <w:left w:val="single" w:sz="8" w:space="0" w:color="B71202" w:themeColor="accent5"/>
          <w:bottom w:val="single" w:sz="8" w:space="0" w:color="B71202" w:themeColor="accent5"/>
          <w:right w:val="single" w:sz="8" w:space="0" w:color="B71202" w:themeColor="accent5"/>
        </w:tcBorders>
      </w:tcPr>
    </w:tblStylePr>
  </w:style>
  <w:style w:type="character" w:styleId="Emphasis">
    <w:name w:val="Emphasis"/>
    <w:basedOn w:val="DefaultParagraphFont"/>
    <w:uiPriority w:val="20"/>
    <w:qFormat/>
    <w:rsid w:val="00701CAB"/>
    <w:rPr>
      <w:i/>
      <w:iCs/>
    </w:rPr>
  </w:style>
  <w:style w:type="paragraph" w:styleId="NormalIndent">
    <w:name w:val="Normal Indent"/>
    <w:basedOn w:val="Normal"/>
    <w:uiPriority w:val="1"/>
    <w:rsid w:val="00085663"/>
    <w:pPr>
      <w:ind w:left="720"/>
    </w:pPr>
  </w:style>
  <w:style w:type="paragraph" w:styleId="FootnoteText">
    <w:name w:val="footnote text"/>
    <w:basedOn w:val="Normal"/>
    <w:link w:val="FootnoteTextChar"/>
    <w:uiPriority w:val="2"/>
    <w:rsid w:val="003A673F"/>
    <w:pPr>
      <w:tabs>
        <w:tab w:val="left" w:pos="340"/>
      </w:tabs>
      <w:spacing w:before="60"/>
      <w:ind w:left="340" w:hanging="340"/>
    </w:pPr>
    <w:rPr>
      <w:sz w:val="16"/>
      <w:szCs w:val="20"/>
    </w:rPr>
  </w:style>
  <w:style w:type="character" w:customStyle="1" w:styleId="FootnoteTextChar">
    <w:name w:val="Footnote Text Char"/>
    <w:basedOn w:val="DefaultParagraphFont"/>
    <w:link w:val="FootnoteText"/>
    <w:uiPriority w:val="2"/>
    <w:rsid w:val="003A673F"/>
    <w:rPr>
      <w:rFonts w:ascii="Arial" w:hAnsi="Arial"/>
      <w:sz w:val="16"/>
      <w:szCs w:val="20"/>
    </w:rPr>
  </w:style>
  <w:style w:type="character" w:styleId="FootnoteReference">
    <w:name w:val="footnote reference"/>
    <w:basedOn w:val="DefaultParagraphFont"/>
    <w:uiPriority w:val="99"/>
    <w:unhideWhenUsed/>
    <w:rsid w:val="00701CAB"/>
    <w:rPr>
      <w:vertAlign w:val="superscript"/>
    </w:rPr>
  </w:style>
  <w:style w:type="character" w:styleId="Strong">
    <w:name w:val="Strong"/>
    <w:basedOn w:val="DefaultParagraphFont"/>
    <w:uiPriority w:val="22"/>
    <w:qFormat/>
    <w:rsid w:val="00EF5110"/>
    <w:rPr>
      <w:b/>
      <w:bCs/>
    </w:rPr>
  </w:style>
  <w:style w:type="paragraph" w:styleId="Subtitle">
    <w:name w:val="Subtitle"/>
    <w:next w:val="Normal"/>
    <w:link w:val="SubtitleChar"/>
    <w:uiPriority w:val="11"/>
    <w:qFormat/>
    <w:rsid w:val="008344F6"/>
    <w:pPr>
      <w:spacing w:before="360" w:after="120"/>
    </w:pPr>
    <w:rPr>
      <w:rFonts w:ascii="Lucida Fax" w:hAnsi="Lucida Fax"/>
      <w:color w:val="4F2D7F"/>
      <w:sz w:val="52"/>
      <w:szCs w:val="52"/>
    </w:rPr>
  </w:style>
  <w:style w:type="character" w:customStyle="1" w:styleId="SubtitleChar">
    <w:name w:val="Subtitle Char"/>
    <w:basedOn w:val="DefaultParagraphFont"/>
    <w:link w:val="Subtitle"/>
    <w:uiPriority w:val="11"/>
    <w:rsid w:val="008344F6"/>
    <w:rPr>
      <w:rFonts w:ascii="Lucida Fax" w:hAnsi="Lucida Fax"/>
      <w:color w:val="4F2D7F"/>
      <w:sz w:val="52"/>
      <w:szCs w:val="52"/>
    </w:rPr>
  </w:style>
  <w:style w:type="table" w:styleId="LightShading-Accent4">
    <w:name w:val="Light Shading Accent 4"/>
    <w:basedOn w:val="TableNormal"/>
    <w:uiPriority w:val="60"/>
    <w:rsid w:val="00746E01"/>
    <w:pPr>
      <w:spacing w:before="0"/>
    </w:pPr>
    <w:rPr>
      <w:color w:val="4DA5D9" w:themeColor="accent4" w:themeShade="BF"/>
    </w:rPr>
    <w:tblPr>
      <w:tblStyleRowBandSize w:val="1"/>
      <w:tblStyleColBandSize w:val="1"/>
      <w:tblBorders>
        <w:top w:val="single" w:sz="8" w:space="0" w:color="A0CFEB" w:themeColor="accent4"/>
        <w:bottom w:val="single" w:sz="8" w:space="0" w:color="A0CFEB" w:themeColor="accent4"/>
      </w:tblBorders>
    </w:tblPr>
    <w:tblStylePr w:type="firstRow">
      <w:pPr>
        <w:spacing w:before="0" w:after="0" w:line="240" w:lineRule="auto"/>
      </w:pPr>
      <w:rPr>
        <w:b/>
        <w:bCs/>
      </w:rPr>
      <w:tblPr/>
      <w:tcPr>
        <w:tcBorders>
          <w:top w:val="single" w:sz="8" w:space="0" w:color="A0CFEB" w:themeColor="accent4"/>
          <w:left w:val="nil"/>
          <w:bottom w:val="single" w:sz="8" w:space="0" w:color="A0CFEB" w:themeColor="accent4"/>
          <w:right w:val="nil"/>
          <w:insideH w:val="nil"/>
          <w:insideV w:val="nil"/>
        </w:tcBorders>
      </w:tcPr>
    </w:tblStylePr>
    <w:tblStylePr w:type="lastRow">
      <w:pPr>
        <w:spacing w:before="0" w:after="0" w:line="240" w:lineRule="auto"/>
      </w:pPr>
      <w:rPr>
        <w:b/>
        <w:bCs/>
      </w:rPr>
      <w:tblPr/>
      <w:tcPr>
        <w:tcBorders>
          <w:top w:val="single" w:sz="8" w:space="0" w:color="A0CFEB" w:themeColor="accent4"/>
          <w:left w:val="nil"/>
          <w:bottom w:val="single" w:sz="8" w:space="0" w:color="A0CFEB"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F3FA" w:themeFill="accent4" w:themeFillTint="3F"/>
      </w:tcPr>
    </w:tblStylePr>
    <w:tblStylePr w:type="band1Horz">
      <w:tblPr/>
      <w:tcPr>
        <w:tcBorders>
          <w:left w:val="nil"/>
          <w:right w:val="nil"/>
          <w:insideH w:val="nil"/>
          <w:insideV w:val="nil"/>
        </w:tcBorders>
        <w:shd w:val="clear" w:color="auto" w:fill="E7F3FA" w:themeFill="accent4" w:themeFillTint="3F"/>
      </w:tcPr>
    </w:tblStylePr>
  </w:style>
  <w:style w:type="table" w:styleId="LightShading-Accent6">
    <w:name w:val="Light Shading Accent 6"/>
    <w:basedOn w:val="TableNormal"/>
    <w:uiPriority w:val="60"/>
    <w:rsid w:val="00746E01"/>
    <w:pPr>
      <w:spacing w:before="0"/>
    </w:pPr>
    <w:rPr>
      <w:color w:val="AD351E" w:themeColor="accent6" w:themeShade="BF"/>
    </w:rPr>
    <w:tblPr>
      <w:tblStyleRowBandSize w:val="1"/>
      <w:tblStyleColBandSize w:val="1"/>
      <w:tblBorders>
        <w:top w:val="single" w:sz="8" w:space="0" w:color="DC5034" w:themeColor="accent6"/>
        <w:bottom w:val="single" w:sz="8" w:space="0" w:color="DC5034" w:themeColor="accent6"/>
      </w:tblBorders>
    </w:tblPr>
    <w:tblStylePr w:type="firstRow">
      <w:pPr>
        <w:spacing w:before="0" w:after="0" w:line="240" w:lineRule="auto"/>
      </w:pPr>
      <w:rPr>
        <w:b/>
        <w:bCs/>
      </w:rPr>
      <w:tblPr/>
      <w:tcPr>
        <w:tcBorders>
          <w:top w:val="single" w:sz="8" w:space="0" w:color="DC5034" w:themeColor="accent6"/>
          <w:left w:val="nil"/>
          <w:bottom w:val="single" w:sz="8" w:space="0" w:color="DC5034" w:themeColor="accent6"/>
          <w:right w:val="nil"/>
          <w:insideH w:val="nil"/>
          <w:insideV w:val="nil"/>
        </w:tcBorders>
      </w:tcPr>
    </w:tblStylePr>
    <w:tblStylePr w:type="lastRow">
      <w:pPr>
        <w:spacing w:before="0" w:after="0" w:line="240" w:lineRule="auto"/>
      </w:pPr>
      <w:rPr>
        <w:b/>
        <w:bCs/>
      </w:rPr>
      <w:tblPr/>
      <w:tcPr>
        <w:tcBorders>
          <w:top w:val="single" w:sz="8" w:space="0" w:color="DC5034" w:themeColor="accent6"/>
          <w:left w:val="nil"/>
          <w:bottom w:val="single" w:sz="8" w:space="0" w:color="DC5034"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D3CC" w:themeFill="accent6" w:themeFillTint="3F"/>
      </w:tcPr>
    </w:tblStylePr>
    <w:tblStylePr w:type="band1Horz">
      <w:tblPr/>
      <w:tcPr>
        <w:tcBorders>
          <w:left w:val="nil"/>
          <w:right w:val="nil"/>
          <w:insideH w:val="nil"/>
          <w:insideV w:val="nil"/>
        </w:tcBorders>
        <w:shd w:val="clear" w:color="auto" w:fill="F6D3CC" w:themeFill="accent6" w:themeFillTint="3F"/>
      </w:tcPr>
    </w:tblStylePr>
  </w:style>
  <w:style w:type="paragraph" w:styleId="TOC4">
    <w:name w:val="toc 4"/>
    <w:basedOn w:val="Normal"/>
    <w:next w:val="Normal"/>
    <w:uiPriority w:val="39"/>
    <w:rsid w:val="009F4940"/>
    <w:pPr>
      <w:tabs>
        <w:tab w:val="right" w:leader="dot" w:pos="9016"/>
      </w:tabs>
      <w:spacing w:after="100"/>
      <w:ind w:left="1276"/>
    </w:pPr>
    <w:rPr>
      <w:noProof/>
    </w:rPr>
  </w:style>
  <w:style w:type="paragraph" w:styleId="TOC5">
    <w:name w:val="toc 5"/>
    <w:basedOn w:val="Normal"/>
    <w:next w:val="Normal"/>
    <w:uiPriority w:val="39"/>
    <w:rsid w:val="009F4940"/>
    <w:pPr>
      <w:tabs>
        <w:tab w:val="right" w:leader="dot" w:pos="9016"/>
      </w:tabs>
      <w:spacing w:after="100"/>
      <w:ind w:left="1701"/>
    </w:pPr>
    <w:rPr>
      <w:noProof/>
    </w:rPr>
  </w:style>
  <w:style w:type="paragraph" w:styleId="TOC6">
    <w:name w:val="toc 6"/>
    <w:basedOn w:val="Normal"/>
    <w:next w:val="Normal"/>
    <w:uiPriority w:val="39"/>
    <w:rsid w:val="009F4940"/>
    <w:pPr>
      <w:tabs>
        <w:tab w:val="right" w:leader="dot" w:pos="9016"/>
      </w:tabs>
      <w:spacing w:after="100"/>
      <w:ind w:left="2127"/>
    </w:pPr>
    <w:rPr>
      <w:noProof/>
    </w:rPr>
  </w:style>
  <w:style w:type="paragraph" w:styleId="TOC7">
    <w:name w:val="toc 7"/>
    <w:basedOn w:val="Normal"/>
    <w:next w:val="Normal"/>
    <w:uiPriority w:val="39"/>
    <w:rsid w:val="009F4940"/>
    <w:pPr>
      <w:tabs>
        <w:tab w:val="right" w:leader="dot" w:pos="9016"/>
      </w:tabs>
      <w:spacing w:after="100"/>
      <w:ind w:left="2552"/>
    </w:pPr>
    <w:rPr>
      <w:noProof/>
    </w:rPr>
  </w:style>
  <w:style w:type="paragraph" w:styleId="TableofAuthorities">
    <w:name w:val="table of authorities"/>
    <w:basedOn w:val="Normal"/>
    <w:next w:val="Normal"/>
    <w:uiPriority w:val="99"/>
    <w:unhideWhenUsed/>
    <w:rsid w:val="00B60F5D"/>
    <w:pPr>
      <w:ind w:left="220" w:hanging="220"/>
    </w:pPr>
  </w:style>
  <w:style w:type="table" w:customStyle="1" w:styleId="LightShading1">
    <w:name w:val="Light Shading1"/>
    <w:basedOn w:val="TableNormal"/>
    <w:next w:val="LightShading"/>
    <w:uiPriority w:val="60"/>
    <w:rsid w:val="00C53B5A"/>
    <w:pPr>
      <w:spacing w:before="120" w:after="120"/>
    </w:pPr>
    <w:rPr>
      <w:color w:val="000000" w:themeColor="text1" w:themeShade="BF"/>
      <w:sz w:val="20"/>
    </w:rPr>
    <w:tblPr>
      <w:tblBorders>
        <w:top w:val="single" w:sz="4" w:space="0" w:color="D5D6D2" w:themeColor="background2"/>
        <w:bottom w:val="single" w:sz="4" w:space="0" w:color="D5D6D2" w:themeColor="background2"/>
        <w:insideH w:val="single" w:sz="4" w:space="0" w:color="D5D6D2" w:themeColor="background2"/>
      </w:tblBorders>
    </w:tblPr>
    <w:tcPr>
      <w:shd w:val="clear" w:color="auto" w:fill="auto"/>
    </w:tcPr>
    <w:tblStylePr w:type="firstRow">
      <w:pPr>
        <w:wordWrap/>
        <w:spacing w:beforeLines="0" w:before="120" w:beforeAutospacing="0" w:afterLines="0" w:after="120" w:afterAutospacing="0" w:line="240" w:lineRule="auto"/>
      </w:pPr>
      <w:rPr>
        <w:rFonts w:ascii="Arial" w:hAnsi="Arial"/>
        <w:b/>
        <w:bCs/>
        <w:sz w:val="20"/>
      </w:rPr>
      <w:tblPr/>
      <w:tcPr>
        <w:tcBorders>
          <w:top w:val="single" w:sz="8" w:space="0" w:color="000000" w:themeColor="text1"/>
          <w:left w:val="nil"/>
          <w:bottom w:val="single" w:sz="8" w:space="0" w:color="000000" w:themeColor="text1"/>
          <w:right w:val="nil"/>
          <w:insideH w:val="nil"/>
          <w:insideV w:val="nil"/>
        </w:tcBorders>
        <w:shd w:val="clear" w:color="auto" w:fill="auto"/>
      </w:tcPr>
    </w:tblStylePr>
    <w:tblStylePr w:type="lastRow">
      <w:pPr>
        <w:wordWrap/>
        <w:spacing w:beforeLines="0" w:before="120" w:beforeAutospacing="0" w:afterLines="0" w:after="120" w:afterAutospacing="0" w:line="240" w:lineRule="auto"/>
      </w:pPr>
      <w:rPr>
        <w:rFonts w:ascii="Arial" w:hAnsi="Arial"/>
        <w:b/>
        <w:bCs/>
        <w:sz w:val="20"/>
      </w:rPr>
      <w:tblPr/>
      <w:tcPr>
        <w:tcBorders>
          <w:top w:val="single" w:sz="8" w:space="0" w:color="000000" w:themeColor="text1"/>
          <w:left w:val="nil"/>
          <w:bottom w:val="single" w:sz="8" w:space="0" w:color="000000" w:themeColor="text1"/>
          <w:right w:val="nil"/>
          <w:insideH w:val="nil"/>
          <w:insideV w:val="nil"/>
        </w:tcBorders>
        <w:vAlign w:val="center"/>
      </w:tcPr>
    </w:tblStylePr>
    <w:tblStylePr w:type="firstCol">
      <w:rPr>
        <w:b/>
        <w:bCs/>
        <w:sz w:val="20"/>
      </w:rPr>
    </w:tblStylePr>
    <w:tblStylePr w:type="lastCol">
      <w:rPr>
        <w:b/>
        <w:bCs/>
      </w:rPr>
    </w:tblStylePr>
  </w:style>
  <w:style w:type="table" w:styleId="LightList-Accent2">
    <w:name w:val="Light List Accent 2"/>
    <w:basedOn w:val="TableNormal"/>
    <w:uiPriority w:val="61"/>
    <w:rsid w:val="009661DE"/>
    <w:pPr>
      <w:spacing w:before="0"/>
    </w:pPr>
    <w:tblPr>
      <w:tblStyleRowBandSize w:val="1"/>
      <w:tblStyleColBandSize w:val="1"/>
      <w:tblBorders>
        <w:top w:val="single" w:sz="8" w:space="0" w:color="4F2D7D" w:themeColor="accent2"/>
        <w:left w:val="single" w:sz="8" w:space="0" w:color="4F2D7D" w:themeColor="accent2"/>
        <w:bottom w:val="single" w:sz="8" w:space="0" w:color="4F2D7D" w:themeColor="accent2"/>
        <w:right w:val="single" w:sz="8" w:space="0" w:color="4F2D7D" w:themeColor="accent2"/>
      </w:tblBorders>
    </w:tblPr>
    <w:tblStylePr w:type="firstRow">
      <w:pPr>
        <w:spacing w:before="0" w:after="0" w:line="240" w:lineRule="auto"/>
      </w:pPr>
      <w:rPr>
        <w:b/>
        <w:bCs/>
        <w:color w:val="FFFFFF" w:themeColor="background1"/>
      </w:rPr>
      <w:tblPr/>
      <w:tcPr>
        <w:shd w:val="clear" w:color="auto" w:fill="4F2D7D" w:themeFill="accent2"/>
      </w:tcPr>
    </w:tblStylePr>
    <w:tblStylePr w:type="lastRow">
      <w:pPr>
        <w:spacing w:before="0" w:after="0" w:line="240" w:lineRule="auto"/>
      </w:pPr>
      <w:rPr>
        <w:b/>
        <w:bCs/>
      </w:rPr>
      <w:tblPr/>
      <w:tcPr>
        <w:tcBorders>
          <w:top w:val="double" w:sz="6" w:space="0" w:color="4F2D7D" w:themeColor="accent2"/>
          <w:left w:val="single" w:sz="8" w:space="0" w:color="4F2D7D" w:themeColor="accent2"/>
          <w:bottom w:val="single" w:sz="8" w:space="0" w:color="4F2D7D" w:themeColor="accent2"/>
          <w:right w:val="single" w:sz="8" w:space="0" w:color="4F2D7D" w:themeColor="accent2"/>
        </w:tcBorders>
      </w:tcPr>
    </w:tblStylePr>
    <w:tblStylePr w:type="firstCol">
      <w:rPr>
        <w:b/>
        <w:bCs/>
      </w:rPr>
    </w:tblStylePr>
    <w:tblStylePr w:type="lastCol">
      <w:rPr>
        <w:b/>
        <w:bCs/>
      </w:rPr>
    </w:tblStylePr>
    <w:tblStylePr w:type="band1Vert">
      <w:tblPr/>
      <w:tcPr>
        <w:tcBorders>
          <w:top w:val="single" w:sz="8" w:space="0" w:color="4F2D7D" w:themeColor="accent2"/>
          <w:left w:val="single" w:sz="8" w:space="0" w:color="4F2D7D" w:themeColor="accent2"/>
          <w:bottom w:val="single" w:sz="8" w:space="0" w:color="4F2D7D" w:themeColor="accent2"/>
          <w:right w:val="single" w:sz="8" w:space="0" w:color="4F2D7D" w:themeColor="accent2"/>
        </w:tcBorders>
      </w:tcPr>
    </w:tblStylePr>
    <w:tblStylePr w:type="band1Horz">
      <w:tblPr/>
      <w:tcPr>
        <w:tcBorders>
          <w:top w:val="single" w:sz="8" w:space="0" w:color="4F2D7D" w:themeColor="accent2"/>
          <w:left w:val="single" w:sz="8" w:space="0" w:color="4F2D7D" w:themeColor="accent2"/>
          <w:bottom w:val="single" w:sz="8" w:space="0" w:color="4F2D7D" w:themeColor="accent2"/>
          <w:right w:val="single" w:sz="8" w:space="0" w:color="4F2D7D" w:themeColor="accent2"/>
        </w:tcBorders>
      </w:tcPr>
    </w:tblStylePr>
  </w:style>
  <w:style w:type="table" w:styleId="LightList-Accent4">
    <w:name w:val="Light List Accent 4"/>
    <w:basedOn w:val="TableNormal"/>
    <w:uiPriority w:val="61"/>
    <w:rsid w:val="009661DE"/>
    <w:pPr>
      <w:spacing w:before="0"/>
    </w:pPr>
    <w:tblPr>
      <w:tblStyleRowBandSize w:val="1"/>
      <w:tblStyleColBandSize w:val="1"/>
      <w:tblBorders>
        <w:top w:val="single" w:sz="8" w:space="0" w:color="A0CFEB" w:themeColor="accent4"/>
        <w:left w:val="single" w:sz="8" w:space="0" w:color="A0CFEB" w:themeColor="accent4"/>
        <w:bottom w:val="single" w:sz="8" w:space="0" w:color="A0CFEB" w:themeColor="accent4"/>
        <w:right w:val="single" w:sz="8" w:space="0" w:color="A0CFEB" w:themeColor="accent4"/>
      </w:tblBorders>
    </w:tblPr>
    <w:tblStylePr w:type="firstRow">
      <w:pPr>
        <w:spacing w:before="0" w:after="0" w:line="240" w:lineRule="auto"/>
      </w:pPr>
      <w:rPr>
        <w:b/>
        <w:bCs/>
        <w:color w:val="FFFFFF" w:themeColor="background1"/>
      </w:rPr>
      <w:tblPr/>
      <w:tcPr>
        <w:shd w:val="clear" w:color="auto" w:fill="A0CFEB" w:themeFill="accent4"/>
      </w:tcPr>
    </w:tblStylePr>
    <w:tblStylePr w:type="lastRow">
      <w:pPr>
        <w:spacing w:before="0" w:after="0" w:line="240" w:lineRule="auto"/>
      </w:pPr>
      <w:rPr>
        <w:b/>
        <w:bCs/>
      </w:rPr>
      <w:tblPr/>
      <w:tcPr>
        <w:tcBorders>
          <w:top w:val="double" w:sz="6" w:space="0" w:color="A0CFEB" w:themeColor="accent4"/>
          <w:left w:val="single" w:sz="8" w:space="0" w:color="A0CFEB" w:themeColor="accent4"/>
          <w:bottom w:val="single" w:sz="8" w:space="0" w:color="A0CFEB" w:themeColor="accent4"/>
          <w:right w:val="single" w:sz="8" w:space="0" w:color="A0CFEB" w:themeColor="accent4"/>
        </w:tcBorders>
      </w:tcPr>
    </w:tblStylePr>
    <w:tblStylePr w:type="firstCol">
      <w:rPr>
        <w:b/>
        <w:bCs/>
      </w:rPr>
    </w:tblStylePr>
    <w:tblStylePr w:type="lastCol">
      <w:rPr>
        <w:b/>
        <w:bCs/>
      </w:rPr>
    </w:tblStylePr>
    <w:tblStylePr w:type="band1Vert">
      <w:tblPr/>
      <w:tcPr>
        <w:tcBorders>
          <w:top w:val="single" w:sz="8" w:space="0" w:color="A0CFEB" w:themeColor="accent4"/>
          <w:left w:val="single" w:sz="8" w:space="0" w:color="A0CFEB" w:themeColor="accent4"/>
          <w:bottom w:val="single" w:sz="8" w:space="0" w:color="A0CFEB" w:themeColor="accent4"/>
          <w:right w:val="single" w:sz="8" w:space="0" w:color="A0CFEB" w:themeColor="accent4"/>
        </w:tcBorders>
      </w:tcPr>
    </w:tblStylePr>
    <w:tblStylePr w:type="band1Horz">
      <w:tblPr/>
      <w:tcPr>
        <w:tcBorders>
          <w:top w:val="single" w:sz="8" w:space="0" w:color="A0CFEB" w:themeColor="accent4"/>
          <w:left w:val="single" w:sz="8" w:space="0" w:color="A0CFEB" w:themeColor="accent4"/>
          <w:bottom w:val="single" w:sz="8" w:space="0" w:color="A0CFEB" w:themeColor="accent4"/>
          <w:right w:val="single" w:sz="8" w:space="0" w:color="A0CFEB" w:themeColor="accent4"/>
        </w:tcBorders>
      </w:tcPr>
    </w:tblStylePr>
  </w:style>
  <w:style w:type="table" w:styleId="LightList-Accent6">
    <w:name w:val="Light List Accent 6"/>
    <w:basedOn w:val="TableNormal"/>
    <w:uiPriority w:val="61"/>
    <w:rsid w:val="009661DE"/>
    <w:pPr>
      <w:spacing w:before="0"/>
    </w:pPr>
    <w:tblPr>
      <w:tblStyleRowBandSize w:val="1"/>
      <w:tblStyleColBandSize w:val="1"/>
      <w:tblBorders>
        <w:top w:val="single" w:sz="8" w:space="0" w:color="DC5034" w:themeColor="accent6"/>
        <w:left w:val="single" w:sz="8" w:space="0" w:color="DC5034" w:themeColor="accent6"/>
        <w:bottom w:val="single" w:sz="8" w:space="0" w:color="DC5034" w:themeColor="accent6"/>
        <w:right w:val="single" w:sz="8" w:space="0" w:color="DC5034" w:themeColor="accent6"/>
      </w:tblBorders>
    </w:tblPr>
    <w:tblStylePr w:type="firstRow">
      <w:pPr>
        <w:spacing w:before="0" w:after="0" w:line="240" w:lineRule="auto"/>
      </w:pPr>
      <w:rPr>
        <w:b/>
        <w:bCs/>
        <w:color w:val="FFFFFF" w:themeColor="background1"/>
      </w:rPr>
      <w:tblPr/>
      <w:tcPr>
        <w:shd w:val="clear" w:color="auto" w:fill="DC5034" w:themeFill="accent6"/>
      </w:tcPr>
    </w:tblStylePr>
    <w:tblStylePr w:type="lastRow">
      <w:pPr>
        <w:spacing w:before="0" w:after="0" w:line="240" w:lineRule="auto"/>
      </w:pPr>
      <w:rPr>
        <w:b/>
        <w:bCs/>
      </w:rPr>
      <w:tblPr/>
      <w:tcPr>
        <w:tcBorders>
          <w:top w:val="double" w:sz="6" w:space="0" w:color="DC5034" w:themeColor="accent6"/>
          <w:left w:val="single" w:sz="8" w:space="0" w:color="DC5034" w:themeColor="accent6"/>
          <w:bottom w:val="single" w:sz="8" w:space="0" w:color="DC5034" w:themeColor="accent6"/>
          <w:right w:val="single" w:sz="8" w:space="0" w:color="DC5034" w:themeColor="accent6"/>
        </w:tcBorders>
      </w:tcPr>
    </w:tblStylePr>
    <w:tblStylePr w:type="firstCol">
      <w:rPr>
        <w:b/>
        <w:bCs/>
      </w:rPr>
    </w:tblStylePr>
    <w:tblStylePr w:type="lastCol">
      <w:rPr>
        <w:b/>
        <w:bCs/>
      </w:rPr>
    </w:tblStylePr>
    <w:tblStylePr w:type="band1Vert">
      <w:tblPr/>
      <w:tcPr>
        <w:tcBorders>
          <w:top w:val="single" w:sz="8" w:space="0" w:color="DC5034" w:themeColor="accent6"/>
          <w:left w:val="single" w:sz="8" w:space="0" w:color="DC5034" w:themeColor="accent6"/>
          <w:bottom w:val="single" w:sz="8" w:space="0" w:color="DC5034" w:themeColor="accent6"/>
          <w:right w:val="single" w:sz="8" w:space="0" w:color="DC5034" w:themeColor="accent6"/>
        </w:tcBorders>
      </w:tcPr>
    </w:tblStylePr>
    <w:tblStylePr w:type="band1Horz">
      <w:tblPr/>
      <w:tcPr>
        <w:tcBorders>
          <w:top w:val="single" w:sz="8" w:space="0" w:color="DC5034" w:themeColor="accent6"/>
          <w:left w:val="single" w:sz="8" w:space="0" w:color="DC5034" w:themeColor="accent6"/>
          <w:bottom w:val="single" w:sz="8" w:space="0" w:color="DC5034" w:themeColor="accent6"/>
          <w:right w:val="single" w:sz="8" w:space="0" w:color="DC5034" w:themeColor="accent6"/>
        </w:tcBorders>
      </w:tcPr>
    </w:tblStylePr>
  </w:style>
  <w:style w:type="table" w:styleId="LightGrid">
    <w:name w:val="Light Grid"/>
    <w:basedOn w:val="TableNormal"/>
    <w:uiPriority w:val="62"/>
    <w:rsid w:val="009661DE"/>
    <w:pPr>
      <w:spacing w:before="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9661DE"/>
    <w:pPr>
      <w:spacing w:before="0"/>
    </w:pPr>
    <w:tblPr>
      <w:tblStyleRowBandSize w:val="1"/>
      <w:tblStyleColBandSize w:val="1"/>
      <w:tblBorders>
        <w:top w:val="single" w:sz="8" w:space="0" w:color="51626F" w:themeColor="accent1"/>
        <w:left w:val="single" w:sz="8" w:space="0" w:color="51626F" w:themeColor="accent1"/>
        <w:bottom w:val="single" w:sz="8" w:space="0" w:color="51626F" w:themeColor="accent1"/>
        <w:right w:val="single" w:sz="8" w:space="0" w:color="51626F" w:themeColor="accent1"/>
        <w:insideH w:val="single" w:sz="8" w:space="0" w:color="51626F" w:themeColor="accent1"/>
        <w:insideV w:val="single" w:sz="8" w:space="0" w:color="51626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1626F" w:themeColor="accent1"/>
          <w:left w:val="single" w:sz="8" w:space="0" w:color="51626F" w:themeColor="accent1"/>
          <w:bottom w:val="single" w:sz="18" w:space="0" w:color="51626F" w:themeColor="accent1"/>
          <w:right w:val="single" w:sz="8" w:space="0" w:color="51626F" w:themeColor="accent1"/>
          <w:insideH w:val="nil"/>
          <w:insideV w:val="single" w:sz="8" w:space="0" w:color="51626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1626F" w:themeColor="accent1"/>
          <w:left w:val="single" w:sz="8" w:space="0" w:color="51626F" w:themeColor="accent1"/>
          <w:bottom w:val="single" w:sz="8" w:space="0" w:color="51626F" w:themeColor="accent1"/>
          <w:right w:val="single" w:sz="8" w:space="0" w:color="51626F" w:themeColor="accent1"/>
          <w:insideH w:val="nil"/>
          <w:insideV w:val="single" w:sz="8" w:space="0" w:color="51626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1626F" w:themeColor="accent1"/>
          <w:left w:val="single" w:sz="8" w:space="0" w:color="51626F" w:themeColor="accent1"/>
          <w:bottom w:val="single" w:sz="8" w:space="0" w:color="51626F" w:themeColor="accent1"/>
          <w:right w:val="single" w:sz="8" w:space="0" w:color="51626F" w:themeColor="accent1"/>
        </w:tcBorders>
      </w:tcPr>
    </w:tblStylePr>
    <w:tblStylePr w:type="band1Vert">
      <w:tblPr/>
      <w:tcPr>
        <w:tcBorders>
          <w:top w:val="single" w:sz="8" w:space="0" w:color="51626F" w:themeColor="accent1"/>
          <w:left w:val="single" w:sz="8" w:space="0" w:color="51626F" w:themeColor="accent1"/>
          <w:bottom w:val="single" w:sz="8" w:space="0" w:color="51626F" w:themeColor="accent1"/>
          <w:right w:val="single" w:sz="8" w:space="0" w:color="51626F" w:themeColor="accent1"/>
        </w:tcBorders>
        <w:shd w:val="clear" w:color="auto" w:fill="D1D8DD" w:themeFill="accent1" w:themeFillTint="3F"/>
      </w:tcPr>
    </w:tblStylePr>
    <w:tblStylePr w:type="band1Horz">
      <w:tblPr/>
      <w:tcPr>
        <w:tcBorders>
          <w:top w:val="single" w:sz="8" w:space="0" w:color="51626F" w:themeColor="accent1"/>
          <w:left w:val="single" w:sz="8" w:space="0" w:color="51626F" w:themeColor="accent1"/>
          <w:bottom w:val="single" w:sz="8" w:space="0" w:color="51626F" w:themeColor="accent1"/>
          <w:right w:val="single" w:sz="8" w:space="0" w:color="51626F" w:themeColor="accent1"/>
          <w:insideV w:val="single" w:sz="8" w:space="0" w:color="51626F" w:themeColor="accent1"/>
        </w:tcBorders>
        <w:shd w:val="clear" w:color="auto" w:fill="D1D8DD" w:themeFill="accent1" w:themeFillTint="3F"/>
      </w:tcPr>
    </w:tblStylePr>
    <w:tblStylePr w:type="band2Horz">
      <w:tblPr/>
      <w:tcPr>
        <w:tcBorders>
          <w:top w:val="single" w:sz="8" w:space="0" w:color="51626F" w:themeColor="accent1"/>
          <w:left w:val="single" w:sz="8" w:space="0" w:color="51626F" w:themeColor="accent1"/>
          <w:bottom w:val="single" w:sz="8" w:space="0" w:color="51626F" w:themeColor="accent1"/>
          <w:right w:val="single" w:sz="8" w:space="0" w:color="51626F" w:themeColor="accent1"/>
          <w:insideV w:val="single" w:sz="8" w:space="0" w:color="51626F" w:themeColor="accent1"/>
        </w:tcBorders>
      </w:tcPr>
    </w:tblStylePr>
  </w:style>
  <w:style w:type="table" w:styleId="LightGrid-Accent2">
    <w:name w:val="Light Grid Accent 2"/>
    <w:basedOn w:val="TableNormal"/>
    <w:uiPriority w:val="62"/>
    <w:rsid w:val="009661DE"/>
    <w:pPr>
      <w:spacing w:before="0"/>
    </w:pPr>
    <w:tblPr>
      <w:tblStyleRowBandSize w:val="1"/>
      <w:tblStyleColBandSize w:val="1"/>
      <w:tblBorders>
        <w:top w:val="single" w:sz="8" w:space="0" w:color="4F2D7D" w:themeColor="accent2"/>
        <w:left w:val="single" w:sz="8" w:space="0" w:color="4F2D7D" w:themeColor="accent2"/>
        <w:bottom w:val="single" w:sz="8" w:space="0" w:color="4F2D7D" w:themeColor="accent2"/>
        <w:right w:val="single" w:sz="8" w:space="0" w:color="4F2D7D" w:themeColor="accent2"/>
        <w:insideH w:val="single" w:sz="8" w:space="0" w:color="4F2D7D" w:themeColor="accent2"/>
        <w:insideV w:val="single" w:sz="8" w:space="0" w:color="4F2D7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2D7D" w:themeColor="accent2"/>
          <w:left w:val="single" w:sz="8" w:space="0" w:color="4F2D7D" w:themeColor="accent2"/>
          <w:bottom w:val="single" w:sz="18" w:space="0" w:color="4F2D7D" w:themeColor="accent2"/>
          <w:right w:val="single" w:sz="8" w:space="0" w:color="4F2D7D" w:themeColor="accent2"/>
          <w:insideH w:val="nil"/>
          <w:insideV w:val="single" w:sz="8" w:space="0" w:color="4F2D7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2D7D" w:themeColor="accent2"/>
          <w:left w:val="single" w:sz="8" w:space="0" w:color="4F2D7D" w:themeColor="accent2"/>
          <w:bottom w:val="single" w:sz="8" w:space="0" w:color="4F2D7D" w:themeColor="accent2"/>
          <w:right w:val="single" w:sz="8" w:space="0" w:color="4F2D7D" w:themeColor="accent2"/>
          <w:insideH w:val="nil"/>
          <w:insideV w:val="single" w:sz="8" w:space="0" w:color="4F2D7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2D7D" w:themeColor="accent2"/>
          <w:left w:val="single" w:sz="8" w:space="0" w:color="4F2D7D" w:themeColor="accent2"/>
          <w:bottom w:val="single" w:sz="8" w:space="0" w:color="4F2D7D" w:themeColor="accent2"/>
          <w:right w:val="single" w:sz="8" w:space="0" w:color="4F2D7D" w:themeColor="accent2"/>
        </w:tcBorders>
      </w:tcPr>
    </w:tblStylePr>
    <w:tblStylePr w:type="band1Vert">
      <w:tblPr/>
      <w:tcPr>
        <w:tcBorders>
          <w:top w:val="single" w:sz="8" w:space="0" w:color="4F2D7D" w:themeColor="accent2"/>
          <w:left w:val="single" w:sz="8" w:space="0" w:color="4F2D7D" w:themeColor="accent2"/>
          <w:bottom w:val="single" w:sz="8" w:space="0" w:color="4F2D7D" w:themeColor="accent2"/>
          <w:right w:val="single" w:sz="8" w:space="0" w:color="4F2D7D" w:themeColor="accent2"/>
        </w:tcBorders>
        <w:shd w:val="clear" w:color="auto" w:fill="D1C1E8" w:themeFill="accent2" w:themeFillTint="3F"/>
      </w:tcPr>
    </w:tblStylePr>
    <w:tblStylePr w:type="band1Horz">
      <w:tblPr/>
      <w:tcPr>
        <w:tcBorders>
          <w:top w:val="single" w:sz="8" w:space="0" w:color="4F2D7D" w:themeColor="accent2"/>
          <w:left w:val="single" w:sz="8" w:space="0" w:color="4F2D7D" w:themeColor="accent2"/>
          <w:bottom w:val="single" w:sz="8" w:space="0" w:color="4F2D7D" w:themeColor="accent2"/>
          <w:right w:val="single" w:sz="8" w:space="0" w:color="4F2D7D" w:themeColor="accent2"/>
          <w:insideV w:val="single" w:sz="8" w:space="0" w:color="4F2D7D" w:themeColor="accent2"/>
        </w:tcBorders>
        <w:shd w:val="clear" w:color="auto" w:fill="D1C1E8" w:themeFill="accent2" w:themeFillTint="3F"/>
      </w:tcPr>
    </w:tblStylePr>
    <w:tblStylePr w:type="band2Horz">
      <w:tblPr/>
      <w:tcPr>
        <w:tcBorders>
          <w:top w:val="single" w:sz="8" w:space="0" w:color="4F2D7D" w:themeColor="accent2"/>
          <w:left w:val="single" w:sz="8" w:space="0" w:color="4F2D7D" w:themeColor="accent2"/>
          <w:bottom w:val="single" w:sz="8" w:space="0" w:color="4F2D7D" w:themeColor="accent2"/>
          <w:right w:val="single" w:sz="8" w:space="0" w:color="4F2D7D" w:themeColor="accent2"/>
          <w:insideV w:val="single" w:sz="8" w:space="0" w:color="4F2D7D" w:themeColor="accent2"/>
        </w:tcBorders>
      </w:tcPr>
    </w:tblStylePr>
  </w:style>
  <w:style w:type="table" w:styleId="LightGrid-Accent4">
    <w:name w:val="Light Grid Accent 4"/>
    <w:basedOn w:val="TableNormal"/>
    <w:uiPriority w:val="62"/>
    <w:rsid w:val="009661DE"/>
    <w:pPr>
      <w:spacing w:before="0"/>
    </w:pPr>
    <w:tblPr>
      <w:tblStyleRowBandSize w:val="1"/>
      <w:tblStyleColBandSize w:val="1"/>
      <w:tblBorders>
        <w:top w:val="single" w:sz="8" w:space="0" w:color="A0CFEB" w:themeColor="accent4"/>
        <w:left w:val="single" w:sz="8" w:space="0" w:color="A0CFEB" w:themeColor="accent4"/>
        <w:bottom w:val="single" w:sz="8" w:space="0" w:color="A0CFEB" w:themeColor="accent4"/>
        <w:right w:val="single" w:sz="8" w:space="0" w:color="A0CFEB" w:themeColor="accent4"/>
        <w:insideH w:val="single" w:sz="8" w:space="0" w:color="A0CFEB" w:themeColor="accent4"/>
        <w:insideV w:val="single" w:sz="8" w:space="0" w:color="A0CFEB"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0CFEB" w:themeColor="accent4"/>
          <w:left w:val="single" w:sz="8" w:space="0" w:color="A0CFEB" w:themeColor="accent4"/>
          <w:bottom w:val="single" w:sz="18" w:space="0" w:color="A0CFEB" w:themeColor="accent4"/>
          <w:right w:val="single" w:sz="8" w:space="0" w:color="A0CFEB" w:themeColor="accent4"/>
          <w:insideH w:val="nil"/>
          <w:insideV w:val="single" w:sz="8" w:space="0" w:color="A0CFEB"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0CFEB" w:themeColor="accent4"/>
          <w:left w:val="single" w:sz="8" w:space="0" w:color="A0CFEB" w:themeColor="accent4"/>
          <w:bottom w:val="single" w:sz="8" w:space="0" w:color="A0CFEB" w:themeColor="accent4"/>
          <w:right w:val="single" w:sz="8" w:space="0" w:color="A0CFEB" w:themeColor="accent4"/>
          <w:insideH w:val="nil"/>
          <w:insideV w:val="single" w:sz="8" w:space="0" w:color="A0CFEB"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0CFEB" w:themeColor="accent4"/>
          <w:left w:val="single" w:sz="8" w:space="0" w:color="A0CFEB" w:themeColor="accent4"/>
          <w:bottom w:val="single" w:sz="8" w:space="0" w:color="A0CFEB" w:themeColor="accent4"/>
          <w:right w:val="single" w:sz="8" w:space="0" w:color="A0CFEB" w:themeColor="accent4"/>
        </w:tcBorders>
      </w:tcPr>
    </w:tblStylePr>
    <w:tblStylePr w:type="band1Vert">
      <w:tblPr/>
      <w:tcPr>
        <w:tcBorders>
          <w:top w:val="single" w:sz="8" w:space="0" w:color="A0CFEB" w:themeColor="accent4"/>
          <w:left w:val="single" w:sz="8" w:space="0" w:color="A0CFEB" w:themeColor="accent4"/>
          <w:bottom w:val="single" w:sz="8" w:space="0" w:color="A0CFEB" w:themeColor="accent4"/>
          <w:right w:val="single" w:sz="8" w:space="0" w:color="A0CFEB" w:themeColor="accent4"/>
        </w:tcBorders>
        <w:shd w:val="clear" w:color="auto" w:fill="E7F3FA" w:themeFill="accent4" w:themeFillTint="3F"/>
      </w:tcPr>
    </w:tblStylePr>
    <w:tblStylePr w:type="band1Horz">
      <w:tblPr/>
      <w:tcPr>
        <w:tcBorders>
          <w:top w:val="single" w:sz="8" w:space="0" w:color="A0CFEB" w:themeColor="accent4"/>
          <w:left w:val="single" w:sz="8" w:space="0" w:color="A0CFEB" w:themeColor="accent4"/>
          <w:bottom w:val="single" w:sz="8" w:space="0" w:color="A0CFEB" w:themeColor="accent4"/>
          <w:right w:val="single" w:sz="8" w:space="0" w:color="A0CFEB" w:themeColor="accent4"/>
          <w:insideV w:val="single" w:sz="8" w:space="0" w:color="A0CFEB" w:themeColor="accent4"/>
        </w:tcBorders>
        <w:shd w:val="clear" w:color="auto" w:fill="E7F3FA" w:themeFill="accent4" w:themeFillTint="3F"/>
      </w:tcPr>
    </w:tblStylePr>
    <w:tblStylePr w:type="band2Horz">
      <w:tblPr/>
      <w:tcPr>
        <w:tcBorders>
          <w:top w:val="single" w:sz="8" w:space="0" w:color="A0CFEB" w:themeColor="accent4"/>
          <w:left w:val="single" w:sz="8" w:space="0" w:color="A0CFEB" w:themeColor="accent4"/>
          <w:bottom w:val="single" w:sz="8" w:space="0" w:color="A0CFEB" w:themeColor="accent4"/>
          <w:right w:val="single" w:sz="8" w:space="0" w:color="A0CFEB" w:themeColor="accent4"/>
          <w:insideV w:val="single" w:sz="8" w:space="0" w:color="A0CFEB" w:themeColor="accent4"/>
        </w:tcBorders>
      </w:tcPr>
    </w:tblStylePr>
  </w:style>
  <w:style w:type="table" w:styleId="LightGrid-Accent5">
    <w:name w:val="Light Grid Accent 5"/>
    <w:basedOn w:val="TableNormal"/>
    <w:uiPriority w:val="62"/>
    <w:rsid w:val="009661DE"/>
    <w:pPr>
      <w:spacing w:before="0"/>
    </w:pPr>
    <w:tblPr>
      <w:tblStyleRowBandSize w:val="1"/>
      <w:tblStyleColBandSize w:val="1"/>
      <w:tblBorders>
        <w:top w:val="single" w:sz="8" w:space="0" w:color="B71202" w:themeColor="accent5"/>
        <w:left w:val="single" w:sz="8" w:space="0" w:color="B71202" w:themeColor="accent5"/>
        <w:bottom w:val="single" w:sz="8" w:space="0" w:color="B71202" w:themeColor="accent5"/>
        <w:right w:val="single" w:sz="8" w:space="0" w:color="B71202" w:themeColor="accent5"/>
        <w:insideH w:val="single" w:sz="8" w:space="0" w:color="B71202" w:themeColor="accent5"/>
        <w:insideV w:val="single" w:sz="8" w:space="0" w:color="B7120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71202" w:themeColor="accent5"/>
          <w:left w:val="single" w:sz="8" w:space="0" w:color="B71202" w:themeColor="accent5"/>
          <w:bottom w:val="single" w:sz="18" w:space="0" w:color="B71202" w:themeColor="accent5"/>
          <w:right w:val="single" w:sz="8" w:space="0" w:color="B71202" w:themeColor="accent5"/>
          <w:insideH w:val="nil"/>
          <w:insideV w:val="single" w:sz="8" w:space="0" w:color="B7120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71202" w:themeColor="accent5"/>
          <w:left w:val="single" w:sz="8" w:space="0" w:color="B71202" w:themeColor="accent5"/>
          <w:bottom w:val="single" w:sz="8" w:space="0" w:color="B71202" w:themeColor="accent5"/>
          <w:right w:val="single" w:sz="8" w:space="0" w:color="B71202" w:themeColor="accent5"/>
          <w:insideH w:val="nil"/>
          <w:insideV w:val="single" w:sz="8" w:space="0" w:color="B7120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71202" w:themeColor="accent5"/>
          <w:left w:val="single" w:sz="8" w:space="0" w:color="B71202" w:themeColor="accent5"/>
          <w:bottom w:val="single" w:sz="8" w:space="0" w:color="B71202" w:themeColor="accent5"/>
          <w:right w:val="single" w:sz="8" w:space="0" w:color="B71202" w:themeColor="accent5"/>
        </w:tcBorders>
      </w:tcPr>
    </w:tblStylePr>
    <w:tblStylePr w:type="band1Vert">
      <w:tblPr/>
      <w:tcPr>
        <w:tcBorders>
          <w:top w:val="single" w:sz="8" w:space="0" w:color="B71202" w:themeColor="accent5"/>
          <w:left w:val="single" w:sz="8" w:space="0" w:color="B71202" w:themeColor="accent5"/>
          <w:bottom w:val="single" w:sz="8" w:space="0" w:color="B71202" w:themeColor="accent5"/>
          <w:right w:val="single" w:sz="8" w:space="0" w:color="B71202" w:themeColor="accent5"/>
        </w:tcBorders>
        <w:shd w:val="clear" w:color="auto" w:fill="FEB6AF" w:themeFill="accent5" w:themeFillTint="3F"/>
      </w:tcPr>
    </w:tblStylePr>
    <w:tblStylePr w:type="band1Horz">
      <w:tblPr/>
      <w:tcPr>
        <w:tcBorders>
          <w:top w:val="single" w:sz="8" w:space="0" w:color="B71202" w:themeColor="accent5"/>
          <w:left w:val="single" w:sz="8" w:space="0" w:color="B71202" w:themeColor="accent5"/>
          <w:bottom w:val="single" w:sz="8" w:space="0" w:color="B71202" w:themeColor="accent5"/>
          <w:right w:val="single" w:sz="8" w:space="0" w:color="B71202" w:themeColor="accent5"/>
          <w:insideV w:val="single" w:sz="8" w:space="0" w:color="B71202" w:themeColor="accent5"/>
        </w:tcBorders>
        <w:shd w:val="clear" w:color="auto" w:fill="FEB6AF" w:themeFill="accent5" w:themeFillTint="3F"/>
      </w:tcPr>
    </w:tblStylePr>
    <w:tblStylePr w:type="band2Horz">
      <w:tblPr/>
      <w:tcPr>
        <w:tcBorders>
          <w:top w:val="single" w:sz="8" w:space="0" w:color="B71202" w:themeColor="accent5"/>
          <w:left w:val="single" w:sz="8" w:space="0" w:color="B71202" w:themeColor="accent5"/>
          <w:bottom w:val="single" w:sz="8" w:space="0" w:color="B71202" w:themeColor="accent5"/>
          <w:right w:val="single" w:sz="8" w:space="0" w:color="B71202" w:themeColor="accent5"/>
          <w:insideV w:val="single" w:sz="8" w:space="0" w:color="B71202" w:themeColor="accent5"/>
        </w:tcBorders>
      </w:tcPr>
    </w:tblStylePr>
  </w:style>
  <w:style w:type="paragraph" w:customStyle="1" w:styleId="HeaderRight">
    <w:name w:val="Header Right"/>
    <w:basedOn w:val="Header"/>
    <w:uiPriority w:val="35"/>
    <w:qFormat/>
    <w:rsid w:val="00A84F46"/>
    <w:pPr>
      <w:tabs>
        <w:tab w:val="clear" w:pos="4513"/>
        <w:tab w:val="clear" w:pos="9026"/>
        <w:tab w:val="center" w:pos="4320"/>
        <w:tab w:val="right" w:pos="8640"/>
      </w:tabs>
      <w:spacing w:before="0" w:after="200"/>
      <w:jc w:val="right"/>
    </w:pPr>
    <w:rPr>
      <w:rFonts w:asciiTheme="minorHAnsi" w:hAnsiTheme="minorHAnsi" w:cs="Times New Roman"/>
      <w:szCs w:val="20"/>
      <w:lang w:val="en-US" w:eastAsia="ja-JP"/>
    </w:rPr>
  </w:style>
  <w:style w:type="paragraph" w:customStyle="1" w:styleId="Numbered111111111">
    <w:name w:val="Numbered 1.1.1.1.1.1.1.1.1"/>
    <w:basedOn w:val="Heading9"/>
    <w:next w:val="Normal"/>
    <w:uiPriority w:val="2"/>
    <w:rsid w:val="00B60F5D"/>
    <w:pPr>
      <w:numPr>
        <w:ilvl w:val="8"/>
        <w:numId w:val="12"/>
      </w:numPr>
      <w:tabs>
        <w:tab w:val="left" w:pos="2381"/>
      </w:tabs>
      <w:ind w:left="2381" w:hanging="2381"/>
    </w:pPr>
  </w:style>
  <w:style w:type="paragraph" w:styleId="Caption">
    <w:name w:val="caption"/>
    <w:basedOn w:val="Normal"/>
    <w:next w:val="Normal"/>
    <w:uiPriority w:val="35"/>
    <w:unhideWhenUsed/>
    <w:qFormat/>
    <w:rsid w:val="00B1716D"/>
    <w:pPr>
      <w:spacing w:before="240" w:after="120"/>
    </w:pPr>
    <w:rPr>
      <w:b/>
      <w:bCs/>
      <w:sz w:val="24"/>
      <w:szCs w:val="18"/>
    </w:rPr>
  </w:style>
  <w:style w:type="paragraph" w:styleId="List">
    <w:name w:val="List"/>
    <w:basedOn w:val="Normal"/>
    <w:uiPriority w:val="99"/>
    <w:rsid w:val="00E4674F"/>
    <w:pPr>
      <w:tabs>
        <w:tab w:val="left" w:pos="340"/>
      </w:tabs>
      <w:spacing w:before="120"/>
      <w:ind w:left="340" w:hanging="340"/>
    </w:pPr>
  </w:style>
  <w:style w:type="paragraph" w:styleId="List2">
    <w:name w:val="List 2"/>
    <w:basedOn w:val="Normal"/>
    <w:uiPriority w:val="99"/>
    <w:rsid w:val="00E4674F"/>
    <w:pPr>
      <w:tabs>
        <w:tab w:val="left" w:pos="680"/>
      </w:tabs>
      <w:spacing w:before="120"/>
      <w:ind w:left="680" w:hanging="340"/>
    </w:pPr>
  </w:style>
  <w:style w:type="paragraph" w:styleId="List3">
    <w:name w:val="List 3"/>
    <w:basedOn w:val="Normal"/>
    <w:uiPriority w:val="99"/>
    <w:rsid w:val="00E4674F"/>
    <w:pPr>
      <w:tabs>
        <w:tab w:val="left" w:pos="1021"/>
      </w:tabs>
      <w:spacing w:before="120"/>
      <w:ind w:left="1020" w:hanging="340"/>
    </w:pPr>
  </w:style>
  <w:style w:type="paragraph" w:styleId="List4">
    <w:name w:val="List 4"/>
    <w:basedOn w:val="Normal"/>
    <w:uiPriority w:val="99"/>
    <w:rsid w:val="00E4674F"/>
    <w:pPr>
      <w:tabs>
        <w:tab w:val="left" w:pos="1361"/>
      </w:tabs>
      <w:spacing w:before="120"/>
      <w:ind w:left="1361" w:hanging="340"/>
    </w:pPr>
  </w:style>
  <w:style w:type="paragraph" w:styleId="List5">
    <w:name w:val="List 5"/>
    <w:basedOn w:val="Normal"/>
    <w:uiPriority w:val="99"/>
    <w:rsid w:val="00547CCF"/>
    <w:pPr>
      <w:tabs>
        <w:tab w:val="left" w:pos="1701"/>
      </w:tabs>
      <w:spacing w:before="120"/>
      <w:ind w:left="1701" w:hanging="340"/>
    </w:pPr>
  </w:style>
  <w:style w:type="paragraph" w:styleId="ListBullet3">
    <w:name w:val="List Bullet 3"/>
    <w:basedOn w:val="Normal"/>
    <w:uiPriority w:val="99"/>
    <w:rsid w:val="00181223"/>
    <w:pPr>
      <w:numPr>
        <w:numId w:val="4"/>
      </w:numPr>
      <w:tabs>
        <w:tab w:val="clear" w:pos="926"/>
        <w:tab w:val="num" w:pos="1021"/>
      </w:tabs>
      <w:spacing w:before="120"/>
      <w:ind w:left="1020" w:hanging="340"/>
    </w:pPr>
  </w:style>
  <w:style w:type="paragraph" w:styleId="ListBullet4">
    <w:name w:val="List Bullet 4"/>
    <w:basedOn w:val="Normal"/>
    <w:uiPriority w:val="99"/>
    <w:rsid w:val="00547CCF"/>
    <w:pPr>
      <w:numPr>
        <w:numId w:val="5"/>
      </w:numPr>
      <w:tabs>
        <w:tab w:val="clear" w:pos="1209"/>
        <w:tab w:val="num" w:pos="1361"/>
      </w:tabs>
      <w:spacing w:before="120"/>
      <w:ind w:left="1361" w:hanging="340"/>
    </w:pPr>
  </w:style>
  <w:style w:type="paragraph" w:styleId="ListBullet5">
    <w:name w:val="List Bullet 5"/>
    <w:basedOn w:val="Normal"/>
    <w:uiPriority w:val="99"/>
    <w:rsid w:val="00547CCF"/>
    <w:pPr>
      <w:numPr>
        <w:numId w:val="6"/>
      </w:numPr>
      <w:tabs>
        <w:tab w:val="clear" w:pos="1492"/>
        <w:tab w:val="num" w:pos="1701"/>
      </w:tabs>
      <w:spacing w:before="120"/>
      <w:ind w:left="1701" w:hanging="340"/>
    </w:pPr>
  </w:style>
  <w:style w:type="paragraph" w:styleId="ListContinue">
    <w:name w:val="List Continue"/>
    <w:basedOn w:val="Normal"/>
    <w:uiPriority w:val="99"/>
    <w:rsid w:val="00547CCF"/>
    <w:pPr>
      <w:tabs>
        <w:tab w:val="left" w:pos="340"/>
      </w:tabs>
      <w:spacing w:before="120"/>
      <w:ind w:left="340"/>
    </w:pPr>
  </w:style>
  <w:style w:type="paragraph" w:styleId="ListContinue2">
    <w:name w:val="List Continue 2"/>
    <w:basedOn w:val="Normal"/>
    <w:uiPriority w:val="99"/>
    <w:rsid w:val="00547CCF"/>
    <w:pPr>
      <w:tabs>
        <w:tab w:val="left" w:pos="680"/>
      </w:tabs>
      <w:spacing w:before="120"/>
      <w:ind w:left="680"/>
    </w:pPr>
  </w:style>
  <w:style w:type="paragraph" w:styleId="ListContinue3">
    <w:name w:val="List Continue 3"/>
    <w:basedOn w:val="Normal"/>
    <w:uiPriority w:val="99"/>
    <w:rsid w:val="00547CCF"/>
    <w:pPr>
      <w:tabs>
        <w:tab w:val="left" w:pos="1021"/>
      </w:tabs>
      <w:spacing w:before="120"/>
      <w:ind w:left="1021"/>
    </w:pPr>
  </w:style>
  <w:style w:type="paragraph" w:styleId="ListContinue4">
    <w:name w:val="List Continue 4"/>
    <w:basedOn w:val="Normal"/>
    <w:uiPriority w:val="99"/>
    <w:rsid w:val="00DC542F"/>
    <w:pPr>
      <w:tabs>
        <w:tab w:val="left" w:pos="1361"/>
      </w:tabs>
      <w:spacing w:before="120"/>
      <w:ind w:left="1361"/>
    </w:pPr>
  </w:style>
  <w:style w:type="paragraph" w:styleId="ListNumber3">
    <w:name w:val="List Number 3"/>
    <w:basedOn w:val="Normal"/>
    <w:uiPriority w:val="99"/>
    <w:rsid w:val="00BE4C99"/>
    <w:pPr>
      <w:numPr>
        <w:numId w:val="14"/>
      </w:numPr>
      <w:tabs>
        <w:tab w:val="left" w:pos="1021"/>
      </w:tabs>
      <w:spacing w:before="120"/>
    </w:pPr>
  </w:style>
  <w:style w:type="paragraph" w:styleId="ListNumber4">
    <w:name w:val="List Number 4"/>
    <w:basedOn w:val="Normal"/>
    <w:uiPriority w:val="99"/>
    <w:rsid w:val="00BE4C99"/>
    <w:pPr>
      <w:numPr>
        <w:numId w:val="7"/>
      </w:numPr>
      <w:tabs>
        <w:tab w:val="left" w:pos="1701"/>
      </w:tabs>
      <w:spacing w:before="120"/>
    </w:pPr>
  </w:style>
  <w:style w:type="paragraph" w:styleId="ListNumber5">
    <w:name w:val="List Number 5"/>
    <w:basedOn w:val="Normal"/>
    <w:uiPriority w:val="99"/>
    <w:rsid w:val="00BE4C99"/>
    <w:pPr>
      <w:numPr>
        <w:numId w:val="8"/>
      </w:numPr>
      <w:spacing w:before="120"/>
    </w:pPr>
  </w:style>
  <w:style w:type="paragraph" w:customStyle="1" w:styleId="TableHeading">
    <w:name w:val="Table Heading"/>
    <w:basedOn w:val="Tabletext"/>
    <w:link w:val="TableHeadingChar"/>
    <w:qFormat/>
    <w:rsid w:val="00584D8F"/>
    <w:pPr>
      <w:spacing w:before="60"/>
    </w:pPr>
    <w:rPr>
      <w:b/>
      <w:sz w:val="22"/>
    </w:rPr>
  </w:style>
  <w:style w:type="paragraph" w:customStyle="1" w:styleId="Tabletext-right">
    <w:name w:val="Table text - right"/>
    <w:basedOn w:val="Tabletext"/>
    <w:link w:val="Tabletext-rightChar"/>
    <w:rsid w:val="00063247"/>
    <w:pPr>
      <w:jc w:val="right"/>
    </w:pPr>
    <w:rPr>
      <w:rFonts w:eastAsia="Times New Roman" w:cs="Times New Roman"/>
      <w:szCs w:val="20"/>
    </w:rPr>
  </w:style>
  <w:style w:type="paragraph" w:customStyle="1" w:styleId="Tabletext-centred">
    <w:name w:val="Table text - centred"/>
    <w:basedOn w:val="Tabletext-right"/>
    <w:link w:val="Tabletext-centredChar"/>
    <w:rsid w:val="00063247"/>
    <w:pPr>
      <w:jc w:val="center"/>
    </w:pPr>
  </w:style>
  <w:style w:type="paragraph" w:customStyle="1" w:styleId="TableHeading-right">
    <w:name w:val="Table Heading - right"/>
    <w:basedOn w:val="TableHeading"/>
    <w:link w:val="TableHeading-rightChar"/>
    <w:rsid w:val="00584D8F"/>
    <w:pPr>
      <w:jc w:val="right"/>
    </w:pPr>
    <w:rPr>
      <w:rFonts w:eastAsia="Times New Roman" w:cs="Times New Roman"/>
      <w:bCs/>
      <w:szCs w:val="20"/>
    </w:rPr>
  </w:style>
  <w:style w:type="character" w:customStyle="1" w:styleId="Tabletext-rightChar">
    <w:name w:val="Table text - right Char"/>
    <w:basedOn w:val="TabletextChar"/>
    <w:link w:val="Tabletext-right"/>
    <w:rsid w:val="00063247"/>
    <w:rPr>
      <w:rFonts w:ascii="Arial" w:eastAsia="Times New Roman" w:hAnsi="Arial" w:cs="Times New Roman"/>
      <w:sz w:val="20"/>
      <w:szCs w:val="20"/>
    </w:rPr>
  </w:style>
  <w:style w:type="character" w:customStyle="1" w:styleId="TabletextChar">
    <w:name w:val="Table text Char"/>
    <w:basedOn w:val="DefaultParagraphFont"/>
    <w:link w:val="Tabletext"/>
    <w:uiPriority w:val="1"/>
    <w:rsid w:val="00584D8F"/>
    <w:rPr>
      <w:rFonts w:ascii="Arial" w:hAnsi="Arial"/>
      <w:sz w:val="20"/>
    </w:rPr>
  </w:style>
  <w:style w:type="character" w:customStyle="1" w:styleId="TableHeadingChar">
    <w:name w:val="Table Heading Char"/>
    <w:basedOn w:val="TabletextChar"/>
    <w:link w:val="TableHeading"/>
    <w:rsid w:val="00584D8F"/>
    <w:rPr>
      <w:rFonts w:ascii="Arial" w:hAnsi="Arial"/>
      <w:b/>
      <w:sz w:val="20"/>
    </w:rPr>
  </w:style>
  <w:style w:type="character" w:customStyle="1" w:styleId="TableHeading-rightChar">
    <w:name w:val="Table Heading - right Char"/>
    <w:basedOn w:val="TableHeadingChar"/>
    <w:link w:val="TableHeading-right"/>
    <w:rsid w:val="00584D8F"/>
    <w:rPr>
      <w:rFonts w:ascii="Arial" w:eastAsia="Times New Roman" w:hAnsi="Arial" w:cs="Times New Roman"/>
      <w:b/>
      <w:bCs/>
      <w:sz w:val="20"/>
      <w:szCs w:val="20"/>
    </w:rPr>
  </w:style>
  <w:style w:type="character" w:customStyle="1" w:styleId="Tabletext-centredChar">
    <w:name w:val="Table text - centred Char"/>
    <w:basedOn w:val="Tabletext-rightChar"/>
    <w:link w:val="Tabletext-centred"/>
    <w:rsid w:val="00063247"/>
    <w:rPr>
      <w:rFonts w:ascii="Arial" w:eastAsia="Times New Roman" w:hAnsi="Arial" w:cs="Times New Roman"/>
      <w:sz w:val="20"/>
      <w:szCs w:val="20"/>
    </w:rPr>
  </w:style>
  <w:style w:type="paragraph" w:customStyle="1" w:styleId="TableHeading-centred">
    <w:name w:val="Table Heading - centred"/>
    <w:basedOn w:val="TableHeading"/>
    <w:rsid w:val="00584D8F"/>
    <w:pPr>
      <w:jc w:val="center"/>
    </w:pPr>
    <w:rPr>
      <w:rFonts w:eastAsia="Times New Roman" w:cs="Times New Roman"/>
      <w:bCs/>
      <w:szCs w:val="20"/>
    </w:rPr>
  </w:style>
  <w:style w:type="character" w:customStyle="1" w:styleId="EndnoteTextChar">
    <w:name w:val="Endnote Text Char"/>
    <w:basedOn w:val="DefaultParagraphFont"/>
    <w:link w:val="EndnoteText"/>
    <w:uiPriority w:val="99"/>
    <w:rsid w:val="00334C8D"/>
    <w:rPr>
      <w:rFonts w:ascii="Arial" w:hAnsi="Arial"/>
      <w:sz w:val="20"/>
      <w:szCs w:val="20"/>
    </w:rPr>
  </w:style>
  <w:style w:type="paragraph" w:styleId="TableofFigures">
    <w:name w:val="table of figures"/>
    <w:basedOn w:val="Normal"/>
    <w:next w:val="Normal"/>
    <w:uiPriority w:val="99"/>
    <w:unhideWhenUsed/>
    <w:rsid w:val="00676679"/>
    <w:pPr>
      <w:spacing w:before="240" w:after="120"/>
    </w:pPr>
  </w:style>
  <w:style w:type="table" w:customStyle="1" w:styleId="ACCCTable3">
    <w:name w:val="ACCC Table 3"/>
    <w:basedOn w:val="TableNormal"/>
    <w:uiPriority w:val="99"/>
    <w:rsid w:val="00C53B5A"/>
    <w:pPr>
      <w:spacing w:before="0"/>
    </w:pPr>
    <w:rPr>
      <w:sz w:val="20"/>
    </w:rPr>
    <w:tblPr>
      <w:tblBorders>
        <w:insideV w:val="single" w:sz="4" w:space="0" w:color="D5D6D2" w:themeColor="background2"/>
      </w:tblBorders>
    </w:tblPr>
    <w:tblStylePr w:type="firstRow">
      <w:rPr>
        <w:rFonts w:asciiTheme="minorHAnsi" w:hAnsiTheme="minorHAnsi"/>
        <w:b/>
        <w:sz w:val="20"/>
      </w:rPr>
    </w:tblStylePr>
    <w:tblStylePr w:type="lastRow">
      <w:rPr>
        <w:rFonts w:ascii="Arial" w:hAnsi="Arial"/>
        <w:b/>
        <w:sz w:val="20"/>
      </w:rPr>
    </w:tblStylePr>
    <w:tblStylePr w:type="firstCol">
      <w:rPr>
        <w:rFonts w:ascii="Arial" w:hAnsi="Arial"/>
        <w:b/>
        <w:sz w:val="20"/>
      </w:rPr>
    </w:tblStylePr>
  </w:style>
  <w:style w:type="character" w:styleId="EndnoteReference">
    <w:name w:val="endnote reference"/>
    <w:basedOn w:val="DefaultParagraphFont"/>
    <w:uiPriority w:val="99"/>
    <w:rsid w:val="00E4674F"/>
    <w:rPr>
      <w:rFonts w:ascii="Arial" w:hAnsi="Arial"/>
      <w:sz w:val="16"/>
      <w:vertAlign w:val="superscript"/>
    </w:rPr>
  </w:style>
  <w:style w:type="paragraph" w:customStyle="1" w:styleId="Numberedparagraph11">
    <w:name w:val="Numbered paragraph 1.1"/>
    <w:basedOn w:val="Numbered11"/>
    <w:qFormat/>
    <w:rsid w:val="00340655"/>
    <w:pPr>
      <w:ind w:left="680" w:hanging="680"/>
      <w:outlineLvl w:val="9"/>
    </w:pPr>
    <w:rPr>
      <w:bCs w:val="0"/>
      <w:color w:val="auto"/>
      <w:sz w:val="22"/>
    </w:rPr>
  </w:style>
  <w:style w:type="character" w:customStyle="1" w:styleId="Numbered1Char">
    <w:name w:val="Numbered 1 Char"/>
    <w:basedOn w:val="Heading1Char"/>
    <w:link w:val="Numbered1"/>
    <w:rsid w:val="00F61B84"/>
    <w:rPr>
      <w:rFonts w:ascii="Lucida Fax" w:eastAsiaTheme="majorEastAsia" w:hAnsi="Lucida Fax" w:cstheme="majorBidi"/>
      <w:bCs/>
      <w:color w:val="51626F"/>
      <w:sz w:val="32"/>
      <w:szCs w:val="28"/>
    </w:rPr>
  </w:style>
  <w:style w:type="paragraph" w:customStyle="1" w:styleId="Numberedparagraph">
    <w:name w:val="Numbered paragraph"/>
    <w:basedOn w:val="Normal"/>
    <w:rsid w:val="00B60F5D"/>
    <w:pPr>
      <w:numPr>
        <w:numId w:val="1"/>
      </w:numPr>
      <w:ind w:left="680" w:hanging="680"/>
    </w:pPr>
    <w:rPr>
      <w:rFonts w:eastAsia="Times New Roman" w:cs="Times New Roman"/>
      <w:color w:val="000000" w:themeColor="text1" w:themeShade="BF"/>
      <w:szCs w:val="20"/>
    </w:rPr>
  </w:style>
  <w:style w:type="paragraph" w:customStyle="1" w:styleId="Listalphabet2">
    <w:name w:val="List alphabet 2"/>
    <w:rsid w:val="00CF799E"/>
    <w:pPr>
      <w:numPr>
        <w:numId w:val="13"/>
      </w:numPr>
      <w:tabs>
        <w:tab w:val="left" w:pos="680"/>
      </w:tabs>
      <w:spacing w:before="120"/>
    </w:pPr>
    <w:rPr>
      <w:rFonts w:ascii="Arial" w:hAnsi="Arial"/>
    </w:rPr>
  </w:style>
  <w:style w:type="paragraph" w:customStyle="1" w:styleId="Listalphabet3">
    <w:name w:val="List alphabet 3"/>
    <w:rsid w:val="00CF799E"/>
    <w:pPr>
      <w:numPr>
        <w:numId w:val="19"/>
      </w:numPr>
      <w:tabs>
        <w:tab w:val="left" w:pos="1021"/>
      </w:tabs>
      <w:spacing w:before="120"/>
    </w:pPr>
    <w:rPr>
      <w:rFonts w:ascii="Arial" w:hAnsi="Arial"/>
    </w:rPr>
  </w:style>
  <w:style w:type="paragraph" w:customStyle="1" w:styleId="Listalphabet4">
    <w:name w:val="List alphabet 4"/>
    <w:rsid w:val="00CF799E"/>
    <w:pPr>
      <w:numPr>
        <w:numId w:val="20"/>
      </w:numPr>
      <w:tabs>
        <w:tab w:val="left" w:pos="1361"/>
      </w:tabs>
      <w:spacing w:before="120"/>
    </w:pPr>
    <w:rPr>
      <w:rFonts w:ascii="Arial" w:hAnsi="Arial"/>
    </w:rPr>
  </w:style>
  <w:style w:type="paragraph" w:customStyle="1" w:styleId="Listalphabet5">
    <w:name w:val="List alphabet 5"/>
    <w:rsid w:val="00CF799E"/>
    <w:pPr>
      <w:numPr>
        <w:numId w:val="21"/>
      </w:numPr>
      <w:tabs>
        <w:tab w:val="left" w:pos="1701"/>
      </w:tabs>
      <w:spacing w:before="120"/>
    </w:pPr>
    <w:rPr>
      <w:rFonts w:ascii="Arial" w:hAnsi="Arial"/>
    </w:rPr>
  </w:style>
  <w:style w:type="paragraph" w:styleId="ListContinue5">
    <w:name w:val="List Continue 5"/>
    <w:basedOn w:val="Normal"/>
    <w:uiPriority w:val="99"/>
    <w:rsid w:val="00DC542F"/>
    <w:pPr>
      <w:tabs>
        <w:tab w:val="left" w:pos="1701"/>
      </w:tabs>
      <w:spacing w:before="120"/>
      <w:ind w:left="1701"/>
    </w:pPr>
  </w:style>
  <w:style w:type="paragraph" w:customStyle="1" w:styleId="Listalphabet">
    <w:name w:val="List alphabet"/>
    <w:qFormat/>
    <w:rsid w:val="003459E6"/>
    <w:pPr>
      <w:numPr>
        <w:numId w:val="22"/>
      </w:numPr>
      <w:tabs>
        <w:tab w:val="left" w:pos="340"/>
      </w:tabs>
      <w:spacing w:before="120"/>
    </w:pPr>
    <w:rPr>
      <w:rFonts w:ascii="Arial" w:hAnsi="Arial"/>
    </w:rPr>
  </w:style>
  <w:style w:type="paragraph" w:styleId="NoteHeading">
    <w:name w:val="Note Heading"/>
    <w:basedOn w:val="Normal"/>
    <w:next w:val="Normal"/>
    <w:link w:val="NoteHeadingChar"/>
    <w:uiPriority w:val="99"/>
    <w:semiHidden/>
    <w:unhideWhenUsed/>
    <w:rsid w:val="00F61B84"/>
    <w:pPr>
      <w:spacing w:before="0"/>
    </w:pPr>
  </w:style>
  <w:style w:type="character" w:customStyle="1" w:styleId="NoteHeadingChar">
    <w:name w:val="Note Heading Char"/>
    <w:basedOn w:val="DefaultParagraphFont"/>
    <w:link w:val="NoteHeading"/>
    <w:uiPriority w:val="99"/>
    <w:semiHidden/>
    <w:rsid w:val="00F61B84"/>
    <w:rPr>
      <w:rFonts w:ascii="Arial" w:hAnsi="Arial"/>
    </w:rPr>
  </w:style>
  <w:style w:type="character" w:styleId="SubtleReference">
    <w:name w:val="Subtle Reference"/>
    <w:basedOn w:val="DefaultParagraphFont"/>
    <w:uiPriority w:val="31"/>
    <w:unhideWhenUsed/>
    <w:qFormat/>
    <w:rsid w:val="00B60F5D"/>
    <w:rPr>
      <w:smallCaps/>
      <w:color w:val="4F2D7D" w:themeColor="accent2"/>
      <w:u w:val="single"/>
    </w:rPr>
  </w:style>
  <w:style w:type="paragraph" w:customStyle="1" w:styleId="ListLegal">
    <w:name w:val="List Legal"/>
    <w:basedOn w:val="ListParagraph"/>
    <w:rsid w:val="00CF799E"/>
    <w:pPr>
      <w:numPr>
        <w:numId w:val="25"/>
      </w:numPr>
      <w:tabs>
        <w:tab w:val="clear" w:pos="340"/>
        <w:tab w:val="left" w:pos="680"/>
      </w:tabs>
    </w:pPr>
  </w:style>
  <w:style w:type="paragraph" w:customStyle="1" w:styleId="ListLegal2">
    <w:name w:val="List Legal 2"/>
    <w:basedOn w:val="ListLegal"/>
    <w:rsid w:val="00C06739"/>
    <w:pPr>
      <w:numPr>
        <w:numId w:val="16"/>
      </w:numPr>
      <w:tabs>
        <w:tab w:val="clear" w:pos="680"/>
        <w:tab w:val="left" w:pos="1021"/>
      </w:tabs>
    </w:pPr>
  </w:style>
  <w:style w:type="paragraph" w:customStyle="1" w:styleId="ListLegal3">
    <w:name w:val="List Legal 3"/>
    <w:basedOn w:val="ListNumber3"/>
    <w:rsid w:val="00CF799E"/>
    <w:pPr>
      <w:numPr>
        <w:numId w:val="15"/>
      </w:numPr>
      <w:tabs>
        <w:tab w:val="clear" w:pos="1021"/>
        <w:tab w:val="left" w:pos="1361"/>
      </w:tabs>
    </w:pPr>
  </w:style>
  <w:style w:type="paragraph" w:customStyle="1" w:styleId="ListLegal4">
    <w:name w:val="List Legal 4"/>
    <w:basedOn w:val="ListLegal3"/>
    <w:rsid w:val="00CF799E"/>
    <w:pPr>
      <w:numPr>
        <w:numId w:val="17"/>
      </w:numPr>
      <w:tabs>
        <w:tab w:val="clear" w:pos="1361"/>
        <w:tab w:val="left" w:pos="1701"/>
      </w:tabs>
    </w:pPr>
  </w:style>
  <w:style w:type="paragraph" w:customStyle="1" w:styleId="ListLegal5">
    <w:name w:val="List Legal 5"/>
    <w:basedOn w:val="ListLegal4"/>
    <w:rsid w:val="000F2368"/>
    <w:pPr>
      <w:numPr>
        <w:numId w:val="26"/>
      </w:numPr>
      <w:tabs>
        <w:tab w:val="clear" w:pos="1701"/>
        <w:tab w:val="left" w:pos="2041"/>
      </w:tabs>
    </w:pPr>
  </w:style>
  <w:style w:type="paragraph" w:customStyle="1" w:styleId="LegalNumbering">
    <w:name w:val="Legal Numbering"/>
    <w:basedOn w:val="Normal"/>
    <w:qFormat/>
    <w:rsid w:val="0002115F"/>
    <w:pPr>
      <w:numPr>
        <w:numId w:val="18"/>
      </w:numPr>
      <w:tabs>
        <w:tab w:val="left" w:pos="340"/>
        <w:tab w:val="left" w:pos="680"/>
        <w:tab w:val="left" w:pos="1021"/>
        <w:tab w:val="left" w:pos="1361"/>
      </w:tabs>
    </w:pPr>
  </w:style>
  <w:style w:type="paragraph" w:customStyle="1" w:styleId="Reporttitle">
    <w:name w:val="Report title"/>
    <w:basedOn w:val="Normal"/>
    <w:link w:val="ReporttitleChar"/>
    <w:rsid w:val="00AB36D9"/>
    <w:pPr>
      <w:spacing w:before="520" w:after="120"/>
    </w:pPr>
    <w:rPr>
      <w:rFonts w:ascii="Lucida Fax" w:hAnsi="Lucida Fax"/>
      <w:color w:val="4F2D7F"/>
      <w:sz w:val="72"/>
      <w:szCs w:val="56"/>
    </w:rPr>
  </w:style>
  <w:style w:type="character" w:customStyle="1" w:styleId="ReporttitleChar">
    <w:name w:val="Report title Char"/>
    <w:basedOn w:val="DefaultParagraphFont"/>
    <w:link w:val="Reporttitle"/>
    <w:rsid w:val="00AB36D9"/>
    <w:rPr>
      <w:rFonts w:ascii="Lucida Fax" w:hAnsi="Lucida Fax"/>
      <w:color w:val="4F2D7F"/>
      <w:sz w:val="72"/>
      <w:szCs w:val="56"/>
    </w:rPr>
  </w:style>
  <w:style w:type="table" w:customStyle="1" w:styleId="ACCCTable1">
    <w:name w:val="ACCC Table1"/>
    <w:basedOn w:val="TableNormal"/>
    <w:next w:val="TableGrid"/>
    <w:uiPriority w:val="59"/>
    <w:rsid w:val="00AB36D9"/>
    <w:pPr>
      <w:spacing w:before="60" w:after="60" w:line="276" w:lineRule="auto"/>
    </w:pPr>
    <w:rPr>
      <w:rFonts w:ascii="Arial" w:eastAsiaTheme="minorEastAsia" w:hAnsi="Arial"/>
      <w:sz w:val="20"/>
    </w:rPr>
    <w:tblPr>
      <w:tblBorders>
        <w:top w:val="single" w:sz="4" w:space="0" w:color="BFBFBF" w:themeColor="background1" w:themeShade="BF"/>
        <w:bottom w:val="single" w:sz="4" w:space="0" w:color="BFBFBF" w:themeColor="background1" w:themeShade="BF"/>
      </w:tblBorders>
    </w:tblPr>
    <w:tcPr>
      <w:shd w:val="clear" w:color="auto" w:fill="auto"/>
    </w:tcPr>
    <w:tblStylePr w:type="firstRow">
      <w:pPr>
        <w:wordWrap/>
        <w:spacing w:beforeLines="0" w:before="120" w:beforeAutospacing="0" w:afterLines="0" w:after="120" w:afterAutospacing="0"/>
      </w:pPr>
      <w:rPr>
        <w:rFonts w:ascii="Arial" w:hAnsi="Arial"/>
        <w:b/>
        <w:sz w:val="20"/>
      </w:rPr>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auto"/>
      </w:tcPr>
    </w:tblStylePr>
    <w:tblStylePr w:type="lastRow">
      <w:pPr>
        <w:wordWrap/>
        <w:spacing w:beforeLines="0" w:before="120" w:beforeAutospacing="0" w:afterLines="0" w:after="120" w:afterAutospacing="0" w:line="240" w:lineRule="auto"/>
      </w:pPr>
      <w:rPr>
        <w:rFonts w:ascii="Arial" w:hAnsi="Arial"/>
        <w:b/>
        <w:sz w:val="20"/>
      </w:rPr>
    </w:tblStylePr>
    <w:tblStylePr w:type="firstCol">
      <w:rPr>
        <w:rFonts w:ascii="Arial" w:hAnsi="Arial"/>
        <w:b/>
        <w:sz w:val="20"/>
      </w:rPr>
    </w:tblStylePr>
  </w:style>
  <w:style w:type="table" w:customStyle="1" w:styleId="LightShading2">
    <w:name w:val="Light Shading2"/>
    <w:basedOn w:val="TableNormal"/>
    <w:next w:val="LightShading"/>
    <w:uiPriority w:val="60"/>
    <w:rsid w:val="00AB36D9"/>
    <w:pPr>
      <w:spacing w:before="120" w:after="120" w:line="276" w:lineRule="auto"/>
    </w:pPr>
    <w:rPr>
      <w:rFonts w:eastAsiaTheme="minorEastAsia"/>
      <w:sz w:val="20"/>
    </w:rPr>
    <w:tblPr>
      <w:tblBorders>
        <w:top w:val="single" w:sz="4" w:space="0" w:color="D5D6D2" w:themeColor="background2"/>
        <w:left w:val="single" w:sz="4" w:space="0" w:color="D5D6D2" w:themeColor="background2"/>
        <w:bottom w:val="single" w:sz="4" w:space="0" w:color="D5D6D2" w:themeColor="background2"/>
        <w:right w:val="single" w:sz="4" w:space="0" w:color="D5D6D2" w:themeColor="background2"/>
        <w:insideH w:val="single" w:sz="4" w:space="0" w:color="D5D6D2" w:themeColor="background2"/>
        <w:insideV w:val="single" w:sz="4" w:space="0" w:color="D5D6D2" w:themeColor="background2"/>
      </w:tblBorders>
    </w:tblPr>
    <w:tcPr>
      <w:shd w:val="clear" w:color="auto" w:fill="auto"/>
      <w:vAlign w:val="center"/>
    </w:tcPr>
    <w:tblStylePr w:type="firstRow">
      <w:pPr>
        <w:wordWrap/>
        <w:spacing w:beforeLines="0" w:before="120" w:beforeAutospacing="0" w:afterLines="0" w:after="120" w:afterAutospacing="0" w:line="240" w:lineRule="auto"/>
      </w:pPr>
      <w:rPr>
        <w:rFonts w:asciiTheme="minorHAnsi" w:hAnsiTheme="minorHAnsi"/>
        <w:b/>
        <w:bCs/>
        <w:sz w:val="20"/>
      </w:rPr>
      <w:tblPr/>
      <w:tcPr>
        <w:tcBorders>
          <w:top w:val="single" w:sz="4" w:space="0" w:color="D5D6D2" w:themeColor="background2"/>
          <w:left w:val="single" w:sz="4" w:space="0" w:color="D5D6D2" w:themeColor="background2"/>
          <w:bottom w:val="single" w:sz="4" w:space="0" w:color="D5D6D2" w:themeColor="background2"/>
          <w:right w:val="single" w:sz="4" w:space="0" w:color="D5D6D2" w:themeColor="background2"/>
          <w:insideH w:val="single" w:sz="4" w:space="0" w:color="D5D6D2" w:themeColor="background2"/>
          <w:insideV w:val="single" w:sz="4" w:space="0" w:color="D5D6D2" w:themeColor="background2"/>
        </w:tcBorders>
        <w:shd w:val="clear" w:color="auto" w:fill="auto"/>
      </w:tcPr>
    </w:tblStylePr>
    <w:tblStylePr w:type="lastRow">
      <w:pPr>
        <w:wordWrap/>
        <w:spacing w:beforeLines="0" w:before="120" w:beforeAutospacing="0" w:afterLines="0" w:after="120" w:afterAutospacing="0" w:line="240" w:lineRule="auto"/>
      </w:pPr>
      <w:rPr>
        <w:b/>
        <w:bCs/>
        <w:sz w:val="20"/>
      </w:rPr>
      <w:tblPr/>
      <w:tcPr>
        <w:tcBorders>
          <w:top w:val="single" w:sz="4" w:space="0" w:color="D5D6D2" w:themeColor="background2"/>
          <w:left w:val="single" w:sz="4" w:space="0" w:color="D5D6D2" w:themeColor="background2"/>
          <w:bottom w:val="single" w:sz="4" w:space="0" w:color="D5D6D2" w:themeColor="background2"/>
          <w:right w:val="single" w:sz="4" w:space="0" w:color="D5D6D2" w:themeColor="background2"/>
          <w:insideH w:val="single" w:sz="4" w:space="0" w:color="D5D6D2" w:themeColor="background2"/>
          <w:insideV w:val="single" w:sz="4" w:space="0" w:color="D5D6D2" w:themeColor="background2"/>
        </w:tcBorders>
      </w:tcPr>
    </w:tblStylePr>
    <w:tblStylePr w:type="firstCol">
      <w:rPr>
        <w:b/>
        <w:bCs/>
        <w:sz w:val="20"/>
      </w:rPr>
    </w:tblStylePr>
    <w:tblStylePr w:type="lastCol">
      <w:rPr>
        <w:b/>
        <w:bCs/>
      </w:rPr>
    </w:tblStylePr>
  </w:style>
  <w:style w:type="table" w:customStyle="1" w:styleId="LightShading-Accent11">
    <w:name w:val="Light Shading - Accent 11"/>
    <w:basedOn w:val="TableNormal"/>
    <w:next w:val="LightShading-Accent1"/>
    <w:uiPriority w:val="60"/>
    <w:rsid w:val="00AB36D9"/>
    <w:pPr>
      <w:spacing w:before="0" w:after="200" w:line="276" w:lineRule="auto"/>
    </w:pPr>
    <w:rPr>
      <w:rFonts w:eastAsiaTheme="minorEastAsia"/>
      <w:color w:val="3C4953" w:themeColor="accent1" w:themeShade="BF"/>
    </w:rPr>
    <w:tblPr>
      <w:tblStyleRowBandSize w:val="1"/>
      <w:tblStyleColBandSize w:val="1"/>
      <w:tblBorders>
        <w:top w:val="single" w:sz="8" w:space="0" w:color="51626F" w:themeColor="accent1"/>
        <w:bottom w:val="single" w:sz="8" w:space="0" w:color="51626F" w:themeColor="accent1"/>
      </w:tblBorders>
    </w:tblPr>
    <w:tblStylePr w:type="firstRow">
      <w:pPr>
        <w:spacing w:before="0" w:after="0" w:line="240" w:lineRule="auto"/>
      </w:pPr>
      <w:rPr>
        <w:b/>
        <w:bCs/>
      </w:rPr>
      <w:tblPr/>
      <w:tcPr>
        <w:tcBorders>
          <w:top w:val="single" w:sz="8" w:space="0" w:color="51626F" w:themeColor="accent1"/>
          <w:left w:val="nil"/>
          <w:bottom w:val="single" w:sz="8" w:space="0" w:color="51626F" w:themeColor="accent1"/>
          <w:right w:val="nil"/>
          <w:insideH w:val="nil"/>
          <w:insideV w:val="nil"/>
        </w:tcBorders>
      </w:tcPr>
    </w:tblStylePr>
    <w:tblStylePr w:type="lastRow">
      <w:pPr>
        <w:spacing w:before="0" w:after="0" w:line="240" w:lineRule="auto"/>
      </w:pPr>
      <w:rPr>
        <w:b/>
        <w:bCs/>
      </w:rPr>
      <w:tblPr/>
      <w:tcPr>
        <w:tcBorders>
          <w:top w:val="single" w:sz="8" w:space="0" w:color="51626F" w:themeColor="accent1"/>
          <w:left w:val="nil"/>
          <w:bottom w:val="single" w:sz="8" w:space="0" w:color="51626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1D8DD" w:themeFill="accent1" w:themeFillTint="3F"/>
      </w:tcPr>
    </w:tblStylePr>
    <w:tblStylePr w:type="band1Horz">
      <w:tblPr/>
      <w:tcPr>
        <w:tcBorders>
          <w:left w:val="nil"/>
          <w:right w:val="nil"/>
          <w:insideH w:val="nil"/>
          <w:insideV w:val="nil"/>
        </w:tcBorders>
        <w:shd w:val="clear" w:color="auto" w:fill="D1D8DD" w:themeFill="accent1" w:themeFillTint="3F"/>
      </w:tcPr>
    </w:tblStylePr>
  </w:style>
  <w:style w:type="table" w:customStyle="1" w:styleId="LightShading-Accent21">
    <w:name w:val="Light Shading - Accent 21"/>
    <w:basedOn w:val="TableNormal"/>
    <w:next w:val="LightShading-Accent2"/>
    <w:uiPriority w:val="60"/>
    <w:rsid w:val="00AB36D9"/>
    <w:pPr>
      <w:spacing w:before="0" w:after="200" w:line="276" w:lineRule="auto"/>
    </w:pPr>
    <w:rPr>
      <w:rFonts w:ascii="Arial" w:eastAsiaTheme="minorEastAsia" w:hAnsi="Arial"/>
      <w:color w:val="000000"/>
      <w14:textFill>
        <w14:solidFill>
          <w14:srgbClr w14:val="000000">
            <w14:lumMod w14:val="75000"/>
            <w14:lumOff w14:val="0"/>
          </w14:srgbClr>
        </w14:solidFill>
      </w14:textFill>
    </w:rPr>
    <w:tblPr>
      <w:tblBorders>
        <w:top w:val="single" w:sz="4" w:space="0" w:color="B71202" w:themeColor="accent5"/>
        <w:left w:val="single" w:sz="4" w:space="0" w:color="B71202" w:themeColor="accent5"/>
        <w:bottom w:val="single" w:sz="4" w:space="0" w:color="B71202" w:themeColor="accent5"/>
        <w:right w:val="single" w:sz="4" w:space="0" w:color="B71202" w:themeColor="accent5"/>
        <w:insideH w:val="single" w:sz="4" w:space="0" w:color="B71202" w:themeColor="accent5"/>
        <w:insideV w:val="single" w:sz="4" w:space="0" w:color="B71202" w:themeColor="accent5"/>
      </w:tblBorders>
    </w:tblPr>
    <w:tcPr>
      <w:vAlign w:val="center"/>
    </w:tcPr>
    <w:tblStylePr w:type="firstRow">
      <w:pPr>
        <w:spacing w:before="0" w:after="0" w:line="240" w:lineRule="auto"/>
      </w:pPr>
      <w:rPr>
        <w:b w:val="0"/>
        <w:bCs/>
      </w:rPr>
      <w:tblPr/>
      <w:tcPr>
        <w:tcBorders>
          <w:top w:val="single" w:sz="4" w:space="0" w:color="B71202" w:themeColor="accent5"/>
          <w:left w:val="single" w:sz="4" w:space="0" w:color="B71202" w:themeColor="accent5"/>
          <w:bottom w:val="single" w:sz="4" w:space="0" w:color="B71202" w:themeColor="accent5"/>
          <w:right w:val="single" w:sz="4" w:space="0" w:color="B71202" w:themeColor="accent5"/>
          <w:insideH w:val="single" w:sz="4" w:space="0" w:color="B71202" w:themeColor="accent5"/>
          <w:insideV w:val="single" w:sz="4" w:space="0" w:color="B71202" w:themeColor="accent5"/>
          <w:tl2br w:val="nil"/>
          <w:tr2bl w:val="nil"/>
        </w:tcBorders>
      </w:tcPr>
    </w:tblStylePr>
    <w:tblStylePr w:type="lastRow">
      <w:pPr>
        <w:spacing w:before="0" w:after="0" w:line="240" w:lineRule="auto"/>
      </w:pPr>
      <w:rPr>
        <w:b w:val="0"/>
        <w:bCs/>
      </w:rPr>
      <w:tblPr/>
      <w:tcPr>
        <w:tcBorders>
          <w:top w:val="single" w:sz="4" w:space="0" w:color="B71202" w:themeColor="accent5"/>
          <w:left w:val="single" w:sz="4" w:space="0" w:color="B71202" w:themeColor="accent5"/>
          <w:bottom w:val="single" w:sz="4" w:space="0" w:color="B71202" w:themeColor="accent5"/>
          <w:right w:val="single" w:sz="4" w:space="0" w:color="B71202" w:themeColor="accent5"/>
          <w:insideH w:val="single" w:sz="4" w:space="0" w:color="B71202" w:themeColor="accent5"/>
          <w:insideV w:val="single" w:sz="4" w:space="0" w:color="B71202" w:themeColor="accent5"/>
        </w:tcBorders>
      </w:tcPr>
    </w:tblStylePr>
    <w:tblStylePr w:type="firstCol">
      <w:rPr>
        <w:b w:val="0"/>
        <w:bCs/>
      </w:rPr>
    </w:tblStylePr>
    <w:tblStylePr w:type="lastCol">
      <w:rPr>
        <w:b w:val="0"/>
        <w:bCs/>
      </w:rPr>
    </w:tblStylePr>
  </w:style>
  <w:style w:type="table" w:customStyle="1" w:styleId="LightShading-Accent31">
    <w:name w:val="Light Shading - Accent 31"/>
    <w:basedOn w:val="TableNormal"/>
    <w:next w:val="LightShading-Accent3"/>
    <w:uiPriority w:val="60"/>
    <w:rsid w:val="00AB36D9"/>
    <w:pPr>
      <w:spacing w:before="0" w:after="200" w:line="276" w:lineRule="auto"/>
    </w:pPr>
    <w:rPr>
      <w:rFonts w:eastAsiaTheme="minorEastAsia"/>
      <w:color w:val="007192" w:themeColor="accent3" w:themeShade="BF"/>
    </w:rPr>
    <w:tblPr>
      <w:tblStyleRowBandSize w:val="1"/>
      <w:tblStyleColBandSize w:val="1"/>
      <w:tblBorders>
        <w:top w:val="single" w:sz="8" w:space="0" w:color="0098C3" w:themeColor="accent3"/>
        <w:bottom w:val="single" w:sz="8" w:space="0" w:color="0098C3" w:themeColor="accent3"/>
      </w:tblBorders>
    </w:tblPr>
    <w:tblStylePr w:type="firstRow">
      <w:pPr>
        <w:spacing w:before="0" w:after="0" w:line="240" w:lineRule="auto"/>
      </w:pPr>
      <w:rPr>
        <w:b/>
        <w:bCs/>
      </w:rPr>
      <w:tblPr/>
      <w:tcPr>
        <w:tcBorders>
          <w:top w:val="single" w:sz="8" w:space="0" w:color="0098C3" w:themeColor="accent3"/>
          <w:left w:val="nil"/>
          <w:bottom w:val="single" w:sz="8" w:space="0" w:color="0098C3" w:themeColor="accent3"/>
          <w:right w:val="nil"/>
          <w:insideH w:val="nil"/>
          <w:insideV w:val="nil"/>
        </w:tcBorders>
      </w:tcPr>
    </w:tblStylePr>
    <w:tblStylePr w:type="lastRow">
      <w:pPr>
        <w:spacing w:before="0" w:after="0" w:line="240" w:lineRule="auto"/>
      </w:pPr>
      <w:rPr>
        <w:b/>
        <w:bCs/>
      </w:rPr>
      <w:tblPr/>
      <w:tcPr>
        <w:tcBorders>
          <w:top w:val="single" w:sz="8" w:space="0" w:color="0098C3" w:themeColor="accent3"/>
          <w:left w:val="nil"/>
          <w:bottom w:val="single" w:sz="8" w:space="0" w:color="0098C3"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1EDFF" w:themeFill="accent3" w:themeFillTint="3F"/>
      </w:tcPr>
    </w:tblStylePr>
    <w:tblStylePr w:type="band1Horz">
      <w:tblPr/>
      <w:tcPr>
        <w:tcBorders>
          <w:left w:val="nil"/>
          <w:right w:val="nil"/>
          <w:insideH w:val="nil"/>
          <w:insideV w:val="nil"/>
        </w:tcBorders>
        <w:shd w:val="clear" w:color="auto" w:fill="B1EDFF" w:themeFill="accent3" w:themeFillTint="3F"/>
      </w:tcPr>
    </w:tblStylePr>
  </w:style>
  <w:style w:type="table" w:customStyle="1" w:styleId="LightGrid-Accent61">
    <w:name w:val="Light Grid - Accent 61"/>
    <w:basedOn w:val="TableNormal"/>
    <w:next w:val="LightGrid-Accent6"/>
    <w:uiPriority w:val="62"/>
    <w:rsid w:val="00AB36D9"/>
    <w:pPr>
      <w:spacing w:before="0" w:after="200" w:line="276" w:lineRule="auto"/>
    </w:pPr>
    <w:rPr>
      <w:rFonts w:eastAsiaTheme="minorEastAsia"/>
    </w:rPr>
    <w:tblPr>
      <w:tblStyleRowBandSize w:val="1"/>
      <w:tblStyleColBandSize w:val="1"/>
      <w:tblBorders>
        <w:top w:val="single" w:sz="8" w:space="0" w:color="DC5034" w:themeColor="accent6"/>
        <w:left w:val="single" w:sz="8" w:space="0" w:color="DC5034" w:themeColor="accent6"/>
        <w:bottom w:val="single" w:sz="8" w:space="0" w:color="DC5034" w:themeColor="accent6"/>
        <w:right w:val="single" w:sz="8" w:space="0" w:color="DC5034" w:themeColor="accent6"/>
        <w:insideH w:val="single" w:sz="8" w:space="0" w:color="DC5034" w:themeColor="accent6"/>
        <w:insideV w:val="single" w:sz="8" w:space="0" w:color="DC5034"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C5034" w:themeColor="accent6"/>
          <w:left w:val="single" w:sz="8" w:space="0" w:color="DC5034" w:themeColor="accent6"/>
          <w:bottom w:val="single" w:sz="18" w:space="0" w:color="DC5034" w:themeColor="accent6"/>
          <w:right w:val="single" w:sz="8" w:space="0" w:color="DC5034" w:themeColor="accent6"/>
          <w:insideH w:val="nil"/>
          <w:insideV w:val="single" w:sz="8" w:space="0" w:color="DC5034"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C5034" w:themeColor="accent6"/>
          <w:left w:val="single" w:sz="8" w:space="0" w:color="DC5034" w:themeColor="accent6"/>
          <w:bottom w:val="single" w:sz="8" w:space="0" w:color="DC5034" w:themeColor="accent6"/>
          <w:right w:val="single" w:sz="8" w:space="0" w:color="DC5034" w:themeColor="accent6"/>
          <w:insideH w:val="nil"/>
          <w:insideV w:val="single" w:sz="8" w:space="0" w:color="DC5034"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C5034" w:themeColor="accent6"/>
          <w:left w:val="single" w:sz="8" w:space="0" w:color="DC5034" w:themeColor="accent6"/>
          <w:bottom w:val="single" w:sz="8" w:space="0" w:color="DC5034" w:themeColor="accent6"/>
          <w:right w:val="single" w:sz="8" w:space="0" w:color="DC5034" w:themeColor="accent6"/>
        </w:tcBorders>
      </w:tcPr>
    </w:tblStylePr>
    <w:tblStylePr w:type="band1Vert">
      <w:tblPr/>
      <w:tcPr>
        <w:tcBorders>
          <w:top w:val="single" w:sz="8" w:space="0" w:color="DC5034" w:themeColor="accent6"/>
          <w:left w:val="single" w:sz="8" w:space="0" w:color="DC5034" w:themeColor="accent6"/>
          <w:bottom w:val="single" w:sz="8" w:space="0" w:color="DC5034" w:themeColor="accent6"/>
          <w:right w:val="single" w:sz="8" w:space="0" w:color="DC5034" w:themeColor="accent6"/>
        </w:tcBorders>
        <w:shd w:val="clear" w:color="auto" w:fill="F6D3CC" w:themeFill="accent6" w:themeFillTint="3F"/>
      </w:tcPr>
    </w:tblStylePr>
    <w:tblStylePr w:type="band1Horz">
      <w:tblPr/>
      <w:tcPr>
        <w:tcBorders>
          <w:top w:val="single" w:sz="8" w:space="0" w:color="DC5034" w:themeColor="accent6"/>
          <w:left w:val="single" w:sz="8" w:space="0" w:color="DC5034" w:themeColor="accent6"/>
          <w:bottom w:val="single" w:sz="8" w:space="0" w:color="DC5034" w:themeColor="accent6"/>
          <w:right w:val="single" w:sz="8" w:space="0" w:color="DC5034" w:themeColor="accent6"/>
          <w:insideV w:val="single" w:sz="8" w:space="0" w:color="DC5034" w:themeColor="accent6"/>
        </w:tcBorders>
        <w:shd w:val="clear" w:color="auto" w:fill="F6D3CC" w:themeFill="accent6" w:themeFillTint="3F"/>
      </w:tcPr>
    </w:tblStylePr>
    <w:tblStylePr w:type="band2Horz">
      <w:tblPr/>
      <w:tcPr>
        <w:tcBorders>
          <w:top w:val="single" w:sz="8" w:space="0" w:color="DC5034" w:themeColor="accent6"/>
          <w:left w:val="single" w:sz="8" w:space="0" w:color="DC5034" w:themeColor="accent6"/>
          <w:bottom w:val="single" w:sz="8" w:space="0" w:color="DC5034" w:themeColor="accent6"/>
          <w:right w:val="single" w:sz="8" w:space="0" w:color="DC5034" w:themeColor="accent6"/>
          <w:insideV w:val="single" w:sz="8" w:space="0" w:color="DC5034" w:themeColor="accent6"/>
        </w:tcBorders>
      </w:tcPr>
    </w:tblStylePr>
  </w:style>
  <w:style w:type="table" w:customStyle="1" w:styleId="MediumShading11">
    <w:name w:val="Medium Shading 11"/>
    <w:basedOn w:val="TableNormal"/>
    <w:next w:val="MediumShading1"/>
    <w:uiPriority w:val="63"/>
    <w:rsid w:val="00AB36D9"/>
    <w:pPr>
      <w:spacing w:before="0" w:after="200" w:line="276" w:lineRule="auto"/>
    </w:pPr>
    <w:rPr>
      <w:rFonts w:eastAsiaTheme="minorEastAsia"/>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1">
    <w:name w:val="Medium Shading 1 - Accent 11"/>
    <w:basedOn w:val="TableNormal"/>
    <w:next w:val="MediumShading1-Accent1"/>
    <w:uiPriority w:val="63"/>
    <w:rsid w:val="00AB36D9"/>
    <w:pPr>
      <w:spacing w:before="0" w:after="200" w:line="276" w:lineRule="auto"/>
    </w:pPr>
    <w:rPr>
      <w:rFonts w:eastAsiaTheme="minorEastAsia"/>
    </w:rPr>
    <w:tblPr>
      <w:tblStyleRowBandSize w:val="1"/>
      <w:tblStyleColBandSize w:val="1"/>
      <w:tblBorders>
        <w:top w:val="single" w:sz="8" w:space="0" w:color="758A9A" w:themeColor="accent1" w:themeTint="BF"/>
        <w:left w:val="single" w:sz="8" w:space="0" w:color="758A9A" w:themeColor="accent1" w:themeTint="BF"/>
        <w:bottom w:val="single" w:sz="8" w:space="0" w:color="758A9A" w:themeColor="accent1" w:themeTint="BF"/>
        <w:right w:val="single" w:sz="8" w:space="0" w:color="758A9A" w:themeColor="accent1" w:themeTint="BF"/>
        <w:insideH w:val="single" w:sz="8" w:space="0" w:color="758A9A" w:themeColor="accent1" w:themeTint="BF"/>
      </w:tblBorders>
    </w:tblPr>
    <w:tblStylePr w:type="firstRow">
      <w:pPr>
        <w:spacing w:before="0" w:after="0" w:line="240" w:lineRule="auto"/>
      </w:pPr>
      <w:rPr>
        <w:b/>
        <w:bCs/>
        <w:color w:val="FFFFFF" w:themeColor="background1"/>
      </w:rPr>
      <w:tblPr/>
      <w:tcPr>
        <w:tcBorders>
          <w:top w:val="single" w:sz="8" w:space="0" w:color="758A9A" w:themeColor="accent1" w:themeTint="BF"/>
          <w:left w:val="single" w:sz="8" w:space="0" w:color="758A9A" w:themeColor="accent1" w:themeTint="BF"/>
          <w:bottom w:val="single" w:sz="8" w:space="0" w:color="758A9A" w:themeColor="accent1" w:themeTint="BF"/>
          <w:right w:val="single" w:sz="8" w:space="0" w:color="758A9A" w:themeColor="accent1" w:themeTint="BF"/>
          <w:insideH w:val="nil"/>
          <w:insideV w:val="nil"/>
        </w:tcBorders>
        <w:shd w:val="clear" w:color="auto" w:fill="51626F" w:themeFill="accent1"/>
      </w:tcPr>
    </w:tblStylePr>
    <w:tblStylePr w:type="lastRow">
      <w:pPr>
        <w:spacing w:before="0" w:after="0" w:line="240" w:lineRule="auto"/>
      </w:pPr>
      <w:rPr>
        <w:b/>
        <w:bCs/>
      </w:rPr>
      <w:tblPr/>
      <w:tcPr>
        <w:tcBorders>
          <w:top w:val="double" w:sz="6" w:space="0" w:color="758A9A" w:themeColor="accent1" w:themeTint="BF"/>
          <w:left w:val="single" w:sz="8" w:space="0" w:color="758A9A" w:themeColor="accent1" w:themeTint="BF"/>
          <w:bottom w:val="single" w:sz="8" w:space="0" w:color="758A9A" w:themeColor="accent1" w:themeTint="BF"/>
          <w:right w:val="single" w:sz="8" w:space="0" w:color="758A9A" w:themeColor="accent1" w:themeTint="BF"/>
          <w:insideH w:val="nil"/>
          <w:insideV w:val="nil"/>
        </w:tcBorders>
      </w:tcPr>
    </w:tblStylePr>
    <w:tblStylePr w:type="firstCol">
      <w:rPr>
        <w:b/>
        <w:bCs/>
      </w:rPr>
    </w:tblStylePr>
    <w:tblStylePr w:type="lastCol">
      <w:rPr>
        <w:b/>
        <w:bCs/>
      </w:rPr>
    </w:tblStylePr>
    <w:tblStylePr w:type="band1Vert">
      <w:tblPr/>
      <w:tcPr>
        <w:shd w:val="clear" w:color="auto" w:fill="D1D8DD" w:themeFill="accent1" w:themeFillTint="3F"/>
      </w:tcPr>
    </w:tblStylePr>
    <w:tblStylePr w:type="band1Horz">
      <w:tblPr/>
      <w:tcPr>
        <w:tcBorders>
          <w:insideH w:val="nil"/>
          <w:insideV w:val="nil"/>
        </w:tcBorders>
        <w:shd w:val="clear" w:color="auto" w:fill="D1D8DD" w:themeFill="accent1" w:themeFillTint="3F"/>
      </w:tcPr>
    </w:tblStylePr>
    <w:tblStylePr w:type="band2Horz">
      <w:tblPr/>
      <w:tcPr>
        <w:tcBorders>
          <w:insideH w:val="nil"/>
          <w:insideV w:val="nil"/>
        </w:tcBorders>
      </w:tcPr>
    </w:tblStylePr>
  </w:style>
  <w:style w:type="table" w:customStyle="1" w:styleId="MediumShading1-Accent21">
    <w:name w:val="Medium Shading 1 - Accent 21"/>
    <w:basedOn w:val="TableNormal"/>
    <w:next w:val="MediumShading1-Accent2"/>
    <w:uiPriority w:val="63"/>
    <w:rsid w:val="00AB36D9"/>
    <w:pPr>
      <w:spacing w:before="0" w:after="200" w:line="276" w:lineRule="auto"/>
    </w:pPr>
    <w:rPr>
      <w:rFonts w:eastAsiaTheme="minorEastAsia"/>
    </w:rPr>
    <w:tblPr>
      <w:tblStyleRowBandSize w:val="1"/>
      <w:tblStyleColBandSize w:val="1"/>
      <w:tblBorders>
        <w:top w:val="single" w:sz="8" w:space="0" w:color="7643BB" w:themeColor="accent2" w:themeTint="BF"/>
        <w:left w:val="single" w:sz="8" w:space="0" w:color="7643BB" w:themeColor="accent2" w:themeTint="BF"/>
        <w:bottom w:val="single" w:sz="8" w:space="0" w:color="7643BB" w:themeColor="accent2" w:themeTint="BF"/>
        <w:right w:val="single" w:sz="8" w:space="0" w:color="7643BB" w:themeColor="accent2" w:themeTint="BF"/>
        <w:insideH w:val="single" w:sz="8" w:space="0" w:color="7643BB" w:themeColor="accent2" w:themeTint="BF"/>
      </w:tblBorders>
    </w:tblPr>
    <w:tblStylePr w:type="firstRow">
      <w:pPr>
        <w:spacing w:before="0" w:after="0" w:line="240" w:lineRule="auto"/>
      </w:pPr>
      <w:rPr>
        <w:b/>
        <w:bCs/>
        <w:color w:val="FFFFFF" w:themeColor="background1"/>
      </w:rPr>
      <w:tblPr/>
      <w:tcPr>
        <w:tcBorders>
          <w:top w:val="single" w:sz="8" w:space="0" w:color="7643BB" w:themeColor="accent2" w:themeTint="BF"/>
          <w:left w:val="single" w:sz="8" w:space="0" w:color="7643BB" w:themeColor="accent2" w:themeTint="BF"/>
          <w:bottom w:val="single" w:sz="8" w:space="0" w:color="7643BB" w:themeColor="accent2" w:themeTint="BF"/>
          <w:right w:val="single" w:sz="8" w:space="0" w:color="7643BB" w:themeColor="accent2" w:themeTint="BF"/>
          <w:insideH w:val="nil"/>
          <w:insideV w:val="nil"/>
        </w:tcBorders>
        <w:shd w:val="clear" w:color="auto" w:fill="4F2D7D" w:themeFill="accent2"/>
      </w:tcPr>
    </w:tblStylePr>
    <w:tblStylePr w:type="lastRow">
      <w:pPr>
        <w:spacing w:before="0" w:after="0" w:line="240" w:lineRule="auto"/>
      </w:pPr>
      <w:rPr>
        <w:b/>
        <w:bCs/>
      </w:rPr>
      <w:tblPr/>
      <w:tcPr>
        <w:tcBorders>
          <w:top w:val="double" w:sz="6" w:space="0" w:color="7643BB" w:themeColor="accent2" w:themeTint="BF"/>
          <w:left w:val="single" w:sz="8" w:space="0" w:color="7643BB" w:themeColor="accent2" w:themeTint="BF"/>
          <w:bottom w:val="single" w:sz="8" w:space="0" w:color="7643BB" w:themeColor="accent2" w:themeTint="BF"/>
          <w:right w:val="single" w:sz="8" w:space="0" w:color="7643BB" w:themeColor="accent2" w:themeTint="BF"/>
          <w:insideH w:val="nil"/>
          <w:insideV w:val="nil"/>
        </w:tcBorders>
      </w:tcPr>
    </w:tblStylePr>
    <w:tblStylePr w:type="firstCol">
      <w:rPr>
        <w:b/>
        <w:bCs/>
      </w:rPr>
    </w:tblStylePr>
    <w:tblStylePr w:type="lastCol">
      <w:rPr>
        <w:b/>
        <w:bCs/>
      </w:rPr>
    </w:tblStylePr>
    <w:tblStylePr w:type="band1Vert">
      <w:tblPr/>
      <w:tcPr>
        <w:shd w:val="clear" w:color="auto" w:fill="D1C1E8" w:themeFill="accent2" w:themeFillTint="3F"/>
      </w:tcPr>
    </w:tblStylePr>
    <w:tblStylePr w:type="band1Horz">
      <w:tblPr/>
      <w:tcPr>
        <w:tcBorders>
          <w:insideH w:val="nil"/>
          <w:insideV w:val="nil"/>
        </w:tcBorders>
        <w:shd w:val="clear" w:color="auto" w:fill="D1C1E8" w:themeFill="accent2" w:themeFillTint="3F"/>
      </w:tcPr>
    </w:tblStylePr>
    <w:tblStylePr w:type="band2Horz">
      <w:tblPr/>
      <w:tcPr>
        <w:tcBorders>
          <w:insideH w:val="nil"/>
          <w:insideV w:val="nil"/>
        </w:tcBorders>
      </w:tcPr>
    </w:tblStylePr>
  </w:style>
  <w:style w:type="table" w:customStyle="1" w:styleId="MediumShading1-Accent31">
    <w:name w:val="Medium Shading 1 - Accent 31"/>
    <w:basedOn w:val="TableNormal"/>
    <w:next w:val="MediumShading1-Accent3"/>
    <w:uiPriority w:val="63"/>
    <w:rsid w:val="00AB36D9"/>
    <w:pPr>
      <w:spacing w:before="0" w:after="200" w:line="276" w:lineRule="auto"/>
    </w:pPr>
    <w:rPr>
      <w:rFonts w:eastAsiaTheme="minorEastAsia"/>
    </w:rPr>
    <w:tblPr>
      <w:tblStyleRowBandSize w:val="1"/>
      <w:tblStyleColBandSize w:val="1"/>
      <w:tblBorders>
        <w:top w:val="single" w:sz="8" w:space="0" w:color="13CAFF" w:themeColor="accent3" w:themeTint="BF"/>
        <w:left w:val="single" w:sz="8" w:space="0" w:color="13CAFF" w:themeColor="accent3" w:themeTint="BF"/>
        <w:bottom w:val="single" w:sz="8" w:space="0" w:color="13CAFF" w:themeColor="accent3" w:themeTint="BF"/>
        <w:right w:val="single" w:sz="8" w:space="0" w:color="13CAFF" w:themeColor="accent3" w:themeTint="BF"/>
        <w:insideH w:val="single" w:sz="8" w:space="0" w:color="13CAFF" w:themeColor="accent3" w:themeTint="BF"/>
      </w:tblBorders>
    </w:tblPr>
    <w:tblStylePr w:type="firstRow">
      <w:pPr>
        <w:spacing w:before="0" w:after="0" w:line="240" w:lineRule="auto"/>
      </w:pPr>
      <w:rPr>
        <w:b/>
        <w:bCs/>
        <w:color w:val="FFFFFF" w:themeColor="background1"/>
      </w:rPr>
      <w:tblPr/>
      <w:tcPr>
        <w:tcBorders>
          <w:top w:val="single" w:sz="8" w:space="0" w:color="13CAFF" w:themeColor="accent3" w:themeTint="BF"/>
          <w:left w:val="single" w:sz="8" w:space="0" w:color="13CAFF" w:themeColor="accent3" w:themeTint="BF"/>
          <w:bottom w:val="single" w:sz="8" w:space="0" w:color="13CAFF" w:themeColor="accent3" w:themeTint="BF"/>
          <w:right w:val="single" w:sz="8" w:space="0" w:color="13CAFF" w:themeColor="accent3" w:themeTint="BF"/>
          <w:insideH w:val="nil"/>
          <w:insideV w:val="nil"/>
        </w:tcBorders>
        <w:shd w:val="clear" w:color="auto" w:fill="0098C3" w:themeFill="accent3"/>
      </w:tcPr>
    </w:tblStylePr>
    <w:tblStylePr w:type="lastRow">
      <w:pPr>
        <w:spacing w:before="0" w:after="0" w:line="240" w:lineRule="auto"/>
      </w:pPr>
      <w:rPr>
        <w:b/>
        <w:bCs/>
      </w:rPr>
      <w:tblPr/>
      <w:tcPr>
        <w:tcBorders>
          <w:top w:val="double" w:sz="6" w:space="0" w:color="13CAFF" w:themeColor="accent3" w:themeTint="BF"/>
          <w:left w:val="single" w:sz="8" w:space="0" w:color="13CAFF" w:themeColor="accent3" w:themeTint="BF"/>
          <w:bottom w:val="single" w:sz="8" w:space="0" w:color="13CAFF" w:themeColor="accent3" w:themeTint="BF"/>
          <w:right w:val="single" w:sz="8" w:space="0" w:color="13CAFF" w:themeColor="accent3" w:themeTint="BF"/>
          <w:insideH w:val="nil"/>
          <w:insideV w:val="nil"/>
        </w:tcBorders>
      </w:tcPr>
    </w:tblStylePr>
    <w:tblStylePr w:type="firstCol">
      <w:rPr>
        <w:b/>
        <w:bCs/>
      </w:rPr>
    </w:tblStylePr>
    <w:tblStylePr w:type="lastCol">
      <w:rPr>
        <w:b/>
        <w:bCs/>
      </w:rPr>
    </w:tblStylePr>
    <w:tblStylePr w:type="band1Vert">
      <w:tblPr/>
      <w:tcPr>
        <w:shd w:val="clear" w:color="auto" w:fill="B1EDFF" w:themeFill="accent3" w:themeFillTint="3F"/>
      </w:tcPr>
    </w:tblStylePr>
    <w:tblStylePr w:type="band1Horz">
      <w:tblPr/>
      <w:tcPr>
        <w:tcBorders>
          <w:insideH w:val="nil"/>
          <w:insideV w:val="nil"/>
        </w:tcBorders>
        <w:shd w:val="clear" w:color="auto" w:fill="B1EDFF" w:themeFill="accent3" w:themeFillTint="3F"/>
      </w:tcPr>
    </w:tblStylePr>
    <w:tblStylePr w:type="band2Horz">
      <w:tblPr/>
      <w:tcPr>
        <w:tcBorders>
          <w:insideH w:val="nil"/>
          <w:insideV w:val="nil"/>
        </w:tcBorders>
      </w:tcPr>
    </w:tblStylePr>
  </w:style>
  <w:style w:type="table" w:customStyle="1" w:styleId="MediumShading1-Accent41">
    <w:name w:val="Medium Shading 1 - Accent 41"/>
    <w:basedOn w:val="TableNormal"/>
    <w:next w:val="MediumShading1-Accent4"/>
    <w:uiPriority w:val="63"/>
    <w:rsid w:val="00AB36D9"/>
    <w:pPr>
      <w:spacing w:before="0" w:after="200" w:line="276" w:lineRule="auto"/>
    </w:pPr>
    <w:rPr>
      <w:rFonts w:eastAsiaTheme="minorEastAsia"/>
    </w:rPr>
    <w:tblPr>
      <w:tblStyleRowBandSize w:val="1"/>
      <w:tblStyleColBandSize w:val="1"/>
      <w:tblBorders>
        <w:top w:val="single" w:sz="8" w:space="0" w:color="B7DAF0" w:themeColor="accent4" w:themeTint="BF"/>
        <w:left w:val="single" w:sz="8" w:space="0" w:color="B7DAF0" w:themeColor="accent4" w:themeTint="BF"/>
        <w:bottom w:val="single" w:sz="8" w:space="0" w:color="B7DAF0" w:themeColor="accent4" w:themeTint="BF"/>
        <w:right w:val="single" w:sz="8" w:space="0" w:color="B7DAF0" w:themeColor="accent4" w:themeTint="BF"/>
        <w:insideH w:val="single" w:sz="8" w:space="0" w:color="B7DAF0" w:themeColor="accent4" w:themeTint="BF"/>
      </w:tblBorders>
    </w:tblPr>
    <w:tblStylePr w:type="firstRow">
      <w:pPr>
        <w:spacing w:before="0" w:after="0" w:line="240" w:lineRule="auto"/>
      </w:pPr>
      <w:rPr>
        <w:b/>
        <w:bCs/>
        <w:color w:val="FFFFFF" w:themeColor="background1"/>
      </w:rPr>
      <w:tblPr/>
      <w:tcPr>
        <w:tcBorders>
          <w:top w:val="single" w:sz="8" w:space="0" w:color="B7DAF0" w:themeColor="accent4" w:themeTint="BF"/>
          <w:left w:val="single" w:sz="8" w:space="0" w:color="B7DAF0" w:themeColor="accent4" w:themeTint="BF"/>
          <w:bottom w:val="single" w:sz="8" w:space="0" w:color="B7DAF0" w:themeColor="accent4" w:themeTint="BF"/>
          <w:right w:val="single" w:sz="8" w:space="0" w:color="B7DAF0" w:themeColor="accent4" w:themeTint="BF"/>
          <w:insideH w:val="nil"/>
          <w:insideV w:val="nil"/>
        </w:tcBorders>
        <w:shd w:val="clear" w:color="auto" w:fill="A0CFEB" w:themeFill="accent4"/>
      </w:tcPr>
    </w:tblStylePr>
    <w:tblStylePr w:type="lastRow">
      <w:pPr>
        <w:spacing w:before="0" w:after="0" w:line="240" w:lineRule="auto"/>
      </w:pPr>
      <w:rPr>
        <w:b/>
        <w:bCs/>
      </w:rPr>
      <w:tblPr/>
      <w:tcPr>
        <w:tcBorders>
          <w:top w:val="double" w:sz="6" w:space="0" w:color="B7DAF0" w:themeColor="accent4" w:themeTint="BF"/>
          <w:left w:val="single" w:sz="8" w:space="0" w:color="B7DAF0" w:themeColor="accent4" w:themeTint="BF"/>
          <w:bottom w:val="single" w:sz="8" w:space="0" w:color="B7DAF0" w:themeColor="accent4" w:themeTint="BF"/>
          <w:right w:val="single" w:sz="8" w:space="0" w:color="B7DAF0" w:themeColor="accent4" w:themeTint="BF"/>
          <w:insideH w:val="nil"/>
          <w:insideV w:val="nil"/>
        </w:tcBorders>
      </w:tcPr>
    </w:tblStylePr>
    <w:tblStylePr w:type="firstCol">
      <w:rPr>
        <w:b/>
        <w:bCs/>
      </w:rPr>
    </w:tblStylePr>
    <w:tblStylePr w:type="lastCol">
      <w:rPr>
        <w:b/>
        <w:bCs/>
      </w:rPr>
    </w:tblStylePr>
    <w:tblStylePr w:type="band1Vert">
      <w:tblPr/>
      <w:tcPr>
        <w:shd w:val="clear" w:color="auto" w:fill="E7F3FA" w:themeFill="accent4" w:themeFillTint="3F"/>
      </w:tcPr>
    </w:tblStylePr>
    <w:tblStylePr w:type="band1Horz">
      <w:tblPr/>
      <w:tcPr>
        <w:tcBorders>
          <w:insideH w:val="nil"/>
          <w:insideV w:val="nil"/>
        </w:tcBorders>
        <w:shd w:val="clear" w:color="auto" w:fill="E7F3FA" w:themeFill="accent4" w:themeFillTint="3F"/>
      </w:tcPr>
    </w:tblStylePr>
    <w:tblStylePr w:type="band2Horz">
      <w:tblPr/>
      <w:tcPr>
        <w:tcBorders>
          <w:insideH w:val="nil"/>
          <w:insideV w:val="nil"/>
        </w:tcBorders>
      </w:tcPr>
    </w:tblStylePr>
  </w:style>
  <w:style w:type="table" w:customStyle="1" w:styleId="MediumShading1-Accent51">
    <w:name w:val="Medium Shading 1 - Accent 51"/>
    <w:basedOn w:val="TableNormal"/>
    <w:next w:val="MediumShading1-Accent5"/>
    <w:uiPriority w:val="63"/>
    <w:rsid w:val="00AB36D9"/>
    <w:pPr>
      <w:spacing w:before="0" w:after="200" w:line="276" w:lineRule="auto"/>
    </w:pPr>
    <w:rPr>
      <w:rFonts w:eastAsiaTheme="minorEastAsia"/>
    </w:rPr>
    <w:tblPr>
      <w:tblStyleRowBandSize w:val="1"/>
      <w:tblStyleColBandSize w:val="1"/>
      <w:tblBorders>
        <w:top w:val="single" w:sz="8" w:space="0" w:color="FC220E" w:themeColor="accent5" w:themeTint="BF"/>
        <w:left w:val="single" w:sz="8" w:space="0" w:color="FC220E" w:themeColor="accent5" w:themeTint="BF"/>
        <w:bottom w:val="single" w:sz="8" w:space="0" w:color="FC220E" w:themeColor="accent5" w:themeTint="BF"/>
        <w:right w:val="single" w:sz="8" w:space="0" w:color="FC220E" w:themeColor="accent5" w:themeTint="BF"/>
        <w:insideH w:val="single" w:sz="8" w:space="0" w:color="FC220E" w:themeColor="accent5" w:themeTint="BF"/>
      </w:tblBorders>
    </w:tblPr>
    <w:tblStylePr w:type="firstRow">
      <w:pPr>
        <w:spacing w:before="0" w:after="0" w:line="240" w:lineRule="auto"/>
      </w:pPr>
      <w:rPr>
        <w:b/>
        <w:bCs/>
        <w:color w:val="FFFFFF" w:themeColor="background1"/>
      </w:rPr>
      <w:tblPr/>
      <w:tcPr>
        <w:tcBorders>
          <w:top w:val="single" w:sz="8" w:space="0" w:color="FC220E" w:themeColor="accent5" w:themeTint="BF"/>
          <w:left w:val="single" w:sz="8" w:space="0" w:color="FC220E" w:themeColor="accent5" w:themeTint="BF"/>
          <w:bottom w:val="single" w:sz="8" w:space="0" w:color="FC220E" w:themeColor="accent5" w:themeTint="BF"/>
          <w:right w:val="single" w:sz="8" w:space="0" w:color="FC220E" w:themeColor="accent5" w:themeTint="BF"/>
          <w:insideH w:val="nil"/>
          <w:insideV w:val="nil"/>
        </w:tcBorders>
        <w:shd w:val="clear" w:color="auto" w:fill="B71202" w:themeFill="accent5"/>
      </w:tcPr>
    </w:tblStylePr>
    <w:tblStylePr w:type="lastRow">
      <w:pPr>
        <w:spacing w:before="0" w:after="0" w:line="240" w:lineRule="auto"/>
      </w:pPr>
      <w:rPr>
        <w:b/>
        <w:bCs/>
      </w:rPr>
      <w:tblPr/>
      <w:tcPr>
        <w:tcBorders>
          <w:top w:val="double" w:sz="6" w:space="0" w:color="FC220E" w:themeColor="accent5" w:themeTint="BF"/>
          <w:left w:val="single" w:sz="8" w:space="0" w:color="FC220E" w:themeColor="accent5" w:themeTint="BF"/>
          <w:bottom w:val="single" w:sz="8" w:space="0" w:color="FC220E" w:themeColor="accent5" w:themeTint="BF"/>
          <w:right w:val="single" w:sz="8" w:space="0" w:color="FC220E" w:themeColor="accent5" w:themeTint="BF"/>
          <w:insideH w:val="nil"/>
          <w:insideV w:val="nil"/>
        </w:tcBorders>
      </w:tcPr>
    </w:tblStylePr>
    <w:tblStylePr w:type="firstCol">
      <w:rPr>
        <w:b/>
        <w:bCs/>
      </w:rPr>
    </w:tblStylePr>
    <w:tblStylePr w:type="lastCol">
      <w:rPr>
        <w:b/>
        <w:bCs/>
      </w:rPr>
    </w:tblStylePr>
    <w:tblStylePr w:type="band1Vert">
      <w:tblPr/>
      <w:tcPr>
        <w:shd w:val="clear" w:color="auto" w:fill="FEB6AF" w:themeFill="accent5" w:themeFillTint="3F"/>
      </w:tcPr>
    </w:tblStylePr>
    <w:tblStylePr w:type="band1Horz">
      <w:tblPr/>
      <w:tcPr>
        <w:tcBorders>
          <w:insideH w:val="nil"/>
          <w:insideV w:val="nil"/>
        </w:tcBorders>
        <w:shd w:val="clear" w:color="auto" w:fill="FEB6AF" w:themeFill="accent5" w:themeFillTint="3F"/>
      </w:tcPr>
    </w:tblStylePr>
    <w:tblStylePr w:type="band2Horz">
      <w:tblPr/>
      <w:tcPr>
        <w:tcBorders>
          <w:insideH w:val="nil"/>
          <w:insideV w:val="nil"/>
        </w:tcBorders>
      </w:tcPr>
    </w:tblStylePr>
  </w:style>
  <w:style w:type="table" w:customStyle="1" w:styleId="LightList1">
    <w:name w:val="Light List1"/>
    <w:basedOn w:val="TableNormal"/>
    <w:next w:val="LightList"/>
    <w:uiPriority w:val="61"/>
    <w:rsid w:val="00AB36D9"/>
    <w:pPr>
      <w:spacing w:before="0" w:after="200" w:line="276" w:lineRule="auto"/>
    </w:pPr>
    <w:rPr>
      <w:rFonts w:eastAsiaTheme="minorEastAsi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Accent51">
    <w:name w:val="Light Shading - Accent 51"/>
    <w:basedOn w:val="TableNormal"/>
    <w:next w:val="LightShading-Accent5"/>
    <w:uiPriority w:val="60"/>
    <w:rsid w:val="00AB36D9"/>
    <w:pPr>
      <w:spacing w:before="0" w:after="200" w:line="276" w:lineRule="auto"/>
    </w:pPr>
    <w:rPr>
      <w:rFonts w:eastAsiaTheme="minorEastAsia"/>
      <w:color w:val="880D01" w:themeColor="accent5" w:themeShade="BF"/>
    </w:rPr>
    <w:tblPr>
      <w:tblStyleRowBandSize w:val="1"/>
      <w:tblStyleColBandSize w:val="1"/>
      <w:tblBorders>
        <w:top w:val="single" w:sz="8" w:space="0" w:color="B71202" w:themeColor="accent5"/>
        <w:bottom w:val="single" w:sz="8" w:space="0" w:color="B71202" w:themeColor="accent5"/>
      </w:tblBorders>
    </w:tblPr>
    <w:tblStylePr w:type="firstRow">
      <w:pPr>
        <w:spacing w:before="0" w:after="0" w:line="240" w:lineRule="auto"/>
      </w:pPr>
      <w:rPr>
        <w:b/>
        <w:bCs/>
      </w:rPr>
      <w:tblPr/>
      <w:tcPr>
        <w:tcBorders>
          <w:top w:val="single" w:sz="8" w:space="0" w:color="B71202" w:themeColor="accent5"/>
          <w:left w:val="nil"/>
          <w:bottom w:val="single" w:sz="8" w:space="0" w:color="B71202" w:themeColor="accent5"/>
          <w:right w:val="nil"/>
          <w:insideH w:val="nil"/>
          <w:insideV w:val="nil"/>
        </w:tcBorders>
      </w:tcPr>
    </w:tblStylePr>
    <w:tblStylePr w:type="lastRow">
      <w:pPr>
        <w:spacing w:before="0" w:after="0" w:line="240" w:lineRule="auto"/>
      </w:pPr>
      <w:rPr>
        <w:b/>
        <w:bCs/>
      </w:rPr>
      <w:tblPr/>
      <w:tcPr>
        <w:tcBorders>
          <w:top w:val="single" w:sz="8" w:space="0" w:color="B71202" w:themeColor="accent5"/>
          <w:left w:val="nil"/>
          <w:bottom w:val="single" w:sz="8" w:space="0" w:color="B7120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B6AF" w:themeFill="accent5" w:themeFillTint="3F"/>
      </w:tcPr>
    </w:tblStylePr>
    <w:tblStylePr w:type="band1Horz">
      <w:tblPr/>
      <w:tcPr>
        <w:tcBorders>
          <w:left w:val="nil"/>
          <w:right w:val="nil"/>
          <w:insideH w:val="nil"/>
          <w:insideV w:val="nil"/>
        </w:tcBorders>
        <w:shd w:val="clear" w:color="auto" w:fill="FEB6AF" w:themeFill="accent5" w:themeFillTint="3F"/>
      </w:tcPr>
    </w:tblStylePr>
  </w:style>
  <w:style w:type="table" w:customStyle="1" w:styleId="LightGrid-Accent31">
    <w:name w:val="Light Grid - Accent 31"/>
    <w:basedOn w:val="TableNormal"/>
    <w:next w:val="LightGrid-Accent3"/>
    <w:uiPriority w:val="62"/>
    <w:rsid w:val="00AB36D9"/>
    <w:pPr>
      <w:spacing w:before="0" w:after="200" w:line="276" w:lineRule="auto"/>
    </w:pPr>
    <w:rPr>
      <w:rFonts w:eastAsiaTheme="minorEastAsia"/>
    </w:rPr>
    <w:tblPr>
      <w:tblStyleRowBandSize w:val="1"/>
      <w:tblStyleColBandSize w:val="1"/>
      <w:tblBorders>
        <w:top w:val="single" w:sz="8" w:space="0" w:color="0098C3" w:themeColor="accent3"/>
        <w:left w:val="single" w:sz="8" w:space="0" w:color="0098C3" w:themeColor="accent3"/>
        <w:bottom w:val="single" w:sz="8" w:space="0" w:color="0098C3" w:themeColor="accent3"/>
        <w:right w:val="single" w:sz="8" w:space="0" w:color="0098C3" w:themeColor="accent3"/>
        <w:insideH w:val="single" w:sz="8" w:space="0" w:color="0098C3" w:themeColor="accent3"/>
        <w:insideV w:val="single" w:sz="8" w:space="0" w:color="0098C3"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98C3" w:themeColor="accent3"/>
          <w:left w:val="single" w:sz="8" w:space="0" w:color="0098C3" w:themeColor="accent3"/>
          <w:bottom w:val="single" w:sz="18" w:space="0" w:color="0098C3" w:themeColor="accent3"/>
          <w:right w:val="single" w:sz="8" w:space="0" w:color="0098C3" w:themeColor="accent3"/>
          <w:insideH w:val="nil"/>
          <w:insideV w:val="single" w:sz="8" w:space="0" w:color="0098C3"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98C3" w:themeColor="accent3"/>
          <w:left w:val="single" w:sz="8" w:space="0" w:color="0098C3" w:themeColor="accent3"/>
          <w:bottom w:val="single" w:sz="8" w:space="0" w:color="0098C3" w:themeColor="accent3"/>
          <w:right w:val="single" w:sz="8" w:space="0" w:color="0098C3" w:themeColor="accent3"/>
          <w:insideH w:val="nil"/>
          <w:insideV w:val="single" w:sz="8" w:space="0" w:color="0098C3"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98C3" w:themeColor="accent3"/>
          <w:left w:val="single" w:sz="8" w:space="0" w:color="0098C3" w:themeColor="accent3"/>
          <w:bottom w:val="single" w:sz="8" w:space="0" w:color="0098C3" w:themeColor="accent3"/>
          <w:right w:val="single" w:sz="8" w:space="0" w:color="0098C3" w:themeColor="accent3"/>
        </w:tcBorders>
      </w:tcPr>
    </w:tblStylePr>
    <w:tblStylePr w:type="band1Vert">
      <w:tblPr/>
      <w:tcPr>
        <w:tcBorders>
          <w:top w:val="single" w:sz="8" w:space="0" w:color="0098C3" w:themeColor="accent3"/>
          <w:left w:val="single" w:sz="8" w:space="0" w:color="0098C3" w:themeColor="accent3"/>
          <w:bottom w:val="single" w:sz="8" w:space="0" w:color="0098C3" w:themeColor="accent3"/>
          <w:right w:val="single" w:sz="8" w:space="0" w:color="0098C3" w:themeColor="accent3"/>
        </w:tcBorders>
        <w:shd w:val="clear" w:color="auto" w:fill="B1EDFF" w:themeFill="accent3" w:themeFillTint="3F"/>
      </w:tcPr>
    </w:tblStylePr>
    <w:tblStylePr w:type="band1Horz">
      <w:tblPr/>
      <w:tcPr>
        <w:tcBorders>
          <w:top w:val="single" w:sz="8" w:space="0" w:color="0098C3" w:themeColor="accent3"/>
          <w:left w:val="single" w:sz="8" w:space="0" w:color="0098C3" w:themeColor="accent3"/>
          <w:bottom w:val="single" w:sz="8" w:space="0" w:color="0098C3" w:themeColor="accent3"/>
          <w:right w:val="single" w:sz="8" w:space="0" w:color="0098C3" w:themeColor="accent3"/>
          <w:insideV w:val="single" w:sz="8" w:space="0" w:color="0098C3" w:themeColor="accent3"/>
        </w:tcBorders>
        <w:shd w:val="clear" w:color="auto" w:fill="B1EDFF" w:themeFill="accent3" w:themeFillTint="3F"/>
      </w:tcPr>
    </w:tblStylePr>
    <w:tblStylePr w:type="band2Horz">
      <w:tblPr/>
      <w:tcPr>
        <w:tcBorders>
          <w:top w:val="single" w:sz="8" w:space="0" w:color="0098C3" w:themeColor="accent3"/>
          <w:left w:val="single" w:sz="8" w:space="0" w:color="0098C3" w:themeColor="accent3"/>
          <w:bottom w:val="single" w:sz="8" w:space="0" w:color="0098C3" w:themeColor="accent3"/>
          <w:right w:val="single" w:sz="8" w:space="0" w:color="0098C3" w:themeColor="accent3"/>
          <w:insideV w:val="single" w:sz="8" w:space="0" w:color="0098C3" w:themeColor="accent3"/>
        </w:tcBorders>
      </w:tcPr>
    </w:tblStylePr>
  </w:style>
  <w:style w:type="table" w:customStyle="1" w:styleId="LightList-Accent11">
    <w:name w:val="Light List - Accent 11"/>
    <w:basedOn w:val="TableNormal"/>
    <w:next w:val="LightList-Accent1"/>
    <w:uiPriority w:val="61"/>
    <w:rsid w:val="00AB36D9"/>
    <w:pPr>
      <w:spacing w:before="0" w:after="200" w:line="276" w:lineRule="auto"/>
    </w:pPr>
    <w:rPr>
      <w:rFonts w:eastAsiaTheme="minorEastAsia"/>
    </w:rPr>
    <w:tblPr>
      <w:tblStyleRowBandSize w:val="1"/>
      <w:tblStyleColBandSize w:val="1"/>
      <w:tblBorders>
        <w:top w:val="single" w:sz="8" w:space="0" w:color="51626F" w:themeColor="accent1"/>
        <w:left w:val="single" w:sz="8" w:space="0" w:color="51626F" w:themeColor="accent1"/>
        <w:bottom w:val="single" w:sz="8" w:space="0" w:color="51626F" w:themeColor="accent1"/>
        <w:right w:val="single" w:sz="8" w:space="0" w:color="51626F" w:themeColor="accent1"/>
      </w:tblBorders>
    </w:tblPr>
    <w:tblStylePr w:type="firstRow">
      <w:pPr>
        <w:spacing w:before="0" w:after="0" w:line="240" w:lineRule="auto"/>
      </w:pPr>
      <w:rPr>
        <w:b/>
        <w:bCs/>
        <w:color w:val="FFFFFF" w:themeColor="background1"/>
      </w:rPr>
      <w:tblPr/>
      <w:tcPr>
        <w:shd w:val="clear" w:color="auto" w:fill="51626F" w:themeFill="accent1"/>
      </w:tcPr>
    </w:tblStylePr>
    <w:tblStylePr w:type="lastRow">
      <w:pPr>
        <w:spacing w:before="0" w:after="0" w:line="240" w:lineRule="auto"/>
      </w:pPr>
      <w:rPr>
        <w:b/>
        <w:bCs/>
      </w:rPr>
      <w:tblPr/>
      <w:tcPr>
        <w:tcBorders>
          <w:top w:val="double" w:sz="6" w:space="0" w:color="51626F" w:themeColor="accent1"/>
          <w:left w:val="single" w:sz="8" w:space="0" w:color="51626F" w:themeColor="accent1"/>
          <w:bottom w:val="single" w:sz="8" w:space="0" w:color="51626F" w:themeColor="accent1"/>
          <w:right w:val="single" w:sz="8" w:space="0" w:color="51626F" w:themeColor="accent1"/>
        </w:tcBorders>
      </w:tcPr>
    </w:tblStylePr>
    <w:tblStylePr w:type="firstCol">
      <w:rPr>
        <w:b/>
        <w:bCs/>
      </w:rPr>
    </w:tblStylePr>
    <w:tblStylePr w:type="lastCol">
      <w:rPr>
        <w:b/>
        <w:bCs/>
      </w:rPr>
    </w:tblStylePr>
    <w:tblStylePr w:type="band1Vert">
      <w:tblPr/>
      <w:tcPr>
        <w:tcBorders>
          <w:top w:val="single" w:sz="8" w:space="0" w:color="51626F" w:themeColor="accent1"/>
          <w:left w:val="single" w:sz="8" w:space="0" w:color="51626F" w:themeColor="accent1"/>
          <w:bottom w:val="single" w:sz="8" w:space="0" w:color="51626F" w:themeColor="accent1"/>
          <w:right w:val="single" w:sz="8" w:space="0" w:color="51626F" w:themeColor="accent1"/>
        </w:tcBorders>
      </w:tcPr>
    </w:tblStylePr>
    <w:tblStylePr w:type="band1Horz">
      <w:tblPr/>
      <w:tcPr>
        <w:tcBorders>
          <w:top w:val="single" w:sz="8" w:space="0" w:color="51626F" w:themeColor="accent1"/>
          <w:left w:val="single" w:sz="8" w:space="0" w:color="51626F" w:themeColor="accent1"/>
          <w:bottom w:val="single" w:sz="8" w:space="0" w:color="51626F" w:themeColor="accent1"/>
          <w:right w:val="single" w:sz="8" w:space="0" w:color="51626F" w:themeColor="accent1"/>
        </w:tcBorders>
      </w:tcPr>
    </w:tblStylePr>
  </w:style>
  <w:style w:type="table" w:customStyle="1" w:styleId="LightList-Accent31">
    <w:name w:val="Light List - Accent 31"/>
    <w:basedOn w:val="TableNormal"/>
    <w:next w:val="LightList-Accent3"/>
    <w:uiPriority w:val="61"/>
    <w:rsid w:val="00AB36D9"/>
    <w:pPr>
      <w:spacing w:before="0" w:after="200" w:line="276" w:lineRule="auto"/>
    </w:pPr>
    <w:rPr>
      <w:rFonts w:eastAsiaTheme="minorEastAsia"/>
    </w:rPr>
    <w:tblPr>
      <w:tblStyleRowBandSize w:val="1"/>
      <w:tblStyleColBandSize w:val="1"/>
      <w:tblBorders>
        <w:top w:val="single" w:sz="8" w:space="0" w:color="0098C3" w:themeColor="accent3"/>
        <w:left w:val="single" w:sz="8" w:space="0" w:color="0098C3" w:themeColor="accent3"/>
        <w:bottom w:val="single" w:sz="8" w:space="0" w:color="0098C3" w:themeColor="accent3"/>
        <w:right w:val="single" w:sz="8" w:space="0" w:color="0098C3" w:themeColor="accent3"/>
      </w:tblBorders>
    </w:tblPr>
    <w:tblStylePr w:type="firstRow">
      <w:pPr>
        <w:spacing w:before="0" w:after="0" w:line="240" w:lineRule="auto"/>
      </w:pPr>
      <w:rPr>
        <w:b/>
        <w:bCs/>
        <w:color w:val="FFFFFF" w:themeColor="background1"/>
      </w:rPr>
      <w:tblPr/>
      <w:tcPr>
        <w:shd w:val="clear" w:color="auto" w:fill="0098C3" w:themeFill="accent3"/>
      </w:tcPr>
    </w:tblStylePr>
    <w:tblStylePr w:type="lastRow">
      <w:pPr>
        <w:spacing w:before="0" w:after="0" w:line="240" w:lineRule="auto"/>
      </w:pPr>
      <w:rPr>
        <w:b/>
        <w:bCs/>
      </w:rPr>
      <w:tblPr/>
      <w:tcPr>
        <w:tcBorders>
          <w:top w:val="double" w:sz="6" w:space="0" w:color="0098C3" w:themeColor="accent3"/>
          <w:left w:val="single" w:sz="8" w:space="0" w:color="0098C3" w:themeColor="accent3"/>
          <w:bottom w:val="single" w:sz="8" w:space="0" w:color="0098C3" w:themeColor="accent3"/>
          <w:right w:val="single" w:sz="8" w:space="0" w:color="0098C3" w:themeColor="accent3"/>
        </w:tcBorders>
      </w:tcPr>
    </w:tblStylePr>
    <w:tblStylePr w:type="firstCol">
      <w:rPr>
        <w:b/>
        <w:bCs/>
      </w:rPr>
    </w:tblStylePr>
    <w:tblStylePr w:type="lastCol">
      <w:rPr>
        <w:b/>
        <w:bCs/>
      </w:rPr>
    </w:tblStylePr>
    <w:tblStylePr w:type="band1Vert">
      <w:tblPr/>
      <w:tcPr>
        <w:tcBorders>
          <w:top w:val="single" w:sz="8" w:space="0" w:color="0098C3" w:themeColor="accent3"/>
          <w:left w:val="single" w:sz="8" w:space="0" w:color="0098C3" w:themeColor="accent3"/>
          <w:bottom w:val="single" w:sz="8" w:space="0" w:color="0098C3" w:themeColor="accent3"/>
          <w:right w:val="single" w:sz="8" w:space="0" w:color="0098C3" w:themeColor="accent3"/>
        </w:tcBorders>
      </w:tcPr>
    </w:tblStylePr>
    <w:tblStylePr w:type="band1Horz">
      <w:tblPr/>
      <w:tcPr>
        <w:tcBorders>
          <w:top w:val="single" w:sz="8" w:space="0" w:color="0098C3" w:themeColor="accent3"/>
          <w:left w:val="single" w:sz="8" w:space="0" w:color="0098C3" w:themeColor="accent3"/>
          <w:bottom w:val="single" w:sz="8" w:space="0" w:color="0098C3" w:themeColor="accent3"/>
          <w:right w:val="single" w:sz="8" w:space="0" w:color="0098C3" w:themeColor="accent3"/>
        </w:tcBorders>
      </w:tcPr>
    </w:tblStylePr>
  </w:style>
  <w:style w:type="table" w:customStyle="1" w:styleId="LightList-Accent51">
    <w:name w:val="Light List - Accent 51"/>
    <w:basedOn w:val="TableNormal"/>
    <w:next w:val="LightList-Accent5"/>
    <w:uiPriority w:val="61"/>
    <w:rsid w:val="00AB36D9"/>
    <w:pPr>
      <w:spacing w:before="0" w:after="200" w:line="276" w:lineRule="auto"/>
    </w:pPr>
    <w:rPr>
      <w:rFonts w:eastAsiaTheme="minorEastAsia"/>
    </w:rPr>
    <w:tblPr>
      <w:tblStyleRowBandSize w:val="1"/>
      <w:tblStyleColBandSize w:val="1"/>
      <w:tblBorders>
        <w:top w:val="single" w:sz="8" w:space="0" w:color="B71202" w:themeColor="accent5"/>
        <w:left w:val="single" w:sz="8" w:space="0" w:color="B71202" w:themeColor="accent5"/>
        <w:bottom w:val="single" w:sz="8" w:space="0" w:color="B71202" w:themeColor="accent5"/>
        <w:right w:val="single" w:sz="8" w:space="0" w:color="B71202" w:themeColor="accent5"/>
      </w:tblBorders>
    </w:tblPr>
    <w:tblStylePr w:type="firstRow">
      <w:pPr>
        <w:spacing w:before="0" w:after="0" w:line="240" w:lineRule="auto"/>
      </w:pPr>
      <w:rPr>
        <w:b/>
        <w:bCs/>
        <w:color w:val="auto"/>
      </w:rPr>
      <w:tblPr/>
      <w:tcPr>
        <w:shd w:val="clear" w:color="auto" w:fill="B71202" w:themeFill="accent5"/>
      </w:tcPr>
    </w:tblStylePr>
    <w:tblStylePr w:type="lastRow">
      <w:pPr>
        <w:spacing w:before="0" w:after="0" w:line="240" w:lineRule="auto"/>
      </w:pPr>
      <w:rPr>
        <w:b/>
        <w:bCs/>
      </w:rPr>
      <w:tblPr/>
      <w:tcPr>
        <w:tcBorders>
          <w:top w:val="double" w:sz="6" w:space="0" w:color="B71202" w:themeColor="accent5"/>
          <w:left w:val="single" w:sz="8" w:space="0" w:color="B71202" w:themeColor="accent5"/>
          <w:bottom w:val="single" w:sz="8" w:space="0" w:color="B71202" w:themeColor="accent5"/>
          <w:right w:val="single" w:sz="8" w:space="0" w:color="B71202" w:themeColor="accent5"/>
        </w:tcBorders>
      </w:tcPr>
    </w:tblStylePr>
    <w:tblStylePr w:type="firstCol">
      <w:rPr>
        <w:b/>
        <w:bCs/>
      </w:rPr>
    </w:tblStylePr>
    <w:tblStylePr w:type="lastCol">
      <w:rPr>
        <w:b/>
        <w:bCs/>
      </w:rPr>
    </w:tblStylePr>
    <w:tblStylePr w:type="band1Vert">
      <w:tblPr/>
      <w:tcPr>
        <w:tcBorders>
          <w:top w:val="single" w:sz="8" w:space="0" w:color="B71202" w:themeColor="accent5"/>
          <w:left w:val="single" w:sz="8" w:space="0" w:color="B71202" w:themeColor="accent5"/>
          <w:bottom w:val="single" w:sz="8" w:space="0" w:color="B71202" w:themeColor="accent5"/>
          <w:right w:val="single" w:sz="8" w:space="0" w:color="B71202" w:themeColor="accent5"/>
        </w:tcBorders>
      </w:tcPr>
    </w:tblStylePr>
    <w:tblStylePr w:type="band1Horz">
      <w:tblPr/>
      <w:tcPr>
        <w:tcBorders>
          <w:top w:val="single" w:sz="8" w:space="0" w:color="B71202" w:themeColor="accent5"/>
          <w:left w:val="single" w:sz="8" w:space="0" w:color="B71202" w:themeColor="accent5"/>
          <w:bottom w:val="single" w:sz="8" w:space="0" w:color="B71202" w:themeColor="accent5"/>
          <w:right w:val="single" w:sz="8" w:space="0" w:color="B71202" w:themeColor="accent5"/>
        </w:tcBorders>
      </w:tcPr>
    </w:tblStylePr>
  </w:style>
  <w:style w:type="table" w:customStyle="1" w:styleId="LightShading-Accent41">
    <w:name w:val="Light Shading - Accent 41"/>
    <w:basedOn w:val="TableNormal"/>
    <w:next w:val="LightShading-Accent4"/>
    <w:uiPriority w:val="60"/>
    <w:rsid w:val="00AB36D9"/>
    <w:pPr>
      <w:spacing w:before="0" w:after="200" w:line="276" w:lineRule="auto"/>
    </w:pPr>
    <w:rPr>
      <w:rFonts w:eastAsiaTheme="minorEastAsia"/>
      <w:color w:val="4DA5D9" w:themeColor="accent4" w:themeShade="BF"/>
    </w:rPr>
    <w:tblPr>
      <w:tblStyleRowBandSize w:val="1"/>
      <w:tblStyleColBandSize w:val="1"/>
      <w:tblBorders>
        <w:top w:val="single" w:sz="8" w:space="0" w:color="A0CFEB" w:themeColor="accent4"/>
        <w:bottom w:val="single" w:sz="8" w:space="0" w:color="A0CFEB" w:themeColor="accent4"/>
      </w:tblBorders>
    </w:tblPr>
    <w:tblStylePr w:type="firstRow">
      <w:pPr>
        <w:spacing w:before="0" w:after="0" w:line="240" w:lineRule="auto"/>
      </w:pPr>
      <w:rPr>
        <w:b/>
        <w:bCs/>
      </w:rPr>
      <w:tblPr/>
      <w:tcPr>
        <w:tcBorders>
          <w:top w:val="single" w:sz="8" w:space="0" w:color="A0CFEB" w:themeColor="accent4"/>
          <w:left w:val="nil"/>
          <w:bottom w:val="single" w:sz="8" w:space="0" w:color="A0CFEB" w:themeColor="accent4"/>
          <w:right w:val="nil"/>
          <w:insideH w:val="nil"/>
          <w:insideV w:val="nil"/>
        </w:tcBorders>
      </w:tcPr>
    </w:tblStylePr>
    <w:tblStylePr w:type="lastRow">
      <w:pPr>
        <w:spacing w:before="0" w:after="0" w:line="240" w:lineRule="auto"/>
      </w:pPr>
      <w:rPr>
        <w:b/>
        <w:bCs/>
      </w:rPr>
      <w:tblPr/>
      <w:tcPr>
        <w:tcBorders>
          <w:top w:val="single" w:sz="8" w:space="0" w:color="A0CFEB" w:themeColor="accent4"/>
          <w:left w:val="nil"/>
          <w:bottom w:val="single" w:sz="8" w:space="0" w:color="A0CFEB"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F3FA" w:themeFill="accent4" w:themeFillTint="3F"/>
      </w:tcPr>
    </w:tblStylePr>
    <w:tblStylePr w:type="band1Horz">
      <w:tblPr/>
      <w:tcPr>
        <w:tcBorders>
          <w:left w:val="nil"/>
          <w:right w:val="nil"/>
          <w:insideH w:val="nil"/>
          <w:insideV w:val="nil"/>
        </w:tcBorders>
        <w:shd w:val="clear" w:color="auto" w:fill="E7F3FA" w:themeFill="accent4" w:themeFillTint="3F"/>
      </w:tcPr>
    </w:tblStylePr>
  </w:style>
  <w:style w:type="table" w:customStyle="1" w:styleId="LightShading-Accent61">
    <w:name w:val="Light Shading - Accent 61"/>
    <w:basedOn w:val="TableNormal"/>
    <w:next w:val="LightShading-Accent6"/>
    <w:uiPriority w:val="60"/>
    <w:rsid w:val="00AB36D9"/>
    <w:pPr>
      <w:spacing w:before="0" w:after="200" w:line="276" w:lineRule="auto"/>
    </w:pPr>
    <w:rPr>
      <w:rFonts w:eastAsiaTheme="minorEastAsia"/>
      <w:color w:val="AD351E" w:themeColor="accent6" w:themeShade="BF"/>
    </w:rPr>
    <w:tblPr>
      <w:tblStyleRowBandSize w:val="1"/>
      <w:tblStyleColBandSize w:val="1"/>
      <w:tblBorders>
        <w:top w:val="single" w:sz="8" w:space="0" w:color="DC5034" w:themeColor="accent6"/>
        <w:bottom w:val="single" w:sz="8" w:space="0" w:color="DC5034" w:themeColor="accent6"/>
      </w:tblBorders>
    </w:tblPr>
    <w:tblStylePr w:type="firstRow">
      <w:pPr>
        <w:spacing w:before="0" w:after="0" w:line="240" w:lineRule="auto"/>
      </w:pPr>
      <w:rPr>
        <w:b/>
        <w:bCs/>
      </w:rPr>
      <w:tblPr/>
      <w:tcPr>
        <w:tcBorders>
          <w:top w:val="single" w:sz="8" w:space="0" w:color="DC5034" w:themeColor="accent6"/>
          <w:left w:val="nil"/>
          <w:bottom w:val="single" w:sz="8" w:space="0" w:color="DC5034" w:themeColor="accent6"/>
          <w:right w:val="nil"/>
          <w:insideH w:val="nil"/>
          <w:insideV w:val="nil"/>
        </w:tcBorders>
      </w:tcPr>
    </w:tblStylePr>
    <w:tblStylePr w:type="lastRow">
      <w:pPr>
        <w:spacing w:before="0" w:after="0" w:line="240" w:lineRule="auto"/>
      </w:pPr>
      <w:rPr>
        <w:b/>
        <w:bCs/>
      </w:rPr>
      <w:tblPr/>
      <w:tcPr>
        <w:tcBorders>
          <w:top w:val="single" w:sz="8" w:space="0" w:color="DC5034" w:themeColor="accent6"/>
          <w:left w:val="nil"/>
          <w:bottom w:val="single" w:sz="8" w:space="0" w:color="DC5034"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D3CC" w:themeFill="accent6" w:themeFillTint="3F"/>
      </w:tcPr>
    </w:tblStylePr>
    <w:tblStylePr w:type="band1Horz">
      <w:tblPr/>
      <w:tcPr>
        <w:tcBorders>
          <w:left w:val="nil"/>
          <w:right w:val="nil"/>
          <w:insideH w:val="nil"/>
          <w:insideV w:val="nil"/>
        </w:tcBorders>
        <w:shd w:val="clear" w:color="auto" w:fill="F6D3CC" w:themeFill="accent6" w:themeFillTint="3F"/>
      </w:tcPr>
    </w:tblStylePr>
  </w:style>
  <w:style w:type="paragraph" w:customStyle="1" w:styleId="Numberedlist">
    <w:name w:val="Numbered list"/>
    <w:basedOn w:val="ListNumber"/>
    <w:rsid w:val="00AB36D9"/>
    <w:pPr>
      <w:numPr>
        <w:numId w:val="0"/>
      </w:numPr>
      <w:ind w:left="357" w:hanging="357"/>
    </w:pPr>
  </w:style>
  <w:style w:type="table" w:customStyle="1" w:styleId="LightShading11">
    <w:name w:val="Light Shading11"/>
    <w:basedOn w:val="TableNormal"/>
    <w:next w:val="LightShading"/>
    <w:uiPriority w:val="60"/>
    <w:rsid w:val="00AB36D9"/>
    <w:pPr>
      <w:spacing w:before="120" w:after="120" w:line="276" w:lineRule="auto"/>
    </w:pPr>
    <w:rPr>
      <w:rFonts w:eastAsiaTheme="minorEastAsia"/>
      <w:color w:val="000000" w:themeColor="text1" w:themeShade="BF"/>
      <w:sz w:val="20"/>
    </w:rPr>
    <w:tblPr>
      <w:tblBorders>
        <w:top w:val="single" w:sz="4" w:space="0" w:color="D5D6D2" w:themeColor="background2"/>
        <w:bottom w:val="single" w:sz="4" w:space="0" w:color="D5D6D2" w:themeColor="background2"/>
        <w:insideH w:val="single" w:sz="4" w:space="0" w:color="D5D6D2" w:themeColor="background2"/>
      </w:tblBorders>
    </w:tblPr>
    <w:tcPr>
      <w:shd w:val="clear" w:color="auto" w:fill="auto"/>
    </w:tcPr>
    <w:tblStylePr w:type="firstRow">
      <w:pPr>
        <w:wordWrap/>
        <w:spacing w:beforeLines="0" w:before="120" w:beforeAutospacing="0" w:afterLines="0" w:after="120" w:afterAutospacing="0" w:line="240" w:lineRule="auto"/>
      </w:pPr>
      <w:rPr>
        <w:rFonts w:ascii="Arial" w:hAnsi="Arial"/>
        <w:b/>
        <w:bCs/>
        <w:sz w:val="20"/>
      </w:rPr>
      <w:tblPr/>
      <w:tcPr>
        <w:tcBorders>
          <w:top w:val="single" w:sz="8" w:space="0" w:color="000000" w:themeColor="text1"/>
          <w:left w:val="nil"/>
          <w:bottom w:val="single" w:sz="8" w:space="0" w:color="000000" w:themeColor="text1"/>
          <w:right w:val="nil"/>
          <w:insideH w:val="nil"/>
          <w:insideV w:val="nil"/>
        </w:tcBorders>
        <w:shd w:val="clear" w:color="auto" w:fill="auto"/>
      </w:tcPr>
    </w:tblStylePr>
    <w:tblStylePr w:type="lastRow">
      <w:pPr>
        <w:wordWrap/>
        <w:spacing w:beforeLines="0" w:before="120" w:beforeAutospacing="0" w:afterLines="0" w:after="120" w:afterAutospacing="0" w:line="240" w:lineRule="auto"/>
      </w:pPr>
      <w:rPr>
        <w:rFonts w:ascii="Arial" w:hAnsi="Arial"/>
        <w:b/>
        <w:bCs/>
        <w:sz w:val="20"/>
      </w:rPr>
      <w:tblPr/>
      <w:tcPr>
        <w:tcBorders>
          <w:top w:val="single" w:sz="8" w:space="0" w:color="000000" w:themeColor="text1"/>
          <w:left w:val="nil"/>
          <w:bottom w:val="single" w:sz="8" w:space="0" w:color="000000" w:themeColor="text1"/>
          <w:right w:val="nil"/>
          <w:insideH w:val="nil"/>
          <w:insideV w:val="nil"/>
        </w:tcBorders>
        <w:vAlign w:val="center"/>
      </w:tcPr>
    </w:tblStylePr>
    <w:tblStylePr w:type="firstCol">
      <w:rPr>
        <w:b/>
        <w:bCs/>
        <w:sz w:val="20"/>
      </w:rPr>
    </w:tblStylePr>
    <w:tblStylePr w:type="lastCol">
      <w:rPr>
        <w:b/>
        <w:bCs/>
      </w:rPr>
    </w:tblStylePr>
  </w:style>
  <w:style w:type="table" w:customStyle="1" w:styleId="LightList-Accent21">
    <w:name w:val="Light List - Accent 21"/>
    <w:basedOn w:val="TableNormal"/>
    <w:next w:val="LightList-Accent2"/>
    <w:uiPriority w:val="61"/>
    <w:rsid w:val="00AB36D9"/>
    <w:pPr>
      <w:spacing w:before="0" w:after="200" w:line="276" w:lineRule="auto"/>
    </w:pPr>
    <w:rPr>
      <w:rFonts w:eastAsiaTheme="minorEastAsia"/>
    </w:rPr>
    <w:tblPr>
      <w:tblStyleRowBandSize w:val="1"/>
      <w:tblStyleColBandSize w:val="1"/>
      <w:tblBorders>
        <w:top w:val="single" w:sz="8" w:space="0" w:color="4F2D7D" w:themeColor="accent2"/>
        <w:left w:val="single" w:sz="8" w:space="0" w:color="4F2D7D" w:themeColor="accent2"/>
        <w:bottom w:val="single" w:sz="8" w:space="0" w:color="4F2D7D" w:themeColor="accent2"/>
        <w:right w:val="single" w:sz="8" w:space="0" w:color="4F2D7D" w:themeColor="accent2"/>
      </w:tblBorders>
    </w:tblPr>
    <w:tblStylePr w:type="firstRow">
      <w:pPr>
        <w:spacing w:before="0" w:after="0" w:line="240" w:lineRule="auto"/>
      </w:pPr>
      <w:rPr>
        <w:b/>
        <w:bCs/>
        <w:color w:val="FFFFFF" w:themeColor="background1"/>
      </w:rPr>
      <w:tblPr/>
      <w:tcPr>
        <w:shd w:val="clear" w:color="auto" w:fill="4F2D7D" w:themeFill="accent2"/>
      </w:tcPr>
    </w:tblStylePr>
    <w:tblStylePr w:type="lastRow">
      <w:pPr>
        <w:spacing w:before="0" w:after="0" w:line="240" w:lineRule="auto"/>
      </w:pPr>
      <w:rPr>
        <w:b/>
        <w:bCs/>
      </w:rPr>
      <w:tblPr/>
      <w:tcPr>
        <w:tcBorders>
          <w:top w:val="double" w:sz="6" w:space="0" w:color="4F2D7D" w:themeColor="accent2"/>
          <w:left w:val="single" w:sz="8" w:space="0" w:color="4F2D7D" w:themeColor="accent2"/>
          <w:bottom w:val="single" w:sz="8" w:space="0" w:color="4F2D7D" w:themeColor="accent2"/>
          <w:right w:val="single" w:sz="8" w:space="0" w:color="4F2D7D" w:themeColor="accent2"/>
        </w:tcBorders>
      </w:tcPr>
    </w:tblStylePr>
    <w:tblStylePr w:type="firstCol">
      <w:rPr>
        <w:b/>
        <w:bCs/>
      </w:rPr>
    </w:tblStylePr>
    <w:tblStylePr w:type="lastCol">
      <w:rPr>
        <w:b/>
        <w:bCs/>
      </w:rPr>
    </w:tblStylePr>
    <w:tblStylePr w:type="band1Vert">
      <w:tblPr/>
      <w:tcPr>
        <w:tcBorders>
          <w:top w:val="single" w:sz="8" w:space="0" w:color="4F2D7D" w:themeColor="accent2"/>
          <w:left w:val="single" w:sz="8" w:space="0" w:color="4F2D7D" w:themeColor="accent2"/>
          <w:bottom w:val="single" w:sz="8" w:space="0" w:color="4F2D7D" w:themeColor="accent2"/>
          <w:right w:val="single" w:sz="8" w:space="0" w:color="4F2D7D" w:themeColor="accent2"/>
        </w:tcBorders>
      </w:tcPr>
    </w:tblStylePr>
    <w:tblStylePr w:type="band1Horz">
      <w:tblPr/>
      <w:tcPr>
        <w:tcBorders>
          <w:top w:val="single" w:sz="8" w:space="0" w:color="4F2D7D" w:themeColor="accent2"/>
          <w:left w:val="single" w:sz="8" w:space="0" w:color="4F2D7D" w:themeColor="accent2"/>
          <w:bottom w:val="single" w:sz="8" w:space="0" w:color="4F2D7D" w:themeColor="accent2"/>
          <w:right w:val="single" w:sz="8" w:space="0" w:color="4F2D7D" w:themeColor="accent2"/>
        </w:tcBorders>
      </w:tcPr>
    </w:tblStylePr>
  </w:style>
  <w:style w:type="table" w:customStyle="1" w:styleId="LightList-Accent41">
    <w:name w:val="Light List - Accent 41"/>
    <w:basedOn w:val="TableNormal"/>
    <w:next w:val="LightList-Accent4"/>
    <w:uiPriority w:val="61"/>
    <w:rsid w:val="00AB36D9"/>
    <w:pPr>
      <w:spacing w:before="0" w:after="200" w:line="276" w:lineRule="auto"/>
    </w:pPr>
    <w:rPr>
      <w:rFonts w:eastAsiaTheme="minorEastAsia"/>
    </w:rPr>
    <w:tblPr>
      <w:tblStyleRowBandSize w:val="1"/>
      <w:tblStyleColBandSize w:val="1"/>
      <w:tblBorders>
        <w:top w:val="single" w:sz="8" w:space="0" w:color="A0CFEB" w:themeColor="accent4"/>
        <w:left w:val="single" w:sz="8" w:space="0" w:color="A0CFEB" w:themeColor="accent4"/>
        <w:bottom w:val="single" w:sz="8" w:space="0" w:color="A0CFEB" w:themeColor="accent4"/>
        <w:right w:val="single" w:sz="8" w:space="0" w:color="A0CFEB" w:themeColor="accent4"/>
      </w:tblBorders>
    </w:tblPr>
    <w:tblStylePr w:type="firstRow">
      <w:pPr>
        <w:spacing w:before="0" w:after="0" w:line="240" w:lineRule="auto"/>
      </w:pPr>
      <w:rPr>
        <w:b/>
        <w:bCs/>
        <w:color w:val="FFFFFF" w:themeColor="background1"/>
      </w:rPr>
      <w:tblPr/>
      <w:tcPr>
        <w:shd w:val="clear" w:color="auto" w:fill="A0CFEB" w:themeFill="accent4"/>
      </w:tcPr>
    </w:tblStylePr>
    <w:tblStylePr w:type="lastRow">
      <w:pPr>
        <w:spacing w:before="0" w:after="0" w:line="240" w:lineRule="auto"/>
      </w:pPr>
      <w:rPr>
        <w:b/>
        <w:bCs/>
      </w:rPr>
      <w:tblPr/>
      <w:tcPr>
        <w:tcBorders>
          <w:top w:val="double" w:sz="6" w:space="0" w:color="A0CFEB" w:themeColor="accent4"/>
          <w:left w:val="single" w:sz="8" w:space="0" w:color="A0CFEB" w:themeColor="accent4"/>
          <w:bottom w:val="single" w:sz="8" w:space="0" w:color="A0CFEB" w:themeColor="accent4"/>
          <w:right w:val="single" w:sz="8" w:space="0" w:color="A0CFEB" w:themeColor="accent4"/>
        </w:tcBorders>
      </w:tcPr>
    </w:tblStylePr>
    <w:tblStylePr w:type="firstCol">
      <w:rPr>
        <w:b/>
        <w:bCs/>
      </w:rPr>
    </w:tblStylePr>
    <w:tblStylePr w:type="lastCol">
      <w:rPr>
        <w:b/>
        <w:bCs/>
      </w:rPr>
    </w:tblStylePr>
    <w:tblStylePr w:type="band1Vert">
      <w:tblPr/>
      <w:tcPr>
        <w:tcBorders>
          <w:top w:val="single" w:sz="8" w:space="0" w:color="A0CFEB" w:themeColor="accent4"/>
          <w:left w:val="single" w:sz="8" w:space="0" w:color="A0CFEB" w:themeColor="accent4"/>
          <w:bottom w:val="single" w:sz="8" w:space="0" w:color="A0CFEB" w:themeColor="accent4"/>
          <w:right w:val="single" w:sz="8" w:space="0" w:color="A0CFEB" w:themeColor="accent4"/>
        </w:tcBorders>
      </w:tcPr>
    </w:tblStylePr>
    <w:tblStylePr w:type="band1Horz">
      <w:tblPr/>
      <w:tcPr>
        <w:tcBorders>
          <w:top w:val="single" w:sz="8" w:space="0" w:color="A0CFEB" w:themeColor="accent4"/>
          <w:left w:val="single" w:sz="8" w:space="0" w:color="A0CFEB" w:themeColor="accent4"/>
          <w:bottom w:val="single" w:sz="8" w:space="0" w:color="A0CFEB" w:themeColor="accent4"/>
          <w:right w:val="single" w:sz="8" w:space="0" w:color="A0CFEB" w:themeColor="accent4"/>
        </w:tcBorders>
      </w:tcPr>
    </w:tblStylePr>
  </w:style>
  <w:style w:type="table" w:customStyle="1" w:styleId="LightList-Accent61">
    <w:name w:val="Light List - Accent 61"/>
    <w:basedOn w:val="TableNormal"/>
    <w:next w:val="LightList-Accent6"/>
    <w:uiPriority w:val="61"/>
    <w:rsid w:val="00AB36D9"/>
    <w:pPr>
      <w:spacing w:before="0" w:after="200" w:line="276" w:lineRule="auto"/>
    </w:pPr>
    <w:rPr>
      <w:rFonts w:eastAsiaTheme="minorEastAsia"/>
    </w:rPr>
    <w:tblPr>
      <w:tblStyleRowBandSize w:val="1"/>
      <w:tblStyleColBandSize w:val="1"/>
      <w:tblBorders>
        <w:top w:val="single" w:sz="8" w:space="0" w:color="DC5034" w:themeColor="accent6"/>
        <w:left w:val="single" w:sz="8" w:space="0" w:color="DC5034" w:themeColor="accent6"/>
        <w:bottom w:val="single" w:sz="8" w:space="0" w:color="DC5034" w:themeColor="accent6"/>
        <w:right w:val="single" w:sz="8" w:space="0" w:color="DC5034" w:themeColor="accent6"/>
      </w:tblBorders>
    </w:tblPr>
    <w:tblStylePr w:type="firstRow">
      <w:pPr>
        <w:spacing w:before="0" w:after="0" w:line="240" w:lineRule="auto"/>
      </w:pPr>
      <w:rPr>
        <w:b/>
        <w:bCs/>
        <w:color w:val="FFFFFF" w:themeColor="background1"/>
      </w:rPr>
      <w:tblPr/>
      <w:tcPr>
        <w:shd w:val="clear" w:color="auto" w:fill="DC5034" w:themeFill="accent6"/>
      </w:tcPr>
    </w:tblStylePr>
    <w:tblStylePr w:type="lastRow">
      <w:pPr>
        <w:spacing w:before="0" w:after="0" w:line="240" w:lineRule="auto"/>
      </w:pPr>
      <w:rPr>
        <w:b/>
        <w:bCs/>
      </w:rPr>
      <w:tblPr/>
      <w:tcPr>
        <w:tcBorders>
          <w:top w:val="double" w:sz="6" w:space="0" w:color="DC5034" w:themeColor="accent6"/>
          <w:left w:val="single" w:sz="8" w:space="0" w:color="DC5034" w:themeColor="accent6"/>
          <w:bottom w:val="single" w:sz="8" w:space="0" w:color="DC5034" w:themeColor="accent6"/>
          <w:right w:val="single" w:sz="8" w:space="0" w:color="DC5034" w:themeColor="accent6"/>
        </w:tcBorders>
      </w:tcPr>
    </w:tblStylePr>
    <w:tblStylePr w:type="firstCol">
      <w:rPr>
        <w:b/>
        <w:bCs/>
      </w:rPr>
    </w:tblStylePr>
    <w:tblStylePr w:type="lastCol">
      <w:rPr>
        <w:b/>
        <w:bCs/>
      </w:rPr>
    </w:tblStylePr>
    <w:tblStylePr w:type="band1Vert">
      <w:tblPr/>
      <w:tcPr>
        <w:tcBorders>
          <w:top w:val="single" w:sz="8" w:space="0" w:color="DC5034" w:themeColor="accent6"/>
          <w:left w:val="single" w:sz="8" w:space="0" w:color="DC5034" w:themeColor="accent6"/>
          <w:bottom w:val="single" w:sz="8" w:space="0" w:color="DC5034" w:themeColor="accent6"/>
          <w:right w:val="single" w:sz="8" w:space="0" w:color="DC5034" w:themeColor="accent6"/>
        </w:tcBorders>
      </w:tcPr>
    </w:tblStylePr>
    <w:tblStylePr w:type="band1Horz">
      <w:tblPr/>
      <w:tcPr>
        <w:tcBorders>
          <w:top w:val="single" w:sz="8" w:space="0" w:color="DC5034" w:themeColor="accent6"/>
          <w:left w:val="single" w:sz="8" w:space="0" w:color="DC5034" w:themeColor="accent6"/>
          <w:bottom w:val="single" w:sz="8" w:space="0" w:color="DC5034" w:themeColor="accent6"/>
          <w:right w:val="single" w:sz="8" w:space="0" w:color="DC5034" w:themeColor="accent6"/>
        </w:tcBorders>
      </w:tcPr>
    </w:tblStylePr>
  </w:style>
  <w:style w:type="table" w:customStyle="1" w:styleId="LightGrid1">
    <w:name w:val="Light Grid1"/>
    <w:basedOn w:val="TableNormal"/>
    <w:next w:val="LightGrid"/>
    <w:uiPriority w:val="62"/>
    <w:rsid w:val="00AB36D9"/>
    <w:pPr>
      <w:spacing w:before="0" w:after="200" w:line="276" w:lineRule="auto"/>
    </w:pPr>
    <w:rPr>
      <w:rFonts w:eastAsiaTheme="minorEastAsi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Accent11">
    <w:name w:val="Light Grid - Accent 11"/>
    <w:basedOn w:val="TableNormal"/>
    <w:next w:val="LightGrid-Accent1"/>
    <w:uiPriority w:val="62"/>
    <w:rsid w:val="00AB36D9"/>
    <w:pPr>
      <w:spacing w:before="0" w:after="200" w:line="276" w:lineRule="auto"/>
    </w:pPr>
    <w:rPr>
      <w:rFonts w:eastAsiaTheme="minorEastAsia"/>
    </w:rPr>
    <w:tblPr>
      <w:tblStyleRowBandSize w:val="1"/>
      <w:tblStyleColBandSize w:val="1"/>
      <w:tblBorders>
        <w:top w:val="single" w:sz="8" w:space="0" w:color="51626F" w:themeColor="accent1"/>
        <w:left w:val="single" w:sz="8" w:space="0" w:color="51626F" w:themeColor="accent1"/>
        <w:bottom w:val="single" w:sz="8" w:space="0" w:color="51626F" w:themeColor="accent1"/>
        <w:right w:val="single" w:sz="8" w:space="0" w:color="51626F" w:themeColor="accent1"/>
        <w:insideH w:val="single" w:sz="8" w:space="0" w:color="51626F" w:themeColor="accent1"/>
        <w:insideV w:val="single" w:sz="8" w:space="0" w:color="51626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1626F" w:themeColor="accent1"/>
          <w:left w:val="single" w:sz="8" w:space="0" w:color="51626F" w:themeColor="accent1"/>
          <w:bottom w:val="single" w:sz="18" w:space="0" w:color="51626F" w:themeColor="accent1"/>
          <w:right w:val="single" w:sz="8" w:space="0" w:color="51626F" w:themeColor="accent1"/>
          <w:insideH w:val="nil"/>
          <w:insideV w:val="single" w:sz="8" w:space="0" w:color="51626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1626F" w:themeColor="accent1"/>
          <w:left w:val="single" w:sz="8" w:space="0" w:color="51626F" w:themeColor="accent1"/>
          <w:bottom w:val="single" w:sz="8" w:space="0" w:color="51626F" w:themeColor="accent1"/>
          <w:right w:val="single" w:sz="8" w:space="0" w:color="51626F" w:themeColor="accent1"/>
          <w:insideH w:val="nil"/>
          <w:insideV w:val="single" w:sz="8" w:space="0" w:color="51626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1626F" w:themeColor="accent1"/>
          <w:left w:val="single" w:sz="8" w:space="0" w:color="51626F" w:themeColor="accent1"/>
          <w:bottom w:val="single" w:sz="8" w:space="0" w:color="51626F" w:themeColor="accent1"/>
          <w:right w:val="single" w:sz="8" w:space="0" w:color="51626F" w:themeColor="accent1"/>
        </w:tcBorders>
      </w:tcPr>
    </w:tblStylePr>
    <w:tblStylePr w:type="band1Vert">
      <w:tblPr/>
      <w:tcPr>
        <w:tcBorders>
          <w:top w:val="single" w:sz="8" w:space="0" w:color="51626F" w:themeColor="accent1"/>
          <w:left w:val="single" w:sz="8" w:space="0" w:color="51626F" w:themeColor="accent1"/>
          <w:bottom w:val="single" w:sz="8" w:space="0" w:color="51626F" w:themeColor="accent1"/>
          <w:right w:val="single" w:sz="8" w:space="0" w:color="51626F" w:themeColor="accent1"/>
        </w:tcBorders>
        <w:shd w:val="clear" w:color="auto" w:fill="D1D8DD" w:themeFill="accent1" w:themeFillTint="3F"/>
      </w:tcPr>
    </w:tblStylePr>
    <w:tblStylePr w:type="band1Horz">
      <w:tblPr/>
      <w:tcPr>
        <w:tcBorders>
          <w:top w:val="single" w:sz="8" w:space="0" w:color="51626F" w:themeColor="accent1"/>
          <w:left w:val="single" w:sz="8" w:space="0" w:color="51626F" w:themeColor="accent1"/>
          <w:bottom w:val="single" w:sz="8" w:space="0" w:color="51626F" w:themeColor="accent1"/>
          <w:right w:val="single" w:sz="8" w:space="0" w:color="51626F" w:themeColor="accent1"/>
          <w:insideV w:val="single" w:sz="8" w:space="0" w:color="51626F" w:themeColor="accent1"/>
        </w:tcBorders>
        <w:shd w:val="clear" w:color="auto" w:fill="D1D8DD" w:themeFill="accent1" w:themeFillTint="3F"/>
      </w:tcPr>
    </w:tblStylePr>
    <w:tblStylePr w:type="band2Horz">
      <w:tblPr/>
      <w:tcPr>
        <w:tcBorders>
          <w:top w:val="single" w:sz="8" w:space="0" w:color="51626F" w:themeColor="accent1"/>
          <w:left w:val="single" w:sz="8" w:space="0" w:color="51626F" w:themeColor="accent1"/>
          <w:bottom w:val="single" w:sz="8" w:space="0" w:color="51626F" w:themeColor="accent1"/>
          <w:right w:val="single" w:sz="8" w:space="0" w:color="51626F" w:themeColor="accent1"/>
          <w:insideV w:val="single" w:sz="8" w:space="0" w:color="51626F" w:themeColor="accent1"/>
        </w:tcBorders>
      </w:tcPr>
    </w:tblStylePr>
  </w:style>
  <w:style w:type="table" w:customStyle="1" w:styleId="LightGrid-Accent21">
    <w:name w:val="Light Grid - Accent 21"/>
    <w:basedOn w:val="TableNormal"/>
    <w:next w:val="LightGrid-Accent2"/>
    <w:uiPriority w:val="62"/>
    <w:rsid w:val="00AB36D9"/>
    <w:pPr>
      <w:spacing w:before="0" w:after="200" w:line="276" w:lineRule="auto"/>
    </w:pPr>
    <w:rPr>
      <w:rFonts w:eastAsiaTheme="minorEastAsia"/>
    </w:rPr>
    <w:tblPr>
      <w:tblStyleRowBandSize w:val="1"/>
      <w:tblStyleColBandSize w:val="1"/>
      <w:tblBorders>
        <w:top w:val="single" w:sz="8" w:space="0" w:color="4F2D7D" w:themeColor="accent2"/>
        <w:left w:val="single" w:sz="8" w:space="0" w:color="4F2D7D" w:themeColor="accent2"/>
        <w:bottom w:val="single" w:sz="8" w:space="0" w:color="4F2D7D" w:themeColor="accent2"/>
        <w:right w:val="single" w:sz="8" w:space="0" w:color="4F2D7D" w:themeColor="accent2"/>
        <w:insideH w:val="single" w:sz="8" w:space="0" w:color="4F2D7D" w:themeColor="accent2"/>
        <w:insideV w:val="single" w:sz="8" w:space="0" w:color="4F2D7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2D7D" w:themeColor="accent2"/>
          <w:left w:val="single" w:sz="8" w:space="0" w:color="4F2D7D" w:themeColor="accent2"/>
          <w:bottom w:val="single" w:sz="18" w:space="0" w:color="4F2D7D" w:themeColor="accent2"/>
          <w:right w:val="single" w:sz="8" w:space="0" w:color="4F2D7D" w:themeColor="accent2"/>
          <w:insideH w:val="nil"/>
          <w:insideV w:val="single" w:sz="8" w:space="0" w:color="4F2D7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2D7D" w:themeColor="accent2"/>
          <w:left w:val="single" w:sz="8" w:space="0" w:color="4F2D7D" w:themeColor="accent2"/>
          <w:bottom w:val="single" w:sz="8" w:space="0" w:color="4F2D7D" w:themeColor="accent2"/>
          <w:right w:val="single" w:sz="8" w:space="0" w:color="4F2D7D" w:themeColor="accent2"/>
          <w:insideH w:val="nil"/>
          <w:insideV w:val="single" w:sz="8" w:space="0" w:color="4F2D7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2D7D" w:themeColor="accent2"/>
          <w:left w:val="single" w:sz="8" w:space="0" w:color="4F2D7D" w:themeColor="accent2"/>
          <w:bottom w:val="single" w:sz="8" w:space="0" w:color="4F2D7D" w:themeColor="accent2"/>
          <w:right w:val="single" w:sz="8" w:space="0" w:color="4F2D7D" w:themeColor="accent2"/>
        </w:tcBorders>
      </w:tcPr>
    </w:tblStylePr>
    <w:tblStylePr w:type="band1Vert">
      <w:tblPr/>
      <w:tcPr>
        <w:tcBorders>
          <w:top w:val="single" w:sz="8" w:space="0" w:color="4F2D7D" w:themeColor="accent2"/>
          <w:left w:val="single" w:sz="8" w:space="0" w:color="4F2D7D" w:themeColor="accent2"/>
          <w:bottom w:val="single" w:sz="8" w:space="0" w:color="4F2D7D" w:themeColor="accent2"/>
          <w:right w:val="single" w:sz="8" w:space="0" w:color="4F2D7D" w:themeColor="accent2"/>
        </w:tcBorders>
        <w:shd w:val="clear" w:color="auto" w:fill="D1C1E8" w:themeFill="accent2" w:themeFillTint="3F"/>
      </w:tcPr>
    </w:tblStylePr>
    <w:tblStylePr w:type="band1Horz">
      <w:tblPr/>
      <w:tcPr>
        <w:tcBorders>
          <w:top w:val="single" w:sz="8" w:space="0" w:color="4F2D7D" w:themeColor="accent2"/>
          <w:left w:val="single" w:sz="8" w:space="0" w:color="4F2D7D" w:themeColor="accent2"/>
          <w:bottom w:val="single" w:sz="8" w:space="0" w:color="4F2D7D" w:themeColor="accent2"/>
          <w:right w:val="single" w:sz="8" w:space="0" w:color="4F2D7D" w:themeColor="accent2"/>
          <w:insideV w:val="single" w:sz="8" w:space="0" w:color="4F2D7D" w:themeColor="accent2"/>
        </w:tcBorders>
        <w:shd w:val="clear" w:color="auto" w:fill="D1C1E8" w:themeFill="accent2" w:themeFillTint="3F"/>
      </w:tcPr>
    </w:tblStylePr>
    <w:tblStylePr w:type="band2Horz">
      <w:tblPr/>
      <w:tcPr>
        <w:tcBorders>
          <w:top w:val="single" w:sz="8" w:space="0" w:color="4F2D7D" w:themeColor="accent2"/>
          <w:left w:val="single" w:sz="8" w:space="0" w:color="4F2D7D" w:themeColor="accent2"/>
          <w:bottom w:val="single" w:sz="8" w:space="0" w:color="4F2D7D" w:themeColor="accent2"/>
          <w:right w:val="single" w:sz="8" w:space="0" w:color="4F2D7D" w:themeColor="accent2"/>
          <w:insideV w:val="single" w:sz="8" w:space="0" w:color="4F2D7D" w:themeColor="accent2"/>
        </w:tcBorders>
      </w:tcPr>
    </w:tblStylePr>
  </w:style>
  <w:style w:type="table" w:customStyle="1" w:styleId="LightGrid-Accent41">
    <w:name w:val="Light Grid - Accent 41"/>
    <w:basedOn w:val="TableNormal"/>
    <w:next w:val="LightGrid-Accent4"/>
    <w:uiPriority w:val="62"/>
    <w:rsid w:val="00AB36D9"/>
    <w:pPr>
      <w:spacing w:before="0" w:after="200" w:line="276" w:lineRule="auto"/>
    </w:pPr>
    <w:rPr>
      <w:rFonts w:eastAsiaTheme="minorEastAsia"/>
    </w:rPr>
    <w:tblPr>
      <w:tblStyleRowBandSize w:val="1"/>
      <w:tblStyleColBandSize w:val="1"/>
      <w:tblBorders>
        <w:top w:val="single" w:sz="8" w:space="0" w:color="A0CFEB" w:themeColor="accent4"/>
        <w:left w:val="single" w:sz="8" w:space="0" w:color="A0CFEB" w:themeColor="accent4"/>
        <w:bottom w:val="single" w:sz="8" w:space="0" w:color="A0CFEB" w:themeColor="accent4"/>
        <w:right w:val="single" w:sz="8" w:space="0" w:color="A0CFEB" w:themeColor="accent4"/>
        <w:insideH w:val="single" w:sz="8" w:space="0" w:color="A0CFEB" w:themeColor="accent4"/>
        <w:insideV w:val="single" w:sz="8" w:space="0" w:color="A0CFEB"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0CFEB" w:themeColor="accent4"/>
          <w:left w:val="single" w:sz="8" w:space="0" w:color="A0CFEB" w:themeColor="accent4"/>
          <w:bottom w:val="single" w:sz="18" w:space="0" w:color="A0CFEB" w:themeColor="accent4"/>
          <w:right w:val="single" w:sz="8" w:space="0" w:color="A0CFEB" w:themeColor="accent4"/>
          <w:insideH w:val="nil"/>
          <w:insideV w:val="single" w:sz="8" w:space="0" w:color="A0CFEB"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0CFEB" w:themeColor="accent4"/>
          <w:left w:val="single" w:sz="8" w:space="0" w:color="A0CFEB" w:themeColor="accent4"/>
          <w:bottom w:val="single" w:sz="8" w:space="0" w:color="A0CFEB" w:themeColor="accent4"/>
          <w:right w:val="single" w:sz="8" w:space="0" w:color="A0CFEB" w:themeColor="accent4"/>
          <w:insideH w:val="nil"/>
          <w:insideV w:val="single" w:sz="8" w:space="0" w:color="A0CFEB"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0CFEB" w:themeColor="accent4"/>
          <w:left w:val="single" w:sz="8" w:space="0" w:color="A0CFEB" w:themeColor="accent4"/>
          <w:bottom w:val="single" w:sz="8" w:space="0" w:color="A0CFEB" w:themeColor="accent4"/>
          <w:right w:val="single" w:sz="8" w:space="0" w:color="A0CFEB" w:themeColor="accent4"/>
        </w:tcBorders>
      </w:tcPr>
    </w:tblStylePr>
    <w:tblStylePr w:type="band1Vert">
      <w:tblPr/>
      <w:tcPr>
        <w:tcBorders>
          <w:top w:val="single" w:sz="8" w:space="0" w:color="A0CFEB" w:themeColor="accent4"/>
          <w:left w:val="single" w:sz="8" w:space="0" w:color="A0CFEB" w:themeColor="accent4"/>
          <w:bottom w:val="single" w:sz="8" w:space="0" w:color="A0CFEB" w:themeColor="accent4"/>
          <w:right w:val="single" w:sz="8" w:space="0" w:color="A0CFEB" w:themeColor="accent4"/>
        </w:tcBorders>
        <w:shd w:val="clear" w:color="auto" w:fill="E7F3FA" w:themeFill="accent4" w:themeFillTint="3F"/>
      </w:tcPr>
    </w:tblStylePr>
    <w:tblStylePr w:type="band1Horz">
      <w:tblPr/>
      <w:tcPr>
        <w:tcBorders>
          <w:top w:val="single" w:sz="8" w:space="0" w:color="A0CFEB" w:themeColor="accent4"/>
          <w:left w:val="single" w:sz="8" w:space="0" w:color="A0CFEB" w:themeColor="accent4"/>
          <w:bottom w:val="single" w:sz="8" w:space="0" w:color="A0CFEB" w:themeColor="accent4"/>
          <w:right w:val="single" w:sz="8" w:space="0" w:color="A0CFEB" w:themeColor="accent4"/>
          <w:insideV w:val="single" w:sz="8" w:space="0" w:color="A0CFEB" w:themeColor="accent4"/>
        </w:tcBorders>
        <w:shd w:val="clear" w:color="auto" w:fill="E7F3FA" w:themeFill="accent4" w:themeFillTint="3F"/>
      </w:tcPr>
    </w:tblStylePr>
    <w:tblStylePr w:type="band2Horz">
      <w:tblPr/>
      <w:tcPr>
        <w:tcBorders>
          <w:top w:val="single" w:sz="8" w:space="0" w:color="A0CFEB" w:themeColor="accent4"/>
          <w:left w:val="single" w:sz="8" w:space="0" w:color="A0CFEB" w:themeColor="accent4"/>
          <w:bottom w:val="single" w:sz="8" w:space="0" w:color="A0CFEB" w:themeColor="accent4"/>
          <w:right w:val="single" w:sz="8" w:space="0" w:color="A0CFEB" w:themeColor="accent4"/>
          <w:insideV w:val="single" w:sz="8" w:space="0" w:color="A0CFEB" w:themeColor="accent4"/>
        </w:tcBorders>
      </w:tcPr>
    </w:tblStylePr>
  </w:style>
  <w:style w:type="table" w:customStyle="1" w:styleId="LightGrid-Accent51">
    <w:name w:val="Light Grid - Accent 51"/>
    <w:basedOn w:val="TableNormal"/>
    <w:next w:val="LightGrid-Accent5"/>
    <w:uiPriority w:val="62"/>
    <w:rsid w:val="00AB36D9"/>
    <w:pPr>
      <w:spacing w:before="0" w:after="200" w:line="276" w:lineRule="auto"/>
    </w:pPr>
    <w:rPr>
      <w:rFonts w:eastAsiaTheme="minorEastAsia"/>
    </w:rPr>
    <w:tblPr>
      <w:tblStyleRowBandSize w:val="1"/>
      <w:tblStyleColBandSize w:val="1"/>
      <w:tblBorders>
        <w:top w:val="single" w:sz="8" w:space="0" w:color="B71202" w:themeColor="accent5"/>
        <w:left w:val="single" w:sz="8" w:space="0" w:color="B71202" w:themeColor="accent5"/>
        <w:bottom w:val="single" w:sz="8" w:space="0" w:color="B71202" w:themeColor="accent5"/>
        <w:right w:val="single" w:sz="8" w:space="0" w:color="B71202" w:themeColor="accent5"/>
        <w:insideH w:val="single" w:sz="8" w:space="0" w:color="B71202" w:themeColor="accent5"/>
        <w:insideV w:val="single" w:sz="8" w:space="0" w:color="B7120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71202" w:themeColor="accent5"/>
          <w:left w:val="single" w:sz="8" w:space="0" w:color="B71202" w:themeColor="accent5"/>
          <w:bottom w:val="single" w:sz="18" w:space="0" w:color="B71202" w:themeColor="accent5"/>
          <w:right w:val="single" w:sz="8" w:space="0" w:color="B71202" w:themeColor="accent5"/>
          <w:insideH w:val="nil"/>
          <w:insideV w:val="single" w:sz="8" w:space="0" w:color="B7120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71202" w:themeColor="accent5"/>
          <w:left w:val="single" w:sz="8" w:space="0" w:color="B71202" w:themeColor="accent5"/>
          <w:bottom w:val="single" w:sz="8" w:space="0" w:color="B71202" w:themeColor="accent5"/>
          <w:right w:val="single" w:sz="8" w:space="0" w:color="B71202" w:themeColor="accent5"/>
          <w:insideH w:val="nil"/>
          <w:insideV w:val="single" w:sz="8" w:space="0" w:color="B7120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71202" w:themeColor="accent5"/>
          <w:left w:val="single" w:sz="8" w:space="0" w:color="B71202" w:themeColor="accent5"/>
          <w:bottom w:val="single" w:sz="8" w:space="0" w:color="B71202" w:themeColor="accent5"/>
          <w:right w:val="single" w:sz="8" w:space="0" w:color="B71202" w:themeColor="accent5"/>
        </w:tcBorders>
      </w:tcPr>
    </w:tblStylePr>
    <w:tblStylePr w:type="band1Vert">
      <w:tblPr/>
      <w:tcPr>
        <w:tcBorders>
          <w:top w:val="single" w:sz="8" w:space="0" w:color="B71202" w:themeColor="accent5"/>
          <w:left w:val="single" w:sz="8" w:space="0" w:color="B71202" w:themeColor="accent5"/>
          <w:bottom w:val="single" w:sz="8" w:space="0" w:color="B71202" w:themeColor="accent5"/>
          <w:right w:val="single" w:sz="8" w:space="0" w:color="B71202" w:themeColor="accent5"/>
        </w:tcBorders>
        <w:shd w:val="clear" w:color="auto" w:fill="FEB6AF" w:themeFill="accent5" w:themeFillTint="3F"/>
      </w:tcPr>
    </w:tblStylePr>
    <w:tblStylePr w:type="band1Horz">
      <w:tblPr/>
      <w:tcPr>
        <w:tcBorders>
          <w:top w:val="single" w:sz="8" w:space="0" w:color="B71202" w:themeColor="accent5"/>
          <w:left w:val="single" w:sz="8" w:space="0" w:color="B71202" w:themeColor="accent5"/>
          <w:bottom w:val="single" w:sz="8" w:space="0" w:color="B71202" w:themeColor="accent5"/>
          <w:right w:val="single" w:sz="8" w:space="0" w:color="B71202" w:themeColor="accent5"/>
          <w:insideV w:val="single" w:sz="8" w:space="0" w:color="B71202" w:themeColor="accent5"/>
        </w:tcBorders>
        <w:shd w:val="clear" w:color="auto" w:fill="FEB6AF" w:themeFill="accent5" w:themeFillTint="3F"/>
      </w:tcPr>
    </w:tblStylePr>
    <w:tblStylePr w:type="band2Horz">
      <w:tblPr/>
      <w:tcPr>
        <w:tcBorders>
          <w:top w:val="single" w:sz="8" w:space="0" w:color="B71202" w:themeColor="accent5"/>
          <w:left w:val="single" w:sz="8" w:space="0" w:color="B71202" w:themeColor="accent5"/>
          <w:bottom w:val="single" w:sz="8" w:space="0" w:color="B71202" w:themeColor="accent5"/>
          <w:right w:val="single" w:sz="8" w:space="0" w:color="B71202" w:themeColor="accent5"/>
          <w:insideV w:val="single" w:sz="8" w:space="0" w:color="B71202" w:themeColor="accent5"/>
        </w:tcBorders>
      </w:tcPr>
    </w:tblStylePr>
  </w:style>
  <w:style w:type="table" w:customStyle="1" w:styleId="ACCCTable31">
    <w:name w:val="ACCC Table 31"/>
    <w:basedOn w:val="TableNormal"/>
    <w:uiPriority w:val="99"/>
    <w:rsid w:val="00AB36D9"/>
    <w:pPr>
      <w:spacing w:before="0" w:after="200" w:line="276" w:lineRule="auto"/>
    </w:pPr>
    <w:rPr>
      <w:rFonts w:eastAsiaTheme="minorEastAsia"/>
      <w:sz w:val="20"/>
    </w:rPr>
    <w:tblPr>
      <w:tblBorders>
        <w:insideV w:val="single" w:sz="4" w:space="0" w:color="D5D6D2" w:themeColor="background2"/>
      </w:tblBorders>
    </w:tblPr>
    <w:tblStylePr w:type="firstRow">
      <w:rPr>
        <w:rFonts w:asciiTheme="minorHAnsi" w:hAnsiTheme="minorHAnsi"/>
        <w:b/>
        <w:sz w:val="20"/>
      </w:rPr>
    </w:tblStylePr>
    <w:tblStylePr w:type="lastRow">
      <w:rPr>
        <w:rFonts w:ascii="Arial" w:hAnsi="Arial"/>
        <w:b/>
        <w:sz w:val="20"/>
      </w:rPr>
    </w:tblStylePr>
    <w:tblStylePr w:type="firstCol">
      <w:rPr>
        <w:rFonts w:ascii="Arial" w:hAnsi="Arial"/>
        <w:b/>
        <w:sz w:val="20"/>
      </w:rPr>
    </w:tblStylePr>
  </w:style>
  <w:style w:type="character" w:styleId="CommentReference">
    <w:name w:val="annotation reference"/>
    <w:basedOn w:val="DefaultParagraphFont"/>
    <w:uiPriority w:val="99"/>
    <w:semiHidden/>
    <w:unhideWhenUsed/>
    <w:rsid w:val="00AB36D9"/>
    <w:rPr>
      <w:sz w:val="16"/>
      <w:szCs w:val="16"/>
    </w:rPr>
  </w:style>
  <w:style w:type="paragraph" w:styleId="CommentText">
    <w:name w:val="annotation text"/>
    <w:basedOn w:val="Normal"/>
    <w:link w:val="CommentTextChar"/>
    <w:uiPriority w:val="99"/>
    <w:unhideWhenUsed/>
    <w:rsid w:val="00AB36D9"/>
    <w:rPr>
      <w:sz w:val="20"/>
      <w:szCs w:val="20"/>
    </w:rPr>
  </w:style>
  <w:style w:type="character" w:customStyle="1" w:styleId="CommentTextChar">
    <w:name w:val="Comment Text Char"/>
    <w:basedOn w:val="DefaultParagraphFont"/>
    <w:link w:val="CommentText"/>
    <w:uiPriority w:val="99"/>
    <w:rsid w:val="00AB36D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AB36D9"/>
    <w:rPr>
      <w:b/>
      <w:bCs/>
    </w:rPr>
  </w:style>
  <w:style w:type="character" w:customStyle="1" w:styleId="CommentSubjectChar">
    <w:name w:val="Comment Subject Char"/>
    <w:basedOn w:val="CommentTextChar"/>
    <w:link w:val="CommentSubject"/>
    <w:uiPriority w:val="99"/>
    <w:semiHidden/>
    <w:rsid w:val="00AB36D9"/>
    <w:rPr>
      <w:rFonts w:ascii="Arial" w:hAnsi="Arial"/>
      <w:b/>
      <w:bCs/>
      <w:sz w:val="20"/>
      <w:szCs w:val="20"/>
    </w:rPr>
  </w:style>
  <w:style w:type="paragraph" w:styleId="IntenseQuote">
    <w:name w:val="Intense Quote"/>
    <w:basedOn w:val="Normal"/>
    <w:next w:val="Normal"/>
    <w:link w:val="IntenseQuoteChar"/>
    <w:uiPriority w:val="30"/>
    <w:qFormat/>
    <w:rsid w:val="00AB36D9"/>
    <w:pPr>
      <w:pBdr>
        <w:bottom w:val="single" w:sz="4" w:space="1" w:color="auto"/>
      </w:pBdr>
      <w:spacing w:after="280"/>
      <w:ind w:left="1008" w:right="1152"/>
      <w:jc w:val="both"/>
    </w:pPr>
    <w:rPr>
      <w:b/>
      <w:bCs/>
      <w:i/>
      <w:iCs/>
    </w:rPr>
  </w:style>
  <w:style w:type="character" w:customStyle="1" w:styleId="IntenseQuoteChar">
    <w:name w:val="Intense Quote Char"/>
    <w:basedOn w:val="DefaultParagraphFont"/>
    <w:link w:val="IntenseQuote"/>
    <w:uiPriority w:val="30"/>
    <w:rsid w:val="00AB36D9"/>
    <w:rPr>
      <w:rFonts w:ascii="Arial" w:hAnsi="Arial"/>
      <w:b/>
      <w:bCs/>
      <w:i/>
      <w:iCs/>
    </w:rPr>
  </w:style>
  <w:style w:type="character" w:styleId="SubtleEmphasis">
    <w:name w:val="Subtle Emphasis"/>
    <w:uiPriority w:val="19"/>
    <w:qFormat/>
    <w:rsid w:val="00AB36D9"/>
    <w:rPr>
      <w:i/>
      <w:iCs/>
    </w:rPr>
  </w:style>
  <w:style w:type="character" w:styleId="IntenseEmphasis">
    <w:name w:val="Intense Emphasis"/>
    <w:uiPriority w:val="21"/>
    <w:qFormat/>
    <w:rsid w:val="00AB36D9"/>
    <w:rPr>
      <w:b/>
      <w:bCs/>
    </w:rPr>
  </w:style>
  <w:style w:type="character" w:styleId="IntenseReference">
    <w:name w:val="Intense Reference"/>
    <w:uiPriority w:val="32"/>
    <w:qFormat/>
    <w:rsid w:val="00AB36D9"/>
    <w:rPr>
      <w:smallCaps/>
      <w:spacing w:val="5"/>
      <w:u w:val="single"/>
    </w:rPr>
  </w:style>
  <w:style w:type="paragraph" w:customStyle="1" w:styleId="Default">
    <w:name w:val="Default"/>
    <w:rsid w:val="00AB36D9"/>
    <w:pPr>
      <w:autoSpaceDE w:val="0"/>
      <w:autoSpaceDN w:val="0"/>
      <w:adjustRightInd w:val="0"/>
      <w:spacing w:before="0"/>
    </w:pPr>
    <w:rPr>
      <w:rFonts w:ascii="Arial" w:eastAsiaTheme="minorEastAsia" w:hAnsi="Arial" w:cs="Arial"/>
      <w:color w:val="000000"/>
      <w:sz w:val="24"/>
      <w:szCs w:val="24"/>
    </w:rPr>
  </w:style>
  <w:style w:type="character" w:styleId="FollowedHyperlink">
    <w:name w:val="FollowedHyperlink"/>
    <w:basedOn w:val="DefaultParagraphFont"/>
    <w:uiPriority w:val="99"/>
    <w:semiHidden/>
    <w:unhideWhenUsed/>
    <w:rsid w:val="001D518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613582">
      <w:bodyDiv w:val="1"/>
      <w:marLeft w:val="0"/>
      <w:marRight w:val="0"/>
      <w:marTop w:val="0"/>
      <w:marBottom w:val="0"/>
      <w:divBdr>
        <w:top w:val="none" w:sz="0" w:space="0" w:color="auto"/>
        <w:left w:val="none" w:sz="0" w:space="0" w:color="auto"/>
        <w:bottom w:val="none" w:sz="0" w:space="0" w:color="auto"/>
        <w:right w:val="none" w:sz="0" w:space="0" w:color="auto"/>
      </w:divBdr>
    </w:div>
    <w:div w:id="1045834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chart" Target="charts/chart2.xml"/><Relationship Id="rId18" Type="http://schemas.openxmlformats.org/officeDocument/2006/relationships/chart" Target="charts/chart7.xml"/><Relationship Id="rId26" Type="http://schemas.openxmlformats.org/officeDocument/2006/relationships/chart" Target="charts/chart15.xml"/><Relationship Id="rId39" Type="http://schemas.openxmlformats.org/officeDocument/2006/relationships/chart" Target="charts/chart25.xml"/><Relationship Id="rId3" Type="http://schemas.openxmlformats.org/officeDocument/2006/relationships/numbering" Target="numbering.xml"/><Relationship Id="rId21" Type="http://schemas.openxmlformats.org/officeDocument/2006/relationships/chart" Target="charts/chart10.xml"/><Relationship Id="rId34" Type="http://schemas.openxmlformats.org/officeDocument/2006/relationships/chart" Target="charts/chart20.xml"/><Relationship Id="rId42" Type="http://schemas.openxmlformats.org/officeDocument/2006/relationships/chart" Target="charts/chart28.xml"/><Relationship Id="rId47"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hyperlink" Target="https://www.accc.gov.au/system/files/Carbon%20tax%20price%20reduction%20obligation%20the%20ACCC%E2%80%99s%20operations%20during%20the%20December%202014%20quarter%20-%20PDF_0.pdf" TargetMode="External"/><Relationship Id="rId17" Type="http://schemas.openxmlformats.org/officeDocument/2006/relationships/chart" Target="charts/chart6.xml"/><Relationship Id="rId25" Type="http://schemas.openxmlformats.org/officeDocument/2006/relationships/chart" Target="charts/chart14.xml"/><Relationship Id="rId33" Type="http://schemas.openxmlformats.org/officeDocument/2006/relationships/chart" Target="charts/chart19.xml"/><Relationship Id="rId38" Type="http://schemas.openxmlformats.org/officeDocument/2006/relationships/chart" Target="charts/chart24.xml"/><Relationship Id="rId46"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chart" Target="charts/chart5.xml"/><Relationship Id="rId20" Type="http://schemas.openxmlformats.org/officeDocument/2006/relationships/chart" Target="charts/chart9.xml"/><Relationship Id="rId29" Type="http://schemas.openxmlformats.org/officeDocument/2006/relationships/image" Target="media/image3.png"/><Relationship Id="rId41" Type="http://schemas.openxmlformats.org/officeDocument/2006/relationships/chart" Target="charts/chart27.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chart" Target="charts/chart1.xml"/><Relationship Id="rId24" Type="http://schemas.openxmlformats.org/officeDocument/2006/relationships/chart" Target="charts/chart13.xml"/><Relationship Id="rId32" Type="http://schemas.openxmlformats.org/officeDocument/2006/relationships/chart" Target="charts/chart18.xml"/><Relationship Id="rId37" Type="http://schemas.openxmlformats.org/officeDocument/2006/relationships/chart" Target="charts/chart23.xml"/><Relationship Id="rId40" Type="http://schemas.openxmlformats.org/officeDocument/2006/relationships/chart" Target="charts/chart26.xml"/><Relationship Id="rId45" Type="http://schemas.openxmlformats.org/officeDocument/2006/relationships/hyperlink" Target="https://www.accc.gov.au/publications/carbon-tax-price-reduction-obligation-quarterly-reports-on-the-acccs-operations/carbon-tax-price-reduction-obligation-the-acccs-operations-december-2014-quarter" TargetMode="External"/><Relationship Id="rId5" Type="http://schemas.microsoft.com/office/2007/relationships/stylesWithEffects" Target="stylesWithEffects.xml"/><Relationship Id="rId15" Type="http://schemas.openxmlformats.org/officeDocument/2006/relationships/chart" Target="charts/chart4.xml"/><Relationship Id="rId23" Type="http://schemas.openxmlformats.org/officeDocument/2006/relationships/chart" Target="charts/chart12.xml"/><Relationship Id="rId28" Type="http://schemas.openxmlformats.org/officeDocument/2006/relationships/image" Target="media/image2.png"/><Relationship Id="rId36" Type="http://schemas.openxmlformats.org/officeDocument/2006/relationships/chart" Target="charts/chart22.xml"/><Relationship Id="rId10" Type="http://schemas.openxmlformats.org/officeDocument/2006/relationships/image" Target="media/image1.png"/><Relationship Id="rId19" Type="http://schemas.openxmlformats.org/officeDocument/2006/relationships/chart" Target="charts/chart8.xml"/><Relationship Id="rId31" Type="http://schemas.openxmlformats.org/officeDocument/2006/relationships/chart" Target="charts/chart17.xml"/><Relationship Id="rId44" Type="http://schemas.openxmlformats.org/officeDocument/2006/relationships/hyperlink" Target="http://www.environment.gov.au/climate-change/repeal-carbon-tax/consultation-landfill-operators" TargetMode="Externa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chart" Target="charts/chart3.xml"/><Relationship Id="rId22" Type="http://schemas.openxmlformats.org/officeDocument/2006/relationships/chart" Target="charts/chart11.xml"/><Relationship Id="rId27" Type="http://schemas.openxmlformats.org/officeDocument/2006/relationships/chart" Target="charts/chart16.xml"/><Relationship Id="rId30" Type="http://schemas.openxmlformats.org/officeDocument/2006/relationships/image" Target="cid:image001.png@01D075E6.BA567320" TargetMode="External"/><Relationship Id="rId35" Type="http://schemas.openxmlformats.org/officeDocument/2006/relationships/chart" Target="charts/chart21.xml"/><Relationship Id="rId43" Type="http://schemas.openxmlformats.org/officeDocument/2006/relationships/chart" Target="charts/chart29.xml"/><Relationship Id="rId48"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www.accc.gov.au/system/files/Carbon%20tax%20price%20reduction%20obligation%20the%20ACCC%E2%80%99s%20operations%20during%20the%20December%202014%20quarter%20-%20PDF_0.pdf" TargetMode="External"/><Relationship Id="rId13" Type="http://schemas.openxmlformats.org/officeDocument/2006/relationships/hyperlink" Target="http://www.qantasnewsroom.com.au/qantas-responds/qantas-position-on-the-carbon-tax" TargetMode="External"/><Relationship Id="rId3" Type="http://schemas.openxmlformats.org/officeDocument/2006/relationships/hyperlink" Target="http://www.goldcoast.qld.gov.au/documents/ma/budget-20141105-adopted_report.pdf" TargetMode="External"/><Relationship Id="rId7" Type="http://schemas.openxmlformats.org/officeDocument/2006/relationships/hyperlink" Target="http://www.aemo.com.au/Electricity/Market-Operations/Loss-Factors-and-Regional-Boundaries" TargetMode="External"/><Relationship Id="rId12" Type="http://schemas.openxmlformats.org/officeDocument/2006/relationships/hyperlink" Target="http://accc.gov.au/media-release/accc-to-not-oppose-csr-and-borals-proposed-clay-brick-joint-venture" TargetMode="External"/><Relationship Id="rId2" Type="http://schemas.openxmlformats.org/officeDocument/2006/relationships/hyperlink" Target="http://www.goldcoastbulletin.com.au/news/gold-coast-city-council-saves-47m-after-abbott-government-axes-carbon-tax/story-fnj94j0t-1227266312389" TargetMode="External"/><Relationship Id="rId16" Type="http://schemas.openxmlformats.org/officeDocument/2006/relationships/hyperlink" Target="http://www.dailytelegraph.com.au/news/nsw/qantas-virgin-australia-and-woolworths-refuse-to-reduce-prices-once-the-carbon-tax-is-ditched/story-fni0cx12-1226983528607" TargetMode="External"/><Relationship Id="rId1" Type="http://schemas.openxmlformats.org/officeDocument/2006/relationships/hyperlink" Target="http://www.accc.gov.au/system/files/Carbon%20tax%20price%20reduction%20obligation%20the%20ACCC%E2%80%99s%20operations%20during%20the%20December%202014%20quarter%20-%20PDF_0.pdf" TargetMode="External"/><Relationship Id="rId6" Type="http://schemas.openxmlformats.org/officeDocument/2006/relationships/hyperlink" Target="https://www.accc.gov.au/system/files/Carbon%20tax%20price%20reduction%20obligation%20the%20ACCC%E2%80%99s%20operations%20during%20the%20December%202014%20quarter%20-%20PDF_0.pdf" TargetMode="External"/><Relationship Id="rId11" Type="http://schemas.openxmlformats.org/officeDocument/2006/relationships/hyperlink" Target="https://www.accc.gov.au/system/files/Carbon%20monitoring%20report%20%20September%20quarter%202014.pdf" TargetMode="External"/><Relationship Id="rId5" Type="http://schemas.openxmlformats.org/officeDocument/2006/relationships/hyperlink" Target="https://www.accc.gov.au/system/files/Carbon%20tax%20price%20reduction%20obligation%20the%20ACCC%E2%80%99s%20operations%20during%20the%20December%202014%20quarter%20-%20PDF_0.pdf" TargetMode="External"/><Relationship Id="rId15" Type="http://schemas.openxmlformats.org/officeDocument/2006/relationships/hyperlink" Target="http://www.asx.com.au/asxpdf/20110711/pdf/41zq2zwxk5s874.pdf" TargetMode="External"/><Relationship Id="rId10" Type="http://schemas.openxmlformats.org/officeDocument/2006/relationships/hyperlink" Target="http://www.accc.gov.au/publications/carbon-tax-price-reduction-obligation-quarterly-reports-on-the-acccs-operations" TargetMode="External"/><Relationship Id="rId4" Type="http://schemas.openxmlformats.org/officeDocument/2006/relationships/hyperlink" Target="http://www.goldcoast.qld.gov.au/ratepayers-to-receive-refund-due-to-carbon-tax-repeal-24007.html" TargetMode="External"/><Relationship Id="rId9" Type="http://schemas.openxmlformats.org/officeDocument/2006/relationships/hyperlink" Target="http://www.auroraenergy.com.au/your-home/carbon-tax/frequently-asked-questions-about-the-carbon-tax-re" TargetMode="External"/><Relationship Id="rId14" Type="http://schemas.openxmlformats.org/officeDocument/2006/relationships/hyperlink" Target="http://www.dailytelegraph.com.au/news/nsw/qantas-virgin-australia-and-woolworths-refuse-to-reduce-prices-once-the-carbon-tax-is-ditched/story-fni0cx12-1226983528607"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C:\Users\eelia\AppData\Local\Microsoft\Windows\Temporary%20Internet%20Files\Content.Outlook\13YBJ9S3\charts%20220415%20(2).xlsx" TargetMode="External"/><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oleObject" Target="file:///C:\Users\eelia\AppData\Local\Microsoft\Windows\Temporary%20Internet%20Files\Content.Outlook\13YBJ9S3\charts%20220415.xlsx" TargetMode="External"/><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'Charts 1'!$O$31</c:f>
              <c:strCache>
                <c:ptCount val="1"/>
                <c:pt idx="0">
                  <c:v>Mar-Apr – Jul-Aug</c:v>
                </c:pt>
              </c:strCache>
            </c:strRef>
          </c:tx>
          <c:invertIfNegative val="0"/>
          <c:dLbls>
            <c:dLbl>
              <c:idx val="0"/>
              <c:layout>
                <c:manualLayout>
                  <c:x val="8.3009072336033794E-3"/>
                  <c:y val="1.0376133476838073E-2"/>
                </c:manualLayout>
              </c:layout>
              <c:showLegendKey val="0"/>
              <c:showVal val="1"/>
              <c:showCatName val="0"/>
              <c:showSerName val="0"/>
              <c:showPercent val="0"/>
              <c:showBubbleSize val="0"/>
            </c:dLbl>
            <c:dLbl>
              <c:idx val="4"/>
              <c:layout>
                <c:manualLayout>
                  <c:x val="1.2451360850405069E-2"/>
                  <c:y val="1.0376133476838073E-2"/>
                </c:manualLayout>
              </c:layout>
              <c:showLegendKey val="0"/>
              <c:showVal val="1"/>
              <c:showCatName val="0"/>
              <c:showSerName val="0"/>
              <c:showPercent val="0"/>
              <c:showBubbleSize val="0"/>
            </c:dLbl>
            <c:dLbl>
              <c:idx val="6"/>
              <c:layout>
                <c:manualLayout>
                  <c:x val="-1.2451360850405069E-2"/>
                  <c:y val="2.0753356311521483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'Charts 1'!$N$32:$N$39</c:f>
              <c:strCache>
                <c:ptCount val="8"/>
                <c:pt idx="0">
                  <c:v>ACT</c:v>
                </c:pt>
                <c:pt idx="1">
                  <c:v>NSW</c:v>
                </c:pt>
                <c:pt idx="2">
                  <c:v>NT</c:v>
                </c:pt>
                <c:pt idx="3">
                  <c:v>QLD</c:v>
                </c:pt>
                <c:pt idx="4">
                  <c:v>SA</c:v>
                </c:pt>
                <c:pt idx="5">
                  <c:v>TAS</c:v>
                </c:pt>
                <c:pt idx="6">
                  <c:v>VIC</c:v>
                </c:pt>
                <c:pt idx="7">
                  <c:v>WA</c:v>
                </c:pt>
              </c:strCache>
            </c:strRef>
          </c:cat>
          <c:val>
            <c:numRef>
              <c:f>'Charts 1'!$O$32:$O$39</c:f>
              <c:numCache>
                <c:formatCode>0.0%</c:formatCode>
                <c:ptCount val="8"/>
                <c:pt idx="0">
                  <c:v>5.2323416786597132E-2</c:v>
                </c:pt>
                <c:pt idx="1">
                  <c:v>3.6881378450670725E-3</c:v>
                </c:pt>
                <c:pt idx="2">
                  <c:v>0</c:v>
                </c:pt>
                <c:pt idx="3">
                  <c:v>8.9921255360964902E-2</c:v>
                </c:pt>
                <c:pt idx="4">
                  <c:v>3.3329575095795511E-2</c:v>
                </c:pt>
                <c:pt idx="5">
                  <c:v>-7.7963550237409307E-2</c:v>
                </c:pt>
                <c:pt idx="6">
                  <c:v>-5.3460806663726502E-3</c:v>
                </c:pt>
                <c:pt idx="7">
                  <c:v>4.2552905651554562E-2</c:v>
                </c:pt>
              </c:numCache>
            </c:numRef>
          </c:val>
        </c:ser>
        <c:ser>
          <c:idx val="1"/>
          <c:order val="1"/>
          <c:tx>
            <c:strRef>
              <c:f>'Charts 1'!$P$31</c:f>
              <c:strCache>
                <c:ptCount val="1"/>
                <c:pt idx="0">
                  <c:v>Jul-Aug – Oct</c:v>
                </c:pt>
              </c:strCache>
            </c:strRef>
          </c:tx>
          <c:invertIfNegative val="0"/>
          <c:dLbls>
            <c:dLbl>
              <c:idx val="0"/>
              <c:layout>
                <c:manualLayout>
                  <c:x val="2.0752268084008449E-3"/>
                  <c:y val="2.075253929313748E-2"/>
                </c:manualLayout>
              </c:layout>
              <c:showLegendKey val="0"/>
              <c:showVal val="1"/>
              <c:showCatName val="0"/>
              <c:showSerName val="0"/>
              <c:showPercent val="0"/>
              <c:showBubbleSize val="0"/>
            </c:dLbl>
            <c:dLbl>
              <c:idx val="3"/>
              <c:layout>
                <c:manualLayout>
                  <c:x val="0"/>
                  <c:y val="-1.3834572296322763E-2"/>
                </c:manualLayout>
              </c:layout>
              <c:showLegendKey val="0"/>
              <c:showVal val="1"/>
              <c:showCatName val="0"/>
              <c:showSerName val="0"/>
              <c:showPercent val="0"/>
              <c:showBubbleSize val="0"/>
            </c:dLbl>
            <c:dLbl>
              <c:idx val="5"/>
              <c:layout>
                <c:manualLayout>
                  <c:x val="-8.3009072336033031E-3"/>
                  <c:y val="0"/>
                </c:manualLayout>
              </c:layout>
              <c:showLegendKey val="0"/>
              <c:showVal val="1"/>
              <c:showCatName val="0"/>
              <c:showSerName val="0"/>
              <c:showPercent val="0"/>
              <c:showBubbleSize val="0"/>
            </c:dLbl>
            <c:dLbl>
              <c:idx val="6"/>
              <c:layout>
                <c:manualLayout>
                  <c:x val="6.2256804252025346E-3"/>
                  <c:y val="2.075253929313748E-2"/>
                </c:manualLayout>
              </c:layout>
              <c:showLegendKey val="0"/>
              <c:showVal val="1"/>
              <c:showCatName val="0"/>
              <c:showSerName val="0"/>
              <c:showPercent val="0"/>
              <c:showBubbleSize val="0"/>
            </c:dLbl>
            <c:dLbl>
              <c:idx val="7"/>
              <c:layout>
                <c:manualLayout>
                  <c:x val="6.2256804252025346E-3"/>
                  <c:y val="1.0376678155760741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'Charts 1'!$N$32:$N$39</c:f>
              <c:strCache>
                <c:ptCount val="8"/>
                <c:pt idx="0">
                  <c:v>ACT</c:v>
                </c:pt>
                <c:pt idx="1">
                  <c:v>NSW</c:v>
                </c:pt>
                <c:pt idx="2">
                  <c:v>NT</c:v>
                </c:pt>
                <c:pt idx="3">
                  <c:v>QLD</c:v>
                </c:pt>
                <c:pt idx="4">
                  <c:v>SA</c:v>
                </c:pt>
                <c:pt idx="5">
                  <c:v>TAS</c:v>
                </c:pt>
                <c:pt idx="6">
                  <c:v>VIC</c:v>
                </c:pt>
                <c:pt idx="7">
                  <c:v>WA</c:v>
                </c:pt>
              </c:strCache>
            </c:strRef>
          </c:cat>
          <c:val>
            <c:numRef>
              <c:f>'Charts 1'!$P$32:$P$39</c:f>
              <c:numCache>
                <c:formatCode>0.0%</c:formatCode>
                <c:ptCount val="8"/>
                <c:pt idx="0">
                  <c:v>-0.10598506652331541</c:v>
                </c:pt>
                <c:pt idx="1">
                  <c:v>-5.5717217784315654E-2</c:v>
                </c:pt>
                <c:pt idx="2">
                  <c:v>-5.1060172449378771E-2</c:v>
                </c:pt>
                <c:pt idx="3">
                  <c:v>-6.7146897195422467E-2</c:v>
                </c:pt>
                <c:pt idx="4">
                  <c:v>-2.9242181546363655E-2</c:v>
                </c:pt>
                <c:pt idx="5">
                  <c:v>0</c:v>
                </c:pt>
                <c:pt idx="6">
                  <c:v>-6.5619923082517795E-2</c:v>
                </c:pt>
                <c:pt idx="7">
                  <c:v>-8.1440128251189403E-2</c:v>
                </c:pt>
              </c:numCache>
            </c:numRef>
          </c:val>
        </c:ser>
        <c:ser>
          <c:idx val="2"/>
          <c:order val="2"/>
          <c:tx>
            <c:strRef>
              <c:f>'Charts 1'!$Q$31</c:f>
              <c:strCache>
                <c:ptCount val="1"/>
                <c:pt idx="0">
                  <c:v>Oct – Jan-Feb</c:v>
                </c:pt>
              </c:strCache>
            </c:strRef>
          </c:tx>
          <c:invertIfNegative val="0"/>
          <c:dLbls>
            <c:dLbl>
              <c:idx val="1"/>
              <c:layout>
                <c:manualLayout>
                  <c:x val="2.075226808400845E-2"/>
                  <c:y val="6.9176946573533829E-3"/>
                </c:manualLayout>
              </c:layout>
              <c:showLegendKey val="0"/>
              <c:showVal val="1"/>
              <c:showCatName val="0"/>
              <c:showSerName val="0"/>
              <c:showPercent val="0"/>
              <c:showBubbleSize val="0"/>
            </c:dLbl>
            <c:dLbl>
              <c:idx val="4"/>
              <c:layout>
                <c:manualLayout>
                  <c:x val="2.2827494892409293E-2"/>
                  <c:y val="3.4592558378686933E-3"/>
                </c:manualLayout>
              </c:layout>
              <c:showLegendKey val="0"/>
              <c:showVal val="1"/>
              <c:showCatName val="0"/>
              <c:showSerName val="0"/>
              <c:showPercent val="0"/>
              <c:showBubbleSize val="0"/>
            </c:dLbl>
            <c:dLbl>
              <c:idx val="5"/>
              <c:layout>
                <c:manualLayout>
                  <c:x val="1.6601814467206759E-2"/>
                  <c:y val="0"/>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'Charts 1'!$N$32:$N$39</c:f>
              <c:strCache>
                <c:ptCount val="8"/>
                <c:pt idx="0">
                  <c:v>ACT</c:v>
                </c:pt>
                <c:pt idx="1">
                  <c:v>NSW</c:v>
                </c:pt>
                <c:pt idx="2">
                  <c:v>NT</c:v>
                </c:pt>
                <c:pt idx="3">
                  <c:v>QLD</c:v>
                </c:pt>
                <c:pt idx="4">
                  <c:v>SA</c:v>
                </c:pt>
                <c:pt idx="5">
                  <c:v>TAS</c:v>
                </c:pt>
                <c:pt idx="6">
                  <c:v>VIC</c:v>
                </c:pt>
                <c:pt idx="7">
                  <c:v>WA</c:v>
                </c:pt>
              </c:strCache>
            </c:strRef>
          </c:cat>
          <c:val>
            <c:numRef>
              <c:f>'Charts 1'!$Q$32:$Q$39</c:f>
              <c:numCache>
                <c:formatCode>0.0%</c:formatCode>
                <c:ptCount val="8"/>
                <c:pt idx="0">
                  <c:v>0</c:v>
                </c:pt>
                <c:pt idx="1">
                  <c:v>-2.7948831774977133E-3</c:v>
                </c:pt>
                <c:pt idx="2">
                  <c:v>4.9992100644284276E-2</c:v>
                </c:pt>
                <c:pt idx="3">
                  <c:v>1.4897020015528044E-3</c:v>
                </c:pt>
                <c:pt idx="4">
                  <c:v>-2.3818638485028262E-4</c:v>
                </c:pt>
                <c:pt idx="5">
                  <c:v>0</c:v>
                </c:pt>
                <c:pt idx="6">
                  <c:v>4.5764681862962453E-2</c:v>
                </c:pt>
                <c:pt idx="7">
                  <c:v>0</c:v>
                </c:pt>
              </c:numCache>
            </c:numRef>
          </c:val>
        </c:ser>
        <c:dLbls>
          <c:showLegendKey val="0"/>
          <c:showVal val="0"/>
          <c:showCatName val="0"/>
          <c:showSerName val="0"/>
          <c:showPercent val="0"/>
          <c:showBubbleSize val="0"/>
        </c:dLbls>
        <c:gapWidth val="150"/>
        <c:shape val="box"/>
        <c:axId val="298840448"/>
        <c:axId val="298842752"/>
        <c:axId val="0"/>
      </c:bar3DChart>
      <c:catAx>
        <c:axId val="298840448"/>
        <c:scaling>
          <c:orientation val="minMax"/>
        </c:scaling>
        <c:delete val="0"/>
        <c:axPos val="b"/>
        <c:majorTickMark val="out"/>
        <c:minorTickMark val="none"/>
        <c:tickLblPos val="high"/>
        <c:crossAx val="298842752"/>
        <c:crosses val="autoZero"/>
        <c:auto val="1"/>
        <c:lblAlgn val="ctr"/>
        <c:lblOffset val="100"/>
        <c:noMultiLvlLbl val="0"/>
      </c:catAx>
      <c:valAx>
        <c:axId val="298842752"/>
        <c:scaling>
          <c:orientation val="minMax"/>
        </c:scaling>
        <c:delete val="0"/>
        <c:axPos val="l"/>
        <c:majorGridlines/>
        <c:numFmt formatCode="0.0%" sourceLinked="1"/>
        <c:majorTickMark val="out"/>
        <c:minorTickMark val="none"/>
        <c:tickLblPos val="nextTo"/>
        <c:crossAx val="298840448"/>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'charts (2)'!$N$128:$N$129</c:f>
              <c:strCache>
                <c:ptCount val="1"/>
                <c:pt idx="0">
                  <c:v>VIC Standing</c:v>
                </c:pt>
              </c:strCache>
            </c:strRef>
          </c:tx>
          <c:invertIfNegative val="0"/>
          <c:cat>
            <c:strRef>
              <c:f>'charts (2)'!$M$130:$M$137</c:f>
              <c:strCache>
                <c:ptCount val="8"/>
                <c:pt idx="0">
                  <c:v>Jan'12</c:v>
                </c:pt>
                <c:pt idx="1">
                  <c:v>Jul'12</c:v>
                </c:pt>
                <c:pt idx="2">
                  <c:v>Jan'13</c:v>
                </c:pt>
                <c:pt idx="3">
                  <c:v>Jul'13</c:v>
                </c:pt>
                <c:pt idx="4">
                  <c:v>Jan'14</c:v>
                </c:pt>
                <c:pt idx="5">
                  <c:v>Jul'14</c:v>
                </c:pt>
                <c:pt idx="6">
                  <c:v>Oct'14</c:v>
                </c:pt>
                <c:pt idx="7">
                  <c:v>Jan'15</c:v>
                </c:pt>
              </c:strCache>
            </c:strRef>
          </c:cat>
          <c:val>
            <c:numRef>
              <c:f>'charts (2)'!$N$130:$N$137</c:f>
              <c:numCache>
                <c:formatCode>_-* #,##0_-;\-* #,##0_-;_-* "-"??_-;_-@_-</c:formatCode>
                <c:ptCount val="8"/>
                <c:pt idx="0">
                  <c:v>1247.4618444444443</c:v>
                </c:pt>
                <c:pt idx="1">
                  <c:v>1393.8161111111112</c:v>
                </c:pt>
                <c:pt idx="2">
                  <c:v>1484.4005244444443</c:v>
                </c:pt>
                <c:pt idx="3">
                  <c:v>1484.4005244444443</c:v>
                </c:pt>
                <c:pt idx="4">
                  <c:v>1528.4774266666666</c:v>
                </c:pt>
                <c:pt idx="5">
                  <c:v>1528.4774266666666</c:v>
                </c:pt>
                <c:pt idx="6">
                  <c:v>1411.8374101333332</c:v>
                </c:pt>
                <c:pt idx="7">
                  <c:v>1482.4735688888888</c:v>
                </c:pt>
              </c:numCache>
            </c:numRef>
          </c:val>
        </c:ser>
        <c:ser>
          <c:idx val="1"/>
          <c:order val="1"/>
          <c:tx>
            <c:strRef>
              <c:f>'charts (2)'!$O$128:$O$129</c:f>
              <c:strCache>
                <c:ptCount val="1"/>
                <c:pt idx="0">
                  <c:v>VIC Market</c:v>
                </c:pt>
              </c:strCache>
            </c:strRef>
          </c:tx>
          <c:spPr>
            <a:solidFill>
              <a:schemeClr val="accent3"/>
            </a:solidFill>
          </c:spPr>
          <c:invertIfNegative val="0"/>
          <c:cat>
            <c:strRef>
              <c:f>'charts (2)'!$M$130:$M$137</c:f>
              <c:strCache>
                <c:ptCount val="8"/>
                <c:pt idx="0">
                  <c:v>Jan'12</c:v>
                </c:pt>
                <c:pt idx="1">
                  <c:v>Jul'12</c:v>
                </c:pt>
                <c:pt idx="2">
                  <c:v>Jan'13</c:v>
                </c:pt>
                <c:pt idx="3">
                  <c:v>Jul'13</c:v>
                </c:pt>
                <c:pt idx="4">
                  <c:v>Jan'14</c:v>
                </c:pt>
                <c:pt idx="5">
                  <c:v>Jul'14</c:v>
                </c:pt>
                <c:pt idx="6">
                  <c:v>Oct'14</c:v>
                </c:pt>
                <c:pt idx="7">
                  <c:v>Jan'15</c:v>
                </c:pt>
              </c:strCache>
            </c:strRef>
          </c:cat>
          <c:val>
            <c:numRef>
              <c:f>'charts (2)'!$O$130:$O$137</c:f>
              <c:numCache>
                <c:formatCode>_-* #,##0_-;\-* #,##0_-;_-* "-"??_-;_-@_-</c:formatCode>
                <c:ptCount val="8"/>
                <c:pt idx="0">
                  <c:v>1181.5419698666667</c:v>
                </c:pt>
                <c:pt idx="1">
                  <c:v>1314.1294805499999</c:v>
                </c:pt>
                <c:pt idx="2">
                  <c:v>1394.5250508000001</c:v>
                </c:pt>
                <c:pt idx="3">
                  <c:v>1381.0178798769232</c:v>
                </c:pt>
                <c:pt idx="4">
                  <c:v>1411.1878069047616</c:v>
                </c:pt>
                <c:pt idx="5">
                  <c:v>1432.1234272761903</c:v>
                </c:pt>
                <c:pt idx="6">
                  <c:v>1349.9247442205717</c:v>
                </c:pt>
                <c:pt idx="7">
                  <c:v>1411.6928223428574</c:v>
                </c:pt>
              </c:numCache>
            </c:numRef>
          </c:val>
        </c:ser>
        <c:dLbls>
          <c:showLegendKey val="0"/>
          <c:showVal val="0"/>
          <c:showCatName val="0"/>
          <c:showSerName val="0"/>
          <c:showPercent val="0"/>
          <c:showBubbleSize val="0"/>
        </c:dLbls>
        <c:gapWidth val="150"/>
        <c:shape val="box"/>
        <c:axId val="95120768"/>
        <c:axId val="95122560"/>
        <c:axId val="0"/>
      </c:bar3DChart>
      <c:catAx>
        <c:axId val="95120768"/>
        <c:scaling>
          <c:orientation val="minMax"/>
        </c:scaling>
        <c:delete val="0"/>
        <c:axPos val="b"/>
        <c:majorTickMark val="out"/>
        <c:minorTickMark val="none"/>
        <c:tickLblPos val="nextTo"/>
        <c:crossAx val="95122560"/>
        <c:crosses val="autoZero"/>
        <c:auto val="1"/>
        <c:lblAlgn val="ctr"/>
        <c:lblOffset val="100"/>
        <c:noMultiLvlLbl val="0"/>
      </c:catAx>
      <c:valAx>
        <c:axId val="95122560"/>
        <c:scaling>
          <c:orientation val="minMax"/>
          <c:max val="2500"/>
          <c:min val="0"/>
        </c:scaling>
        <c:delete val="0"/>
        <c:axPos val="l"/>
        <c:majorGridlines/>
        <c:numFmt formatCode="_-* #,##0_-;\-* #,##0_-;_-* &quot;-&quot;??_-;_-@_-" sourceLinked="1"/>
        <c:majorTickMark val="out"/>
        <c:minorTickMark val="none"/>
        <c:tickLblPos val="nextTo"/>
        <c:crossAx val="95120768"/>
        <c:crosses val="autoZero"/>
        <c:crossBetween val="between"/>
        <c:majorUnit val="200"/>
      </c:valAx>
    </c:plotArea>
    <c:legend>
      <c:legendPos val="b"/>
      <c:layout/>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'charts (2)'!$N$92:$N$93</c:f>
              <c:strCache>
                <c:ptCount val="1"/>
                <c:pt idx="0">
                  <c:v>SA Standing</c:v>
                </c:pt>
              </c:strCache>
            </c:strRef>
          </c:tx>
          <c:invertIfNegative val="0"/>
          <c:cat>
            <c:strRef>
              <c:f>'charts (2)'!$M$94:$M$101</c:f>
              <c:strCache>
                <c:ptCount val="8"/>
                <c:pt idx="0">
                  <c:v>Jan'12</c:v>
                </c:pt>
                <c:pt idx="1">
                  <c:v>Jul'12</c:v>
                </c:pt>
                <c:pt idx="2">
                  <c:v>Jan'13</c:v>
                </c:pt>
                <c:pt idx="3">
                  <c:v>Jul'13</c:v>
                </c:pt>
                <c:pt idx="4">
                  <c:v>Jan'14</c:v>
                </c:pt>
                <c:pt idx="5">
                  <c:v>Jul'14</c:v>
                </c:pt>
                <c:pt idx="6">
                  <c:v>Oct'14</c:v>
                </c:pt>
                <c:pt idx="7">
                  <c:v>Jan'15</c:v>
                </c:pt>
              </c:strCache>
            </c:strRef>
          </c:cat>
          <c:val>
            <c:numRef>
              <c:f>'charts (2)'!$N$94:$N$101</c:f>
              <c:numCache>
                <c:formatCode>_-* #,##0_-;\-* #,##0_-;_-* "-"??_-;_-@_-</c:formatCode>
                <c:ptCount val="8"/>
                <c:pt idx="0">
                  <c:v>1997.56755</c:v>
                </c:pt>
                <c:pt idx="1">
                  <c:v>2357.0492000000004</c:v>
                </c:pt>
                <c:pt idx="2">
                  <c:v>2250.6797499999998</c:v>
                </c:pt>
                <c:pt idx="3">
                  <c:v>2314.3702999999996</c:v>
                </c:pt>
                <c:pt idx="4">
                  <c:v>2314.3702999999996</c:v>
                </c:pt>
                <c:pt idx="5">
                  <c:v>2481.65445</c:v>
                </c:pt>
                <c:pt idx="6">
                  <c:v>2373.62565</c:v>
                </c:pt>
                <c:pt idx="7">
                  <c:v>2373.62565</c:v>
                </c:pt>
              </c:numCache>
            </c:numRef>
          </c:val>
        </c:ser>
        <c:ser>
          <c:idx val="1"/>
          <c:order val="1"/>
          <c:tx>
            <c:strRef>
              <c:f>'charts (2)'!$O$92:$O$93</c:f>
              <c:strCache>
                <c:ptCount val="1"/>
                <c:pt idx="0">
                  <c:v>SA Market</c:v>
                </c:pt>
              </c:strCache>
            </c:strRef>
          </c:tx>
          <c:spPr>
            <a:solidFill>
              <a:schemeClr val="accent3"/>
            </a:solidFill>
          </c:spPr>
          <c:invertIfNegative val="0"/>
          <c:cat>
            <c:strRef>
              <c:f>'charts (2)'!$M$94:$M$101</c:f>
              <c:strCache>
                <c:ptCount val="8"/>
                <c:pt idx="0">
                  <c:v>Jan'12</c:v>
                </c:pt>
                <c:pt idx="1">
                  <c:v>Jul'12</c:v>
                </c:pt>
                <c:pt idx="2">
                  <c:v>Jan'13</c:v>
                </c:pt>
                <c:pt idx="3">
                  <c:v>Jul'13</c:v>
                </c:pt>
                <c:pt idx="4">
                  <c:v>Jan'14</c:v>
                </c:pt>
                <c:pt idx="5">
                  <c:v>Jul'14</c:v>
                </c:pt>
                <c:pt idx="6">
                  <c:v>Oct'14</c:v>
                </c:pt>
                <c:pt idx="7">
                  <c:v>Jan'15</c:v>
                </c:pt>
              </c:strCache>
            </c:strRef>
          </c:cat>
          <c:val>
            <c:numRef>
              <c:f>'charts (2)'!$O$94:$O$101</c:f>
              <c:numCache>
                <c:formatCode>_-* #,##0_-;\-* #,##0_-;_-* "-"??_-;_-@_-</c:formatCode>
                <c:ptCount val="8"/>
                <c:pt idx="0">
                  <c:v>0</c:v>
                </c:pt>
                <c:pt idx="1">
                  <c:v>2221.3254094571425</c:v>
                </c:pt>
                <c:pt idx="2">
                  <c:v>2204.2239089444447</c:v>
                </c:pt>
                <c:pt idx="3">
                  <c:v>2307.4578755555553</c:v>
                </c:pt>
                <c:pt idx="4">
                  <c:v>2307.4578755555553</c:v>
                </c:pt>
                <c:pt idx="5">
                  <c:v>2401.7277074500003</c:v>
                </c:pt>
                <c:pt idx="6">
                  <c:v>2303.8343084900002</c:v>
                </c:pt>
                <c:pt idx="7">
                  <c:v>2352.5171477316671</c:v>
                </c:pt>
              </c:numCache>
            </c:numRef>
          </c:val>
        </c:ser>
        <c:dLbls>
          <c:showLegendKey val="0"/>
          <c:showVal val="0"/>
          <c:showCatName val="0"/>
          <c:showSerName val="0"/>
          <c:showPercent val="0"/>
          <c:showBubbleSize val="0"/>
        </c:dLbls>
        <c:gapWidth val="150"/>
        <c:shape val="box"/>
        <c:axId val="95201536"/>
        <c:axId val="95203328"/>
        <c:axId val="0"/>
      </c:bar3DChart>
      <c:catAx>
        <c:axId val="95201536"/>
        <c:scaling>
          <c:orientation val="minMax"/>
        </c:scaling>
        <c:delete val="0"/>
        <c:axPos val="b"/>
        <c:majorTickMark val="out"/>
        <c:minorTickMark val="none"/>
        <c:tickLblPos val="nextTo"/>
        <c:crossAx val="95203328"/>
        <c:crosses val="autoZero"/>
        <c:auto val="1"/>
        <c:lblAlgn val="ctr"/>
        <c:lblOffset val="100"/>
        <c:noMultiLvlLbl val="0"/>
      </c:catAx>
      <c:valAx>
        <c:axId val="95203328"/>
        <c:scaling>
          <c:orientation val="minMax"/>
          <c:max val="2500"/>
          <c:min val="0"/>
        </c:scaling>
        <c:delete val="0"/>
        <c:axPos val="l"/>
        <c:majorGridlines/>
        <c:numFmt formatCode="_-* #,##0_-;\-* #,##0_-;_-* &quot;-&quot;??_-;_-@_-" sourceLinked="1"/>
        <c:majorTickMark val="out"/>
        <c:minorTickMark val="none"/>
        <c:tickLblPos val="nextTo"/>
        <c:crossAx val="95201536"/>
        <c:crosses val="autoZero"/>
        <c:crossBetween val="between"/>
        <c:majorUnit val="200"/>
      </c:valAx>
    </c:plotArea>
    <c:legend>
      <c:legendPos val="b"/>
      <c:layout/>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'charts (2)'!$N$3:$N$4</c:f>
              <c:strCache>
                <c:ptCount val="1"/>
                <c:pt idx="0">
                  <c:v>TAS Standing</c:v>
                </c:pt>
              </c:strCache>
            </c:strRef>
          </c:tx>
          <c:invertIfNegative val="0"/>
          <c:cat>
            <c:strRef>
              <c:f>'charts (2)'!$M$5:$M$12</c:f>
              <c:strCache>
                <c:ptCount val="8"/>
                <c:pt idx="0">
                  <c:v>Jan'12</c:v>
                </c:pt>
                <c:pt idx="1">
                  <c:v>Jul'12</c:v>
                </c:pt>
                <c:pt idx="2">
                  <c:v>Jan'13</c:v>
                </c:pt>
                <c:pt idx="3">
                  <c:v>Jul'13</c:v>
                </c:pt>
                <c:pt idx="4">
                  <c:v>Jan'14</c:v>
                </c:pt>
                <c:pt idx="5">
                  <c:v>Jul'14</c:v>
                </c:pt>
                <c:pt idx="6">
                  <c:v>Oct'14</c:v>
                </c:pt>
                <c:pt idx="7">
                  <c:v>Jan'15</c:v>
                </c:pt>
              </c:strCache>
            </c:strRef>
          </c:cat>
          <c:val>
            <c:numRef>
              <c:f>'charts (2)'!$N$5:$N$12</c:f>
              <c:numCache>
                <c:formatCode>_-* #,##0_-;\-* #,##0_-;_-* "-"??_-;_-@_-</c:formatCode>
                <c:ptCount val="8"/>
                <c:pt idx="0">
                  <c:v>2193.5533999999998</c:v>
                </c:pt>
                <c:pt idx="1">
                  <c:v>2603.7827600000001</c:v>
                </c:pt>
                <c:pt idx="2">
                  <c:v>2603.7827600000001</c:v>
                </c:pt>
                <c:pt idx="3">
                  <c:v>2650.5840800000001</c:v>
                </c:pt>
                <c:pt idx="4">
                  <c:v>2650.5840800000001</c:v>
                </c:pt>
                <c:pt idx="5">
                  <c:v>2316.2778800000001</c:v>
                </c:pt>
                <c:pt idx="6">
                  <c:v>2316.2778800000001</c:v>
                </c:pt>
                <c:pt idx="7">
                  <c:v>2316.2778800000001</c:v>
                </c:pt>
              </c:numCache>
            </c:numRef>
          </c:val>
        </c:ser>
        <c:ser>
          <c:idx val="1"/>
          <c:order val="1"/>
          <c:tx>
            <c:strRef>
              <c:f>'charts (2)'!$O$3:$O$4</c:f>
              <c:strCache>
                <c:ptCount val="1"/>
                <c:pt idx="0">
                  <c:v>TAS Market</c:v>
                </c:pt>
              </c:strCache>
            </c:strRef>
          </c:tx>
          <c:spPr>
            <a:solidFill>
              <a:schemeClr val="accent3"/>
            </a:solidFill>
          </c:spPr>
          <c:invertIfNegative val="0"/>
          <c:cat>
            <c:strRef>
              <c:f>'charts (2)'!$M$5:$M$12</c:f>
              <c:strCache>
                <c:ptCount val="8"/>
                <c:pt idx="0">
                  <c:v>Jan'12</c:v>
                </c:pt>
                <c:pt idx="1">
                  <c:v>Jul'12</c:v>
                </c:pt>
                <c:pt idx="2">
                  <c:v>Jan'13</c:v>
                </c:pt>
                <c:pt idx="3">
                  <c:v>Jul'13</c:v>
                </c:pt>
                <c:pt idx="4">
                  <c:v>Jan'14</c:v>
                </c:pt>
                <c:pt idx="5">
                  <c:v>Jul'14</c:v>
                </c:pt>
                <c:pt idx="6">
                  <c:v>Oct'14</c:v>
                </c:pt>
                <c:pt idx="7">
                  <c:v>Jan'15</c:v>
                </c:pt>
              </c:strCache>
            </c:strRef>
          </c:cat>
          <c:val>
            <c:numRef>
              <c:f>'charts (2)'!$O$5:$O$12</c:f>
              <c:numCache>
                <c:formatCode>_-* #,##0_-;\-* #,##0_-;_-* "-"??_-;_-@_-</c:formatCode>
                <c:ptCount val="8"/>
                <c:pt idx="0">
                  <c:v>2159.4622799999997</c:v>
                </c:pt>
                <c:pt idx="1">
                  <c:v>2390.6037799999995</c:v>
                </c:pt>
                <c:pt idx="2">
                  <c:v>2390.6037799999995</c:v>
                </c:pt>
                <c:pt idx="3">
                  <c:v>2433.5419199999997</c:v>
                </c:pt>
                <c:pt idx="4">
                  <c:v>2433.5419199999997</c:v>
                </c:pt>
                <c:pt idx="5">
                  <c:v>2124.3761199999999</c:v>
                </c:pt>
                <c:pt idx="6">
                  <c:v>2124.3761199999999</c:v>
                </c:pt>
                <c:pt idx="7">
                  <c:v>2124.3761199999999</c:v>
                </c:pt>
              </c:numCache>
            </c:numRef>
          </c:val>
        </c:ser>
        <c:dLbls>
          <c:showLegendKey val="0"/>
          <c:showVal val="0"/>
          <c:showCatName val="0"/>
          <c:showSerName val="0"/>
          <c:showPercent val="0"/>
          <c:showBubbleSize val="0"/>
        </c:dLbls>
        <c:gapWidth val="150"/>
        <c:shape val="box"/>
        <c:axId val="95429376"/>
        <c:axId val="95430912"/>
        <c:axId val="0"/>
      </c:bar3DChart>
      <c:catAx>
        <c:axId val="95429376"/>
        <c:scaling>
          <c:orientation val="minMax"/>
        </c:scaling>
        <c:delete val="0"/>
        <c:axPos val="b"/>
        <c:majorTickMark val="out"/>
        <c:minorTickMark val="none"/>
        <c:tickLblPos val="nextTo"/>
        <c:crossAx val="95430912"/>
        <c:crosses val="autoZero"/>
        <c:auto val="1"/>
        <c:lblAlgn val="ctr"/>
        <c:lblOffset val="100"/>
        <c:noMultiLvlLbl val="0"/>
      </c:catAx>
      <c:valAx>
        <c:axId val="95430912"/>
        <c:scaling>
          <c:orientation val="minMax"/>
          <c:max val="2500"/>
          <c:min val="0"/>
        </c:scaling>
        <c:delete val="0"/>
        <c:axPos val="l"/>
        <c:majorGridlines/>
        <c:numFmt formatCode="_-* #,##0_-;\-* #,##0_-;_-* &quot;-&quot;??_-;_-@_-" sourceLinked="1"/>
        <c:majorTickMark val="out"/>
        <c:minorTickMark val="none"/>
        <c:tickLblPos val="nextTo"/>
        <c:crossAx val="95429376"/>
        <c:crosses val="autoZero"/>
        <c:crossBetween val="between"/>
        <c:majorUnit val="200"/>
      </c:valAx>
    </c:plotArea>
    <c:legend>
      <c:legendPos val="b"/>
      <c:layout/>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'charts (2)'!$I$4</c:f>
              <c:strCache>
                <c:ptCount val="1"/>
                <c:pt idx="0">
                  <c:v>WA</c:v>
                </c:pt>
              </c:strCache>
            </c:strRef>
          </c:tx>
          <c:invertIfNegative val="0"/>
          <c:cat>
            <c:strRef>
              <c:f>'charts (2)'!$H$5:$H$12</c:f>
              <c:strCache>
                <c:ptCount val="8"/>
                <c:pt idx="0">
                  <c:v>Jan'12</c:v>
                </c:pt>
                <c:pt idx="1">
                  <c:v>Jul'12</c:v>
                </c:pt>
                <c:pt idx="2">
                  <c:v>Jan'13</c:v>
                </c:pt>
                <c:pt idx="3">
                  <c:v>Jul'13</c:v>
                </c:pt>
                <c:pt idx="4">
                  <c:v>Jan'14</c:v>
                </c:pt>
                <c:pt idx="5">
                  <c:v>Jul'14</c:v>
                </c:pt>
                <c:pt idx="6">
                  <c:v>Oct'14</c:v>
                </c:pt>
                <c:pt idx="7">
                  <c:v>Jan'15</c:v>
                </c:pt>
              </c:strCache>
            </c:strRef>
          </c:cat>
          <c:val>
            <c:numRef>
              <c:f>'charts (2)'!$I$5:$I$12</c:f>
              <c:numCache>
                <c:formatCode>_-* #,##0_-;\-* #,##0_-;_-* "-"??_-;_-@_-</c:formatCode>
                <c:ptCount val="8"/>
                <c:pt idx="0">
                  <c:v>1370.6298199999999</c:v>
                </c:pt>
                <c:pt idx="1">
                  <c:v>1544.8752200000001</c:v>
                </c:pt>
                <c:pt idx="2">
                  <c:v>1544.8752200000001</c:v>
                </c:pt>
                <c:pt idx="3">
                  <c:v>1607.965408</c:v>
                </c:pt>
                <c:pt idx="4">
                  <c:v>1607.965408</c:v>
                </c:pt>
                <c:pt idx="5">
                  <c:v>1676.4414240000001</c:v>
                </c:pt>
                <c:pt idx="6">
                  <c:v>1541.733424</c:v>
                </c:pt>
                <c:pt idx="7">
                  <c:v>1541.733424</c:v>
                </c:pt>
              </c:numCache>
            </c:numRef>
          </c:val>
        </c:ser>
        <c:dLbls>
          <c:showLegendKey val="0"/>
          <c:showVal val="0"/>
          <c:showCatName val="0"/>
          <c:showSerName val="0"/>
          <c:showPercent val="0"/>
          <c:showBubbleSize val="0"/>
        </c:dLbls>
        <c:gapWidth val="150"/>
        <c:shape val="box"/>
        <c:axId val="95910144"/>
        <c:axId val="95916032"/>
        <c:axId val="0"/>
      </c:bar3DChart>
      <c:catAx>
        <c:axId val="95910144"/>
        <c:scaling>
          <c:orientation val="minMax"/>
        </c:scaling>
        <c:delete val="0"/>
        <c:axPos val="b"/>
        <c:majorTickMark val="out"/>
        <c:minorTickMark val="none"/>
        <c:tickLblPos val="nextTo"/>
        <c:crossAx val="95916032"/>
        <c:crosses val="autoZero"/>
        <c:auto val="1"/>
        <c:lblAlgn val="ctr"/>
        <c:lblOffset val="100"/>
        <c:noMultiLvlLbl val="0"/>
      </c:catAx>
      <c:valAx>
        <c:axId val="95916032"/>
        <c:scaling>
          <c:orientation val="minMax"/>
          <c:max val="2500"/>
          <c:min val="0"/>
        </c:scaling>
        <c:delete val="0"/>
        <c:axPos val="l"/>
        <c:majorGridlines/>
        <c:numFmt formatCode="_-* #,##0_-;\-* #,##0_-;_-* &quot;-&quot;??_-;_-@_-" sourceLinked="1"/>
        <c:majorTickMark val="out"/>
        <c:minorTickMark val="none"/>
        <c:tickLblPos val="nextTo"/>
        <c:crossAx val="95910144"/>
        <c:crosses val="autoZero"/>
        <c:crossBetween val="between"/>
        <c:majorUnit val="200"/>
      </c:valAx>
    </c:plotArea>
    <c:legend>
      <c:legendPos val="b"/>
      <c:layout/>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'charts (2)'!$E$4</c:f>
              <c:strCache>
                <c:ptCount val="1"/>
                <c:pt idx="0">
                  <c:v>NT</c:v>
                </c:pt>
              </c:strCache>
            </c:strRef>
          </c:tx>
          <c:invertIfNegative val="0"/>
          <c:cat>
            <c:strRef>
              <c:f>'charts (2)'!$D$5:$D$12</c:f>
              <c:strCache>
                <c:ptCount val="8"/>
                <c:pt idx="0">
                  <c:v>Jan'12</c:v>
                </c:pt>
                <c:pt idx="1">
                  <c:v>Jul'12</c:v>
                </c:pt>
                <c:pt idx="2">
                  <c:v>Jan'13</c:v>
                </c:pt>
                <c:pt idx="3">
                  <c:v>Jul'13</c:v>
                </c:pt>
                <c:pt idx="4">
                  <c:v>Jan'14</c:v>
                </c:pt>
                <c:pt idx="5">
                  <c:v>Jul'14</c:v>
                </c:pt>
                <c:pt idx="6">
                  <c:v>Oct'14</c:v>
                </c:pt>
                <c:pt idx="7">
                  <c:v>Jan'15</c:v>
                </c:pt>
              </c:strCache>
            </c:strRef>
          </c:cat>
          <c:val>
            <c:numRef>
              <c:f>'charts (2)'!$E$5:$E$12</c:f>
              <c:numCache>
                <c:formatCode>_-* #,##0_-;\-* #,##0_-;_-* "-"??_-;_-@_-</c:formatCode>
                <c:ptCount val="8"/>
                <c:pt idx="0">
                  <c:v>1435.6692</c:v>
                </c:pt>
                <c:pt idx="1">
                  <c:v>1614.8943999999999</c:v>
                </c:pt>
                <c:pt idx="2">
                  <c:v>2070.2752</c:v>
                </c:pt>
                <c:pt idx="3">
                  <c:v>1820.1735999999999</c:v>
                </c:pt>
                <c:pt idx="4">
                  <c:v>1911.2352000000003</c:v>
                </c:pt>
                <c:pt idx="5">
                  <c:v>1911.2352000000003</c:v>
                </c:pt>
                <c:pt idx="6">
                  <c:v>1807.9908000000003</c:v>
                </c:pt>
                <c:pt idx="7">
                  <c:v>2006.7824000000001</c:v>
                </c:pt>
              </c:numCache>
            </c:numRef>
          </c:val>
        </c:ser>
        <c:dLbls>
          <c:showLegendKey val="0"/>
          <c:showVal val="0"/>
          <c:showCatName val="0"/>
          <c:showSerName val="0"/>
          <c:showPercent val="0"/>
          <c:showBubbleSize val="0"/>
        </c:dLbls>
        <c:gapWidth val="150"/>
        <c:shape val="box"/>
        <c:axId val="100192640"/>
        <c:axId val="100194176"/>
        <c:axId val="0"/>
      </c:bar3DChart>
      <c:catAx>
        <c:axId val="100192640"/>
        <c:scaling>
          <c:orientation val="minMax"/>
        </c:scaling>
        <c:delete val="0"/>
        <c:axPos val="b"/>
        <c:majorTickMark val="out"/>
        <c:minorTickMark val="none"/>
        <c:tickLblPos val="nextTo"/>
        <c:crossAx val="100194176"/>
        <c:crosses val="autoZero"/>
        <c:auto val="1"/>
        <c:lblAlgn val="ctr"/>
        <c:lblOffset val="100"/>
        <c:noMultiLvlLbl val="0"/>
      </c:catAx>
      <c:valAx>
        <c:axId val="100194176"/>
        <c:scaling>
          <c:orientation val="minMax"/>
          <c:max val="2500"/>
          <c:min val="0"/>
        </c:scaling>
        <c:delete val="0"/>
        <c:axPos val="l"/>
        <c:majorGridlines/>
        <c:numFmt formatCode="_-* #,##0_-;\-* #,##0_-;_-* &quot;-&quot;??_-;_-@_-" sourceLinked="1"/>
        <c:majorTickMark val="out"/>
        <c:minorTickMark val="none"/>
        <c:tickLblPos val="nextTo"/>
        <c:crossAx val="100192640"/>
        <c:crosses val="autoZero"/>
        <c:crossBetween val="between"/>
        <c:majorUnit val="200"/>
      </c:valAx>
    </c:plotArea>
    <c:legend>
      <c:legendPos val="b"/>
      <c:layout/>
      <c:overlay val="0"/>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charts!$A$26</c:f>
              <c:strCache>
                <c:ptCount val="1"/>
                <c:pt idx="0">
                  <c:v>SA</c:v>
                </c:pt>
              </c:strCache>
            </c:strRef>
          </c:tx>
          <c:spPr>
            <a:ln>
              <a:solidFill>
                <a:schemeClr val="accent2">
                  <a:lumMod val="60000"/>
                  <a:lumOff val="40000"/>
                </a:schemeClr>
              </a:solidFill>
            </a:ln>
          </c:spPr>
          <c:marker>
            <c:symbol val="none"/>
          </c:marker>
          <c:cat>
            <c:strRef>
              <c:f>charts!$B$25:$E$25</c:f>
              <c:strCache>
                <c:ptCount val="4"/>
                <c:pt idx="0">
                  <c:v>2011/12</c:v>
                </c:pt>
                <c:pt idx="1">
                  <c:v>2012/13</c:v>
                </c:pt>
                <c:pt idx="2">
                  <c:v>2013/14</c:v>
                </c:pt>
                <c:pt idx="3">
                  <c:v>2014/15</c:v>
                </c:pt>
              </c:strCache>
            </c:strRef>
          </c:cat>
          <c:val>
            <c:numRef>
              <c:f>charts!$B$26:$E$26</c:f>
              <c:numCache>
                <c:formatCode>0</c:formatCode>
                <c:ptCount val="4"/>
                <c:pt idx="0">
                  <c:v>845.83672000000013</c:v>
                </c:pt>
                <c:pt idx="1">
                  <c:v>1062.02108</c:v>
                </c:pt>
                <c:pt idx="2">
                  <c:v>1097.204088</c:v>
                </c:pt>
                <c:pt idx="3">
                  <c:v>1235.63608</c:v>
                </c:pt>
              </c:numCache>
            </c:numRef>
          </c:val>
          <c:smooth val="0"/>
        </c:ser>
        <c:ser>
          <c:idx val="1"/>
          <c:order val="1"/>
          <c:tx>
            <c:strRef>
              <c:f>charts!$A$27</c:f>
              <c:strCache>
                <c:ptCount val="1"/>
                <c:pt idx="0">
                  <c:v>TAS</c:v>
                </c:pt>
              </c:strCache>
            </c:strRef>
          </c:tx>
          <c:spPr>
            <a:ln>
              <a:solidFill>
                <a:schemeClr val="accent3"/>
              </a:solidFill>
            </a:ln>
          </c:spPr>
          <c:marker>
            <c:symbol val="none"/>
          </c:marker>
          <c:cat>
            <c:strRef>
              <c:f>charts!$B$25:$E$25</c:f>
              <c:strCache>
                <c:ptCount val="4"/>
                <c:pt idx="0">
                  <c:v>2011/12</c:v>
                </c:pt>
                <c:pt idx="1">
                  <c:v>2012/13</c:v>
                </c:pt>
                <c:pt idx="2">
                  <c:v>2013/14</c:v>
                </c:pt>
                <c:pt idx="3">
                  <c:v>2014/15</c:v>
                </c:pt>
              </c:strCache>
            </c:strRef>
          </c:cat>
          <c:val>
            <c:numRef>
              <c:f>charts!$B$27:$E$27</c:f>
              <c:numCache>
                <c:formatCode>0</c:formatCode>
                <c:ptCount val="4"/>
                <c:pt idx="0">
                  <c:v>960.40832</c:v>
                </c:pt>
                <c:pt idx="1">
                  <c:v>1079.8668400000001</c:v>
                </c:pt>
                <c:pt idx="2">
                  <c:v>1150.09076</c:v>
                </c:pt>
                <c:pt idx="3">
                  <c:v>1175.8448000000001</c:v>
                </c:pt>
              </c:numCache>
            </c:numRef>
          </c:val>
          <c:smooth val="0"/>
        </c:ser>
        <c:ser>
          <c:idx val="2"/>
          <c:order val="2"/>
          <c:tx>
            <c:strRef>
              <c:f>charts!$A$28</c:f>
              <c:strCache>
                <c:ptCount val="1"/>
                <c:pt idx="0">
                  <c:v>QLD</c:v>
                </c:pt>
              </c:strCache>
            </c:strRef>
          </c:tx>
          <c:spPr>
            <a:ln>
              <a:solidFill>
                <a:schemeClr val="accent5"/>
              </a:solidFill>
            </a:ln>
          </c:spPr>
          <c:marker>
            <c:symbol val="none"/>
          </c:marker>
          <c:cat>
            <c:strRef>
              <c:f>charts!$B$25:$E$25</c:f>
              <c:strCache>
                <c:ptCount val="4"/>
                <c:pt idx="0">
                  <c:v>2011/12</c:v>
                </c:pt>
                <c:pt idx="1">
                  <c:v>2012/13</c:v>
                </c:pt>
                <c:pt idx="2">
                  <c:v>2013/14</c:v>
                </c:pt>
                <c:pt idx="3">
                  <c:v>2014/15</c:v>
                </c:pt>
              </c:strCache>
            </c:strRef>
          </c:cat>
          <c:val>
            <c:numRef>
              <c:f>charts!$B$28:$E$28</c:f>
              <c:numCache>
                <c:formatCode>0</c:formatCode>
                <c:ptCount val="4"/>
                <c:pt idx="0">
                  <c:v>693.68</c:v>
                </c:pt>
                <c:pt idx="1">
                  <c:v>756.91927999999996</c:v>
                </c:pt>
                <c:pt idx="2">
                  <c:v>937.00099999999998</c:v>
                </c:pt>
                <c:pt idx="3">
                  <c:v>1068.3789999999999</c:v>
                </c:pt>
              </c:numCache>
            </c:numRef>
          </c:val>
          <c:smooth val="0"/>
        </c:ser>
        <c:ser>
          <c:idx val="3"/>
          <c:order val="3"/>
          <c:tx>
            <c:strRef>
              <c:f>charts!$A$29</c:f>
              <c:strCache>
                <c:ptCount val="1"/>
                <c:pt idx="0">
                  <c:v>NSW</c:v>
                </c:pt>
              </c:strCache>
            </c:strRef>
          </c:tx>
          <c:spPr>
            <a:ln>
              <a:solidFill>
                <a:schemeClr val="bg1">
                  <a:lumMod val="50000"/>
                </a:schemeClr>
              </a:solidFill>
            </a:ln>
          </c:spPr>
          <c:marker>
            <c:symbol val="none"/>
          </c:marker>
          <c:cat>
            <c:strRef>
              <c:f>charts!$B$25:$E$25</c:f>
              <c:strCache>
                <c:ptCount val="4"/>
                <c:pt idx="0">
                  <c:v>2011/12</c:v>
                </c:pt>
                <c:pt idx="1">
                  <c:v>2012/13</c:v>
                </c:pt>
                <c:pt idx="2">
                  <c:v>2013/14</c:v>
                </c:pt>
                <c:pt idx="3">
                  <c:v>2014/15</c:v>
                </c:pt>
              </c:strCache>
            </c:strRef>
          </c:cat>
          <c:val>
            <c:numRef>
              <c:f>charts!$B$29:$E$29</c:f>
              <c:numCache>
                <c:formatCode>0</c:formatCode>
                <c:ptCount val="4"/>
                <c:pt idx="0">
                  <c:v>842.86236600000007</c:v>
                </c:pt>
                <c:pt idx="1">
                  <c:v>922.84325000000001</c:v>
                </c:pt>
                <c:pt idx="2">
                  <c:v>935.55975000000012</c:v>
                </c:pt>
                <c:pt idx="3">
                  <c:v>924.83690000000001</c:v>
                </c:pt>
              </c:numCache>
            </c:numRef>
          </c:val>
          <c:smooth val="0"/>
        </c:ser>
        <c:ser>
          <c:idx val="4"/>
          <c:order val="4"/>
          <c:tx>
            <c:strRef>
              <c:f>charts!$A$30</c:f>
              <c:strCache>
                <c:ptCount val="1"/>
                <c:pt idx="0">
                  <c:v>ACT</c:v>
                </c:pt>
              </c:strCache>
            </c:strRef>
          </c:tx>
          <c:spPr>
            <a:ln>
              <a:solidFill>
                <a:schemeClr val="accent1"/>
              </a:solidFill>
            </a:ln>
          </c:spPr>
          <c:marker>
            <c:symbol val="none"/>
          </c:marker>
          <c:cat>
            <c:strRef>
              <c:f>charts!$B$25:$E$25</c:f>
              <c:strCache>
                <c:ptCount val="4"/>
                <c:pt idx="0">
                  <c:v>2011/12</c:v>
                </c:pt>
                <c:pt idx="1">
                  <c:v>2012/13</c:v>
                </c:pt>
                <c:pt idx="2">
                  <c:v>2013/14</c:v>
                </c:pt>
                <c:pt idx="3">
                  <c:v>2014/15</c:v>
                </c:pt>
              </c:strCache>
            </c:strRef>
          </c:cat>
          <c:val>
            <c:numRef>
              <c:f>charts!$B$30:$E$30</c:f>
              <c:numCache>
                <c:formatCode>0</c:formatCode>
                <c:ptCount val="4"/>
                <c:pt idx="0">
                  <c:v>465.65999999999997</c:v>
                </c:pt>
                <c:pt idx="1">
                  <c:v>505.77799999999996</c:v>
                </c:pt>
                <c:pt idx="2">
                  <c:v>537.59159999999997</c:v>
                </c:pt>
                <c:pt idx="3">
                  <c:v>580.90240000000006</c:v>
                </c:pt>
              </c:numCache>
            </c:numRef>
          </c:val>
          <c:smooth val="0"/>
        </c:ser>
        <c:ser>
          <c:idx val="5"/>
          <c:order val="5"/>
          <c:tx>
            <c:strRef>
              <c:f>charts!$A$31</c:f>
              <c:strCache>
                <c:ptCount val="1"/>
                <c:pt idx="0">
                  <c:v>VIC</c:v>
                </c:pt>
              </c:strCache>
            </c:strRef>
          </c:tx>
          <c:spPr>
            <a:ln>
              <a:solidFill>
                <a:schemeClr val="accent2"/>
              </a:solidFill>
            </a:ln>
          </c:spPr>
          <c:marker>
            <c:symbol val="none"/>
          </c:marker>
          <c:cat>
            <c:strRef>
              <c:f>charts!$B$25:$E$25</c:f>
              <c:strCache>
                <c:ptCount val="4"/>
                <c:pt idx="0">
                  <c:v>2011/12</c:v>
                </c:pt>
                <c:pt idx="1">
                  <c:v>2012/13</c:v>
                </c:pt>
                <c:pt idx="2">
                  <c:v>2013/14</c:v>
                </c:pt>
                <c:pt idx="3">
                  <c:v>2014/15</c:v>
                </c:pt>
              </c:strCache>
            </c:strRef>
          </c:cat>
          <c:val>
            <c:numRef>
              <c:f>charts!$B$31:$E$31</c:f>
              <c:numCache>
                <c:formatCode>0</c:formatCode>
                <c:ptCount val="4"/>
                <c:pt idx="0">
                  <c:v>577.76546266666674</c:v>
                </c:pt>
                <c:pt idx="1">
                  <c:v>651.23483999999996</c:v>
                </c:pt>
                <c:pt idx="2">
                  <c:v>719.40761999999995</c:v>
                </c:pt>
                <c:pt idx="3">
                  <c:v>783.57933333333347</c:v>
                </c:pt>
              </c:numCache>
            </c:numRef>
          </c:val>
          <c:smooth val="0"/>
        </c:ser>
        <c:dLbls>
          <c:showLegendKey val="0"/>
          <c:showVal val="0"/>
          <c:showCatName val="0"/>
          <c:showSerName val="0"/>
          <c:showPercent val="0"/>
          <c:showBubbleSize val="0"/>
        </c:dLbls>
        <c:marker val="1"/>
        <c:smooth val="0"/>
        <c:axId val="276796928"/>
        <c:axId val="276798464"/>
      </c:lineChart>
      <c:catAx>
        <c:axId val="276796928"/>
        <c:scaling>
          <c:orientation val="minMax"/>
        </c:scaling>
        <c:delete val="0"/>
        <c:axPos val="b"/>
        <c:majorTickMark val="out"/>
        <c:minorTickMark val="none"/>
        <c:tickLblPos val="nextTo"/>
        <c:crossAx val="276798464"/>
        <c:crosses val="autoZero"/>
        <c:auto val="1"/>
        <c:lblAlgn val="ctr"/>
        <c:lblOffset val="100"/>
        <c:noMultiLvlLbl val="0"/>
      </c:catAx>
      <c:valAx>
        <c:axId val="276798464"/>
        <c:scaling>
          <c:orientation val="minMax"/>
        </c:scaling>
        <c:delete val="0"/>
        <c:axPos val="l"/>
        <c:majorGridlines/>
        <c:numFmt formatCode="0" sourceLinked="1"/>
        <c:majorTickMark val="out"/>
        <c:minorTickMark val="none"/>
        <c:tickLblPos val="nextTo"/>
        <c:crossAx val="276796928"/>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4"/>
          <c:order val="0"/>
          <c:tx>
            <c:strRef>
              <c:f>'C:\Users\eelia\AppData\Local\Microsoft\Windows\Temporary Internet Files\Content.Outlook\13YBJ9S3\[Copy of Charts - Price component tracker (2).xlsx]VIC'!$AA$57</c:f>
              <c:strCache>
                <c:ptCount val="1"/>
                <c:pt idx="0">
                  <c:v>Retail costs</c:v>
                </c:pt>
              </c:strCache>
            </c:strRef>
          </c:tx>
          <c:spPr>
            <a:solidFill>
              <a:srgbClr val="0070C0"/>
            </a:solidFill>
          </c:spPr>
          <c:invertIfNegative val="0"/>
          <c:cat>
            <c:numRef>
              <c:f>'C:\Users\eelia\AppData\Local\Microsoft\Windows\Temporary Internet Files\Content.Outlook\13YBJ9S3\[Copy of Charts - Price component tracker (2).xlsx]VIC'!$V$58:$V$62</c:f>
              <c:numCache>
                <c:formatCode>General</c:formatCode>
                <c:ptCount val="5"/>
                <c:pt idx="0">
                  <c:v>40909</c:v>
                </c:pt>
                <c:pt idx="1">
                  <c:v>41091</c:v>
                </c:pt>
                <c:pt idx="2">
                  <c:v>41275</c:v>
                </c:pt>
                <c:pt idx="3">
                  <c:v>41640</c:v>
                </c:pt>
                <c:pt idx="4">
                  <c:v>41883</c:v>
                </c:pt>
              </c:numCache>
            </c:numRef>
          </c:cat>
          <c:val>
            <c:numRef>
              <c:f>'C:\Users\eelia\AppData\Local\Microsoft\Windows\Temporary Internet Files\Content.Outlook\13YBJ9S3\[Copy of Charts - Price component tracker (2).xlsx]VIC'!$AA$58:$AA$62</c:f>
              <c:numCache>
                <c:formatCode>General</c:formatCode>
                <c:ptCount val="5"/>
                <c:pt idx="0">
                  <c:v>539.5266415000001</c:v>
                </c:pt>
                <c:pt idx="1">
                  <c:v>541.50424025500024</c:v>
                </c:pt>
                <c:pt idx="2">
                  <c:v>587.7923370000002</c:v>
                </c:pt>
                <c:pt idx="3">
                  <c:v>639.56077900000003</c:v>
                </c:pt>
                <c:pt idx="4">
                  <c:v>639.56295053749966</c:v>
                </c:pt>
              </c:numCache>
            </c:numRef>
          </c:val>
        </c:ser>
        <c:ser>
          <c:idx val="3"/>
          <c:order val="1"/>
          <c:tx>
            <c:strRef>
              <c:f>'C:\Users\eelia\AppData\Local\Microsoft\Windows\Temporary Internet Files\Content.Outlook\13YBJ9S3\[Copy of Charts - Price component tracker (2).xlsx]VIC'!$Z$57</c:f>
              <c:strCache>
                <c:ptCount val="1"/>
                <c:pt idx="0">
                  <c:v>Wholesale costs</c:v>
                </c:pt>
              </c:strCache>
            </c:strRef>
          </c:tx>
          <c:spPr>
            <a:solidFill>
              <a:schemeClr val="accent1">
                <a:lumMod val="60000"/>
                <a:lumOff val="40000"/>
              </a:schemeClr>
            </a:solidFill>
          </c:spPr>
          <c:invertIfNegative val="0"/>
          <c:cat>
            <c:numRef>
              <c:f>'C:\Users\eelia\AppData\Local\Microsoft\Windows\Temporary Internet Files\Content.Outlook\13YBJ9S3\[Copy of Charts - Price component tracker (2).xlsx]VIC'!$V$58:$V$62</c:f>
              <c:numCache>
                <c:formatCode>General</c:formatCode>
                <c:ptCount val="5"/>
                <c:pt idx="0">
                  <c:v>40909</c:v>
                </c:pt>
                <c:pt idx="1">
                  <c:v>41091</c:v>
                </c:pt>
                <c:pt idx="2">
                  <c:v>41275</c:v>
                </c:pt>
                <c:pt idx="3">
                  <c:v>41640</c:v>
                </c:pt>
                <c:pt idx="4">
                  <c:v>41883</c:v>
                </c:pt>
              </c:numCache>
            </c:numRef>
          </c:cat>
          <c:val>
            <c:numRef>
              <c:f>'C:\Users\eelia\AppData\Local\Microsoft\Windows\Temporary Internet Files\Content.Outlook\13YBJ9S3\[Copy of Charts - Price component tracker (2).xlsx]VIC'!$Z$58:$Z$62</c:f>
              <c:numCache>
                <c:formatCode>General</c:formatCode>
                <c:ptCount val="5"/>
                <c:pt idx="0">
                  <c:v>364.10297000000008</c:v>
                </c:pt>
                <c:pt idx="1">
                  <c:v>364.10297000000008</c:v>
                </c:pt>
                <c:pt idx="2">
                  <c:v>336.85267802999999</c:v>
                </c:pt>
                <c:pt idx="3">
                  <c:v>314.71237146250013</c:v>
                </c:pt>
                <c:pt idx="4">
                  <c:v>314.71237146250013</c:v>
                </c:pt>
              </c:numCache>
            </c:numRef>
          </c:val>
        </c:ser>
        <c:ser>
          <c:idx val="0"/>
          <c:order val="2"/>
          <c:tx>
            <c:strRef>
              <c:f>'C:\Users\eelia\AppData\Local\Microsoft\Windows\Temporary Internet Files\Content.Outlook\13YBJ9S3\[Copy of Charts - Price component tracker (2).xlsx]VIC'!$X$57</c:f>
              <c:strCache>
                <c:ptCount val="1"/>
                <c:pt idx="0">
                  <c:v>Network &amp; Metering</c:v>
                </c:pt>
              </c:strCache>
            </c:strRef>
          </c:tx>
          <c:spPr>
            <a:solidFill>
              <a:srgbClr val="C00000"/>
            </a:solidFill>
          </c:spPr>
          <c:invertIfNegative val="0"/>
          <c:cat>
            <c:numRef>
              <c:f>'C:\Users\eelia\AppData\Local\Microsoft\Windows\Temporary Internet Files\Content.Outlook\13YBJ9S3\[Copy of Charts - Price component tracker (2).xlsx]VIC'!$V$58:$V$62</c:f>
              <c:numCache>
                <c:formatCode>General</c:formatCode>
                <c:ptCount val="5"/>
                <c:pt idx="0">
                  <c:v>40909</c:v>
                </c:pt>
                <c:pt idx="1">
                  <c:v>41091</c:v>
                </c:pt>
                <c:pt idx="2">
                  <c:v>41275</c:v>
                </c:pt>
                <c:pt idx="3">
                  <c:v>41640</c:v>
                </c:pt>
                <c:pt idx="4">
                  <c:v>41883</c:v>
                </c:pt>
              </c:numCache>
            </c:numRef>
          </c:cat>
          <c:val>
            <c:numRef>
              <c:f>'C:\Users\eelia\AppData\Local\Microsoft\Windows\Temporary Internet Files\Content.Outlook\13YBJ9S3\[Copy of Charts - Price component tracker (2).xlsx]VIC'!$X$58:$X$62</c:f>
              <c:numCache>
                <c:formatCode>General</c:formatCode>
                <c:ptCount val="5"/>
                <c:pt idx="0">
                  <c:v>411.40938850000009</c:v>
                </c:pt>
                <c:pt idx="1">
                  <c:v>411.40938850000009</c:v>
                </c:pt>
                <c:pt idx="2">
                  <c:v>459.14663300000007</c:v>
                </c:pt>
                <c:pt idx="3">
                  <c:v>462.20700350000004</c:v>
                </c:pt>
                <c:pt idx="4">
                  <c:v>462.20700350000004</c:v>
                </c:pt>
              </c:numCache>
            </c:numRef>
          </c:val>
        </c:ser>
        <c:ser>
          <c:idx val="2"/>
          <c:order val="3"/>
          <c:tx>
            <c:strRef>
              <c:f>'C:\Users\eelia\AppData\Local\Microsoft\Windows\Temporary Internet Files\Content.Outlook\13YBJ9S3\[Copy of Charts - Price component tracker (2).xlsx]VIC'!$Y$57</c:f>
              <c:strCache>
                <c:ptCount val="1"/>
                <c:pt idx="0">
                  <c:v>Carbon</c:v>
                </c:pt>
              </c:strCache>
            </c:strRef>
          </c:tx>
          <c:invertIfNegative val="0"/>
          <c:cat>
            <c:numRef>
              <c:f>'C:\Users\eelia\AppData\Local\Microsoft\Windows\Temporary Internet Files\Content.Outlook\13YBJ9S3\[Copy of Charts - Price component tracker (2).xlsx]VIC'!$V$58:$V$62</c:f>
              <c:numCache>
                <c:formatCode>General</c:formatCode>
                <c:ptCount val="5"/>
                <c:pt idx="0">
                  <c:v>40909</c:v>
                </c:pt>
                <c:pt idx="1">
                  <c:v>41091</c:v>
                </c:pt>
                <c:pt idx="2">
                  <c:v>41275</c:v>
                </c:pt>
                <c:pt idx="3">
                  <c:v>41640</c:v>
                </c:pt>
                <c:pt idx="4">
                  <c:v>41883</c:v>
                </c:pt>
              </c:numCache>
            </c:numRef>
          </c:cat>
          <c:val>
            <c:numRef>
              <c:f>'C:\Users\eelia\AppData\Local\Microsoft\Windows\Temporary Internet Files\Content.Outlook\13YBJ9S3\[Copy of Charts - Price component tracker (2).xlsx]VIC'!$Y$58:$Y$62</c:f>
              <c:numCache>
                <c:formatCode>General</c:formatCode>
                <c:ptCount val="5"/>
                <c:pt idx="0">
                  <c:v>0</c:v>
                </c:pt>
                <c:pt idx="1">
                  <c:v>111.968101245</c:v>
                </c:pt>
                <c:pt idx="2">
                  <c:v>116.56435197</c:v>
                </c:pt>
                <c:pt idx="3">
                  <c:v>119.41629603749999</c:v>
                </c:pt>
                <c:pt idx="4">
                  <c:v>0</c:v>
                </c:pt>
              </c:numCache>
            </c:numRef>
          </c:val>
        </c:ser>
        <c:dLbls>
          <c:showLegendKey val="0"/>
          <c:showVal val="0"/>
          <c:showCatName val="0"/>
          <c:showSerName val="0"/>
          <c:showPercent val="0"/>
          <c:showBubbleSize val="0"/>
        </c:dLbls>
        <c:gapWidth val="150"/>
        <c:overlap val="100"/>
        <c:axId val="320827776"/>
        <c:axId val="320829312"/>
      </c:barChart>
      <c:catAx>
        <c:axId val="320827776"/>
        <c:scaling>
          <c:orientation val="minMax"/>
        </c:scaling>
        <c:delete val="0"/>
        <c:axPos val="b"/>
        <c:numFmt formatCode="[$-C09]mmm\-yy;@" sourceLinked="0"/>
        <c:majorTickMark val="out"/>
        <c:minorTickMark val="none"/>
        <c:tickLblPos val="nextTo"/>
        <c:crossAx val="320829312"/>
        <c:crosses val="autoZero"/>
        <c:auto val="0"/>
        <c:lblAlgn val="ctr"/>
        <c:lblOffset val="100"/>
        <c:noMultiLvlLbl val="0"/>
      </c:catAx>
      <c:valAx>
        <c:axId val="320829312"/>
        <c:scaling>
          <c:orientation val="minMax"/>
          <c:max val="1600"/>
        </c:scaling>
        <c:delete val="0"/>
        <c:axPos val="l"/>
        <c:majorGridlines/>
        <c:numFmt formatCode="General" sourceLinked="1"/>
        <c:majorTickMark val="out"/>
        <c:minorTickMark val="none"/>
        <c:tickLblPos val="nextTo"/>
        <c:crossAx val="320827776"/>
        <c:crosses val="autoZero"/>
        <c:crossBetween val="between"/>
      </c:valAx>
    </c:plotArea>
    <c:legend>
      <c:legendPos val="b"/>
      <c:layout>
        <c:manualLayout>
          <c:xMode val="edge"/>
          <c:yMode val="edge"/>
          <c:x val="0.16111305531253037"/>
          <c:y val="0.9451207603983246"/>
          <c:w val="0.68765033537474485"/>
          <c:h val="4.2721188770173273E-2"/>
        </c:manualLayout>
      </c:layout>
      <c:overlay val="0"/>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'Charts 1'!$O$31</c:f>
              <c:strCache>
                <c:ptCount val="1"/>
                <c:pt idx="0">
                  <c:v>Mar-Apr – Jul-Aug</c:v>
                </c:pt>
              </c:strCache>
            </c:strRef>
          </c:tx>
          <c:invertIfNegative val="0"/>
          <c:dLbls>
            <c:dLbl>
              <c:idx val="6"/>
              <c:layout>
                <c:manualLayout>
                  <c:x val="-7.5614366729678641E-3"/>
                  <c:y val="2.7245721808647302E-7"/>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'Charts 1'!$N$32:$N$39</c:f>
              <c:strCache>
                <c:ptCount val="8"/>
                <c:pt idx="0">
                  <c:v>ACT</c:v>
                </c:pt>
                <c:pt idx="1">
                  <c:v>NSW</c:v>
                </c:pt>
                <c:pt idx="2">
                  <c:v>NT</c:v>
                </c:pt>
                <c:pt idx="3">
                  <c:v>QLD</c:v>
                </c:pt>
                <c:pt idx="4">
                  <c:v>SA</c:v>
                </c:pt>
                <c:pt idx="5">
                  <c:v>TAS</c:v>
                </c:pt>
                <c:pt idx="6">
                  <c:v>VIC</c:v>
                </c:pt>
                <c:pt idx="7">
                  <c:v>WA</c:v>
                </c:pt>
              </c:strCache>
            </c:strRef>
          </c:cat>
          <c:val>
            <c:numRef>
              <c:f>'Charts 1'!$O$32:$O$39</c:f>
              <c:numCache>
                <c:formatCode>0.0%</c:formatCode>
                <c:ptCount val="8"/>
                <c:pt idx="0">
                  <c:v>0.10990966089450709</c:v>
                </c:pt>
                <c:pt idx="1">
                  <c:v>0.21780356771204612</c:v>
                </c:pt>
                <c:pt idx="2">
                  <c:v>3.1616922379132051E-2</c:v>
                </c:pt>
                <c:pt idx="3">
                  <c:v>7.7661439541059238E-2</c:v>
                </c:pt>
                <c:pt idx="4">
                  <c:v>0.12201922873375322</c:v>
                </c:pt>
                <c:pt idx="5">
                  <c:v>-1.247627727620626E-2</c:v>
                </c:pt>
                <c:pt idx="6">
                  <c:v>-6.9559227909194547E-3</c:v>
                </c:pt>
                <c:pt idx="7">
                  <c:v>3.3737283464338651E-2</c:v>
                </c:pt>
              </c:numCache>
            </c:numRef>
          </c:val>
        </c:ser>
        <c:ser>
          <c:idx val="1"/>
          <c:order val="1"/>
          <c:tx>
            <c:strRef>
              <c:f>'Charts 1'!$P$31</c:f>
              <c:strCache>
                <c:ptCount val="1"/>
                <c:pt idx="0">
                  <c:v>Jul-Aug – Oct</c:v>
                </c:pt>
              </c:strCache>
            </c:strRef>
          </c:tx>
          <c:invertIfNegative val="0"/>
          <c:dLbls>
            <c:dLbl>
              <c:idx val="5"/>
              <c:layout>
                <c:manualLayout>
                  <c:x val="1.890359168241966E-3"/>
                  <c:y val="-2.0760967560971157E-2"/>
                </c:manualLayout>
              </c:layout>
              <c:showLegendKey val="0"/>
              <c:showVal val="1"/>
              <c:showCatName val="0"/>
              <c:showSerName val="0"/>
              <c:showPercent val="0"/>
              <c:showBubbleSize val="0"/>
            </c:dLbl>
            <c:dLbl>
              <c:idx val="7"/>
              <c:layout>
                <c:manualLayout>
                  <c:x val="3.780718336483932E-3"/>
                  <c:y val="1.0380892466312708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'Charts 1'!$N$32:$N$39</c:f>
              <c:strCache>
                <c:ptCount val="8"/>
                <c:pt idx="0">
                  <c:v>ACT</c:v>
                </c:pt>
                <c:pt idx="1">
                  <c:v>NSW</c:v>
                </c:pt>
                <c:pt idx="2">
                  <c:v>NT</c:v>
                </c:pt>
                <c:pt idx="3">
                  <c:v>QLD</c:v>
                </c:pt>
                <c:pt idx="4">
                  <c:v>SA</c:v>
                </c:pt>
                <c:pt idx="5">
                  <c:v>TAS</c:v>
                </c:pt>
                <c:pt idx="6">
                  <c:v>VIC</c:v>
                </c:pt>
                <c:pt idx="7">
                  <c:v>WA</c:v>
                </c:pt>
              </c:strCache>
            </c:strRef>
          </c:cat>
          <c:val>
            <c:numRef>
              <c:f>'Charts 1'!$P$32:$P$39</c:f>
              <c:numCache>
                <c:formatCode>0.0%</c:formatCode>
                <c:ptCount val="8"/>
                <c:pt idx="0">
                  <c:v>-5.7308644994104485E-2</c:v>
                </c:pt>
                <c:pt idx="1">
                  <c:v>-5.8287738722328668E-2</c:v>
                </c:pt>
                <c:pt idx="2">
                  <c:v>-6.4793744548111487E-2</c:v>
                </c:pt>
                <c:pt idx="3">
                  <c:v>-4.9406055008880012E-2</c:v>
                </c:pt>
                <c:pt idx="4">
                  <c:v>-4.8418034881366749E-2</c:v>
                </c:pt>
                <c:pt idx="5">
                  <c:v>-2.3185453169486892E-2</c:v>
                </c:pt>
                <c:pt idx="6">
                  <c:v>-5.6850664517495632E-2</c:v>
                </c:pt>
                <c:pt idx="7">
                  <c:v>-2.3197899287356355E-2</c:v>
                </c:pt>
              </c:numCache>
            </c:numRef>
          </c:val>
        </c:ser>
        <c:ser>
          <c:idx val="2"/>
          <c:order val="2"/>
          <c:tx>
            <c:strRef>
              <c:f>'Charts 1'!$Q$31</c:f>
              <c:strCache>
                <c:ptCount val="1"/>
                <c:pt idx="0">
                  <c:v>Oct – Jan-Feb</c:v>
                </c:pt>
              </c:strCache>
            </c:strRef>
          </c:tx>
          <c:invertIfNegative val="0"/>
          <c:dLbls>
            <c:dLbl>
              <c:idx val="1"/>
              <c:layout>
                <c:manualLayout>
                  <c:x val="5.6709286575472966E-3"/>
                  <c:y val="7.5679079181789177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'Charts 1'!$N$32:$N$39</c:f>
              <c:strCache>
                <c:ptCount val="8"/>
                <c:pt idx="0">
                  <c:v>ACT</c:v>
                </c:pt>
                <c:pt idx="1">
                  <c:v>NSW</c:v>
                </c:pt>
                <c:pt idx="2">
                  <c:v>NT</c:v>
                </c:pt>
                <c:pt idx="3">
                  <c:v>QLD</c:v>
                </c:pt>
                <c:pt idx="4">
                  <c:v>SA</c:v>
                </c:pt>
                <c:pt idx="5">
                  <c:v>TAS</c:v>
                </c:pt>
                <c:pt idx="6">
                  <c:v>VIC</c:v>
                </c:pt>
                <c:pt idx="7">
                  <c:v>WA</c:v>
                </c:pt>
              </c:strCache>
            </c:strRef>
          </c:cat>
          <c:val>
            <c:numRef>
              <c:f>'Charts 1'!$Q$32:$Q$39</c:f>
              <c:numCache>
                <c:formatCode>0.0%</c:formatCode>
                <c:ptCount val="8"/>
                <c:pt idx="0">
                  <c:v>0</c:v>
                </c:pt>
                <c:pt idx="1">
                  <c:v>-2.0018333740570552E-4</c:v>
                </c:pt>
                <c:pt idx="2">
                  <c:v>0</c:v>
                </c:pt>
                <c:pt idx="3">
                  <c:v>0</c:v>
                </c:pt>
                <c:pt idx="4">
                  <c:v>4.5167374537915528E-3</c:v>
                </c:pt>
                <c:pt idx="5">
                  <c:v>7.7473121310593029E-2</c:v>
                </c:pt>
                <c:pt idx="6">
                  <c:v>4.8479382763253476E-2</c:v>
                </c:pt>
                <c:pt idx="7">
                  <c:v>0</c:v>
                </c:pt>
              </c:numCache>
            </c:numRef>
          </c:val>
        </c:ser>
        <c:dLbls>
          <c:showLegendKey val="0"/>
          <c:showVal val="0"/>
          <c:showCatName val="0"/>
          <c:showSerName val="0"/>
          <c:showPercent val="0"/>
          <c:showBubbleSize val="0"/>
        </c:dLbls>
        <c:gapWidth val="150"/>
        <c:shape val="box"/>
        <c:axId val="325855104"/>
        <c:axId val="325856640"/>
        <c:axId val="0"/>
      </c:bar3DChart>
      <c:catAx>
        <c:axId val="325855104"/>
        <c:scaling>
          <c:orientation val="minMax"/>
        </c:scaling>
        <c:delete val="0"/>
        <c:axPos val="b"/>
        <c:majorTickMark val="out"/>
        <c:minorTickMark val="none"/>
        <c:tickLblPos val="high"/>
        <c:crossAx val="325856640"/>
        <c:crosses val="autoZero"/>
        <c:auto val="1"/>
        <c:lblAlgn val="ctr"/>
        <c:lblOffset val="100"/>
        <c:noMultiLvlLbl val="0"/>
      </c:catAx>
      <c:valAx>
        <c:axId val="325856640"/>
        <c:scaling>
          <c:orientation val="minMax"/>
        </c:scaling>
        <c:delete val="0"/>
        <c:axPos val="l"/>
        <c:majorGridlines/>
        <c:numFmt formatCode="0.0%" sourceLinked="1"/>
        <c:majorTickMark val="out"/>
        <c:minorTickMark val="none"/>
        <c:tickLblPos val="nextTo"/>
        <c:crossAx val="325855104"/>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'Charts 1'!$T$31</c:f>
              <c:strCache>
                <c:ptCount val="1"/>
                <c:pt idx="0">
                  <c:v>Mar-Jan/Feb</c:v>
                </c:pt>
              </c:strCache>
            </c:strRef>
          </c:tx>
          <c:invertIfNegative val="0"/>
          <c:dLbls>
            <c:dLbl>
              <c:idx val="0"/>
              <c:layout>
                <c:manualLayout>
                  <c:x val="1.1331444759206799E-2"/>
                  <c:y val="-1.3888888888888888E-2"/>
                </c:manualLayout>
              </c:layout>
              <c:showLegendKey val="0"/>
              <c:showVal val="1"/>
              <c:showCatName val="0"/>
              <c:showSerName val="0"/>
              <c:showPercent val="0"/>
              <c:showBubbleSize val="0"/>
            </c:dLbl>
            <c:dLbl>
              <c:idx val="1"/>
              <c:layout>
                <c:manualLayout>
                  <c:x val="1.1331444759206834E-2"/>
                  <c:y val="-1.0754957713619132E-2"/>
                </c:manualLayout>
              </c:layout>
              <c:showLegendKey val="0"/>
              <c:showVal val="1"/>
              <c:showCatName val="0"/>
              <c:showSerName val="0"/>
              <c:showPercent val="0"/>
              <c:showBubbleSize val="0"/>
            </c:dLbl>
            <c:dLbl>
              <c:idx val="2"/>
              <c:layout>
                <c:manualLayout>
                  <c:x val="1.8885741265344666E-3"/>
                  <c:y val="3.2410688247302422E-2"/>
                </c:manualLayout>
              </c:layout>
              <c:showLegendKey val="0"/>
              <c:showVal val="1"/>
              <c:showCatName val="0"/>
              <c:showSerName val="0"/>
              <c:showPercent val="0"/>
              <c:showBubbleSize val="0"/>
            </c:dLbl>
            <c:dLbl>
              <c:idx val="3"/>
              <c:layout>
                <c:manualLayout>
                  <c:x val="1.3220018885741265E-2"/>
                  <c:y val="-1.8518518518518517E-2"/>
                </c:manualLayout>
              </c:layout>
              <c:showLegendKey val="0"/>
              <c:showVal val="1"/>
              <c:showCatName val="0"/>
              <c:showSerName val="0"/>
              <c:showPercent val="0"/>
              <c:showBubbleSize val="0"/>
            </c:dLbl>
            <c:dLbl>
              <c:idx val="4"/>
              <c:layout>
                <c:manualLayout>
                  <c:x val="1.1331444759206799E-2"/>
                  <c:y val="0"/>
                </c:manualLayout>
              </c:layout>
              <c:showLegendKey val="0"/>
              <c:showVal val="1"/>
              <c:showCatName val="0"/>
              <c:showSerName val="0"/>
              <c:showPercent val="0"/>
              <c:showBubbleSize val="0"/>
            </c:dLbl>
            <c:dLbl>
              <c:idx val="5"/>
              <c:layout>
                <c:manualLayout>
                  <c:x val="1.69971671388102E-2"/>
                  <c:y val="-3.7037401574803147E-2"/>
                </c:manualLayout>
              </c:layout>
              <c:showLegendKey val="0"/>
              <c:showVal val="1"/>
              <c:showCatName val="0"/>
              <c:showSerName val="0"/>
              <c:showPercent val="0"/>
              <c:showBubbleSize val="0"/>
            </c:dLbl>
            <c:dLbl>
              <c:idx val="6"/>
              <c:layout>
                <c:manualLayout>
                  <c:x val="0"/>
                  <c:y val="2.3149241761446487E-2"/>
                </c:manualLayout>
              </c:layout>
              <c:showLegendKey val="0"/>
              <c:showVal val="1"/>
              <c:showCatName val="0"/>
              <c:showSerName val="0"/>
              <c:showPercent val="0"/>
              <c:showBubbleSize val="0"/>
            </c:dLbl>
            <c:dLbl>
              <c:idx val="7"/>
              <c:layout>
                <c:manualLayout>
                  <c:x val="3.7771482530689331E-3"/>
                  <c:y val="9.2603528725575118E-3"/>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'Charts 1'!$S$32:$S$39</c:f>
              <c:strCache>
                <c:ptCount val="8"/>
                <c:pt idx="0">
                  <c:v>ACT</c:v>
                </c:pt>
                <c:pt idx="1">
                  <c:v>NSW</c:v>
                </c:pt>
                <c:pt idx="2">
                  <c:v>NT</c:v>
                </c:pt>
                <c:pt idx="3">
                  <c:v>QLD</c:v>
                </c:pt>
                <c:pt idx="4">
                  <c:v>SA</c:v>
                </c:pt>
                <c:pt idx="5">
                  <c:v>TAS</c:v>
                </c:pt>
                <c:pt idx="6">
                  <c:v>VIC</c:v>
                </c:pt>
                <c:pt idx="7">
                  <c:v>WA</c:v>
                </c:pt>
              </c:strCache>
            </c:strRef>
          </c:cat>
          <c:val>
            <c:numRef>
              <c:f>'Charts 1'!$T$32:$T$39</c:f>
              <c:numCache>
                <c:formatCode>0.0%</c:formatCode>
                <c:ptCount val="8"/>
                <c:pt idx="0">
                  <c:v>4.6301277091013282E-2</c:v>
                </c:pt>
                <c:pt idx="1">
                  <c:v>0.146636517259843</c:v>
                </c:pt>
                <c:pt idx="2">
                  <c:v>-3.5225400961010456E-2</c:v>
                </c:pt>
                <c:pt idx="3">
                  <c:v>2.4408350838566666E-2</c:v>
                </c:pt>
                <c:pt idx="4">
                  <c:v>7.1719043323116072E-2</c:v>
                </c:pt>
                <c:pt idx="5">
                  <c:v>3.8918447315932747E-2</c:v>
                </c:pt>
                <c:pt idx="6">
                  <c:v>-1.59751111137202E-2</c:v>
                </c:pt>
                <c:pt idx="7">
                  <c:v>-1.0376655683352359E-2</c:v>
                </c:pt>
              </c:numCache>
            </c:numRef>
          </c:val>
        </c:ser>
        <c:dLbls>
          <c:showLegendKey val="0"/>
          <c:showVal val="0"/>
          <c:showCatName val="0"/>
          <c:showSerName val="0"/>
          <c:showPercent val="0"/>
          <c:showBubbleSize val="0"/>
        </c:dLbls>
        <c:gapWidth val="150"/>
        <c:shape val="box"/>
        <c:axId val="331350016"/>
        <c:axId val="331351552"/>
        <c:axId val="0"/>
      </c:bar3DChart>
      <c:catAx>
        <c:axId val="331350016"/>
        <c:scaling>
          <c:orientation val="minMax"/>
        </c:scaling>
        <c:delete val="0"/>
        <c:axPos val="b"/>
        <c:majorTickMark val="out"/>
        <c:minorTickMark val="none"/>
        <c:tickLblPos val="high"/>
        <c:crossAx val="331351552"/>
        <c:crosses val="autoZero"/>
        <c:auto val="1"/>
        <c:lblAlgn val="ctr"/>
        <c:lblOffset val="100"/>
        <c:noMultiLvlLbl val="0"/>
      </c:catAx>
      <c:valAx>
        <c:axId val="331351552"/>
        <c:scaling>
          <c:orientation val="minMax"/>
        </c:scaling>
        <c:delete val="0"/>
        <c:axPos val="l"/>
        <c:majorGridlines/>
        <c:numFmt formatCode="0.0%" sourceLinked="1"/>
        <c:majorTickMark val="out"/>
        <c:minorTickMark val="none"/>
        <c:tickLblPos val="nextTo"/>
        <c:crossAx val="331350016"/>
        <c:crosses val="autoZero"/>
        <c:crossBetween val="between"/>
      </c:valAx>
    </c:plotArea>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'Annual bill R2 data'!$U$19</c:f>
              <c:strCache>
                <c:ptCount val="1"/>
                <c:pt idx="0">
                  <c:v>$ average savings</c:v>
                </c:pt>
              </c:strCache>
            </c:strRef>
          </c:tx>
          <c:invertIfNegative val="0"/>
          <c:dLbls>
            <c:dLbl>
              <c:idx val="0"/>
              <c:layout>
                <c:manualLayout>
                  <c:x val="1.059322033898305E-2"/>
                  <c:y val="4.4345867035028349E-3"/>
                </c:manualLayout>
              </c:layout>
              <c:showLegendKey val="0"/>
              <c:showVal val="1"/>
              <c:showCatName val="0"/>
              <c:showSerName val="0"/>
              <c:showPercent val="0"/>
              <c:showBubbleSize val="0"/>
            </c:dLbl>
            <c:dLbl>
              <c:idx val="1"/>
              <c:layout>
                <c:manualLayout>
                  <c:x val="6.3559322033898309E-3"/>
                  <c:y val="-2.2172933517514176E-2"/>
                </c:manualLayout>
              </c:layout>
              <c:showLegendKey val="0"/>
              <c:showVal val="1"/>
              <c:showCatName val="0"/>
              <c:showSerName val="0"/>
              <c:showPercent val="0"/>
              <c:showBubbleSize val="0"/>
            </c:dLbl>
            <c:dLbl>
              <c:idx val="4"/>
              <c:layout>
                <c:manualLayout>
                  <c:x val="6.3559322033898309E-3"/>
                  <c:y val="-3.9911280331525495E-2"/>
                </c:manualLayout>
              </c:layout>
              <c:showLegendKey val="0"/>
              <c:showVal val="1"/>
              <c:showCatName val="0"/>
              <c:showSerName val="0"/>
              <c:showPercent val="0"/>
              <c:showBubbleSize val="0"/>
            </c:dLbl>
            <c:dLbl>
              <c:idx val="5"/>
              <c:layout>
                <c:manualLayout>
                  <c:x val="-1.6682236754304017E-7"/>
                  <c:y val="-2.6607520221017009E-2"/>
                </c:manualLayout>
              </c:layout>
              <c:showLegendKey val="0"/>
              <c:showVal val="1"/>
              <c:showCatName val="0"/>
              <c:showSerName val="0"/>
              <c:showPercent val="0"/>
              <c:showBubbleSize val="0"/>
            </c:dLbl>
            <c:dLbl>
              <c:idx val="6"/>
              <c:layout>
                <c:manualLayout>
                  <c:x val="1.2711864406779662E-2"/>
                  <c:y val="4.4345867035029156E-3"/>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'Annual bill R2 data'!$V$18:$AB$18</c:f>
              <c:strCache>
                <c:ptCount val="7"/>
                <c:pt idx="0">
                  <c:v>NSW</c:v>
                </c:pt>
                <c:pt idx="1">
                  <c:v>VIC</c:v>
                </c:pt>
                <c:pt idx="2">
                  <c:v>SA</c:v>
                </c:pt>
                <c:pt idx="3">
                  <c:v>QLD</c:v>
                </c:pt>
                <c:pt idx="4">
                  <c:v>ACT</c:v>
                </c:pt>
                <c:pt idx="5">
                  <c:v>TAS</c:v>
                </c:pt>
                <c:pt idx="6">
                  <c:v>WA</c:v>
                </c:pt>
              </c:strCache>
            </c:strRef>
          </c:cat>
          <c:val>
            <c:numRef>
              <c:f>'Annual bill R2 data'!$V$19:$AB$19</c:f>
              <c:numCache>
                <c:formatCode>"$"#,##0.00</c:formatCode>
                <c:ptCount val="7"/>
                <c:pt idx="0">
                  <c:v>35.866666666666667</c:v>
                </c:pt>
                <c:pt idx="1">
                  <c:v>89.336125000000024</c:v>
                </c:pt>
                <c:pt idx="2">
                  <c:v>45.31</c:v>
                </c:pt>
                <c:pt idx="3">
                  <c:v>24.4695</c:v>
                </c:pt>
                <c:pt idx="4">
                  <c:v>76.666666666666657</c:v>
                </c:pt>
                <c:pt idx="5">
                  <c:v>60</c:v>
                </c:pt>
                <c:pt idx="6">
                  <c:v>16.399999999999999</c:v>
                </c:pt>
              </c:numCache>
            </c:numRef>
          </c:val>
        </c:ser>
        <c:dLbls>
          <c:showLegendKey val="0"/>
          <c:showVal val="0"/>
          <c:showCatName val="0"/>
          <c:showSerName val="0"/>
          <c:showPercent val="0"/>
          <c:showBubbleSize val="0"/>
        </c:dLbls>
        <c:gapWidth val="150"/>
        <c:shape val="box"/>
        <c:axId val="332154752"/>
        <c:axId val="332156288"/>
        <c:axId val="0"/>
      </c:bar3DChart>
      <c:catAx>
        <c:axId val="332154752"/>
        <c:scaling>
          <c:orientation val="minMax"/>
        </c:scaling>
        <c:delete val="0"/>
        <c:axPos val="b"/>
        <c:majorTickMark val="out"/>
        <c:minorTickMark val="none"/>
        <c:tickLblPos val="nextTo"/>
        <c:crossAx val="332156288"/>
        <c:crosses val="autoZero"/>
        <c:auto val="1"/>
        <c:lblAlgn val="ctr"/>
        <c:lblOffset val="100"/>
        <c:noMultiLvlLbl val="0"/>
      </c:catAx>
      <c:valAx>
        <c:axId val="332156288"/>
        <c:scaling>
          <c:orientation val="minMax"/>
        </c:scaling>
        <c:delete val="0"/>
        <c:axPos val="l"/>
        <c:majorGridlines/>
        <c:numFmt formatCode="&quot;$&quot;#,##0.00" sourceLinked="1"/>
        <c:majorTickMark val="out"/>
        <c:minorTickMark val="none"/>
        <c:tickLblPos val="nextTo"/>
        <c:crossAx val="332154752"/>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'Charts 1'!$T$31</c:f>
              <c:strCache>
                <c:ptCount val="1"/>
                <c:pt idx="0">
                  <c:v>Mar-Jan/Feb</c:v>
                </c:pt>
              </c:strCache>
            </c:strRef>
          </c:tx>
          <c:invertIfNegative val="0"/>
          <c:dLbls>
            <c:dLbl>
              <c:idx val="0"/>
              <c:layout>
                <c:manualLayout>
                  <c:x val="-1.901204657110169E-4"/>
                  <c:y val="-2.3147054534849894E-2"/>
                </c:manualLayout>
              </c:layout>
              <c:showLegendKey val="0"/>
              <c:showVal val="1"/>
              <c:showCatName val="0"/>
              <c:showSerName val="0"/>
              <c:showPercent val="0"/>
              <c:showBubbleSize val="0"/>
            </c:dLbl>
            <c:dLbl>
              <c:idx val="1"/>
              <c:layout>
                <c:manualLayout>
                  <c:x val="0"/>
                  <c:y val="-2.3145960921551474E-2"/>
                </c:manualLayout>
              </c:layout>
              <c:showLegendKey val="0"/>
              <c:showVal val="1"/>
              <c:showCatName val="0"/>
              <c:showSerName val="0"/>
              <c:showPercent val="0"/>
              <c:showBubbleSize val="0"/>
            </c:dLbl>
            <c:dLbl>
              <c:idx val="2"/>
              <c:layout>
                <c:manualLayout>
                  <c:x val="0"/>
                  <c:y val="3.6453776607013147E-7"/>
                </c:manualLayout>
              </c:layout>
              <c:showLegendKey val="0"/>
              <c:showVal val="1"/>
              <c:showCatName val="0"/>
              <c:showSerName val="0"/>
              <c:showPercent val="0"/>
              <c:showBubbleSize val="0"/>
            </c:dLbl>
            <c:dLbl>
              <c:idx val="3"/>
              <c:layout>
                <c:manualLayout>
                  <c:x val="1.5527794602597752E-2"/>
                  <c:y val="7.4573490813648292E-3"/>
                </c:manualLayout>
              </c:layout>
              <c:showLegendKey val="0"/>
              <c:showVal val="1"/>
              <c:showCatName val="0"/>
              <c:showSerName val="0"/>
              <c:showPercent val="0"/>
              <c:showBubbleSize val="0"/>
            </c:dLbl>
            <c:dLbl>
              <c:idx val="4"/>
              <c:layout>
                <c:manualLayout>
                  <c:x val="1.2630392354801803E-2"/>
                  <c:y val="2.916302128900554E-6"/>
                </c:manualLayout>
              </c:layout>
              <c:showLegendKey val="0"/>
              <c:showVal val="1"/>
              <c:showCatName val="0"/>
              <c:showSerName val="0"/>
              <c:showPercent val="0"/>
              <c:showBubbleSize val="0"/>
            </c:dLbl>
            <c:dLbl>
              <c:idx val="5"/>
              <c:layout>
                <c:manualLayout>
                  <c:x val="0"/>
                  <c:y val="-1.2498177311169437E-2"/>
                </c:manualLayout>
              </c:layout>
              <c:showLegendKey val="0"/>
              <c:showVal val="1"/>
              <c:showCatName val="0"/>
              <c:showSerName val="0"/>
              <c:showPercent val="0"/>
              <c:showBubbleSize val="0"/>
            </c:dLbl>
            <c:dLbl>
              <c:idx val="6"/>
              <c:layout>
                <c:manualLayout>
                  <c:x val="0"/>
                  <c:y val="-2.3146689997083698E-2"/>
                </c:manualLayout>
              </c:layout>
              <c:showLegendKey val="0"/>
              <c:showVal val="1"/>
              <c:showCatName val="0"/>
              <c:showSerName val="0"/>
              <c:showPercent val="0"/>
              <c:showBubbleSize val="0"/>
            </c:dLbl>
            <c:dLbl>
              <c:idx val="7"/>
              <c:layout>
                <c:manualLayout>
                  <c:x val="2.3268726024631538E-3"/>
                  <c:y val="7.290755322251385E-7"/>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'Charts 1'!$S$32:$S$39</c:f>
              <c:strCache>
                <c:ptCount val="8"/>
                <c:pt idx="0">
                  <c:v>ACT</c:v>
                </c:pt>
                <c:pt idx="1">
                  <c:v>NSW</c:v>
                </c:pt>
                <c:pt idx="2">
                  <c:v>NT</c:v>
                </c:pt>
                <c:pt idx="3">
                  <c:v>QLD</c:v>
                </c:pt>
                <c:pt idx="4">
                  <c:v>SA</c:v>
                </c:pt>
                <c:pt idx="5">
                  <c:v>TAS</c:v>
                </c:pt>
                <c:pt idx="6">
                  <c:v>VIC</c:v>
                </c:pt>
                <c:pt idx="7">
                  <c:v>WA</c:v>
                </c:pt>
              </c:strCache>
            </c:strRef>
          </c:cat>
          <c:val>
            <c:numRef>
              <c:f>'Charts 1'!$T$32:$T$39</c:f>
              <c:numCache>
                <c:formatCode>0.0%</c:formatCode>
                <c:ptCount val="8"/>
                <c:pt idx="0">
                  <c:v>-5.9132641778329859E-2</c:v>
                </c:pt>
                <c:pt idx="1">
                  <c:v>-5.9250500909815276E-2</c:v>
                </c:pt>
                <c:pt idx="2">
                  <c:v>-3.6206770850982783E-3</c:v>
                </c:pt>
                <c:pt idx="3">
                  <c:v>1.6952968500868176E-2</c:v>
                </c:pt>
                <c:pt idx="4">
                  <c:v>4.7766086596404385E-3</c:v>
                </c:pt>
                <c:pt idx="5">
                  <c:v>-7.7963550237409307E-2</c:v>
                </c:pt>
                <c:pt idx="6">
                  <c:v>-2.9357812839198832E-2</c:v>
                </c:pt>
                <c:pt idx="7">
                  <c:v>-4.2352736693358262E-2</c:v>
                </c:pt>
              </c:numCache>
            </c:numRef>
          </c:val>
        </c:ser>
        <c:dLbls>
          <c:showLegendKey val="0"/>
          <c:showVal val="0"/>
          <c:showCatName val="0"/>
          <c:showSerName val="0"/>
          <c:showPercent val="0"/>
          <c:showBubbleSize val="0"/>
        </c:dLbls>
        <c:gapWidth val="150"/>
        <c:shape val="box"/>
        <c:axId val="337940480"/>
        <c:axId val="337942016"/>
        <c:axId val="0"/>
      </c:bar3DChart>
      <c:catAx>
        <c:axId val="337940480"/>
        <c:scaling>
          <c:orientation val="minMax"/>
        </c:scaling>
        <c:delete val="0"/>
        <c:axPos val="b"/>
        <c:majorTickMark val="out"/>
        <c:minorTickMark val="none"/>
        <c:tickLblPos val="high"/>
        <c:crossAx val="337942016"/>
        <c:crosses val="autoZero"/>
        <c:auto val="1"/>
        <c:lblAlgn val="ctr"/>
        <c:lblOffset val="100"/>
        <c:noMultiLvlLbl val="0"/>
      </c:catAx>
      <c:valAx>
        <c:axId val="337942016"/>
        <c:scaling>
          <c:orientation val="minMax"/>
        </c:scaling>
        <c:delete val="0"/>
        <c:axPos val="l"/>
        <c:majorGridlines/>
        <c:numFmt formatCode="0.0%" sourceLinked="1"/>
        <c:majorTickMark val="out"/>
        <c:minorTickMark val="none"/>
        <c:tickLblPos val="nextTo"/>
        <c:crossAx val="337940480"/>
        <c:crosses val="autoZero"/>
        <c:crossBetween val="between"/>
      </c:valAx>
    </c:plotArea>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'[1]Annual bill R2 data'!$U$3</c:f>
              <c:strCache>
                <c:ptCount val="1"/>
                <c:pt idx="0">
                  <c:v>Percentage saving</c:v>
                </c:pt>
              </c:strCache>
            </c:strRef>
          </c:tx>
          <c:invertIfNegative val="0"/>
          <c:dLbls>
            <c:dLbl>
              <c:idx val="0"/>
              <c:layout>
                <c:manualLayout>
                  <c:x val="6.3636362117958428E-3"/>
                  <c:y val="-4.0089072799020464E-2"/>
                </c:manualLayout>
              </c:layout>
              <c:showLegendKey val="0"/>
              <c:showVal val="1"/>
              <c:showCatName val="0"/>
              <c:showSerName val="0"/>
              <c:showPercent val="0"/>
              <c:showBubbleSize val="0"/>
            </c:dLbl>
            <c:dLbl>
              <c:idx val="1"/>
              <c:layout>
                <c:manualLayout>
                  <c:x val="1.0584804465078071E-2"/>
                  <c:y val="-1.7817716423998587E-2"/>
                </c:manualLayout>
              </c:layout>
              <c:showLegendKey val="0"/>
              <c:showVal val="1"/>
              <c:showCatName val="0"/>
              <c:showSerName val="0"/>
              <c:showPercent val="0"/>
              <c:showBubbleSize val="0"/>
            </c:dLbl>
            <c:dLbl>
              <c:idx val="2"/>
              <c:layout>
                <c:manualLayout>
                  <c:x val="6.3305451795723109E-3"/>
                  <c:y val="-2.672604853268027E-2"/>
                </c:manualLayout>
              </c:layout>
              <c:showLegendKey val="0"/>
              <c:showVal val="1"/>
              <c:showCatName val="0"/>
              <c:showSerName val="0"/>
              <c:showPercent val="0"/>
              <c:showBubbleSize val="0"/>
            </c:dLbl>
            <c:dLbl>
              <c:idx val="3"/>
              <c:layout>
                <c:manualLayout>
                  <c:x val="1.2661090359144622E-2"/>
                  <c:y val="-1.3363024266340156E-2"/>
                </c:manualLayout>
              </c:layout>
              <c:showLegendKey val="0"/>
              <c:showVal val="1"/>
              <c:showCatName val="0"/>
              <c:showSerName val="0"/>
              <c:showPercent val="0"/>
              <c:showBubbleSize val="0"/>
            </c:dLbl>
            <c:dLbl>
              <c:idx val="4"/>
              <c:layout>
                <c:manualLayout>
                  <c:x val="6.3305451795723109E-3"/>
                  <c:y val="-1.3363024266340156E-2"/>
                </c:manualLayout>
              </c:layout>
              <c:showLegendKey val="0"/>
              <c:showVal val="1"/>
              <c:showCatName val="0"/>
              <c:showSerName val="0"/>
              <c:showPercent val="0"/>
              <c:showBubbleSize val="0"/>
            </c:dLbl>
            <c:dLbl>
              <c:idx val="5"/>
              <c:layout>
                <c:manualLayout>
                  <c:x val="1.4771272085668726E-2"/>
                  <c:y val="-1.7817365688453539E-2"/>
                </c:manualLayout>
              </c:layout>
              <c:showLegendKey val="0"/>
              <c:showVal val="1"/>
              <c:showCatName val="0"/>
              <c:showSerName val="0"/>
              <c:showPercent val="0"/>
              <c:showBubbleSize val="0"/>
            </c:dLbl>
            <c:dLbl>
              <c:idx val="6"/>
              <c:layout>
                <c:manualLayout>
                  <c:x val="1.054243467450613E-2"/>
                  <c:y val="-2.2271707110566925E-2"/>
                </c:manualLayout>
              </c:layout>
              <c:showLegendKey val="0"/>
              <c:showVal val="1"/>
              <c:showCatName val="0"/>
              <c:showSerName val="0"/>
              <c:showPercent val="0"/>
              <c:showBubbleSize val="0"/>
            </c:dLbl>
            <c:dLbl>
              <c:idx val="7"/>
              <c:layout>
                <c:manualLayout>
                  <c:x val="-4.2372881355932203E-3"/>
                  <c:y val="-1.7817365688453459E-2"/>
                </c:manualLayout>
              </c:layout>
              <c:showLegendKey val="0"/>
              <c:showVal val="1"/>
              <c:showCatName val="0"/>
              <c:showSerName val="0"/>
              <c:showPercent val="0"/>
              <c:showBubbleSize val="0"/>
            </c:dLbl>
            <c:numFmt formatCode="0.0%" sourceLinked="0"/>
            <c:showLegendKey val="0"/>
            <c:showVal val="1"/>
            <c:showCatName val="0"/>
            <c:showSerName val="0"/>
            <c:showPercent val="0"/>
            <c:showBubbleSize val="0"/>
            <c:showLeaderLines val="0"/>
          </c:dLbls>
          <c:cat>
            <c:strRef>
              <c:f>'[1]Annual bill R2 data'!$V$2:$AB$2</c:f>
              <c:strCache>
                <c:ptCount val="7"/>
                <c:pt idx="0">
                  <c:v>NSW</c:v>
                </c:pt>
                <c:pt idx="1">
                  <c:v>VIC</c:v>
                </c:pt>
                <c:pt idx="2">
                  <c:v>SA</c:v>
                </c:pt>
                <c:pt idx="3">
                  <c:v>QLD</c:v>
                </c:pt>
                <c:pt idx="4">
                  <c:v>ACT</c:v>
                </c:pt>
                <c:pt idx="5">
                  <c:v>TAS</c:v>
                </c:pt>
                <c:pt idx="6">
                  <c:v>WA</c:v>
                </c:pt>
              </c:strCache>
            </c:strRef>
          </c:cat>
          <c:val>
            <c:numRef>
              <c:f>'[1]Annual bill R2 data'!$V$3:$AB$3</c:f>
              <c:numCache>
                <c:formatCode>General</c:formatCode>
                <c:ptCount val="7"/>
                <c:pt idx="0">
                  <c:v>3.8732355723060337E-2</c:v>
                </c:pt>
                <c:pt idx="1">
                  <c:v>6.0936026785942066E-2</c:v>
                </c:pt>
                <c:pt idx="2">
                  <c:v>3.9891043405346424E-2</c:v>
                </c:pt>
                <c:pt idx="3">
                  <c:v>3.3264911926404045E-2</c:v>
                </c:pt>
                <c:pt idx="4">
                  <c:v>5.0893908658705481E-2</c:v>
                </c:pt>
                <c:pt idx="5">
                  <c:v>4.4807902919197534E-2</c:v>
                </c:pt>
                <c:pt idx="6">
                  <c:v>3.3280512044879085E-2</c:v>
                </c:pt>
              </c:numCache>
            </c:numRef>
          </c:val>
        </c:ser>
        <c:dLbls>
          <c:showLegendKey val="0"/>
          <c:showVal val="0"/>
          <c:showCatName val="0"/>
          <c:showSerName val="0"/>
          <c:showPercent val="0"/>
          <c:showBubbleSize val="0"/>
        </c:dLbls>
        <c:gapWidth val="150"/>
        <c:shape val="box"/>
        <c:axId val="332299648"/>
        <c:axId val="332305536"/>
        <c:axId val="0"/>
      </c:bar3DChart>
      <c:catAx>
        <c:axId val="332299648"/>
        <c:scaling>
          <c:orientation val="minMax"/>
        </c:scaling>
        <c:delete val="0"/>
        <c:axPos val="b"/>
        <c:majorTickMark val="out"/>
        <c:minorTickMark val="none"/>
        <c:tickLblPos val="nextTo"/>
        <c:crossAx val="332305536"/>
        <c:crosses val="autoZero"/>
        <c:auto val="1"/>
        <c:lblAlgn val="ctr"/>
        <c:lblOffset val="100"/>
        <c:noMultiLvlLbl val="0"/>
      </c:catAx>
      <c:valAx>
        <c:axId val="332305536"/>
        <c:scaling>
          <c:orientation val="minMax"/>
        </c:scaling>
        <c:delete val="0"/>
        <c:axPos val="l"/>
        <c:majorGridlines/>
        <c:numFmt formatCode="General" sourceLinked="1"/>
        <c:majorTickMark val="out"/>
        <c:minorTickMark val="none"/>
        <c:tickLblPos val="nextTo"/>
        <c:crossAx val="332299648"/>
        <c:crosses val="autoZero"/>
        <c:crossBetween val="between"/>
      </c:valAx>
    </c:plotArea>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3"/>
          <c:order val="0"/>
          <c:tx>
            <c:strRef>
              <c:f>'Gas (2)'!$E$7</c:f>
              <c:strCache>
                <c:ptCount val="1"/>
                <c:pt idx="0">
                  <c:v>QLD</c:v>
                </c:pt>
              </c:strCache>
            </c:strRef>
          </c:tx>
          <c:marker>
            <c:symbol val="none"/>
          </c:marker>
          <c:cat>
            <c:strRef>
              <c:f>'Gas (2)'!$A$8:$A$15</c:f>
              <c:strCache>
                <c:ptCount val="8"/>
                <c:pt idx="0">
                  <c:v>Jan'12</c:v>
                </c:pt>
                <c:pt idx="1">
                  <c:v>Jul'12</c:v>
                </c:pt>
                <c:pt idx="2">
                  <c:v>Jan'13</c:v>
                </c:pt>
                <c:pt idx="3">
                  <c:v>Jul'13</c:v>
                </c:pt>
                <c:pt idx="4">
                  <c:v>Jan'14</c:v>
                </c:pt>
                <c:pt idx="5">
                  <c:v>Jul'14</c:v>
                </c:pt>
                <c:pt idx="6">
                  <c:v>Oct'14</c:v>
                </c:pt>
                <c:pt idx="7">
                  <c:v>Jan'15</c:v>
                </c:pt>
              </c:strCache>
            </c:strRef>
          </c:cat>
          <c:val>
            <c:numRef>
              <c:f>'Gas (2)'!$E$8:$E$15</c:f>
              <c:numCache>
                <c:formatCode>#,##0</c:formatCode>
                <c:ptCount val="8"/>
                <c:pt idx="0">
                  <c:v>1295.3966849999999</c:v>
                </c:pt>
                <c:pt idx="1">
                  <c:v>1455.0021609999999</c:v>
                </c:pt>
                <c:pt idx="2">
                  <c:v>1455.0021609999999</c:v>
                </c:pt>
                <c:pt idx="3">
                  <c:v>1542.4531979999999</c:v>
                </c:pt>
                <c:pt idx="4">
                  <c:v>1542.4531979999999</c:v>
                </c:pt>
                <c:pt idx="5">
                  <c:v>1658.6771960000001</c:v>
                </c:pt>
                <c:pt idx="6">
                  <c:v>1580.0892960000001</c:v>
                </c:pt>
                <c:pt idx="7">
                  <c:v>1580.0892960000001</c:v>
                </c:pt>
              </c:numCache>
            </c:numRef>
          </c:val>
          <c:smooth val="0"/>
        </c:ser>
        <c:ser>
          <c:idx val="6"/>
          <c:order val="1"/>
          <c:tx>
            <c:strRef>
              <c:f>'Gas (2)'!$H$7</c:f>
              <c:strCache>
                <c:ptCount val="1"/>
                <c:pt idx="0">
                  <c:v>SA</c:v>
                </c:pt>
              </c:strCache>
            </c:strRef>
          </c:tx>
          <c:spPr>
            <a:ln>
              <a:solidFill>
                <a:schemeClr val="accent5"/>
              </a:solidFill>
            </a:ln>
          </c:spPr>
          <c:marker>
            <c:symbol val="none"/>
          </c:marker>
          <c:cat>
            <c:strRef>
              <c:f>'Gas (2)'!$A$8:$A$15</c:f>
              <c:strCache>
                <c:ptCount val="8"/>
                <c:pt idx="0">
                  <c:v>Jan'12</c:v>
                </c:pt>
                <c:pt idx="1">
                  <c:v>Jul'12</c:v>
                </c:pt>
                <c:pt idx="2">
                  <c:v>Jan'13</c:v>
                </c:pt>
                <c:pt idx="3">
                  <c:v>Jul'13</c:v>
                </c:pt>
                <c:pt idx="4">
                  <c:v>Jan'14</c:v>
                </c:pt>
                <c:pt idx="5">
                  <c:v>Jul'14</c:v>
                </c:pt>
                <c:pt idx="6">
                  <c:v>Oct'14</c:v>
                </c:pt>
                <c:pt idx="7">
                  <c:v>Jan'15</c:v>
                </c:pt>
              </c:strCache>
            </c:strRef>
          </c:cat>
          <c:val>
            <c:numRef>
              <c:f>'Gas (2)'!$H$8:$H$15</c:f>
              <c:numCache>
                <c:formatCode>#,##0</c:formatCode>
                <c:ptCount val="8"/>
                <c:pt idx="0">
                  <c:v>1055.1686067999999</c:v>
                </c:pt>
                <c:pt idx="1">
                  <c:v>1238.1384399999999</c:v>
                </c:pt>
                <c:pt idx="2">
                  <c:v>1238.1384399999999</c:v>
                </c:pt>
                <c:pt idx="3">
                  <c:v>1348.9079999999999</c:v>
                </c:pt>
                <c:pt idx="4">
                  <c:v>1348.9079999999999</c:v>
                </c:pt>
                <c:pt idx="5">
                  <c:v>1579.17452</c:v>
                </c:pt>
                <c:pt idx="6">
                  <c:v>1497.8009200000001</c:v>
                </c:pt>
                <c:pt idx="7">
                  <c:v>1497.8009200000001</c:v>
                </c:pt>
              </c:numCache>
            </c:numRef>
          </c:val>
          <c:smooth val="0"/>
        </c:ser>
        <c:ser>
          <c:idx val="0"/>
          <c:order val="2"/>
          <c:tx>
            <c:strRef>
              <c:f>'Gas (2)'!$B$7</c:f>
              <c:strCache>
                <c:ptCount val="1"/>
                <c:pt idx="0">
                  <c:v>ACT</c:v>
                </c:pt>
              </c:strCache>
            </c:strRef>
          </c:tx>
          <c:marker>
            <c:symbol val="none"/>
          </c:marker>
          <c:cat>
            <c:strRef>
              <c:f>'Gas (2)'!$A$8:$A$15</c:f>
              <c:strCache>
                <c:ptCount val="8"/>
                <c:pt idx="0">
                  <c:v>Jan'12</c:v>
                </c:pt>
                <c:pt idx="1">
                  <c:v>Jul'12</c:v>
                </c:pt>
                <c:pt idx="2">
                  <c:v>Jan'13</c:v>
                </c:pt>
                <c:pt idx="3">
                  <c:v>Jul'13</c:v>
                </c:pt>
                <c:pt idx="4">
                  <c:v>Jan'14</c:v>
                </c:pt>
                <c:pt idx="5">
                  <c:v>Jul'14</c:v>
                </c:pt>
                <c:pt idx="6">
                  <c:v>Oct'14</c:v>
                </c:pt>
                <c:pt idx="7">
                  <c:v>Jan'15</c:v>
                </c:pt>
              </c:strCache>
            </c:strRef>
          </c:cat>
          <c:val>
            <c:numRef>
              <c:f>'Gas (2)'!$B$8:$B$15</c:f>
              <c:numCache>
                <c:formatCode>#,##0</c:formatCode>
                <c:ptCount val="8"/>
                <c:pt idx="0">
                  <c:v>1111.85932</c:v>
                </c:pt>
                <c:pt idx="1">
                  <c:v>1236.3467599999999</c:v>
                </c:pt>
                <c:pt idx="2">
                  <c:v>1236.3467599999999</c:v>
                </c:pt>
                <c:pt idx="3">
                  <c:v>1289.5665200000001</c:v>
                </c:pt>
                <c:pt idx="4">
                  <c:v>1289.5665200000001</c:v>
                </c:pt>
                <c:pt idx="5">
                  <c:v>1475.6632</c:v>
                </c:pt>
                <c:pt idx="6">
                  <c:v>1392.9431999999999</c:v>
                </c:pt>
                <c:pt idx="7">
                  <c:v>1392.9431999999999</c:v>
                </c:pt>
              </c:numCache>
            </c:numRef>
          </c:val>
          <c:smooth val="0"/>
        </c:ser>
        <c:ser>
          <c:idx val="4"/>
          <c:order val="3"/>
          <c:tx>
            <c:strRef>
              <c:f>'Gas (2)'!$F$7</c:f>
              <c:strCache>
                <c:ptCount val="1"/>
                <c:pt idx="0">
                  <c:v>NSW</c:v>
                </c:pt>
              </c:strCache>
            </c:strRef>
          </c:tx>
          <c:spPr>
            <a:ln>
              <a:solidFill>
                <a:schemeClr val="accent6">
                  <a:lumMod val="75000"/>
                </a:schemeClr>
              </a:solidFill>
            </a:ln>
          </c:spPr>
          <c:marker>
            <c:symbol val="none"/>
          </c:marker>
          <c:cat>
            <c:strRef>
              <c:f>'Gas (2)'!$A$8:$A$15</c:f>
              <c:strCache>
                <c:ptCount val="8"/>
                <c:pt idx="0">
                  <c:v>Jan'12</c:v>
                </c:pt>
                <c:pt idx="1">
                  <c:v>Jul'12</c:v>
                </c:pt>
                <c:pt idx="2">
                  <c:v>Jan'13</c:v>
                </c:pt>
                <c:pt idx="3">
                  <c:v>Jul'13</c:v>
                </c:pt>
                <c:pt idx="4">
                  <c:v>Jan'14</c:v>
                </c:pt>
                <c:pt idx="5">
                  <c:v>Jul'14</c:v>
                </c:pt>
                <c:pt idx="6">
                  <c:v>Oct'14</c:v>
                </c:pt>
                <c:pt idx="7">
                  <c:v>Jan'15</c:v>
                </c:pt>
              </c:strCache>
            </c:strRef>
          </c:cat>
          <c:val>
            <c:numRef>
              <c:f>'Gas (2)'!$F$8:$F$15</c:f>
              <c:numCache>
                <c:formatCode>#,##0</c:formatCode>
                <c:ptCount val="8"/>
                <c:pt idx="0">
                  <c:v>992.64831600000002</c:v>
                </c:pt>
                <c:pt idx="1">
                  <c:v>1146.6231480000001</c:v>
                </c:pt>
                <c:pt idx="2">
                  <c:v>1146.6231480000001</c:v>
                </c:pt>
                <c:pt idx="3">
                  <c:v>1256.1691559999999</c:v>
                </c:pt>
                <c:pt idx="4">
                  <c:v>1256.1691559999999</c:v>
                </c:pt>
                <c:pt idx="5">
                  <c:v>1483.3010940000001</c:v>
                </c:pt>
                <c:pt idx="6">
                  <c:v>1402.0620240000001</c:v>
                </c:pt>
                <c:pt idx="7">
                  <c:v>1402.0620240000001</c:v>
                </c:pt>
              </c:numCache>
            </c:numRef>
          </c:val>
          <c:smooth val="0"/>
        </c:ser>
        <c:ser>
          <c:idx val="2"/>
          <c:order val="4"/>
          <c:tx>
            <c:strRef>
              <c:f>'Gas (2)'!$D$7</c:f>
              <c:strCache>
                <c:ptCount val="1"/>
                <c:pt idx="0">
                  <c:v>TAS</c:v>
                </c:pt>
              </c:strCache>
            </c:strRef>
          </c:tx>
          <c:marker>
            <c:symbol val="none"/>
          </c:marker>
          <c:cat>
            <c:strRef>
              <c:f>'Gas (2)'!$A$8:$A$15</c:f>
              <c:strCache>
                <c:ptCount val="8"/>
                <c:pt idx="0">
                  <c:v>Jan'12</c:v>
                </c:pt>
                <c:pt idx="1">
                  <c:v>Jul'12</c:v>
                </c:pt>
                <c:pt idx="2">
                  <c:v>Jan'13</c:v>
                </c:pt>
                <c:pt idx="3">
                  <c:v>Jul'13</c:v>
                </c:pt>
                <c:pt idx="4">
                  <c:v>Jan'14</c:v>
                </c:pt>
                <c:pt idx="5">
                  <c:v>Jul'14</c:v>
                </c:pt>
                <c:pt idx="6">
                  <c:v>Oct'14</c:v>
                </c:pt>
                <c:pt idx="7">
                  <c:v>Jan'15</c:v>
                </c:pt>
              </c:strCache>
            </c:strRef>
          </c:cat>
          <c:val>
            <c:numRef>
              <c:f>'Gas (2)'!$D$8:$D$15</c:f>
              <c:numCache>
                <c:formatCode>#,##0</c:formatCode>
                <c:ptCount val="8"/>
                <c:pt idx="0">
                  <c:v>1106.0336000000002</c:v>
                </c:pt>
                <c:pt idx="1">
                  <c:v>1162.0336000000002</c:v>
                </c:pt>
                <c:pt idx="2">
                  <c:v>1217.3642</c:v>
                </c:pt>
                <c:pt idx="3">
                  <c:v>1273.8042</c:v>
                </c:pt>
                <c:pt idx="4">
                  <c:v>1273.8042</c:v>
                </c:pt>
                <c:pt idx="5">
                  <c:v>1354.7332000000001</c:v>
                </c:pt>
                <c:pt idx="6">
                  <c:v>1307.5331999999999</c:v>
                </c:pt>
                <c:pt idx="7">
                  <c:v>1417.848</c:v>
                </c:pt>
              </c:numCache>
            </c:numRef>
          </c:val>
          <c:smooth val="0"/>
        </c:ser>
        <c:ser>
          <c:idx val="5"/>
          <c:order val="5"/>
          <c:tx>
            <c:strRef>
              <c:f>'Gas (2)'!$G$7</c:f>
              <c:strCache>
                <c:ptCount val="1"/>
                <c:pt idx="0">
                  <c:v>VIC</c:v>
                </c:pt>
              </c:strCache>
            </c:strRef>
          </c:tx>
          <c:spPr>
            <a:ln>
              <a:solidFill>
                <a:schemeClr val="accent1">
                  <a:lumMod val="60000"/>
                  <a:lumOff val="40000"/>
                </a:schemeClr>
              </a:solidFill>
            </a:ln>
          </c:spPr>
          <c:marker>
            <c:symbol val="none"/>
          </c:marker>
          <c:cat>
            <c:strRef>
              <c:f>'Gas (2)'!$A$8:$A$15</c:f>
              <c:strCache>
                <c:ptCount val="8"/>
                <c:pt idx="0">
                  <c:v>Jan'12</c:v>
                </c:pt>
                <c:pt idx="1">
                  <c:v>Jul'12</c:v>
                </c:pt>
                <c:pt idx="2">
                  <c:v>Jan'13</c:v>
                </c:pt>
                <c:pt idx="3">
                  <c:v>Jul'13</c:v>
                </c:pt>
                <c:pt idx="4">
                  <c:v>Jan'14</c:v>
                </c:pt>
                <c:pt idx="5">
                  <c:v>Jul'14</c:v>
                </c:pt>
                <c:pt idx="6">
                  <c:v>Oct'14</c:v>
                </c:pt>
                <c:pt idx="7">
                  <c:v>Jan'15</c:v>
                </c:pt>
              </c:strCache>
            </c:strRef>
          </c:cat>
          <c:val>
            <c:numRef>
              <c:f>'Gas (2)'!$G$8:$G$15</c:f>
              <c:numCache>
                <c:formatCode>#,##0</c:formatCode>
                <c:ptCount val="8"/>
                <c:pt idx="0">
                  <c:v>846.59890861333338</c:v>
                </c:pt>
                <c:pt idx="1">
                  <c:v>936.47609706666663</c:v>
                </c:pt>
                <c:pt idx="2">
                  <c:v>978.78806226666677</c:v>
                </c:pt>
                <c:pt idx="3">
                  <c:v>978.78806226666677</c:v>
                </c:pt>
                <c:pt idx="4">
                  <c:v>1024.0518999999999</c:v>
                </c:pt>
                <c:pt idx="5">
                  <c:v>1024.0518999999999</c:v>
                </c:pt>
                <c:pt idx="6">
                  <c:v>954.63394816000005</c:v>
                </c:pt>
                <c:pt idx="7">
                  <c:v>1027.1994518400002</c:v>
                </c:pt>
              </c:numCache>
            </c:numRef>
          </c:val>
          <c:smooth val="0"/>
        </c:ser>
        <c:dLbls>
          <c:showLegendKey val="0"/>
          <c:showVal val="0"/>
          <c:showCatName val="0"/>
          <c:showSerName val="0"/>
          <c:showPercent val="0"/>
          <c:showBubbleSize val="0"/>
        </c:dLbls>
        <c:marker val="1"/>
        <c:smooth val="0"/>
        <c:axId val="332398976"/>
        <c:axId val="332400512"/>
      </c:lineChart>
      <c:catAx>
        <c:axId val="332398976"/>
        <c:scaling>
          <c:orientation val="minMax"/>
        </c:scaling>
        <c:delete val="0"/>
        <c:axPos val="b"/>
        <c:majorTickMark val="out"/>
        <c:minorTickMark val="none"/>
        <c:tickLblPos val="nextTo"/>
        <c:crossAx val="332400512"/>
        <c:crosses val="autoZero"/>
        <c:auto val="1"/>
        <c:lblAlgn val="ctr"/>
        <c:lblOffset val="100"/>
        <c:noMultiLvlLbl val="0"/>
      </c:catAx>
      <c:valAx>
        <c:axId val="332400512"/>
        <c:scaling>
          <c:orientation val="minMax"/>
          <c:min val="0"/>
        </c:scaling>
        <c:delete val="0"/>
        <c:axPos val="l"/>
        <c:majorGridlines/>
        <c:numFmt formatCode="#,##0" sourceLinked="1"/>
        <c:majorTickMark val="out"/>
        <c:minorTickMark val="none"/>
        <c:tickLblPos val="nextTo"/>
        <c:crossAx val="332398976"/>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3"/>
          <c:order val="0"/>
          <c:tx>
            <c:strRef>
              <c:f>'Gas (2)'!$E$18</c:f>
              <c:strCache>
                <c:ptCount val="1"/>
                <c:pt idx="0">
                  <c:v>QLD</c:v>
                </c:pt>
              </c:strCache>
            </c:strRef>
          </c:tx>
          <c:invertIfNegative val="0"/>
          <c:cat>
            <c:strRef>
              <c:f>'Gas (2)'!$A$19:$A$25</c:f>
              <c:strCache>
                <c:ptCount val="7"/>
                <c:pt idx="0">
                  <c:v>Jul'12</c:v>
                </c:pt>
                <c:pt idx="1">
                  <c:v>Jan'13</c:v>
                </c:pt>
                <c:pt idx="2">
                  <c:v>Jul'13</c:v>
                </c:pt>
                <c:pt idx="3">
                  <c:v>Jan'14</c:v>
                </c:pt>
                <c:pt idx="4">
                  <c:v>Jul'14</c:v>
                </c:pt>
                <c:pt idx="5">
                  <c:v>Oct'14</c:v>
                </c:pt>
                <c:pt idx="6">
                  <c:v>Jan'15</c:v>
                </c:pt>
              </c:strCache>
            </c:strRef>
          </c:cat>
          <c:val>
            <c:numRef>
              <c:f>'Gas (2)'!$E$19:$E$25</c:f>
              <c:numCache>
                <c:formatCode>0.0</c:formatCode>
                <c:ptCount val="7"/>
                <c:pt idx="0">
                  <c:v>12.320973015304572</c:v>
                </c:pt>
                <c:pt idx="1">
                  <c:v>0</c:v>
                </c:pt>
                <c:pt idx="2">
                  <c:v>6.0103716230837989</c:v>
                </c:pt>
                <c:pt idx="3">
                  <c:v>0</c:v>
                </c:pt>
                <c:pt idx="4">
                  <c:v>7.5350096943427758</c:v>
                </c:pt>
                <c:pt idx="5">
                  <c:v>-4.7379864020268343</c:v>
                </c:pt>
                <c:pt idx="6">
                  <c:v>0</c:v>
                </c:pt>
              </c:numCache>
            </c:numRef>
          </c:val>
        </c:ser>
        <c:ser>
          <c:idx val="6"/>
          <c:order val="1"/>
          <c:tx>
            <c:strRef>
              <c:f>'Gas (2)'!$H$18</c:f>
              <c:strCache>
                <c:ptCount val="1"/>
                <c:pt idx="0">
                  <c:v>SA</c:v>
                </c:pt>
              </c:strCache>
            </c:strRef>
          </c:tx>
          <c:spPr>
            <a:solidFill>
              <a:schemeClr val="accent5"/>
            </a:solidFill>
          </c:spPr>
          <c:invertIfNegative val="0"/>
          <c:cat>
            <c:strRef>
              <c:f>'Gas (2)'!$A$19:$A$25</c:f>
              <c:strCache>
                <c:ptCount val="7"/>
                <c:pt idx="0">
                  <c:v>Jul'12</c:v>
                </c:pt>
                <c:pt idx="1">
                  <c:v>Jan'13</c:v>
                </c:pt>
                <c:pt idx="2">
                  <c:v>Jul'13</c:v>
                </c:pt>
                <c:pt idx="3">
                  <c:v>Jan'14</c:v>
                </c:pt>
                <c:pt idx="4">
                  <c:v>Jul'14</c:v>
                </c:pt>
                <c:pt idx="5">
                  <c:v>Oct'14</c:v>
                </c:pt>
                <c:pt idx="6">
                  <c:v>Jan'15</c:v>
                </c:pt>
              </c:strCache>
            </c:strRef>
          </c:cat>
          <c:val>
            <c:numRef>
              <c:f>'Gas (2)'!$H$19:$H$25</c:f>
              <c:numCache>
                <c:formatCode>0.0</c:formatCode>
                <c:ptCount val="7"/>
                <c:pt idx="0">
                  <c:v>17.340340872620438</c:v>
                </c:pt>
                <c:pt idx="1">
                  <c:v>0</c:v>
                </c:pt>
                <c:pt idx="2">
                  <c:v>8.9464599774480771</c:v>
                </c:pt>
                <c:pt idx="3">
                  <c:v>0</c:v>
                </c:pt>
                <c:pt idx="4">
                  <c:v>17.070587467788769</c:v>
                </c:pt>
                <c:pt idx="5">
                  <c:v>-5.1529200205180548</c:v>
                </c:pt>
                <c:pt idx="6">
                  <c:v>0</c:v>
                </c:pt>
              </c:numCache>
            </c:numRef>
          </c:val>
        </c:ser>
        <c:ser>
          <c:idx val="0"/>
          <c:order val="2"/>
          <c:tx>
            <c:strRef>
              <c:f>'Gas (2)'!$B$18</c:f>
              <c:strCache>
                <c:ptCount val="1"/>
                <c:pt idx="0">
                  <c:v>ACT</c:v>
                </c:pt>
              </c:strCache>
            </c:strRef>
          </c:tx>
          <c:invertIfNegative val="0"/>
          <c:cat>
            <c:strRef>
              <c:f>'Gas (2)'!$A$19:$A$25</c:f>
              <c:strCache>
                <c:ptCount val="7"/>
                <c:pt idx="0">
                  <c:v>Jul'12</c:v>
                </c:pt>
                <c:pt idx="1">
                  <c:v>Jan'13</c:v>
                </c:pt>
                <c:pt idx="2">
                  <c:v>Jul'13</c:v>
                </c:pt>
                <c:pt idx="3">
                  <c:v>Jan'14</c:v>
                </c:pt>
                <c:pt idx="4">
                  <c:v>Jul'14</c:v>
                </c:pt>
                <c:pt idx="5">
                  <c:v>Oct'14</c:v>
                </c:pt>
                <c:pt idx="6">
                  <c:v>Jan'15</c:v>
                </c:pt>
              </c:strCache>
            </c:strRef>
          </c:cat>
          <c:val>
            <c:numRef>
              <c:f>'Gas (2)'!$B$19:$B$25</c:f>
              <c:numCache>
                <c:formatCode>0.0</c:formatCode>
                <c:ptCount val="7"/>
                <c:pt idx="0">
                  <c:v>11.196330125649338</c:v>
                </c:pt>
                <c:pt idx="1">
                  <c:v>0</c:v>
                </c:pt>
                <c:pt idx="2">
                  <c:v>4.3045981695297346</c:v>
                </c:pt>
                <c:pt idx="3">
                  <c:v>0</c:v>
                </c:pt>
                <c:pt idx="4">
                  <c:v>14.430948470963706</c:v>
                </c:pt>
                <c:pt idx="5">
                  <c:v>-5.6056151566292378</c:v>
                </c:pt>
                <c:pt idx="6">
                  <c:v>0</c:v>
                </c:pt>
              </c:numCache>
            </c:numRef>
          </c:val>
        </c:ser>
        <c:ser>
          <c:idx val="4"/>
          <c:order val="3"/>
          <c:tx>
            <c:strRef>
              <c:f>'Gas (2)'!$F$18</c:f>
              <c:strCache>
                <c:ptCount val="1"/>
                <c:pt idx="0">
                  <c:v>NSW</c:v>
                </c:pt>
              </c:strCache>
            </c:strRef>
          </c:tx>
          <c:spPr>
            <a:solidFill>
              <a:schemeClr val="accent6">
                <a:lumMod val="75000"/>
              </a:schemeClr>
            </a:solidFill>
          </c:spPr>
          <c:invertIfNegative val="0"/>
          <c:cat>
            <c:strRef>
              <c:f>'Gas (2)'!$A$19:$A$25</c:f>
              <c:strCache>
                <c:ptCount val="7"/>
                <c:pt idx="0">
                  <c:v>Jul'12</c:v>
                </c:pt>
                <c:pt idx="1">
                  <c:v>Jan'13</c:v>
                </c:pt>
                <c:pt idx="2">
                  <c:v>Jul'13</c:v>
                </c:pt>
                <c:pt idx="3">
                  <c:v>Jan'14</c:v>
                </c:pt>
                <c:pt idx="4">
                  <c:v>Jul'14</c:v>
                </c:pt>
                <c:pt idx="5">
                  <c:v>Oct'14</c:v>
                </c:pt>
                <c:pt idx="6">
                  <c:v>Jan'15</c:v>
                </c:pt>
              </c:strCache>
            </c:strRef>
          </c:cat>
          <c:val>
            <c:numRef>
              <c:f>'Gas (2)'!$F$19:$F$25</c:f>
              <c:numCache>
                <c:formatCode>0.0</c:formatCode>
                <c:ptCount val="7"/>
                <c:pt idx="0">
                  <c:v>15.511518985944676</c:v>
                </c:pt>
                <c:pt idx="1">
                  <c:v>0</c:v>
                </c:pt>
                <c:pt idx="2">
                  <c:v>9.5537935189147056</c:v>
                </c:pt>
                <c:pt idx="3">
                  <c:v>0</c:v>
                </c:pt>
                <c:pt idx="4">
                  <c:v>18.081317863531449</c:v>
                </c:pt>
                <c:pt idx="5">
                  <c:v>-5.4769102732152426</c:v>
                </c:pt>
                <c:pt idx="6">
                  <c:v>0</c:v>
                </c:pt>
              </c:numCache>
            </c:numRef>
          </c:val>
        </c:ser>
        <c:ser>
          <c:idx val="2"/>
          <c:order val="4"/>
          <c:tx>
            <c:strRef>
              <c:f>'Gas (2)'!$D$18</c:f>
              <c:strCache>
                <c:ptCount val="1"/>
                <c:pt idx="0">
                  <c:v>TAS</c:v>
                </c:pt>
              </c:strCache>
            </c:strRef>
          </c:tx>
          <c:invertIfNegative val="0"/>
          <c:cat>
            <c:strRef>
              <c:f>'Gas (2)'!$A$19:$A$25</c:f>
              <c:strCache>
                <c:ptCount val="7"/>
                <c:pt idx="0">
                  <c:v>Jul'12</c:v>
                </c:pt>
                <c:pt idx="1">
                  <c:v>Jan'13</c:v>
                </c:pt>
                <c:pt idx="2">
                  <c:v>Jul'13</c:v>
                </c:pt>
                <c:pt idx="3">
                  <c:v>Jan'14</c:v>
                </c:pt>
                <c:pt idx="4">
                  <c:v>Jul'14</c:v>
                </c:pt>
                <c:pt idx="5">
                  <c:v>Oct'14</c:v>
                </c:pt>
                <c:pt idx="6">
                  <c:v>Jan'15</c:v>
                </c:pt>
              </c:strCache>
            </c:strRef>
          </c:cat>
          <c:val>
            <c:numRef>
              <c:f>'Gas (2)'!$D$19:$D$25</c:f>
              <c:numCache>
                <c:formatCode>0.0</c:formatCode>
                <c:ptCount val="7"/>
                <c:pt idx="0">
                  <c:v>5.0631373224104577</c:v>
                </c:pt>
                <c:pt idx="1">
                  <c:v>4.7615318524352279</c:v>
                </c:pt>
                <c:pt idx="2">
                  <c:v>4.636246079850225</c:v>
                </c:pt>
                <c:pt idx="3">
                  <c:v>0</c:v>
                </c:pt>
                <c:pt idx="4">
                  <c:v>6.3533312262591126</c:v>
                </c:pt>
                <c:pt idx="5">
                  <c:v>-3.4840808507535113</c:v>
                </c:pt>
                <c:pt idx="6">
                  <c:v>8.4368641652846836</c:v>
                </c:pt>
              </c:numCache>
            </c:numRef>
          </c:val>
        </c:ser>
        <c:ser>
          <c:idx val="5"/>
          <c:order val="5"/>
          <c:tx>
            <c:strRef>
              <c:f>'Gas (2)'!$G$18</c:f>
              <c:strCache>
                <c:ptCount val="1"/>
                <c:pt idx="0">
                  <c:v>VIC</c:v>
                </c:pt>
              </c:strCache>
            </c:strRef>
          </c:tx>
          <c:spPr>
            <a:solidFill>
              <a:schemeClr val="accent1">
                <a:lumMod val="60000"/>
                <a:lumOff val="40000"/>
              </a:schemeClr>
            </a:solidFill>
          </c:spPr>
          <c:invertIfNegative val="0"/>
          <c:cat>
            <c:strRef>
              <c:f>'Gas (2)'!$A$19:$A$25</c:f>
              <c:strCache>
                <c:ptCount val="7"/>
                <c:pt idx="0">
                  <c:v>Jul'12</c:v>
                </c:pt>
                <c:pt idx="1">
                  <c:v>Jan'13</c:v>
                </c:pt>
                <c:pt idx="2">
                  <c:v>Jul'13</c:v>
                </c:pt>
                <c:pt idx="3">
                  <c:v>Jan'14</c:v>
                </c:pt>
                <c:pt idx="4">
                  <c:v>Jul'14</c:v>
                </c:pt>
                <c:pt idx="5">
                  <c:v>Oct'14</c:v>
                </c:pt>
                <c:pt idx="6">
                  <c:v>Jan'15</c:v>
                </c:pt>
              </c:strCache>
            </c:strRef>
          </c:cat>
          <c:val>
            <c:numRef>
              <c:f>'Gas (2)'!$G$19:$G$25</c:f>
              <c:numCache>
                <c:formatCode>0.0</c:formatCode>
                <c:ptCount val="7"/>
                <c:pt idx="0">
                  <c:v>10.616265570262245</c:v>
                </c:pt>
                <c:pt idx="1">
                  <c:v>4.5182109113659532</c:v>
                </c:pt>
                <c:pt idx="2">
                  <c:v>0</c:v>
                </c:pt>
                <c:pt idx="3">
                  <c:v>4.6244779108269523</c:v>
                </c:pt>
                <c:pt idx="4">
                  <c:v>0</c:v>
                </c:pt>
                <c:pt idx="5">
                  <c:v>-6.778753287797219</c:v>
                </c:pt>
                <c:pt idx="6">
                  <c:v>7.6013956784027839</c:v>
                </c:pt>
              </c:numCache>
            </c:numRef>
          </c:val>
        </c:ser>
        <c:dLbls>
          <c:showLegendKey val="0"/>
          <c:showVal val="0"/>
          <c:showCatName val="0"/>
          <c:showSerName val="0"/>
          <c:showPercent val="0"/>
          <c:showBubbleSize val="0"/>
        </c:dLbls>
        <c:gapWidth val="150"/>
        <c:axId val="333154560"/>
        <c:axId val="333156736"/>
      </c:barChart>
      <c:lineChart>
        <c:grouping val="standard"/>
        <c:varyColors val="0"/>
        <c:ser>
          <c:idx val="7"/>
          <c:order val="6"/>
          <c:tx>
            <c:strRef>
              <c:f>'Gas (2)'!$I$18</c:f>
              <c:strCache>
                <c:ptCount val="1"/>
                <c:pt idx="0">
                  <c:v>Average</c:v>
                </c:pt>
              </c:strCache>
            </c:strRef>
          </c:tx>
          <c:spPr>
            <a:ln>
              <a:noFill/>
            </a:ln>
          </c:spPr>
          <c:marker>
            <c:symbol val="dash"/>
            <c:size val="6"/>
            <c:spPr>
              <a:solidFill>
                <a:schemeClr val="tx1"/>
              </a:solidFill>
              <a:ln>
                <a:solidFill>
                  <a:schemeClr val="tx1"/>
                </a:solidFill>
              </a:ln>
            </c:spPr>
          </c:marker>
          <c:cat>
            <c:strRef>
              <c:f>'Gas (2)'!$A$19:$A$25</c:f>
              <c:strCache>
                <c:ptCount val="7"/>
                <c:pt idx="0">
                  <c:v>Jul'12</c:v>
                </c:pt>
                <c:pt idx="1">
                  <c:v>Jan'13</c:v>
                </c:pt>
                <c:pt idx="2">
                  <c:v>Jul'13</c:v>
                </c:pt>
                <c:pt idx="3">
                  <c:v>Jan'14</c:v>
                </c:pt>
                <c:pt idx="4">
                  <c:v>Jul'14</c:v>
                </c:pt>
                <c:pt idx="5">
                  <c:v>Oct'14</c:v>
                </c:pt>
                <c:pt idx="6">
                  <c:v>Jan'15</c:v>
                </c:pt>
              </c:strCache>
            </c:strRef>
          </c:cat>
          <c:val>
            <c:numRef>
              <c:f>'Gas (2)'!$I$19:$I$25</c:f>
              <c:numCache>
                <c:formatCode>0.0</c:formatCode>
                <c:ptCount val="7"/>
                <c:pt idx="0">
                  <c:v>12.008094315365286</c:v>
                </c:pt>
                <c:pt idx="1">
                  <c:v>1.5466237939668634</c:v>
                </c:pt>
                <c:pt idx="2">
                  <c:v>5.5752448948044231</c:v>
                </c:pt>
                <c:pt idx="3">
                  <c:v>0.77074631847115871</c:v>
                </c:pt>
                <c:pt idx="4">
                  <c:v>10.578532453814303</c:v>
                </c:pt>
                <c:pt idx="5">
                  <c:v>-5.2060443318233505</c:v>
                </c:pt>
                <c:pt idx="6">
                  <c:v>2.6730433072812443</c:v>
                </c:pt>
              </c:numCache>
            </c:numRef>
          </c:val>
          <c:smooth val="0"/>
        </c:ser>
        <c:dLbls>
          <c:showLegendKey val="0"/>
          <c:showVal val="0"/>
          <c:showCatName val="0"/>
          <c:showSerName val="0"/>
          <c:showPercent val="0"/>
          <c:showBubbleSize val="0"/>
        </c:dLbls>
        <c:marker val="1"/>
        <c:smooth val="0"/>
        <c:axId val="333154560"/>
        <c:axId val="333156736"/>
      </c:lineChart>
      <c:catAx>
        <c:axId val="333154560"/>
        <c:scaling>
          <c:orientation val="minMax"/>
        </c:scaling>
        <c:delete val="0"/>
        <c:axPos val="b"/>
        <c:majorTickMark val="out"/>
        <c:minorTickMark val="none"/>
        <c:tickLblPos val="nextTo"/>
        <c:crossAx val="333156736"/>
        <c:crosses val="autoZero"/>
        <c:auto val="1"/>
        <c:lblAlgn val="ctr"/>
        <c:lblOffset val="100"/>
        <c:noMultiLvlLbl val="0"/>
      </c:catAx>
      <c:valAx>
        <c:axId val="333156736"/>
        <c:scaling>
          <c:orientation val="minMax"/>
        </c:scaling>
        <c:delete val="0"/>
        <c:axPos val="l"/>
        <c:majorGridlines/>
        <c:numFmt formatCode="0.0" sourceLinked="1"/>
        <c:majorTickMark val="out"/>
        <c:minorTickMark val="none"/>
        <c:tickLblPos val="nextTo"/>
        <c:crossAx val="333154560"/>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'charts (2)'!$I$5:$I$6</c:f>
              <c:strCache>
                <c:ptCount val="1"/>
                <c:pt idx="0">
                  <c:v>NSW-20GJ Standing</c:v>
                </c:pt>
              </c:strCache>
            </c:strRef>
          </c:tx>
          <c:invertIfNegative val="0"/>
          <c:cat>
            <c:strRef>
              <c:f>'charts (2)'!$H$7:$H$14</c:f>
              <c:strCache>
                <c:ptCount val="8"/>
                <c:pt idx="0">
                  <c:v>Jan'12</c:v>
                </c:pt>
                <c:pt idx="1">
                  <c:v>Jul'12</c:v>
                </c:pt>
                <c:pt idx="2">
                  <c:v>Jan'13</c:v>
                </c:pt>
                <c:pt idx="3">
                  <c:v>Jul'13</c:v>
                </c:pt>
                <c:pt idx="4">
                  <c:v>Jan'14</c:v>
                </c:pt>
                <c:pt idx="5">
                  <c:v>Jul'14</c:v>
                </c:pt>
                <c:pt idx="6">
                  <c:v>Oct'14</c:v>
                </c:pt>
                <c:pt idx="7">
                  <c:v>Jan'15</c:v>
                </c:pt>
              </c:strCache>
            </c:strRef>
          </c:cat>
          <c:val>
            <c:numRef>
              <c:f>'charts (2)'!$I$7:$I$14</c:f>
              <c:numCache>
                <c:formatCode>#,##0</c:formatCode>
                <c:ptCount val="8"/>
                <c:pt idx="0">
                  <c:v>664.41982200000007</c:v>
                </c:pt>
                <c:pt idx="1">
                  <c:v>761.63432399999999</c:v>
                </c:pt>
                <c:pt idx="2">
                  <c:v>761.63432399999999</c:v>
                </c:pt>
                <c:pt idx="3">
                  <c:v>834.66404999999986</c:v>
                </c:pt>
                <c:pt idx="4">
                  <c:v>834.66404999999986</c:v>
                </c:pt>
                <c:pt idx="5">
                  <c:v>976.5400259999999</c:v>
                </c:pt>
                <c:pt idx="6">
                  <c:v>936.00909599999989</c:v>
                </c:pt>
                <c:pt idx="7">
                  <c:v>936.00909599999989</c:v>
                </c:pt>
              </c:numCache>
            </c:numRef>
          </c:val>
        </c:ser>
        <c:ser>
          <c:idx val="1"/>
          <c:order val="1"/>
          <c:tx>
            <c:strRef>
              <c:f>'charts (2)'!$J$5:$J$6</c:f>
              <c:strCache>
                <c:ptCount val="1"/>
                <c:pt idx="0">
                  <c:v>NSW-20GJ Market</c:v>
                </c:pt>
              </c:strCache>
            </c:strRef>
          </c:tx>
          <c:spPr>
            <a:solidFill>
              <a:schemeClr val="accent3"/>
            </a:solidFill>
          </c:spPr>
          <c:invertIfNegative val="0"/>
          <c:cat>
            <c:strRef>
              <c:f>'charts (2)'!$H$7:$H$14</c:f>
              <c:strCache>
                <c:ptCount val="8"/>
                <c:pt idx="0">
                  <c:v>Jan'12</c:v>
                </c:pt>
                <c:pt idx="1">
                  <c:v>Jul'12</c:v>
                </c:pt>
                <c:pt idx="2">
                  <c:v>Jan'13</c:v>
                </c:pt>
                <c:pt idx="3">
                  <c:v>Jul'13</c:v>
                </c:pt>
                <c:pt idx="4">
                  <c:v>Jan'14</c:v>
                </c:pt>
                <c:pt idx="5">
                  <c:v>Jul'14</c:v>
                </c:pt>
                <c:pt idx="6">
                  <c:v>Oct'14</c:v>
                </c:pt>
                <c:pt idx="7">
                  <c:v>Jan'15</c:v>
                </c:pt>
              </c:strCache>
            </c:strRef>
          </c:cat>
          <c:val>
            <c:numRef>
              <c:f>'charts (2)'!$J$7:$J$14</c:f>
              <c:numCache>
                <c:formatCode>#,##0</c:formatCode>
                <c:ptCount val="8"/>
                <c:pt idx="0">
                  <c:v>634.16483416000017</c:v>
                </c:pt>
                <c:pt idx="1">
                  <c:v>723.39195455999993</c:v>
                </c:pt>
                <c:pt idx="2">
                  <c:v>723.39195455999993</c:v>
                </c:pt>
                <c:pt idx="3">
                  <c:v>796.03208872499999</c:v>
                </c:pt>
                <c:pt idx="4">
                  <c:v>796.03208872499999</c:v>
                </c:pt>
                <c:pt idx="5">
                  <c:v>954.96880952699985</c:v>
                </c:pt>
                <c:pt idx="6">
                  <c:v>956.40920335499982</c:v>
                </c:pt>
                <c:pt idx="7">
                  <c:v>956.40920335499982</c:v>
                </c:pt>
              </c:numCache>
            </c:numRef>
          </c:val>
        </c:ser>
        <c:dLbls>
          <c:showLegendKey val="0"/>
          <c:showVal val="0"/>
          <c:showCatName val="0"/>
          <c:showSerName val="0"/>
          <c:showPercent val="0"/>
          <c:showBubbleSize val="0"/>
        </c:dLbls>
        <c:gapWidth val="150"/>
        <c:shape val="box"/>
        <c:axId val="333247232"/>
        <c:axId val="333248768"/>
        <c:axId val="0"/>
      </c:bar3DChart>
      <c:catAx>
        <c:axId val="333247232"/>
        <c:scaling>
          <c:orientation val="minMax"/>
        </c:scaling>
        <c:delete val="0"/>
        <c:axPos val="b"/>
        <c:majorTickMark val="out"/>
        <c:minorTickMark val="none"/>
        <c:tickLblPos val="nextTo"/>
        <c:crossAx val="333248768"/>
        <c:crosses val="autoZero"/>
        <c:auto val="1"/>
        <c:lblAlgn val="ctr"/>
        <c:lblOffset val="100"/>
        <c:noMultiLvlLbl val="0"/>
      </c:catAx>
      <c:valAx>
        <c:axId val="333248768"/>
        <c:scaling>
          <c:orientation val="minMax"/>
          <c:max val="1500"/>
          <c:min val="0"/>
        </c:scaling>
        <c:delete val="0"/>
        <c:axPos val="l"/>
        <c:majorGridlines/>
        <c:numFmt formatCode="#,##0" sourceLinked="1"/>
        <c:majorTickMark val="out"/>
        <c:minorTickMark val="none"/>
        <c:tickLblPos val="nextTo"/>
        <c:crossAx val="333247232"/>
        <c:crosses val="autoZero"/>
        <c:crossBetween val="between"/>
        <c:majorUnit val="300"/>
      </c:valAx>
    </c:plotArea>
    <c:legend>
      <c:legendPos val="b"/>
      <c:layout/>
      <c:overlay val="0"/>
    </c:legend>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'charts (2)'!$I$46:$I$47</c:f>
              <c:strCache>
                <c:ptCount val="1"/>
                <c:pt idx="0">
                  <c:v>VIC-60GJ Standing</c:v>
                </c:pt>
              </c:strCache>
            </c:strRef>
          </c:tx>
          <c:invertIfNegative val="0"/>
          <c:cat>
            <c:strRef>
              <c:f>'charts (2)'!$H$48:$H$55</c:f>
              <c:strCache>
                <c:ptCount val="8"/>
                <c:pt idx="0">
                  <c:v>Jan'12</c:v>
                </c:pt>
                <c:pt idx="1">
                  <c:v>Jul'12</c:v>
                </c:pt>
                <c:pt idx="2">
                  <c:v>Jan'13</c:v>
                </c:pt>
                <c:pt idx="3">
                  <c:v>Jul'13</c:v>
                </c:pt>
                <c:pt idx="4">
                  <c:v>Jan'14</c:v>
                </c:pt>
                <c:pt idx="5">
                  <c:v>Jul'14</c:v>
                </c:pt>
                <c:pt idx="6">
                  <c:v>Oct'14</c:v>
                </c:pt>
                <c:pt idx="7">
                  <c:v>Jan'15</c:v>
                </c:pt>
              </c:strCache>
            </c:strRef>
          </c:cat>
          <c:val>
            <c:numRef>
              <c:f>'charts (2)'!$I$48:$I$55</c:f>
              <c:numCache>
                <c:formatCode>#,##0</c:formatCode>
                <c:ptCount val="8"/>
                <c:pt idx="0">
                  <c:v>1119.7532762533333</c:v>
                </c:pt>
                <c:pt idx="1">
                  <c:v>1244.7335322666668</c:v>
                </c:pt>
                <c:pt idx="2">
                  <c:v>1300.1640417333333</c:v>
                </c:pt>
                <c:pt idx="3">
                  <c:v>1300.1640417333333</c:v>
                </c:pt>
                <c:pt idx="4">
                  <c:v>1353.5747200000001</c:v>
                </c:pt>
                <c:pt idx="5">
                  <c:v>1353.5747200000001</c:v>
                </c:pt>
                <c:pt idx="6">
                  <c:v>1251.6913822399999</c:v>
                </c:pt>
                <c:pt idx="7">
                  <c:v>1346.4728440266665</c:v>
                </c:pt>
              </c:numCache>
            </c:numRef>
          </c:val>
        </c:ser>
        <c:ser>
          <c:idx val="1"/>
          <c:order val="1"/>
          <c:tx>
            <c:strRef>
              <c:f>'charts (2)'!$J$46:$J$47</c:f>
              <c:strCache>
                <c:ptCount val="1"/>
                <c:pt idx="0">
                  <c:v>VIC-60GJ Market</c:v>
                </c:pt>
              </c:strCache>
            </c:strRef>
          </c:tx>
          <c:spPr>
            <a:solidFill>
              <a:schemeClr val="accent3"/>
            </a:solidFill>
          </c:spPr>
          <c:invertIfNegative val="0"/>
          <c:cat>
            <c:strRef>
              <c:f>'charts (2)'!$H$48:$H$55</c:f>
              <c:strCache>
                <c:ptCount val="8"/>
                <c:pt idx="0">
                  <c:v>Jan'12</c:v>
                </c:pt>
                <c:pt idx="1">
                  <c:v>Jul'12</c:v>
                </c:pt>
                <c:pt idx="2">
                  <c:v>Jan'13</c:v>
                </c:pt>
                <c:pt idx="3">
                  <c:v>Jul'13</c:v>
                </c:pt>
                <c:pt idx="4">
                  <c:v>Jan'14</c:v>
                </c:pt>
                <c:pt idx="5">
                  <c:v>Jul'14</c:v>
                </c:pt>
                <c:pt idx="6">
                  <c:v>Oct'14</c:v>
                </c:pt>
                <c:pt idx="7">
                  <c:v>Jan'15</c:v>
                </c:pt>
              </c:strCache>
            </c:strRef>
          </c:cat>
          <c:val>
            <c:numRef>
              <c:f>'charts (2)'!$J$48:$J$55</c:f>
              <c:numCache>
                <c:formatCode>#,##0</c:formatCode>
                <c:ptCount val="8"/>
                <c:pt idx="0">
                  <c:v>1143.2810707298397</c:v>
                </c:pt>
                <c:pt idx="1">
                  <c:v>1244.1509359733334</c:v>
                </c:pt>
                <c:pt idx="2">
                  <c:v>1265.1682610226667</c:v>
                </c:pt>
                <c:pt idx="3">
                  <c:v>1288.4039846669998</c:v>
                </c:pt>
                <c:pt idx="4">
                  <c:v>1343.2653094860002</c:v>
                </c:pt>
                <c:pt idx="5">
                  <c:v>1343.2287326128001</c:v>
                </c:pt>
                <c:pt idx="6">
                  <c:v>1256.38024810455</c:v>
                </c:pt>
                <c:pt idx="7">
                  <c:v>1305.7031191623998</c:v>
                </c:pt>
              </c:numCache>
            </c:numRef>
          </c:val>
        </c:ser>
        <c:dLbls>
          <c:showLegendKey val="0"/>
          <c:showVal val="0"/>
          <c:showCatName val="0"/>
          <c:showSerName val="0"/>
          <c:showPercent val="0"/>
          <c:showBubbleSize val="0"/>
        </c:dLbls>
        <c:gapWidth val="150"/>
        <c:shape val="box"/>
        <c:axId val="335715712"/>
        <c:axId val="335721600"/>
        <c:axId val="0"/>
      </c:bar3DChart>
      <c:catAx>
        <c:axId val="335715712"/>
        <c:scaling>
          <c:orientation val="minMax"/>
        </c:scaling>
        <c:delete val="0"/>
        <c:axPos val="b"/>
        <c:majorTickMark val="out"/>
        <c:minorTickMark val="none"/>
        <c:tickLblPos val="nextTo"/>
        <c:crossAx val="335721600"/>
        <c:crosses val="autoZero"/>
        <c:auto val="1"/>
        <c:lblAlgn val="ctr"/>
        <c:lblOffset val="100"/>
        <c:noMultiLvlLbl val="0"/>
      </c:catAx>
      <c:valAx>
        <c:axId val="335721600"/>
        <c:scaling>
          <c:orientation val="minMax"/>
          <c:max val="1500"/>
        </c:scaling>
        <c:delete val="0"/>
        <c:axPos val="l"/>
        <c:majorGridlines/>
        <c:numFmt formatCode="#,##0" sourceLinked="1"/>
        <c:majorTickMark val="out"/>
        <c:minorTickMark val="none"/>
        <c:tickLblPos val="nextTo"/>
        <c:crossAx val="335715712"/>
        <c:crosses val="autoZero"/>
        <c:crossBetween val="between"/>
        <c:majorUnit val="300"/>
      </c:valAx>
    </c:plotArea>
    <c:legend>
      <c:legendPos val="b"/>
      <c:layout/>
      <c:overlay val="0"/>
    </c:legend>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Gas!$F$88</c:f>
              <c:strCache>
                <c:ptCount val="1"/>
                <c:pt idx="0">
                  <c:v>SA-20GJ Standing</c:v>
                </c:pt>
              </c:strCache>
            </c:strRef>
          </c:tx>
          <c:invertIfNegative val="0"/>
          <c:cat>
            <c:strRef>
              <c:f>Gas!$E$89:$E$96</c:f>
              <c:strCache>
                <c:ptCount val="8"/>
                <c:pt idx="0">
                  <c:v>Jan'12</c:v>
                </c:pt>
                <c:pt idx="1">
                  <c:v>Jul'12</c:v>
                </c:pt>
                <c:pt idx="2">
                  <c:v>Jan'13</c:v>
                </c:pt>
                <c:pt idx="3">
                  <c:v>Jul'13</c:v>
                </c:pt>
                <c:pt idx="4">
                  <c:v>Jan'14</c:v>
                </c:pt>
                <c:pt idx="5">
                  <c:v>Jul'14</c:v>
                </c:pt>
                <c:pt idx="6">
                  <c:v>Oct'14</c:v>
                </c:pt>
                <c:pt idx="7">
                  <c:v>Jan'15</c:v>
                </c:pt>
              </c:strCache>
            </c:strRef>
          </c:cat>
          <c:val>
            <c:numRef>
              <c:f>Gas!$F$89:$F$96</c:f>
              <c:numCache>
                <c:formatCode>#,##0</c:formatCode>
                <c:ptCount val="8"/>
                <c:pt idx="0">
                  <c:v>751.5686068</c:v>
                </c:pt>
                <c:pt idx="1">
                  <c:v>890.97843999999998</c:v>
                </c:pt>
                <c:pt idx="2">
                  <c:v>890.97843999999998</c:v>
                </c:pt>
                <c:pt idx="3">
                  <c:v>1002.1879999999999</c:v>
                </c:pt>
                <c:pt idx="4">
                  <c:v>1002.1879999999999</c:v>
                </c:pt>
                <c:pt idx="5">
                  <c:v>1136.75452</c:v>
                </c:pt>
                <c:pt idx="6">
                  <c:v>1089.2609200000002</c:v>
                </c:pt>
                <c:pt idx="7">
                  <c:v>1089.2609200000002</c:v>
                </c:pt>
              </c:numCache>
            </c:numRef>
          </c:val>
        </c:ser>
        <c:ser>
          <c:idx val="1"/>
          <c:order val="1"/>
          <c:tx>
            <c:strRef>
              <c:f>Gas!$G$88</c:f>
              <c:strCache>
                <c:ptCount val="1"/>
                <c:pt idx="0">
                  <c:v>SA-20GJ Market</c:v>
                </c:pt>
              </c:strCache>
            </c:strRef>
          </c:tx>
          <c:spPr>
            <a:solidFill>
              <a:schemeClr val="accent3"/>
            </a:solidFill>
          </c:spPr>
          <c:invertIfNegative val="0"/>
          <c:cat>
            <c:strRef>
              <c:f>Gas!$E$89:$E$96</c:f>
              <c:strCache>
                <c:ptCount val="8"/>
                <c:pt idx="0">
                  <c:v>Jan'12</c:v>
                </c:pt>
                <c:pt idx="1">
                  <c:v>Jul'12</c:v>
                </c:pt>
                <c:pt idx="2">
                  <c:v>Jan'13</c:v>
                </c:pt>
                <c:pt idx="3">
                  <c:v>Jul'13</c:v>
                </c:pt>
                <c:pt idx="4">
                  <c:v>Jan'14</c:v>
                </c:pt>
                <c:pt idx="5">
                  <c:v>Jul'14</c:v>
                </c:pt>
                <c:pt idx="6">
                  <c:v>Oct'14</c:v>
                </c:pt>
                <c:pt idx="7">
                  <c:v>Jan'15</c:v>
                </c:pt>
              </c:strCache>
            </c:strRef>
          </c:cat>
          <c:val>
            <c:numRef>
              <c:f>Gas!$G$89:$G$96</c:f>
              <c:numCache>
                <c:formatCode>#,##0</c:formatCode>
                <c:ptCount val="8"/>
                <c:pt idx="1">
                  <c:v>873.44686000000002</c:v>
                </c:pt>
                <c:pt idx="2">
                  <c:v>873.44686000000002</c:v>
                </c:pt>
                <c:pt idx="3">
                  <c:v>1000.5418632000001</c:v>
                </c:pt>
                <c:pt idx="4">
                  <c:v>1000.5418632000001</c:v>
                </c:pt>
                <c:pt idx="5">
                  <c:v>1093.2011992</c:v>
                </c:pt>
                <c:pt idx="6">
                  <c:v>1083.06176</c:v>
                </c:pt>
                <c:pt idx="7">
                  <c:v>1093.2011992</c:v>
                </c:pt>
              </c:numCache>
            </c:numRef>
          </c:val>
        </c:ser>
        <c:dLbls>
          <c:showLegendKey val="0"/>
          <c:showVal val="0"/>
          <c:showCatName val="0"/>
          <c:showSerName val="0"/>
          <c:showPercent val="0"/>
          <c:showBubbleSize val="0"/>
        </c:dLbls>
        <c:gapWidth val="150"/>
        <c:shape val="box"/>
        <c:axId val="337971456"/>
        <c:axId val="337981440"/>
        <c:axId val="0"/>
      </c:bar3DChart>
      <c:catAx>
        <c:axId val="337971456"/>
        <c:scaling>
          <c:orientation val="minMax"/>
        </c:scaling>
        <c:delete val="0"/>
        <c:axPos val="b"/>
        <c:majorTickMark val="out"/>
        <c:minorTickMark val="none"/>
        <c:tickLblPos val="nextTo"/>
        <c:crossAx val="337981440"/>
        <c:crosses val="autoZero"/>
        <c:auto val="1"/>
        <c:lblAlgn val="ctr"/>
        <c:lblOffset val="100"/>
        <c:noMultiLvlLbl val="0"/>
      </c:catAx>
      <c:valAx>
        <c:axId val="337981440"/>
        <c:scaling>
          <c:orientation val="minMax"/>
          <c:max val="1500"/>
          <c:min val="0"/>
        </c:scaling>
        <c:delete val="0"/>
        <c:axPos val="l"/>
        <c:majorGridlines/>
        <c:numFmt formatCode="#,##0" sourceLinked="1"/>
        <c:majorTickMark val="out"/>
        <c:minorTickMark val="none"/>
        <c:tickLblPos val="nextTo"/>
        <c:crossAx val="337971456"/>
        <c:crosses val="autoZero"/>
        <c:crossBetween val="between"/>
        <c:majorUnit val="300"/>
      </c:valAx>
    </c:plotArea>
    <c:legend>
      <c:legendPos val="b"/>
      <c:layout/>
      <c:overlay val="0"/>
    </c:legend>
    <c:plotVisOnly val="1"/>
    <c:dispBlanksAs val="gap"/>
    <c:showDLblsOverMax val="0"/>
  </c:chart>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'charts (2)'!$I$115:$I$116</c:f>
              <c:strCache>
                <c:ptCount val="1"/>
                <c:pt idx="0">
                  <c:v>Qld-10GJ Market</c:v>
                </c:pt>
              </c:strCache>
            </c:strRef>
          </c:tx>
          <c:spPr>
            <a:solidFill>
              <a:schemeClr val="accent3"/>
            </a:solidFill>
          </c:spPr>
          <c:invertIfNegative val="0"/>
          <c:cat>
            <c:strRef>
              <c:f>'charts (2)'!$H$117:$H$123</c:f>
              <c:strCache>
                <c:ptCount val="7"/>
                <c:pt idx="0">
                  <c:v>Jul'12</c:v>
                </c:pt>
                <c:pt idx="1">
                  <c:v>Jan'13</c:v>
                </c:pt>
                <c:pt idx="2">
                  <c:v>Jul'13</c:v>
                </c:pt>
                <c:pt idx="3">
                  <c:v>Jan'14</c:v>
                </c:pt>
                <c:pt idx="4">
                  <c:v>Jul'14</c:v>
                </c:pt>
                <c:pt idx="5">
                  <c:v>Oct'14</c:v>
                </c:pt>
                <c:pt idx="6">
                  <c:v>Jan'15</c:v>
                </c:pt>
              </c:strCache>
            </c:strRef>
          </c:cat>
          <c:val>
            <c:numRef>
              <c:f>'charts (2)'!$I$117:$I$123</c:f>
              <c:numCache>
                <c:formatCode>0</c:formatCode>
                <c:ptCount val="7"/>
                <c:pt idx="0">
                  <c:v>635.9688261</c:v>
                </c:pt>
                <c:pt idx="1">
                  <c:v>635.9688261</c:v>
                </c:pt>
                <c:pt idx="2">
                  <c:v>698.35971766000011</c:v>
                </c:pt>
                <c:pt idx="3">
                  <c:v>698.35971766000011</c:v>
                </c:pt>
                <c:pt idx="4">
                  <c:v>751.92289743999993</c:v>
                </c:pt>
                <c:pt idx="5">
                  <c:v>727.03929599999992</c:v>
                </c:pt>
                <c:pt idx="6">
                  <c:v>727.03929599999992</c:v>
                </c:pt>
              </c:numCache>
            </c:numRef>
          </c:val>
        </c:ser>
        <c:dLbls>
          <c:showLegendKey val="0"/>
          <c:showVal val="0"/>
          <c:showCatName val="0"/>
          <c:showSerName val="0"/>
          <c:showPercent val="0"/>
          <c:showBubbleSize val="0"/>
        </c:dLbls>
        <c:gapWidth val="150"/>
        <c:shape val="box"/>
        <c:axId val="338210816"/>
        <c:axId val="338212352"/>
        <c:axId val="0"/>
      </c:bar3DChart>
      <c:catAx>
        <c:axId val="338210816"/>
        <c:scaling>
          <c:orientation val="minMax"/>
        </c:scaling>
        <c:delete val="0"/>
        <c:axPos val="b"/>
        <c:majorTickMark val="out"/>
        <c:minorTickMark val="none"/>
        <c:tickLblPos val="nextTo"/>
        <c:crossAx val="338212352"/>
        <c:crosses val="autoZero"/>
        <c:auto val="1"/>
        <c:lblAlgn val="ctr"/>
        <c:lblOffset val="100"/>
        <c:noMultiLvlLbl val="0"/>
      </c:catAx>
      <c:valAx>
        <c:axId val="338212352"/>
        <c:scaling>
          <c:orientation val="minMax"/>
          <c:max val="1500"/>
          <c:min val="0"/>
        </c:scaling>
        <c:delete val="0"/>
        <c:axPos val="l"/>
        <c:majorGridlines/>
        <c:numFmt formatCode="0" sourceLinked="1"/>
        <c:majorTickMark val="out"/>
        <c:minorTickMark val="none"/>
        <c:tickLblPos val="nextTo"/>
        <c:crossAx val="338210816"/>
        <c:crosses val="autoZero"/>
        <c:crossBetween val="between"/>
        <c:majorUnit val="300"/>
        <c:minorUnit val="40"/>
      </c:valAx>
    </c:plotArea>
    <c:legend>
      <c:legendPos val="b"/>
      <c:layout/>
      <c:overlay val="0"/>
    </c:legend>
    <c:plotVisOnly val="1"/>
    <c:dispBlanksAs val="gap"/>
    <c:showDLblsOverMax val="0"/>
  </c:chart>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'charts (2)'!$I$81:$I$82</c:f>
              <c:strCache>
                <c:ptCount val="1"/>
                <c:pt idx="0">
                  <c:v>Tas-40GJ Market</c:v>
                </c:pt>
              </c:strCache>
            </c:strRef>
          </c:tx>
          <c:spPr>
            <a:solidFill>
              <a:schemeClr val="accent3"/>
            </a:solidFill>
          </c:spPr>
          <c:invertIfNegative val="0"/>
          <c:cat>
            <c:strRef>
              <c:f>'charts (2)'!$H$83:$H$90</c:f>
              <c:strCache>
                <c:ptCount val="8"/>
                <c:pt idx="0">
                  <c:v>Jan'12</c:v>
                </c:pt>
                <c:pt idx="1">
                  <c:v>Jul'12</c:v>
                </c:pt>
                <c:pt idx="2">
                  <c:v>Jan'13</c:v>
                </c:pt>
                <c:pt idx="3">
                  <c:v>Jul'13</c:v>
                </c:pt>
                <c:pt idx="4">
                  <c:v>Jan'14</c:v>
                </c:pt>
                <c:pt idx="5">
                  <c:v>Jul'14</c:v>
                </c:pt>
                <c:pt idx="6">
                  <c:v>Oct'14</c:v>
                </c:pt>
                <c:pt idx="7">
                  <c:v>Jan'15</c:v>
                </c:pt>
              </c:strCache>
            </c:strRef>
          </c:cat>
          <c:val>
            <c:numRef>
              <c:f>'charts (2)'!$I$83:$I$90</c:f>
              <c:numCache>
                <c:formatCode>#,##0</c:formatCode>
                <c:ptCount val="8"/>
                <c:pt idx="0">
                  <c:v>1106.0336000000002</c:v>
                </c:pt>
                <c:pt idx="1">
                  <c:v>1162.0336000000002</c:v>
                </c:pt>
                <c:pt idx="2">
                  <c:v>1217.3642</c:v>
                </c:pt>
                <c:pt idx="3">
                  <c:v>1273.8042</c:v>
                </c:pt>
                <c:pt idx="4">
                  <c:v>1273.8042</c:v>
                </c:pt>
                <c:pt idx="5">
                  <c:v>1354.7332000000001</c:v>
                </c:pt>
                <c:pt idx="6">
                  <c:v>1307.5331999999999</c:v>
                </c:pt>
                <c:pt idx="7">
                  <c:v>1417.848</c:v>
                </c:pt>
              </c:numCache>
            </c:numRef>
          </c:val>
        </c:ser>
        <c:dLbls>
          <c:showLegendKey val="0"/>
          <c:showVal val="0"/>
          <c:showCatName val="0"/>
          <c:showSerName val="0"/>
          <c:showPercent val="0"/>
          <c:showBubbleSize val="0"/>
        </c:dLbls>
        <c:gapWidth val="150"/>
        <c:shape val="box"/>
        <c:axId val="345183744"/>
        <c:axId val="345185280"/>
        <c:axId val="0"/>
      </c:bar3DChart>
      <c:catAx>
        <c:axId val="345183744"/>
        <c:scaling>
          <c:orientation val="minMax"/>
        </c:scaling>
        <c:delete val="0"/>
        <c:axPos val="b"/>
        <c:majorTickMark val="out"/>
        <c:minorTickMark val="none"/>
        <c:tickLblPos val="nextTo"/>
        <c:crossAx val="345185280"/>
        <c:crosses val="autoZero"/>
        <c:auto val="1"/>
        <c:lblAlgn val="ctr"/>
        <c:lblOffset val="100"/>
        <c:noMultiLvlLbl val="0"/>
      </c:catAx>
      <c:valAx>
        <c:axId val="345185280"/>
        <c:scaling>
          <c:orientation val="minMax"/>
          <c:max val="1500"/>
        </c:scaling>
        <c:delete val="0"/>
        <c:axPos val="l"/>
        <c:majorGridlines/>
        <c:numFmt formatCode="#,##0" sourceLinked="1"/>
        <c:majorTickMark val="out"/>
        <c:minorTickMark val="none"/>
        <c:tickLblPos val="nextTo"/>
        <c:crossAx val="345183744"/>
        <c:crosses val="autoZero"/>
        <c:crossBetween val="between"/>
        <c:majorUnit val="300"/>
      </c:valAx>
    </c:plotArea>
    <c:legend>
      <c:legendPos val="b"/>
      <c:layout/>
      <c:overlay val="0"/>
    </c:legend>
    <c:plotVisOnly val="1"/>
    <c:dispBlanksAs val="gap"/>
    <c:showDLblsOverMax val="0"/>
  </c:chart>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'charts (2)'!$I$99:$I$100</c:f>
              <c:strCache>
                <c:ptCount val="1"/>
                <c:pt idx="0">
                  <c:v>ACT-40GJ Market</c:v>
                </c:pt>
              </c:strCache>
            </c:strRef>
          </c:tx>
          <c:spPr>
            <a:solidFill>
              <a:schemeClr val="accent3"/>
            </a:solidFill>
          </c:spPr>
          <c:invertIfNegative val="0"/>
          <c:cat>
            <c:strRef>
              <c:f>'charts (2)'!$H$101:$H$108</c:f>
              <c:strCache>
                <c:ptCount val="8"/>
                <c:pt idx="0">
                  <c:v>Jan'12</c:v>
                </c:pt>
                <c:pt idx="1">
                  <c:v>Jul'12</c:v>
                </c:pt>
                <c:pt idx="2">
                  <c:v>Jan'13</c:v>
                </c:pt>
                <c:pt idx="3">
                  <c:v>Jul'13</c:v>
                </c:pt>
                <c:pt idx="4">
                  <c:v>Jan'14</c:v>
                </c:pt>
                <c:pt idx="5">
                  <c:v>Jul'14</c:v>
                </c:pt>
                <c:pt idx="6">
                  <c:v>Oct'14</c:v>
                </c:pt>
                <c:pt idx="7">
                  <c:v>Jan'15</c:v>
                </c:pt>
              </c:strCache>
            </c:strRef>
          </c:cat>
          <c:val>
            <c:numRef>
              <c:f>'charts (2)'!$I$101:$I$108</c:f>
              <c:numCache>
                <c:formatCode>#,##0</c:formatCode>
                <c:ptCount val="8"/>
                <c:pt idx="0">
                  <c:v>1111.85932</c:v>
                </c:pt>
                <c:pt idx="1">
                  <c:v>1236.3467599999999</c:v>
                </c:pt>
                <c:pt idx="2">
                  <c:v>1236.3467599999999</c:v>
                </c:pt>
                <c:pt idx="3">
                  <c:v>1289.5665200000001</c:v>
                </c:pt>
                <c:pt idx="4">
                  <c:v>1289.5665200000001</c:v>
                </c:pt>
                <c:pt idx="5">
                  <c:v>1475.6632</c:v>
                </c:pt>
                <c:pt idx="6">
                  <c:v>1392.9431999999999</c:v>
                </c:pt>
                <c:pt idx="7">
                  <c:v>1392.9431999999999</c:v>
                </c:pt>
              </c:numCache>
            </c:numRef>
          </c:val>
        </c:ser>
        <c:dLbls>
          <c:showLegendKey val="0"/>
          <c:showVal val="0"/>
          <c:showCatName val="0"/>
          <c:showSerName val="0"/>
          <c:showPercent val="0"/>
          <c:showBubbleSize val="0"/>
        </c:dLbls>
        <c:gapWidth val="150"/>
        <c:shape val="box"/>
        <c:axId val="350821376"/>
        <c:axId val="350872320"/>
        <c:axId val="0"/>
      </c:bar3DChart>
      <c:catAx>
        <c:axId val="350821376"/>
        <c:scaling>
          <c:orientation val="minMax"/>
        </c:scaling>
        <c:delete val="0"/>
        <c:axPos val="b"/>
        <c:majorTickMark val="out"/>
        <c:minorTickMark val="none"/>
        <c:tickLblPos val="nextTo"/>
        <c:crossAx val="350872320"/>
        <c:crosses val="autoZero"/>
        <c:auto val="1"/>
        <c:lblAlgn val="ctr"/>
        <c:lblOffset val="100"/>
        <c:noMultiLvlLbl val="0"/>
      </c:catAx>
      <c:valAx>
        <c:axId val="350872320"/>
        <c:scaling>
          <c:orientation val="minMax"/>
          <c:max val="1500"/>
        </c:scaling>
        <c:delete val="0"/>
        <c:axPos val="l"/>
        <c:majorGridlines/>
        <c:numFmt formatCode="#,##0" sourceLinked="1"/>
        <c:majorTickMark val="out"/>
        <c:minorTickMark val="none"/>
        <c:tickLblPos val="nextTo"/>
        <c:crossAx val="350821376"/>
        <c:crosses val="autoZero"/>
        <c:crossBetween val="between"/>
        <c:majorUnit val="300"/>
      </c:valAx>
    </c:plotArea>
    <c:legend>
      <c:legendPos val="b"/>
      <c:layout/>
      <c:overlay val="0"/>
    </c:legend>
    <c:plotVisOnly val="1"/>
    <c:dispBlanksAs val="gap"/>
    <c:showDLblsOverMax val="0"/>
  </c:chart>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'[Chart in Microsoft Word]Gas &amp; Elec Annual bill R2 data'!$AD$15</c:f>
              <c:strCache>
                <c:ptCount val="1"/>
                <c:pt idx="0">
                  <c:v>Electricity</c:v>
                </c:pt>
              </c:strCache>
            </c:strRef>
          </c:tx>
          <c:invertIfNegative val="0"/>
          <c:cat>
            <c:strRef>
              <c:f>'[Chart in Microsoft Word]Gas &amp; Elec Annual bill R2 data'!$AE$14:$AK$14</c:f>
              <c:strCache>
                <c:ptCount val="7"/>
                <c:pt idx="0">
                  <c:v>NSW</c:v>
                </c:pt>
                <c:pt idx="1">
                  <c:v>VIC</c:v>
                </c:pt>
                <c:pt idx="2">
                  <c:v>SA</c:v>
                </c:pt>
                <c:pt idx="3">
                  <c:v>QLD</c:v>
                </c:pt>
                <c:pt idx="4">
                  <c:v>ACT</c:v>
                </c:pt>
                <c:pt idx="5">
                  <c:v>TAS</c:v>
                </c:pt>
                <c:pt idx="6">
                  <c:v>WA</c:v>
                </c:pt>
              </c:strCache>
            </c:strRef>
          </c:cat>
          <c:val>
            <c:numRef>
              <c:f>'[Chart in Microsoft Word]Gas &amp; Elec Annual bill R2 data'!$AE$15:$AK$15</c:f>
              <c:numCache>
                <c:formatCode>General</c:formatCode>
                <c:ptCount val="7"/>
                <c:pt idx="0">
                  <c:v>133.67973479020981</c:v>
                </c:pt>
                <c:pt idx="1">
                  <c:v>111.50460000000001</c:v>
                </c:pt>
                <c:pt idx="2">
                  <c:v>143.2612290909091</c:v>
                </c:pt>
                <c:pt idx="3">
                  <c:v>145.47654000000003</c:v>
                </c:pt>
                <c:pt idx="4">
                  <c:v>184.587075</c:v>
                </c:pt>
                <c:pt idx="5">
                  <c:v>198.29128</c:v>
                </c:pt>
                <c:pt idx="6">
                  <c:v>134.70687999999998</c:v>
                </c:pt>
              </c:numCache>
            </c:numRef>
          </c:val>
        </c:ser>
        <c:ser>
          <c:idx val="1"/>
          <c:order val="1"/>
          <c:tx>
            <c:strRef>
              <c:f>'[Chart in Microsoft Word]Gas &amp; Elec Annual bill R2 data'!$AD$16</c:f>
              <c:strCache>
                <c:ptCount val="1"/>
                <c:pt idx="0">
                  <c:v>Gas</c:v>
                </c:pt>
              </c:strCache>
            </c:strRef>
          </c:tx>
          <c:invertIfNegative val="0"/>
          <c:cat>
            <c:strRef>
              <c:f>'[Chart in Microsoft Word]Gas &amp; Elec Annual bill R2 data'!$AE$14:$AK$14</c:f>
              <c:strCache>
                <c:ptCount val="7"/>
                <c:pt idx="0">
                  <c:v>NSW</c:v>
                </c:pt>
                <c:pt idx="1">
                  <c:v>VIC</c:v>
                </c:pt>
                <c:pt idx="2">
                  <c:v>SA</c:v>
                </c:pt>
                <c:pt idx="3">
                  <c:v>QLD</c:v>
                </c:pt>
                <c:pt idx="4">
                  <c:v>ACT</c:v>
                </c:pt>
                <c:pt idx="5">
                  <c:v>TAS</c:v>
                </c:pt>
                <c:pt idx="6">
                  <c:v>WA</c:v>
                </c:pt>
              </c:strCache>
            </c:strRef>
          </c:cat>
          <c:val>
            <c:numRef>
              <c:f>'[Chart in Microsoft Word]Gas &amp; Elec Annual bill R2 data'!$AE$16:$AK$16</c:f>
              <c:numCache>
                <c:formatCode>General</c:formatCode>
                <c:ptCount val="7"/>
                <c:pt idx="0">
                  <c:v>35.866666666666667</c:v>
                </c:pt>
                <c:pt idx="1">
                  <c:v>89.336125000000024</c:v>
                </c:pt>
                <c:pt idx="2">
                  <c:v>45.31</c:v>
                </c:pt>
                <c:pt idx="3">
                  <c:v>24.4695</c:v>
                </c:pt>
                <c:pt idx="4">
                  <c:v>76.666666666666657</c:v>
                </c:pt>
                <c:pt idx="5">
                  <c:v>60</c:v>
                </c:pt>
                <c:pt idx="6">
                  <c:v>16.399999999999999</c:v>
                </c:pt>
              </c:numCache>
            </c:numRef>
          </c:val>
        </c:ser>
        <c:ser>
          <c:idx val="2"/>
          <c:order val="2"/>
          <c:tx>
            <c:strRef>
              <c:f>'[Chart in Microsoft Word]Gas &amp; Elec Annual bill R2 data'!$AD$17</c:f>
              <c:strCache>
                <c:ptCount val="1"/>
                <c:pt idx="0">
                  <c:v>Electricity &amp; Gas</c:v>
                </c:pt>
              </c:strCache>
            </c:strRef>
          </c:tx>
          <c:invertIfNegative val="0"/>
          <c:dLbls>
            <c:dLbl>
              <c:idx val="2"/>
              <c:layout>
                <c:manualLayout>
                  <c:x val="4.0983606557377051E-3"/>
                  <c:y val="-3.7267068594555489E-2"/>
                </c:manualLayout>
              </c:layout>
              <c:showLegendKey val="0"/>
              <c:showVal val="1"/>
              <c:showCatName val="0"/>
              <c:showSerName val="0"/>
              <c:showPercent val="0"/>
              <c:showBubbleSize val="0"/>
            </c:dLbl>
            <c:numFmt formatCode="&quot;$&quot;#,##0" sourceLinked="0"/>
            <c:showLegendKey val="0"/>
            <c:showVal val="1"/>
            <c:showCatName val="0"/>
            <c:showSerName val="0"/>
            <c:showPercent val="0"/>
            <c:showBubbleSize val="0"/>
            <c:showLeaderLines val="0"/>
          </c:dLbls>
          <c:cat>
            <c:strRef>
              <c:f>'[Chart in Microsoft Word]Gas &amp; Elec Annual bill R2 data'!$AE$14:$AK$14</c:f>
              <c:strCache>
                <c:ptCount val="7"/>
                <c:pt idx="0">
                  <c:v>NSW</c:v>
                </c:pt>
                <c:pt idx="1">
                  <c:v>VIC</c:v>
                </c:pt>
                <c:pt idx="2">
                  <c:v>SA</c:v>
                </c:pt>
                <c:pt idx="3">
                  <c:v>QLD</c:v>
                </c:pt>
                <c:pt idx="4">
                  <c:v>ACT</c:v>
                </c:pt>
                <c:pt idx="5">
                  <c:v>TAS</c:v>
                </c:pt>
                <c:pt idx="6">
                  <c:v>WA</c:v>
                </c:pt>
              </c:strCache>
            </c:strRef>
          </c:cat>
          <c:val>
            <c:numRef>
              <c:f>'[Chart in Microsoft Word]Gas &amp; Elec Annual bill R2 data'!$AE$17:$AK$17</c:f>
              <c:numCache>
                <c:formatCode>General</c:formatCode>
                <c:ptCount val="7"/>
                <c:pt idx="0">
                  <c:v>169.54640145687648</c:v>
                </c:pt>
                <c:pt idx="1">
                  <c:v>200.84072500000002</c:v>
                </c:pt>
                <c:pt idx="2">
                  <c:v>188.5712290909091</c:v>
                </c:pt>
                <c:pt idx="3">
                  <c:v>169.94604000000004</c:v>
                </c:pt>
                <c:pt idx="4">
                  <c:v>261.25374166666666</c:v>
                </c:pt>
                <c:pt idx="5">
                  <c:v>258.29128000000003</c:v>
                </c:pt>
                <c:pt idx="6">
                  <c:v>151.10687999999999</c:v>
                </c:pt>
              </c:numCache>
            </c:numRef>
          </c:val>
        </c:ser>
        <c:dLbls>
          <c:showLegendKey val="0"/>
          <c:showVal val="0"/>
          <c:showCatName val="0"/>
          <c:showSerName val="0"/>
          <c:showPercent val="0"/>
          <c:showBubbleSize val="0"/>
        </c:dLbls>
        <c:gapWidth val="150"/>
        <c:shape val="box"/>
        <c:axId val="351275648"/>
        <c:axId val="351281536"/>
        <c:axId val="0"/>
      </c:bar3DChart>
      <c:catAx>
        <c:axId val="351275648"/>
        <c:scaling>
          <c:orientation val="minMax"/>
        </c:scaling>
        <c:delete val="0"/>
        <c:axPos val="b"/>
        <c:majorTickMark val="out"/>
        <c:minorTickMark val="none"/>
        <c:tickLblPos val="nextTo"/>
        <c:crossAx val="351281536"/>
        <c:crosses val="autoZero"/>
        <c:auto val="1"/>
        <c:lblAlgn val="ctr"/>
        <c:lblOffset val="100"/>
        <c:noMultiLvlLbl val="0"/>
      </c:catAx>
      <c:valAx>
        <c:axId val="351281536"/>
        <c:scaling>
          <c:orientation val="minMax"/>
        </c:scaling>
        <c:delete val="0"/>
        <c:axPos val="l"/>
        <c:majorGridlines/>
        <c:numFmt formatCode="General" sourceLinked="0"/>
        <c:majorTickMark val="out"/>
        <c:minorTickMark val="none"/>
        <c:tickLblPos val="nextTo"/>
        <c:crossAx val="351275648"/>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'Annual bill R2 data'!$S$42</c:f>
              <c:strCache>
                <c:ptCount val="1"/>
                <c:pt idx="0">
                  <c:v>$ average savings</c:v>
                </c:pt>
              </c:strCache>
            </c:strRef>
          </c:tx>
          <c:invertIfNegative val="0"/>
          <c:dLbls>
            <c:dLbl>
              <c:idx val="5"/>
              <c:layout>
                <c:manualLayout>
                  <c:x val="0"/>
                  <c:y val="-2.0876819858688587E-2"/>
                </c:manualLayout>
              </c:layout>
              <c:showLegendKey val="0"/>
              <c:showVal val="1"/>
              <c:showCatName val="0"/>
              <c:showSerName val="0"/>
              <c:showPercent val="0"/>
              <c:showBubbleSize val="0"/>
            </c:dLbl>
            <c:dLbl>
              <c:idx val="6"/>
              <c:layout>
                <c:manualLayout>
                  <c:x val="0"/>
                  <c:y val="4.1753639717377177E-3"/>
                </c:manualLayout>
              </c:layout>
              <c:showLegendKey val="0"/>
              <c:showVal val="1"/>
              <c:showCatName val="0"/>
              <c:showSerName val="0"/>
              <c:showPercent val="0"/>
              <c:showBubbleSize val="0"/>
            </c:dLbl>
            <c:dLbl>
              <c:idx val="7"/>
              <c:layout>
                <c:manualLayout>
                  <c:x val="0"/>
                  <c:y val="-1.6701455886950871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'Annual bill R2 data'!$T$41:$AA$41</c:f>
              <c:strCache>
                <c:ptCount val="8"/>
                <c:pt idx="0">
                  <c:v>NSW</c:v>
                </c:pt>
                <c:pt idx="1">
                  <c:v>VIC</c:v>
                </c:pt>
                <c:pt idx="2">
                  <c:v>SA</c:v>
                </c:pt>
                <c:pt idx="3">
                  <c:v>QLD</c:v>
                </c:pt>
                <c:pt idx="4">
                  <c:v>ACT</c:v>
                </c:pt>
                <c:pt idx="5">
                  <c:v>TAS</c:v>
                </c:pt>
                <c:pt idx="6">
                  <c:v>WA</c:v>
                </c:pt>
                <c:pt idx="7">
                  <c:v>NT</c:v>
                </c:pt>
              </c:strCache>
            </c:strRef>
          </c:cat>
          <c:val>
            <c:numRef>
              <c:f>'Annual bill R2 data'!$T$42:$AA$42</c:f>
              <c:numCache>
                <c:formatCode>"$"#,##0</c:formatCode>
                <c:ptCount val="8"/>
                <c:pt idx="0">
                  <c:v>133.67973479020981</c:v>
                </c:pt>
                <c:pt idx="1">
                  <c:v>111.50460000000001</c:v>
                </c:pt>
                <c:pt idx="2">
                  <c:v>143.2612290909091</c:v>
                </c:pt>
                <c:pt idx="3">
                  <c:v>145.47654000000003</c:v>
                </c:pt>
                <c:pt idx="4">
                  <c:v>184.587075</c:v>
                </c:pt>
                <c:pt idx="5">
                  <c:v>198.29128</c:v>
                </c:pt>
                <c:pt idx="6">
                  <c:v>134.70687999999998</c:v>
                </c:pt>
                <c:pt idx="7">
                  <c:v>103.2075</c:v>
                </c:pt>
              </c:numCache>
            </c:numRef>
          </c:val>
        </c:ser>
        <c:dLbls>
          <c:showLegendKey val="0"/>
          <c:showVal val="0"/>
          <c:showCatName val="0"/>
          <c:showSerName val="0"/>
          <c:showPercent val="0"/>
          <c:showBubbleSize val="0"/>
        </c:dLbls>
        <c:gapWidth val="150"/>
        <c:shape val="box"/>
        <c:axId val="364280064"/>
        <c:axId val="401879808"/>
        <c:axId val="0"/>
      </c:bar3DChart>
      <c:catAx>
        <c:axId val="364280064"/>
        <c:scaling>
          <c:orientation val="minMax"/>
        </c:scaling>
        <c:delete val="0"/>
        <c:axPos val="b"/>
        <c:majorTickMark val="out"/>
        <c:minorTickMark val="none"/>
        <c:tickLblPos val="nextTo"/>
        <c:crossAx val="401879808"/>
        <c:crosses val="autoZero"/>
        <c:auto val="1"/>
        <c:lblAlgn val="ctr"/>
        <c:lblOffset val="100"/>
        <c:noMultiLvlLbl val="0"/>
      </c:catAx>
      <c:valAx>
        <c:axId val="401879808"/>
        <c:scaling>
          <c:orientation val="minMax"/>
        </c:scaling>
        <c:delete val="0"/>
        <c:axPos val="l"/>
        <c:majorGridlines/>
        <c:numFmt formatCode="&quot;$&quot;#,##0" sourceLinked="1"/>
        <c:majorTickMark val="out"/>
        <c:minorTickMark val="none"/>
        <c:tickLblPos val="nextTo"/>
        <c:crossAx val="364280064"/>
        <c:crosses val="autoZero"/>
        <c:crossBetween val="between"/>
        <c:majorUnit val="25"/>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'Annual bill R2 data'!$S$3</c:f>
              <c:strCache>
                <c:ptCount val="1"/>
                <c:pt idx="0">
                  <c:v>Percentage saving</c:v>
                </c:pt>
              </c:strCache>
            </c:strRef>
          </c:tx>
          <c:invertIfNegative val="0"/>
          <c:dLbls>
            <c:dLbl>
              <c:idx val="2"/>
              <c:layout>
                <c:manualLayout>
                  <c:x val="-2.0618556701030928E-3"/>
                  <c:y val="-2.7397251830669576E-2"/>
                </c:manualLayout>
              </c:layout>
              <c:showLegendKey val="0"/>
              <c:showVal val="1"/>
              <c:showCatName val="0"/>
              <c:showSerName val="0"/>
              <c:showPercent val="0"/>
              <c:showBubbleSize val="0"/>
            </c:dLbl>
            <c:dLbl>
              <c:idx val="5"/>
              <c:layout>
                <c:manualLayout>
                  <c:x val="2.0618556701031683E-3"/>
                  <c:y val="-3.1311144949336622E-2"/>
                </c:manualLayout>
              </c:layout>
              <c:showLegendKey val="0"/>
              <c:showVal val="1"/>
              <c:showCatName val="0"/>
              <c:showSerName val="0"/>
              <c:showPercent val="0"/>
              <c:showBubbleSize val="0"/>
            </c:dLbl>
            <c:dLbl>
              <c:idx val="6"/>
              <c:layout>
                <c:manualLayout>
                  <c:x val="2.0618556701030928E-3"/>
                  <c:y val="-2.3483358712002491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'Annual bill R2 data'!$T$2:$AA$2</c:f>
              <c:strCache>
                <c:ptCount val="8"/>
                <c:pt idx="0">
                  <c:v>NSW</c:v>
                </c:pt>
                <c:pt idx="1">
                  <c:v>VIC</c:v>
                </c:pt>
                <c:pt idx="2">
                  <c:v>SA</c:v>
                </c:pt>
                <c:pt idx="3">
                  <c:v>QLD</c:v>
                </c:pt>
                <c:pt idx="4">
                  <c:v>ACT</c:v>
                </c:pt>
                <c:pt idx="5">
                  <c:v>TAS</c:v>
                </c:pt>
                <c:pt idx="6">
                  <c:v>WA</c:v>
                </c:pt>
                <c:pt idx="7">
                  <c:v>NT</c:v>
                </c:pt>
              </c:strCache>
            </c:strRef>
          </c:cat>
          <c:val>
            <c:numRef>
              <c:f>'Annual bill R2 data'!$T$3:$AA$3</c:f>
              <c:numCache>
                <c:formatCode>0.0%</c:formatCode>
                <c:ptCount val="8"/>
                <c:pt idx="0">
                  <c:v>6.8012456943748065E-2</c:v>
                </c:pt>
                <c:pt idx="1">
                  <c:v>7.0328300095720386E-2</c:v>
                </c:pt>
                <c:pt idx="2">
                  <c:v>5.7922807236575093E-2</c:v>
                </c:pt>
                <c:pt idx="3">
                  <c:v>7.3954669470195522E-2</c:v>
                </c:pt>
                <c:pt idx="4">
                  <c:v>0.106512338669305</c:v>
                </c:pt>
                <c:pt idx="5">
                  <c:v>7.890355917655123E-2</c:v>
                </c:pt>
                <c:pt idx="6">
                  <c:v>8.0331234503259352E-2</c:v>
                </c:pt>
                <c:pt idx="7">
                  <c:v>5.1206210584130107E-2</c:v>
                </c:pt>
              </c:numCache>
            </c:numRef>
          </c:val>
        </c:ser>
        <c:dLbls>
          <c:showLegendKey val="0"/>
          <c:showVal val="0"/>
          <c:showCatName val="0"/>
          <c:showSerName val="0"/>
          <c:showPercent val="0"/>
          <c:showBubbleSize val="0"/>
        </c:dLbls>
        <c:gapWidth val="150"/>
        <c:shape val="box"/>
        <c:axId val="432716032"/>
        <c:axId val="433004544"/>
        <c:axId val="0"/>
      </c:bar3DChart>
      <c:catAx>
        <c:axId val="432716032"/>
        <c:scaling>
          <c:orientation val="minMax"/>
        </c:scaling>
        <c:delete val="0"/>
        <c:axPos val="b"/>
        <c:majorTickMark val="out"/>
        <c:minorTickMark val="none"/>
        <c:tickLblPos val="nextTo"/>
        <c:crossAx val="433004544"/>
        <c:crosses val="autoZero"/>
        <c:auto val="1"/>
        <c:lblAlgn val="ctr"/>
        <c:lblOffset val="100"/>
        <c:noMultiLvlLbl val="0"/>
      </c:catAx>
      <c:valAx>
        <c:axId val="433004544"/>
        <c:scaling>
          <c:orientation val="minMax"/>
        </c:scaling>
        <c:delete val="0"/>
        <c:axPos val="l"/>
        <c:majorGridlines/>
        <c:numFmt formatCode="0.0%" sourceLinked="1"/>
        <c:majorTickMark val="out"/>
        <c:minorTickMark val="none"/>
        <c:tickLblPos val="nextTo"/>
        <c:crossAx val="432716032"/>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7"/>
          <c:order val="0"/>
          <c:tx>
            <c:strRef>
              <c:f>Electricity!$I$7</c:f>
              <c:strCache>
                <c:ptCount val="1"/>
                <c:pt idx="0">
                  <c:v>SA</c:v>
                </c:pt>
              </c:strCache>
            </c:strRef>
          </c:tx>
          <c:marker>
            <c:symbol val="none"/>
          </c:marker>
          <c:cat>
            <c:strRef>
              <c:f>Electricity!$A$8:$A$15</c:f>
              <c:strCache>
                <c:ptCount val="8"/>
                <c:pt idx="0">
                  <c:v>Jan'12</c:v>
                </c:pt>
                <c:pt idx="1">
                  <c:v>Jul'12</c:v>
                </c:pt>
                <c:pt idx="2">
                  <c:v>Jan'13</c:v>
                </c:pt>
                <c:pt idx="3">
                  <c:v>Jul'13</c:v>
                </c:pt>
                <c:pt idx="4">
                  <c:v>Jan'14</c:v>
                </c:pt>
                <c:pt idx="5">
                  <c:v>Jul'14</c:v>
                </c:pt>
                <c:pt idx="6">
                  <c:v>Oct'14</c:v>
                </c:pt>
                <c:pt idx="7">
                  <c:v>Jan'15</c:v>
                </c:pt>
              </c:strCache>
            </c:strRef>
          </c:cat>
          <c:val>
            <c:numRef>
              <c:f>Electricity!$I$8:$I$15</c:f>
              <c:numCache>
                <c:formatCode>#,##0</c:formatCode>
                <c:ptCount val="8"/>
                <c:pt idx="0">
                  <c:v>2166.85095</c:v>
                </c:pt>
                <c:pt idx="1">
                  <c:v>2556.7916</c:v>
                </c:pt>
                <c:pt idx="2">
                  <c:v>2441.4274499999997</c:v>
                </c:pt>
                <c:pt idx="3">
                  <c:v>2509.7655000000004</c:v>
                </c:pt>
                <c:pt idx="4">
                  <c:v>2489.9418499999997</c:v>
                </c:pt>
                <c:pt idx="5">
                  <c:v>2697.1268500000001</c:v>
                </c:pt>
                <c:pt idx="6">
                  <c:v>2578.45885</c:v>
                </c:pt>
                <c:pt idx="7">
                  <c:v>2578.45885</c:v>
                </c:pt>
              </c:numCache>
            </c:numRef>
          </c:val>
          <c:smooth val="0"/>
        </c:ser>
        <c:ser>
          <c:idx val="6"/>
          <c:order val="1"/>
          <c:tx>
            <c:strRef>
              <c:f>Electricity!$H$7</c:f>
              <c:strCache>
                <c:ptCount val="1"/>
                <c:pt idx="0">
                  <c:v>VIC</c:v>
                </c:pt>
              </c:strCache>
            </c:strRef>
          </c:tx>
          <c:marker>
            <c:symbol val="none"/>
          </c:marker>
          <c:cat>
            <c:strRef>
              <c:f>Electricity!$A$8:$A$15</c:f>
              <c:strCache>
                <c:ptCount val="8"/>
                <c:pt idx="0">
                  <c:v>Jan'12</c:v>
                </c:pt>
                <c:pt idx="1">
                  <c:v>Jul'12</c:v>
                </c:pt>
                <c:pt idx="2">
                  <c:v>Jan'13</c:v>
                </c:pt>
                <c:pt idx="3">
                  <c:v>Jul'13</c:v>
                </c:pt>
                <c:pt idx="4">
                  <c:v>Jan'14</c:v>
                </c:pt>
                <c:pt idx="5">
                  <c:v>Jul'14</c:v>
                </c:pt>
                <c:pt idx="6">
                  <c:v>Oct'14</c:v>
                </c:pt>
                <c:pt idx="7">
                  <c:v>Jan'15</c:v>
                </c:pt>
              </c:strCache>
            </c:strRef>
          </c:cat>
          <c:val>
            <c:numRef>
              <c:f>Electricity!$H$8:$H$15</c:f>
              <c:numCache>
                <c:formatCode>#,##0</c:formatCode>
                <c:ptCount val="8"/>
                <c:pt idx="0">
                  <c:v>1869.1512693333334</c:v>
                </c:pt>
                <c:pt idx="1">
                  <c:v>2102.2558186666665</c:v>
                </c:pt>
                <c:pt idx="2">
                  <c:v>2257.5814799999998</c:v>
                </c:pt>
                <c:pt idx="3">
                  <c:v>2257.5814799999998</c:v>
                </c:pt>
                <c:pt idx="4">
                  <c:v>2310.9032773333338</c:v>
                </c:pt>
                <c:pt idx="5">
                  <c:v>2310.9032773333338</c:v>
                </c:pt>
                <c:pt idx="6">
                  <c:v>2121.5633706666667</c:v>
                </c:pt>
                <c:pt idx="7">
                  <c:v>2244.4910593333334</c:v>
                </c:pt>
              </c:numCache>
            </c:numRef>
          </c:val>
          <c:smooth val="0"/>
        </c:ser>
        <c:ser>
          <c:idx val="5"/>
          <c:order val="2"/>
          <c:tx>
            <c:strRef>
              <c:f>Electricity!$G$7</c:f>
              <c:strCache>
                <c:ptCount val="1"/>
                <c:pt idx="0">
                  <c:v>NSW</c:v>
                </c:pt>
              </c:strCache>
            </c:strRef>
          </c:tx>
          <c:marker>
            <c:symbol val="none"/>
          </c:marker>
          <c:cat>
            <c:strRef>
              <c:f>Electricity!$A$8:$A$15</c:f>
              <c:strCache>
                <c:ptCount val="8"/>
                <c:pt idx="0">
                  <c:v>Jan'12</c:v>
                </c:pt>
                <c:pt idx="1">
                  <c:v>Jul'12</c:v>
                </c:pt>
                <c:pt idx="2">
                  <c:v>Jan'13</c:v>
                </c:pt>
                <c:pt idx="3">
                  <c:v>Jul'13</c:v>
                </c:pt>
                <c:pt idx="4">
                  <c:v>Jan'14</c:v>
                </c:pt>
                <c:pt idx="5">
                  <c:v>Jul'14</c:v>
                </c:pt>
                <c:pt idx="6">
                  <c:v>Oct'14</c:v>
                </c:pt>
                <c:pt idx="7">
                  <c:v>Jan'15</c:v>
                </c:pt>
              </c:strCache>
            </c:strRef>
          </c:cat>
          <c:val>
            <c:numRef>
              <c:f>Electricity!$G$8:$G$15</c:f>
              <c:numCache>
                <c:formatCode>#,##0</c:formatCode>
                <c:ptCount val="8"/>
                <c:pt idx="0">
                  <c:v>1911.5721386666667</c:v>
                </c:pt>
                <c:pt idx="1">
                  <c:v>2258.889893333333</c:v>
                </c:pt>
                <c:pt idx="2">
                  <c:v>2258.889893333333</c:v>
                </c:pt>
                <c:pt idx="3">
                  <c:v>2290.7825600000001</c:v>
                </c:pt>
                <c:pt idx="4">
                  <c:v>2290.7825600000001</c:v>
                </c:pt>
                <c:pt idx="5">
                  <c:v>2317.461593333333</c:v>
                </c:pt>
                <c:pt idx="6">
                  <c:v>2158.4991100000002</c:v>
                </c:pt>
                <c:pt idx="7">
                  <c:v>2158.4991100000002</c:v>
                </c:pt>
              </c:numCache>
            </c:numRef>
          </c:val>
          <c:smooth val="0"/>
        </c:ser>
        <c:ser>
          <c:idx val="4"/>
          <c:order val="3"/>
          <c:tx>
            <c:strRef>
              <c:f>Electricity!$F$7</c:f>
              <c:strCache>
                <c:ptCount val="1"/>
                <c:pt idx="0">
                  <c:v>QLD</c:v>
                </c:pt>
              </c:strCache>
            </c:strRef>
          </c:tx>
          <c:marker>
            <c:symbol val="none"/>
          </c:marker>
          <c:cat>
            <c:strRef>
              <c:f>Electricity!$A$8:$A$15</c:f>
              <c:strCache>
                <c:ptCount val="8"/>
                <c:pt idx="0">
                  <c:v>Jan'12</c:v>
                </c:pt>
                <c:pt idx="1">
                  <c:v>Jul'12</c:v>
                </c:pt>
                <c:pt idx="2">
                  <c:v>Jan'13</c:v>
                </c:pt>
                <c:pt idx="3">
                  <c:v>Jul'13</c:v>
                </c:pt>
                <c:pt idx="4">
                  <c:v>Jan'14</c:v>
                </c:pt>
                <c:pt idx="5">
                  <c:v>Jul'14</c:v>
                </c:pt>
                <c:pt idx="6">
                  <c:v>Oct'14</c:v>
                </c:pt>
                <c:pt idx="7">
                  <c:v>Jan'15</c:v>
                </c:pt>
              </c:strCache>
            </c:strRef>
          </c:cat>
          <c:val>
            <c:numRef>
              <c:f>Electricity!$F$8:$F$15</c:f>
              <c:numCache>
                <c:formatCode>#,##0</c:formatCode>
                <c:ptCount val="8"/>
                <c:pt idx="0">
                  <c:v>1583.8394000000001</c:v>
                </c:pt>
                <c:pt idx="1">
                  <c:v>1754.3546799999999</c:v>
                </c:pt>
                <c:pt idx="2">
                  <c:v>1754.3546799999999</c:v>
                </c:pt>
                <c:pt idx="3">
                  <c:v>2112.2718759999998</c:v>
                </c:pt>
                <c:pt idx="4">
                  <c:v>2112.2718759999998</c:v>
                </c:pt>
                <c:pt idx="5">
                  <c:v>2337.062156</c:v>
                </c:pt>
                <c:pt idx="6">
                  <c:v>2148.6596560000003</c:v>
                </c:pt>
                <c:pt idx="7">
                  <c:v>2148.6596560000003</c:v>
                </c:pt>
              </c:numCache>
            </c:numRef>
          </c:val>
          <c:smooth val="0"/>
        </c:ser>
        <c:ser>
          <c:idx val="2"/>
          <c:order val="4"/>
          <c:tx>
            <c:strRef>
              <c:f>Electricity!$D$7</c:f>
              <c:strCache>
                <c:ptCount val="1"/>
                <c:pt idx="0">
                  <c:v>TAS</c:v>
                </c:pt>
              </c:strCache>
            </c:strRef>
          </c:tx>
          <c:marker>
            <c:symbol val="none"/>
          </c:marker>
          <c:cat>
            <c:strRef>
              <c:f>Electricity!$A$8:$A$15</c:f>
              <c:strCache>
                <c:ptCount val="8"/>
                <c:pt idx="0">
                  <c:v>Jan'12</c:v>
                </c:pt>
                <c:pt idx="1">
                  <c:v>Jul'12</c:v>
                </c:pt>
                <c:pt idx="2">
                  <c:v>Jan'13</c:v>
                </c:pt>
                <c:pt idx="3">
                  <c:v>Jul'13</c:v>
                </c:pt>
                <c:pt idx="4">
                  <c:v>Jan'14</c:v>
                </c:pt>
                <c:pt idx="5">
                  <c:v>Jul'14</c:v>
                </c:pt>
                <c:pt idx="6">
                  <c:v>Oct'14</c:v>
                </c:pt>
                <c:pt idx="7">
                  <c:v>Jan'15</c:v>
                </c:pt>
              </c:strCache>
            </c:strRef>
          </c:cat>
          <c:val>
            <c:numRef>
              <c:f>Electricity!$D$8:$D$15</c:f>
              <c:numCache>
                <c:formatCode>#,##0</c:formatCode>
                <c:ptCount val="8"/>
                <c:pt idx="0">
                  <c:v>1828.0677999999998</c:v>
                </c:pt>
                <c:pt idx="1">
                  <c:v>2164.7797600000004</c:v>
                </c:pt>
                <c:pt idx="2">
                  <c:v>2164.7797600000004</c:v>
                </c:pt>
                <c:pt idx="3">
                  <c:v>2203.7126800000001</c:v>
                </c:pt>
                <c:pt idx="4">
                  <c:v>2203.7126800000001</c:v>
                </c:pt>
                <c:pt idx="5">
                  <c:v>1925.74928</c:v>
                </c:pt>
                <c:pt idx="6">
                  <c:v>1925.74928</c:v>
                </c:pt>
                <c:pt idx="7">
                  <c:v>1925.74928</c:v>
                </c:pt>
              </c:numCache>
            </c:numRef>
          </c:val>
          <c:smooth val="0"/>
        </c:ser>
        <c:ser>
          <c:idx val="3"/>
          <c:order val="5"/>
          <c:tx>
            <c:strRef>
              <c:f>Electricity!$E$7</c:f>
              <c:strCache>
                <c:ptCount val="1"/>
                <c:pt idx="0">
                  <c:v>NT</c:v>
                </c:pt>
              </c:strCache>
            </c:strRef>
          </c:tx>
          <c:marker>
            <c:symbol val="none"/>
          </c:marker>
          <c:cat>
            <c:strRef>
              <c:f>Electricity!$A$8:$A$15</c:f>
              <c:strCache>
                <c:ptCount val="8"/>
                <c:pt idx="0">
                  <c:v>Jan'12</c:v>
                </c:pt>
                <c:pt idx="1">
                  <c:v>Jul'12</c:v>
                </c:pt>
                <c:pt idx="2">
                  <c:v>Jan'13</c:v>
                </c:pt>
                <c:pt idx="3">
                  <c:v>Jul'13</c:v>
                </c:pt>
                <c:pt idx="4">
                  <c:v>Jan'14</c:v>
                </c:pt>
                <c:pt idx="5">
                  <c:v>Jul'14</c:v>
                </c:pt>
                <c:pt idx="6">
                  <c:v>Oct'14</c:v>
                </c:pt>
                <c:pt idx="7">
                  <c:v>Jan'15</c:v>
                </c:pt>
              </c:strCache>
            </c:strRef>
          </c:cat>
          <c:val>
            <c:numRef>
              <c:f>Electricity!$E$8:$E$15</c:f>
              <c:numCache>
                <c:formatCode>#,##0</c:formatCode>
                <c:ptCount val="8"/>
                <c:pt idx="0">
                  <c:v>1387.9788000000001</c:v>
                </c:pt>
                <c:pt idx="1">
                  <c:v>1560.9048</c:v>
                </c:pt>
                <c:pt idx="2">
                  <c:v>2001.1576</c:v>
                </c:pt>
                <c:pt idx="3">
                  <c:v>1759.7112</c:v>
                </c:pt>
                <c:pt idx="4">
                  <c:v>1847.7472</c:v>
                </c:pt>
                <c:pt idx="5">
                  <c:v>1847.7472</c:v>
                </c:pt>
                <c:pt idx="6">
                  <c:v>1748.2972</c:v>
                </c:pt>
                <c:pt idx="7">
                  <c:v>1940.1200000000001</c:v>
                </c:pt>
              </c:numCache>
            </c:numRef>
          </c:val>
          <c:smooth val="0"/>
        </c:ser>
        <c:ser>
          <c:idx val="1"/>
          <c:order val="6"/>
          <c:tx>
            <c:strRef>
              <c:f>Electricity!$C$7</c:f>
              <c:strCache>
                <c:ptCount val="1"/>
                <c:pt idx="0">
                  <c:v>WA</c:v>
                </c:pt>
              </c:strCache>
            </c:strRef>
          </c:tx>
          <c:marker>
            <c:symbol val="none"/>
          </c:marker>
          <c:cat>
            <c:strRef>
              <c:f>Electricity!$A$8:$A$15</c:f>
              <c:strCache>
                <c:ptCount val="8"/>
                <c:pt idx="0">
                  <c:v>Jan'12</c:v>
                </c:pt>
                <c:pt idx="1">
                  <c:v>Jul'12</c:v>
                </c:pt>
                <c:pt idx="2">
                  <c:v>Jan'13</c:v>
                </c:pt>
                <c:pt idx="3">
                  <c:v>Jul'13</c:v>
                </c:pt>
                <c:pt idx="4">
                  <c:v>Jan'14</c:v>
                </c:pt>
                <c:pt idx="5">
                  <c:v>Jul'14</c:v>
                </c:pt>
                <c:pt idx="6">
                  <c:v>Oct'14</c:v>
                </c:pt>
                <c:pt idx="7">
                  <c:v>Jan'15</c:v>
                </c:pt>
              </c:strCache>
            </c:strRef>
          </c:cat>
          <c:val>
            <c:numRef>
              <c:f>Electricity!$C$8:$C$15</c:f>
              <c:numCache>
                <c:formatCode>#,##0</c:formatCode>
                <c:ptCount val="8"/>
                <c:pt idx="0">
                  <c:v>1567.42742</c:v>
                </c:pt>
                <c:pt idx="1">
                  <c:v>1768.8546200000001</c:v>
                </c:pt>
                <c:pt idx="2">
                  <c:v>1768.8546200000001</c:v>
                </c:pt>
                <c:pt idx="3">
                  <c:v>1841.1122080000002</c:v>
                </c:pt>
                <c:pt idx="4">
                  <c:v>1841.1122080000002</c:v>
                </c:pt>
                <c:pt idx="5">
                  <c:v>1919.4558240000001</c:v>
                </c:pt>
                <c:pt idx="6">
                  <c:v>1763.098324</c:v>
                </c:pt>
                <c:pt idx="7">
                  <c:v>1763.098324</c:v>
                </c:pt>
              </c:numCache>
            </c:numRef>
          </c:val>
          <c:smooth val="0"/>
        </c:ser>
        <c:ser>
          <c:idx val="0"/>
          <c:order val="7"/>
          <c:tx>
            <c:strRef>
              <c:f>Electricity!$B$7</c:f>
              <c:strCache>
                <c:ptCount val="1"/>
                <c:pt idx="0">
                  <c:v>ACT</c:v>
                </c:pt>
              </c:strCache>
            </c:strRef>
          </c:tx>
          <c:marker>
            <c:symbol val="none"/>
          </c:marker>
          <c:cat>
            <c:strRef>
              <c:f>Electricity!$A$8:$A$15</c:f>
              <c:strCache>
                <c:ptCount val="8"/>
                <c:pt idx="0">
                  <c:v>Jan'12</c:v>
                </c:pt>
                <c:pt idx="1">
                  <c:v>Jul'12</c:v>
                </c:pt>
                <c:pt idx="2">
                  <c:v>Jan'13</c:v>
                </c:pt>
                <c:pt idx="3">
                  <c:v>Jul'13</c:v>
                </c:pt>
                <c:pt idx="4">
                  <c:v>Jan'14</c:v>
                </c:pt>
                <c:pt idx="5">
                  <c:v>Jul'14</c:v>
                </c:pt>
                <c:pt idx="6">
                  <c:v>Oct'14</c:v>
                </c:pt>
                <c:pt idx="7">
                  <c:v>Jan'15</c:v>
                </c:pt>
              </c:strCache>
            </c:strRef>
          </c:cat>
          <c:val>
            <c:numRef>
              <c:f>Electricity!$B$8:$B$15</c:f>
              <c:numCache>
                <c:formatCode>#,##0</c:formatCode>
                <c:ptCount val="8"/>
                <c:pt idx="0">
                  <c:v>1287.4289999999999</c:v>
                </c:pt>
                <c:pt idx="1">
                  <c:v>1522.0920000000001</c:v>
                </c:pt>
                <c:pt idx="2">
                  <c:v>1522.0920000000001</c:v>
                </c:pt>
                <c:pt idx="3">
                  <c:v>1575.9172000000001</c:v>
                </c:pt>
                <c:pt idx="4">
                  <c:v>1575.9172000000001</c:v>
                </c:pt>
                <c:pt idx="5">
                  <c:v>1646.1016000000002</c:v>
                </c:pt>
                <c:pt idx="6">
                  <c:v>1465.6355999999998</c:v>
                </c:pt>
                <c:pt idx="7">
                  <c:v>1465.6355999999998</c:v>
                </c:pt>
              </c:numCache>
            </c:numRef>
          </c:val>
          <c:smooth val="0"/>
        </c:ser>
        <c:dLbls>
          <c:showLegendKey val="0"/>
          <c:showVal val="0"/>
          <c:showCatName val="0"/>
          <c:showSerName val="0"/>
          <c:showPercent val="0"/>
          <c:showBubbleSize val="0"/>
        </c:dLbls>
        <c:marker val="1"/>
        <c:smooth val="0"/>
        <c:axId val="81615104"/>
        <c:axId val="81616896"/>
      </c:lineChart>
      <c:catAx>
        <c:axId val="81615104"/>
        <c:scaling>
          <c:orientation val="minMax"/>
        </c:scaling>
        <c:delete val="0"/>
        <c:axPos val="b"/>
        <c:majorTickMark val="out"/>
        <c:minorTickMark val="none"/>
        <c:tickLblPos val="nextTo"/>
        <c:crossAx val="81616896"/>
        <c:crosses val="autoZero"/>
        <c:auto val="1"/>
        <c:lblAlgn val="ctr"/>
        <c:lblOffset val="100"/>
        <c:noMultiLvlLbl val="0"/>
      </c:catAx>
      <c:valAx>
        <c:axId val="81616896"/>
        <c:scaling>
          <c:orientation val="minMax"/>
          <c:max val="3000"/>
          <c:min val="0"/>
        </c:scaling>
        <c:delete val="0"/>
        <c:axPos val="l"/>
        <c:majorGridlines/>
        <c:numFmt formatCode="#,##0" sourceLinked="1"/>
        <c:majorTickMark val="out"/>
        <c:minorTickMark val="none"/>
        <c:tickLblPos val="nextTo"/>
        <c:crossAx val="81615104"/>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7"/>
          <c:order val="0"/>
          <c:tx>
            <c:strRef>
              <c:f>Electricity!$I$54</c:f>
              <c:strCache>
                <c:ptCount val="1"/>
                <c:pt idx="0">
                  <c:v>SA</c:v>
                </c:pt>
              </c:strCache>
            </c:strRef>
          </c:tx>
          <c:invertIfNegative val="0"/>
          <c:cat>
            <c:strRef>
              <c:f>Electricity!$A$55:$A$61</c:f>
              <c:strCache>
                <c:ptCount val="7"/>
                <c:pt idx="0">
                  <c:v>Jul'12</c:v>
                </c:pt>
                <c:pt idx="1">
                  <c:v>Jan'13</c:v>
                </c:pt>
                <c:pt idx="2">
                  <c:v>Jul'13</c:v>
                </c:pt>
                <c:pt idx="3">
                  <c:v>Jan'14</c:v>
                </c:pt>
                <c:pt idx="4">
                  <c:v>Jul'14</c:v>
                </c:pt>
                <c:pt idx="5">
                  <c:v>Oct'14</c:v>
                </c:pt>
                <c:pt idx="6">
                  <c:v>Jan'15</c:v>
                </c:pt>
              </c:strCache>
            </c:strRef>
          </c:cat>
          <c:val>
            <c:numRef>
              <c:f>Electricity!$I$55:$I$61</c:f>
              <c:numCache>
                <c:formatCode>0.0</c:formatCode>
                <c:ptCount val="7"/>
                <c:pt idx="0">
                  <c:v>17.995730163166044</c:v>
                </c:pt>
                <c:pt idx="1">
                  <c:v>-4.5120669983427799</c:v>
                </c:pt>
                <c:pt idx="2">
                  <c:v>2.7991022219399047</c:v>
                </c:pt>
                <c:pt idx="3">
                  <c:v>-0.78986064634328279</c:v>
                </c:pt>
                <c:pt idx="4">
                  <c:v>8.3208770518074715</c:v>
                </c:pt>
                <c:pt idx="5">
                  <c:v>-4.3997930612718532</c:v>
                </c:pt>
                <c:pt idx="6">
                  <c:v>0</c:v>
                </c:pt>
              </c:numCache>
            </c:numRef>
          </c:val>
        </c:ser>
        <c:ser>
          <c:idx val="6"/>
          <c:order val="1"/>
          <c:tx>
            <c:strRef>
              <c:f>Electricity!$H$54</c:f>
              <c:strCache>
                <c:ptCount val="1"/>
                <c:pt idx="0">
                  <c:v>VIC</c:v>
                </c:pt>
              </c:strCache>
            </c:strRef>
          </c:tx>
          <c:spPr>
            <a:solidFill>
              <a:schemeClr val="accent2">
                <a:lumMod val="75000"/>
              </a:schemeClr>
            </a:solidFill>
          </c:spPr>
          <c:invertIfNegative val="0"/>
          <c:cat>
            <c:strRef>
              <c:f>Electricity!$A$55:$A$61</c:f>
              <c:strCache>
                <c:ptCount val="7"/>
                <c:pt idx="0">
                  <c:v>Jul'12</c:v>
                </c:pt>
                <c:pt idx="1">
                  <c:v>Jan'13</c:v>
                </c:pt>
                <c:pt idx="2">
                  <c:v>Jul'13</c:v>
                </c:pt>
                <c:pt idx="3">
                  <c:v>Jan'14</c:v>
                </c:pt>
                <c:pt idx="4">
                  <c:v>Jul'14</c:v>
                </c:pt>
                <c:pt idx="5">
                  <c:v>Oct'14</c:v>
                </c:pt>
                <c:pt idx="6">
                  <c:v>Jan'15</c:v>
                </c:pt>
              </c:strCache>
            </c:strRef>
          </c:cat>
          <c:val>
            <c:numRef>
              <c:f>Electricity!$H$55:$H$61</c:f>
              <c:numCache>
                <c:formatCode>0.0</c:formatCode>
                <c:ptCount val="7"/>
                <c:pt idx="0">
                  <c:v>12.471144158197216</c:v>
                </c:pt>
                <c:pt idx="1">
                  <c:v>7.3885233164366726</c:v>
                </c:pt>
                <c:pt idx="2">
                  <c:v>0</c:v>
                </c:pt>
                <c:pt idx="3">
                  <c:v>2.3618991299190659</c:v>
                </c:pt>
                <c:pt idx="4">
                  <c:v>0</c:v>
                </c:pt>
                <c:pt idx="5">
                  <c:v>-8.1933289256985162</c:v>
                </c:pt>
                <c:pt idx="6">
                  <c:v>5.7942030092666341</c:v>
                </c:pt>
              </c:numCache>
            </c:numRef>
          </c:val>
        </c:ser>
        <c:ser>
          <c:idx val="5"/>
          <c:order val="2"/>
          <c:tx>
            <c:strRef>
              <c:f>Electricity!$G$54</c:f>
              <c:strCache>
                <c:ptCount val="1"/>
                <c:pt idx="0">
                  <c:v>NSW</c:v>
                </c:pt>
              </c:strCache>
            </c:strRef>
          </c:tx>
          <c:spPr>
            <a:solidFill>
              <a:schemeClr val="bg1">
                <a:lumMod val="50000"/>
              </a:schemeClr>
            </a:solidFill>
          </c:spPr>
          <c:invertIfNegative val="0"/>
          <c:cat>
            <c:strRef>
              <c:f>Electricity!$A$55:$A$61</c:f>
              <c:strCache>
                <c:ptCount val="7"/>
                <c:pt idx="0">
                  <c:v>Jul'12</c:v>
                </c:pt>
                <c:pt idx="1">
                  <c:v>Jan'13</c:v>
                </c:pt>
                <c:pt idx="2">
                  <c:v>Jul'13</c:v>
                </c:pt>
                <c:pt idx="3">
                  <c:v>Jan'14</c:v>
                </c:pt>
                <c:pt idx="4">
                  <c:v>Jul'14</c:v>
                </c:pt>
                <c:pt idx="5">
                  <c:v>Oct'14</c:v>
                </c:pt>
                <c:pt idx="6">
                  <c:v>Jan'15</c:v>
                </c:pt>
              </c:strCache>
            </c:strRef>
          </c:cat>
          <c:val>
            <c:numRef>
              <c:f>Electricity!$G$55:$G$61</c:f>
              <c:numCache>
                <c:formatCode>0.0</c:formatCode>
                <c:ptCount val="7"/>
                <c:pt idx="0">
                  <c:v>18.169220383643101</c:v>
                </c:pt>
                <c:pt idx="1">
                  <c:v>0</c:v>
                </c:pt>
                <c:pt idx="2">
                  <c:v>1.4118734499097094</c:v>
                </c:pt>
                <c:pt idx="3">
                  <c:v>0</c:v>
                </c:pt>
                <c:pt idx="4">
                  <c:v>1.1646253031249234</c:v>
                </c:pt>
                <c:pt idx="5">
                  <c:v>-6.8593362578530703</c:v>
                </c:pt>
                <c:pt idx="6">
                  <c:v>0</c:v>
                </c:pt>
              </c:numCache>
            </c:numRef>
          </c:val>
        </c:ser>
        <c:ser>
          <c:idx val="4"/>
          <c:order val="3"/>
          <c:tx>
            <c:strRef>
              <c:f>Electricity!$F$54</c:f>
              <c:strCache>
                <c:ptCount val="1"/>
                <c:pt idx="0">
                  <c:v>QLD</c:v>
                </c:pt>
              </c:strCache>
            </c:strRef>
          </c:tx>
          <c:invertIfNegative val="0"/>
          <c:cat>
            <c:strRef>
              <c:f>Electricity!$A$55:$A$61</c:f>
              <c:strCache>
                <c:ptCount val="7"/>
                <c:pt idx="0">
                  <c:v>Jul'12</c:v>
                </c:pt>
                <c:pt idx="1">
                  <c:v>Jan'13</c:v>
                </c:pt>
                <c:pt idx="2">
                  <c:v>Jul'13</c:v>
                </c:pt>
                <c:pt idx="3">
                  <c:v>Jan'14</c:v>
                </c:pt>
                <c:pt idx="4">
                  <c:v>Jul'14</c:v>
                </c:pt>
                <c:pt idx="5">
                  <c:v>Oct'14</c:v>
                </c:pt>
                <c:pt idx="6">
                  <c:v>Jan'15</c:v>
                </c:pt>
              </c:strCache>
            </c:strRef>
          </c:cat>
          <c:val>
            <c:numRef>
              <c:f>Electricity!$F$55:$F$61</c:f>
              <c:numCache>
                <c:formatCode>0.0</c:formatCode>
                <c:ptCount val="7"/>
                <c:pt idx="0">
                  <c:v>10.765945082563286</c:v>
                </c:pt>
                <c:pt idx="1">
                  <c:v>0</c:v>
                </c:pt>
                <c:pt idx="2">
                  <c:v>20.401643982276145</c:v>
                </c:pt>
                <c:pt idx="3">
                  <c:v>0</c:v>
                </c:pt>
                <c:pt idx="4">
                  <c:v>10.642109216815619</c:v>
                </c:pt>
                <c:pt idx="5">
                  <c:v>-8.0615100251531224</c:v>
                </c:pt>
                <c:pt idx="6">
                  <c:v>0</c:v>
                </c:pt>
              </c:numCache>
            </c:numRef>
          </c:val>
        </c:ser>
        <c:ser>
          <c:idx val="2"/>
          <c:order val="4"/>
          <c:tx>
            <c:strRef>
              <c:f>Electricity!$D$54</c:f>
              <c:strCache>
                <c:ptCount val="1"/>
                <c:pt idx="0">
                  <c:v>TAS</c:v>
                </c:pt>
              </c:strCache>
            </c:strRef>
          </c:tx>
          <c:invertIfNegative val="0"/>
          <c:cat>
            <c:strRef>
              <c:f>Electricity!$A$55:$A$61</c:f>
              <c:strCache>
                <c:ptCount val="7"/>
                <c:pt idx="0">
                  <c:v>Jul'12</c:v>
                </c:pt>
                <c:pt idx="1">
                  <c:v>Jan'13</c:v>
                </c:pt>
                <c:pt idx="2">
                  <c:v>Jul'13</c:v>
                </c:pt>
                <c:pt idx="3">
                  <c:v>Jan'14</c:v>
                </c:pt>
                <c:pt idx="4">
                  <c:v>Jul'14</c:v>
                </c:pt>
                <c:pt idx="5">
                  <c:v>Oct'14</c:v>
                </c:pt>
                <c:pt idx="6">
                  <c:v>Jan'15</c:v>
                </c:pt>
              </c:strCache>
            </c:strRef>
          </c:cat>
          <c:val>
            <c:numRef>
              <c:f>Electricity!$D$55:$D$61</c:f>
              <c:numCache>
                <c:formatCode>0.0</c:formatCode>
                <c:ptCount val="7"/>
                <c:pt idx="0">
                  <c:v>18.419008310304498</c:v>
                </c:pt>
                <c:pt idx="1">
                  <c:v>0</c:v>
                </c:pt>
                <c:pt idx="2">
                  <c:v>1.7984702517728519</c:v>
                </c:pt>
                <c:pt idx="3">
                  <c:v>0</c:v>
                </c:pt>
                <c:pt idx="4">
                  <c:v>-12.613413832151663</c:v>
                </c:pt>
                <c:pt idx="5">
                  <c:v>0</c:v>
                </c:pt>
                <c:pt idx="6">
                  <c:v>0</c:v>
                </c:pt>
              </c:numCache>
            </c:numRef>
          </c:val>
        </c:ser>
        <c:ser>
          <c:idx val="3"/>
          <c:order val="5"/>
          <c:tx>
            <c:strRef>
              <c:f>Electricity!$E$54</c:f>
              <c:strCache>
                <c:ptCount val="1"/>
                <c:pt idx="0">
                  <c:v>NT</c:v>
                </c:pt>
              </c:strCache>
            </c:strRef>
          </c:tx>
          <c:invertIfNegative val="0"/>
          <c:cat>
            <c:strRef>
              <c:f>Electricity!$A$55:$A$61</c:f>
              <c:strCache>
                <c:ptCount val="7"/>
                <c:pt idx="0">
                  <c:v>Jul'12</c:v>
                </c:pt>
                <c:pt idx="1">
                  <c:v>Jan'13</c:v>
                </c:pt>
                <c:pt idx="2">
                  <c:v>Jul'13</c:v>
                </c:pt>
                <c:pt idx="3">
                  <c:v>Jan'14</c:v>
                </c:pt>
                <c:pt idx="4">
                  <c:v>Jul'14</c:v>
                </c:pt>
                <c:pt idx="5">
                  <c:v>Oct'14</c:v>
                </c:pt>
                <c:pt idx="6">
                  <c:v>Jan'15</c:v>
                </c:pt>
              </c:strCache>
            </c:strRef>
          </c:cat>
          <c:val>
            <c:numRef>
              <c:f>Electricity!$E$55:$E$61</c:f>
              <c:numCache>
                <c:formatCode>0.0</c:formatCode>
                <c:ptCount val="7"/>
                <c:pt idx="0">
                  <c:v>12.458835826599076</c:v>
                </c:pt>
                <c:pt idx="1">
                  <c:v>28.204974448153404</c:v>
                </c:pt>
                <c:pt idx="2">
                  <c:v>-12.065336583185655</c:v>
                </c:pt>
                <c:pt idx="3">
                  <c:v>5.0028663794377204</c:v>
                </c:pt>
                <c:pt idx="4">
                  <c:v>0</c:v>
                </c:pt>
                <c:pt idx="5">
                  <c:v>-5.3822297768872307</c:v>
                </c:pt>
                <c:pt idx="6">
                  <c:v>10.971978906103615</c:v>
                </c:pt>
              </c:numCache>
            </c:numRef>
          </c:val>
        </c:ser>
        <c:ser>
          <c:idx val="1"/>
          <c:order val="6"/>
          <c:tx>
            <c:strRef>
              <c:f>Electricity!$C$54</c:f>
              <c:strCache>
                <c:ptCount val="1"/>
                <c:pt idx="0">
                  <c:v>WA</c:v>
                </c:pt>
              </c:strCache>
            </c:strRef>
          </c:tx>
          <c:spPr>
            <a:solidFill>
              <a:schemeClr val="accent6">
                <a:lumMod val="75000"/>
              </a:schemeClr>
            </a:solidFill>
          </c:spPr>
          <c:invertIfNegative val="0"/>
          <c:cat>
            <c:strRef>
              <c:f>Electricity!$A$55:$A$61</c:f>
              <c:strCache>
                <c:ptCount val="7"/>
                <c:pt idx="0">
                  <c:v>Jul'12</c:v>
                </c:pt>
                <c:pt idx="1">
                  <c:v>Jan'13</c:v>
                </c:pt>
                <c:pt idx="2">
                  <c:v>Jul'13</c:v>
                </c:pt>
                <c:pt idx="3">
                  <c:v>Jan'14</c:v>
                </c:pt>
                <c:pt idx="4">
                  <c:v>Jul'14</c:v>
                </c:pt>
                <c:pt idx="5">
                  <c:v>Oct'14</c:v>
                </c:pt>
                <c:pt idx="6">
                  <c:v>Jan'15</c:v>
                </c:pt>
              </c:strCache>
            </c:strRef>
          </c:cat>
          <c:val>
            <c:numRef>
              <c:f>Electricity!$C$55:$C$61</c:f>
              <c:numCache>
                <c:formatCode>0.0</c:formatCode>
                <c:ptCount val="7"/>
                <c:pt idx="0">
                  <c:v>12.850815127376048</c:v>
                </c:pt>
                <c:pt idx="1">
                  <c:v>0</c:v>
                </c:pt>
                <c:pt idx="2">
                  <c:v>4.0849930335145448</c:v>
                </c:pt>
                <c:pt idx="3">
                  <c:v>0</c:v>
                </c:pt>
                <c:pt idx="4">
                  <c:v>4.2552330954941926</c:v>
                </c:pt>
                <c:pt idx="5">
                  <c:v>-8.1459285514663691</c:v>
                </c:pt>
                <c:pt idx="6">
                  <c:v>0</c:v>
                </c:pt>
              </c:numCache>
            </c:numRef>
          </c:val>
        </c:ser>
        <c:ser>
          <c:idx val="0"/>
          <c:order val="7"/>
          <c:tx>
            <c:strRef>
              <c:f>Electricity!$B$54</c:f>
              <c:strCache>
                <c:ptCount val="1"/>
                <c:pt idx="0">
                  <c:v>ACT</c:v>
                </c:pt>
              </c:strCache>
            </c:strRef>
          </c:tx>
          <c:invertIfNegative val="0"/>
          <c:cat>
            <c:strRef>
              <c:f>Electricity!$A$55:$A$61</c:f>
              <c:strCache>
                <c:ptCount val="7"/>
                <c:pt idx="0">
                  <c:v>Jul'12</c:v>
                </c:pt>
                <c:pt idx="1">
                  <c:v>Jan'13</c:v>
                </c:pt>
                <c:pt idx="2">
                  <c:v>Jul'13</c:v>
                </c:pt>
                <c:pt idx="3">
                  <c:v>Jan'14</c:v>
                </c:pt>
                <c:pt idx="4">
                  <c:v>Jul'14</c:v>
                </c:pt>
                <c:pt idx="5">
                  <c:v>Oct'14</c:v>
                </c:pt>
                <c:pt idx="6">
                  <c:v>Jan'15</c:v>
                </c:pt>
              </c:strCache>
            </c:strRef>
          </c:cat>
          <c:val>
            <c:numRef>
              <c:f>Electricity!$B$55:$B$61</c:f>
              <c:numCache>
                <c:formatCode>0.0</c:formatCode>
                <c:ptCount val="7"/>
                <c:pt idx="0">
                  <c:v>18.22725758080642</c:v>
                </c:pt>
                <c:pt idx="1">
                  <c:v>0</c:v>
                </c:pt>
                <c:pt idx="2">
                  <c:v>3.5362645621946633</c:v>
                </c:pt>
                <c:pt idx="3">
                  <c:v>0</c:v>
                </c:pt>
                <c:pt idx="4">
                  <c:v>4.4535588544880458</c:v>
                </c:pt>
                <c:pt idx="5">
                  <c:v>-10.963235805128937</c:v>
                </c:pt>
                <c:pt idx="6">
                  <c:v>0</c:v>
                </c:pt>
              </c:numCache>
            </c:numRef>
          </c:val>
        </c:ser>
        <c:dLbls>
          <c:showLegendKey val="0"/>
          <c:showVal val="0"/>
          <c:showCatName val="0"/>
          <c:showSerName val="0"/>
          <c:showPercent val="0"/>
          <c:showBubbleSize val="0"/>
        </c:dLbls>
        <c:gapWidth val="150"/>
        <c:axId val="88455040"/>
        <c:axId val="88461312"/>
      </c:barChart>
      <c:lineChart>
        <c:grouping val="standard"/>
        <c:varyColors val="0"/>
        <c:ser>
          <c:idx val="8"/>
          <c:order val="8"/>
          <c:tx>
            <c:strRef>
              <c:f>Electricity!$J$54</c:f>
              <c:strCache>
                <c:ptCount val="1"/>
                <c:pt idx="0">
                  <c:v>Average</c:v>
                </c:pt>
              </c:strCache>
            </c:strRef>
          </c:tx>
          <c:spPr>
            <a:ln>
              <a:noFill/>
            </a:ln>
          </c:spPr>
          <c:marker>
            <c:symbol val="dash"/>
            <c:size val="6"/>
            <c:spPr>
              <a:solidFill>
                <a:schemeClr val="tx1"/>
              </a:solidFill>
              <a:ln>
                <a:solidFill>
                  <a:schemeClr val="tx1"/>
                </a:solidFill>
              </a:ln>
            </c:spPr>
          </c:marker>
          <c:cat>
            <c:strRef>
              <c:f>Electricity!$A$55:$A$61</c:f>
              <c:strCache>
                <c:ptCount val="7"/>
                <c:pt idx="0">
                  <c:v>Jul'12</c:v>
                </c:pt>
                <c:pt idx="1">
                  <c:v>Jan'13</c:v>
                </c:pt>
                <c:pt idx="2">
                  <c:v>Jul'13</c:v>
                </c:pt>
                <c:pt idx="3">
                  <c:v>Jan'14</c:v>
                </c:pt>
                <c:pt idx="4">
                  <c:v>Jul'14</c:v>
                </c:pt>
                <c:pt idx="5">
                  <c:v>Oct'14</c:v>
                </c:pt>
                <c:pt idx="6">
                  <c:v>Jan'15</c:v>
                </c:pt>
              </c:strCache>
            </c:strRef>
          </c:cat>
          <c:val>
            <c:numRef>
              <c:f>Electricity!$J$55:$J$61</c:f>
              <c:numCache>
                <c:formatCode>0.0</c:formatCode>
                <c:ptCount val="7"/>
                <c:pt idx="0">
                  <c:v>15.169744579081961</c:v>
                </c:pt>
                <c:pt idx="1">
                  <c:v>3.8851788457809118</c:v>
                </c:pt>
                <c:pt idx="2">
                  <c:v>2.7458763648027706</c:v>
                </c:pt>
                <c:pt idx="3">
                  <c:v>0.82186310787668793</c:v>
                </c:pt>
                <c:pt idx="4">
                  <c:v>2.0278737111973237</c:v>
                </c:pt>
                <c:pt idx="5">
                  <c:v>-6.5006703004323869</c:v>
                </c:pt>
                <c:pt idx="6">
                  <c:v>2.0957727394212813</c:v>
                </c:pt>
              </c:numCache>
            </c:numRef>
          </c:val>
          <c:smooth val="0"/>
        </c:ser>
        <c:dLbls>
          <c:showLegendKey val="0"/>
          <c:showVal val="0"/>
          <c:showCatName val="0"/>
          <c:showSerName val="0"/>
          <c:showPercent val="0"/>
          <c:showBubbleSize val="0"/>
        </c:dLbls>
        <c:marker val="1"/>
        <c:smooth val="0"/>
        <c:axId val="88455040"/>
        <c:axId val="88461312"/>
      </c:lineChart>
      <c:catAx>
        <c:axId val="88455040"/>
        <c:scaling>
          <c:orientation val="minMax"/>
        </c:scaling>
        <c:delete val="0"/>
        <c:axPos val="b"/>
        <c:majorTickMark val="out"/>
        <c:minorTickMark val="none"/>
        <c:tickLblPos val="nextTo"/>
        <c:crossAx val="88461312"/>
        <c:crosses val="autoZero"/>
        <c:auto val="1"/>
        <c:lblAlgn val="ctr"/>
        <c:lblOffset val="100"/>
        <c:noMultiLvlLbl val="0"/>
      </c:catAx>
      <c:valAx>
        <c:axId val="88461312"/>
        <c:scaling>
          <c:orientation val="minMax"/>
        </c:scaling>
        <c:delete val="0"/>
        <c:axPos val="l"/>
        <c:majorGridlines/>
        <c:numFmt formatCode="0.0" sourceLinked="1"/>
        <c:majorTickMark val="out"/>
        <c:minorTickMark val="none"/>
        <c:tickLblPos val="nextTo"/>
        <c:crossAx val="88455040"/>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'charts (2)'!$N$74:$N$75</c:f>
              <c:strCache>
                <c:ptCount val="1"/>
                <c:pt idx="0">
                  <c:v>QLD Standing</c:v>
                </c:pt>
              </c:strCache>
            </c:strRef>
          </c:tx>
          <c:invertIfNegative val="0"/>
          <c:cat>
            <c:strRef>
              <c:f>'charts (2)'!$M$76:$M$83</c:f>
              <c:strCache>
                <c:ptCount val="8"/>
                <c:pt idx="0">
                  <c:v>Jan'12</c:v>
                </c:pt>
                <c:pt idx="1">
                  <c:v>Jul'12</c:v>
                </c:pt>
                <c:pt idx="2">
                  <c:v>Jan'13</c:v>
                </c:pt>
                <c:pt idx="3">
                  <c:v>Jul'13</c:v>
                </c:pt>
                <c:pt idx="4">
                  <c:v>Jan'14</c:v>
                </c:pt>
                <c:pt idx="5">
                  <c:v>Jul'14</c:v>
                </c:pt>
                <c:pt idx="6">
                  <c:v>Oct'14</c:v>
                </c:pt>
                <c:pt idx="7">
                  <c:v>Jan'15</c:v>
                </c:pt>
              </c:strCache>
            </c:strRef>
          </c:cat>
          <c:val>
            <c:numRef>
              <c:f>'charts (2)'!$N$76:$N$83</c:f>
              <c:numCache>
                <c:formatCode>_-* #,##0_-;\-* #,##0_-;_-* "-"??_-;_-@_-</c:formatCode>
                <c:ptCount val="8"/>
                <c:pt idx="0">
                  <c:v>1333.4904000000001</c:v>
                </c:pt>
                <c:pt idx="1">
                  <c:v>1475.19668</c:v>
                </c:pt>
                <c:pt idx="2">
                  <c:v>1475.19668</c:v>
                </c:pt>
                <c:pt idx="3">
                  <c:v>1788.8388759999998</c:v>
                </c:pt>
                <c:pt idx="4">
                  <c:v>1788.8388759999998</c:v>
                </c:pt>
                <c:pt idx="5">
                  <c:v>1998.0806560000001</c:v>
                </c:pt>
                <c:pt idx="6">
                  <c:v>1841.5616559999999</c:v>
                </c:pt>
                <c:pt idx="7">
                  <c:v>1841.5616559999999</c:v>
                </c:pt>
              </c:numCache>
            </c:numRef>
          </c:val>
        </c:ser>
        <c:ser>
          <c:idx val="1"/>
          <c:order val="1"/>
          <c:tx>
            <c:strRef>
              <c:f>'charts (2)'!$O$74:$O$75</c:f>
              <c:strCache>
                <c:ptCount val="1"/>
                <c:pt idx="0">
                  <c:v>QLD Market</c:v>
                </c:pt>
              </c:strCache>
            </c:strRef>
          </c:tx>
          <c:spPr>
            <a:solidFill>
              <a:schemeClr val="accent3"/>
            </a:solidFill>
          </c:spPr>
          <c:invertIfNegative val="0"/>
          <c:cat>
            <c:strRef>
              <c:f>'charts (2)'!$M$76:$M$83</c:f>
              <c:strCache>
                <c:ptCount val="8"/>
                <c:pt idx="0">
                  <c:v>Jan'12</c:v>
                </c:pt>
                <c:pt idx="1">
                  <c:v>Jul'12</c:v>
                </c:pt>
                <c:pt idx="2">
                  <c:v>Jan'13</c:v>
                </c:pt>
                <c:pt idx="3">
                  <c:v>Jul'13</c:v>
                </c:pt>
                <c:pt idx="4">
                  <c:v>Jan'14</c:v>
                </c:pt>
                <c:pt idx="5">
                  <c:v>Jul'14</c:v>
                </c:pt>
                <c:pt idx="6">
                  <c:v>Oct'14</c:v>
                </c:pt>
                <c:pt idx="7">
                  <c:v>Jan'15</c:v>
                </c:pt>
              </c:strCache>
            </c:strRef>
          </c:cat>
          <c:val>
            <c:numRef>
              <c:f>'charts (2)'!$O$76:$O$83</c:f>
              <c:numCache>
                <c:formatCode>_-* #,##0_-;\-* #,##0_-;_-* "-"??_-;_-@_-</c:formatCode>
                <c:ptCount val="8"/>
                <c:pt idx="0">
                  <c:v>0</c:v>
                </c:pt>
                <c:pt idx="1">
                  <c:v>1393.8336309333336</c:v>
                </c:pt>
                <c:pt idx="2">
                  <c:v>1393.8336309333336</c:v>
                </c:pt>
                <c:pt idx="3">
                  <c:v>1738.8245636742854</c:v>
                </c:pt>
                <c:pt idx="4">
                  <c:v>1738.8245636742854</c:v>
                </c:pt>
                <c:pt idx="5">
                  <c:v>1939.8119717142858</c:v>
                </c:pt>
                <c:pt idx="6">
                  <c:v>1808.7728079999999</c:v>
                </c:pt>
                <c:pt idx="7">
                  <c:v>1810.9256337142856</c:v>
                </c:pt>
              </c:numCache>
            </c:numRef>
          </c:val>
        </c:ser>
        <c:dLbls>
          <c:showLegendKey val="0"/>
          <c:showVal val="0"/>
          <c:showCatName val="0"/>
          <c:showSerName val="0"/>
          <c:showPercent val="0"/>
          <c:showBubbleSize val="0"/>
        </c:dLbls>
        <c:gapWidth val="150"/>
        <c:shape val="box"/>
        <c:axId val="88580480"/>
        <c:axId val="88582016"/>
        <c:axId val="0"/>
      </c:bar3DChart>
      <c:catAx>
        <c:axId val="88580480"/>
        <c:scaling>
          <c:orientation val="minMax"/>
        </c:scaling>
        <c:delete val="0"/>
        <c:axPos val="b"/>
        <c:majorTickMark val="out"/>
        <c:minorTickMark val="none"/>
        <c:tickLblPos val="nextTo"/>
        <c:crossAx val="88582016"/>
        <c:crosses val="autoZero"/>
        <c:auto val="1"/>
        <c:lblAlgn val="ctr"/>
        <c:lblOffset val="100"/>
        <c:noMultiLvlLbl val="0"/>
      </c:catAx>
      <c:valAx>
        <c:axId val="88582016"/>
        <c:scaling>
          <c:orientation val="minMax"/>
          <c:max val="2500"/>
          <c:min val="0"/>
        </c:scaling>
        <c:delete val="0"/>
        <c:axPos val="l"/>
        <c:majorGridlines/>
        <c:numFmt formatCode="_-* #,##0_-;\-* #,##0_-;_-* &quot;-&quot;??_-;_-@_-" sourceLinked="1"/>
        <c:majorTickMark val="out"/>
        <c:minorTickMark val="none"/>
        <c:tickLblPos val="nextTo"/>
        <c:crossAx val="88580480"/>
        <c:crosses val="autoZero"/>
        <c:crossBetween val="between"/>
        <c:majorUnit val="200"/>
      </c:valAx>
    </c:plotArea>
    <c:legend>
      <c:legendPos val="b"/>
      <c:layout/>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'charts (2)'!$N$110:$N$111</c:f>
              <c:strCache>
                <c:ptCount val="1"/>
                <c:pt idx="0">
                  <c:v>NSW Standing</c:v>
                </c:pt>
              </c:strCache>
            </c:strRef>
          </c:tx>
          <c:invertIfNegative val="0"/>
          <c:cat>
            <c:strRef>
              <c:f>'charts (2)'!$M$112:$M$119</c:f>
              <c:strCache>
                <c:ptCount val="8"/>
                <c:pt idx="0">
                  <c:v>Jan'12</c:v>
                </c:pt>
                <c:pt idx="1">
                  <c:v>Jul'12</c:v>
                </c:pt>
                <c:pt idx="2">
                  <c:v>Jan'13</c:v>
                </c:pt>
                <c:pt idx="3">
                  <c:v>Jul'13</c:v>
                </c:pt>
                <c:pt idx="4">
                  <c:v>Jan'14</c:v>
                </c:pt>
                <c:pt idx="5">
                  <c:v>Jul'14</c:v>
                </c:pt>
                <c:pt idx="6">
                  <c:v>Oct'14</c:v>
                </c:pt>
                <c:pt idx="7">
                  <c:v>Jan'15</c:v>
                </c:pt>
              </c:strCache>
            </c:strRef>
          </c:cat>
          <c:val>
            <c:numRef>
              <c:f>'charts (2)'!$N$112:$N$119</c:f>
              <c:numCache>
                <c:formatCode>_-* #,##0_-;\-* #,##0_-;_-* "-"??_-;_-@_-</c:formatCode>
                <c:ptCount val="8"/>
                <c:pt idx="0">
                  <c:v>1455.201</c:v>
                </c:pt>
                <c:pt idx="1">
                  <c:v>1692.3453799999997</c:v>
                </c:pt>
                <c:pt idx="2">
                  <c:v>1692.3453799999997</c:v>
                </c:pt>
                <c:pt idx="3">
                  <c:v>1739.5435200000002</c:v>
                </c:pt>
                <c:pt idx="4">
                  <c:v>1739.5435200000002</c:v>
                </c:pt>
                <c:pt idx="5">
                  <c:v>1784.9369340000003</c:v>
                </c:pt>
                <c:pt idx="6">
                  <c:v>1644.9721398000001</c:v>
                </c:pt>
                <c:pt idx="7">
                  <c:v>1644.9721398000001</c:v>
                </c:pt>
              </c:numCache>
            </c:numRef>
          </c:val>
        </c:ser>
        <c:ser>
          <c:idx val="1"/>
          <c:order val="1"/>
          <c:tx>
            <c:strRef>
              <c:f>'charts (2)'!$O$110:$O$111</c:f>
              <c:strCache>
                <c:ptCount val="1"/>
                <c:pt idx="0">
                  <c:v>NSW Market</c:v>
                </c:pt>
              </c:strCache>
            </c:strRef>
          </c:tx>
          <c:spPr>
            <a:solidFill>
              <a:schemeClr val="accent3"/>
            </a:solidFill>
          </c:spPr>
          <c:invertIfNegative val="0"/>
          <c:cat>
            <c:strRef>
              <c:f>'charts (2)'!$M$112:$M$119</c:f>
              <c:strCache>
                <c:ptCount val="8"/>
                <c:pt idx="0">
                  <c:v>Jan'12</c:v>
                </c:pt>
                <c:pt idx="1">
                  <c:v>Jul'12</c:v>
                </c:pt>
                <c:pt idx="2">
                  <c:v>Jan'13</c:v>
                </c:pt>
                <c:pt idx="3">
                  <c:v>Jul'13</c:v>
                </c:pt>
                <c:pt idx="4">
                  <c:v>Jan'14</c:v>
                </c:pt>
                <c:pt idx="5">
                  <c:v>Jul'14</c:v>
                </c:pt>
                <c:pt idx="6">
                  <c:v>Oct'14</c:v>
                </c:pt>
                <c:pt idx="7">
                  <c:v>Jan'15</c:v>
                </c:pt>
              </c:strCache>
            </c:strRef>
          </c:cat>
          <c:val>
            <c:numRef>
              <c:f>'charts (2)'!$O$112:$O$119</c:f>
              <c:numCache>
                <c:formatCode>_-* #,##0_-;\-* #,##0_-;_-* "-"??_-;_-@_-</c:formatCode>
                <c:ptCount val="8"/>
                <c:pt idx="0">
                  <c:v>1409.9553413333333</c:v>
                </c:pt>
                <c:pt idx="1">
                  <c:v>1607.7319298333332</c:v>
                </c:pt>
                <c:pt idx="2">
                  <c:v>1607.7319298333332</c:v>
                </c:pt>
                <c:pt idx="3">
                  <c:v>1654.0455882399997</c:v>
                </c:pt>
                <c:pt idx="4">
                  <c:v>1654.0455882399997</c:v>
                </c:pt>
                <c:pt idx="5">
                  <c:v>1700.9081826672727</c:v>
                </c:pt>
                <c:pt idx="6">
                  <c:v>1570.8624779260001</c:v>
                </c:pt>
                <c:pt idx="7">
                  <c:v>1576.4010149623637</c:v>
                </c:pt>
              </c:numCache>
            </c:numRef>
          </c:val>
        </c:ser>
        <c:dLbls>
          <c:showLegendKey val="0"/>
          <c:showVal val="0"/>
          <c:showCatName val="0"/>
          <c:showSerName val="0"/>
          <c:showPercent val="0"/>
          <c:showBubbleSize val="0"/>
        </c:dLbls>
        <c:gapWidth val="150"/>
        <c:shape val="box"/>
        <c:axId val="91556480"/>
        <c:axId val="91562368"/>
        <c:axId val="0"/>
      </c:bar3DChart>
      <c:catAx>
        <c:axId val="91556480"/>
        <c:scaling>
          <c:orientation val="minMax"/>
        </c:scaling>
        <c:delete val="0"/>
        <c:axPos val="b"/>
        <c:majorTickMark val="out"/>
        <c:minorTickMark val="none"/>
        <c:tickLblPos val="nextTo"/>
        <c:crossAx val="91562368"/>
        <c:crosses val="autoZero"/>
        <c:auto val="1"/>
        <c:lblAlgn val="ctr"/>
        <c:lblOffset val="100"/>
        <c:noMultiLvlLbl val="0"/>
      </c:catAx>
      <c:valAx>
        <c:axId val="91562368"/>
        <c:scaling>
          <c:orientation val="minMax"/>
          <c:max val="2500"/>
          <c:min val="0"/>
        </c:scaling>
        <c:delete val="0"/>
        <c:axPos val="l"/>
        <c:majorGridlines/>
        <c:numFmt formatCode="_-* #,##0_-;\-* #,##0_-;_-* &quot;-&quot;??_-;_-@_-" sourceLinked="1"/>
        <c:majorTickMark val="out"/>
        <c:minorTickMark val="none"/>
        <c:tickLblPos val="nextTo"/>
        <c:crossAx val="91556480"/>
        <c:crosses val="autoZero"/>
        <c:crossBetween val="between"/>
        <c:majorUnit val="200"/>
      </c:valAx>
    </c:plotArea>
    <c:legend>
      <c:legendPos val="b"/>
      <c:layout/>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'charts (2)'!$N$38:$N$39</c:f>
              <c:strCache>
                <c:ptCount val="1"/>
                <c:pt idx="0">
                  <c:v>ACT Standing</c:v>
                </c:pt>
              </c:strCache>
            </c:strRef>
          </c:tx>
          <c:invertIfNegative val="0"/>
          <c:cat>
            <c:strRef>
              <c:f>'charts (2)'!$M$40:$M$47</c:f>
              <c:strCache>
                <c:ptCount val="8"/>
                <c:pt idx="0">
                  <c:v>Jan'12</c:v>
                </c:pt>
                <c:pt idx="1">
                  <c:v>Jul'12</c:v>
                </c:pt>
                <c:pt idx="2">
                  <c:v>Jan'13</c:v>
                </c:pt>
                <c:pt idx="3">
                  <c:v>Jul'13</c:v>
                </c:pt>
                <c:pt idx="4">
                  <c:v>Jan'14</c:v>
                </c:pt>
                <c:pt idx="5">
                  <c:v>Jul'14</c:v>
                </c:pt>
                <c:pt idx="6">
                  <c:v>Oct'14</c:v>
                </c:pt>
                <c:pt idx="7">
                  <c:v>Jan'15</c:v>
                </c:pt>
              </c:strCache>
            </c:strRef>
          </c:cat>
          <c:val>
            <c:numRef>
              <c:f>'charts (2)'!$N$40:$N$47</c:f>
              <c:numCache>
                <c:formatCode>_-* #,##0_-;\-* #,##0_-;_-* "-"??_-;_-@_-</c:formatCode>
                <c:ptCount val="8"/>
                <c:pt idx="0">
                  <c:v>1325.4251999999999</c:v>
                </c:pt>
                <c:pt idx="1">
                  <c:v>1566.9852000000001</c:v>
                </c:pt>
                <c:pt idx="2">
                  <c:v>1566.9852000000001</c:v>
                </c:pt>
                <c:pt idx="3">
                  <c:v>1622</c:v>
                </c:pt>
                <c:pt idx="4">
                  <c:v>1622</c:v>
                </c:pt>
                <c:pt idx="5">
                  <c:v>1694.164912</c:v>
                </c:pt>
                <c:pt idx="6">
                  <c:v>1507.3687199999999</c:v>
                </c:pt>
                <c:pt idx="7">
                  <c:v>1507.3687199999999</c:v>
                </c:pt>
              </c:numCache>
            </c:numRef>
          </c:val>
        </c:ser>
        <c:ser>
          <c:idx val="1"/>
          <c:order val="1"/>
          <c:tx>
            <c:strRef>
              <c:f>'charts (2)'!$O$38:$O$39</c:f>
              <c:strCache>
                <c:ptCount val="1"/>
                <c:pt idx="0">
                  <c:v>ACT Market</c:v>
                </c:pt>
              </c:strCache>
            </c:strRef>
          </c:tx>
          <c:spPr>
            <a:solidFill>
              <a:schemeClr val="accent3"/>
            </a:solidFill>
          </c:spPr>
          <c:invertIfNegative val="0"/>
          <c:cat>
            <c:strRef>
              <c:f>'charts (2)'!$M$40:$M$47</c:f>
              <c:strCache>
                <c:ptCount val="8"/>
                <c:pt idx="0">
                  <c:v>Jan'12</c:v>
                </c:pt>
                <c:pt idx="1">
                  <c:v>Jul'12</c:v>
                </c:pt>
                <c:pt idx="2">
                  <c:v>Jan'13</c:v>
                </c:pt>
                <c:pt idx="3">
                  <c:v>Jul'13</c:v>
                </c:pt>
                <c:pt idx="4">
                  <c:v>Jan'14</c:v>
                </c:pt>
                <c:pt idx="5">
                  <c:v>Jul'14</c:v>
                </c:pt>
                <c:pt idx="6">
                  <c:v>Oct'14</c:v>
                </c:pt>
                <c:pt idx="7">
                  <c:v>Jan'15</c:v>
                </c:pt>
              </c:strCache>
            </c:strRef>
          </c:cat>
          <c:val>
            <c:numRef>
              <c:f>'charts (2)'!$O$40:$O$47</c:f>
              <c:numCache>
                <c:formatCode>_-* #,##0_-;\-* #,##0_-;_-* "-"??_-;_-@_-</c:formatCode>
                <c:ptCount val="8"/>
                <c:pt idx="0">
                  <c:v>1325.4251999999999</c:v>
                </c:pt>
                <c:pt idx="1">
                  <c:v>1566.9852000000001</c:v>
                </c:pt>
                <c:pt idx="2">
                  <c:v>1566.9852000000001</c:v>
                </c:pt>
                <c:pt idx="3">
                  <c:v>1622</c:v>
                </c:pt>
                <c:pt idx="4">
                  <c:v>1622</c:v>
                </c:pt>
                <c:pt idx="5">
                  <c:v>1694.164912</c:v>
                </c:pt>
                <c:pt idx="6">
                  <c:v>1507.3687199999999</c:v>
                </c:pt>
                <c:pt idx="7">
                  <c:v>1507.3687199999999</c:v>
                </c:pt>
              </c:numCache>
            </c:numRef>
          </c:val>
        </c:ser>
        <c:dLbls>
          <c:showLegendKey val="0"/>
          <c:showVal val="0"/>
          <c:showCatName val="0"/>
          <c:showSerName val="0"/>
          <c:showPercent val="0"/>
          <c:showBubbleSize val="0"/>
        </c:dLbls>
        <c:gapWidth val="150"/>
        <c:shape val="box"/>
        <c:axId val="94950528"/>
        <c:axId val="94952064"/>
        <c:axId val="0"/>
      </c:bar3DChart>
      <c:catAx>
        <c:axId val="94950528"/>
        <c:scaling>
          <c:orientation val="minMax"/>
        </c:scaling>
        <c:delete val="0"/>
        <c:axPos val="b"/>
        <c:majorTickMark val="out"/>
        <c:minorTickMark val="none"/>
        <c:tickLblPos val="nextTo"/>
        <c:crossAx val="94952064"/>
        <c:crosses val="autoZero"/>
        <c:auto val="1"/>
        <c:lblAlgn val="ctr"/>
        <c:lblOffset val="100"/>
        <c:noMultiLvlLbl val="0"/>
      </c:catAx>
      <c:valAx>
        <c:axId val="94952064"/>
        <c:scaling>
          <c:orientation val="minMax"/>
          <c:max val="2500"/>
          <c:min val="0"/>
        </c:scaling>
        <c:delete val="0"/>
        <c:axPos val="l"/>
        <c:majorGridlines/>
        <c:numFmt formatCode="_-* #,##0_-;\-* #,##0_-;_-* &quot;-&quot;??_-;_-@_-" sourceLinked="1"/>
        <c:majorTickMark val="out"/>
        <c:minorTickMark val="none"/>
        <c:tickLblPos val="nextTo"/>
        <c:crossAx val="94950528"/>
        <c:crosses val="autoZero"/>
        <c:crossBetween val="between"/>
        <c:majorUnit val="200"/>
      </c:valAx>
    </c:plotArea>
    <c:legend>
      <c:legendPos val="b"/>
      <c:layou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003591"/>
      </a:dk2>
      <a:lt2>
        <a:srgbClr val="D5D6D2"/>
      </a:lt2>
      <a:accent1>
        <a:srgbClr val="51626F"/>
      </a:accent1>
      <a:accent2>
        <a:srgbClr val="4F2D7D"/>
      </a:accent2>
      <a:accent3>
        <a:srgbClr val="0098C3"/>
      </a:accent3>
      <a:accent4>
        <a:srgbClr val="A0CFEB"/>
      </a:accent4>
      <a:accent5>
        <a:srgbClr val="B71202"/>
      </a:accent5>
      <a:accent6>
        <a:srgbClr val="DC5034"/>
      </a:accent6>
      <a:hlink>
        <a:srgbClr val="0000FF"/>
      </a:hlink>
      <a:folHlink>
        <a:srgbClr val="800080"/>
      </a:folHlink>
    </a:clrScheme>
    <a:fontScheme name="ACCC">
      <a:majorFont>
        <a:latin typeface="Lucida Fax"/>
        <a:ea typeface=""/>
        <a:cs typeface=""/>
      </a:majorFont>
      <a:minorFont>
        <a:latin typeface="Arial"/>
        <a:ea typeface=""/>
        <a:cs typeface=""/>
      </a:minorFont>
    </a:fontScheme>
    <a:fmtScheme name="Apex">
      <a:fillStyleLst>
        <a:solidFill>
          <a:schemeClr val="phClr"/>
        </a:solidFill>
        <a:gradFill rotWithShape="1">
          <a:gsLst>
            <a:gs pos="20000">
              <a:schemeClr val="phClr">
                <a:tint val="9000"/>
              </a:schemeClr>
            </a:gs>
            <a:gs pos="100000">
              <a:schemeClr val="phClr">
                <a:tint val="70000"/>
                <a:satMod val="100000"/>
              </a:schemeClr>
            </a:gs>
          </a:gsLst>
          <a:path path="circle">
            <a:fillToRect l="-15000" t="-15000" r="115000" b="115000"/>
          </a:path>
        </a:gradFill>
        <a:gradFill rotWithShape="1">
          <a:gsLst>
            <a:gs pos="0">
              <a:schemeClr val="phClr">
                <a:shade val="60000"/>
              </a:schemeClr>
            </a:gs>
            <a:gs pos="33000">
              <a:schemeClr val="phClr">
                <a:tint val="86500"/>
              </a:schemeClr>
            </a:gs>
            <a:gs pos="46750">
              <a:schemeClr val="phClr">
                <a:tint val="71000"/>
                <a:satMod val="112000"/>
              </a:schemeClr>
            </a:gs>
            <a:gs pos="53000">
              <a:schemeClr val="phClr">
                <a:tint val="71000"/>
                <a:satMod val="112000"/>
              </a:schemeClr>
            </a:gs>
            <a:gs pos="68000">
              <a:schemeClr val="phClr">
                <a:tint val="86000"/>
              </a:schemeClr>
            </a:gs>
            <a:gs pos="100000">
              <a:schemeClr val="phClr">
                <a:shade val="60000"/>
              </a:schemeClr>
            </a:gs>
          </a:gsLst>
          <a:lin ang="8350000" scaled="1"/>
        </a:gradFill>
      </a:fillStyleLst>
      <a:lnStyleLst>
        <a:ln w="9525" cap="flat" cmpd="sng" algn="ctr">
          <a:solidFill>
            <a:schemeClr val="phClr">
              <a:shade val="48000"/>
              <a:satMod val="110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130000" dist="101600" dir="2700000" algn="tl" rotWithShape="0">
              <a:srgbClr val="000000">
                <a:alpha val="35000"/>
              </a:srgbClr>
            </a:outerShdw>
          </a:effectLst>
        </a:effectStyle>
        <a:effectStyle>
          <a:effectLst>
            <a:outerShdw blurRad="190500" dist="228600" dir="2700000" sy="90000" rotWithShape="0">
              <a:srgbClr val="000000">
                <a:alpha val="25500"/>
              </a:srgbClr>
            </a:outerShdw>
          </a:effectLst>
        </a:effectStyle>
        <a:effectStyle>
          <a:effectLst>
            <a:outerShdw blurRad="190500" dist="228600" dir="2700000" sy="90000" rotWithShape="0">
              <a:srgbClr val="000000">
                <a:alpha val="25500"/>
              </a:srgbClr>
            </a:outerShdw>
          </a:effectLst>
          <a:scene3d>
            <a:camera prst="orthographicFront" fov="0">
              <a:rot lat="0" lon="0" rev="0"/>
            </a:camera>
            <a:lightRig rig="soft" dir="tl">
              <a:rot lat="0" lon="0" rev="20100000"/>
            </a:lightRig>
          </a:scene3d>
          <a:sp3d>
            <a:bevelT w="50800" h="508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[pick the date]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EFFE691-1899-496F-9EAD-5C668435DE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352CA39B</Template>
  <TotalTime>893</TotalTime>
  <Pages>55</Pages>
  <Words>14658</Words>
  <Characters>83551</Characters>
  <Application>Microsoft Office Word</Application>
  <DocSecurity>0</DocSecurity>
  <Lines>696</Lines>
  <Paragraphs>196</Paragraphs>
  <ScaleCrop>false</ScaleCrop>
  <HeadingPairs>
    <vt:vector size="2" baseType="variant">
      <vt:variant>
        <vt:lpstr>Title</vt:lpstr>
      </vt:variant>
      <vt:variant>
        <vt:i4>1</vt:i4>
      </vt:variant>
    </vt:vector>
  </HeadingPairs>
  <TitlesOfParts>
    <vt:vector size="1" baseType="lpstr">
      <vt:lpstr>[Document title]</vt:lpstr>
    </vt:vector>
  </TitlesOfParts>
  <Company>ACCC</Company>
  <LinksUpToDate>false</LinksUpToDate>
  <CharactersWithSpaces>98013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 title]</dc:title>
  <dc:subject>[subtitle]</dc:subject>
  <dc:creator>Smith, Deanne</dc:creator>
  <cp:lastModifiedBy>Elias, Elizabeth</cp:lastModifiedBy>
  <cp:revision>51</cp:revision>
  <cp:lastPrinted>2015-04-28T02:59:00Z</cp:lastPrinted>
  <dcterms:created xsi:type="dcterms:W3CDTF">2015-04-16T12:06:00Z</dcterms:created>
  <dcterms:modified xsi:type="dcterms:W3CDTF">2015-04-28T03:00:00Z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I">
    <vt:lpwstr>8413986</vt:lpwstr>
  </property>
  <property fmtid="{D5CDD505-2E9C-101B-9397-08002B2CF9AE}" pid="3" name="currfile">
    <vt:lpwstr>\\cdchnas-evs02\home$\eelia\april 2015 carbon report to the minister - final publication version (D2015-00049887).docx</vt:lpwstr>
  </property>
</Properties>
</file>