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46" w:rsidRPr="00316E0D" w:rsidRDefault="0037123B" w:rsidP="00E40C46">
      <w:bookmarkStart w:id="0" w:name="_GoBack"/>
      <w:bookmarkEnd w:id="0"/>
      <w:r w:rsidRPr="00316E0D">
        <w:rPr>
          <w:noProof/>
          <w:lang w:eastAsia="en-AU"/>
        </w:rPr>
        <w:drawing>
          <wp:inline distT="0" distB="0" distL="0" distR="0" wp14:anchorId="2C6BF332" wp14:editId="445DA2F9">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D82573" w:rsidRDefault="00874CDD" w:rsidP="00D82573">
      <w:pPr>
        <w:pStyle w:val="ACCCreporttitle1"/>
      </w:pPr>
      <w:r w:rsidRPr="00316E0D">
        <w:t xml:space="preserve">Public Inquiry to make a Final Access Determination for the </w:t>
      </w:r>
      <w:r w:rsidR="003120D5" w:rsidRPr="00316E0D">
        <w:t>Domestic Transmission Capacity Service</w:t>
      </w:r>
    </w:p>
    <w:p w:rsidR="00D82573" w:rsidRDefault="00D82573" w:rsidP="00D82573">
      <w:pPr>
        <w:pStyle w:val="ACCCreporttitle1"/>
      </w:pPr>
    </w:p>
    <w:p w:rsidR="00D82573" w:rsidRDefault="00D82573" w:rsidP="00D82573">
      <w:pPr>
        <w:pStyle w:val="ACCCreporttitle1"/>
      </w:pPr>
      <w:r>
        <w:t>Further consultation paper</w:t>
      </w:r>
    </w:p>
    <w:p w:rsidR="00D82573" w:rsidRDefault="00D82573" w:rsidP="00D82573">
      <w:pPr>
        <w:pStyle w:val="ACCCreportdate"/>
        <w:jc w:val="left"/>
      </w:pPr>
    </w:p>
    <w:p w:rsidR="00E40C46" w:rsidRPr="00316E0D" w:rsidRDefault="00797E23" w:rsidP="00E40C46">
      <w:pPr>
        <w:pStyle w:val="ACCCreportdate"/>
      </w:pPr>
      <w:r>
        <w:t>December 2015</w:t>
      </w:r>
    </w:p>
    <w:p w:rsidR="00E40C46" w:rsidRPr="00316E0D" w:rsidRDefault="00612AFF" w:rsidP="008E4CBB">
      <w:pPr>
        <w:pStyle w:val="ACCCreportdate"/>
      </w:pPr>
      <w:r>
        <w:t>Public</w:t>
      </w:r>
      <w:r w:rsidR="00BC7A6D" w:rsidRPr="00316E0D">
        <w:t xml:space="preserve"> Version </w:t>
      </w:r>
    </w:p>
    <w:p w:rsidR="00E40C46" w:rsidRPr="00316E0D" w:rsidRDefault="00E40C46" w:rsidP="00E40C46">
      <w:pPr>
        <w:pStyle w:val="ACCCcopyrighttext"/>
      </w:pPr>
    </w:p>
    <w:p w:rsidR="00E40C46" w:rsidRPr="00316E0D" w:rsidRDefault="00E40C46" w:rsidP="00E40C46">
      <w:pPr>
        <w:pStyle w:val="ACCCcopyrighttext"/>
      </w:pPr>
      <w:r w:rsidRPr="00316E0D">
        <w:rPr>
          <w:rFonts w:cs="Arial"/>
          <w:noProof/>
          <w:color w:val="0000FF"/>
          <w:lang w:eastAsia="en-AU"/>
        </w:rPr>
        <w:drawing>
          <wp:inline distT="0" distB="0" distL="0" distR="0" wp14:anchorId="5742142E" wp14:editId="1D0D0DDE">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E40C46" w:rsidRPr="00316E0D" w:rsidRDefault="00E40C46" w:rsidP="00E40C46">
      <w:pPr>
        <w:pStyle w:val="ACCCcopyrighttext"/>
      </w:pPr>
    </w:p>
    <w:p w:rsidR="00E40C46" w:rsidRPr="00316E0D" w:rsidRDefault="00E40C46" w:rsidP="00E40C46">
      <w:pPr>
        <w:pStyle w:val="ACCCcopyrighttext"/>
      </w:pPr>
      <w:r w:rsidRPr="00316E0D">
        <w:t>Australian Competition and Consumer Commission</w:t>
      </w:r>
    </w:p>
    <w:p w:rsidR="00E40C46" w:rsidRPr="00316E0D" w:rsidRDefault="00E40C46" w:rsidP="00E40C46">
      <w:pPr>
        <w:pStyle w:val="ACCCcopyrighttext"/>
      </w:pPr>
    </w:p>
    <w:p w:rsidR="00E40C46" w:rsidRPr="00316E0D" w:rsidRDefault="00E40C46" w:rsidP="00E40C46">
      <w:pPr>
        <w:pStyle w:val="ACCCcopyrighttext"/>
      </w:pPr>
      <w:r w:rsidRPr="00316E0D">
        <w:rPr>
          <w:rFonts w:cs="Arial"/>
        </w:rPr>
        <w:t>©</w:t>
      </w:r>
      <w:r w:rsidR="00E06033" w:rsidRPr="00316E0D">
        <w:t xml:space="preserve"> Commonwealth of Australia 201</w:t>
      </w:r>
      <w:r w:rsidR="008476FE" w:rsidRPr="00316E0D">
        <w:t>5</w:t>
      </w:r>
    </w:p>
    <w:p w:rsidR="00E40C46" w:rsidRPr="00316E0D" w:rsidRDefault="00E40C46" w:rsidP="00E40C46">
      <w:pPr>
        <w:pStyle w:val="ACCCcopyrighttext"/>
      </w:pPr>
    </w:p>
    <w:p w:rsidR="00E40C46" w:rsidRPr="00316E0D" w:rsidRDefault="005C7032" w:rsidP="005C7032">
      <w:pPr>
        <w:autoSpaceDE w:val="0"/>
        <w:autoSpaceDN w:val="0"/>
        <w:adjustRightInd w:val="0"/>
      </w:pPr>
      <w:r w:rsidRPr="00316E0D">
        <w:rPr>
          <w:rFonts w:cs="Arial"/>
          <w:szCs w:val="20"/>
        </w:rPr>
        <w:t xml:space="preserve">This work is copyright. Apart from any use permitted by the </w:t>
      </w:r>
      <w:r w:rsidRPr="00316E0D">
        <w:rPr>
          <w:rFonts w:cs="Arial"/>
          <w:i/>
          <w:iCs/>
          <w:szCs w:val="20"/>
        </w:rPr>
        <w:t>Copyright Act 1968</w:t>
      </w:r>
      <w:r w:rsidRPr="00316E0D">
        <w:rPr>
          <w:rFonts w:cs="Arial"/>
          <w:szCs w:val="20"/>
        </w:rPr>
        <w:t>,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r w:rsidR="00E40C46" w:rsidRPr="00316E0D">
        <w:t>.</w:t>
      </w:r>
    </w:p>
    <w:p w:rsidR="00FA0722" w:rsidRPr="00316E0D" w:rsidRDefault="00A70A39" w:rsidP="00AA66E1">
      <w:pPr>
        <w:pStyle w:val="Non-NumberedStyle"/>
      </w:pPr>
      <w:bookmarkStart w:id="1" w:name="_Toc377396309"/>
      <w:bookmarkStart w:id="2" w:name="_Toc352671883"/>
      <w:r w:rsidRPr="00316E0D">
        <w:lastRenderedPageBreak/>
        <w:t>Contents</w:t>
      </w:r>
      <w:bookmarkEnd w:id="1"/>
    </w:p>
    <w:p w:rsidR="005B12CC" w:rsidRDefault="001A00D4">
      <w:pPr>
        <w:pStyle w:val="TOC1"/>
        <w:rPr>
          <w:rFonts w:asciiTheme="minorHAnsi" w:eastAsiaTheme="minorEastAsia" w:hAnsiTheme="minorHAnsi"/>
          <w:b w:val="0"/>
          <w:sz w:val="22"/>
          <w:lang w:eastAsia="en-AU"/>
        </w:rPr>
      </w:pPr>
      <w:r w:rsidRPr="00316E0D">
        <w:fldChar w:fldCharType="begin"/>
      </w:r>
      <w:r w:rsidR="00FA0722" w:rsidRPr="00316E0D">
        <w:instrText xml:space="preserve"> TOC \o "1-2" \h \z \u </w:instrText>
      </w:r>
      <w:r w:rsidRPr="00316E0D">
        <w:fldChar w:fldCharType="separate"/>
      </w:r>
      <w:hyperlink w:anchor="_Toc438111657" w:history="1">
        <w:r w:rsidR="005B12CC" w:rsidRPr="005A21E5">
          <w:rPr>
            <w:rStyle w:val="Hyperlink"/>
          </w:rPr>
          <w:t>Purpose of consultation</w:t>
        </w:r>
        <w:r w:rsidR="005B12CC">
          <w:rPr>
            <w:webHidden/>
          </w:rPr>
          <w:tab/>
        </w:r>
        <w:r w:rsidR="005B12CC">
          <w:rPr>
            <w:webHidden/>
          </w:rPr>
          <w:fldChar w:fldCharType="begin"/>
        </w:r>
        <w:r w:rsidR="005B12CC">
          <w:rPr>
            <w:webHidden/>
          </w:rPr>
          <w:instrText xml:space="preserve"> PAGEREF _Toc438111657 \h </w:instrText>
        </w:r>
        <w:r w:rsidR="005B12CC">
          <w:rPr>
            <w:webHidden/>
          </w:rPr>
        </w:r>
        <w:r w:rsidR="005B12CC">
          <w:rPr>
            <w:webHidden/>
          </w:rPr>
          <w:fldChar w:fldCharType="separate"/>
        </w:r>
        <w:r w:rsidR="005B12CC">
          <w:rPr>
            <w:webHidden/>
          </w:rPr>
          <w:t>2</w:t>
        </w:r>
        <w:r w:rsidR="005B12CC">
          <w:rPr>
            <w:webHidden/>
          </w:rPr>
          <w:fldChar w:fldCharType="end"/>
        </w:r>
      </w:hyperlink>
    </w:p>
    <w:p w:rsidR="005B12CC" w:rsidRDefault="0063016C">
      <w:pPr>
        <w:pStyle w:val="TOC1"/>
        <w:rPr>
          <w:rFonts w:asciiTheme="minorHAnsi" w:eastAsiaTheme="minorEastAsia" w:hAnsiTheme="minorHAnsi"/>
          <w:b w:val="0"/>
          <w:sz w:val="22"/>
          <w:lang w:eastAsia="en-AU"/>
        </w:rPr>
      </w:pPr>
      <w:hyperlink w:anchor="_Toc438111658" w:history="1">
        <w:r w:rsidR="005B12CC" w:rsidRPr="005A21E5">
          <w:rPr>
            <w:rStyle w:val="Hyperlink"/>
          </w:rPr>
          <w:t>1</w:t>
        </w:r>
        <w:r w:rsidR="005B12CC">
          <w:rPr>
            <w:rFonts w:asciiTheme="minorHAnsi" w:eastAsiaTheme="minorEastAsia" w:hAnsiTheme="minorHAnsi"/>
            <w:b w:val="0"/>
            <w:sz w:val="22"/>
            <w:lang w:eastAsia="en-AU"/>
          </w:rPr>
          <w:tab/>
        </w:r>
        <w:r w:rsidR="005B12CC" w:rsidRPr="005A21E5">
          <w:rPr>
            <w:rStyle w:val="Hyperlink"/>
          </w:rPr>
          <w:t>Inclusion of additional pricing data</w:t>
        </w:r>
        <w:r w:rsidR="005B12CC">
          <w:rPr>
            <w:webHidden/>
          </w:rPr>
          <w:tab/>
        </w:r>
        <w:r w:rsidR="005B12CC">
          <w:rPr>
            <w:webHidden/>
          </w:rPr>
          <w:fldChar w:fldCharType="begin"/>
        </w:r>
        <w:r w:rsidR="005B12CC">
          <w:rPr>
            <w:webHidden/>
          </w:rPr>
          <w:instrText xml:space="preserve"> PAGEREF _Toc438111658 \h </w:instrText>
        </w:r>
        <w:r w:rsidR="005B12CC">
          <w:rPr>
            <w:webHidden/>
          </w:rPr>
        </w:r>
        <w:r w:rsidR="005B12CC">
          <w:rPr>
            <w:webHidden/>
          </w:rPr>
          <w:fldChar w:fldCharType="separate"/>
        </w:r>
        <w:r w:rsidR="005B12CC">
          <w:rPr>
            <w:webHidden/>
          </w:rPr>
          <w:t>3</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59" w:history="1">
        <w:r w:rsidR="005B12CC" w:rsidRPr="005A21E5">
          <w:rPr>
            <w:rStyle w:val="Hyperlink"/>
          </w:rPr>
          <w:t>1.1</w:t>
        </w:r>
        <w:r w:rsidR="005B12CC">
          <w:rPr>
            <w:rFonts w:asciiTheme="minorHAnsi" w:eastAsiaTheme="minorEastAsia" w:hAnsiTheme="minorHAnsi"/>
            <w:sz w:val="22"/>
            <w:lang w:eastAsia="en-AU"/>
          </w:rPr>
          <w:tab/>
        </w:r>
        <w:r w:rsidR="005B12CC" w:rsidRPr="005A21E5">
          <w:rPr>
            <w:rStyle w:val="Hyperlink"/>
          </w:rPr>
          <w:t>Pricing data collation</w:t>
        </w:r>
        <w:r w:rsidR="005B12CC">
          <w:rPr>
            <w:webHidden/>
          </w:rPr>
          <w:tab/>
        </w:r>
        <w:r w:rsidR="005B12CC">
          <w:rPr>
            <w:webHidden/>
          </w:rPr>
          <w:fldChar w:fldCharType="begin"/>
        </w:r>
        <w:r w:rsidR="005B12CC">
          <w:rPr>
            <w:webHidden/>
          </w:rPr>
          <w:instrText xml:space="preserve"> PAGEREF _Toc438111659 \h </w:instrText>
        </w:r>
        <w:r w:rsidR="005B12CC">
          <w:rPr>
            <w:webHidden/>
          </w:rPr>
        </w:r>
        <w:r w:rsidR="005B12CC">
          <w:rPr>
            <w:webHidden/>
          </w:rPr>
          <w:fldChar w:fldCharType="separate"/>
        </w:r>
        <w:r w:rsidR="005B12CC">
          <w:rPr>
            <w:webHidden/>
          </w:rPr>
          <w:t>3</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60" w:history="1">
        <w:r w:rsidR="005B12CC" w:rsidRPr="005A21E5">
          <w:rPr>
            <w:rStyle w:val="Hyperlink"/>
          </w:rPr>
          <w:t>1.2</w:t>
        </w:r>
        <w:r w:rsidR="005B12CC">
          <w:rPr>
            <w:rFonts w:asciiTheme="minorHAnsi" w:eastAsiaTheme="minorEastAsia" w:hAnsiTheme="minorHAnsi"/>
            <w:sz w:val="22"/>
            <w:lang w:eastAsia="en-AU"/>
          </w:rPr>
          <w:tab/>
        </w:r>
        <w:r w:rsidR="005B12CC" w:rsidRPr="005A21E5">
          <w:rPr>
            <w:rStyle w:val="Hyperlink"/>
          </w:rPr>
          <w:t>Submissions on whether to include the additional data</w:t>
        </w:r>
        <w:r w:rsidR="005B12CC">
          <w:rPr>
            <w:webHidden/>
          </w:rPr>
          <w:tab/>
        </w:r>
        <w:r w:rsidR="005B12CC">
          <w:rPr>
            <w:webHidden/>
          </w:rPr>
          <w:fldChar w:fldCharType="begin"/>
        </w:r>
        <w:r w:rsidR="005B12CC">
          <w:rPr>
            <w:webHidden/>
          </w:rPr>
          <w:instrText xml:space="preserve"> PAGEREF _Toc438111660 \h </w:instrText>
        </w:r>
        <w:r w:rsidR="005B12CC">
          <w:rPr>
            <w:webHidden/>
          </w:rPr>
        </w:r>
        <w:r w:rsidR="005B12CC">
          <w:rPr>
            <w:webHidden/>
          </w:rPr>
          <w:fldChar w:fldCharType="separate"/>
        </w:r>
        <w:r w:rsidR="005B12CC">
          <w:rPr>
            <w:webHidden/>
          </w:rPr>
          <w:t>4</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61" w:history="1">
        <w:r w:rsidR="005B12CC" w:rsidRPr="005A21E5">
          <w:rPr>
            <w:rStyle w:val="Hyperlink"/>
          </w:rPr>
          <w:t>1.3</w:t>
        </w:r>
        <w:r w:rsidR="005B12CC">
          <w:rPr>
            <w:rFonts w:asciiTheme="minorHAnsi" w:eastAsiaTheme="minorEastAsia" w:hAnsiTheme="minorHAnsi"/>
            <w:sz w:val="22"/>
            <w:lang w:eastAsia="en-AU"/>
          </w:rPr>
          <w:tab/>
        </w:r>
        <w:r w:rsidR="005B12CC" w:rsidRPr="005A21E5">
          <w:rPr>
            <w:rStyle w:val="Hyperlink"/>
          </w:rPr>
          <w:t>ACCC’s position</w:t>
        </w:r>
        <w:r w:rsidR="005B12CC">
          <w:rPr>
            <w:webHidden/>
          </w:rPr>
          <w:tab/>
        </w:r>
        <w:r w:rsidR="005B12CC">
          <w:rPr>
            <w:webHidden/>
          </w:rPr>
          <w:fldChar w:fldCharType="begin"/>
        </w:r>
        <w:r w:rsidR="005B12CC">
          <w:rPr>
            <w:webHidden/>
          </w:rPr>
          <w:instrText xml:space="preserve"> PAGEREF _Toc438111661 \h </w:instrText>
        </w:r>
        <w:r w:rsidR="005B12CC">
          <w:rPr>
            <w:webHidden/>
          </w:rPr>
        </w:r>
        <w:r w:rsidR="005B12CC">
          <w:rPr>
            <w:webHidden/>
          </w:rPr>
          <w:fldChar w:fldCharType="separate"/>
        </w:r>
        <w:r w:rsidR="005B12CC">
          <w:rPr>
            <w:webHidden/>
          </w:rPr>
          <w:t>5</w:t>
        </w:r>
        <w:r w:rsidR="005B12CC">
          <w:rPr>
            <w:webHidden/>
          </w:rPr>
          <w:fldChar w:fldCharType="end"/>
        </w:r>
      </w:hyperlink>
    </w:p>
    <w:p w:rsidR="005B12CC" w:rsidRDefault="0063016C">
      <w:pPr>
        <w:pStyle w:val="TOC1"/>
        <w:rPr>
          <w:rFonts w:asciiTheme="minorHAnsi" w:eastAsiaTheme="minorEastAsia" w:hAnsiTheme="minorHAnsi"/>
          <w:b w:val="0"/>
          <w:sz w:val="22"/>
          <w:lang w:eastAsia="en-AU"/>
        </w:rPr>
      </w:pPr>
      <w:hyperlink w:anchor="_Toc438111662" w:history="1">
        <w:r w:rsidR="005B12CC" w:rsidRPr="005A21E5">
          <w:rPr>
            <w:rStyle w:val="Hyperlink"/>
          </w:rPr>
          <w:t>2</w:t>
        </w:r>
        <w:r w:rsidR="005B12CC">
          <w:rPr>
            <w:rFonts w:asciiTheme="minorHAnsi" w:eastAsiaTheme="minorEastAsia" w:hAnsiTheme="minorHAnsi"/>
            <w:b w:val="0"/>
            <w:sz w:val="22"/>
            <w:lang w:eastAsia="en-AU"/>
          </w:rPr>
          <w:tab/>
        </w:r>
        <w:r w:rsidR="005B12CC" w:rsidRPr="005A21E5">
          <w:rPr>
            <w:rStyle w:val="Hyperlink"/>
          </w:rPr>
          <w:t>Clarification of the treatment of GST in DTCS pricing model</w:t>
        </w:r>
        <w:r w:rsidR="005B12CC">
          <w:rPr>
            <w:webHidden/>
          </w:rPr>
          <w:tab/>
        </w:r>
        <w:r w:rsidR="005B12CC">
          <w:rPr>
            <w:webHidden/>
          </w:rPr>
          <w:fldChar w:fldCharType="begin"/>
        </w:r>
        <w:r w:rsidR="005B12CC">
          <w:rPr>
            <w:webHidden/>
          </w:rPr>
          <w:instrText xml:space="preserve"> PAGEREF _Toc438111662 \h </w:instrText>
        </w:r>
        <w:r w:rsidR="005B12CC">
          <w:rPr>
            <w:webHidden/>
          </w:rPr>
        </w:r>
        <w:r w:rsidR="005B12CC">
          <w:rPr>
            <w:webHidden/>
          </w:rPr>
          <w:fldChar w:fldCharType="separate"/>
        </w:r>
        <w:r w:rsidR="005B12CC">
          <w:rPr>
            <w:webHidden/>
          </w:rPr>
          <w:t>7</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63" w:history="1">
        <w:r w:rsidR="005B12CC" w:rsidRPr="005A21E5">
          <w:rPr>
            <w:rStyle w:val="Hyperlink"/>
          </w:rPr>
          <w:t>2.1</w:t>
        </w:r>
        <w:r w:rsidR="005B12CC">
          <w:rPr>
            <w:rFonts w:asciiTheme="minorHAnsi" w:eastAsiaTheme="minorEastAsia" w:hAnsiTheme="minorHAnsi"/>
            <w:sz w:val="22"/>
            <w:lang w:eastAsia="en-AU"/>
          </w:rPr>
          <w:tab/>
        </w:r>
        <w:r w:rsidR="005B12CC" w:rsidRPr="005A21E5">
          <w:rPr>
            <w:rStyle w:val="Hyperlink"/>
          </w:rPr>
          <w:t>GST exclusive pricing</w:t>
        </w:r>
        <w:r w:rsidR="005B12CC">
          <w:rPr>
            <w:webHidden/>
          </w:rPr>
          <w:tab/>
        </w:r>
        <w:r w:rsidR="005B12CC">
          <w:rPr>
            <w:webHidden/>
          </w:rPr>
          <w:fldChar w:fldCharType="begin"/>
        </w:r>
        <w:r w:rsidR="005B12CC">
          <w:rPr>
            <w:webHidden/>
          </w:rPr>
          <w:instrText xml:space="preserve"> PAGEREF _Toc438111663 \h </w:instrText>
        </w:r>
        <w:r w:rsidR="005B12CC">
          <w:rPr>
            <w:webHidden/>
          </w:rPr>
        </w:r>
        <w:r w:rsidR="005B12CC">
          <w:rPr>
            <w:webHidden/>
          </w:rPr>
          <w:fldChar w:fldCharType="separate"/>
        </w:r>
        <w:r w:rsidR="005B12CC">
          <w:rPr>
            <w:webHidden/>
          </w:rPr>
          <w:t>7</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64" w:history="1">
        <w:r w:rsidR="005B12CC" w:rsidRPr="005A21E5">
          <w:rPr>
            <w:rStyle w:val="Hyperlink"/>
          </w:rPr>
          <w:t>2.2</w:t>
        </w:r>
        <w:r w:rsidR="005B12CC">
          <w:rPr>
            <w:rFonts w:asciiTheme="minorHAnsi" w:eastAsiaTheme="minorEastAsia" w:hAnsiTheme="minorHAnsi"/>
            <w:sz w:val="22"/>
            <w:lang w:eastAsia="en-AU"/>
          </w:rPr>
          <w:tab/>
        </w:r>
        <w:r w:rsidR="005B12CC" w:rsidRPr="005A21E5">
          <w:rPr>
            <w:rStyle w:val="Hyperlink"/>
          </w:rPr>
          <w:t>ACCC clarification</w:t>
        </w:r>
        <w:r w:rsidR="005B12CC">
          <w:rPr>
            <w:webHidden/>
          </w:rPr>
          <w:tab/>
        </w:r>
        <w:r w:rsidR="005B12CC">
          <w:rPr>
            <w:webHidden/>
          </w:rPr>
          <w:fldChar w:fldCharType="begin"/>
        </w:r>
        <w:r w:rsidR="005B12CC">
          <w:rPr>
            <w:webHidden/>
          </w:rPr>
          <w:instrText xml:space="preserve"> PAGEREF _Toc438111664 \h </w:instrText>
        </w:r>
        <w:r w:rsidR="005B12CC">
          <w:rPr>
            <w:webHidden/>
          </w:rPr>
        </w:r>
        <w:r w:rsidR="005B12CC">
          <w:rPr>
            <w:webHidden/>
          </w:rPr>
          <w:fldChar w:fldCharType="separate"/>
        </w:r>
        <w:r w:rsidR="005B12CC">
          <w:rPr>
            <w:webHidden/>
          </w:rPr>
          <w:t>7</w:t>
        </w:r>
        <w:r w:rsidR="005B12CC">
          <w:rPr>
            <w:webHidden/>
          </w:rPr>
          <w:fldChar w:fldCharType="end"/>
        </w:r>
      </w:hyperlink>
    </w:p>
    <w:p w:rsidR="005B12CC" w:rsidRDefault="0063016C">
      <w:pPr>
        <w:pStyle w:val="TOC1"/>
        <w:rPr>
          <w:rFonts w:asciiTheme="minorHAnsi" w:eastAsiaTheme="minorEastAsia" w:hAnsiTheme="minorHAnsi"/>
          <w:b w:val="0"/>
          <w:sz w:val="22"/>
          <w:lang w:eastAsia="en-AU"/>
        </w:rPr>
      </w:pPr>
      <w:hyperlink w:anchor="_Toc438111665" w:history="1">
        <w:r w:rsidR="005B12CC" w:rsidRPr="005A21E5">
          <w:rPr>
            <w:rStyle w:val="Hyperlink"/>
          </w:rPr>
          <w:t>3</w:t>
        </w:r>
        <w:r w:rsidR="005B12CC">
          <w:rPr>
            <w:rFonts w:asciiTheme="minorHAnsi" w:eastAsiaTheme="minorEastAsia" w:hAnsiTheme="minorHAnsi"/>
            <w:b w:val="0"/>
            <w:sz w:val="22"/>
            <w:lang w:eastAsia="en-AU"/>
          </w:rPr>
          <w:tab/>
        </w:r>
        <w:r w:rsidR="005B12CC" w:rsidRPr="005A21E5">
          <w:rPr>
            <w:rStyle w:val="Hyperlink"/>
          </w:rPr>
          <w:t>2 Mbps Services</w:t>
        </w:r>
        <w:r w:rsidR="005B12CC">
          <w:rPr>
            <w:webHidden/>
          </w:rPr>
          <w:tab/>
        </w:r>
        <w:r w:rsidR="005B12CC">
          <w:rPr>
            <w:webHidden/>
          </w:rPr>
          <w:fldChar w:fldCharType="begin"/>
        </w:r>
        <w:r w:rsidR="005B12CC">
          <w:rPr>
            <w:webHidden/>
          </w:rPr>
          <w:instrText xml:space="preserve"> PAGEREF _Toc438111665 \h </w:instrText>
        </w:r>
        <w:r w:rsidR="005B12CC">
          <w:rPr>
            <w:webHidden/>
          </w:rPr>
        </w:r>
        <w:r w:rsidR="005B12CC">
          <w:rPr>
            <w:webHidden/>
          </w:rPr>
          <w:fldChar w:fldCharType="separate"/>
        </w:r>
        <w:r w:rsidR="005B12CC">
          <w:rPr>
            <w:webHidden/>
          </w:rPr>
          <w:t>8</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66" w:history="1">
        <w:r w:rsidR="005B12CC" w:rsidRPr="005A21E5">
          <w:rPr>
            <w:rStyle w:val="Hyperlink"/>
          </w:rPr>
          <w:t>3.1</w:t>
        </w:r>
        <w:r w:rsidR="005B12CC">
          <w:rPr>
            <w:rFonts w:asciiTheme="minorHAnsi" w:eastAsiaTheme="minorEastAsia" w:hAnsiTheme="minorHAnsi"/>
            <w:sz w:val="22"/>
            <w:lang w:eastAsia="en-AU"/>
          </w:rPr>
          <w:tab/>
        </w:r>
        <w:r w:rsidR="005B12CC" w:rsidRPr="005A21E5">
          <w:rPr>
            <w:rStyle w:val="Hyperlink"/>
          </w:rPr>
          <w:t>Submissions to the Draft Decision</w:t>
        </w:r>
        <w:r w:rsidR="005B12CC">
          <w:rPr>
            <w:webHidden/>
          </w:rPr>
          <w:tab/>
        </w:r>
        <w:r w:rsidR="005B12CC">
          <w:rPr>
            <w:webHidden/>
          </w:rPr>
          <w:fldChar w:fldCharType="begin"/>
        </w:r>
        <w:r w:rsidR="005B12CC">
          <w:rPr>
            <w:webHidden/>
          </w:rPr>
          <w:instrText xml:space="preserve"> PAGEREF _Toc438111666 \h </w:instrText>
        </w:r>
        <w:r w:rsidR="005B12CC">
          <w:rPr>
            <w:webHidden/>
          </w:rPr>
        </w:r>
        <w:r w:rsidR="005B12CC">
          <w:rPr>
            <w:webHidden/>
          </w:rPr>
          <w:fldChar w:fldCharType="separate"/>
        </w:r>
        <w:r w:rsidR="005B12CC">
          <w:rPr>
            <w:webHidden/>
          </w:rPr>
          <w:t>8</w:t>
        </w:r>
        <w:r w:rsidR="005B12CC">
          <w:rPr>
            <w:webHidden/>
          </w:rPr>
          <w:fldChar w:fldCharType="end"/>
        </w:r>
      </w:hyperlink>
    </w:p>
    <w:p w:rsidR="005B12CC" w:rsidRDefault="0063016C">
      <w:pPr>
        <w:pStyle w:val="TOC2"/>
        <w:rPr>
          <w:rFonts w:asciiTheme="minorHAnsi" w:eastAsiaTheme="minorEastAsia" w:hAnsiTheme="minorHAnsi"/>
          <w:sz w:val="22"/>
          <w:lang w:eastAsia="en-AU"/>
        </w:rPr>
      </w:pPr>
      <w:hyperlink w:anchor="_Toc438111667" w:history="1">
        <w:r w:rsidR="005B12CC" w:rsidRPr="005A21E5">
          <w:rPr>
            <w:rStyle w:val="Hyperlink"/>
          </w:rPr>
          <w:t>3.2</w:t>
        </w:r>
        <w:r w:rsidR="005B12CC">
          <w:rPr>
            <w:rFonts w:asciiTheme="minorHAnsi" w:eastAsiaTheme="minorEastAsia" w:hAnsiTheme="minorHAnsi"/>
            <w:sz w:val="22"/>
            <w:lang w:eastAsia="en-AU"/>
          </w:rPr>
          <w:tab/>
        </w:r>
        <w:r w:rsidR="005B12CC" w:rsidRPr="005A21E5">
          <w:rPr>
            <w:rStyle w:val="Hyperlink"/>
          </w:rPr>
          <w:t>Economic Insights’ analysis of the updated pricing dataset</w:t>
        </w:r>
        <w:r w:rsidR="005B12CC">
          <w:rPr>
            <w:webHidden/>
          </w:rPr>
          <w:tab/>
        </w:r>
        <w:r w:rsidR="005B12CC">
          <w:rPr>
            <w:webHidden/>
          </w:rPr>
          <w:fldChar w:fldCharType="begin"/>
        </w:r>
        <w:r w:rsidR="005B12CC">
          <w:rPr>
            <w:webHidden/>
          </w:rPr>
          <w:instrText xml:space="preserve"> PAGEREF _Toc438111667 \h </w:instrText>
        </w:r>
        <w:r w:rsidR="005B12CC">
          <w:rPr>
            <w:webHidden/>
          </w:rPr>
        </w:r>
        <w:r w:rsidR="005B12CC">
          <w:rPr>
            <w:webHidden/>
          </w:rPr>
          <w:fldChar w:fldCharType="separate"/>
        </w:r>
        <w:r w:rsidR="005B12CC">
          <w:rPr>
            <w:webHidden/>
          </w:rPr>
          <w:t>10</w:t>
        </w:r>
        <w:r w:rsidR="005B12CC">
          <w:rPr>
            <w:webHidden/>
          </w:rPr>
          <w:fldChar w:fldCharType="end"/>
        </w:r>
      </w:hyperlink>
    </w:p>
    <w:p w:rsidR="0044190B" w:rsidRPr="00316E0D" w:rsidRDefault="001A00D4" w:rsidP="00A66A44">
      <w:r w:rsidRPr="00316E0D">
        <w:fldChar w:fldCharType="end"/>
      </w:r>
    </w:p>
    <w:p w:rsidR="0044190B" w:rsidRPr="00316E0D" w:rsidRDefault="0044190B" w:rsidP="0044190B"/>
    <w:p w:rsidR="00E91311" w:rsidRPr="00316E0D" w:rsidRDefault="00E91311" w:rsidP="002A2868">
      <w:pPr>
        <w:tabs>
          <w:tab w:val="left" w:pos="7350"/>
        </w:tabs>
        <w:sectPr w:rsidR="00E91311" w:rsidRPr="00316E0D" w:rsidSect="00E91311">
          <w:footerReference w:type="default" r:id="rId11"/>
          <w:pgSz w:w="11906" w:h="16838"/>
          <w:pgMar w:top="1440" w:right="1729" w:bottom="1582" w:left="1729" w:header="709" w:footer="709" w:gutter="0"/>
          <w:pgNumType w:start="1"/>
          <w:cols w:space="708"/>
          <w:docGrid w:linePitch="360"/>
        </w:sectPr>
      </w:pPr>
      <w:bookmarkStart w:id="3" w:name="_Toc377396310"/>
    </w:p>
    <w:p w:rsidR="00221745" w:rsidRPr="00316E0D" w:rsidRDefault="00221745" w:rsidP="00697431"/>
    <w:p w:rsidR="00A70A39" w:rsidRPr="00316E0D" w:rsidRDefault="00D130F8" w:rsidP="00AA66E1">
      <w:pPr>
        <w:pStyle w:val="HeadingLevel1"/>
        <w:numPr>
          <w:ilvl w:val="0"/>
          <w:numId w:val="0"/>
        </w:numPr>
      </w:pPr>
      <w:bookmarkStart w:id="4" w:name="_Toc438111657"/>
      <w:bookmarkEnd w:id="3"/>
      <w:r>
        <w:lastRenderedPageBreak/>
        <w:t>Purpose of consultation</w:t>
      </w:r>
      <w:bookmarkEnd w:id="4"/>
    </w:p>
    <w:p w:rsidR="00A855B2" w:rsidRPr="00316E0D" w:rsidRDefault="00A855B2" w:rsidP="00A855B2">
      <w:pPr>
        <w:spacing w:before="240"/>
        <w:rPr>
          <w:szCs w:val="20"/>
        </w:rPr>
      </w:pPr>
      <w:r w:rsidRPr="00316E0D">
        <w:rPr>
          <w:szCs w:val="20"/>
        </w:rPr>
        <w:t xml:space="preserve">The Australian Competition and Consumer Commission (ACCC) </w:t>
      </w:r>
      <w:r w:rsidR="00797E23">
        <w:rPr>
          <w:szCs w:val="20"/>
        </w:rPr>
        <w:t xml:space="preserve">released </w:t>
      </w:r>
      <w:r w:rsidRPr="00316E0D">
        <w:rPr>
          <w:szCs w:val="20"/>
        </w:rPr>
        <w:t>its draft decision on the primary price terms and supplementary price terms to be included in the final access determination (FAD) for the domestic transmission capacity service (DTCS)</w:t>
      </w:r>
      <w:r w:rsidR="00797E23">
        <w:rPr>
          <w:szCs w:val="20"/>
        </w:rPr>
        <w:t xml:space="preserve"> on 4 September 2015</w:t>
      </w:r>
      <w:r w:rsidRPr="00316E0D">
        <w:rPr>
          <w:szCs w:val="20"/>
        </w:rPr>
        <w:t xml:space="preserve">. </w:t>
      </w:r>
    </w:p>
    <w:p w:rsidR="00EC658D" w:rsidRPr="00EC658D" w:rsidRDefault="00797E23" w:rsidP="00EC658D">
      <w:pPr>
        <w:spacing w:before="120" w:after="120"/>
        <w:rPr>
          <w:i/>
          <w:szCs w:val="20"/>
        </w:rPr>
      </w:pPr>
      <w:r>
        <w:rPr>
          <w:i/>
          <w:szCs w:val="20"/>
        </w:rPr>
        <w:t>Further consultation</w:t>
      </w:r>
      <w:r w:rsidR="00EC658D" w:rsidRPr="00EC658D">
        <w:rPr>
          <w:i/>
          <w:szCs w:val="20"/>
        </w:rPr>
        <w:t xml:space="preserve"> </w:t>
      </w:r>
    </w:p>
    <w:p w:rsidR="00797E23" w:rsidRDefault="00797E23" w:rsidP="00EC658D">
      <w:pPr>
        <w:spacing w:before="120" w:after="120"/>
        <w:rPr>
          <w:szCs w:val="20"/>
        </w:rPr>
      </w:pPr>
      <w:r>
        <w:rPr>
          <w:szCs w:val="20"/>
        </w:rPr>
        <w:t>In response to submissions from stakeholders to the draft decision, the ACCC decided to undertake further consultation. In particular, concerns were raised about the predictive capabilities of the proposed benchmarking model in relation to short distance, low capacity transmission services. Submissions suggested that</w:t>
      </w:r>
      <w:r w:rsidR="00624CCD">
        <w:rPr>
          <w:szCs w:val="20"/>
        </w:rPr>
        <w:t xml:space="preserve"> prices for</w:t>
      </w:r>
      <w:r>
        <w:rPr>
          <w:szCs w:val="20"/>
        </w:rPr>
        <w:t xml:space="preserve"> short dist</w:t>
      </w:r>
      <w:r w:rsidR="002A2868">
        <w:rPr>
          <w:szCs w:val="20"/>
        </w:rPr>
        <w:t xml:space="preserve">ance, low capacity </w:t>
      </w:r>
      <w:r w:rsidR="00624CCD">
        <w:rPr>
          <w:szCs w:val="20"/>
        </w:rPr>
        <w:t xml:space="preserve">services </w:t>
      </w:r>
      <w:r>
        <w:rPr>
          <w:szCs w:val="20"/>
        </w:rPr>
        <w:t xml:space="preserve">produced by the model were </w:t>
      </w:r>
      <w:r w:rsidR="00010DD2">
        <w:rPr>
          <w:szCs w:val="20"/>
        </w:rPr>
        <w:t>above 2012 DTCS FAD prices and</w:t>
      </w:r>
      <w:r w:rsidR="00263B92">
        <w:rPr>
          <w:szCs w:val="20"/>
        </w:rPr>
        <w:t xml:space="preserve"> are</w:t>
      </w:r>
      <w:r w:rsidR="00010DD2">
        <w:rPr>
          <w:szCs w:val="20"/>
        </w:rPr>
        <w:t xml:space="preserve"> </w:t>
      </w:r>
      <w:r>
        <w:rPr>
          <w:szCs w:val="20"/>
        </w:rPr>
        <w:t>not reflective of market prices</w:t>
      </w:r>
      <w:r w:rsidR="00C56A07">
        <w:rPr>
          <w:szCs w:val="20"/>
        </w:rPr>
        <w:t>.</w:t>
      </w:r>
      <w:r>
        <w:rPr>
          <w:szCs w:val="20"/>
        </w:rPr>
        <w:t xml:space="preserve"> </w:t>
      </w:r>
      <w:r w:rsidR="00010DD2">
        <w:rPr>
          <w:szCs w:val="20"/>
        </w:rPr>
        <w:t>A</w:t>
      </w:r>
      <w:r>
        <w:rPr>
          <w:szCs w:val="20"/>
        </w:rPr>
        <w:t>lterna</w:t>
      </w:r>
      <w:r w:rsidR="002A2868">
        <w:rPr>
          <w:szCs w:val="20"/>
        </w:rPr>
        <w:t>tive approaches were suggested.</w:t>
      </w:r>
    </w:p>
    <w:p w:rsidR="006C431B" w:rsidRDefault="00797E23" w:rsidP="00EC658D">
      <w:pPr>
        <w:spacing w:before="120" w:after="120"/>
        <w:rPr>
          <w:szCs w:val="20"/>
        </w:rPr>
      </w:pPr>
      <w:r>
        <w:rPr>
          <w:szCs w:val="20"/>
        </w:rPr>
        <w:t>The ACCC engaged its consultant, Economic Insights</w:t>
      </w:r>
      <w:r w:rsidR="00AB2B51">
        <w:rPr>
          <w:szCs w:val="20"/>
        </w:rPr>
        <w:t>,</w:t>
      </w:r>
      <w:r>
        <w:rPr>
          <w:szCs w:val="20"/>
        </w:rPr>
        <w:t xml:space="preserve"> to undertake further regression analysis </w:t>
      </w:r>
      <w:r w:rsidR="00010DD2">
        <w:rPr>
          <w:szCs w:val="20"/>
        </w:rPr>
        <w:t>in response to submissions</w:t>
      </w:r>
      <w:r>
        <w:rPr>
          <w:szCs w:val="20"/>
        </w:rPr>
        <w:t xml:space="preserve">. In addition, the ACCC decided to include additional pricing information provided by Optus in July 2015 and has clarified </w:t>
      </w:r>
      <w:r w:rsidR="006C431B">
        <w:rPr>
          <w:szCs w:val="20"/>
        </w:rPr>
        <w:t>the GST aspect of pricing in the confidential dataset</w:t>
      </w:r>
      <w:r>
        <w:rPr>
          <w:szCs w:val="20"/>
        </w:rPr>
        <w:t xml:space="preserve">. </w:t>
      </w:r>
    </w:p>
    <w:p w:rsidR="000151AF" w:rsidRDefault="000151AF" w:rsidP="00EC658D">
      <w:pPr>
        <w:spacing w:before="120" w:after="120"/>
        <w:rPr>
          <w:szCs w:val="20"/>
        </w:rPr>
      </w:pPr>
      <w:r>
        <w:rPr>
          <w:szCs w:val="20"/>
        </w:rPr>
        <w:t xml:space="preserve">The ACCC seeks comment on the options canvassed by </w:t>
      </w:r>
      <w:r w:rsidR="004B14BE">
        <w:rPr>
          <w:szCs w:val="20"/>
        </w:rPr>
        <w:t>Economic Insights</w:t>
      </w:r>
      <w:r w:rsidR="00D3635B">
        <w:rPr>
          <w:szCs w:val="20"/>
        </w:rPr>
        <w:t xml:space="preserve"> </w:t>
      </w:r>
      <w:r>
        <w:rPr>
          <w:szCs w:val="20"/>
        </w:rPr>
        <w:t>in its further a</w:t>
      </w:r>
      <w:r w:rsidR="004B14BE">
        <w:rPr>
          <w:szCs w:val="20"/>
        </w:rPr>
        <w:t>nalysis of the updated dataset.</w:t>
      </w:r>
    </w:p>
    <w:p w:rsidR="006C431B" w:rsidRDefault="00010DD2" w:rsidP="00EC658D">
      <w:pPr>
        <w:spacing w:before="120" w:after="120"/>
        <w:rPr>
          <w:szCs w:val="20"/>
        </w:rPr>
      </w:pPr>
      <w:r>
        <w:rPr>
          <w:szCs w:val="20"/>
        </w:rPr>
        <w:t xml:space="preserve">Based on the need to undertake this </w:t>
      </w:r>
      <w:r w:rsidR="006C431B">
        <w:rPr>
          <w:szCs w:val="20"/>
        </w:rPr>
        <w:t>further consultation, the ACCC extended the inquiry making period on 5 November 2015. The ACCC now expects to conclude the inquiry in the first quarter of 2016. The DTCS FAD is proposed to take effect from the date of publication until 31 December 2019.</w:t>
      </w:r>
    </w:p>
    <w:p w:rsidR="006C431B" w:rsidRDefault="006C431B" w:rsidP="00EC658D">
      <w:pPr>
        <w:spacing w:before="120" w:after="120"/>
        <w:rPr>
          <w:szCs w:val="20"/>
        </w:rPr>
      </w:pPr>
      <w:r>
        <w:rPr>
          <w:szCs w:val="20"/>
        </w:rPr>
        <w:t xml:space="preserve">The ACCC now seeks comment on the following: </w:t>
      </w:r>
    </w:p>
    <w:p w:rsidR="00A855B2" w:rsidRDefault="00D3635B" w:rsidP="00547D5F">
      <w:pPr>
        <w:pStyle w:val="ListParagraph"/>
        <w:numPr>
          <w:ilvl w:val="0"/>
          <w:numId w:val="23"/>
        </w:numPr>
        <w:spacing w:after="120"/>
        <w:ind w:left="714" w:hanging="357"/>
        <w:contextualSpacing w:val="0"/>
        <w:rPr>
          <w:szCs w:val="20"/>
        </w:rPr>
      </w:pPr>
      <w:r>
        <w:rPr>
          <w:szCs w:val="20"/>
        </w:rPr>
        <w:t>Economic Insights’</w:t>
      </w:r>
      <w:r w:rsidR="006C431B">
        <w:rPr>
          <w:szCs w:val="20"/>
        </w:rPr>
        <w:t xml:space="preserve"> analysis </w:t>
      </w:r>
      <w:r w:rsidR="00CB5F02">
        <w:rPr>
          <w:szCs w:val="20"/>
        </w:rPr>
        <w:t xml:space="preserve">and options </w:t>
      </w:r>
      <w:r w:rsidR="006C431B">
        <w:rPr>
          <w:szCs w:val="20"/>
        </w:rPr>
        <w:t xml:space="preserve">for dealing with </w:t>
      </w:r>
      <w:r w:rsidR="00624CCD">
        <w:rPr>
          <w:szCs w:val="20"/>
        </w:rPr>
        <w:t xml:space="preserve">prices for </w:t>
      </w:r>
      <w:r w:rsidR="006C431B">
        <w:rPr>
          <w:szCs w:val="20"/>
        </w:rPr>
        <w:t>short distance, low capacity</w:t>
      </w:r>
      <w:r w:rsidR="00624CCD">
        <w:rPr>
          <w:szCs w:val="20"/>
        </w:rPr>
        <w:t xml:space="preserve"> services</w:t>
      </w:r>
      <w:r w:rsidR="00E01510">
        <w:rPr>
          <w:szCs w:val="20"/>
        </w:rPr>
        <w:t>, and</w:t>
      </w:r>
      <w:r w:rsidR="006C431B">
        <w:rPr>
          <w:szCs w:val="20"/>
        </w:rPr>
        <w:t xml:space="preserve"> </w:t>
      </w:r>
    </w:p>
    <w:p w:rsidR="006C431B" w:rsidRDefault="00C56A07" w:rsidP="00547D5F">
      <w:pPr>
        <w:pStyle w:val="ListParagraph"/>
        <w:numPr>
          <w:ilvl w:val="0"/>
          <w:numId w:val="23"/>
        </w:numPr>
        <w:spacing w:after="120"/>
        <w:ind w:left="714" w:hanging="357"/>
        <w:contextualSpacing w:val="0"/>
        <w:rPr>
          <w:szCs w:val="20"/>
        </w:rPr>
      </w:pPr>
      <w:proofErr w:type="gramStart"/>
      <w:r>
        <w:rPr>
          <w:szCs w:val="20"/>
        </w:rPr>
        <w:t>i</w:t>
      </w:r>
      <w:r w:rsidR="006C431B">
        <w:rPr>
          <w:szCs w:val="20"/>
        </w:rPr>
        <w:t>nclusion</w:t>
      </w:r>
      <w:proofErr w:type="gramEnd"/>
      <w:r w:rsidR="006C431B">
        <w:rPr>
          <w:szCs w:val="20"/>
        </w:rPr>
        <w:t xml:space="preserve"> of Optus additional pricing data</w:t>
      </w:r>
      <w:r w:rsidR="00E01510">
        <w:rPr>
          <w:szCs w:val="20"/>
        </w:rPr>
        <w:t>.</w:t>
      </w:r>
    </w:p>
    <w:p w:rsidR="00D130F8" w:rsidRPr="00D130F8" w:rsidRDefault="00CB5F02" w:rsidP="00D130F8">
      <w:pPr>
        <w:spacing w:before="240"/>
        <w:rPr>
          <w:szCs w:val="20"/>
        </w:rPr>
      </w:pPr>
      <w:r>
        <w:rPr>
          <w:szCs w:val="20"/>
        </w:rPr>
        <w:t>Q</w:t>
      </w:r>
      <w:r w:rsidR="00B64403">
        <w:rPr>
          <w:szCs w:val="20"/>
        </w:rPr>
        <w:t xml:space="preserve">uestions </w:t>
      </w:r>
      <w:r>
        <w:rPr>
          <w:szCs w:val="20"/>
        </w:rPr>
        <w:t xml:space="preserve">to guide comments </w:t>
      </w:r>
      <w:r w:rsidR="00B64403">
        <w:rPr>
          <w:szCs w:val="20"/>
        </w:rPr>
        <w:t>are set out in th</w:t>
      </w:r>
      <w:r w:rsidR="003D1509">
        <w:rPr>
          <w:szCs w:val="20"/>
        </w:rPr>
        <w:t>is</w:t>
      </w:r>
      <w:r w:rsidR="00B64403">
        <w:rPr>
          <w:szCs w:val="20"/>
        </w:rPr>
        <w:t xml:space="preserve"> consultation paper. </w:t>
      </w:r>
      <w:r w:rsidR="00D130F8">
        <w:rPr>
          <w:szCs w:val="20"/>
        </w:rPr>
        <w:t xml:space="preserve">The ACCC invites submissions to be sent to </w:t>
      </w:r>
      <w:hyperlink r:id="rId12" w:history="1">
        <w:r w:rsidR="00D130F8" w:rsidRPr="00FB610E">
          <w:rPr>
            <w:rStyle w:val="Hyperlink"/>
            <w:szCs w:val="20"/>
          </w:rPr>
          <w:t>DTCS@accc.gov.au</w:t>
        </w:r>
      </w:hyperlink>
      <w:r w:rsidR="00D130F8">
        <w:rPr>
          <w:szCs w:val="20"/>
        </w:rPr>
        <w:t xml:space="preserve"> by COB 5 February 2016. Attached is </w:t>
      </w:r>
      <w:r w:rsidR="00B64403">
        <w:rPr>
          <w:szCs w:val="20"/>
        </w:rPr>
        <w:t xml:space="preserve">a redacted version of the report prepared by </w:t>
      </w:r>
      <w:r w:rsidR="00D3635B">
        <w:rPr>
          <w:szCs w:val="20"/>
        </w:rPr>
        <w:t>Economic Insights</w:t>
      </w:r>
      <w:r w:rsidR="00B64403">
        <w:rPr>
          <w:szCs w:val="20"/>
        </w:rPr>
        <w:t>. C</w:t>
      </w:r>
      <w:r w:rsidR="00D130F8">
        <w:rPr>
          <w:szCs w:val="20"/>
        </w:rPr>
        <w:t>onfidential version</w:t>
      </w:r>
      <w:r w:rsidR="00B64403">
        <w:rPr>
          <w:szCs w:val="20"/>
        </w:rPr>
        <w:t>s</w:t>
      </w:r>
      <w:r w:rsidR="00D130F8">
        <w:rPr>
          <w:szCs w:val="20"/>
        </w:rPr>
        <w:t xml:space="preserve"> of the </w:t>
      </w:r>
      <w:r w:rsidR="00B64403">
        <w:rPr>
          <w:szCs w:val="20"/>
        </w:rPr>
        <w:t xml:space="preserve">consultation paper, </w:t>
      </w:r>
      <w:r w:rsidR="00D3635B">
        <w:rPr>
          <w:szCs w:val="20"/>
        </w:rPr>
        <w:t xml:space="preserve">Economic Insights’ </w:t>
      </w:r>
      <w:r w:rsidR="00D130F8">
        <w:rPr>
          <w:szCs w:val="20"/>
        </w:rPr>
        <w:t xml:space="preserve">report and </w:t>
      </w:r>
      <w:r w:rsidR="00B64403">
        <w:rPr>
          <w:szCs w:val="20"/>
        </w:rPr>
        <w:t xml:space="preserve">the </w:t>
      </w:r>
      <w:r w:rsidR="00D130F8">
        <w:rPr>
          <w:szCs w:val="20"/>
        </w:rPr>
        <w:t>updated confidential dataset will be made available to industry experts</w:t>
      </w:r>
      <w:r w:rsidR="003D1509">
        <w:rPr>
          <w:szCs w:val="20"/>
        </w:rPr>
        <w:t xml:space="preserve"> under the existing confidentiality regime</w:t>
      </w:r>
      <w:r w:rsidR="00D130F8">
        <w:rPr>
          <w:szCs w:val="20"/>
        </w:rPr>
        <w:t>.</w:t>
      </w:r>
    </w:p>
    <w:p w:rsidR="00ED14CE" w:rsidRPr="00316E0D" w:rsidRDefault="00DA6B40" w:rsidP="00AA66E1">
      <w:pPr>
        <w:pStyle w:val="HeadingLevel1"/>
      </w:pPr>
      <w:bookmarkStart w:id="5" w:name="_Toc438111658"/>
      <w:bookmarkEnd w:id="2"/>
      <w:r>
        <w:lastRenderedPageBreak/>
        <w:t>Inclusion of additional pricing data</w:t>
      </w:r>
      <w:bookmarkEnd w:id="5"/>
    </w:p>
    <w:tbl>
      <w:tblPr>
        <w:tblStyle w:val="TableGrid"/>
        <w:tblW w:w="0" w:type="auto"/>
        <w:tblLook w:val="04A0" w:firstRow="1" w:lastRow="0" w:firstColumn="1" w:lastColumn="0" w:noHBand="0" w:noVBand="1"/>
      </w:tblPr>
      <w:tblGrid>
        <w:gridCol w:w="8664"/>
      </w:tblGrid>
      <w:tr w:rsidR="00A32A1D" w:rsidRPr="00316E0D" w:rsidTr="00A32A1D">
        <w:trPr>
          <w:trHeight w:val="2073"/>
        </w:trPr>
        <w:tc>
          <w:tcPr>
            <w:tcW w:w="8664" w:type="dxa"/>
          </w:tcPr>
          <w:p w:rsidR="00A32A1D" w:rsidRPr="00316E0D" w:rsidRDefault="00A32A1D" w:rsidP="00A32A1D">
            <w:pPr>
              <w:pStyle w:val="HeadingLevel9NONnumbered"/>
              <w:numPr>
                <w:ilvl w:val="8"/>
                <w:numId w:val="3"/>
              </w:numPr>
              <w:spacing w:before="120"/>
            </w:pPr>
            <w:r w:rsidRPr="00316E0D">
              <w:t>Key Points</w:t>
            </w:r>
          </w:p>
          <w:p w:rsidR="00DA6B40" w:rsidRDefault="00DA6B40" w:rsidP="00DD3E8B">
            <w:pPr>
              <w:pStyle w:val="Bullets"/>
            </w:pPr>
            <w:r>
              <w:t>In November 2014 the ACCC requested commercial transmission pricing data from the industry. The pricing information was collated and provided to the ACCC’s consultant</w:t>
            </w:r>
            <w:r w:rsidR="00E01510">
              <w:t xml:space="preserve"> Economic Insights</w:t>
            </w:r>
            <w:r>
              <w:t xml:space="preserve"> and industry experts in March 2015.</w:t>
            </w:r>
          </w:p>
          <w:p w:rsidR="00DA6B40" w:rsidRDefault="00DA6B40" w:rsidP="00DD3E8B">
            <w:pPr>
              <w:pStyle w:val="Bullets"/>
            </w:pPr>
            <w:r>
              <w:t>Optus provided the ACCC with additional pricing data in July 2015</w:t>
            </w:r>
            <w:r w:rsidR="007E6ED4">
              <w:t xml:space="preserve">, which had been inadvertently omitted from the data </w:t>
            </w:r>
            <w:r w:rsidR="001A4188">
              <w:t>provided in response to the November request</w:t>
            </w:r>
            <w:r>
              <w:t>. The data w</w:t>
            </w:r>
            <w:r w:rsidR="00E47AEA">
              <w:t>ere</w:t>
            </w:r>
            <w:r>
              <w:t xml:space="preserve"> provided </w:t>
            </w:r>
            <w:r w:rsidR="005932B4">
              <w:t xml:space="preserve">as </w:t>
            </w:r>
            <w:r w:rsidR="00E01510">
              <w:t xml:space="preserve">Economic Insights </w:t>
            </w:r>
            <w:r w:rsidR="005932B4">
              <w:t>was finalising</w:t>
            </w:r>
            <w:r>
              <w:t xml:space="preserve"> its report and regression analysis of the dataset following extensive consultation with industry and statistical experts</w:t>
            </w:r>
            <w:r w:rsidR="001A4188">
              <w:t xml:space="preserve"> and could not be included in the analysis</w:t>
            </w:r>
            <w:r>
              <w:t>.</w:t>
            </w:r>
          </w:p>
          <w:p w:rsidR="00DA6B40" w:rsidRDefault="00DA6B40" w:rsidP="00DD3E8B">
            <w:pPr>
              <w:pStyle w:val="Bullets"/>
            </w:pPr>
            <w:r>
              <w:t>The ACCC has decided to include the additional pricing data</w:t>
            </w:r>
            <w:r w:rsidR="003C4538">
              <w:t xml:space="preserve"> in the </w:t>
            </w:r>
            <w:r w:rsidR="00314826">
              <w:t>regression model</w:t>
            </w:r>
            <w:r w:rsidR="001A4188">
              <w:t>.</w:t>
            </w:r>
          </w:p>
          <w:p w:rsidR="00A32A1D" w:rsidRPr="00316E0D" w:rsidRDefault="00E01510" w:rsidP="00E01510">
            <w:pPr>
              <w:pStyle w:val="Bullets"/>
            </w:pPr>
            <w:r>
              <w:t>Economic Insights</w:t>
            </w:r>
            <w:r w:rsidR="00DA6B40">
              <w:t xml:space="preserve"> has undertaken further</w:t>
            </w:r>
            <w:r>
              <w:t xml:space="preserve"> regression</w:t>
            </w:r>
            <w:r w:rsidR="00DA6B40">
              <w:t xml:space="preserve"> analysis of the dataset</w:t>
            </w:r>
            <w:r w:rsidR="001A4188">
              <w:t>, which includes the additional data</w:t>
            </w:r>
            <w:r w:rsidR="00DA6B40">
              <w:t>.</w:t>
            </w:r>
          </w:p>
        </w:tc>
      </w:tr>
    </w:tbl>
    <w:p w:rsidR="00A32A1D" w:rsidRPr="00316E0D" w:rsidRDefault="00A32A1D" w:rsidP="00A32A1D"/>
    <w:p w:rsidR="00CC5C3E" w:rsidRPr="00316E0D" w:rsidRDefault="007364EE" w:rsidP="000E6BEB">
      <w:pPr>
        <w:pStyle w:val="HeadingLevel2"/>
        <w:numPr>
          <w:ilvl w:val="1"/>
          <w:numId w:val="69"/>
        </w:numPr>
      </w:pPr>
      <w:bookmarkStart w:id="6" w:name="_Toc438111659"/>
      <w:r>
        <w:t>Pricing data collation</w:t>
      </w:r>
      <w:bookmarkEnd w:id="6"/>
    </w:p>
    <w:p w:rsidR="00884027" w:rsidRDefault="007364EE" w:rsidP="001263AB">
      <w:r>
        <w:t xml:space="preserve">In November 2014 the ACCC requested commercial pricing data from transmission providers which could be used to benchmark prices on </w:t>
      </w:r>
      <w:r w:rsidR="00884027">
        <w:t xml:space="preserve">regulated </w:t>
      </w:r>
      <w:r>
        <w:t>routes as part of the ACCC’s</w:t>
      </w:r>
      <w:r w:rsidR="00E01510">
        <w:t xml:space="preserve"> DTCS FAD</w:t>
      </w:r>
      <w:r>
        <w:t xml:space="preserve"> inquiry.</w:t>
      </w:r>
      <w:r w:rsidR="00825007">
        <w:t xml:space="preserve"> The ACCC’s information request covered all transmission services supplied by the provider on both regulated and deregulated routes </w:t>
      </w:r>
      <w:r w:rsidR="004B14BE">
        <w:t xml:space="preserve">which met </w:t>
      </w:r>
      <w:r w:rsidR="00825007">
        <w:t xml:space="preserve">the technical requirements of the DTCS service description. </w:t>
      </w:r>
      <w:r w:rsidR="00884027">
        <w:t>The ACCC requested the following information from transmission providers:</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Customer - Name</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A-end and B-end - Site address</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 xml:space="preserve">Name of product </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Interface type - Ethernet or SDH</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Distance (km) - radial or actual</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Capacity – Mbps</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Recurring monthly charge - Actual billing amount per month</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Connection charges - Actual one off charge/s not included in monthly billing amount</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Route category - Metro</w:t>
      </w:r>
      <w:r w:rsidR="006E36C4">
        <w:rPr>
          <w:rFonts w:cs="Arial"/>
        </w:rPr>
        <w:t>politan</w:t>
      </w:r>
      <w:r w:rsidRPr="00F73CBF">
        <w:rPr>
          <w:rFonts w:cs="Arial"/>
        </w:rPr>
        <w:t>, regional, other</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 xml:space="preserve">Type of protection provided </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Service Level – Details</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 xml:space="preserve">Date current service contract commenced </w:t>
      </w:r>
    </w:p>
    <w:p w:rsidR="00854558" w:rsidRPr="00F73CBF" w:rsidRDefault="00854558" w:rsidP="00E01510">
      <w:pPr>
        <w:pStyle w:val="ListParagraph"/>
        <w:numPr>
          <w:ilvl w:val="0"/>
          <w:numId w:val="39"/>
        </w:numPr>
        <w:spacing w:after="120"/>
        <w:ind w:left="714" w:hanging="357"/>
        <w:contextualSpacing w:val="0"/>
        <w:rPr>
          <w:rFonts w:cs="Arial"/>
        </w:rPr>
      </w:pPr>
      <w:r w:rsidRPr="00F73CBF">
        <w:rPr>
          <w:rFonts w:cs="Arial"/>
        </w:rPr>
        <w:t>Contract term – Months</w:t>
      </w:r>
    </w:p>
    <w:p w:rsidR="00854558" w:rsidRPr="00F73CBF" w:rsidRDefault="00854558" w:rsidP="00E01510">
      <w:pPr>
        <w:pStyle w:val="ListParagraph"/>
        <w:numPr>
          <w:ilvl w:val="0"/>
          <w:numId w:val="39"/>
        </w:numPr>
        <w:ind w:left="714" w:hanging="357"/>
        <w:contextualSpacing w:val="0"/>
        <w:rPr>
          <w:rFonts w:cs="Arial"/>
        </w:rPr>
      </w:pPr>
      <w:r w:rsidRPr="00F73CBF">
        <w:rPr>
          <w:rFonts w:cs="Arial"/>
        </w:rPr>
        <w:t>Discounts and rebates</w:t>
      </w:r>
    </w:p>
    <w:p w:rsidR="007364EE" w:rsidRDefault="007364EE" w:rsidP="001263AB">
      <w:r>
        <w:t>The pricing dataset from transmission providers was given to the ACCC’s consultant</w:t>
      </w:r>
      <w:r w:rsidR="00E01510">
        <w:t xml:space="preserve"> Economic Insights</w:t>
      </w:r>
      <w:r>
        <w:t xml:space="preserve"> in March 2015. Access to the dataset was also provided to stakeholder experts of Telstra, Optus and VHA. Workshops for stakeholders and experts were held in April 2015. Further analysis of the dataset was then undertaken by E</w:t>
      </w:r>
      <w:r w:rsidR="00E01510">
        <w:t xml:space="preserve">conomic </w:t>
      </w:r>
      <w:r>
        <w:t>I</w:t>
      </w:r>
      <w:r w:rsidR="00E01510">
        <w:t>nsights</w:t>
      </w:r>
      <w:r>
        <w:t xml:space="preserve"> and following consultation with experts, a report was provided by </w:t>
      </w:r>
      <w:r w:rsidR="00D3635B">
        <w:rPr>
          <w:szCs w:val="20"/>
        </w:rPr>
        <w:t>Economic Insights</w:t>
      </w:r>
      <w:r>
        <w:t xml:space="preserve"> to the ACCC.</w:t>
      </w:r>
    </w:p>
    <w:p w:rsidR="001A4188" w:rsidRDefault="001A4188" w:rsidP="001263AB">
      <w:r>
        <w:lastRenderedPageBreak/>
        <w:t>O</w:t>
      </w:r>
      <w:r w:rsidR="007364EE">
        <w:t>n 27 July 2015,</w:t>
      </w:r>
      <w:r>
        <w:t xml:space="preserve"> Optus and VHA advised the ACCC that additional data had been identified which should have been included in the data provided to the ACCC in response to the November 2014 request.</w:t>
      </w:r>
      <w:r w:rsidR="00825007">
        <w:t xml:space="preserve"> </w:t>
      </w:r>
      <w:r>
        <w:t xml:space="preserve">The additional data relates to transmission services provided by Optus to VHA for mobile base station backhaul as part of joint venture arrangements between the parties. </w:t>
      </w:r>
      <w:r w:rsidR="00854558">
        <w:t xml:space="preserve">The agreement began in 2012 and will end in 2018. Under the agreement Optus will provide VHA with </w:t>
      </w:r>
      <w:r w:rsidR="00186CF6" w:rsidRPr="00186CF6">
        <w:rPr>
          <w:b/>
          <w:highlight w:val="lightGray"/>
        </w:rPr>
        <w:t>[c-</w:t>
      </w:r>
      <w:proofErr w:type="spellStart"/>
      <w:r w:rsidR="00186CF6" w:rsidRPr="00186CF6">
        <w:rPr>
          <w:b/>
          <w:highlight w:val="lightGray"/>
        </w:rPr>
        <w:t>i</w:t>
      </w:r>
      <w:proofErr w:type="spellEnd"/>
      <w:r w:rsidR="00186CF6" w:rsidRPr="00186CF6">
        <w:rPr>
          <w:b/>
          <w:highlight w:val="lightGray"/>
        </w:rPr>
        <w:t>-c starts] [c-</w:t>
      </w:r>
      <w:proofErr w:type="spellStart"/>
      <w:r w:rsidR="00186CF6" w:rsidRPr="00186CF6">
        <w:rPr>
          <w:b/>
          <w:highlight w:val="lightGray"/>
        </w:rPr>
        <w:t>i</w:t>
      </w:r>
      <w:proofErr w:type="spellEnd"/>
      <w:r w:rsidR="00186CF6" w:rsidRPr="00186CF6">
        <w:rPr>
          <w:b/>
          <w:highlight w:val="lightGray"/>
        </w:rPr>
        <w:t>-c ends]</w:t>
      </w:r>
      <w:r w:rsidR="00186CF6">
        <w:t xml:space="preserve"> </w:t>
      </w:r>
      <w:r w:rsidR="00854558">
        <w:t xml:space="preserve">transmission services which are predominantly </w:t>
      </w:r>
      <w:r w:rsidR="00186CF6" w:rsidRPr="00186CF6">
        <w:rPr>
          <w:b/>
          <w:highlight w:val="lightGray"/>
        </w:rPr>
        <w:t>[c-</w:t>
      </w:r>
      <w:proofErr w:type="spellStart"/>
      <w:r w:rsidR="00186CF6" w:rsidRPr="00186CF6">
        <w:rPr>
          <w:b/>
          <w:highlight w:val="lightGray"/>
        </w:rPr>
        <w:t>i</w:t>
      </w:r>
      <w:proofErr w:type="spellEnd"/>
      <w:r w:rsidR="00186CF6" w:rsidRPr="00186CF6">
        <w:rPr>
          <w:b/>
          <w:highlight w:val="lightGray"/>
        </w:rPr>
        <w:t>-c starts] [c-</w:t>
      </w:r>
      <w:proofErr w:type="spellStart"/>
      <w:r w:rsidR="00186CF6" w:rsidRPr="00186CF6">
        <w:rPr>
          <w:b/>
          <w:highlight w:val="lightGray"/>
        </w:rPr>
        <w:t>i</w:t>
      </w:r>
      <w:proofErr w:type="spellEnd"/>
      <w:r w:rsidR="00186CF6" w:rsidRPr="00186CF6">
        <w:rPr>
          <w:b/>
          <w:highlight w:val="lightGray"/>
        </w:rPr>
        <w:t>-c ends]</w:t>
      </w:r>
      <w:r w:rsidR="00186CF6">
        <w:t xml:space="preserve"> </w:t>
      </w:r>
      <w:r w:rsidR="00854558">
        <w:t>services</w:t>
      </w:r>
      <w:r w:rsidR="00854558" w:rsidRPr="00540D3B">
        <w:t xml:space="preserve">. </w:t>
      </w:r>
      <w:r w:rsidRPr="00540D3B">
        <w:t>Optus and VHA state that the prices for the transmission services were commercially negotiated.</w:t>
      </w:r>
      <w:r w:rsidR="00825007" w:rsidRPr="00540D3B">
        <w:t xml:space="preserve"> </w:t>
      </w:r>
      <w:r w:rsidRPr="00540D3B">
        <w:t xml:space="preserve">Optus noted that the </w:t>
      </w:r>
      <w:r w:rsidR="003D1509">
        <w:t>failure to provide</w:t>
      </w:r>
      <w:r>
        <w:t xml:space="preserve"> the data had arisen as a result of an oversight when collating its original response to the ACCC’s transmission pricing data request. </w:t>
      </w:r>
    </w:p>
    <w:p w:rsidR="007364EE" w:rsidRDefault="003D1509" w:rsidP="001263AB">
      <w:r>
        <w:t xml:space="preserve">Optus and VHA </w:t>
      </w:r>
      <w:r w:rsidR="001A4188">
        <w:t>asked the ACCC to consider including the data in the inquiry, either through inclusion in the</w:t>
      </w:r>
      <w:r w:rsidR="00FE21D0">
        <w:t xml:space="preserve"> benchmarking</w:t>
      </w:r>
      <w:r w:rsidR="001A4188">
        <w:t xml:space="preserve"> dataset or as a check on the pricing outputs from the model.  </w:t>
      </w:r>
      <w:r w:rsidR="007364EE">
        <w:t xml:space="preserve"> </w:t>
      </w:r>
    </w:p>
    <w:p w:rsidR="00F73CBF" w:rsidRPr="00316E0D" w:rsidRDefault="00C66496" w:rsidP="00F73CBF">
      <w:r>
        <w:t>T</w:t>
      </w:r>
      <w:r w:rsidR="007364EE">
        <w:t>he ACCC was not able to assess whether the</w:t>
      </w:r>
      <w:r>
        <w:t xml:space="preserve"> additional data</w:t>
      </w:r>
      <w:r w:rsidR="007364EE">
        <w:t xml:space="preserve"> should be included in the </w:t>
      </w:r>
      <w:r w:rsidR="00C56A07">
        <w:t>benchmarking dataset used</w:t>
      </w:r>
      <w:r>
        <w:t xml:space="preserve"> in</w:t>
      </w:r>
      <w:r w:rsidR="007364EE">
        <w:t xml:space="preserve"> the ACCC</w:t>
      </w:r>
      <w:r>
        <w:t>’s</w:t>
      </w:r>
      <w:r w:rsidR="007364EE">
        <w:t xml:space="preserve"> draft decision on 4 September 2015</w:t>
      </w:r>
      <w:r>
        <w:t>.</w:t>
      </w:r>
      <w:r w:rsidR="00F73CBF">
        <w:t xml:space="preserve"> In the draft decision the ACCC advised stakeholders that it will work with </w:t>
      </w:r>
      <w:r w:rsidR="00F73CBF" w:rsidRPr="00316E0D">
        <w:t>Economic Insights and stakeholders (including experts engaged by industry) on whether it would be appropriate to include the additional information in the benchmarking dataset and any subsequent changes to the benchmarking analysis and pricing model.</w:t>
      </w:r>
    </w:p>
    <w:p w:rsidR="00CC5C3E" w:rsidRPr="00316E0D" w:rsidRDefault="007364EE" w:rsidP="00C56A07">
      <w:pPr>
        <w:pStyle w:val="HeadingLevel2"/>
      </w:pPr>
      <w:bookmarkStart w:id="7" w:name="_Toc436924538"/>
      <w:bookmarkStart w:id="8" w:name="_Toc436928223"/>
      <w:bookmarkStart w:id="9" w:name="_Toc436933507"/>
      <w:bookmarkStart w:id="10" w:name="_Toc437341617"/>
      <w:bookmarkStart w:id="11" w:name="_Toc438111660"/>
      <w:bookmarkEnd w:id="7"/>
      <w:bookmarkEnd w:id="8"/>
      <w:bookmarkEnd w:id="9"/>
      <w:bookmarkEnd w:id="10"/>
      <w:r>
        <w:t xml:space="preserve">Submissions </w:t>
      </w:r>
      <w:r w:rsidR="00D57595">
        <w:t>on whether to include the additional data</w:t>
      </w:r>
      <w:bookmarkEnd w:id="11"/>
    </w:p>
    <w:p w:rsidR="00825007" w:rsidRDefault="00825007" w:rsidP="001263AB">
      <w:pPr>
        <w:pStyle w:val="Bulletpoint"/>
        <w:numPr>
          <w:ilvl w:val="0"/>
          <w:numId w:val="0"/>
        </w:numPr>
        <w:spacing w:before="240" w:after="240"/>
        <w:rPr>
          <w:rFonts w:ascii="Arial" w:hAnsi="Arial" w:cstheme="minorBidi"/>
          <w:sz w:val="20"/>
        </w:rPr>
      </w:pPr>
      <w:r>
        <w:rPr>
          <w:rFonts w:ascii="Arial" w:hAnsi="Arial" w:cstheme="minorBidi"/>
          <w:sz w:val="20"/>
        </w:rPr>
        <w:t xml:space="preserve">Optus and VHA </w:t>
      </w:r>
      <w:r w:rsidR="00F73CBF">
        <w:rPr>
          <w:rFonts w:ascii="Arial" w:hAnsi="Arial" w:cstheme="minorBidi"/>
          <w:sz w:val="20"/>
        </w:rPr>
        <w:t>strongly supported the</w:t>
      </w:r>
      <w:r>
        <w:rPr>
          <w:rFonts w:ascii="Arial" w:hAnsi="Arial" w:cstheme="minorBidi"/>
          <w:sz w:val="20"/>
        </w:rPr>
        <w:t xml:space="preserve"> inclusion of the additional data as the parties considered that the additional data:</w:t>
      </w:r>
    </w:p>
    <w:p w:rsidR="00825007" w:rsidRDefault="00825007" w:rsidP="00825007">
      <w:pPr>
        <w:pStyle w:val="Bulletpoint"/>
        <w:numPr>
          <w:ilvl w:val="0"/>
          <w:numId w:val="40"/>
        </w:numPr>
        <w:spacing w:before="240" w:after="240"/>
        <w:rPr>
          <w:rFonts w:ascii="Arial" w:hAnsi="Arial" w:cstheme="minorBidi"/>
          <w:sz w:val="20"/>
        </w:rPr>
      </w:pPr>
      <w:r>
        <w:rPr>
          <w:rFonts w:ascii="Arial" w:hAnsi="Arial" w:cstheme="minorBidi"/>
          <w:sz w:val="20"/>
        </w:rPr>
        <w:t>will materially improve the DTCS benchmark dataset and will ensure that the benchmark analysis promotes the LTIE, and</w:t>
      </w:r>
    </w:p>
    <w:p w:rsidR="00825007" w:rsidRDefault="00825007" w:rsidP="00825007">
      <w:pPr>
        <w:pStyle w:val="Bulletpoint"/>
        <w:numPr>
          <w:ilvl w:val="0"/>
          <w:numId w:val="40"/>
        </w:numPr>
        <w:spacing w:before="240" w:after="240"/>
        <w:rPr>
          <w:rFonts w:ascii="Arial" w:hAnsi="Arial" w:cstheme="minorBidi"/>
          <w:sz w:val="20"/>
        </w:rPr>
      </w:pPr>
      <w:proofErr w:type="gramStart"/>
      <w:r>
        <w:rPr>
          <w:rFonts w:ascii="Arial" w:hAnsi="Arial" w:cstheme="minorBidi"/>
          <w:sz w:val="20"/>
        </w:rPr>
        <w:t>provides</w:t>
      </w:r>
      <w:proofErr w:type="gramEnd"/>
      <w:r>
        <w:rPr>
          <w:rFonts w:ascii="Arial" w:hAnsi="Arial" w:cstheme="minorBidi"/>
          <w:sz w:val="20"/>
        </w:rPr>
        <w:t xml:space="preserve"> important competitive observations which will lead to a more comprehensive and accurate benchmarking process.</w:t>
      </w:r>
      <w:r>
        <w:rPr>
          <w:rStyle w:val="FootnoteReference"/>
          <w:rFonts w:ascii="Arial" w:hAnsi="Arial" w:cstheme="minorBidi"/>
        </w:rPr>
        <w:footnoteReference w:id="1"/>
      </w:r>
    </w:p>
    <w:p w:rsidR="007364EE" w:rsidRDefault="009E4355" w:rsidP="001263AB">
      <w:pPr>
        <w:pStyle w:val="Bulletpoint"/>
        <w:numPr>
          <w:ilvl w:val="0"/>
          <w:numId w:val="0"/>
        </w:numPr>
        <w:spacing w:before="240" w:after="240"/>
        <w:rPr>
          <w:rFonts w:ascii="Arial" w:hAnsi="Arial" w:cstheme="minorBidi"/>
          <w:sz w:val="20"/>
        </w:rPr>
      </w:pPr>
      <w:r>
        <w:rPr>
          <w:rFonts w:ascii="Arial" w:hAnsi="Arial" w:cstheme="minorBidi"/>
          <w:sz w:val="20"/>
        </w:rPr>
        <w:t>VHA</w:t>
      </w:r>
      <w:r w:rsidR="00F73CBF">
        <w:rPr>
          <w:rFonts w:ascii="Arial" w:hAnsi="Arial" w:cstheme="minorBidi"/>
          <w:sz w:val="20"/>
        </w:rPr>
        <w:t xml:space="preserve"> further</w:t>
      </w:r>
      <w:r>
        <w:rPr>
          <w:rFonts w:ascii="Arial" w:hAnsi="Arial" w:cstheme="minorBidi"/>
          <w:sz w:val="20"/>
        </w:rPr>
        <w:t xml:space="preserve"> submitted that while it acknowledges that there will be another round of consultation on how the additional data should be reflected in the FAD, it requested that the ACCC ensure that the FAD is not delayed as a result.</w:t>
      </w:r>
      <w:r>
        <w:rPr>
          <w:rStyle w:val="FootnoteReference"/>
          <w:rFonts w:ascii="Arial" w:hAnsi="Arial" w:cstheme="minorBidi"/>
        </w:rPr>
        <w:footnoteReference w:id="2"/>
      </w:r>
    </w:p>
    <w:p w:rsidR="000A7641" w:rsidRDefault="000A7641" w:rsidP="001263AB">
      <w:pPr>
        <w:pStyle w:val="Bulletpoint"/>
        <w:numPr>
          <w:ilvl w:val="0"/>
          <w:numId w:val="0"/>
        </w:numPr>
        <w:spacing w:before="240" w:after="240"/>
        <w:rPr>
          <w:rFonts w:ascii="Arial" w:hAnsi="Arial" w:cstheme="minorBidi"/>
          <w:sz w:val="20"/>
        </w:rPr>
      </w:pPr>
      <w:r>
        <w:rPr>
          <w:rFonts w:ascii="Arial" w:hAnsi="Arial" w:cstheme="minorBidi"/>
          <w:sz w:val="20"/>
        </w:rPr>
        <w:t xml:space="preserve">Telstra </w:t>
      </w:r>
      <w:r w:rsidR="00C66496">
        <w:rPr>
          <w:rFonts w:ascii="Arial" w:hAnsi="Arial" w:cstheme="minorBidi"/>
          <w:sz w:val="20"/>
        </w:rPr>
        <w:t>has argued</w:t>
      </w:r>
      <w:r>
        <w:rPr>
          <w:rFonts w:ascii="Arial" w:hAnsi="Arial" w:cstheme="minorBidi"/>
          <w:sz w:val="20"/>
        </w:rPr>
        <w:t xml:space="preserve"> that the additional data should not be considered in the regression analysis as it is not transparent that the data </w:t>
      </w:r>
      <w:r w:rsidR="00E47AEA">
        <w:rPr>
          <w:rFonts w:ascii="Arial" w:hAnsi="Arial" w:cstheme="minorBidi"/>
          <w:sz w:val="20"/>
        </w:rPr>
        <w:t>are</w:t>
      </w:r>
      <w:r>
        <w:rPr>
          <w:rFonts w:ascii="Arial" w:hAnsi="Arial" w:cstheme="minorBidi"/>
          <w:sz w:val="20"/>
        </w:rPr>
        <w:t xml:space="preserve"> relevant to the benchmarking exercise.</w:t>
      </w:r>
      <w:r w:rsidR="007744F2">
        <w:rPr>
          <w:rStyle w:val="FootnoteReference"/>
          <w:rFonts w:ascii="Arial" w:hAnsi="Arial" w:cstheme="minorBidi"/>
        </w:rPr>
        <w:footnoteReference w:id="3"/>
      </w:r>
      <w:r>
        <w:rPr>
          <w:rFonts w:ascii="Arial" w:hAnsi="Arial" w:cstheme="minorBidi"/>
          <w:sz w:val="20"/>
        </w:rPr>
        <w:t xml:space="preserve"> Telstra submitted that it is not clear whether the additional data relate to just one part of a broader deal between Optus and VHA and so distort the regression results.</w:t>
      </w:r>
      <w:r>
        <w:rPr>
          <w:rStyle w:val="FootnoteReference"/>
          <w:rFonts w:ascii="Arial" w:hAnsi="Arial" w:cstheme="minorBidi"/>
        </w:rPr>
        <w:footnoteReference w:id="4"/>
      </w:r>
      <w:r>
        <w:rPr>
          <w:rFonts w:ascii="Arial" w:hAnsi="Arial" w:cstheme="minorBidi"/>
          <w:sz w:val="20"/>
        </w:rPr>
        <w:t xml:space="preserve"> Optus </w:t>
      </w:r>
      <w:r w:rsidR="00E8530B">
        <w:rPr>
          <w:rFonts w:ascii="Arial" w:hAnsi="Arial" w:cstheme="minorBidi"/>
          <w:sz w:val="20"/>
        </w:rPr>
        <w:t>has directed the ACCC to a</w:t>
      </w:r>
      <w:r>
        <w:rPr>
          <w:rFonts w:ascii="Arial" w:hAnsi="Arial" w:cstheme="minorBidi"/>
          <w:sz w:val="20"/>
        </w:rPr>
        <w:t xml:space="preserve"> recent announcement by TPG that it would replace Optus as the supplier of mobile backhaul to VHA sites from 2018 at the conclusion of the Optus deal</w:t>
      </w:r>
      <w:r w:rsidR="00263B92">
        <w:rPr>
          <w:rFonts w:ascii="Arial" w:hAnsi="Arial" w:cstheme="minorBidi"/>
          <w:sz w:val="20"/>
        </w:rPr>
        <w:t>. Optus argued</w:t>
      </w:r>
      <w:r w:rsidR="00E8530B">
        <w:rPr>
          <w:rFonts w:ascii="Arial" w:hAnsi="Arial" w:cstheme="minorBidi"/>
          <w:sz w:val="20"/>
        </w:rPr>
        <w:t xml:space="preserve"> that this announcement </w:t>
      </w:r>
      <w:r>
        <w:rPr>
          <w:rFonts w:ascii="Arial" w:hAnsi="Arial" w:cstheme="minorBidi"/>
          <w:sz w:val="20"/>
        </w:rPr>
        <w:t xml:space="preserve">demonstrates that the market for transmission capacity is competitive for </w:t>
      </w:r>
      <w:r w:rsidR="00E8530B">
        <w:rPr>
          <w:rFonts w:ascii="Arial" w:hAnsi="Arial" w:cstheme="minorBidi"/>
          <w:sz w:val="20"/>
        </w:rPr>
        <w:t>the</w:t>
      </w:r>
      <w:r>
        <w:rPr>
          <w:rFonts w:ascii="Arial" w:hAnsi="Arial" w:cstheme="minorBidi"/>
          <w:sz w:val="20"/>
        </w:rPr>
        <w:t xml:space="preserve"> locations</w:t>
      </w:r>
      <w:r w:rsidR="00E8530B">
        <w:rPr>
          <w:rFonts w:ascii="Arial" w:hAnsi="Arial" w:cstheme="minorBidi"/>
          <w:sz w:val="20"/>
        </w:rPr>
        <w:t>, which are the subject of the additional data</w:t>
      </w:r>
      <w:r>
        <w:rPr>
          <w:rFonts w:ascii="Arial" w:hAnsi="Arial" w:cstheme="minorBidi"/>
          <w:sz w:val="20"/>
        </w:rPr>
        <w:t xml:space="preserve"> and the pricing data should be included in </w:t>
      </w:r>
      <w:r>
        <w:rPr>
          <w:rFonts w:ascii="Arial" w:hAnsi="Arial" w:cstheme="minorBidi"/>
          <w:sz w:val="20"/>
        </w:rPr>
        <w:lastRenderedPageBreak/>
        <w:t>the regression analysis</w:t>
      </w:r>
      <w:r w:rsidR="00E8530B">
        <w:rPr>
          <w:rFonts w:ascii="Arial" w:hAnsi="Arial" w:cstheme="minorBidi"/>
          <w:sz w:val="20"/>
        </w:rPr>
        <w:t xml:space="preserve"> in order to provide a complete dataset on which to set the regulated prices</w:t>
      </w:r>
      <w:r>
        <w:rPr>
          <w:rFonts w:ascii="Arial" w:hAnsi="Arial" w:cstheme="minorBidi"/>
          <w:sz w:val="20"/>
        </w:rPr>
        <w:t>.</w:t>
      </w:r>
      <w:r>
        <w:rPr>
          <w:rStyle w:val="FootnoteReference"/>
          <w:rFonts w:ascii="Arial" w:hAnsi="Arial" w:cstheme="minorBidi"/>
        </w:rPr>
        <w:footnoteReference w:id="5"/>
      </w:r>
    </w:p>
    <w:p w:rsidR="000A7641" w:rsidRPr="00D16401" w:rsidRDefault="000A7641" w:rsidP="001263AB">
      <w:pPr>
        <w:pStyle w:val="Bulletpoint"/>
        <w:numPr>
          <w:ilvl w:val="0"/>
          <w:numId w:val="0"/>
        </w:numPr>
        <w:spacing w:before="240" w:after="240"/>
        <w:rPr>
          <w:rFonts w:ascii="Arial" w:hAnsi="Arial" w:cstheme="minorBidi"/>
          <w:sz w:val="20"/>
        </w:rPr>
      </w:pPr>
      <w:r>
        <w:rPr>
          <w:rFonts w:ascii="Arial" w:hAnsi="Arial" w:cstheme="minorBidi"/>
          <w:sz w:val="20"/>
        </w:rPr>
        <w:t>In a further submission</w:t>
      </w:r>
      <w:r w:rsidR="00E8530B">
        <w:rPr>
          <w:rFonts w:ascii="Arial" w:hAnsi="Arial" w:cstheme="minorBidi"/>
          <w:sz w:val="20"/>
        </w:rPr>
        <w:t>,</w:t>
      </w:r>
      <w:r>
        <w:rPr>
          <w:rFonts w:ascii="Arial" w:hAnsi="Arial" w:cstheme="minorBidi"/>
          <w:sz w:val="20"/>
        </w:rPr>
        <w:t xml:space="preserve"> Telstra </w:t>
      </w:r>
      <w:r w:rsidR="008F58A5">
        <w:rPr>
          <w:rFonts w:ascii="Arial" w:hAnsi="Arial" w:cstheme="minorBidi"/>
          <w:sz w:val="20"/>
        </w:rPr>
        <w:t>reiterated</w:t>
      </w:r>
      <w:r w:rsidR="00263B92">
        <w:rPr>
          <w:rFonts w:ascii="Arial" w:hAnsi="Arial" w:cstheme="minorBidi"/>
          <w:sz w:val="20"/>
        </w:rPr>
        <w:t xml:space="preserve"> that it strongly disagreed</w:t>
      </w:r>
      <w:r>
        <w:rPr>
          <w:rFonts w:ascii="Arial" w:hAnsi="Arial" w:cstheme="minorBidi"/>
          <w:sz w:val="20"/>
        </w:rPr>
        <w:t xml:space="preserve"> with any proposal for the additional </w:t>
      </w:r>
      <w:r w:rsidR="00E47AEA">
        <w:rPr>
          <w:rFonts w:ascii="Arial" w:hAnsi="Arial" w:cstheme="minorBidi"/>
          <w:sz w:val="20"/>
        </w:rPr>
        <w:t xml:space="preserve">data </w:t>
      </w:r>
      <w:r>
        <w:rPr>
          <w:rFonts w:ascii="Arial" w:hAnsi="Arial" w:cstheme="minorBidi"/>
          <w:sz w:val="20"/>
        </w:rPr>
        <w:t>to be included in the</w:t>
      </w:r>
      <w:r w:rsidR="00813AC3">
        <w:rPr>
          <w:rFonts w:ascii="Arial" w:hAnsi="Arial" w:cstheme="minorBidi"/>
          <w:sz w:val="20"/>
        </w:rPr>
        <w:t xml:space="preserve"> ACCC’s</w:t>
      </w:r>
      <w:r>
        <w:rPr>
          <w:rFonts w:ascii="Arial" w:hAnsi="Arial" w:cstheme="minorBidi"/>
          <w:sz w:val="20"/>
        </w:rPr>
        <w:t xml:space="preserve"> regression analysis.</w:t>
      </w:r>
      <w:r>
        <w:rPr>
          <w:rStyle w:val="FootnoteReference"/>
          <w:rFonts w:ascii="Arial" w:hAnsi="Arial" w:cstheme="minorBidi"/>
        </w:rPr>
        <w:footnoteReference w:id="6"/>
      </w:r>
      <w:r>
        <w:rPr>
          <w:rFonts w:ascii="Arial" w:hAnsi="Arial" w:cstheme="minorBidi"/>
          <w:sz w:val="20"/>
        </w:rPr>
        <w:t xml:space="preserve"> Telstra submitted that there are questions concerning the extent to which it reflects competitive market prices and that it is unlikely to align with the structure of the pricing formula within the draft FAD. Telstra noted the earlier advice from its expert, Professor Breusch, that the inclusion of the additional data would require a substantial revisitation of the empirical work </w:t>
      </w:r>
      <w:r w:rsidR="00813AC3">
        <w:rPr>
          <w:rFonts w:ascii="Arial" w:hAnsi="Arial" w:cstheme="minorBidi"/>
          <w:sz w:val="20"/>
        </w:rPr>
        <w:t xml:space="preserve">requiring </w:t>
      </w:r>
      <w:r>
        <w:rPr>
          <w:rFonts w:ascii="Arial" w:hAnsi="Arial" w:cstheme="minorBidi"/>
          <w:sz w:val="20"/>
        </w:rPr>
        <w:t xml:space="preserve">further stakeholder </w:t>
      </w:r>
      <w:r w:rsidRPr="00D16401">
        <w:rPr>
          <w:rFonts w:ascii="Arial" w:hAnsi="Arial" w:cstheme="minorBidi"/>
          <w:sz w:val="20"/>
        </w:rPr>
        <w:t>engagement.</w:t>
      </w:r>
    </w:p>
    <w:p w:rsidR="00404D59" w:rsidRPr="00404D59" w:rsidRDefault="00404D59" w:rsidP="001263AB">
      <w:pPr>
        <w:pStyle w:val="Bulletpoint"/>
        <w:numPr>
          <w:ilvl w:val="0"/>
          <w:numId w:val="0"/>
        </w:numPr>
        <w:spacing w:before="240" w:after="240"/>
        <w:rPr>
          <w:rFonts w:ascii="Arial" w:hAnsi="Arial" w:cs="Arial"/>
          <w:sz w:val="20"/>
          <w:szCs w:val="20"/>
        </w:rPr>
      </w:pPr>
      <w:r w:rsidRPr="00D16401">
        <w:rPr>
          <w:rFonts w:ascii="Arial" w:hAnsi="Arial" w:cs="Arial"/>
          <w:sz w:val="20"/>
          <w:szCs w:val="20"/>
        </w:rPr>
        <w:t>In a further submission from VHA and Professor Bartels</w:t>
      </w:r>
      <w:r w:rsidR="00F51ACE" w:rsidRPr="00D16401">
        <w:rPr>
          <w:rFonts w:ascii="Arial" w:hAnsi="Arial" w:cs="Arial"/>
          <w:sz w:val="20"/>
          <w:szCs w:val="20"/>
        </w:rPr>
        <w:t>,</w:t>
      </w:r>
      <w:r w:rsidRPr="00D16401">
        <w:rPr>
          <w:rFonts w:ascii="Arial" w:hAnsi="Arial" w:cs="Arial"/>
          <w:sz w:val="20"/>
          <w:szCs w:val="20"/>
        </w:rPr>
        <w:t xml:space="preserve"> </w:t>
      </w:r>
      <w:r w:rsidR="00D16401" w:rsidRPr="00D16401">
        <w:rPr>
          <w:rFonts w:ascii="Arial" w:hAnsi="Arial" w:cs="Arial"/>
          <w:sz w:val="20"/>
          <w:szCs w:val="20"/>
        </w:rPr>
        <w:t xml:space="preserve">VHA noted </w:t>
      </w:r>
      <w:r w:rsidRPr="00D16401">
        <w:rPr>
          <w:rFonts w:ascii="Arial" w:hAnsi="Arial" w:cstheme="minorBidi"/>
          <w:sz w:val="20"/>
        </w:rPr>
        <w:t>that while the pricing forms part of a larger deal, this is a common industry practice such as Telstra’s modular wholesale agreements which typically represent a deal across a range of services</w:t>
      </w:r>
      <w:r w:rsidR="003D1509" w:rsidRPr="00D16401">
        <w:rPr>
          <w:rFonts w:ascii="Arial" w:hAnsi="Arial" w:cstheme="minorBidi"/>
          <w:sz w:val="20"/>
        </w:rPr>
        <w:t>, including transmission</w:t>
      </w:r>
      <w:r w:rsidRPr="00D16401">
        <w:rPr>
          <w:rFonts w:ascii="Arial" w:hAnsi="Arial" w:cs="Arial"/>
          <w:sz w:val="20"/>
          <w:szCs w:val="20"/>
        </w:rPr>
        <w:t>.</w:t>
      </w:r>
      <w:r w:rsidRPr="00D16401">
        <w:rPr>
          <w:rStyle w:val="FootnoteReference"/>
          <w:rFonts w:ascii="Arial" w:hAnsi="Arial" w:cs="Arial"/>
          <w:szCs w:val="20"/>
        </w:rPr>
        <w:footnoteReference w:id="7"/>
      </w:r>
      <w:r w:rsidRPr="000C5DB6">
        <w:rPr>
          <w:rFonts w:ascii="Arial" w:hAnsi="Arial" w:cs="Arial"/>
          <w:sz w:val="20"/>
          <w:szCs w:val="20"/>
        </w:rPr>
        <w:t xml:space="preserve"> </w:t>
      </w:r>
    </w:p>
    <w:p w:rsidR="00CC5C3E" w:rsidRPr="00316E0D" w:rsidRDefault="000A7641" w:rsidP="00C56A07">
      <w:pPr>
        <w:pStyle w:val="HeadingLevel2"/>
      </w:pPr>
      <w:bookmarkStart w:id="12" w:name="_Toc438111661"/>
      <w:r>
        <w:t>ACCC’s</w:t>
      </w:r>
      <w:r w:rsidR="00990733">
        <w:t xml:space="preserve"> </w:t>
      </w:r>
      <w:r w:rsidR="00825007">
        <w:t>position</w:t>
      </w:r>
      <w:bookmarkEnd w:id="12"/>
    </w:p>
    <w:p w:rsidR="00875E9C" w:rsidRDefault="002804FA" w:rsidP="000A7641">
      <w:r w:rsidRPr="00316E0D">
        <w:t>T</w:t>
      </w:r>
      <w:r w:rsidR="000A7641">
        <w:t xml:space="preserve">he ACCC considers that </w:t>
      </w:r>
      <w:r w:rsidR="000B1E43">
        <w:t xml:space="preserve">additional transmission pricing data provided by Optus </w:t>
      </w:r>
      <w:r w:rsidR="00CE5920">
        <w:t>should</w:t>
      </w:r>
      <w:r w:rsidR="009E4355">
        <w:t xml:space="preserve"> </w:t>
      </w:r>
      <w:r w:rsidR="000B1E43">
        <w:t>be included in the regression analysis. The ACCC notes the oversight in not providing the pricing information in a timely manner in response to the ACCC’s original request in November 2014</w:t>
      </w:r>
      <w:r w:rsidR="00314826">
        <w:t>. However</w:t>
      </w:r>
      <w:r w:rsidR="00C56A07">
        <w:t xml:space="preserve"> t</w:t>
      </w:r>
      <w:r w:rsidR="00314826">
        <w:t>he ACCC</w:t>
      </w:r>
      <w:r w:rsidR="000B1E43">
        <w:t xml:space="preserve"> considers that the additional pricing data </w:t>
      </w:r>
      <w:r w:rsidR="00875E9C">
        <w:t>falls within the terms of the ACCC’s original data request because</w:t>
      </w:r>
      <w:r w:rsidR="0069764A">
        <w:t xml:space="preserve"> the ACCC is satisfied that</w:t>
      </w:r>
      <w:r w:rsidR="00875E9C">
        <w:t>:</w:t>
      </w:r>
    </w:p>
    <w:p w:rsidR="0069764A" w:rsidRDefault="0069764A" w:rsidP="0069764A">
      <w:pPr>
        <w:pStyle w:val="ListParagraph"/>
        <w:numPr>
          <w:ilvl w:val="0"/>
          <w:numId w:val="42"/>
        </w:numPr>
        <w:spacing w:before="120"/>
        <w:ind w:left="714" w:hanging="357"/>
        <w:contextualSpacing w:val="0"/>
      </w:pPr>
      <w:r>
        <w:t xml:space="preserve">the services meet the DTCS service description </w:t>
      </w:r>
    </w:p>
    <w:p w:rsidR="0069764A" w:rsidRDefault="0069764A" w:rsidP="0069764A">
      <w:pPr>
        <w:pStyle w:val="ListParagraph"/>
        <w:numPr>
          <w:ilvl w:val="0"/>
          <w:numId w:val="42"/>
        </w:numPr>
        <w:spacing w:before="120"/>
        <w:ind w:left="714" w:hanging="357"/>
        <w:contextualSpacing w:val="0"/>
      </w:pPr>
      <w:r>
        <w:t xml:space="preserve">the additional </w:t>
      </w:r>
      <w:r w:rsidR="00C56A07">
        <w:t xml:space="preserve">pricing </w:t>
      </w:r>
      <w:r>
        <w:t>data contained the relevant information necessary for the benchmarking exercise, and</w:t>
      </w:r>
    </w:p>
    <w:p w:rsidR="00875E9C" w:rsidRDefault="00875E9C" w:rsidP="0069764A">
      <w:pPr>
        <w:pStyle w:val="ListParagraph"/>
        <w:numPr>
          <w:ilvl w:val="0"/>
          <w:numId w:val="42"/>
        </w:numPr>
        <w:spacing w:before="120"/>
        <w:ind w:left="714" w:hanging="357"/>
        <w:contextualSpacing w:val="0"/>
      </w:pPr>
      <w:proofErr w:type="gramStart"/>
      <w:r>
        <w:t>the</w:t>
      </w:r>
      <w:proofErr w:type="gramEnd"/>
      <w:r>
        <w:t xml:space="preserve"> additional </w:t>
      </w:r>
      <w:r w:rsidR="00C56A07">
        <w:t xml:space="preserve">pricing </w:t>
      </w:r>
      <w:r>
        <w:t xml:space="preserve">data </w:t>
      </w:r>
      <w:r w:rsidR="000B1E43">
        <w:t>represent commercial pricing information</w:t>
      </w:r>
      <w:r w:rsidR="004B14BE">
        <w:t>.</w:t>
      </w:r>
      <w:r w:rsidR="009E4355">
        <w:t xml:space="preserve"> </w:t>
      </w:r>
    </w:p>
    <w:p w:rsidR="00314826" w:rsidRDefault="00875E9C" w:rsidP="000A7641">
      <w:r>
        <w:t xml:space="preserve">Based on the above points the additional pricing data </w:t>
      </w:r>
      <w:r w:rsidR="00314826">
        <w:t xml:space="preserve">would have been included in the </w:t>
      </w:r>
      <w:r w:rsidR="00B22A17">
        <w:t xml:space="preserve">original </w:t>
      </w:r>
      <w:r w:rsidR="00314826">
        <w:t xml:space="preserve">benchmarking dataset had the data been provided </w:t>
      </w:r>
      <w:r w:rsidR="00C56A07">
        <w:t>within</w:t>
      </w:r>
      <w:r w:rsidR="0086766E">
        <w:t xml:space="preserve"> the original timefram</w:t>
      </w:r>
      <w:r w:rsidR="009E4355">
        <w:t>e.</w:t>
      </w:r>
      <w:r w:rsidR="00314826">
        <w:t xml:space="preserve"> </w:t>
      </w:r>
    </w:p>
    <w:p w:rsidR="000B1E43" w:rsidRDefault="000B1E43" w:rsidP="000A7641">
      <w:r>
        <w:t>The ACCC notes</w:t>
      </w:r>
      <w:r w:rsidR="00E47AEA">
        <w:t>,</w:t>
      </w:r>
      <w:r>
        <w:t xml:space="preserve"> that while the mobile backhaul transmission pricing forms part of a broader joint venture arrangement between the parties regarding mobile infrastructure, the ACCC </w:t>
      </w:r>
      <w:r w:rsidR="00362E44">
        <w:t>considers</w:t>
      </w:r>
      <w:r w:rsidR="00DF561A">
        <w:t xml:space="preserve"> </w:t>
      </w:r>
      <w:r>
        <w:t>that the transmission component was based on commercial negotiation between the parties</w:t>
      </w:r>
      <w:r w:rsidR="003D1509">
        <w:t>,</w:t>
      </w:r>
      <w:r>
        <w:t xml:space="preserve"> including market testing of alternative transmission providers. </w:t>
      </w:r>
      <w:r w:rsidR="00404D59">
        <w:t>The ACCC considers that many transmission services within the dataset form part of broader bundled service agreements. In addition, t</w:t>
      </w:r>
      <w:r>
        <w:t>he ACCC notes that VHA has now entered into an agreement with TPG to replace the arrangements with Optus in 2018. This highlights the competitive environment of the existing pricing arrangements</w:t>
      </w:r>
      <w:r w:rsidR="00162236">
        <w:t xml:space="preserve"> and that the data represent commercially negotiated pricing</w:t>
      </w:r>
      <w:r>
        <w:t>.</w:t>
      </w:r>
    </w:p>
    <w:p w:rsidR="0086766E" w:rsidRDefault="0086766E" w:rsidP="0086766E">
      <w:r>
        <w:t>The ACCC further notes that the additional data consist</w:t>
      </w:r>
      <w:r w:rsidR="00E260E5">
        <w:t>s</w:t>
      </w:r>
      <w:r>
        <w:t xml:space="preserve"> of </w:t>
      </w:r>
      <w:r w:rsidR="00186CF6" w:rsidRPr="00186CF6">
        <w:rPr>
          <w:b/>
          <w:highlight w:val="lightGray"/>
        </w:rPr>
        <w:t>[c-</w:t>
      </w:r>
      <w:proofErr w:type="spellStart"/>
      <w:r w:rsidR="00186CF6" w:rsidRPr="00186CF6">
        <w:rPr>
          <w:b/>
          <w:highlight w:val="lightGray"/>
        </w:rPr>
        <w:t>i</w:t>
      </w:r>
      <w:proofErr w:type="spellEnd"/>
      <w:r w:rsidR="00186CF6" w:rsidRPr="00186CF6">
        <w:rPr>
          <w:b/>
          <w:highlight w:val="lightGray"/>
        </w:rPr>
        <w:t>-c starts] [c-</w:t>
      </w:r>
      <w:proofErr w:type="spellStart"/>
      <w:r w:rsidR="00186CF6" w:rsidRPr="00186CF6">
        <w:rPr>
          <w:b/>
          <w:highlight w:val="lightGray"/>
        </w:rPr>
        <w:t>i</w:t>
      </w:r>
      <w:proofErr w:type="spellEnd"/>
      <w:r w:rsidR="00186CF6" w:rsidRPr="00186CF6">
        <w:rPr>
          <w:b/>
          <w:highlight w:val="lightGray"/>
        </w:rPr>
        <w:t>-c ends]</w:t>
      </w:r>
      <w:r w:rsidR="00186CF6">
        <w:t xml:space="preserve"> </w:t>
      </w:r>
      <w:r>
        <w:t xml:space="preserve">observations and </w:t>
      </w:r>
      <w:r w:rsidR="004B14BE">
        <w:t>increases</w:t>
      </w:r>
      <w:r w:rsidR="00E260E5">
        <w:t xml:space="preserve"> the overall size of the dataset by </w:t>
      </w:r>
      <w:r w:rsidR="00186CF6" w:rsidRPr="00186CF6">
        <w:rPr>
          <w:b/>
          <w:highlight w:val="lightGray"/>
        </w:rPr>
        <w:t>[c-</w:t>
      </w:r>
      <w:proofErr w:type="spellStart"/>
      <w:r w:rsidR="00186CF6" w:rsidRPr="00186CF6">
        <w:rPr>
          <w:b/>
          <w:highlight w:val="lightGray"/>
        </w:rPr>
        <w:t>i</w:t>
      </w:r>
      <w:proofErr w:type="spellEnd"/>
      <w:r w:rsidR="00186CF6" w:rsidRPr="00186CF6">
        <w:rPr>
          <w:b/>
          <w:highlight w:val="lightGray"/>
        </w:rPr>
        <w:t>-c starts] [c-</w:t>
      </w:r>
      <w:proofErr w:type="spellStart"/>
      <w:r w:rsidR="00186CF6" w:rsidRPr="00186CF6">
        <w:rPr>
          <w:b/>
          <w:highlight w:val="lightGray"/>
        </w:rPr>
        <w:t>i</w:t>
      </w:r>
      <w:proofErr w:type="spellEnd"/>
      <w:r w:rsidR="00186CF6" w:rsidRPr="00186CF6">
        <w:rPr>
          <w:b/>
          <w:highlight w:val="lightGray"/>
        </w:rPr>
        <w:t>-c ends]</w:t>
      </w:r>
      <w:r w:rsidR="00D61EA3">
        <w:t xml:space="preserve"> per cent</w:t>
      </w:r>
      <w:r>
        <w:t xml:space="preserve">; therefore it is of a material nature and should be considered for the benchmarking exercise. </w:t>
      </w:r>
    </w:p>
    <w:p w:rsidR="004B14BE" w:rsidRDefault="000B1E43" w:rsidP="00D76108">
      <w:r>
        <w:lastRenderedPageBreak/>
        <w:t xml:space="preserve">The ACCC requested </w:t>
      </w:r>
      <w:r w:rsidR="00D3635B">
        <w:rPr>
          <w:szCs w:val="20"/>
        </w:rPr>
        <w:t>Economic Insights</w:t>
      </w:r>
      <w:r>
        <w:t xml:space="preserve"> to undertake further regression analysis that included the additional pricing data from Optus. The outcomes of the further analysis are included in the </w:t>
      </w:r>
      <w:r w:rsidR="00162236">
        <w:t xml:space="preserve">modelling </w:t>
      </w:r>
      <w:r w:rsidR="0012616F">
        <w:t xml:space="preserve">options </w:t>
      </w:r>
      <w:r w:rsidR="00162236">
        <w:t xml:space="preserve">considered </w:t>
      </w:r>
      <w:r w:rsidR="005B12CC">
        <w:t>in the</w:t>
      </w:r>
      <w:r w:rsidR="0012616F">
        <w:t xml:space="preserve"> report from </w:t>
      </w:r>
      <w:r w:rsidR="00D3635B">
        <w:rPr>
          <w:szCs w:val="20"/>
        </w:rPr>
        <w:t>Economic Insights</w:t>
      </w:r>
      <w:r>
        <w:t xml:space="preserve">. </w:t>
      </w:r>
    </w:p>
    <w:p w:rsidR="00FB4948" w:rsidRDefault="000B1E43" w:rsidP="00D76108">
      <w:r>
        <w:t xml:space="preserve">A confidential version of </w:t>
      </w:r>
      <w:r w:rsidR="00D3635B">
        <w:rPr>
          <w:szCs w:val="20"/>
        </w:rPr>
        <w:t xml:space="preserve">Economic Insights’ report </w:t>
      </w:r>
      <w:r>
        <w:t>will be provided to industry experts for comment</w:t>
      </w:r>
      <w:r w:rsidR="00D3635B">
        <w:t>.</w:t>
      </w:r>
      <w:r w:rsidR="007744F2">
        <w:t xml:space="preserve"> </w:t>
      </w:r>
      <w:r w:rsidR="00F51ACE">
        <w:t>The</w:t>
      </w:r>
      <w:r w:rsidR="005932B4">
        <w:t xml:space="preserve"> ACCC considers that further stakeholder engagement on the analysis of the updated dataset is required as part of procedural fairness considerations.</w:t>
      </w:r>
      <w:r w:rsidR="00C219E1">
        <w:t xml:space="preserve"> </w:t>
      </w:r>
      <w:r w:rsidR="00162236">
        <w:t>The ACCC is seeking views from stakeholders on the ACCC’s position that the additional data should be included.</w:t>
      </w:r>
    </w:p>
    <w:p w:rsidR="00FB4948" w:rsidRDefault="00FB4948" w:rsidP="00C56A07">
      <w:pPr>
        <w:pStyle w:val="HeadingLevel5"/>
        <w:numPr>
          <w:ilvl w:val="0"/>
          <w:numId w:val="0"/>
        </w:numPr>
      </w:pPr>
      <w:r>
        <w:t xml:space="preserve">Questions </w:t>
      </w:r>
    </w:p>
    <w:p w:rsidR="00FB4948" w:rsidRDefault="00FB4948" w:rsidP="00097BBC">
      <w:pPr>
        <w:pStyle w:val="Bullets"/>
        <w:numPr>
          <w:ilvl w:val="0"/>
          <w:numId w:val="70"/>
        </w:numPr>
      </w:pPr>
      <w:r>
        <w:t>Should the additional pricing information be included in the 2015 benchmarking dataset?</w:t>
      </w:r>
      <w:r w:rsidR="00162236">
        <w:t xml:space="preserve"> </w:t>
      </w:r>
      <w:r w:rsidR="00E47AEA">
        <w:t>P</w:t>
      </w:r>
      <w:r w:rsidR="00162236">
        <w:t>lease provide</w:t>
      </w:r>
      <w:r w:rsidR="00E10842">
        <w:t xml:space="preserve"> reasons why the data should</w:t>
      </w:r>
      <w:r w:rsidR="00E47AEA">
        <w:t xml:space="preserve"> or should</w:t>
      </w:r>
      <w:r w:rsidR="00E10842">
        <w:t xml:space="preserve"> not be included</w:t>
      </w:r>
      <w:r w:rsidR="00AC2DDB">
        <w:t>.</w:t>
      </w:r>
    </w:p>
    <w:p w:rsidR="00B90C26" w:rsidRPr="00316E0D" w:rsidRDefault="006F13FE" w:rsidP="00AA66E1">
      <w:pPr>
        <w:pStyle w:val="HeadingLevel1"/>
      </w:pPr>
      <w:bookmarkStart w:id="13" w:name="_Toc438111662"/>
      <w:r>
        <w:lastRenderedPageBreak/>
        <w:t>Clarification of the treatment of GST in DTCS pricing model</w:t>
      </w:r>
      <w:bookmarkEnd w:id="13"/>
    </w:p>
    <w:tbl>
      <w:tblPr>
        <w:tblStyle w:val="TableGrid"/>
        <w:tblW w:w="0" w:type="auto"/>
        <w:tblLook w:val="04A0" w:firstRow="1" w:lastRow="0" w:firstColumn="1" w:lastColumn="0" w:noHBand="0" w:noVBand="1"/>
      </w:tblPr>
      <w:tblGrid>
        <w:gridCol w:w="8664"/>
      </w:tblGrid>
      <w:tr w:rsidR="00F15B51" w:rsidRPr="00316E0D" w:rsidTr="00BB340A">
        <w:trPr>
          <w:trHeight w:val="2073"/>
        </w:trPr>
        <w:tc>
          <w:tcPr>
            <w:tcW w:w="8664" w:type="dxa"/>
          </w:tcPr>
          <w:p w:rsidR="007E14EB" w:rsidRPr="007E14EB" w:rsidRDefault="00F15B51" w:rsidP="007E14EB">
            <w:pPr>
              <w:pStyle w:val="HeadingLevel9NONnumbered"/>
              <w:numPr>
                <w:ilvl w:val="0"/>
                <w:numId w:val="0"/>
              </w:numPr>
              <w:spacing w:before="120"/>
            </w:pPr>
            <w:r w:rsidRPr="00316E0D">
              <w:t>Key Points</w:t>
            </w:r>
          </w:p>
          <w:p w:rsidR="007E14EB" w:rsidRPr="00316E0D" w:rsidRDefault="007E14EB" w:rsidP="007E14EB">
            <w:pPr>
              <w:pStyle w:val="Bullets"/>
            </w:pPr>
            <w:r>
              <w:t>In the ACCC’s draft decision the draft FAD instrument states that regulated DTCS prices are GST exclusive, while the pricing calculator states that prices are GST inclusive. This inconsistency is an error and will be addressed in the final FAD instrument and pricing calculator to note that the DTCS prices are GST exclusive.</w:t>
            </w:r>
          </w:p>
          <w:p w:rsidR="00F15B51" w:rsidRDefault="006F13FE" w:rsidP="007E14EB">
            <w:pPr>
              <w:pStyle w:val="Bullets"/>
            </w:pPr>
            <w:r w:rsidRPr="007E14EB">
              <w:rPr>
                <w:rFonts w:cs="Arial"/>
                <w:color w:val="000000"/>
                <w:szCs w:val="20"/>
              </w:rPr>
              <w:t>The ACCC</w:t>
            </w:r>
            <w:r w:rsidR="000C1A6D">
              <w:rPr>
                <w:rFonts w:cs="Arial"/>
                <w:color w:val="000000"/>
                <w:szCs w:val="20"/>
              </w:rPr>
              <w:t xml:space="preserve"> has</w:t>
            </w:r>
            <w:r>
              <w:t xml:space="preserve"> clarified with data providers whether pricing information submitted to the ACCC is GST exclusive. The dataset has been amended accordingly.</w:t>
            </w:r>
          </w:p>
          <w:p w:rsidR="006F13FE" w:rsidRPr="00316E0D" w:rsidRDefault="00D3635B" w:rsidP="00263B92">
            <w:pPr>
              <w:pStyle w:val="Bullets"/>
            </w:pPr>
            <w:r>
              <w:rPr>
                <w:szCs w:val="20"/>
              </w:rPr>
              <w:t xml:space="preserve">Economic Insights </w:t>
            </w:r>
            <w:r w:rsidR="006F13FE">
              <w:t>ha</w:t>
            </w:r>
            <w:r w:rsidR="00E47AEA">
              <w:t>s</w:t>
            </w:r>
            <w:r w:rsidR="006F13FE">
              <w:t xml:space="preserve"> undertaken further analysis of the updated dataset as </w:t>
            </w:r>
            <w:r w:rsidR="00263B92">
              <w:t>discussed</w:t>
            </w:r>
            <w:r w:rsidR="006F13FE">
              <w:t xml:space="preserve"> in section </w:t>
            </w:r>
            <w:r w:rsidR="00E10842">
              <w:t>3</w:t>
            </w:r>
            <w:r w:rsidR="00263B92">
              <w:t xml:space="preserve"> of this paper</w:t>
            </w:r>
            <w:r w:rsidR="006F13FE">
              <w:t>.</w:t>
            </w:r>
          </w:p>
        </w:tc>
      </w:tr>
    </w:tbl>
    <w:p w:rsidR="00F15B51" w:rsidRPr="00316E0D" w:rsidRDefault="00F15B51" w:rsidP="001263AB"/>
    <w:p w:rsidR="00C05807" w:rsidRDefault="00551DA9" w:rsidP="00C56A07">
      <w:pPr>
        <w:pStyle w:val="HeadingLevel2"/>
      </w:pPr>
      <w:bookmarkStart w:id="14" w:name="_Toc438111663"/>
      <w:r>
        <w:t>GST exclusive pricing</w:t>
      </w:r>
      <w:bookmarkEnd w:id="14"/>
      <w:r w:rsidR="00C05807">
        <w:t xml:space="preserve"> </w:t>
      </w:r>
    </w:p>
    <w:p w:rsidR="00C05807" w:rsidRDefault="00C05807" w:rsidP="00C05807">
      <w:r>
        <w:t xml:space="preserve">Optus and CEG identified an unexplained variation to the price input for the data relating to Optus acquired services. Optus observed that the prices for at least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rsidR="00612AFF">
        <w:rPr>
          <w:b/>
        </w:rPr>
        <w:t xml:space="preserve"> </w:t>
      </w:r>
      <w:r>
        <w:t>services had been arbitrarily increased and understood that it may relate to a GST-related adjustment.</w:t>
      </w:r>
      <w:r>
        <w:rPr>
          <w:rStyle w:val="FootnoteReference"/>
        </w:rPr>
        <w:footnoteReference w:id="8"/>
      </w:r>
      <w:r>
        <w:t xml:space="preserve"> </w:t>
      </w:r>
    </w:p>
    <w:p w:rsidR="00C05807" w:rsidRPr="00316E0D" w:rsidRDefault="00C05807" w:rsidP="00C56A07">
      <w:pPr>
        <w:pStyle w:val="HeadingLevel2"/>
      </w:pPr>
      <w:bookmarkStart w:id="15" w:name="_Toc438111664"/>
      <w:r>
        <w:t>ACCC</w:t>
      </w:r>
      <w:r w:rsidR="0012616F">
        <w:t xml:space="preserve"> clarification</w:t>
      </w:r>
      <w:bookmarkEnd w:id="15"/>
    </w:p>
    <w:p w:rsidR="000C1A6D" w:rsidRDefault="001F3C70" w:rsidP="006F13FE">
      <w:r>
        <w:t xml:space="preserve">The ACCC notes that the initial pricing data request to transmission providers did not specify whether prices should include or exclude GST. </w:t>
      </w:r>
      <w:r w:rsidR="004C0261">
        <w:t>The ACCC acknowledges that the inconsistent treatment of GST in the DTCS</w:t>
      </w:r>
      <w:r w:rsidR="00FE21D0">
        <w:t xml:space="preserve"> FAD</w:t>
      </w:r>
      <w:r w:rsidR="004C0261">
        <w:t xml:space="preserve"> was an oversight by the ACCC. </w:t>
      </w:r>
      <w:r w:rsidR="00C05807">
        <w:t>Since the release of the draft decision, the ACCC has sought clarification from transmission providers on whether their pricing information include</w:t>
      </w:r>
      <w:r w:rsidR="00FC752C">
        <w:t>s</w:t>
      </w:r>
      <w:r w:rsidR="00C05807">
        <w:t xml:space="preserve"> or exclude</w:t>
      </w:r>
      <w:r w:rsidR="00551DA9">
        <w:t>s</w:t>
      </w:r>
      <w:r w:rsidR="00C05807">
        <w:t xml:space="preserve"> GST. </w:t>
      </w:r>
    </w:p>
    <w:p w:rsidR="00053367" w:rsidRDefault="00053367" w:rsidP="006F13FE">
      <w:r>
        <w:t xml:space="preserve">The ACCC </w:t>
      </w:r>
      <w:r w:rsidR="004C0261">
        <w:t>confirms that</w:t>
      </w:r>
      <w:r>
        <w:t xml:space="preserve"> the price terms for the DTCS are</w:t>
      </w:r>
      <w:r w:rsidR="009E4355">
        <w:t xml:space="preserve"> to be</w:t>
      </w:r>
      <w:r>
        <w:t xml:space="preserve"> GST</w:t>
      </w:r>
      <w:r w:rsidR="009E4355">
        <w:t xml:space="preserve"> exclusive</w:t>
      </w:r>
      <w:r w:rsidR="00551DA9">
        <w:t xml:space="preserve"> to ensure </w:t>
      </w:r>
      <w:r w:rsidR="004B14BE">
        <w:t>a consistent approach</w:t>
      </w:r>
      <w:r w:rsidR="00551DA9">
        <w:t xml:space="preserve"> of not including tax on the prices in the dataset for analysis</w:t>
      </w:r>
      <w:r w:rsidR="00493B5F">
        <w:t xml:space="preserve">. </w:t>
      </w:r>
      <w:r w:rsidR="00E50271">
        <w:t xml:space="preserve">The ACCC notes that the 2012 FAD pricing was priced on a GST exclusive basis. </w:t>
      </w:r>
      <w:r w:rsidR="00493B5F">
        <w:t xml:space="preserve">The ACCC has </w:t>
      </w:r>
      <w:r>
        <w:t>amended the dataset to ensure</w:t>
      </w:r>
      <w:r w:rsidRPr="00053367">
        <w:t xml:space="preserve"> </w:t>
      </w:r>
      <w:r>
        <w:t>that GST is treated in a consistent and transparent way before the benchmarking analysis and pricing model is finalised. The ACCC will</w:t>
      </w:r>
      <w:r w:rsidR="004C0261">
        <w:t xml:space="preserve"> also </w:t>
      </w:r>
      <w:r>
        <w:t>ensure the pricing calculator and FAD instrument are corrected</w:t>
      </w:r>
      <w:r w:rsidR="00493B5F">
        <w:t xml:space="preserve"> in the final</w:t>
      </w:r>
      <w:r w:rsidR="00B64403">
        <w:t xml:space="preserve"> decision on the</w:t>
      </w:r>
      <w:r w:rsidR="00493B5F">
        <w:t xml:space="preserve"> FAD</w:t>
      </w:r>
      <w:r>
        <w:t xml:space="preserve">. </w:t>
      </w:r>
    </w:p>
    <w:p w:rsidR="006A27CC" w:rsidRPr="00316E0D" w:rsidRDefault="006A27CC" w:rsidP="007F341F"/>
    <w:p w:rsidR="001C4F0A" w:rsidRPr="00316E0D" w:rsidRDefault="001C4F0A" w:rsidP="00E95D98"/>
    <w:p w:rsidR="00DB2ACC" w:rsidRPr="00316E0D" w:rsidRDefault="00CB5F02" w:rsidP="00AA66E1">
      <w:pPr>
        <w:pStyle w:val="HeadingLevel1"/>
      </w:pPr>
      <w:bookmarkStart w:id="16" w:name="_Toc438111665"/>
      <w:r>
        <w:lastRenderedPageBreak/>
        <w:t>2</w:t>
      </w:r>
      <w:r w:rsidR="000E6BEB">
        <w:t xml:space="preserve"> </w:t>
      </w:r>
      <w:r>
        <w:t>Mbps Services</w:t>
      </w:r>
      <w:bookmarkEnd w:id="16"/>
      <w:r w:rsidR="00DB2ACC" w:rsidRPr="00316E0D">
        <w:t xml:space="preserve"> </w:t>
      </w:r>
    </w:p>
    <w:tbl>
      <w:tblPr>
        <w:tblStyle w:val="TableGrid"/>
        <w:tblW w:w="0" w:type="auto"/>
        <w:tblLook w:val="04A0" w:firstRow="1" w:lastRow="0" w:firstColumn="1" w:lastColumn="0" w:noHBand="0" w:noVBand="1"/>
      </w:tblPr>
      <w:tblGrid>
        <w:gridCol w:w="8664"/>
      </w:tblGrid>
      <w:tr w:rsidR="00DB2ACC" w:rsidRPr="00316E0D" w:rsidTr="00DB2ACC">
        <w:trPr>
          <w:trHeight w:val="1081"/>
        </w:trPr>
        <w:tc>
          <w:tcPr>
            <w:tcW w:w="8664" w:type="dxa"/>
          </w:tcPr>
          <w:p w:rsidR="00DB2ACC" w:rsidRPr="00316E0D" w:rsidRDefault="00DB2ACC" w:rsidP="00C9062E">
            <w:pPr>
              <w:pStyle w:val="HeadingLevel9NONnumbered"/>
              <w:spacing w:before="120"/>
            </w:pPr>
            <w:r w:rsidRPr="00316E0D">
              <w:t xml:space="preserve">Key points </w:t>
            </w:r>
          </w:p>
          <w:p w:rsidR="00DA0E6C" w:rsidRDefault="00DA0E6C" w:rsidP="00A32A1D">
            <w:pPr>
              <w:pStyle w:val="Table3bullet"/>
              <w:rPr>
                <w:sz w:val="20"/>
                <w:szCs w:val="20"/>
              </w:rPr>
            </w:pPr>
            <w:r>
              <w:rPr>
                <w:sz w:val="20"/>
                <w:szCs w:val="20"/>
              </w:rPr>
              <w:t>Submissions to the ACCC’s draft decision raised concerns that the pricing arising from the preferred regression model produced counter intuitive results for 2</w:t>
            </w:r>
            <w:r w:rsidR="00263B92">
              <w:rPr>
                <w:sz w:val="20"/>
                <w:szCs w:val="20"/>
              </w:rPr>
              <w:t xml:space="preserve"> </w:t>
            </w:r>
            <w:r>
              <w:rPr>
                <w:sz w:val="20"/>
                <w:szCs w:val="20"/>
              </w:rPr>
              <w:t>M</w:t>
            </w:r>
            <w:r w:rsidR="00E47AEA">
              <w:rPr>
                <w:sz w:val="20"/>
                <w:szCs w:val="20"/>
              </w:rPr>
              <w:t>bp</w:t>
            </w:r>
            <w:r>
              <w:rPr>
                <w:sz w:val="20"/>
                <w:szCs w:val="20"/>
              </w:rPr>
              <w:t>s services over short distances</w:t>
            </w:r>
            <w:r w:rsidR="00C56A07">
              <w:rPr>
                <w:sz w:val="20"/>
                <w:szCs w:val="20"/>
              </w:rPr>
              <w:t>,</w:t>
            </w:r>
            <w:r>
              <w:rPr>
                <w:sz w:val="20"/>
                <w:szCs w:val="20"/>
              </w:rPr>
              <w:t xml:space="preserve"> </w:t>
            </w:r>
            <w:r w:rsidR="00E9107F">
              <w:rPr>
                <w:sz w:val="20"/>
                <w:szCs w:val="20"/>
              </w:rPr>
              <w:t xml:space="preserve">which are above the 2012 FAD and </w:t>
            </w:r>
            <w:r w:rsidR="00097BBC">
              <w:rPr>
                <w:sz w:val="20"/>
                <w:szCs w:val="20"/>
              </w:rPr>
              <w:t xml:space="preserve">some </w:t>
            </w:r>
            <w:r>
              <w:rPr>
                <w:sz w:val="20"/>
                <w:szCs w:val="20"/>
              </w:rPr>
              <w:t>market observed pricing.</w:t>
            </w:r>
          </w:p>
          <w:p w:rsidR="00DA0E6C" w:rsidRPr="004B14BE" w:rsidRDefault="00DA0E6C" w:rsidP="00A32A1D">
            <w:pPr>
              <w:pStyle w:val="Table3bullet"/>
              <w:rPr>
                <w:sz w:val="20"/>
                <w:szCs w:val="20"/>
              </w:rPr>
            </w:pPr>
            <w:r>
              <w:rPr>
                <w:sz w:val="20"/>
                <w:szCs w:val="20"/>
              </w:rPr>
              <w:t xml:space="preserve">The ACCC </w:t>
            </w:r>
            <w:r w:rsidRPr="004B14BE">
              <w:rPr>
                <w:sz w:val="20"/>
                <w:szCs w:val="20"/>
              </w:rPr>
              <w:t xml:space="preserve">engaged </w:t>
            </w:r>
            <w:r w:rsidR="00D3635B" w:rsidRPr="004B14BE">
              <w:rPr>
                <w:sz w:val="20"/>
                <w:szCs w:val="20"/>
              </w:rPr>
              <w:t xml:space="preserve">Economic Insights </w:t>
            </w:r>
            <w:r w:rsidRPr="004B14BE">
              <w:rPr>
                <w:sz w:val="20"/>
                <w:szCs w:val="20"/>
              </w:rPr>
              <w:t>to</w:t>
            </w:r>
            <w:r>
              <w:rPr>
                <w:sz w:val="20"/>
                <w:szCs w:val="20"/>
              </w:rPr>
              <w:t xml:space="preserve"> undertake further analysis of the updated </w:t>
            </w:r>
            <w:r w:rsidRPr="004B14BE">
              <w:rPr>
                <w:sz w:val="20"/>
                <w:szCs w:val="20"/>
              </w:rPr>
              <w:t>pricing dataset in relation to this issue.</w:t>
            </w:r>
          </w:p>
          <w:p w:rsidR="00DA0E6C" w:rsidRPr="004B14BE" w:rsidRDefault="00D3635B" w:rsidP="00DA0E6C">
            <w:pPr>
              <w:pStyle w:val="Table3bullet"/>
              <w:rPr>
                <w:sz w:val="20"/>
                <w:szCs w:val="20"/>
              </w:rPr>
            </w:pPr>
            <w:r w:rsidRPr="004B14BE">
              <w:rPr>
                <w:sz w:val="20"/>
                <w:szCs w:val="20"/>
              </w:rPr>
              <w:t>Economic Insights</w:t>
            </w:r>
            <w:r>
              <w:rPr>
                <w:szCs w:val="20"/>
              </w:rPr>
              <w:t xml:space="preserve"> </w:t>
            </w:r>
            <w:r w:rsidR="00F85E8E">
              <w:rPr>
                <w:sz w:val="20"/>
                <w:szCs w:val="20"/>
              </w:rPr>
              <w:t>has</w:t>
            </w:r>
            <w:r w:rsidR="00551DA9">
              <w:rPr>
                <w:sz w:val="20"/>
                <w:szCs w:val="20"/>
              </w:rPr>
              <w:t xml:space="preserve"> developed further modelling in response to submissions as requested by the ACCC</w:t>
            </w:r>
            <w:r w:rsidR="00B64403">
              <w:rPr>
                <w:sz w:val="20"/>
                <w:szCs w:val="20"/>
              </w:rPr>
              <w:t>.</w:t>
            </w:r>
          </w:p>
          <w:p w:rsidR="00DA0E6C" w:rsidRPr="00316E0D" w:rsidRDefault="00F85E8E" w:rsidP="00DA0E6C">
            <w:pPr>
              <w:pStyle w:val="Table3bullet"/>
            </w:pPr>
            <w:r w:rsidRPr="004B14BE">
              <w:rPr>
                <w:sz w:val="20"/>
                <w:szCs w:val="20"/>
              </w:rPr>
              <w:t xml:space="preserve">The ACCC seeks comments on the options presented by </w:t>
            </w:r>
            <w:r w:rsidR="00D3635B" w:rsidRPr="004B14BE">
              <w:rPr>
                <w:sz w:val="20"/>
                <w:szCs w:val="20"/>
              </w:rPr>
              <w:t>Economic Insights</w:t>
            </w:r>
            <w:r w:rsidR="00B64403" w:rsidRPr="004B14BE">
              <w:rPr>
                <w:sz w:val="20"/>
                <w:szCs w:val="20"/>
              </w:rPr>
              <w:t>.</w:t>
            </w:r>
          </w:p>
        </w:tc>
      </w:tr>
    </w:tbl>
    <w:p w:rsidR="00DB2ACC" w:rsidRPr="00316E0D" w:rsidRDefault="00DB2ACC" w:rsidP="00DB2ACC"/>
    <w:p w:rsidR="00AF5E56" w:rsidRPr="00094693" w:rsidRDefault="00E238D4" w:rsidP="00C56A07">
      <w:pPr>
        <w:pStyle w:val="HeadingLevel2"/>
      </w:pPr>
      <w:bookmarkStart w:id="17" w:name="_Toc438111666"/>
      <w:r>
        <w:t>Submissions to the Draft Decision</w:t>
      </w:r>
      <w:bookmarkEnd w:id="17"/>
    </w:p>
    <w:p w:rsidR="00AF5E56" w:rsidRPr="00460F59" w:rsidRDefault="00AF5E56" w:rsidP="00460999">
      <w:r>
        <w:t xml:space="preserve">The ACCC draft decision proposed significantly lower prices for high capacity services when compared to the current 2012 DTCS FAD. However, the draft </w:t>
      </w:r>
      <w:r w:rsidR="00F85E8E">
        <w:t xml:space="preserve">decision </w:t>
      </w:r>
      <w:r>
        <w:t>increase</w:t>
      </w:r>
      <w:r w:rsidR="00F85E8E">
        <w:t>d</w:t>
      </w:r>
      <w:r w:rsidR="00E238D4">
        <w:t xml:space="preserve"> </w:t>
      </w:r>
      <w:r>
        <w:t xml:space="preserve">proposed regulated prices for low capacity services provided over shorter distances. </w:t>
      </w:r>
    </w:p>
    <w:p w:rsidR="00AF5E56" w:rsidRDefault="00AF5E56" w:rsidP="00460999">
      <w:pPr>
        <w:rPr>
          <w:szCs w:val="20"/>
        </w:rPr>
      </w:pPr>
      <w:r>
        <w:rPr>
          <w:szCs w:val="20"/>
        </w:rPr>
        <w:t>Optus, CCC and Nextgen submitted that the draft pricing on metropolitan low capacity routes do</w:t>
      </w:r>
      <w:r w:rsidR="00E47AEA">
        <w:rPr>
          <w:szCs w:val="20"/>
        </w:rPr>
        <w:t>es</w:t>
      </w:r>
      <w:r>
        <w:rPr>
          <w:szCs w:val="20"/>
        </w:rPr>
        <w:t xml:space="preserve"> not accurately reflect market reality.</w:t>
      </w:r>
      <w:r>
        <w:rPr>
          <w:rStyle w:val="FootnoteReference"/>
          <w:szCs w:val="20"/>
        </w:rPr>
        <w:footnoteReference w:id="9"/>
      </w:r>
      <w:r>
        <w:rPr>
          <w:szCs w:val="20"/>
        </w:rPr>
        <w:t xml:space="preserve"> In relation to 2</w:t>
      </w:r>
      <w:r w:rsidR="00F95AC8">
        <w:rPr>
          <w:szCs w:val="20"/>
        </w:rPr>
        <w:t xml:space="preserve"> </w:t>
      </w:r>
      <w:r>
        <w:rPr>
          <w:szCs w:val="20"/>
        </w:rPr>
        <w:t xml:space="preserve">Mbps services Optus stated that the model has a clear </w:t>
      </w:r>
      <w:r>
        <w:t>upwards bias in the cost of 2 Mbps</w:t>
      </w:r>
      <w:r w:rsidR="00FE21D0">
        <w:t xml:space="preserve"> services</w:t>
      </w:r>
      <w:r>
        <w:t xml:space="preserve">, with a mean absolute percentage error of around </w:t>
      </w:r>
      <w:r w:rsidRPr="00612AFF">
        <w:rPr>
          <w:b/>
          <w:highlight w:val="lightGray"/>
        </w:rPr>
        <w:t>[c</w:t>
      </w:r>
      <w:r w:rsidR="00612AFF" w:rsidRPr="00612AFF">
        <w:rPr>
          <w:b/>
          <w:highlight w:val="lightGray"/>
        </w:rPr>
        <w:t>-</w:t>
      </w:r>
      <w:proofErr w:type="spellStart"/>
      <w:r w:rsidRPr="00612AFF">
        <w:rPr>
          <w:b/>
          <w:highlight w:val="lightGray"/>
        </w:rPr>
        <w:t>i</w:t>
      </w:r>
      <w:proofErr w:type="spellEnd"/>
      <w:r w:rsidR="00612AFF" w:rsidRPr="00612AFF">
        <w:rPr>
          <w:b/>
          <w:highlight w:val="lightGray"/>
        </w:rPr>
        <w:t>-</w:t>
      </w:r>
      <w:r w:rsidRPr="00612AFF">
        <w:rPr>
          <w:b/>
          <w:highlight w:val="lightGray"/>
        </w:rPr>
        <w:t>c</w:t>
      </w:r>
      <w:r w:rsidR="00612AFF" w:rsidRPr="00612AFF">
        <w:rPr>
          <w:b/>
          <w:highlight w:val="lightGray"/>
        </w:rPr>
        <w:t xml:space="preserve"> starts</w:t>
      </w:r>
      <w:r w:rsidRPr="00612AFF">
        <w:rPr>
          <w:b/>
          <w:highlight w:val="lightGray"/>
        </w:rPr>
        <w:t>] [c</w:t>
      </w:r>
      <w:r w:rsidR="00612AFF" w:rsidRPr="00612AFF">
        <w:rPr>
          <w:b/>
          <w:highlight w:val="lightGray"/>
        </w:rPr>
        <w:t>-</w:t>
      </w:r>
      <w:proofErr w:type="spellStart"/>
      <w:r w:rsidRPr="00612AFF">
        <w:rPr>
          <w:b/>
          <w:highlight w:val="lightGray"/>
        </w:rPr>
        <w:t>i</w:t>
      </w:r>
      <w:proofErr w:type="spellEnd"/>
      <w:r w:rsidR="00612AFF" w:rsidRPr="00612AFF">
        <w:rPr>
          <w:b/>
          <w:highlight w:val="lightGray"/>
        </w:rPr>
        <w:t>-</w:t>
      </w:r>
      <w:r w:rsidRPr="00612AFF">
        <w:rPr>
          <w:b/>
          <w:highlight w:val="lightGray"/>
        </w:rPr>
        <w:t>c</w:t>
      </w:r>
      <w:r w:rsidR="00612AFF" w:rsidRPr="00612AFF">
        <w:rPr>
          <w:b/>
          <w:highlight w:val="lightGray"/>
        </w:rPr>
        <w:t xml:space="preserve"> ends</w:t>
      </w:r>
      <w:r w:rsidRPr="00612AFF">
        <w:rPr>
          <w:b/>
          <w:highlight w:val="lightGray"/>
        </w:rPr>
        <w:t>]</w:t>
      </w:r>
      <w:r>
        <w:t>.</w:t>
      </w:r>
      <w:r>
        <w:rPr>
          <w:rStyle w:val="FootnoteReference"/>
        </w:rPr>
        <w:footnoteReference w:id="10"/>
      </w:r>
      <w:r w:rsidRPr="00B962E8">
        <w:rPr>
          <w:szCs w:val="20"/>
        </w:rPr>
        <w:t xml:space="preserve"> </w:t>
      </w:r>
    </w:p>
    <w:p w:rsidR="00AF5E56" w:rsidRDefault="00AF5E56" w:rsidP="00460999">
      <w:pPr>
        <w:tabs>
          <w:tab w:val="left" w:pos="340"/>
        </w:tabs>
      </w:pPr>
      <w:r w:rsidRPr="00B962E8">
        <w:rPr>
          <w:szCs w:val="20"/>
        </w:rPr>
        <w:t xml:space="preserve">Optus provided the example that </w:t>
      </w:r>
      <w:r>
        <w:t>the FAD regression will result in average price uplift</w:t>
      </w:r>
      <w:r w:rsidR="00612AFF">
        <w:t xml:space="preserve">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t>.</w:t>
      </w:r>
      <w:r>
        <w:rPr>
          <w:rStyle w:val="FootnoteReference"/>
        </w:rPr>
        <w:footnoteReference w:id="11"/>
      </w:r>
      <w:r w:rsidR="00F95AC8">
        <w:t xml:space="preserve"> </w:t>
      </w:r>
      <w:r>
        <w:t xml:space="preserve">Optus noted that this </w:t>
      </w:r>
      <w:r w:rsidRPr="00CD5F5A">
        <w:t>might be due to the fu</w:t>
      </w:r>
      <w:r>
        <w:t>nctional form of the regression</w:t>
      </w:r>
      <w:r w:rsidRPr="00CD5F5A">
        <w:t xml:space="preserve"> or it may be that the variables driving 2 Mbps pricing have not been properly identified</w:t>
      </w:r>
      <w:r>
        <w:t>.</w:t>
      </w:r>
      <w:r>
        <w:rPr>
          <w:rStyle w:val="FootnoteReference"/>
        </w:rPr>
        <w:footnoteReference w:id="12"/>
      </w:r>
      <w:r w:rsidR="00460999">
        <w:t xml:space="preserve"> </w:t>
      </w:r>
      <w:r>
        <w:t>Optus</w:t>
      </w:r>
      <w:r w:rsidR="00460999">
        <w:t xml:space="preserve"> further</w:t>
      </w:r>
      <w:r>
        <w:t xml:space="preserve"> noted that its</w:t>
      </w:r>
      <w:r w:rsidRPr="00CD5F5A">
        <w:t xml:space="preserve"> expert advisor</w:t>
      </w:r>
      <w:r>
        <w:t xml:space="preserve"> CEG</w:t>
      </w:r>
      <w:r w:rsidRPr="00CD5F5A">
        <w:t xml:space="preserve"> has identified that</w:t>
      </w:r>
      <w:r>
        <w:t>:</w:t>
      </w:r>
    </w:p>
    <w:p w:rsidR="00AF5E56" w:rsidRDefault="00D3635B" w:rsidP="00460999">
      <w:pPr>
        <w:pStyle w:val="ListParagraph"/>
        <w:numPr>
          <w:ilvl w:val="0"/>
          <w:numId w:val="37"/>
        </w:numPr>
        <w:tabs>
          <w:tab w:val="left" w:pos="340"/>
        </w:tabs>
        <w:ind w:left="714" w:hanging="357"/>
        <w:contextualSpacing w:val="0"/>
      </w:pPr>
      <w:r>
        <w:rPr>
          <w:szCs w:val="20"/>
        </w:rPr>
        <w:t xml:space="preserve">Economic Insights </w:t>
      </w:r>
      <w:r w:rsidR="00AF5E56" w:rsidRPr="00CD5F5A">
        <w:t xml:space="preserve">has erred in its assessment of the impact of a 2 Mbps dummy, noting that </w:t>
      </w:r>
      <w:r>
        <w:rPr>
          <w:szCs w:val="20"/>
        </w:rPr>
        <w:t>Economic Insights’</w:t>
      </w:r>
      <w:r w:rsidR="00AF5E56" w:rsidRPr="00CD5F5A">
        <w:t xml:space="preserve"> i</w:t>
      </w:r>
      <w:r w:rsidR="00AF5E56">
        <w:t xml:space="preserve">nterpretation is </w:t>
      </w:r>
      <w:r w:rsidR="00E47AEA">
        <w:t>‘</w:t>
      </w:r>
      <w:r w:rsidR="00AF5E56">
        <w:t>nonsensical</w:t>
      </w:r>
      <w:r w:rsidR="00E47AEA">
        <w:t>’</w:t>
      </w:r>
      <w:r w:rsidR="00AF5E56">
        <w:t>, and</w:t>
      </w:r>
    </w:p>
    <w:p w:rsidR="00AF5E56" w:rsidRDefault="00AF5E56" w:rsidP="00460999">
      <w:pPr>
        <w:pStyle w:val="ListParagraph"/>
        <w:numPr>
          <w:ilvl w:val="0"/>
          <w:numId w:val="37"/>
        </w:numPr>
        <w:tabs>
          <w:tab w:val="left" w:pos="340"/>
        </w:tabs>
        <w:ind w:left="714" w:hanging="357"/>
        <w:contextualSpacing w:val="0"/>
      </w:pPr>
      <w:r w:rsidRPr="00CD5F5A">
        <w:t xml:space="preserve">inclusion of a 2 Mbps dummy variable has a </w:t>
      </w:r>
      <w:r w:rsidR="00E47AEA">
        <w:t>‘</w:t>
      </w:r>
      <w:r w:rsidRPr="00CD5F5A">
        <w:t>highly significant</w:t>
      </w:r>
      <w:r w:rsidR="00E47AEA">
        <w:t>’</w:t>
      </w:r>
      <w:r w:rsidRPr="00CD5F5A">
        <w:t xml:space="preserve"> impact and indicates </w:t>
      </w:r>
      <w:r>
        <w:t>that prices should be around 15 per cent</w:t>
      </w:r>
      <w:r w:rsidRPr="00CD5F5A">
        <w:t xml:space="preserve"> lower for 2 Mbps</w:t>
      </w:r>
      <w:r w:rsidR="00FE21D0">
        <w:t xml:space="preserve"> services with a distance of</w:t>
      </w:r>
      <w:r w:rsidRPr="00CD5F5A">
        <w:t xml:space="preserve"> less than 5km</w:t>
      </w:r>
      <w:r>
        <w:t>.</w:t>
      </w:r>
      <w:r>
        <w:rPr>
          <w:rStyle w:val="FootnoteReference"/>
        </w:rPr>
        <w:footnoteReference w:id="13"/>
      </w:r>
    </w:p>
    <w:p w:rsidR="00AF5E56" w:rsidRDefault="00AF5E56" w:rsidP="00460999">
      <w:pPr>
        <w:tabs>
          <w:tab w:val="left" w:pos="340"/>
        </w:tabs>
      </w:pPr>
      <w:r>
        <w:t xml:space="preserve">Optus submitted that pricing anomalies had </w:t>
      </w:r>
      <w:r w:rsidR="00B22A17">
        <w:t xml:space="preserve">previously </w:t>
      </w:r>
      <w:r>
        <w:t xml:space="preserve">been identified in the 2012 DTCS FAD by access seekers and those problems identified in the last FAD continue to persist in the </w:t>
      </w:r>
      <w:r>
        <w:lastRenderedPageBreak/>
        <w:t>current FAD inquiry.</w:t>
      </w:r>
      <w:r>
        <w:rPr>
          <w:rStyle w:val="FootnoteReference"/>
        </w:rPr>
        <w:footnoteReference w:id="14"/>
      </w:r>
      <w:r w:rsidR="00612AFF">
        <w:t xml:space="preserve"> Optus explained that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rsidR="00612AFF">
        <w:t xml:space="preserve"> </w:t>
      </w:r>
      <w:r>
        <w:t>but once the ACCC issued a FAD the price decline stopped.</w:t>
      </w:r>
      <w:r>
        <w:rPr>
          <w:rStyle w:val="FootnoteReference"/>
        </w:rPr>
        <w:footnoteReference w:id="15"/>
      </w:r>
      <w:r>
        <w:t xml:space="preserve"> Optus observed that the regulated price</w:t>
      </w:r>
      <w:r w:rsidR="00F95AC8">
        <w:t xml:space="preserve"> of a 2 Mbps 2km link is now 75 per cent</w:t>
      </w:r>
      <w:r>
        <w:t xml:space="preserve"> greater than the commercial price in 2011.</w:t>
      </w:r>
      <w:r>
        <w:rPr>
          <w:rStyle w:val="FootnoteReference"/>
        </w:rPr>
        <w:footnoteReference w:id="16"/>
      </w:r>
      <w:r>
        <w:t xml:space="preserve"> </w:t>
      </w:r>
    </w:p>
    <w:p w:rsidR="00AF5E56" w:rsidRDefault="00AF5E56" w:rsidP="00460999">
      <w:pPr>
        <w:rPr>
          <w:szCs w:val="20"/>
        </w:rPr>
      </w:pPr>
      <w:r>
        <w:rPr>
          <w:szCs w:val="20"/>
        </w:rPr>
        <w:t>Optus also observed that there is little relationship between monthly price and distance in the 2</w:t>
      </w:r>
      <w:r w:rsidR="00F95AC8">
        <w:rPr>
          <w:szCs w:val="20"/>
        </w:rPr>
        <w:t xml:space="preserve"> </w:t>
      </w:r>
      <w:r>
        <w:rPr>
          <w:szCs w:val="20"/>
        </w:rPr>
        <w:t>Mbps observations as the vast majority of the links are priced at the same four</w:t>
      </w:r>
      <w:r w:rsidR="00612AFF">
        <w:rPr>
          <w:szCs w:val="20"/>
        </w:rPr>
        <w:t xml:space="preserve"> price points being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t>.</w:t>
      </w:r>
      <w:r>
        <w:rPr>
          <w:rStyle w:val="FootnoteReference"/>
        </w:rPr>
        <w:footnoteReference w:id="17"/>
      </w:r>
    </w:p>
    <w:p w:rsidR="00460999" w:rsidRDefault="00263B92" w:rsidP="00460999">
      <w:pPr>
        <w:tabs>
          <w:tab w:val="left" w:pos="340"/>
        </w:tabs>
      </w:pPr>
      <w:r>
        <w:t>Optus</w:t>
      </w:r>
      <w:r w:rsidR="00460999">
        <w:t xml:space="preserve"> considered that it may be possible to take into account the structural differences between 2 Mbps</w:t>
      </w:r>
      <w:r>
        <w:t xml:space="preserve"> services</w:t>
      </w:r>
      <w:r w:rsidR="00460999">
        <w:t xml:space="preserve"> and other services through the use of structural breaks in regression analysis.</w:t>
      </w:r>
      <w:r w:rsidR="00460999">
        <w:rPr>
          <w:rStyle w:val="FootnoteReference"/>
        </w:rPr>
        <w:footnoteReference w:id="18"/>
      </w:r>
      <w:r w:rsidR="00460999">
        <w:t xml:space="preserve"> </w:t>
      </w:r>
    </w:p>
    <w:p w:rsidR="00460999" w:rsidRDefault="00AF5E56" w:rsidP="00460999">
      <w:pPr>
        <w:tabs>
          <w:tab w:val="left" w:pos="340"/>
        </w:tabs>
        <w:rPr>
          <w:szCs w:val="20"/>
        </w:rPr>
      </w:pPr>
      <w:r>
        <w:rPr>
          <w:szCs w:val="20"/>
        </w:rPr>
        <w:t>CCC and Nextgen submitted that</w:t>
      </w:r>
      <w:r w:rsidR="00C56A07">
        <w:rPr>
          <w:szCs w:val="20"/>
        </w:rPr>
        <w:t xml:space="preserve"> the</w:t>
      </w:r>
      <w:r>
        <w:rPr>
          <w:szCs w:val="20"/>
        </w:rPr>
        <w:t xml:space="preserve"> data used in the pricing model </w:t>
      </w:r>
      <w:r w:rsidR="00E47AEA">
        <w:rPr>
          <w:szCs w:val="20"/>
        </w:rPr>
        <w:t>are</w:t>
      </w:r>
      <w:r w:rsidR="00D16401">
        <w:rPr>
          <w:szCs w:val="20"/>
        </w:rPr>
        <w:t xml:space="preserve"> inadequate </w:t>
      </w:r>
      <w:r w:rsidR="00DF609C">
        <w:rPr>
          <w:szCs w:val="20"/>
        </w:rPr>
        <w:t>and</w:t>
      </w:r>
      <w:r w:rsidR="00460999">
        <w:rPr>
          <w:szCs w:val="20"/>
        </w:rPr>
        <w:t xml:space="preserve"> that the ACCC should consider widening the scope of the data</w:t>
      </w:r>
      <w:r w:rsidR="00D16401">
        <w:rPr>
          <w:szCs w:val="20"/>
        </w:rPr>
        <w:t>set</w:t>
      </w:r>
      <w:r w:rsidR="00460999">
        <w:rPr>
          <w:szCs w:val="20"/>
        </w:rPr>
        <w:t xml:space="preserve"> to capture the impact of substitute services.</w:t>
      </w:r>
      <w:r w:rsidR="00460999">
        <w:rPr>
          <w:rStyle w:val="FootnoteReference"/>
          <w:szCs w:val="20"/>
        </w:rPr>
        <w:footnoteReference w:id="19"/>
      </w:r>
      <w:r w:rsidR="00460999">
        <w:rPr>
          <w:szCs w:val="20"/>
        </w:rPr>
        <w:t xml:space="preserve"> CCC considered that </w:t>
      </w:r>
      <w:r w:rsidR="00460999">
        <w:t>absence of th</w:t>
      </w:r>
      <w:r w:rsidR="00E47AEA">
        <w:t>ese</w:t>
      </w:r>
      <w:r w:rsidR="00460999">
        <w:t xml:space="preserve"> data means that the model is only relying on data related to the least informed buyers or buyers that have the least bargaining power.</w:t>
      </w:r>
      <w:r w:rsidR="00460999">
        <w:rPr>
          <w:rStyle w:val="FootnoteReference"/>
        </w:rPr>
        <w:footnoteReference w:id="20"/>
      </w:r>
      <w:r w:rsidR="00460999">
        <w:t xml:space="preserve"> </w:t>
      </w:r>
      <w:r w:rsidR="00460999">
        <w:rPr>
          <w:szCs w:val="20"/>
        </w:rPr>
        <w:t xml:space="preserve"> </w:t>
      </w:r>
    </w:p>
    <w:p w:rsidR="00AF5E56" w:rsidRDefault="00AF5E56" w:rsidP="00460999">
      <w:pPr>
        <w:rPr>
          <w:szCs w:val="20"/>
        </w:rPr>
      </w:pPr>
      <w:r>
        <w:rPr>
          <w:szCs w:val="20"/>
        </w:rPr>
        <w:t>Telstra strongly disagreed with the criticism that since the draft decision has generated higher pricing for some 2</w:t>
      </w:r>
      <w:r w:rsidR="00F95AC8">
        <w:rPr>
          <w:szCs w:val="20"/>
        </w:rPr>
        <w:t xml:space="preserve"> </w:t>
      </w:r>
      <w:r>
        <w:rPr>
          <w:szCs w:val="20"/>
        </w:rPr>
        <w:t>Mbps services, the entire regression model is critically flawed.</w:t>
      </w:r>
      <w:r>
        <w:rPr>
          <w:rStyle w:val="FootnoteReference"/>
          <w:szCs w:val="20"/>
        </w:rPr>
        <w:footnoteReference w:id="21"/>
      </w:r>
      <w:r>
        <w:rPr>
          <w:szCs w:val="20"/>
        </w:rPr>
        <w:t xml:space="preserve"> Telstra submitted that the criticism suggest</w:t>
      </w:r>
      <w:r w:rsidR="00E47AEA">
        <w:rPr>
          <w:szCs w:val="20"/>
        </w:rPr>
        <w:t>s</w:t>
      </w:r>
      <w:r>
        <w:rPr>
          <w:szCs w:val="20"/>
        </w:rPr>
        <w:t xml:space="preserve"> a cherry-picking approach with the intent on accepting only regulated pricing outcomes which are deemed agreeable and excluding as ‘exceptional’ those not deemed to be agreeable. Telstra stated that it</w:t>
      </w:r>
      <w:r w:rsidR="00612AFF">
        <w:rPr>
          <w:szCs w:val="20"/>
        </w:rPr>
        <w:t xml:space="preserve">s analysis shows that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rPr>
          <w:szCs w:val="20"/>
        </w:rPr>
        <w:t>.</w:t>
      </w:r>
      <w:r>
        <w:rPr>
          <w:rStyle w:val="FootnoteReference"/>
          <w:szCs w:val="20"/>
        </w:rPr>
        <w:footnoteReference w:id="22"/>
      </w:r>
    </w:p>
    <w:p w:rsidR="004F3F12" w:rsidRPr="00E9107F" w:rsidRDefault="00AF5E56" w:rsidP="00E9107F">
      <w:pPr>
        <w:rPr>
          <w:szCs w:val="20"/>
        </w:rPr>
      </w:pPr>
      <w:r>
        <w:rPr>
          <w:szCs w:val="20"/>
        </w:rPr>
        <w:t>Telstra further submitted that as a matter of good practice, regulatory decision</w:t>
      </w:r>
      <w:r w:rsidR="00E9107F">
        <w:rPr>
          <w:szCs w:val="20"/>
        </w:rPr>
        <w:t>s</w:t>
      </w:r>
      <w:r>
        <w:rPr>
          <w:szCs w:val="20"/>
        </w:rPr>
        <w:t xml:space="preserve"> should apply equally to all stakeholders and considered that the regression analysis is robust and should apply across the entire dataset.</w:t>
      </w:r>
      <w:r>
        <w:rPr>
          <w:rStyle w:val="FootnoteReference"/>
          <w:szCs w:val="20"/>
        </w:rPr>
        <w:footnoteReference w:id="23"/>
      </w:r>
    </w:p>
    <w:p w:rsidR="004F3F12" w:rsidRDefault="004F3F12" w:rsidP="004F3F12">
      <w:pPr>
        <w:tabs>
          <w:tab w:val="left" w:pos="340"/>
        </w:tabs>
        <w:rPr>
          <w:szCs w:val="20"/>
        </w:rPr>
      </w:pPr>
      <w:r w:rsidRPr="007D11BF">
        <w:rPr>
          <w:szCs w:val="20"/>
        </w:rPr>
        <w:t>Optus and CEG support</w:t>
      </w:r>
      <w:r>
        <w:rPr>
          <w:szCs w:val="20"/>
        </w:rPr>
        <w:t>ed</w:t>
      </w:r>
      <w:r w:rsidRPr="007D11BF">
        <w:rPr>
          <w:szCs w:val="20"/>
        </w:rPr>
        <w:t xml:space="preserve"> the adoption of the Stochastic Frontier Analysis (SFA) method as a method of addressing both outlier problems and averaging problems inherent in </w:t>
      </w:r>
      <w:r w:rsidR="00F95AC8">
        <w:rPr>
          <w:szCs w:val="20"/>
        </w:rPr>
        <w:t>ordinary leas</w:t>
      </w:r>
      <w:r w:rsidR="00E47AEA">
        <w:rPr>
          <w:szCs w:val="20"/>
        </w:rPr>
        <w:t>t</w:t>
      </w:r>
      <w:r w:rsidR="00F95AC8">
        <w:rPr>
          <w:szCs w:val="20"/>
        </w:rPr>
        <w:t xml:space="preserve"> squares (</w:t>
      </w:r>
      <w:r w:rsidRPr="007D11BF">
        <w:rPr>
          <w:szCs w:val="20"/>
        </w:rPr>
        <w:t>OLS</w:t>
      </w:r>
      <w:r w:rsidR="00F95AC8">
        <w:rPr>
          <w:szCs w:val="20"/>
        </w:rPr>
        <w:t>) regression</w:t>
      </w:r>
      <w:r w:rsidRPr="007D11BF">
        <w:rPr>
          <w:szCs w:val="20"/>
        </w:rPr>
        <w:t>.</w:t>
      </w:r>
      <w:r w:rsidRPr="007D11BF">
        <w:rPr>
          <w:rStyle w:val="FootnoteReference"/>
          <w:szCs w:val="20"/>
        </w:rPr>
        <w:t xml:space="preserve"> </w:t>
      </w:r>
      <w:r w:rsidRPr="007D11BF">
        <w:rPr>
          <w:rStyle w:val="FootnoteReference"/>
          <w:szCs w:val="20"/>
        </w:rPr>
        <w:footnoteReference w:id="24"/>
      </w:r>
      <w:r w:rsidRPr="007D11BF">
        <w:rPr>
          <w:szCs w:val="20"/>
        </w:rPr>
        <w:t xml:space="preserve"> </w:t>
      </w:r>
      <w:r>
        <w:rPr>
          <w:szCs w:val="20"/>
        </w:rPr>
        <w:t>Optus submitted that</w:t>
      </w:r>
      <w:r w:rsidR="00E47AEA">
        <w:rPr>
          <w:szCs w:val="20"/>
        </w:rPr>
        <w:t>,</w:t>
      </w:r>
      <w:r>
        <w:rPr>
          <w:szCs w:val="20"/>
        </w:rPr>
        <w:t xml:space="preserve"> in rejecting the SFA method Economic Insights failed to provide the ACCC with any objective fact-based reasons not to adopt the SFA method since Economic Insights had not attempted to estimate or predict the results.</w:t>
      </w:r>
      <w:r>
        <w:rPr>
          <w:rStyle w:val="FootnoteReference"/>
          <w:szCs w:val="20"/>
        </w:rPr>
        <w:footnoteReference w:id="25"/>
      </w:r>
      <w:r>
        <w:rPr>
          <w:szCs w:val="20"/>
        </w:rPr>
        <w:t xml:space="preserve">  Professor Bartels and VHA also support using SFA as an alternative to the benchmarking models developed by Economic Insights.</w:t>
      </w:r>
      <w:r>
        <w:rPr>
          <w:rStyle w:val="FootnoteReference"/>
          <w:szCs w:val="20"/>
        </w:rPr>
        <w:footnoteReference w:id="26"/>
      </w:r>
    </w:p>
    <w:p w:rsidR="00DF609C" w:rsidRDefault="00DF609C" w:rsidP="004F3F12">
      <w:pPr>
        <w:tabs>
          <w:tab w:val="left" w:pos="340"/>
        </w:tabs>
        <w:rPr>
          <w:szCs w:val="20"/>
        </w:rPr>
      </w:pPr>
      <w:r>
        <w:rPr>
          <w:szCs w:val="20"/>
        </w:rPr>
        <w:t>Professo</w:t>
      </w:r>
      <w:r w:rsidR="008B099C">
        <w:rPr>
          <w:szCs w:val="20"/>
        </w:rPr>
        <w:t>r Breusch stated that Economic I</w:t>
      </w:r>
      <w:r>
        <w:rPr>
          <w:szCs w:val="20"/>
        </w:rPr>
        <w:t xml:space="preserve">nsights (in its final report) made the correct decision in recognising that </w:t>
      </w:r>
      <w:r w:rsidR="00B22A17">
        <w:rPr>
          <w:szCs w:val="20"/>
        </w:rPr>
        <w:t>SFA</w:t>
      </w:r>
      <w:r>
        <w:rPr>
          <w:szCs w:val="20"/>
        </w:rPr>
        <w:t xml:space="preserve"> models proposed by other experts do not answer the fundamental question of benchmarking against average competitive pricing.</w:t>
      </w:r>
      <w:r>
        <w:rPr>
          <w:rStyle w:val="FootnoteReference"/>
          <w:szCs w:val="20"/>
        </w:rPr>
        <w:footnoteReference w:id="27"/>
      </w:r>
    </w:p>
    <w:p w:rsidR="00CB5F02" w:rsidRDefault="00CB5F02" w:rsidP="004F3F12">
      <w:pPr>
        <w:tabs>
          <w:tab w:val="left" w:pos="340"/>
        </w:tabs>
        <w:rPr>
          <w:szCs w:val="20"/>
        </w:rPr>
      </w:pPr>
      <w:r>
        <w:rPr>
          <w:szCs w:val="20"/>
        </w:rPr>
        <w:lastRenderedPageBreak/>
        <w:t xml:space="preserve">Optus </w:t>
      </w:r>
      <w:r w:rsidR="00243719">
        <w:rPr>
          <w:szCs w:val="20"/>
        </w:rPr>
        <w:t xml:space="preserve">submitted that regression </w:t>
      </w:r>
      <w:r w:rsidR="00A658D2">
        <w:rPr>
          <w:szCs w:val="20"/>
        </w:rPr>
        <w:t xml:space="preserve">modelling </w:t>
      </w:r>
      <w:r w:rsidR="00243719">
        <w:rPr>
          <w:szCs w:val="20"/>
        </w:rPr>
        <w:t>should not be the sole input into pricing.</w:t>
      </w:r>
      <w:r w:rsidR="00243719">
        <w:rPr>
          <w:rStyle w:val="FootnoteReference"/>
          <w:szCs w:val="20"/>
        </w:rPr>
        <w:footnoteReference w:id="28"/>
      </w:r>
      <w:r w:rsidR="00243719">
        <w:rPr>
          <w:szCs w:val="20"/>
        </w:rPr>
        <w:t xml:space="preserve"> Optus </w:t>
      </w:r>
      <w:r>
        <w:rPr>
          <w:szCs w:val="20"/>
        </w:rPr>
        <w:t>suggested that commercial arrangements could be used as a possible alternative to regression outputs</w:t>
      </w:r>
      <w:r w:rsidR="00A658D2">
        <w:rPr>
          <w:szCs w:val="20"/>
        </w:rPr>
        <w:t xml:space="preserve"> with a price decline on historical arrangements</w:t>
      </w:r>
      <w:r>
        <w:rPr>
          <w:szCs w:val="20"/>
        </w:rPr>
        <w:t>, or as a market test for the reasonableness of the regression outputs.</w:t>
      </w:r>
      <w:r>
        <w:rPr>
          <w:rStyle w:val="FootnoteReference"/>
          <w:szCs w:val="20"/>
        </w:rPr>
        <w:footnoteReference w:id="29"/>
      </w:r>
    </w:p>
    <w:p w:rsidR="00DB2ACC" w:rsidRPr="00316E0D" w:rsidRDefault="00DB2ACC" w:rsidP="00C56A07">
      <w:pPr>
        <w:pStyle w:val="HeadingLevel2"/>
      </w:pPr>
      <w:bookmarkStart w:id="18" w:name="_Toc438111667"/>
      <w:r w:rsidRPr="00316E0D">
        <w:t xml:space="preserve">Economic Insights’ </w:t>
      </w:r>
      <w:r w:rsidR="0016542C">
        <w:t>analysis of the updated pricing dataset</w:t>
      </w:r>
      <w:bookmarkEnd w:id="18"/>
    </w:p>
    <w:p w:rsidR="0016542C" w:rsidRDefault="0016542C" w:rsidP="00F1586A">
      <w:r>
        <w:t>Following submissions to the ACCC’s draft decision, the ACCC instructed</w:t>
      </w:r>
      <w:r w:rsidR="00D3635B">
        <w:t xml:space="preserve"> </w:t>
      </w:r>
      <w:r w:rsidR="00D3635B">
        <w:rPr>
          <w:szCs w:val="20"/>
        </w:rPr>
        <w:t>Economic Insights</w:t>
      </w:r>
      <w:r>
        <w:t xml:space="preserve"> to undertake further analysis of the updated pricing dataset. The dataset was adjusted to include the additional pricing information from Optus and amended to ensure that all pricing in the dataset was GST exclusive. </w:t>
      </w:r>
    </w:p>
    <w:p w:rsidR="00E238D4" w:rsidRDefault="00E238D4" w:rsidP="00F1586A">
      <w:r>
        <w:t xml:space="preserve">Economic Insights </w:t>
      </w:r>
      <w:r w:rsidR="00FE392E">
        <w:t>performed the following tasks</w:t>
      </w:r>
      <w:r>
        <w:t>:</w:t>
      </w:r>
    </w:p>
    <w:p w:rsidR="007D3CF4" w:rsidRDefault="007D3CF4" w:rsidP="007D3CF4">
      <w:pPr>
        <w:pStyle w:val="ListBullet3"/>
        <w:numPr>
          <w:ilvl w:val="0"/>
          <w:numId w:val="44"/>
        </w:numPr>
        <w:spacing w:before="120" w:after="0"/>
        <w:contextualSpacing w:val="0"/>
      </w:pPr>
      <w:r>
        <w:t>re-estimate</w:t>
      </w:r>
      <w:r w:rsidR="00FE392E">
        <w:t xml:space="preserve">d the </w:t>
      </w:r>
      <w:r>
        <w:t>2015 pricing model</w:t>
      </w:r>
      <w:r w:rsidR="00FE392E">
        <w:t xml:space="preserve"> from </w:t>
      </w:r>
      <w:r w:rsidR="00D3635B">
        <w:rPr>
          <w:szCs w:val="20"/>
        </w:rPr>
        <w:t xml:space="preserve">Economic Insights’ </w:t>
      </w:r>
      <w:r w:rsidR="00D3635B">
        <w:t>f</w:t>
      </w:r>
      <w:r w:rsidR="00FE392E">
        <w:t>inal report</w:t>
      </w:r>
      <w:r>
        <w:t xml:space="preserve"> with the inclusion of the additional </w:t>
      </w:r>
      <w:r w:rsidR="00E238D4">
        <w:t xml:space="preserve">Optus </w:t>
      </w:r>
      <w:r>
        <w:t>data</w:t>
      </w:r>
      <w:r w:rsidR="00FE392E">
        <w:t xml:space="preserve"> and GST clarification</w:t>
      </w:r>
    </w:p>
    <w:p w:rsidR="007D3CF4" w:rsidRDefault="007D3CF4" w:rsidP="007D3CF4">
      <w:pPr>
        <w:pStyle w:val="ListBullet3"/>
        <w:numPr>
          <w:ilvl w:val="0"/>
          <w:numId w:val="44"/>
        </w:numPr>
        <w:spacing w:before="120" w:after="0"/>
        <w:contextualSpacing w:val="0"/>
      </w:pPr>
      <w:r>
        <w:t>test</w:t>
      </w:r>
      <w:r w:rsidR="00FE392E">
        <w:t>ed</w:t>
      </w:r>
      <w:r>
        <w:t xml:space="preserve"> and evaluate</w:t>
      </w:r>
      <w:r w:rsidR="00FE392E">
        <w:t>d</w:t>
      </w:r>
      <w:r>
        <w:t xml:space="preserve"> alternative methods to deal with 2 Mbps service issues</w:t>
      </w:r>
      <w:r w:rsidR="00FE392E">
        <w:t xml:space="preserve"> including </w:t>
      </w:r>
      <w:r w:rsidR="00927BBB">
        <w:t xml:space="preserve">a </w:t>
      </w:r>
      <w:r w:rsidR="00654308">
        <w:t>separate regression</w:t>
      </w:r>
      <w:r w:rsidR="00927BBB">
        <w:t xml:space="preserve"> for 2</w:t>
      </w:r>
      <w:r w:rsidR="00F95AC8">
        <w:t xml:space="preserve"> M</w:t>
      </w:r>
      <w:r w:rsidR="00927BBB">
        <w:t>bps services</w:t>
      </w:r>
      <w:r w:rsidR="00654308">
        <w:t xml:space="preserve">, </w:t>
      </w:r>
      <w:r w:rsidR="00927BBB">
        <w:t xml:space="preserve">a </w:t>
      </w:r>
      <w:r w:rsidR="00F95AC8">
        <w:t>dummy variable</w:t>
      </w:r>
      <w:r w:rsidR="00654308">
        <w:t xml:space="preserve"> </w:t>
      </w:r>
      <w:r w:rsidR="00F95AC8">
        <w:t>for 2 M</w:t>
      </w:r>
      <w:r w:rsidR="00927BBB">
        <w:t xml:space="preserve">bps services </w:t>
      </w:r>
      <w:r w:rsidR="00654308">
        <w:t>and piecewise regression</w:t>
      </w:r>
      <w:r w:rsidR="00927BBB">
        <w:rPr>
          <w:rStyle w:val="FootnoteReference"/>
        </w:rPr>
        <w:footnoteReference w:id="30"/>
      </w:r>
    </w:p>
    <w:p w:rsidR="007D3CF4" w:rsidRDefault="007D3CF4" w:rsidP="007D3CF4">
      <w:pPr>
        <w:pStyle w:val="ListBullet3"/>
        <w:numPr>
          <w:ilvl w:val="0"/>
          <w:numId w:val="44"/>
        </w:numPr>
        <w:spacing w:before="120" w:after="0"/>
        <w:contextualSpacing w:val="0"/>
      </w:pPr>
      <w:r>
        <w:t>test</w:t>
      </w:r>
      <w:r w:rsidR="00654308">
        <w:t>ed</w:t>
      </w:r>
      <w:r>
        <w:t xml:space="preserve"> and evaluate</w:t>
      </w:r>
      <w:r w:rsidR="00654308">
        <w:t>d</w:t>
      </w:r>
      <w:r>
        <w:t xml:space="preserve"> additional methods of dealin</w:t>
      </w:r>
      <w:r w:rsidR="00F95AC8">
        <w:t>g with outliers in the dataset</w:t>
      </w:r>
    </w:p>
    <w:p w:rsidR="007D3CF4" w:rsidRDefault="007D3CF4" w:rsidP="007D3CF4">
      <w:pPr>
        <w:pStyle w:val="ListBullet3"/>
        <w:numPr>
          <w:ilvl w:val="0"/>
          <w:numId w:val="44"/>
        </w:numPr>
        <w:spacing w:before="120" w:after="0"/>
        <w:contextualSpacing w:val="0"/>
      </w:pPr>
      <w:r>
        <w:t>test</w:t>
      </w:r>
      <w:r w:rsidR="00654308">
        <w:t>ed</w:t>
      </w:r>
      <w:r>
        <w:t xml:space="preserve"> the </w:t>
      </w:r>
      <w:r w:rsidR="00D61EA3">
        <w:t>SFA model</w:t>
      </w:r>
      <w:r>
        <w:t xml:space="preserve"> as an alternative to random effects (in the current draft model)</w:t>
      </w:r>
      <w:r w:rsidR="00654308">
        <w:t>, and</w:t>
      </w:r>
    </w:p>
    <w:p w:rsidR="00654308" w:rsidRDefault="00263B92" w:rsidP="005B12CC">
      <w:pPr>
        <w:pStyle w:val="ListBullet3"/>
        <w:numPr>
          <w:ilvl w:val="0"/>
          <w:numId w:val="44"/>
        </w:numPr>
        <w:spacing w:before="120"/>
        <w:ind w:left="714" w:hanging="357"/>
        <w:contextualSpacing w:val="0"/>
      </w:pPr>
      <w:proofErr w:type="gramStart"/>
      <w:r>
        <w:t>i</w:t>
      </w:r>
      <w:r w:rsidR="00654308">
        <w:t>n</w:t>
      </w:r>
      <w:proofErr w:type="gramEnd"/>
      <w:r w:rsidR="00654308">
        <w:t xml:space="preserve"> testing the models (with the exception of the </w:t>
      </w:r>
      <w:r w:rsidR="00F95AC8">
        <w:t>SFA model</w:t>
      </w:r>
      <w:r w:rsidR="00654308">
        <w:t xml:space="preserve">), </w:t>
      </w:r>
      <w:r w:rsidR="00D3635B">
        <w:rPr>
          <w:szCs w:val="20"/>
        </w:rPr>
        <w:t>Economic Insights</w:t>
      </w:r>
      <w:r w:rsidR="00654308">
        <w:t xml:space="preserve"> used 10</w:t>
      </w:r>
      <w:r w:rsidR="00222197">
        <w:t>-</w:t>
      </w:r>
      <w:r w:rsidR="00654308">
        <w:t>fold cross validation to test out</w:t>
      </w:r>
      <w:r w:rsidR="00222197">
        <w:t>-</w:t>
      </w:r>
      <w:r w:rsidR="00654308">
        <w:t>of</w:t>
      </w:r>
      <w:r w:rsidR="00222197">
        <w:t>-</w:t>
      </w:r>
      <w:r w:rsidR="00654308">
        <w:t>sample performance.</w:t>
      </w:r>
    </w:p>
    <w:p w:rsidR="00222504" w:rsidRDefault="00222504" w:rsidP="00C77684">
      <w:pPr>
        <w:pStyle w:val="HeadingLevel3"/>
      </w:pPr>
      <w:r>
        <w:t xml:space="preserve">Re-estimating </w:t>
      </w:r>
      <w:r w:rsidR="00654308">
        <w:t>of previous</w:t>
      </w:r>
      <w:r>
        <w:t xml:space="preserve"> pricing model</w:t>
      </w:r>
      <w:r w:rsidR="00FE392E">
        <w:t>s</w:t>
      </w:r>
      <w:r>
        <w:t xml:space="preserve"> with </w:t>
      </w:r>
      <w:r w:rsidR="008D3D55">
        <w:t xml:space="preserve">data corrected to be GST exclusive and </w:t>
      </w:r>
      <w:r>
        <w:t xml:space="preserve">additional </w:t>
      </w:r>
      <w:r w:rsidR="008D3D55">
        <w:t xml:space="preserve">Optus </w:t>
      </w:r>
      <w:r>
        <w:t>data</w:t>
      </w:r>
    </w:p>
    <w:p w:rsidR="00222504" w:rsidRDefault="00222504" w:rsidP="00FB4948">
      <w:r>
        <w:t xml:space="preserve">Economic Insights re-estimated the three </w:t>
      </w:r>
      <w:r w:rsidR="004C0152">
        <w:t xml:space="preserve">preferred </w:t>
      </w:r>
      <w:r>
        <w:t xml:space="preserve">models that were presented </w:t>
      </w:r>
      <w:r w:rsidRPr="00EE2C74">
        <w:t xml:space="preserve">in </w:t>
      </w:r>
      <w:r w:rsidR="004C0152" w:rsidRPr="00EE2C74">
        <w:t>table 5.1 of</w:t>
      </w:r>
      <w:r w:rsidR="004C0152">
        <w:t xml:space="preserve"> </w:t>
      </w:r>
      <w:r>
        <w:t xml:space="preserve">Economic Insights’ final report </w:t>
      </w:r>
      <w:r w:rsidR="00A62E57">
        <w:t xml:space="preserve">for the draft decision </w:t>
      </w:r>
      <w:r>
        <w:t>using the revised dataset</w:t>
      </w:r>
      <w:r w:rsidR="00CF3CC2">
        <w:t xml:space="preserve"> which included</w:t>
      </w:r>
      <w:r w:rsidR="00F95AC8">
        <w:t xml:space="preserve"> the </w:t>
      </w:r>
      <w:r w:rsidR="00C43AE1">
        <w:t>Optus</w:t>
      </w:r>
      <w:r w:rsidR="00F95AC8">
        <w:t xml:space="preserve"> data and on a </w:t>
      </w:r>
      <w:r w:rsidR="00CF3CC2">
        <w:t>GST</w:t>
      </w:r>
      <w:r w:rsidR="00F95AC8">
        <w:t xml:space="preserve"> exclusive basis</w:t>
      </w:r>
      <w:r>
        <w:t>.</w:t>
      </w:r>
      <w:r w:rsidR="00E0479A">
        <w:t xml:space="preserve"> For the remainder of the document</w:t>
      </w:r>
      <w:r w:rsidR="00F95AC8">
        <w:t>,</w:t>
      </w:r>
      <w:r w:rsidR="00E0479A">
        <w:t xml:space="preserve"> the three preferred models presented in Economic Insights’ final report re-estimated with the </w:t>
      </w:r>
      <w:r w:rsidR="00F95AC8">
        <w:t>revised dataset</w:t>
      </w:r>
      <w:r w:rsidR="00E0479A">
        <w:t xml:space="preserve"> is referred to as the ‘base model’.</w:t>
      </w:r>
    </w:p>
    <w:p w:rsidR="00222504" w:rsidRDefault="00D61EA3" w:rsidP="00222504">
      <w:r>
        <w:rPr>
          <w:szCs w:val="20"/>
        </w:rPr>
        <w:t xml:space="preserve">Economic Insights </w:t>
      </w:r>
      <w:r>
        <w:t>f</w:t>
      </w:r>
      <w:r w:rsidR="00654308">
        <w:t xml:space="preserve">ound that </w:t>
      </w:r>
      <w:r w:rsidR="00C43AE1">
        <w:t>including</w:t>
      </w:r>
      <w:r w:rsidR="00C77684">
        <w:t xml:space="preserve"> the Optus</w:t>
      </w:r>
      <w:r w:rsidR="00161B9A">
        <w:t xml:space="preserve"> </w:t>
      </w:r>
      <w:r w:rsidR="00C77684">
        <w:t>data in the data</w:t>
      </w:r>
      <w:r w:rsidR="00C43AE1">
        <w:t xml:space="preserve">set results in the model setting the regulated price </w:t>
      </w:r>
      <w:r w:rsidR="00612AFF">
        <w:t xml:space="preserve">on average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rsidR="00612AFF">
        <w:rPr>
          <w:szCs w:val="20"/>
        </w:rPr>
        <w:t xml:space="preserve"> </w:t>
      </w:r>
      <w:r w:rsidR="00C43AE1">
        <w:t>than it would otherwise be if the additional data w</w:t>
      </w:r>
      <w:r w:rsidR="00222197">
        <w:t>ere</w:t>
      </w:r>
      <w:r w:rsidR="00C43AE1">
        <w:t xml:space="preserve"> not included.</w:t>
      </w:r>
      <w:r w:rsidR="00C02633">
        <w:rPr>
          <w:rStyle w:val="FootnoteReference"/>
        </w:rPr>
        <w:footnoteReference w:id="31"/>
      </w:r>
      <w:r w:rsidR="00C43AE1">
        <w:t xml:space="preserve"> The biggest difference in the </w:t>
      </w:r>
      <w:r w:rsidR="00527190">
        <w:t>predicted</w:t>
      </w:r>
      <w:r w:rsidR="00C43AE1">
        <w:t xml:space="preserve"> price</w:t>
      </w:r>
      <w:r w:rsidR="00527190">
        <w:t>s</w:t>
      </w:r>
      <w:r w:rsidR="00C43AE1">
        <w:t xml:space="preserve"> between the two models is for metro</w:t>
      </w:r>
      <w:r w:rsidR="006E36C4">
        <w:t>politan</w:t>
      </w:r>
      <w:r w:rsidR="00C43AE1">
        <w:t xml:space="preserve"> and regional services greater than 50 Mbps where the model including the Optus data </w:t>
      </w:r>
      <w:r w:rsidR="002401E8">
        <w:t>predicts</w:t>
      </w:r>
      <w:r w:rsidR="00612AFF">
        <w:t xml:space="preserve"> prices</w:t>
      </w:r>
      <w:r w:rsidR="00612AFF">
        <w:rPr>
          <w:szCs w:val="20"/>
        </w:rPr>
        <w:t xml:space="preserve"> </w:t>
      </w:r>
      <w:r w:rsidR="00612AFF" w:rsidRPr="00612AFF">
        <w:rPr>
          <w:b/>
          <w:highlight w:val="lightGray"/>
        </w:rPr>
        <w:t>[c-</w:t>
      </w:r>
      <w:proofErr w:type="spellStart"/>
      <w:r w:rsidR="00612AFF" w:rsidRPr="00612AFF">
        <w:rPr>
          <w:b/>
          <w:highlight w:val="lightGray"/>
        </w:rPr>
        <w:t>i</w:t>
      </w:r>
      <w:proofErr w:type="spellEnd"/>
      <w:r w:rsidR="00612AFF" w:rsidRPr="00612AFF">
        <w:rPr>
          <w:b/>
          <w:highlight w:val="lightGray"/>
        </w:rPr>
        <w:t>-c starts] [c-</w:t>
      </w:r>
      <w:proofErr w:type="spellStart"/>
      <w:r w:rsidR="00612AFF" w:rsidRPr="00612AFF">
        <w:rPr>
          <w:b/>
          <w:highlight w:val="lightGray"/>
        </w:rPr>
        <w:t>i</w:t>
      </w:r>
      <w:proofErr w:type="spellEnd"/>
      <w:r w:rsidR="00612AFF" w:rsidRPr="00612AFF">
        <w:rPr>
          <w:b/>
          <w:highlight w:val="lightGray"/>
        </w:rPr>
        <w:t>-c ends]</w:t>
      </w:r>
      <w:r w:rsidR="00612AFF">
        <w:rPr>
          <w:szCs w:val="20"/>
        </w:rPr>
        <w:t xml:space="preserve"> </w:t>
      </w:r>
      <w:r w:rsidR="00C43AE1">
        <w:t>than the 2015 draft FAD model.</w:t>
      </w:r>
      <w:r w:rsidR="00C02633">
        <w:rPr>
          <w:rStyle w:val="FootnoteReference"/>
        </w:rPr>
        <w:footnoteReference w:id="32"/>
      </w:r>
      <w:r w:rsidR="002401E8">
        <w:t xml:space="preserve"> </w:t>
      </w:r>
      <w:r w:rsidR="00527190">
        <w:t>There is no change in the predicted prices for low capacity metro</w:t>
      </w:r>
      <w:r w:rsidR="006E36C4">
        <w:t>politan</w:t>
      </w:r>
      <w:r w:rsidR="00527190">
        <w:t xml:space="preserve"> and regional services between the two models.</w:t>
      </w:r>
    </w:p>
    <w:p w:rsidR="00FE6D77" w:rsidRDefault="00222197" w:rsidP="00222504">
      <w:r>
        <w:lastRenderedPageBreak/>
        <w:t>S</w:t>
      </w:r>
      <w:r w:rsidR="00FE6D77">
        <w:t>ection 2</w:t>
      </w:r>
      <w:r w:rsidR="00263B92">
        <w:t xml:space="preserve"> of this paper</w:t>
      </w:r>
      <w:r w:rsidR="00FE6D77">
        <w:t xml:space="preserve"> note</w:t>
      </w:r>
      <w:r w:rsidR="000E6BEB">
        <w:t>d</w:t>
      </w:r>
      <w:r w:rsidR="00FE6D77">
        <w:t xml:space="preserve"> the oversight in failing to clarify the basis for </w:t>
      </w:r>
      <w:r w:rsidR="00C56A07">
        <w:t>a</w:t>
      </w:r>
      <w:r w:rsidR="00DD63F9">
        <w:t xml:space="preserve">ccess </w:t>
      </w:r>
      <w:r w:rsidR="00C56A07">
        <w:t>p</w:t>
      </w:r>
      <w:r w:rsidR="00DD63F9">
        <w:t xml:space="preserve">roviders </w:t>
      </w:r>
      <w:r w:rsidR="009B0B52">
        <w:t>to</w:t>
      </w:r>
      <w:r w:rsidR="00DD63F9">
        <w:t xml:space="preserve"> submit </w:t>
      </w:r>
      <w:r w:rsidR="00FE6D77">
        <w:t xml:space="preserve">pricing data and the inconsistent treatment of GST between the 2012 DTCS FAD model and the draft FAD model. </w:t>
      </w:r>
      <w:r w:rsidR="0019141F">
        <w:t>After c</w:t>
      </w:r>
      <w:r w:rsidR="00FE6D77">
        <w:t>orrect</w:t>
      </w:r>
      <w:r w:rsidR="0019141F">
        <w:t>ing</w:t>
      </w:r>
      <w:r w:rsidR="00FE6D77">
        <w:t xml:space="preserve"> for the treatment of GST</w:t>
      </w:r>
      <w:r w:rsidR="0019141F">
        <w:t>,</w:t>
      </w:r>
      <w:r w:rsidR="00FE6D77">
        <w:t xml:space="preserve"> </w:t>
      </w:r>
      <w:r w:rsidR="0019141F">
        <w:t>the predicted price</w:t>
      </w:r>
      <w:r w:rsidR="00603677">
        <w:t>s</w:t>
      </w:r>
      <w:r w:rsidR="0019141F">
        <w:t xml:space="preserve"> using the draft FAD model </w:t>
      </w:r>
      <w:r w:rsidR="00603677">
        <w:t>are</w:t>
      </w:r>
      <w:r w:rsidR="0019141F">
        <w:t xml:space="preserve"> lower than the predicted price</w:t>
      </w:r>
      <w:r w:rsidR="00603677">
        <w:t>s</w:t>
      </w:r>
      <w:r w:rsidR="0019141F">
        <w:t xml:space="preserve"> using the 2012 DTCS FAD model for all segments of the market. This corrects the issues raised by a number of stakeholders that the 2015 draft FAD model results in an increase in regulated prices from the 2012 FAD model for some segments of the market.</w:t>
      </w:r>
      <w:r w:rsidR="009C7491">
        <w:t xml:space="preserve"> </w:t>
      </w:r>
    </w:p>
    <w:p w:rsidR="00654308" w:rsidRDefault="00654308" w:rsidP="00C56A07">
      <w:pPr>
        <w:pStyle w:val="HeadingLevel3"/>
      </w:pPr>
      <w:r>
        <w:t>Outliers</w:t>
      </w:r>
    </w:p>
    <w:p w:rsidR="00654308" w:rsidRDefault="00654308" w:rsidP="00654308">
      <w:r>
        <w:t xml:space="preserve">In response to </w:t>
      </w:r>
      <w:r w:rsidR="00C56A07">
        <w:t xml:space="preserve">the </w:t>
      </w:r>
      <w:r>
        <w:t>different approaches suggested</w:t>
      </w:r>
      <w:r w:rsidR="00F95AC8">
        <w:t xml:space="preserve"> by</w:t>
      </w:r>
      <w:r>
        <w:t xml:space="preserve"> </w:t>
      </w:r>
      <w:r w:rsidR="00633988">
        <w:t xml:space="preserve">CEG in its submission to the draft decision, </w:t>
      </w:r>
      <w:r w:rsidR="00D61EA3">
        <w:rPr>
          <w:szCs w:val="20"/>
        </w:rPr>
        <w:t xml:space="preserve">Economic Insights </w:t>
      </w:r>
      <w:r>
        <w:t>considered two different approaches in addressing extreme outliers in the dataset. They are:</w:t>
      </w:r>
    </w:p>
    <w:p w:rsidR="00654308" w:rsidRDefault="00654308" w:rsidP="00654308">
      <w:pPr>
        <w:pStyle w:val="ListBullet3"/>
        <w:numPr>
          <w:ilvl w:val="0"/>
          <w:numId w:val="44"/>
        </w:numPr>
        <w:spacing w:before="120" w:after="0"/>
        <w:contextualSpacing w:val="0"/>
      </w:pPr>
      <w:r>
        <w:t>to remove the observations with extreme influence from the benchmarking dataset, and</w:t>
      </w:r>
    </w:p>
    <w:p w:rsidR="00654308" w:rsidRDefault="00654308" w:rsidP="005B12CC">
      <w:pPr>
        <w:pStyle w:val="ListBullet3"/>
        <w:numPr>
          <w:ilvl w:val="0"/>
          <w:numId w:val="44"/>
        </w:numPr>
        <w:spacing w:before="120"/>
        <w:ind w:left="714" w:hanging="357"/>
        <w:contextualSpacing w:val="0"/>
      </w:pPr>
      <w:proofErr w:type="gramStart"/>
      <w:r>
        <w:t>to</w:t>
      </w:r>
      <w:proofErr w:type="gramEnd"/>
      <w:r>
        <w:t xml:space="preserve"> use ‘robust regression’ techniques to estimate the random effects model. </w:t>
      </w:r>
    </w:p>
    <w:p w:rsidR="006E2D60" w:rsidRDefault="00001F96" w:rsidP="006E2D60">
      <w:r>
        <w:rPr>
          <w:szCs w:val="20"/>
        </w:rPr>
        <w:t>Using the base model and econometrics techniques</w:t>
      </w:r>
      <w:r w:rsidR="00D7615B">
        <w:rPr>
          <w:szCs w:val="20"/>
        </w:rPr>
        <w:t xml:space="preserve"> to find outliers,</w:t>
      </w:r>
      <w:r>
        <w:rPr>
          <w:szCs w:val="20"/>
        </w:rPr>
        <w:t xml:space="preserve"> Economic Insights </w:t>
      </w:r>
      <w:r w:rsidRPr="00001F96">
        <w:rPr>
          <w:szCs w:val="20"/>
        </w:rPr>
        <w:t xml:space="preserve">identified 329 </w:t>
      </w:r>
      <w:r w:rsidR="00D7615B">
        <w:rPr>
          <w:szCs w:val="20"/>
        </w:rPr>
        <w:t>outliers</w:t>
      </w:r>
      <w:r w:rsidRPr="00001F96">
        <w:rPr>
          <w:szCs w:val="20"/>
        </w:rPr>
        <w:t xml:space="preserve"> that had the greatest influence on the regression model</w:t>
      </w:r>
      <w:r w:rsidR="00D7615B">
        <w:rPr>
          <w:szCs w:val="20"/>
        </w:rPr>
        <w:t>.</w:t>
      </w:r>
      <w:r w:rsidRPr="00001F96">
        <w:rPr>
          <w:szCs w:val="20"/>
        </w:rPr>
        <w:t xml:space="preserve"> </w:t>
      </w:r>
      <w:r w:rsidR="00D7615B">
        <w:rPr>
          <w:szCs w:val="20"/>
        </w:rPr>
        <w:t xml:space="preserve">Economic Insights’ </w:t>
      </w:r>
      <w:r w:rsidR="00D7615B">
        <w:t>findings show that</w:t>
      </w:r>
      <w:r w:rsidR="00222197">
        <w:t>,</w:t>
      </w:r>
      <w:r w:rsidR="00D7615B">
        <w:t xml:space="preserve"> after removing the outliers, the ‘out-of-sample goodness-of-fit’ using 10</w:t>
      </w:r>
      <w:r w:rsidR="00222197">
        <w:t>-</w:t>
      </w:r>
      <w:r w:rsidR="00D7615B">
        <w:t>fold cross validation is inferior to the base model discussed in the previous section.</w:t>
      </w:r>
      <w:r w:rsidR="006E2D60">
        <w:t xml:space="preserve"> </w:t>
      </w:r>
      <w:r w:rsidR="006E2D60">
        <w:rPr>
          <w:szCs w:val="20"/>
        </w:rPr>
        <w:t>Economic Insights considers tha</w:t>
      </w:r>
      <w:r w:rsidR="006E2D60">
        <w:t xml:space="preserve">t there does not appear to be any benefit </w:t>
      </w:r>
      <w:r w:rsidR="00C56A07">
        <w:t>in</w:t>
      </w:r>
      <w:r w:rsidR="006E2D60">
        <w:t xml:space="preserve"> removing the most highly influential observations and suggests that they should not be excluded from the sample used for estimation.</w:t>
      </w:r>
    </w:p>
    <w:p w:rsidR="00654308" w:rsidRDefault="00314304" w:rsidP="00654308">
      <w:r>
        <w:t xml:space="preserve">Economic Insights </w:t>
      </w:r>
      <w:r w:rsidR="00222197">
        <w:t xml:space="preserve">recommends </w:t>
      </w:r>
      <w:r>
        <w:t>caution in removing outliers from the sample because a normal distribution curve assumes a certain percentage of outliers and the exercise in identify</w:t>
      </w:r>
      <w:r w:rsidR="00F95AC8">
        <w:t>ing</w:t>
      </w:r>
      <w:r>
        <w:t xml:space="preserve"> outliers is model-specific. This point is </w:t>
      </w:r>
      <w:r w:rsidR="00222197">
        <w:t>rei</w:t>
      </w:r>
      <w:r w:rsidR="00991F73">
        <w:t>nforced by the fact that Economic Insights has already undertaken a process for identifying outliers using the DAA model specification which highlighted a number of outliers</w:t>
      </w:r>
      <w:r w:rsidR="000A5939">
        <w:t>. In this process the ACCC contacted the data providers to clarify if the outliers identified by Economic Insights were data errors</w:t>
      </w:r>
      <w:r w:rsidR="00991F73">
        <w:t>.</w:t>
      </w:r>
      <w:r w:rsidR="000A5939">
        <w:t xml:space="preserve"> During this process the ACCC took the view that </w:t>
      </w:r>
      <w:r w:rsidR="002D3207">
        <w:t>only incorrect data should be removed</w:t>
      </w:r>
      <w:r w:rsidR="00C56A07">
        <w:t xml:space="preserve"> and</w:t>
      </w:r>
      <w:r w:rsidR="002D3207">
        <w:t xml:space="preserve"> </w:t>
      </w:r>
      <w:r w:rsidR="000A5939">
        <w:t>legitimate contracts shou</w:t>
      </w:r>
      <w:r w:rsidR="00C77684">
        <w:t>ld not be removed from the data</w:t>
      </w:r>
      <w:r w:rsidR="000A5939">
        <w:t xml:space="preserve">set. In its recent report, </w:t>
      </w:r>
      <w:r w:rsidR="00654308">
        <w:t>E</w:t>
      </w:r>
      <w:r w:rsidR="00F95AC8">
        <w:t xml:space="preserve">conomic </w:t>
      </w:r>
      <w:r w:rsidR="00654308">
        <w:t>I</w:t>
      </w:r>
      <w:r w:rsidR="00F95AC8">
        <w:t>nsight</w:t>
      </w:r>
      <w:r w:rsidR="00654308">
        <w:t>s</w:t>
      </w:r>
      <w:r w:rsidR="000A5939">
        <w:t xml:space="preserve"> express</w:t>
      </w:r>
      <w:r w:rsidR="00222197">
        <w:t>es</w:t>
      </w:r>
      <w:r w:rsidR="000A5939">
        <w:t xml:space="preserve"> a similar view</w:t>
      </w:r>
      <w:r w:rsidR="00F95AC8">
        <w:t>,</w:t>
      </w:r>
      <w:r w:rsidR="00654308">
        <w:t xml:space="preserve"> </w:t>
      </w:r>
      <w:r w:rsidR="000A5939">
        <w:t xml:space="preserve">noting that </w:t>
      </w:r>
      <w:r w:rsidR="00654308">
        <w:t>outliers should not be removed unless it is likely that the outlier reflects a data error or does not contain relevant information.</w:t>
      </w:r>
      <w:r w:rsidR="009228CA">
        <w:t xml:space="preserve"> </w:t>
      </w:r>
    </w:p>
    <w:p w:rsidR="00EE0B08" w:rsidRDefault="00171E1D" w:rsidP="00654308">
      <w:r>
        <w:t xml:space="preserve">CEG </w:t>
      </w:r>
      <w:r w:rsidR="00041C95">
        <w:t xml:space="preserve">stated </w:t>
      </w:r>
      <w:r w:rsidR="00EE0B08">
        <w:t xml:space="preserve">that R, a </w:t>
      </w:r>
      <w:r w:rsidR="00EE0B08" w:rsidRPr="00EE0B08">
        <w:t xml:space="preserve">user-written </w:t>
      </w:r>
      <w:r w:rsidR="00EE0B08">
        <w:t xml:space="preserve">statistical </w:t>
      </w:r>
      <w:r w:rsidR="00EE0B08" w:rsidRPr="00EE0B08">
        <w:t>package</w:t>
      </w:r>
      <w:r w:rsidR="00EE0B08">
        <w:t xml:space="preserve">, </w:t>
      </w:r>
      <w:r>
        <w:t xml:space="preserve">could be used to conduct a </w:t>
      </w:r>
      <w:r w:rsidRPr="00171E1D">
        <w:t>robust estimation of the random effects model</w:t>
      </w:r>
      <w:r>
        <w:t>.</w:t>
      </w:r>
      <w:r>
        <w:rPr>
          <w:rStyle w:val="FootnoteReference"/>
        </w:rPr>
        <w:footnoteReference w:id="33"/>
      </w:r>
      <w:r w:rsidR="00804AA0">
        <w:t xml:space="preserve"> </w:t>
      </w:r>
      <w:r w:rsidR="00033D79">
        <w:t>Robust regression techniques use algorithm</w:t>
      </w:r>
      <w:r w:rsidR="00990C41">
        <w:t>s</w:t>
      </w:r>
      <w:r w:rsidR="00033D79">
        <w:t xml:space="preserve"> to </w:t>
      </w:r>
      <w:r w:rsidR="00F043A6">
        <w:t>iteratively</w:t>
      </w:r>
      <w:r w:rsidR="00033D79">
        <w:t xml:space="preserve"> down-weight or remove </w:t>
      </w:r>
      <w:r w:rsidR="00F043A6">
        <w:t>highly influential outlying observations</w:t>
      </w:r>
      <w:r w:rsidR="00033D79">
        <w:t>.</w:t>
      </w:r>
      <w:r w:rsidR="008C70BD">
        <w:t xml:space="preserve"> </w:t>
      </w:r>
      <w:r w:rsidR="00804AA0">
        <w:t>Economic Insights used these estimation techniques to estimate a regression model robust against possible outliers</w:t>
      </w:r>
      <w:r w:rsidR="008C70BD">
        <w:t xml:space="preserve">. </w:t>
      </w:r>
    </w:p>
    <w:p w:rsidR="00654308" w:rsidRDefault="00D61EA3" w:rsidP="00633988">
      <w:r>
        <w:rPr>
          <w:szCs w:val="20"/>
        </w:rPr>
        <w:t xml:space="preserve">Economic Insights’ </w:t>
      </w:r>
      <w:r w:rsidR="00633988">
        <w:t xml:space="preserve">analysis is set out in </w:t>
      </w:r>
      <w:r w:rsidR="00654308">
        <w:t xml:space="preserve">Chapter </w:t>
      </w:r>
      <w:r w:rsidR="00435028">
        <w:t xml:space="preserve">3 </w:t>
      </w:r>
      <w:r w:rsidR="00654308">
        <w:t>of its report.</w:t>
      </w:r>
    </w:p>
    <w:p w:rsidR="00654308" w:rsidRDefault="00654308" w:rsidP="000E6BEB">
      <w:pPr>
        <w:pStyle w:val="HeadingLevel5"/>
      </w:pPr>
      <w:r>
        <w:t xml:space="preserve">Questions </w:t>
      </w:r>
    </w:p>
    <w:p w:rsidR="00654308" w:rsidRDefault="00654308" w:rsidP="00097BBC">
      <w:pPr>
        <w:pStyle w:val="Bullets"/>
        <w:numPr>
          <w:ilvl w:val="0"/>
          <w:numId w:val="75"/>
        </w:numPr>
      </w:pPr>
      <w:r>
        <w:t>Which approach, if any, should the ACCC adopt in dealing with outliers in the benchmarking dataset? Please provide detail</w:t>
      </w:r>
      <w:r w:rsidR="000E6BEB">
        <w:t>ed</w:t>
      </w:r>
      <w:r>
        <w:t xml:space="preserve"> </w:t>
      </w:r>
      <w:r w:rsidR="00460999">
        <w:t>reasoning</w:t>
      </w:r>
      <w:r>
        <w:t>.</w:t>
      </w:r>
    </w:p>
    <w:p w:rsidR="00654308" w:rsidRDefault="00654308" w:rsidP="00222504"/>
    <w:p w:rsidR="00094693" w:rsidRDefault="00222504" w:rsidP="000E6BEB">
      <w:pPr>
        <w:pStyle w:val="HeadingLevel3"/>
      </w:pPr>
      <w:r>
        <w:t>2</w:t>
      </w:r>
      <w:r w:rsidR="00F95AC8">
        <w:t xml:space="preserve"> </w:t>
      </w:r>
      <w:r>
        <w:t>Mbps Service Issues</w:t>
      </w:r>
    </w:p>
    <w:p w:rsidR="006261C3" w:rsidRPr="006261C3" w:rsidRDefault="006261C3" w:rsidP="006261C3">
      <w:pPr>
        <w:rPr>
          <w:szCs w:val="20"/>
        </w:rPr>
      </w:pPr>
      <w:r w:rsidRPr="006261C3">
        <w:rPr>
          <w:szCs w:val="20"/>
        </w:rPr>
        <w:t xml:space="preserve">As noted above, after correcting for the inconsistent application of GST, the base model in Economic Insights’ additional advice to the ACCC </w:t>
      </w:r>
      <w:r w:rsidR="00222197">
        <w:rPr>
          <w:szCs w:val="20"/>
        </w:rPr>
        <w:t>generates</w:t>
      </w:r>
      <w:r w:rsidRPr="006261C3">
        <w:rPr>
          <w:szCs w:val="20"/>
        </w:rPr>
        <w:t xml:space="preserve"> lower </w:t>
      </w:r>
      <w:r w:rsidR="00222197">
        <w:rPr>
          <w:szCs w:val="20"/>
        </w:rPr>
        <w:t xml:space="preserve">prices </w:t>
      </w:r>
      <w:r w:rsidRPr="006261C3">
        <w:rPr>
          <w:szCs w:val="20"/>
        </w:rPr>
        <w:t xml:space="preserve">than the 2012 DTCS FAD model for all market segments. This addresses the concern that the draft FAD will </w:t>
      </w:r>
      <w:r w:rsidRPr="006261C3">
        <w:rPr>
          <w:szCs w:val="20"/>
        </w:rPr>
        <w:lastRenderedPageBreak/>
        <w:t xml:space="preserve">increase the regulated price for some market segments. As a result, each of the models proposed by Economic Insights in its additional advice to the ACCC predicts prices lower than the 2012 DTCS FAD model for </w:t>
      </w:r>
      <w:r w:rsidR="00C34134">
        <w:rPr>
          <w:szCs w:val="20"/>
        </w:rPr>
        <w:t xml:space="preserve">2 Mbps </w:t>
      </w:r>
      <w:r w:rsidRPr="006261C3">
        <w:rPr>
          <w:szCs w:val="20"/>
        </w:rPr>
        <w:t>services.</w:t>
      </w:r>
    </w:p>
    <w:p w:rsidR="00094693" w:rsidRDefault="006261C3" w:rsidP="00F1586A">
      <w:r w:rsidRPr="006261C3">
        <w:rPr>
          <w:szCs w:val="20"/>
        </w:rPr>
        <w:t>However, to address Optus’ point that contracts less than 2.5 Mbps make up a different part of the market Economic Insights conducted further analysis to allow prices for low capacity</w:t>
      </w:r>
      <w:r w:rsidR="00603677">
        <w:rPr>
          <w:szCs w:val="20"/>
        </w:rPr>
        <w:t>, short distance</w:t>
      </w:r>
      <w:r w:rsidRPr="006261C3">
        <w:rPr>
          <w:szCs w:val="20"/>
        </w:rPr>
        <w:t xml:space="preserve"> services to be calculated differently </w:t>
      </w:r>
      <w:r w:rsidR="00222197">
        <w:rPr>
          <w:szCs w:val="20"/>
        </w:rPr>
        <w:t>from</w:t>
      </w:r>
      <w:r w:rsidR="00222197" w:rsidRPr="006261C3">
        <w:rPr>
          <w:szCs w:val="20"/>
        </w:rPr>
        <w:t xml:space="preserve"> </w:t>
      </w:r>
      <w:r w:rsidRPr="006261C3">
        <w:rPr>
          <w:szCs w:val="20"/>
        </w:rPr>
        <w:t>high capacity services.</w:t>
      </w:r>
      <w:r>
        <w:rPr>
          <w:szCs w:val="20"/>
        </w:rPr>
        <w:t xml:space="preserve"> The three options examined by Economic Insights</w:t>
      </w:r>
      <w:r>
        <w:t xml:space="preserve"> </w:t>
      </w:r>
      <w:r w:rsidR="00535AF1">
        <w:t>were to</w:t>
      </w:r>
      <w:r w:rsidR="00094693">
        <w:t>:</w:t>
      </w:r>
    </w:p>
    <w:p w:rsidR="00094693" w:rsidRDefault="00535AF1" w:rsidP="004B1A03">
      <w:pPr>
        <w:pStyle w:val="ListBullet3"/>
        <w:numPr>
          <w:ilvl w:val="0"/>
          <w:numId w:val="52"/>
        </w:numPr>
        <w:spacing w:before="120" w:after="0"/>
        <w:ind w:left="709"/>
        <w:contextualSpacing w:val="0"/>
      </w:pPr>
      <w:proofErr w:type="gramStart"/>
      <w:r>
        <w:t>split</w:t>
      </w:r>
      <w:proofErr w:type="gramEnd"/>
      <w:r>
        <w:t xml:space="preserve"> t</w:t>
      </w:r>
      <w:r w:rsidR="00F95AC8">
        <w:t xml:space="preserve">he data into two </w:t>
      </w:r>
      <w:r w:rsidR="00C77684">
        <w:t xml:space="preserve">subsamples; </w:t>
      </w:r>
      <w:r w:rsidR="00F95AC8">
        <w:t>one dataset for services less than 2.5 M</w:t>
      </w:r>
      <w:r>
        <w:t>bps</w:t>
      </w:r>
      <w:r w:rsidR="00F95AC8">
        <w:t xml:space="preserve"> and less than 5km and one data</w:t>
      </w:r>
      <w:r>
        <w:t xml:space="preserve">set </w:t>
      </w:r>
      <w:r w:rsidR="00F95AC8">
        <w:t>with services greater than 2.5 M</w:t>
      </w:r>
      <w:r>
        <w:t>bps and 5km</w:t>
      </w:r>
      <w:r w:rsidR="00875ECA">
        <w:t xml:space="preserve"> and re-estim</w:t>
      </w:r>
      <w:r w:rsidR="00F95AC8">
        <w:t xml:space="preserve">ate the base model on each </w:t>
      </w:r>
      <w:r w:rsidR="004B1A03">
        <w:t>subsample</w:t>
      </w:r>
      <w:r w:rsidR="00F95AC8">
        <w:t xml:space="preserve">. </w:t>
      </w:r>
      <w:r w:rsidR="004B1A03">
        <w:t xml:space="preserve">However, </w:t>
      </w:r>
      <w:r w:rsidR="00F144EA" w:rsidRPr="00664737">
        <w:t>the</w:t>
      </w:r>
      <w:r w:rsidR="00664737" w:rsidRPr="00664737">
        <w:t xml:space="preserve"> subsample of services less than 2.5 Mbps and 5 km had insufficient variability to estimate a regression model due to the homogenous nature of the subsample. E</w:t>
      </w:r>
      <w:r w:rsidR="00222197">
        <w:t xml:space="preserve">conomic </w:t>
      </w:r>
      <w:r w:rsidR="00664737" w:rsidRPr="00664737">
        <w:t>I</w:t>
      </w:r>
      <w:r w:rsidR="00222197">
        <w:t>nsights</w:t>
      </w:r>
      <w:r w:rsidR="00664737" w:rsidRPr="00664737">
        <w:t xml:space="preserve"> therefore used the average price of services less than 2.5 Mbps and 5km as the best estimate of prices for this subsample</w:t>
      </w:r>
    </w:p>
    <w:p w:rsidR="00094693" w:rsidRDefault="00875ECA" w:rsidP="0007675F">
      <w:pPr>
        <w:pStyle w:val="ListBullet3"/>
        <w:numPr>
          <w:ilvl w:val="0"/>
          <w:numId w:val="52"/>
        </w:numPr>
        <w:spacing w:before="120" w:after="0"/>
        <w:ind w:left="709"/>
        <w:contextualSpacing w:val="0"/>
      </w:pPr>
      <w:r>
        <w:t xml:space="preserve">introduce an </w:t>
      </w:r>
      <w:r w:rsidR="00094693">
        <w:t xml:space="preserve">indicator or dummy variable for </w:t>
      </w:r>
      <w:r w:rsidR="00F95AC8">
        <w:t>services less than 2</w:t>
      </w:r>
      <w:r w:rsidR="00C34134">
        <w:t>.5</w:t>
      </w:r>
      <w:r w:rsidR="00F95AC8">
        <w:t xml:space="preserve"> M</w:t>
      </w:r>
      <w:r>
        <w:t>bps and less than 5km</w:t>
      </w:r>
      <w:r w:rsidR="00152CFA">
        <w:t xml:space="preserve"> that essential</w:t>
      </w:r>
      <w:r w:rsidR="00222197">
        <w:t>ly</w:t>
      </w:r>
      <w:r w:rsidR="00152CFA">
        <w:t xml:space="preserve"> acts as a discounting factor for these services</w:t>
      </w:r>
      <w:r w:rsidR="00094693">
        <w:t xml:space="preserve">, and  </w:t>
      </w:r>
    </w:p>
    <w:p w:rsidR="00094693" w:rsidRDefault="00875ECA" w:rsidP="005B12CC">
      <w:pPr>
        <w:pStyle w:val="ListBullet3"/>
        <w:numPr>
          <w:ilvl w:val="0"/>
          <w:numId w:val="52"/>
        </w:numPr>
        <w:spacing w:before="120"/>
        <w:ind w:left="709" w:hanging="357"/>
        <w:contextualSpacing w:val="0"/>
      </w:pPr>
      <w:proofErr w:type="gramStart"/>
      <w:r>
        <w:t>develop</w:t>
      </w:r>
      <w:proofErr w:type="gramEnd"/>
      <w:r>
        <w:t xml:space="preserve"> </w:t>
      </w:r>
      <w:r w:rsidR="00094693">
        <w:t xml:space="preserve">a ‘piecewise regression model’ </w:t>
      </w:r>
      <w:r>
        <w:t>th</w:t>
      </w:r>
      <w:r w:rsidR="00F95AC8">
        <w:t>at allows services less than 2</w:t>
      </w:r>
      <w:r w:rsidR="00C34134">
        <w:t>.5</w:t>
      </w:r>
      <w:r w:rsidR="00F95AC8">
        <w:t xml:space="preserve"> M</w:t>
      </w:r>
      <w:r>
        <w:t>bps to have different coefficient</w:t>
      </w:r>
      <w:r w:rsidR="00F95AC8">
        <w:t xml:space="preserve">s </w:t>
      </w:r>
      <w:r w:rsidR="00AC6431">
        <w:t xml:space="preserve">from </w:t>
      </w:r>
      <w:r w:rsidR="00F95AC8">
        <w:t>services greater than 2</w:t>
      </w:r>
      <w:r w:rsidR="00C34134">
        <w:t>.5</w:t>
      </w:r>
      <w:r w:rsidR="00F95AC8">
        <w:t xml:space="preserve"> M</w:t>
      </w:r>
      <w:r>
        <w:t xml:space="preserve">bps for </w:t>
      </w:r>
      <w:r w:rsidR="00AC6431">
        <w:t xml:space="preserve">the </w:t>
      </w:r>
      <w:r w:rsidR="00573C00">
        <w:t>same</w:t>
      </w:r>
      <w:r>
        <w:t xml:space="preserve"> explanatory variables</w:t>
      </w:r>
      <w:r w:rsidR="00094693">
        <w:t>.</w:t>
      </w:r>
    </w:p>
    <w:p w:rsidR="000750D1" w:rsidRPr="00C56A07" w:rsidRDefault="000750D1" w:rsidP="00F1586A">
      <w:pPr>
        <w:rPr>
          <w:szCs w:val="20"/>
        </w:rPr>
      </w:pPr>
      <w:r w:rsidRPr="00E55F29">
        <w:rPr>
          <w:szCs w:val="20"/>
        </w:rPr>
        <w:t xml:space="preserve">The ACCC considers that </w:t>
      </w:r>
      <w:r w:rsidR="00603677">
        <w:rPr>
          <w:szCs w:val="20"/>
        </w:rPr>
        <w:t xml:space="preserve">the </w:t>
      </w:r>
      <w:r w:rsidRPr="00E55F29">
        <w:rPr>
          <w:szCs w:val="20"/>
        </w:rPr>
        <w:t>appropriate criteria for selecting a model to price regulated routes</w:t>
      </w:r>
      <w:r w:rsidR="00603677">
        <w:rPr>
          <w:szCs w:val="20"/>
        </w:rPr>
        <w:t xml:space="preserve"> include that the model</w:t>
      </w:r>
      <w:r w:rsidRPr="00E55F29">
        <w:rPr>
          <w:szCs w:val="20"/>
        </w:rPr>
        <w:t>:</w:t>
      </w:r>
    </w:p>
    <w:p w:rsidR="000750D1" w:rsidRDefault="00DD1988" w:rsidP="00C02633">
      <w:pPr>
        <w:pStyle w:val="ListParagraph"/>
        <w:numPr>
          <w:ilvl w:val="0"/>
          <w:numId w:val="77"/>
        </w:numPr>
        <w:spacing w:before="120" w:after="0"/>
        <w:contextualSpacing w:val="0"/>
      </w:pPr>
      <w:r>
        <w:t xml:space="preserve">predicts </w:t>
      </w:r>
      <w:r w:rsidR="000750D1">
        <w:t xml:space="preserve">prices close to </w:t>
      </w:r>
      <w:r w:rsidR="000E6BEB">
        <w:t xml:space="preserve">or reflective of commercial </w:t>
      </w:r>
      <w:r w:rsidR="000750D1">
        <w:t>prices on competitive/deregulated routes from whi</w:t>
      </w:r>
      <w:r w:rsidR="00B9141F">
        <w:t>ch the model has been estimated</w:t>
      </w:r>
    </w:p>
    <w:p w:rsidR="000750D1" w:rsidRDefault="00A65DDF" w:rsidP="00C02633">
      <w:pPr>
        <w:pStyle w:val="ListParagraph"/>
        <w:numPr>
          <w:ilvl w:val="0"/>
          <w:numId w:val="77"/>
        </w:numPr>
        <w:spacing w:before="120" w:after="0"/>
        <w:contextualSpacing w:val="0"/>
      </w:pPr>
      <w:r>
        <w:t>has</w:t>
      </w:r>
      <w:r w:rsidR="000750D1">
        <w:t xml:space="preserve"> good </w:t>
      </w:r>
      <w:r>
        <w:t xml:space="preserve">in-sample and out-of-sample </w:t>
      </w:r>
      <w:r w:rsidR="000750D1">
        <w:t xml:space="preserve">goodness-of-fit </w:t>
      </w:r>
      <w:r>
        <w:t xml:space="preserve">consistent with the </w:t>
      </w:r>
      <w:r w:rsidR="00DE14DE">
        <w:t>previous</w:t>
      </w:r>
      <w:r>
        <w:t xml:space="preserve"> point that the regulated price should reflect </w:t>
      </w:r>
      <w:r w:rsidR="00174A66">
        <w:t>commercially</w:t>
      </w:r>
      <w:r>
        <w:t xml:space="preserve"> negotiated prices</w:t>
      </w:r>
      <w:r w:rsidR="00C77684">
        <w:t>, and</w:t>
      </w:r>
    </w:p>
    <w:p w:rsidR="00DE14DE" w:rsidRPr="00380D1D" w:rsidRDefault="00DE14DE" w:rsidP="00C02633">
      <w:pPr>
        <w:pStyle w:val="ListParagraph"/>
        <w:numPr>
          <w:ilvl w:val="0"/>
          <w:numId w:val="77"/>
        </w:numPr>
        <w:spacing w:before="120"/>
        <w:contextualSpacing w:val="0"/>
      </w:pPr>
      <w:proofErr w:type="gramStart"/>
      <w:r>
        <w:t>is</w:t>
      </w:r>
      <w:proofErr w:type="gramEnd"/>
      <w:r>
        <w:t xml:space="preserve"> simple enough to be used as a pricing model to set the regulated price on regulated routes.</w:t>
      </w:r>
    </w:p>
    <w:p w:rsidR="00AA66E1" w:rsidRPr="00AA66E1" w:rsidRDefault="00D61EA3" w:rsidP="00584101">
      <w:r>
        <w:rPr>
          <w:szCs w:val="20"/>
        </w:rPr>
        <w:t xml:space="preserve">Economic Insights’ </w:t>
      </w:r>
      <w:r w:rsidR="0007675F">
        <w:t xml:space="preserve">findings are </w:t>
      </w:r>
      <w:r w:rsidR="00222504">
        <w:t xml:space="preserve">discussed at Chapter </w:t>
      </w:r>
      <w:r w:rsidR="00201A35">
        <w:t>4</w:t>
      </w:r>
      <w:r w:rsidR="00222504">
        <w:t xml:space="preserve"> of its report</w:t>
      </w:r>
      <w:r w:rsidR="0007675F">
        <w:t xml:space="preserve">. </w:t>
      </w:r>
    </w:p>
    <w:p w:rsidR="00222504" w:rsidRDefault="00222504" w:rsidP="00C56A07">
      <w:pPr>
        <w:pStyle w:val="HeadingLevel5"/>
      </w:pPr>
      <w:r>
        <w:t xml:space="preserve">Questions </w:t>
      </w:r>
    </w:p>
    <w:p w:rsidR="00DB2ACC" w:rsidRDefault="00FB4948" w:rsidP="00097BBC">
      <w:pPr>
        <w:pStyle w:val="Bullets"/>
        <w:numPr>
          <w:ilvl w:val="0"/>
          <w:numId w:val="76"/>
        </w:numPr>
      </w:pPr>
      <w:r>
        <w:t>Which options, if any, should the ACCC adopt in addressing the 2</w:t>
      </w:r>
      <w:r w:rsidR="00F95AC8">
        <w:t xml:space="preserve"> </w:t>
      </w:r>
      <w:r>
        <w:t>Mbps pricing issues? Please provide detail</w:t>
      </w:r>
      <w:r w:rsidR="00AC6431">
        <w:t>s of</w:t>
      </w:r>
      <w:r>
        <w:t xml:space="preserve"> </w:t>
      </w:r>
      <w:r w:rsidR="00603677">
        <w:t xml:space="preserve">why these </w:t>
      </w:r>
      <w:r>
        <w:t>options</w:t>
      </w:r>
      <w:r w:rsidR="00603677">
        <w:t xml:space="preserve"> are preferable</w:t>
      </w:r>
      <w:r>
        <w:t>.</w:t>
      </w:r>
    </w:p>
    <w:p w:rsidR="00243719" w:rsidRDefault="00243719" w:rsidP="00097BBC">
      <w:pPr>
        <w:pStyle w:val="Bullets"/>
        <w:numPr>
          <w:ilvl w:val="0"/>
          <w:numId w:val="76"/>
        </w:numPr>
      </w:pPr>
      <w:r>
        <w:t>Should the ACCC consider using commercial pricing as a price ceiling</w:t>
      </w:r>
      <w:r w:rsidR="00A658D2">
        <w:t>?</w:t>
      </w:r>
    </w:p>
    <w:p w:rsidR="00AA66E1" w:rsidRPr="00316E0D" w:rsidRDefault="00AA66E1" w:rsidP="00AA66E1">
      <w:pPr>
        <w:pStyle w:val="ListBullet3"/>
        <w:numPr>
          <w:ilvl w:val="0"/>
          <w:numId w:val="0"/>
        </w:numPr>
        <w:spacing w:before="120" w:after="0"/>
        <w:ind w:left="720"/>
        <w:contextualSpacing w:val="0"/>
      </w:pPr>
    </w:p>
    <w:p w:rsidR="00AA66E1" w:rsidRDefault="00AA66E1" w:rsidP="000E6BEB">
      <w:pPr>
        <w:pStyle w:val="HeadingLevel3"/>
      </w:pPr>
      <w:r w:rsidRPr="0002544C">
        <w:t xml:space="preserve">Stochastic Frontier Analysis </w:t>
      </w:r>
      <w:r w:rsidR="00D61EA3">
        <w:t>method</w:t>
      </w:r>
    </w:p>
    <w:p w:rsidR="000F2CD8" w:rsidRDefault="00391D93" w:rsidP="00AA66E1">
      <w:r>
        <w:t>Economic Insights</w:t>
      </w:r>
      <w:r w:rsidRPr="00391D93">
        <w:t xml:space="preserve"> </w:t>
      </w:r>
      <w:r w:rsidR="000F2CD8">
        <w:t xml:space="preserve">used </w:t>
      </w:r>
      <w:r w:rsidR="000F2CD8" w:rsidRPr="00391D93">
        <w:t xml:space="preserve">SFA techniques </w:t>
      </w:r>
      <w:r w:rsidR="000F2CD8">
        <w:t>to estimate</w:t>
      </w:r>
      <w:r w:rsidRPr="00391D93">
        <w:t xml:space="preserve"> </w:t>
      </w:r>
      <w:r>
        <w:t>a model on the deregulated</w:t>
      </w:r>
      <w:r w:rsidR="00C77684">
        <w:t xml:space="preserve"> data</w:t>
      </w:r>
      <w:r>
        <w:t xml:space="preserve">set </w:t>
      </w:r>
      <w:r w:rsidRPr="00391D93">
        <w:t xml:space="preserve">(including the </w:t>
      </w:r>
      <w:r>
        <w:t>Optus</w:t>
      </w:r>
      <w:r w:rsidR="00C509F3">
        <w:t xml:space="preserve"> </w:t>
      </w:r>
      <w:r w:rsidRPr="00391D93">
        <w:t xml:space="preserve">data). </w:t>
      </w:r>
      <w:r>
        <w:t>T</w:t>
      </w:r>
      <w:r w:rsidRPr="00391D93">
        <w:t>he SFA approach estimates the cost efficient frontier</w:t>
      </w:r>
      <w:r>
        <w:t>,</w:t>
      </w:r>
      <w:r w:rsidRPr="00391D93">
        <w:t xml:space="preserve"> </w:t>
      </w:r>
      <w:r>
        <w:t>r</w:t>
      </w:r>
      <w:r w:rsidRPr="00391D93">
        <w:t>ather than find</w:t>
      </w:r>
      <w:r w:rsidR="00C77684">
        <w:t>ing</w:t>
      </w:r>
      <w:r w:rsidRPr="00391D93">
        <w:t xml:space="preserve"> the average price </w:t>
      </w:r>
      <w:r w:rsidR="00AC6431">
        <w:t>such as in</w:t>
      </w:r>
      <w:r w:rsidR="00AC6431" w:rsidRPr="00391D93">
        <w:t xml:space="preserve"> </w:t>
      </w:r>
      <w:r w:rsidRPr="00391D93">
        <w:t>most traditional regression models</w:t>
      </w:r>
      <w:r>
        <w:t>. Using</w:t>
      </w:r>
      <w:r w:rsidR="00C77684">
        <w:t xml:space="preserve"> the</w:t>
      </w:r>
      <w:r>
        <w:t xml:space="preserve"> SFA</w:t>
      </w:r>
      <w:r w:rsidR="00C77684">
        <w:t xml:space="preserve"> method,</w:t>
      </w:r>
      <w:r>
        <w:t xml:space="preserve"> </w:t>
      </w:r>
      <w:r w:rsidRPr="00391D93">
        <w:t xml:space="preserve">any </w:t>
      </w:r>
      <w:r>
        <w:t>positive disturbances from</w:t>
      </w:r>
      <w:r w:rsidRPr="00391D93">
        <w:t xml:space="preserve"> this frontier </w:t>
      </w:r>
      <w:r>
        <w:t>are interpreted as being due to i</w:t>
      </w:r>
      <w:r w:rsidRPr="00391D93">
        <w:t>nefficient</w:t>
      </w:r>
      <w:r>
        <w:t xml:space="preserve"> pricing</w:t>
      </w:r>
      <w:r w:rsidRPr="00391D93">
        <w:t xml:space="preserve"> or </w:t>
      </w:r>
      <w:r w:rsidR="004B78AC">
        <w:t>residual</w:t>
      </w:r>
      <w:r w:rsidR="004B78AC" w:rsidRPr="00391D93">
        <w:t xml:space="preserve"> </w:t>
      </w:r>
      <w:r w:rsidR="00AC6431">
        <w:t>market</w:t>
      </w:r>
      <w:r w:rsidR="00AC6431" w:rsidRPr="00391D93">
        <w:t xml:space="preserve"> </w:t>
      </w:r>
      <w:r w:rsidRPr="00391D93">
        <w:t xml:space="preserve">power. </w:t>
      </w:r>
    </w:p>
    <w:p w:rsidR="00AA66E1" w:rsidRDefault="000F2CD8" w:rsidP="00AA66E1">
      <w:r w:rsidRPr="005B12CC">
        <w:t xml:space="preserve">The SFA model cannot be interpreted using the criteria set out </w:t>
      </w:r>
      <w:r w:rsidR="00C509F3" w:rsidRPr="005B12CC">
        <w:t xml:space="preserve">in Section 3.2.3 </w:t>
      </w:r>
      <w:r w:rsidRPr="005B12CC">
        <w:t>above</w:t>
      </w:r>
      <w:r>
        <w:t xml:space="preserve"> because it assumes </w:t>
      </w:r>
      <w:r w:rsidR="00852B1B">
        <w:t>that any</w:t>
      </w:r>
      <w:r>
        <w:t xml:space="preserve"> negative out-of-sample forecast bias </w:t>
      </w:r>
      <w:r w:rsidR="00852B1B">
        <w:t xml:space="preserve">is </w:t>
      </w:r>
      <w:r>
        <w:t>due to inefficient pric</w:t>
      </w:r>
      <w:r w:rsidR="004C2FEA">
        <w:t>ing</w:t>
      </w:r>
      <w:r w:rsidR="00C77684">
        <w:t xml:space="preserve"> in the data</w:t>
      </w:r>
      <w:r>
        <w:t>set.</w:t>
      </w:r>
      <w:r w:rsidR="00391D93" w:rsidRPr="00391D93">
        <w:t xml:space="preserve"> The choice to use this approach </w:t>
      </w:r>
      <w:r w:rsidR="004C2FEA">
        <w:t xml:space="preserve">will </w:t>
      </w:r>
      <w:r w:rsidR="00391D93" w:rsidRPr="00391D93">
        <w:t>c</w:t>
      </w:r>
      <w:r w:rsidR="004C2FEA">
        <w:t>o</w:t>
      </w:r>
      <w:r w:rsidR="00391D93" w:rsidRPr="00391D93">
        <w:t>me down to economic arguments not statistical tests.</w:t>
      </w:r>
    </w:p>
    <w:p w:rsidR="000F2CD8" w:rsidRPr="00AA66E1" w:rsidRDefault="000F2CD8" w:rsidP="00AA66E1">
      <w:r>
        <w:t>Economic Insights</w:t>
      </w:r>
      <w:r w:rsidR="005F7740">
        <w:t>’</w:t>
      </w:r>
      <w:r>
        <w:t xml:space="preserve"> additional advice to the ACCC found that the SFA approach predicts prices that are on average 46 per cent lower than actual prices on competitive/deregulated routes.</w:t>
      </w:r>
      <w:r w:rsidR="004C2FEA">
        <w:t xml:space="preserve"> </w:t>
      </w:r>
      <w:r w:rsidR="004C2FEA">
        <w:lastRenderedPageBreak/>
        <w:t xml:space="preserve">Economic Insights </w:t>
      </w:r>
      <w:r w:rsidR="004C2FEA" w:rsidRPr="004C2FEA">
        <w:t>consider</w:t>
      </w:r>
      <w:r w:rsidR="00AC6431">
        <w:t>s</w:t>
      </w:r>
      <w:r w:rsidR="004C2FEA" w:rsidRPr="004C2FEA">
        <w:t xml:space="preserve"> that the findings support </w:t>
      </w:r>
      <w:r w:rsidR="00AC6431">
        <w:t xml:space="preserve">its </w:t>
      </w:r>
      <w:r w:rsidR="004C2FEA" w:rsidRPr="004C2FEA">
        <w:t xml:space="preserve">previous contention that the SFA model would predict lower prices than the random effects model because the unexplained variation in the data is attributed to inefficiency. </w:t>
      </w:r>
      <w:r w:rsidR="0028179F">
        <w:t>Economic Insights</w:t>
      </w:r>
      <w:r w:rsidR="004C2FEA" w:rsidRPr="004C2FEA">
        <w:t xml:space="preserve"> noted that, if this method was to be adopted</w:t>
      </w:r>
      <w:r w:rsidR="00C77684">
        <w:t>,</w:t>
      </w:r>
      <w:r w:rsidR="004C2FEA" w:rsidRPr="004C2FEA">
        <w:t xml:space="preserve"> the ACCC may need to apply a premium to ensure prices were sufficient to finance investment and allow for estimation uncertainty. </w:t>
      </w:r>
      <w:r w:rsidR="0028179F">
        <w:t>Economic Insights</w:t>
      </w:r>
      <w:r w:rsidR="004C2FEA" w:rsidRPr="004C2FEA">
        <w:t xml:space="preserve"> </w:t>
      </w:r>
      <w:r w:rsidR="00E55F29">
        <w:t>notes that this premium would need to be derived arbitrarily as there is no method for deriving it</w:t>
      </w:r>
      <w:r w:rsidR="004C2FEA" w:rsidRPr="004C2FEA">
        <w:t>.</w:t>
      </w:r>
    </w:p>
    <w:p w:rsidR="00BB7D3D" w:rsidRDefault="00D61EA3" w:rsidP="00BB7D3D">
      <w:r>
        <w:rPr>
          <w:szCs w:val="20"/>
        </w:rPr>
        <w:t xml:space="preserve">Economic Insights’ </w:t>
      </w:r>
      <w:r w:rsidR="00BB7D3D">
        <w:t xml:space="preserve">findings are discussed at Chapter </w:t>
      </w:r>
      <w:r w:rsidR="00201A35">
        <w:t>5</w:t>
      </w:r>
      <w:r w:rsidR="00BB7D3D">
        <w:t xml:space="preserve"> of its report.</w:t>
      </w:r>
    </w:p>
    <w:p w:rsidR="00AA66E1" w:rsidRDefault="00AA66E1" w:rsidP="000E6BEB">
      <w:pPr>
        <w:pStyle w:val="HeadingLevel5"/>
      </w:pPr>
      <w:r>
        <w:t xml:space="preserve">Questions </w:t>
      </w:r>
    </w:p>
    <w:p w:rsidR="00097BBC" w:rsidRPr="00AA66E1" w:rsidRDefault="00AA66E1" w:rsidP="00097BBC">
      <w:pPr>
        <w:pStyle w:val="Bullets"/>
        <w:numPr>
          <w:ilvl w:val="0"/>
          <w:numId w:val="76"/>
        </w:numPr>
      </w:pPr>
      <w:r>
        <w:t xml:space="preserve">Should the ACCC adopt the SFA method instead of the random effects model used </w:t>
      </w:r>
      <w:r w:rsidR="00BB7D3D">
        <w:t>as the benchmarking model in the</w:t>
      </w:r>
      <w:r>
        <w:t xml:space="preserve"> </w:t>
      </w:r>
      <w:r w:rsidR="00BB7D3D">
        <w:t>DTCS FAD</w:t>
      </w:r>
      <w:r>
        <w:t xml:space="preserve"> draft decision?</w:t>
      </w:r>
      <w:r w:rsidR="00BB7D3D">
        <w:t xml:space="preserve"> Please provide detail</w:t>
      </w:r>
      <w:r w:rsidR="00283281">
        <w:t>ed</w:t>
      </w:r>
      <w:r w:rsidR="00BB7D3D">
        <w:t xml:space="preserve"> reasons</w:t>
      </w:r>
      <w:r w:rsidR="00283281">
        <w:t xml:space="preserve"> including whether a premiu</w:t>
      </w:r>
      <w:r w:rsidR="004A39DD">
        <w:t>m should be applied to predict</w:t>
      </w:r>
      <w:r w:rsidR="00283281">
        <w:t xml:space="preserve"> frontier prices and how such a premium would be calculated</w:t>
      </w:r>
      <w:r w:rsidR="004A39DD">
        <w:t>.</w:t>
      </w:r>
    </w:p>
    <w:sectPr w:rsidR="00097BBC" w:rsidRPr="00AA66E1" w:rsidSect="009271D3">
      <w:footerReference w:type="default" r:id="rId13"/>
      <w:type w:val="continuous"/>
      <w:pgSz w:w="11906" w:h="16838"/>
      <w:pgMar w:top="1440" w:right="1729" w:bottom="1582" w:left="172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E1" w:rsidRDefault="00AA66E1" w:rsidP="00F01F5A">
      <w:pPr>
        <w:spacing w:after="0"/>
      </w:pPr>
      <w:r>
        <w:separator/>
      </w:r>
    </w:p>
    <w:p w:rsidR="00AA66E1" w:rsidRDefault="00AA66E1"/>
  </w:endnote>
  <w:endnote w:type="continuationSeparator" w:id="0">
    <w:p w:rsidR="00AA66E1" w:rsidRDefault="00AA66E1" w:rsidP="00F01F5A">
      <w:pPr>
        <w:spacing w:after="0"/>
      </w:pPr>
      <w:r>
        <w:continuationSeparator/>
      </w:r>
    </w:p>
    <w:p w:rsidR="00AA66E1" w:rsidRDefault="00AA6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E1" w:rsidRDefault="00AA66E1" w:rsidP="00BA5A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727"/>
      <w:docPartObj>
        <w:docPartGallery w:val="Page Numbers (Bottom of Page)"/>
        <w:docPartUnique/>
      </w:docPartObj>
    </w:sdtPr>
    <w:sdtEndPr>
      <w:rPr>
        <w:noProof/>
      </w:rPr>
    </w:sdtEndPr>
    <w:sdtContent>
      <w:p w:rsidR="00AA66E1" w:rsidRDefault="00AA66E1">
        <w:pPr>
          <w:pStyle w:val="Footer"/>
          <w:jc w:val="center"/>
        </w:pPr>
        <w:r>
          <w:fldChar w:fldCharType="begin"/>
        </w:r>
        <w:r>
          <w:instrText xml:space="preserve"> PAGE   \* MERGEFORMAT </w:instrText>
        </w:r>
        <w:r>
          <w:fldChar w:fldCharType="separate"/>
        </w:r>
        <w:r w:rsidR="0063016C">
          <w:rPr>
            <w:noProof/>
          </w:rPr>
          <w:t>2</w:t>
        </w:r>
        <w:r>
          <w:rPr>
            <w:noProof/>
          </w:rPr>
          <w:fldChar w:fldCharType="end"/>
        </w:r>
      </w:p>
    </w:sdtContent>
  </w:sdt>
  <w:p w:rsidR="00AA66E1" w:rsidRDefault="00AA66E1" w:rsidP="00BA5ACB">
    <w:pPr>
      <w:pStyle w:val="Footer"/>
      <w:jc w:val="right"/>
    </w:pPr>
  </w:p>
  <w:p w:rsidR="00AA66E1" w:rsidRDefault="00AA6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E1" w:rsidRDefault="00AA66E1" w:rsidP="003A5B4C">
      <w:pPr>
        <w:spacing w:after="0"/>
      </w:pPr>
      <w:r>
        <w:separator/>
      </w:r>
    </w:p>
  </w:footnote>
  <w:footnote w:type="continuationSeparator" w:id="0">
    <w:p w:rsidR="00AA66E1" w:rsidRDefault="00AA66E1" w:rsidP="00F01F5A">
      <w:pPr>
        <w:spacing w:after="0"/>
      </w:pPr>
      <w:r>
        <w:continuationSeparator/>
      </w:r>
    </w:p>
    <w:p w:rsidR="00AA66E1" w:rsidRDefault="00AA66E1"/>
  </w:footnote>
  <w:footnote w:id="1">
    <w:p w:rsidR="00AA66E1" w:rsidRPr="00F73CBF" w:rsidRDefault="00AA66E1" w:rsidP="00E50271">
      <w:pPr>
        <w:pStyle w:val="FootnoteText"/>
        <w:ind w:left="142" w:hanging="142"/>
        <w:rPr>
          <w:i/>
        </w:rPr>
      </w:pPr>
      <w:r>
        <w:rPr>
          <w:rStyle w:val="FootnoteReference"/>
        </w:rPr>
        <w:footnoteRef/>
      </w:r>
      <w:r>
        <w:t xml:space="preserve"> Optus and VHA, Letter to the ACCC: </w:t>
      </w:r>
      <w:r w:rsidR="009500AB">
        <w:rPr>
          <w:i/>
        </w:rPr>
        <w:t>A</w:t>
      </w:r>
      <w:r w:rsidRPr="00F73CBF">
        <w:rPr>
          <w:i/>
        </w:rPr>
        <w:t>dditional data for the DTCS benchmark dataset</w:t>
      </w:r>
      <w:r>
        <w:t>, 1 September 2015, p.1.</w:t>
      </w:r>
      <w:r w:rsidR="009500AB" w:rsidRPr="009500AB">
        <w:t xml:space="preserve"> </w:t>
      </w:r>
      <w:r w:rsidR="009500AB">
        <w:t>Optus,</w:t>
      </w:r>
      <w:r w:rsidR="009500AB" w:rsidRPr="00882112">
        <w:rPr>
          <w:i/>
        </w:rPr>
        <w:t xml:space="preserve"> </w:t>
      </w:r>
      <w:r w:rsidR="009500AB">
        <w:rPr>
          <w:i/>
        </w:rPr>
        <w:t>Submission in response to Domestic Transmission Capacity Service Final Access Determination – Draft Decision</w:t>
      </w:r>
      <w:r w:rsidR="009500AB">
        <w:t xml:space="preserve"> (Public version)</w:t>
      </w:r>
      <w:r w:rsidR="009500AB">
        <w:rPr>
          <w:i/>
        </w:rPr>
        <w:t xml:space="preserve"> </w:t>
      </w:r>
      <w:r w:rsidR="009500AB">
        <w:t>(Optus, submission to the ACCC DTCS FAD draft decision - public version), October 2015, p.36</w:t>
      </w:r>
      <w:r w:rsidR="005B12CC">
        <w:t>.</w:t>
      </w:r>
    </w:p>
  </w:footnote>
  <w:footnote w:id="2">
    <w:p w:rsidR="00AA66E1" w:rsidRDefault="00AA66E1" w:rsidP="009500AB">
      <w:pPr>
        <w:pStyle w:val="FootnoteText"/>
        <w:ind w:left="142" w:hanging="142"/>
      </w:pPr>
      <w:r>
        <w:rPr>
          <w:rStyle w:val="FootnoteReference"/>
        </w:rPr>
        <w:footnoteRef/>
      </w:r>
      <w:r>
        <w:t xml:space="preserve"> </w:t>
      </w:r>
      <w:r w:rsidR="009500AB">
        <w:rPr>
          <w:rFonts w:cs="Arial"/>
        </w:rPr>
        <w:t xml:space="preserve">VHA, </w:t>
      </w:r>
      <w:r w:rsidR="009500AB">
        <w:rPr>
          <w:rFonts w:cs="Arial"/>
          <w:i/>
        </w:rPr>
        <w:t>Final Access Determination: the domestic transmission capacity service, submission in response to the ACCC’s draft decision</w:t>
      </w:r>
      <w:r w:rsidR="009500AB">
        <w:rPr>
          <w:rFonts w:cs="Arial"/>
        </w:rPr>
        <w:t xml:space="preserve"> (Public version) </w:t>
      </w:r>
      <w:r w:rsidR="009500AB">
        <w:t>(VHA, submission to the ACCC DTCS FAD draft decision – public version)</w:t>
      </w:r>
      <w:r w:rsidR="00566EEB">
        <w:t>,</w:t>
      </w:r>
      <w:r w:rsidR="009500AB">
        <w:t xml:space="preserve"> 9 October 2015, p.2.</w:t>
      </w:r>
    </w:p>
  </w:footnote>
  <w:footnote w:id="3">
    <w:p w:rsidR="00AA66E1" w:rsidRDefault="00AA66E1" w:rsidP="009500AB">
      <w:pPr>
        <w:pStyle w:val="FootnoteText"/>
        <w:ind w:left="142" w:hanging="142"/>
      </w:pPr>
      <w:r>
        <w:rPr>
          <w:rStyle w:val="FootnoteReference"/>
        </w:rPr>
        <w:footnoteRef/>
      </w:r>
      <w:r>
        <w:t xml:space="preserve"> </w:t>
      </w:r>
      <w:proofErr w:type="gramStart"/>
      <w:r w:rsidR="009500AB" w:rsidRPr="001276D8">
        <w:rPr>
          <w:rFonts w:cs="Arial"/>
        </w:rPr>
        <w:t xml:space="preserve">Telstra Corporation Limited, </w:t>
      </w:r>
      <w:r w:rsidR="009500AB" w:rsidRPr="001276D8">
        <w:rPr>
          <w:rFonts w:cs="Arial"/>
          <w:i/>
        </w:rPr>
        <w:t>Submission to the Commission’s Draft Report on the Final Access Determination for the Domestic Transmission Capacity Service</w:t>
      </w:r>
      <w:r w:rsidR="009500AB" w:rsidRPr="001276D8">
        <w:rPr>
          <w:rFonts w:cs="Arial"/>
        </w:rPr>
        <w:t xml:space="preserve"> (Public version)</w:t>
      </w:r>
      <w:r w:rsidR="009500AB" w:rsidRPr="001276D8">
        <w:rPr>
          <w:rFonts w:cs="Arial"/>
          <w:szCs w:val="17"/>
        </w:rPr>
        <w:t xml:space="preserve"> (</w:t>
      </w:r>
      <w:r w:rsidR="009500AB" w:rsidRPr="001276D8">
        <w:rPr>
          <w:szCs w:val="17"/>
        </w:rPr>
        <w:t>Telstra, submission to ACCC DTCS FAD draft decision</w:t>
      </w:r>
      <w:r w:rsidR="009500AB">
        <w:rPr>
          <w:szCs w:val="17"/>
        </w:rPr>
        <w:t xml:space="preserve"> </w:t>
      </w:r>
      <w:r w:rsidR="009500AB" w:rsidRPr="001276D8">
        <w:rPr>
          <w:szCs w:val="17"/>
        </w:rPr>
        <w:t>- public version</w:t>
      </w:r>
      <w:r w:rsidR="009500AB" w:rsidRPr="001276D8">
        <w:rPr>
          <w:rFonts w:cs="Arial"/>
          <w:szCs w:val="17"/>
        </w:rPr>
        <w:t>),</w:t>
      </w:r>
      <w:r w:rsidR="009500AB" w:rsidRPr="001276D8">
        <w:rPr>
          <w:rFonts w:cs="Arial"/>
        </w:rPr>
        <w:t xml:space="preserve"> October </w:t>
      </w:r>
      <w:r w:rsidR="009500AB" w:rsidRPr="001276D8">
        <w:rPr>
          <w:rFonts w:cs="Arial"/>
          <w:szCs w:val="17"/>
        </w:rPr>
        <w:t>2015,</w:t>
      </w:r>
      <w:r w:rsidR="009500AB" w:rsidRPr="001276D8">
        <w:rPr>
          <w:szCs w:val="17"/>
        </w:rPr>
        <w:t xml:space="preserve"> pp.</w:t>
      </w:r>
      <w:r w:rsidR="00D16401">
        <w:rPr>
          <w:szCs w:val="17"/>
        </w:rPr>
        <w:t xml:space="preserve"> 4 &amp; </w:t>
      </w:r>
      <w:r w:rsidR="009500AB" w:rsidRPr="001276D8">
        <w:rPr>
          <w:szCs w:val="17"/>
        </w:rPr>
        <w:t>11-12.</w:t>
      </w:r>
      <w:proofErr w:type="gramEnd"/>
    </w:p>
  </w:footnote>
  <w:footnote w:id="4">
    <w:p w:rsidR="00AA66E1" w:rsidRPr="000A7641" w:rsidRDefault="00AA66E1" w:rsidP="009500AB">
      <w:pPr>
        <w:pStyle w:val="FootnoteText"/>
        <w:ind w:left="142" w:hanging="142"/>
      </w:pPr>
      <w:r>
        <w:rPr>
          <w:rStyle w:val="FootnoteReference"/>
        </w:rPr>
        <w:footnoteRef/>
      </w:r>
      <w:r>
        <w:t xml:space="preserve"> </w:t>
      </w:r>
      <w:r w:rsidR="009500AB" w:rsidRPr="001276D8">
        <w:rPr>
          <w:szCs w:val="17"/>
        </w:rPr>
        <w:t>Telstra, submission to ACCC DTCS FAD draft decision</w:t>
      </w:r>
      <w:r w:rsidR="009500AB">
        <w:rPr>
          <w:szCs w:val="17"/>
        </w:rPr>
        <w:t xml:space="preserve"> </w:t>
      </w:r>
      <w:r w:rsidR="009500AB" w:rsidRPr="001276D8">
        <w:rPr>
          <w:szCs w:val="17"/>
        </w:rPr>
        <w:t>- public version</w:t>
      </w:r>
      <w:r w:rsidR="00566EEB">
        <w:rPr>
          <w:szCs w:val="17"/>
        </w:rPr>
        <w:t>.</w:t>
      </w:r>
      <w:r w:rsidR="009500AB" w:rsidDel="006431AF">
        <w:t xml:space="preserve"> </w:t>
      </w:r>
      <w:proofErr w:type="gramStart"/>
      <w:r w:rsidR="009500AB">
        <w:t>p</w:t>
      </w:r>
      <w:r w:rsidR="00D16401">
        <w:t xml:space="preserve">p. </w:t>
      </w:r>
      <w:r w:rsidR="009500AB">
        <w:t>4</w:t>
      </w:r>
      <w:r w:rsidR="00D16401">
        <w:t xml:space="preserve"> &amp; 12</w:t>
      </w:r>
      <w:r w:rsidR="009500AB">
        <w:t>.</w:t>
      </w:r>
      <w:proofErr w:type="gramEnd"/>
    </w:p>
  </w:footnote>
  <w:footnote w:id="5">
    <w:p w:rsidR="00AA66E1" w:rsidRPr="000A7641" w:rsidRDefault="00AA66E1" w:rsidP="000A7641">
      <w:pPr>
        <w:pStyle w:val="FootnoteText"/>
        <w:ind w:left="142" w:hanging="142"/>
      </w:pPr>
      <w:r>
        <w:rPr>
          <w:rStyle w:val="FootnoteReference"/>
        </w:rPr>
        <w:footnoteRef/>
      </w:r>
      <w:r>
        <w:t xml:space="preserve"> </w:t>
      </w:r>
      <w:r w:rsidR="009500AB">
        <w:t>Optus, submission to the ACCC DTCS FAD draft decision - public version, p.36.</w:t>
      </w:r>
    </w:p>
  </w:footnote>
  <w:footnote w:id="6">
    <w:p w:rsidR="00AA66E1" w:rsidRPr="000A7641" w:rsidRDefault="00AA66E1" w:rsidP="009500AB">
      <w:pPr>
        <w:pStyle w:val="FootnoteText"/>
        <w:ind w:left="142" w:hanging="142"/>
        <w:rPr>
          <w:i/>
        </w:rPr>
      </w:pPr>
      <w:r w:rsidRPr="00813AC3">
        <w:rPr>
          <w:rStyle w:val="FootnoteReference"/>
        </w:rPr>
        <w:footnoteRef/>
      </w:r>
      <w:r w:rsidRPr="00813AC3">
        <w:t xml:space="preserve"> </w:t>
      </w:r>
      <w:r w:rsidR="009500AB" w:rsidRPr="00813AC3">
        <w:t>Telstra</w:t>
      </w:r>
      <w:r w:rsidR="009500AB">
        <w:t xml:space="preserve"> Corporation Limited</w:t>
      </w:r>
      <w:r w:rsidR="009500AB" w:rsidRPr="00813AC3">
        <w:t xml:space="preserve">, </w:t>
      </w:r>
      <w:r w:rsidR="009500AB" w:rsidRPr="00813AC3">
        <w:rPr>
          <w:i/>
        </w:rPr>
        <w:t>Further submission to the Draft Decision regarding the</w:t>
      </w:r>
      <w:r w:rsidR="009500AB">
        <w:rPr>
          <w:i/>
        </w:rPr>
        <w:t xml:space="preserve"> Final Access Determination</w:t>
      </w:r>
      <w:r w:rsidR="009500AB" w:rsidRPr="00813AC3">
        <w:rPr>
          <w:i/>
        </w:rPr>
        <w:t xml:space="preserve"> </w:t>
      </w:r>
      <w:r w:rsidR="009500AB">
        <w:rPr>
          <w:i/>
        </w:rPr>
        <w:t>(</w:t>
      </w:r>
      <w:r w:rsidR="009500AB" w:rsidRPr="00813AC3">
        <w:rPr>
          <w:i/>
        </w:rPr>
        <w:t>FAD</w:t>
      </w:r>
      <w:r w:rsidR="009500AB">
        <w:rPr>
          <w:i/>
        </w:rPr>
        <w:t>)</w:t>
      </w:r>
      <w:r w:rsidR="009500AB" w:rsidRPr="00813AC3">
        <w:rPr>
          <w:i/>
        </w:rPr>
        <w:t xml:space="preserve"> for the</w:t>
      </w:r>
      <w:r w:rsidR="009500AB">
        <w:rPr>
          <w:i/>
        </w:rPr>
        <w:t xml:space="preserve"> Domestic Transmission Capacity Service (</w:t>
      </w:r>
      <w:r w:rsidR="009500AB" w:rsidRPr="00813AC3">
        <w:rPr>
          <w:i/>
        </w:rPr>
        <w:t>DTCS</w:t>
      </w:r>
      <w:r w:rsidR="009500AB">
        <w:rPr>
          <w:i/>
        </w:rPr>
        <w:t>)</w:t>
      </w:r>
      <w:r w:rsidR="009500AB">
        <w:t>(Public version) (Telstra, further submission to the ACCC DTCS FAD draft decision – public version)</w:t>
      </w:r>
      <w:r w:rsidR="00566EEB">
        <w:t>,</w:t>
      </w:r>
      <w:r w:rsidR="009500AB">
        <w:t xml:space="preserve"> 6 November 2015,</w:t>
      </w:r>
      <w:r w:rsidR="009500AB" w:rsidRPr="00813AC3">
        <w:t xml:space="preserve"> pp.3-4.</w:t>
      </w:r>
    </w:p>
  </w:footnote>
  <w:footnote w:id="7">
    <w:p w:rsidR="00404D59" w:rsidRPr="00404D59" w:rsidRDefault="00404D59" w:rsidP="009500AB">
      <w:pPr>
        <w:pStyle w:val="FootnoteText"/>
        <w:ind w:left="142" w:hanging="142"/>
      </w:pPr>
      <w:r w:rsidRPr="009500AB">
        <w:rPr>
          <w:rStyle w:val="FootnoteReference"/>
        </w:rPr>
        <w:footnoteRef/>
      </w:r>
      <w:r w:rsidRPr="009500AB">
        <w:t xml:space="preserve"> </w:t>
      </w:r>
      <w:r w:rsidR="009500AB" w:rsidRPr="009500AB">
        <w:t>VHA,</w:t>
      </w:r>
      <w:r w:rsidR="009500AB" w:rsidRPr="009500AB">
        <w:rPr>
          <w:i/>
        </w:rPr>
        <w:t xml:space="preserve"> Final Access Determination: The Domestic Transmission Capacity Services, ACCC pricing inquiry,</w:t>
      </w:r>
      <w:r w:rsidR="009500AB" w:rsidRPr="009500AB">
        <w:t xml:space="preserve"> </w:t>
      </w:r>
      <w:r w:rsidR="009500AB" w:rsidRPr="009500AB">
        <w:rPr>
          <w:i/>
        </w:rPr>
        <w:t xml:space="preserve">Submission on the October expert reports of Professor Breusch and CEG </w:t>
      </w:r>
      <w:r w:rsidR="009500AB" w:rsidRPr="009500AB">
        <w:t>(</w:t>
      </w:r>
      <w:r w:rsidR="00D16401">
        <w:t xml:space="preserve">Public </w:t>
      </w:r>
      <w:r w:rsidR="009500AB" w:rsidRPr="00E10842">
        <w:t>version)</w:t>
      </w:r>
      <w:r w:rsidR="00566EEB">
        <w:t>,</w:t>
      </w:r>
      <w:r w:rsidR="009500AB" w:rsidRPr="009500AB">
        <w:rPr>
          <w:i/>
        </w:rPr>
        <w:t xml:space="preserve"> </w:t>
      </w:r>
      <w:r w:rsidR="00D16401">
        <w:t>2 December 2015, p. 2</w:t>
      </w:r>
      <w:r w:rsidR="009500AB" w:rsidRPr="009500AB">
        <w:t>.</w:t>
      </w:r>
    </w:p>
  </w:footnote>
  <w:footnote w:id="8">
    <w:p w:rsidR="00AA66E1" w:rsidRDefault="00AA66E1">
      <w:pPr>
        <w:pStyle w:val="FootnoteText"/>
      </w:pPr>
      <w:r>
        <w:rPr>
          <w:rStyle w:val="FootnoteReference"/>
        </w:rPr>
        <w:footnoteRef/>
      </w:r>
      <w:r>
        <w:t xml:space="preserve"> </w:t>
      </w:r>
      <w:r w:rsidR="009500AB">
        <w:t xml:space="preserve">Optus, </w:t>
      </w:r>
      <w:r w:rsidR="00DF609C">
        <w:t>s</w:t>
      </w:r>
      <w:r w:rsidR="009500AB">
        <w:t>ubmission to the ACCC DTCS FAD draft decision - confidential version, p.39.</w:t>
      </w:r>
    </w:p>
  </w:footnote>
  <w:footnote w:id="9">
    <w:p w:rsidR="00AA66E1" w:rsidRPr="009500AB" w:rsidRDefault="00AA66E1" w:rsidP="009500AB">
      <w:pPr>
        <w:spacing w:after="0"/>
        <w:ind w:left="142" w:hanging="142"/>
        <w:rPr>
          <w:rFonts w:cs="Arial"/>
        </w:rPr>
      </w:pPr>
      <w:r>
        <w:rPr>
          <w:rStyle w:val="FootnoteReference"/>
        </w:rPr>
        <w:footnoteRef/>
      </w:r>
      <w:r>
        <w:t xml:space="preserve"> </w:t>
      </w:r>
      <w:proofErr w:type="gramStart"/>
      <w:r w:rsidR="009500AB" w:rsidRPr="001276D8">
        <w:rPr>
          <w:rFonts w:cs="Arial"/>
          <w:sz w:val="17"/>
          <w:szCs w:val="17"/>
        </w:rPr>
        <w:t xml:space="preserve">Competitive Carriers Coalition, </w:t>
      </w:r>
      <w:r w:rsidR="009500AB" w:rsidRPr="001276D8">
        <w:rPr>
          <w:rFonts w:cs="Arial"/>
          <w:i/>
          <w:sz w:val="17"/>
          <w:szCs w:val="17"/>
        </w:rPr>
        <w:t>Submission to Draft Decision on Domestic Transmission Carriage Service FAD</w:t>
      </w:r>
      <w:r w:rsidR="009500AB">
        <w:rPr>
          <w:rFonts w:cs="Arial"/>
          <w:sz w:val="17"/>
          <w:szCs w:val="17"/>
        </w:rPr>
        <w:t xml:space="preserve"> (CCC, submission to</w:t>
      </w:r>
      <w:r w:rsidR="00566EEB">
        <w:rPr>
          <w:rFonts w:cs="Arial"/>
          <w:sz w:val="17"/>
          <w:szCs w:val="17"/>
        </w:rPr>
        <w:t xml:space="preserve"> the</w:t>
      </w:r>
      <w:r w:rsidR="009500AB">
        <w:rPr>
          <w:rFonts w:cs="Arial"/>
          <w:sz w:val="17"/>
          <w:szCs w:val="17"/>
        </w:rPr>
        <w:t xml:space="preserve"> ACCC DTCS FAD draft decision)</w:t>
      </w:r>
      <w:r w:rsidR="00566EEB">
        <w:rPr>
          <w:rFonts w:cs="Arial"/>
          <w:sz w:val="17"/>
          <w:szCs w:val="17"/>
        </w:rPr>
        <w:t>,</w:t>
      </w:r>
      <w:r w:rsidR="009500AB" w:rsidRPr="001276D8">
        <w:rPr>
          <w:rFonts w:cs="Arial"/>
          <w:sz w:val="17"/>
          <w:szCs w:val="17"/>
        </w:rPr>
        <w:t xml:space="preserve"> October 2015</w:t>
      </w:r>
      <w:r w:rsidR="009500AB">
        <w:rPr>
          <w:rFonts w:cs="Arial"/>
          <w:sz w:val="17"/>
          <w:szCs w:val="17"/>
        </w:rPr>
        <w:t>, p.1</w:t>
      </w:r>
      <w:r w:rsidR="009500AB" w:rsidRPr="001276D8">
        <w:rPr>
          <w:rFonts w:cs="Arial"/>
          <w:sz w:val="17"/>
          <w:szCs w:val="17"/>
        </w:rPr>
        <w:t>.</w:t>
      </w:r>
      <w:proofErr w:type="gramEnd"/>
      <w:r w:rsidR="009500AB" w:rsidRPr="001276D8">
        <w:rPr>
          <w:rFonts w:cs="Arial"/>
          <w:sz w:val="17"/>
          <w:szCs w:val="17"/>
        </w:rPr>
        <w:t xml:space="preserve"> </w:t>
      </w:r>
      <w:r w:rsidR="009500AB" w:rsidRPr="001276D8">
        <w:rPr>
          <w:sz w:val="17"/>
          <w:szCs w:val="17"/>
        </w:rPr>
        <w:t>Optus, submission to the ACCC DTCS FAD draft decision - public version</w:t>
      </w:r>
      <w:r w:rsidR="00100AB2">
        <w:rPr>
          <w:sz w:val="17"/>
          <w:szCs w:val="17"/>
        </w:rPr>
        <w:t>, p.25</w:t>
      </w:r>
      <w:r w:rsidR="009500AB">
        <w:rPr>
          <w:sz w:val="17"/>
          <w:szCs w:val="17"/>
        </w:rPr>
        <w:t>.</w:t>
      </w:r>
      <w:r w:rsidR="009500AB">
        <w:rPr>
          <w:rFonts w:cs="Arial"/>
          <w:sz w:val="17"/>
          <w:szCs w:val="17"/>
        </w:rPr>
        <w:t xml:space="preserve"> </w:t>
      </w:r>
      <w:r w:rsidR="009500AB" w:rsidRPr="001276D8">
        <w:rPr>
          <w:sz w:val="17"/>
          <w:szCs w:val="17"/>
        </w:rPr>
        <w:t>Nextgen Group,</w:t>
      </w:r>
      <w:r w:rsidR="009500AB" w:rsidRPr="001276D8">
        <w:rPr>
          <w:rFonts w:cs="Arial"/>
          <w:sz w:val="17"/>
          <w:szCs w:val="17"/>
        </w:rPr>
        <w:t xml:space="preserve"> </w:t>
      </w:r>
      <w:r w:rsidR="009500AB" w:rsidRPr="001276D8">
        <w:rPr>
          <w:rFonts w:cs="Arial"/>
          <w:i/>
          <w:sz w:val="17"/>
          <w:szCs w:val="17"/>
        </w:rPr>
        <w:t>Re: Nextgen Response to the ACCC Public Inquiry to make a FINAL Access Determination for the Domestic Transmission Capacity Service Draft Decision</w:t>
      </w:r>
      <w:r w:rsidR="009500AB">
        <w:rPr>
          <w:rFonts w:cs="Arial"/>
          <w:sz w:val="17"/>
          <w:szCs w:val="17"/>
        </w:rPr>
        <w:t xml:space="preserve"> (</w:t>
      </w:r>
      <w:proofErr w:type="spellStart"/>
      <w:r w:rsidR="009500AB">
        <w:rPr>
          <w:rFonts w:cs="Arial"/>
          <w:sz w:val="17"/>
          <w:szCs w:val="17"/>
        </w:rPr>
        <w:t>Nextgen</w:t>
      </w:r>
      <w:proofErr w:type="spellEnd"/>
      <w:r w:rsidR="009500AB">
        <w:rPr>
          <w:rFonts w:cs="Arial"/>
          <w:sz w:val="17"/>
          <w:szCs w:val="17"/>
        </w:rPr>
        <w:t>, submission to</w:t>
      </w:r>
      <w:r w:rsidR="00566EEB">
        <w:rPr>
          <w:rFonts w:cs="Arial"/>
          <w:sz w:val="17"/>
          <w:szCs w:val="17"/>
        </w:rPr>
        <w:t xml:space="preserve"> the</w:t>
      </w:r>
      <w:r w:rsidR="009500AB">
        <w:rPr>
          <w:rFonts w:cs="Arial"/>
          <w:sz w:val="17"/>
          <w:szCs w:val="17"/>
        </w:rPr>
        <w:t xml:space="preserve"> ACCC DTCS FAD draft decision)</w:t>
      </w:r>
      <w:r w:rsidR="00566EEB">
        <w:rPr>
          <w:rFonts w:cs="Arial"/>
          <w:sz w:val="17"/>
          <w:szCs w:val="17"/>
        </w:rPr>
        <w:t>,</w:t>
      </w:r>
      <w:r w:rsidR="009500AB">
        <w:rPr>
          <w:rFonts w:cs="Arial"/>
          <w:sz w:val="17"/>
          <w:szCs w:val="17"/>
        </w:rPr>
        <w:t xml:space="preserve"> </w:t>
      </w:r>
      <w:r w:rsidR="009500AB" w:rsidRPr="001276D8">
        <w:rPr>
          <w:rFonts w:cs="Arial"/>
          <w:sz w:val="17"/>
          <w:szCs w:val="17"/>
        </w:rPr>
        <w:t xml:space="preserve">8 October 2015, </w:t>
      </w:r>
      <w:r w:rsidR="009500AB" w:rsidRPr="001276D8">
        <w:rPr>
          <w:sz w:val="17"/>
          <w:szCs w:val="17"/>
        </w:rPr>
        <w:t>p.1.</w:t>
      </w:r>
    </w:p>
  </w:footnote>
  <w:footnote w:id="10">
    <w:p w:rsidR="00AA66E1" w:rsidRDefault="00AA66E1" w:rsidP="00AF5E56">
      <w:pPr>
        <w:pStyle w:val="FootnoteText"/>
      </w:pPr>
      <w:r>
        <w:rPr>
          <w:rStyle w:val="FootnoteReference"/>
        </w:rPr>
        <w:footnoteRef/>
      </w:r>
      <w:r w:rsidR="009500AB">
        <w:t xml:space="preserve"> </w:t>
      </w:r>
      <w:r w:rsidR="009500AB" w:rsidRPr="001276D8">
        <w:rPr>
          <w:szCs w:val="17"/>
        </w:rPr>
        <w:t>Optus, submission to the ACCC DTCS FAD draft decision</w:t>
      </w:r>
      <w:r w:rsidR="009500AB">
        <w:rPr>
          <w:szCs w:val="17"/>
        </w:rPr>
        <w:t xml:space="preserve"> </w:t>
      </w:r>
      <w:r w:rsidR="009500AB">
        <w:t>- confidential version, p.5.</w:t>
      </w:r>
    </w:p>
  </w:footnote>
  <w:footnote w:id="11">
    <w:p w:rsidR="00AA66E1" w:rsidRDefault="00AA66E1" w:rsidP="00AF5E56">
      <w:pPr>
        <w:pStyle w:val="FootnoteText"/>
      </w:pPr>
      <w:r>
        <w:rPr>
          <w:rStyle w:val="FootnoteReference"/>
        </w:rPr>
        <w:footnoteRef/>
      </w:r>
      <w:r>
        <w:t xml:space="preserve"> </w:t>
      </w:r>
      <w:r w:rsidR="009500AB" w:rsidRPr="001276D8">
        <w:rPr>
          <w:szCs w:val="17"/>
        </w:rPr>
        <w:t>Optus, submission to the ACCC DTCS FAD draft decision</w:t>
      </w:r>
      <w:r w:rsidR="009500AB">
        <w:rPr>
          <w:szCs w:val="17"/>
        </w:rPr>
        <w:t xml:space="preserve"> </w:t>
      </w:r>
      <w:r w:rsidR="009500AB">
        <w:t>- confidential version, pp.23-24.</w:t>
      </w:r>
    </w:p>
  </w:footnote>
  <w:footnote w:id="12">
    <w:p w:rsidR="00AA66E1" w:rsidRDefault="00AA66E1" w:rsidP="00AF5E56">
      <w:pPr>
        <w:pStyle w:val="FootnoteText"/>
      </w:pPr>
      <w:r>
        <w:rPr>
          <w:rStyle w:val="FootnoteReference"/>
        </w:rPr>
        <w:footnoteRef/>
      </w:r>
      <w:r>
        <w:t xml:space="preserve"> </w:t>
      </w:r>
      <w:r w:rsidR="009500AB" w:rsidRPr="001276D8">
        <w:rPr>
          <w:szCs w:val="17"/>
        </w:rPr>
        <w:t>Optus, submission to the ACCC DTCS FAD draft decision</w:t>
      </w:r>
      <w:r w:rsidR="009500AB">
        <w:rPr>
          <w:szCs w:val="17"/>
        </w:rPr>
        <w:t xml:space="preserve"> </w:t>
      </w:r>
      <w:r w:rsidR="009500AB">
        <w:t>- public version, p</w:t>
      </w:r>
      <w:r w:rsidR="00DF609C">
        <w:t>p</w:t>
      </w:r>
      <w:r w:rsidR="009500AB">
        <w:t>.</w:t>
      </w:r>
      <w:r w:rsidR="00DF609C">
        <w:t xml:space="preserve"> 5 &amp; 25</w:t>
      </w:r>
      <w:r w:rsidR="009500AB">
        <w:t>.</w:t>
      </w:r>
    </w:p>
  </w:footnote>
  <w:footnote w:id="13">
    <w:p w:rsidR="00DF609C" w:rsidRPr="00342300" w:rsidRDefault="00AA66E1" w:rsidP="00FE21D0">
      <w:pPr>
        <w:pStyle w:val="FootnoteText"/>
        <w:ind w:left="142" w:hanging="142"/>
      </w:pPr>
      <w:r>
        <w:rPr>
          <w:rStyle w:val="FootnoteReference"/>
        </w:rPr>
        <w:footnoteRef/>
      </w:r>
      <w:r>
        <w:t xml:space="preserve"> </w:t>
      </w:r>
      <w:r w:rsidR="009500AB" w:rsidRPr="001276D8">
        <w:rPr>
          <w:szCs w:val="17"/>
        </w:rPr>
        <w:t>Optus, submission to the ACCC DTCS FAD draft decision</w:t>
      </w:r>
      <w:r w:rsidR="009500AB">
        <w:rPr>
          <w:szCs w:val="17"/>
        </w:rPr>
        <w:t xml:space="preserve"> </w:t>
      </w:r>
      <w:r w:rsidR="009500AB">
        <w:t>- public version, p</w:t>
      </w:r>
      <w:r w:rsidR="00100AB2">
        <w:t>p</w:t>
      </w:r>
      <w:r w:rsidR="009500AB">
        <w:t>.6</w:t>
      </w:r>
      <w:r w:rsidR="00100AB2">
        <w:t xml:space="preserve"> &amp; 25</w:t>
      </w:r>
      <w:r w:rsidR="009500AB">
        <w:t>.</w:t>
      </w:r>
      <w:r w:rsidR="00DF609C">
        <w:t xml:space="preserve"> </w:t>
      </w:r>
      <w:proofErr w:type="gramStart"/>
      <w:r w:rsidR="00DF609C">
        <w:t>CEG.</w:t>
      </w:r>
      <w:proofErr w:type="gramEnd"/>
      <w:r w:rsidR="00DF609C">
        <w:t xml:space="preserve"> </w:t>
      </w:r>
      <w:r w:rsidR="00DF609C">
        <w:rPr>
          <w:i/>
        </w:rPr>
        <w:t xml:space="preserve">Review of the draft decision on DTCS FAD </w:t>
      </w:r>
      <w:r w:rsidR="00DF609C">
        <w:t>(redacted), October 2015, pp. 19 &amp; 20.</w:t>
      </w:r>
    </w:p>
    <w:p w:rsidR="00AA66E1" w:rsidRDefault="00AA66E1" w:rsidP="00AF5E56">
      <w:pPr>
        <w:pStyle w:val="FootnoteText"/>
      </w:pPr>
    </w:p>
  </w:footnote>
  <w:footnote w:id="14">
    <w:p w:rsidR="00AA66E1" w:rsidRDefault="00AA66E1" w:rsidP="00AF5E56">
      <w:pPr>
        <w:pStyle w:val="FootnoteText"/>
      </w:pPr>
      <w:r>
        <w:rPr>
          <w:rStyle w:val="FootnoteReference"/>
        </w:rPr>
        <w:footnoteRef/>
      </w:r>
      <w:r>
        <w:t xml:space="preserve"> </w:t>
      </w:r>
      <w:r w:rsidR="009500AB" w:rsidRPr="001276D8">
        <w:rPr>
          <w:szCs w:val="17"/>
        </w:rPr>
        <w:t>Optus, submission to the ACCC DTCS FAD draft decision</w:t>
      </w:r>
      <w:r w:rsidR="009500AB">
        <w:rPr>
          <w:szCs w:val="17"/>
        </w:rPr>
        <w:t xml:space="preserve"> </w:t>
      </w:r>
      <w:r w:rsidR="009500AB">
        <w:t xml:space="preserve">- public version, </w:t>
      </w:r>
      <w:r w:rsidR="00100AB2">
        <w:t>p</w:t>
      </w:r>
      <w:r w:rsidR="009500AB">
        <w:t>p.1</w:t>
      </w:r>
      <w:r w:rsidR="00DF609C">
        <w:t>9</w:t>
      </w:r>
      <w:r w:rsidR="009500AB">
        <w:t>-2</w:t>
      </w:r>
      <w:r w:rsidR="00DF609C">
        <w:t>0</w:t>
      </w:r>
      <w:r w:rsidR="009500AB">
        <w:t>.</w:t>
      </w:r>
    </w:p>
  </w:footnote>
  <w:footnote w:id="15">
    <w:p w:rsidR="00AA66E1" w:rsidRDefault="00AA66E1" w:rsidP="00AF5E56">
      <w:pPr>
        <w:pStyle w:val="FootnoteText"/>
      </w:pPr>
      <w:r>
        <w:rPr>
          <w:rStyle w:val="FootnoteReference"/>
        </w:rPr>
        <w:footnoteRef/>
      </w:r>
      <w:r>
        <w:t xml:space="preserve"> </w:t>
      </w:r>
      <w:r w:rsidR="009500AB" w:rsidRPr="001276D8">
        <w:rPr>
          <w:szCs w:val="17"/>
        </w:rPr>
        <w:t>Optus, submission to the ACCC DTCS FAD draft decision</w:t>
      </w:r>
      <w:r w:rsidR="009500AB">
        <w:rPr>
          <w:szCs w:val="17"/>
        </w:rPr>
        <w:t xml:space="preserve"> </w:t>
      </w:r>
      <w:r w:rsidR="009500AB">
        <w:t>- confidential version, p.20.</w:t>
      </w:r>
    </w:p>
  </w:footnote>
  <w:footnote w:id="16">
    <w:p w:rsidR="00AA66E1" w:rsidRDefault="00AA66E1" w:rsidP="00AF5E56">
      <w:pPr>
        <w:pStyle w:val="FootnoteText"/>
      </w:pPr>
      <w:r>
        <w:rPr>
          <w:rStyle w:val="FootnoteReference"/>
        </w:rPr>
        <w:footnoteRef/>
      </w:r>
      <w:r>
        <w:t xml:space="preserve"> </w:t>
      </w:r>
      <w:r w:rsidR="009500AB" w:rsidRPr="00E9107F">
        <w:rPr>
          <w:szCs w:val="17"/>
        </w:rPr>
        <w:t xml:space="preserve">Optus, submission to the ACCC DTCS FAD draft decision </w:t>
      </w:r>
      <w:r w:rsidR="009500AB" w:rsidRPr="00E9107F">
        <w:t>- public version, p.</w:t>
      </w:r>
      <w:r w:rsidR="00C02633">
        <w:t>18</w:t>
      </w:r>
      <w:r w:rsidR="009500AB" w:rsidRPr="00E9107F">
        <w:t>.</w:t>
      </w:r>
    </w:p>
  </w:footnote>
  <w:footnote w:id="17">
    <w:p w:rsidR="00AA66E1" w:rsidRDefault="00AA66E1" w:rsidP="00AF5E56">
      <w:pPr>
        <w:pStyle w:val="FootnoteText"/>
      </w:pPr>
      <w:r>
        <w:rPr>
          <w:rStyle w:val="FootnoteReference"/>
        </w:rPr>
        <w:footnoteRef/>
      </w:r>
      <w:r>
        <w:t xml:space="preserve"> </w:t>
      </w:r>
      <w:r w:rsidR="009500AB" w:rsidRPr="001276D8">
        <w:rPr>
          <w:szCs w:val="17"/>
        </w:rPr>
        <w:t>Optus, submission to the ACCC DTCS FAD draft decision</w:t>
      </w:r>
      <w:r w:rsidR="009500AB">
        <w:rPr>
          <w:szCs w:val="17"/>
        </w:rPr>
        <w:t xml:space="preserve"> </w:t>
      </w:r>
      <w:r w:rsidR="009500AB">
        <w:t>- confidential version, p.24.</w:t>
      </w:r>
    </w:p>
  </w:footnote>
  <w:footnote w:id="18">
    <w:p w:rsidR="00460999" w:rsidRDefault="00460999" w:rsidP="00460999">
      <w:pPr>
        <w:pStyle w:val="FootnoteText"/>
        <w:ind w:left="340" w:hanging="340"/>
      </w:pPr>
      <w:r>
        <w:rPr>
          <w:rStyle w:val="FootnoteReference"/>
        </w:rPr>
        <w:footnoteRef/>
      </w:r>
      <w:r>
        <w:t xml:space="preserve"> Optus,</w:t>
      </w:r>
      <w:r w:rsidRPr="003B3553">
        <w:rPr>
          <w:szCs w:val="17"/>
        </w:rPr>
        <w:t xml:space="preserve"> </w:t>
      </w:r>
      <w:r w:rsidRPr="001276D8">
        <w:rPr>
          <w:szCs w:val="17"/>
        </w:rPr>
        <w:t xml:space="preserve">submission to the ACCC DTCS FAD draft decision </w:t>
      </w:r>
      <w:r w:rsidRPr="001276D8">
        <w:t>- public version</w:t>
      </w:r>
      <w:r w:rsidR="00100AB2">
        <w:t>, p.32</w:t>
      </w:r>
      <w:r>
        <w:t>.</w:t>
      </w:r>
    </w:p>
  </w:footnote>
  <w:footnote w:id="19">
    <w:p w:rsidR="00460999" w:rsidRDefault="00460999" w:rsidP="00566EEB">
      <w:pPr>
        <w:pStyle w:val="FootnoteText"/>
        <w:ind w:left="142" w:hanging="142"/>
      </w:pPr>
      <w:r>
        <w:rPr>
          <w:rStyle w:val="FootnoteReference"/>
        </w:rPr>
        <w:footnoteRef/>
      </w:r>
      <w:r>
        <w:t xml:space="preserve"> </w:t>
      </w:r>
      <w:proofErr w:type="gramStart"/>
      <w:r>
        <w:rPr>
          <w:rFonts w:cs="Arial"/>
          <w:szCs w:val="17"/>
        </w:rPr>
        <w:t>CCC, submission to</w:t>
      </w:r>
      <w:r w:rsidR="00566EEB">
        <w:rPr>
          <w:rFonts w:cs="Arial"/>
          <w:szCs w:val="17"/>
        </w:rPr>
        <w:t xml:space="preserve"> the</w:t>
      </w:r>
      <w:r>
        <w:rPr>
          <w:rFonts w:cs="Arial"/>
          <w:szCs w:val="17"/>
        </w:rPr>
        <w:t xml:space="preserve"> ACCC DTCS FAD draft decision</w:t>
      </w:r>
      <w:r>
        <w:t>, p.1.</w:t>
      </w:r>
      <w:proofErr w:type="gramEnd"/>
      <w:r>
        <w:t xml:space="preserve"> </w:t>
      </w:r>
      <w:proofErr w:type="spellStart"/>
      <w:r>
        <w:rPr>
          <w:rFonts w:cs="Arial"/>
          <w:szCs w:val="17"/>
        </w:rPr>
        <w:t>Nextgen</w:t>
      </w:r>
      <w:proofErr w:type="spellEnd"/>
      <w:r>
        <w:rPr>
          <w:rFonts w:cs="Arial"/>
          <w:szCs w:val="17"/>
        </w:rPr>
        <w:t>, submission to</w:t>
      </w:r>
      <w:r w:rsidR="00566EEB">
        <w:rPr>
          <w:rFonts w:cs="Arial"/>
          <w:szCs w:val="17"/>
        </w:rPr>
        <w:t xml:space="preserve"> the</w:t>
      </w:r>
      <w:r>
        <w:rPr>
          <w:rFonts w:cs="Arial"/>
          <w:szCs w:val="17"/>
        </w:rPr>
        <w:t xml:space="preserve"> ACCC DTCS FAD draft </w:t>
      </w:r>
      <w:r w:rsidRPr="004B14BE">
        <w:rPr>
          <w:rFonts w:cs="Arial"/>
          <w:szCs w:val="17"/>
        </w:rPr>
        <w:t>decision</w:t>
      </w:r>
      <w:r w:rsidRPr="004B14BE">
        <w:t xml:space="preserve"> p</w:t>
      </w:r>
      <w:r w:rsidR="004B14BE" w:rsidRPr="004B14BE">
        <w:t>.1.</w:t>
      </w:r>
    </w:p>
  </w:footnote>
  <w:footnote w:id="20">
    <w:p w:rsidR="00460999" w:rsidRDefault="00460999" w:rsidP="00460999">
      <w:pPr>
        <w:pStyle w:val="FootnoteText"/>
      </w:pPr>
      <w:r>
        <w:rPr>
          <w:rStyle w:val="FootnoteReference"/>
        </w:rPr>
        <w:footnoteRef/>
      </w:r>
      <w:r>
        <w:t xml:space="preserve"> </w:t>
      </w:r>
      <w:r>
        <w:rPr>
          <w:rFonts w:cs="Arial"/>
          <w:szCs w:val="17"/>
        </w:rPr>
        <w:t>CCC, submission to</w:t>
      </w:r>
      <w:r w:rsidR="00566EEB">
        <w:rPr>
          <w:rFonts w:cs="Arial"/>
          <w:szCs w:val="17"/>
        </w:rPr>
        <w:t xml:space="preserve"> the</w:t>
      </w:r>
      <w:r>
        <w:rPr>
          <w:rFonts w:cs="Arial"/>
          <w:szCs w:val="17"/>
        </w:rPr>
        <w:t xml:space="preserve"> ACCC DTCS FAD draft decision</w:t>
      </w:r>
      <w:r>
        <w:t>, p.1</w:t>
      </w:r>
    </w:p>
  </w:footnote>
  <w:footnote w:id="21">
    <w:p w:rsidR="00AA66E1" w:rsidRDefault="00AA66E1" w:rsidP="00AF5E56">
      <w:pPr>
        <w:pStyle w:val="FootnoteText"/>
      </w:pPr>
      <w:r>
        <w:rPr>
          <w:rStyle w:val="FootnoteReference"/>
        </w:rPr>
        <w:footnoteRef/>
      </w:r>
      <w:r>
        <w:t xml:space="preserve"> </w:t>
      </w:r>
      <w:proofErr w:type="gramStart"/>
      <w:r w:rsidR="009500AB">
        <w:t>Telstra, further submission to the ACCC DTCS FAD draft decision – public version, p.1.</w:t>
      </w:r>
      <w:proofErr w:type="gramEnd"/>
    </w:p>
  </w:footnote>
  <w:footnote w:id="22">
    <w:p w:rsidR="00AA66E1" w:rsidRDefault="00AA66E1" w:rsidP="00AF5E56">
      <w:pPr>
        <w:pStyle w:val="FootnoteText"/>
      </w:pPr>
      <w:r>
        <w:rPr>
          <w:rStyle w:val="FootnoteReference"/>
        </w:rPr>
        <w:footnoteRef/>
      </w:r>
      <w:r>
        <w:t xml:space="preserve"> </w:t>
      </w:r>
      <w:proofErr w:type="gramStart"/>
      <w:r w:rsidR="009500AB">
        <w:t>Telstra, further submission to the ACCC DTCS FAD draft decision – confidential version, p.1.</w:t>
      </w:r>
      <w:proofErr w:type="gramEnd"/>
    </w:p>
  </w:footnote>
  <w:footnote w:id="23">
    <w:p w:rsidR="00AA66E1" w:rsidRDefault="00AA66E1" w:rsidP="00AF5E56">
      <w:pPr>
        <w:pStyle w:val="FootnoteText"/>
      </w:pPr>
      <w:r>
        <w:rPr>
          <w:rStyle w:val="FootnoteReference"/>
        </w:rPr>
        <w:footnoteRef/>
      </w:r>
      <w:r>
        <w:t xml:space="preserve"> </w:t>
      </w:r>
      <w:proofErr w:type="gramStart"/>
      <w:r w:rsidR="009500AB">
        <w:t>Telstra, further submission to the ACCC DTCS FAD draft decision – public version, p.1.</w:t>
      </w:r>
      <w:proofErr w:type="gramEnd"/>
    </w:p>
  </w:footnote>
  <w:footnote w:id="24">
    <w:p w:rsidR="004F3F12" w:rsidRDefault="004F3F12" w:rsidP="00566EEB">
      <w:pPr>
        <w:pStyle w:val="FootnoteText"/>
        <w:ind w:left="142" w:hanging="142"/>
      </w:pPr>
      <w:r>
        <w:rPr>
          <w:rStyle w:val="FootnoteReference"/>
        </w:rPr>
        <w:footnoteRef/>
      </w:r>
      <w:r>
        <w:t xml:space="preserve"> Optus,</w:t>
      </w:r>
      <w:r w:rsidRPr="003B3553">
        <w:rPr>
          <w:szCs w:val="17"/>
        </w:rPr>
        <w:t xml:space="preserve"> </w:t>
      </w:r>
      <w:r w:rsidRPr="001276D8">
        <w:rPr>
          <w:szCs w:val="17"/>
        </w:rPr>
        <w:t xml:space="preserve">submission to the ACCC DTCS FAD draft decision </w:t>
      </w:r>
      <w:r w:rsidRPr="001276D8">
        <w:t>- public version</w:t>
      </w:r>
      <w:r>
        <w:t>, p.3</w:t>
      </w:r>
      <w:r w:rsidR="00DF609C">
        <w:t>0</w:t>
      </w:r>
      <w:r>
        <w:t>.</w:t>
      </w:r>
      <w:r w:rsidR="00DF609C">
        <w:t xml:space="preserve"> </w:t>
      </w:r>
      <w:proofErr w:type="gramStart"/>
      <w:r w:rsidR="00DF609C">
        <w:t>CEG.</w:t>
      </w:r>
      <w:proofErr w:type="gramEnd"/>
      <w:r w:rsidR="00DF609C">
        <w:t xml:space="preserve"> </w:t>
      </w:r>
      <w:r w:rsidR="00DF609C">
        <w:rPr>
          <w:i/>
        </w:rPr>
        <w:t xml:space="preserve">Review of the draft decision on DTCS FAD </w:t>
      </w:r>
      <w:r w:rsidR="00DF609C">
        <w:t xml:space="preserve">(redacted), October 2015, pp. 7-8. </w:t>
      </w:r>
    </w:p>
  </w:footnote>
  <w:footnote w:id="25">
    <w:p w:rsidR="004F3F12" w:rsidRDefault="004F3F12" w:rsidP="004F3F12">
      <w:pPr>
        <w:pStyle w:val="FootnoteText"/>
      </w:pPr>
      <w:r>
        <w:rPr>
          <w:rStyle w:val="FootnoteReference"/>
        </w:rPr>
        <w:footnoteRef/>
      </w:r>
      <w:r>
        <w:t xml:space="preserve"> Optus,</w:t>
      </w:r>
      <w:r w:rsidRPr="003B3553">
        <w:rPr>
          <w:szCs w:val="17"/>
        </w:rPr>
        <w:t xml:space="preserve"> </w:t>
      </w:r>
      <w:r w:rsidRPr="001276D8">
        <w:rPr>
          <w:szCs w:val="17"/>
        </w:rPr>
        <w:t xml:space="preserve">submission to the ACCC DTCS FAD draft decision </w:t>
      </w:r>
      <w:r w:rsidRPr="001276D8">
        <w:t>- public version</w:t>
      </w:r>
      <w:r>
        <w:t>, p.3</w:t>
      </w:r>
      <w:r w:rsidR="00DF609C">
        <w:t>2</w:t>
      </w:r>
      <w:r>
        <w:t>.</w:t>
      </w:r>
    </w:p>
  </w:footnote>
  <w:footnote w:id="26">
    <w:p w:rsidR="004F3F12" w:rsidRPr="008709D1" w:rsidRDefault="004F3F12" w:rsidP="004F3F12">
      <w:pPr>
        <w:pStyle w:val="FootnoteText"/>
      </w:pPr>
      <w:r>
        <w:rPr>
          <w:rStyle w:val="FootnoteReference"/>
        </w:rPr>
        <w:footnoteRef/>
      </w:r>
      <w:r>
        <w:t xml:space="preserve"> Frontier Economics, </w:t>
      </w:r>
      <w:r>
        <w:rPr>
          <w:i/>
        </w:rPr>
        <w:t>Review of the Draft DTCS Benchmarking Model</w:t>
      </w:r>
      <w:r>
        <w:t xml:space="preserve">, July </w:t>
      </w:r>
      <w:r w:rsidRPr="00E9107F">
        <w:t>2015 (confidential),</w:t>
      </w:r>
      <w:r>
        <w:t xml:space="preserve"> pp. 18-21.</w:t>
      </w:r>
    </w:p>
  </w:footnote>
  <w:footnote w:id="27">
    <w:p w:rsidR="00DF609C" w:rsidRDefault="00DF609C" w:rsidP="00566EEB">
      <w:pPr>
        <w:pStyle w:val="FootnoteText"/>
        <w:ind w:left="142" w:hanging="142"/>
      </w:pPr>
      <w:r>
        <w:rPr>
          <w:rStyle w:val="FootnoteReference"/>
        </w:rPr>
        <w:footnoteRef/>
      </w:r>
      <w:r>
        <w:t xml:space="preserve"> Professor Trevor Breusch, </w:t>
      </w:r>
      <w:r w:rsidRPr="00566EEB">
        <w:t>Report on:</w:t>
      </w:r>
      <w:r>
        <w:rPr>
          <w:i/>
        </w:rPr>
        <w:t xml:space="preserve"> Economic Insights Final Report and 2015 DTCS Draft FAD</w:t>
      </w:r>
      <w:r>
        <w:t xml:space="preserve"> (Public version), 2 October 2015, </w:t>
      </w:r>
      <w:r w:rsidRPr="00534B22">
        <w:t>p</w:t>
      </w:r>
      <w:r>
        <w:t>.4.</w:t>
      </w:r>
    </w:p>
  </w:footnote>
  <w:footnote w:id="28">
    <w:p w:rsidR="00243719" w:rsidRDefault="00243719">
      <w:pPr>
        <w:pStyle w:val="FootnoteText"/>
      </w:pPr>
      <w:r>
        <w:rPr>
          <w:rStyle w:val="FootnoteReference"/>
        </w:rPr>
        <w:footnoteRef/>
      </w:r>
      <w:r>
        <w:t xml:space="preserve"> Optus, </w:t>
      </w:r>
      <w:r w:rsidR="00DF609C">
        <w:t>s</w:t>
      </w:r>
      <w:r>
        <w:t xml:space="preserve">ubmission to the ACCC DTCS FAD draft decision </w:t>
      </w:r>
      <w:r w:rsidR="00DF609C">
        <w:t>–</w:t>
      </w:r>
      <w:r>
        <w:t xml:space="preserve"> </w:t>
      </w:r>
      <w:r w:rsidR="00DF609C">
        <w:t xml:space="preserve">public </w:t>
      </w:r>
      <w:r>
        <w:t xml:space="preserve">version, </w:t>
      </w:r>
      <w:r w:rsidR="00DF609C">
        <w:t>p</w:t>
      </w:r>
      <w:r>
        <w:t>p.</w:t>
      </w:r>
      <w:r w:rsidR="00DF609C">
        <w:t>5 &amp; 37.</w:t>
      </w:r>
    </w:p>
  </w:footnote>
  <w:footnote w:id="29">
    <w:p w:rsidR="00CB5F02" w:rsidRPr="00CB5F02" w:rsidRDefault="00CB5F02" w:rsidP="00566EEB">
      <w:pPr>
        <w:pStyle w:val="FootnoteText"/>
        <w:ind w:left="142" w:hanging="142"/>
      </w:pPr>
      <w:r>
        <w:rPr>
          <w:rStyle w:val="FootnoteReference"/>
        </w:rPr>
        <w:footnoteRef/>
      </w:r>
      <w:r>
        <w:t xml:space="preserve"> </w:t>
      </w:r>
      <w:proofErr w:type="gramStart"/>
      <w:r>
        <w:t>Optus,</w:t>
      </w:r>
      <w:r w:rsidR="00263B92">
        <w:t xml:space="preserve"> Letter to the ACCC, </w:t>
      </w:r>
      <w:r>
        <w:rPr>
          <w:i/>
        </w:rPr>
        <w:t>Proposed treatment of 2Mbps Transmission Services</w:t>
      </w:r>
      <w:r w:rsidR="00566EEB">
        <w:t xml:space="preserve"> (</w:t>
      </w:r>
      <w:r w:rsidR="00313752">
        <w:t>public version</w:t>
      </w:r>
      <w:r w:rsidR="00566EEB">
        <w:t>)</w:t>
      </w:r>
      <w:r w:rsidR="00DF609C">
        <w:t>,</w:t>
      </w:r>
      <w:r>
        <w:t xml:space="preserve"> 4 November 2015, p. 1</w:t>
      </w:r>
      <w:r w:rsidR="00DF609C">
        <w:t>.</w:t>
      </w:r>
      <w:proofErr w:type="gramEnd"/>
      <w:r>
        <w:t xml:space="preserve"> </w:t>
      </w:r>
    </w:p>
  </w:footnote>
  <w:footnote w:id="30">
    <w:p w:rsidR="00927BBB" w:rsidRDefault="00927BBB" w:rsidP="00566EEB">
      <w:pPr>
        <w:pStyle w:val="FootnoteText"/>
        <w:ind w:left="142" w:hanging="142"/>
      </w:pPr>
      <w:r>
        <w:rPr>
          <w:rStyle w:val="FootnoteReference"/>
        </w:rPr>
        <w:footnoteRef/>
      </w:r>
      <w:r>
        <w:t xml:space="preserve"> </w:t>
      </w:r>
      <w:r w:rsidR="00AD4C85">
        <w:t>This</w:t>
      </w:r>
      <w:r>
        <w:t xml:space="preserve"> piecewise regression model allows different coefficients for the explanatory variables for services below 2</w:t>
      </w:r>
      <w:r w:rsidR="00F95AC8">
        <w:t xml:space="preserve"> M</w:t>
      </w:r>
      <w:r>
        <w:t>bps</w:t>
      </w:r>
      <w:r w:rsidR="00AD4C85">
        <w:t>. It recognises that the explanatory variables may have a diff</w:t>
      </w:r>
      <w:r w:rsidR="00F95AC8">
        <w:t>erent impact on the price of 2 M</w:t>
      </w:r>
      <w:r w:rsidR="00AD4C85">
        <w:t>bps services than for high capacity services.</w:t>
      </w:r>
    </w:p>
  </w:footnote>
  <w:footnote w:id="31">
    <w:p w:rsidR="00C02633" w:rsidRDefault="00C02633" w:rsidP="00566EEB">
      <w:pPr>
        <w:pStyle w:val="FootnoteText"/>
        <w:ind w:left="142" w:hanging="142"/>
      </w:pPr>
      <w:r>
        <w:rPr>
          <w:rStyle w:val="FootnoteReference"/>
        </w:rPr>
        <w:footnoteRef/>
      </w:r>
      <w:r>
        <w:t xml:space="preserve"> </w:t>
      </w:r>
      <w:r w:rsidR="00137A59">
        <w:t>Economic Insights, Memorandum to the ACCC:</w:t>
      </w:r>
      <w:r w:rsidR="00566EEB">
        <w:rPr>
          <w:i/>
        </w:rPr>
        <w:t xml:space="preserve"> DTCS benchmarking Model: </w:t>
      </w:r>
      <w:r w:rsidR="00137A59">
        <w:rPr>
          <w:i/>
        </w:rPr>
        <w:t>Testing Additional Optus Data</w:t>
      </w:r>
      <w:r w:rsidR="00137A59">
        <w:t xml:space="preserve"> – </w:t>
      </w:r>
      <w:r w:rsidR="00566EEB">
        <w:t>(</w:t>
      </w:r>
      <w:r w:rsidR="00137A59">
        <w:t>confidential</w:t>
      </w:r>
      <w:r w:rsidR="00566EEB">
        <w:t>)</w:t>
      </w:r>
      <w:r w:rsidR="00137A59">
        <w:t>,</w:t>
      </w:r>
      <w:r w:rsidR="00566EEB">
        <w:t xml:space="preserve"> October 2015,</w:t>
      </w:r>
      <w:r w:rsidR="00137A59">
        <w:t xml:space="preserve"> pp.14-16.</w:t>
      </w:r>
    </w:p>
  </w:footnote>
  <w:footnote w:id="32">
    <w:p w:rsidR="00C02633" w:rsidRDefault="00C02633">
      <w:pPr>
        <w:pStyle w:val="FootnoteText"/>
      </w:pPr>
      <w:r>
        <w:rPr>
          <w:rStyle w:val="FootnoteReference"/>
        </w:rPr>
        <w:footnoteRef/>
      </w:r>
      <w:r>
        <w:t xml:space="preserve"> Economic Insights</w:t>
      </w:r>
      <w:r w:rsidR="00137A59">
        <w:t>, Memorandum to the ACCC:</w:t>
      </w:r>
      <w:r w:rsidR="00137A59">
        <w:rPr>
          <w:i/>
        </w:rPr>
        <w:t xml:space="preserve"> DTCS benchmarking Model: Testing Additional Optus Data</w:t>
      </w:r>
      <w:r w:rsidR="00566EEB">
        <w:t xml:space="preserve"> (confidential)</w:t>
      </w:r>
      <w:r w:rsidR="00137A59">
        <w:t>,</w:t>
      </w:r>
      <w:r w:rsidR="00566EEB">
        <w:t xml:space="preserve"> October 2015,</w:t>
      </w:r>
      <w:r w:rsidR="00137A59">
        <w:t xml:space="preserve"> pp</w:t>
      </w:r>
      <w:r>
        <w:t>.</w:t>
      </w:r>
      <w:r w:rsidR="00137A59">
        <w:t xml:space="preserve">14-16. </w:t>
      </w:r>
    </w:p>
  </w:footnote>
  <w:footnote w:id="33">
    <w:p w:rsidR="00171E1D" w:rsidRDefault="00171E1D">
      <w:pPr>
        <w:pStyle w:val="FootnoteText"/>
      </w:pPr>
      <w:r>
        <w:rPr>
          <w:rStyle w:val="FootnoteReference"/>
        </w:rPr>
        <w:footnoteRef/>
      </w:r>
      <w:r>
        <w:t xml:space="preserve"> </w:t>
      </w:r>
      <w:r w:rsidR="00313752">
        <w:t>CEG</w:t>
      </w:r>
      <w:r w:rsidR="00041C95">
        <w:t>,</w:t>
      </w:r>
      <w:r w:rsidR="00313752">
        <w:t xml:space="preserve"> </w:t>
      </w:r>
      <w:r w:rsidR="00313752">
        <w:rPr>
          <w:i/>
        </w:rPr>
        <w:t xml:space="preserve">Review of the draft decision on DTCS FAD </w:t>
      </w:r>
      <w:r w:rsidR="00313752">
        <w:t>(redacted), October 2015, pp. 13-14</w:t>
      </w:r>
      <w:r w:rsidR="005B12C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0D48F03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4C238F8"/>
    <w:multiLevelType w:val="hybridMultilevel"/>
    <w:tmpl w:val="75384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95700"/>
    <w:multiLevelType w:val="hybridMultilevel"/>
    <w:tmpl w:val="BA8E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853234"/>
    <w:multiLevelType w:val="hybridMultilevel"/>
    <w:tmpl w:val="856E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3173CA"/>
    <w:multiLevelType w:val="hybridMultilevel"/>
    <w:tmpl w:val="95D81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E283C28"/>
    <w:multiLevelType w:val="hybridMultilevel"/>
    <w:tmpl w:val="02F2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B73523"/>
    <w:multiLevelType w:val="hybridMultilevel"/>
    <w:tmpl w:val="5B16D264"/>
    <w:lvl w:ilvl="0" w:tplc="C8BA2946">
      <w:start w:val="1"/>
      <w:numFmt w:val="bullet"/>
      <w:pStyle w:val="Table3bullet"/>
      <w:lvlText w:val=""/>
      <w:lvlJc w:val="left"/>
      <w:pPr>
        <w:ind w:left="72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8A3440"/>
    <w:multiLevelType w:val="hybridMultilevel"/>
    <w:tmpl w:val="6F5C74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nsid w:val="15B336DE"/>
    <w:multiLevelType w:val="multilevel"/>
    <w:tmpl w:val="4E28D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6F9113F"/>
    <w:multiLevelType w:val="hybridMultilevel"/>
    <w:tmpl w:val="7D468CB4"/>
    <w:lvl w:ilvl="0" w:tplc="003A3080">
      <w:start w:val="3"/>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3C1EAC"/>
    <w:multiLevelType w:val="hybridMultilevel"/>
    <w:tmpl w:val="4F2A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755DCF"/>
    <w:multiLevelType w:val="hybridMultilevel"/>
    <w:tmpl w:val="0B12FC92"/>
    <w:lvl w:ilvl="0" w:tplc="0C090017">
      <w:start w:val="1"/>
      <w:numFmt w:val="lowerLetter"/>
      <w:lvlText w:val="%1)"/>
      <w:lvlJc w:val="left"/>
      <w:pPr>
        <w:ind w:left="1286" w:hanging="360"/>
      </w:p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15">
    <w:nsid w:val="1CF519CE"/>
    <w:multiLevelType w:val="multilevel"/>
    <w:tmpl w:val="0548DDC4"/>
    <w:lvl w:ilvl="0">
      <w:start w:val="1"/>
      <w:numFmt w:val="decimal"/>
      <w:pStyle w:val="Numbered1"/>
      <w:lvlText w:val="%1."/>
      <w:lvlJc w:val="left"/>
      <w:pPr>
        <w:ind w:left="360" w:hanging="360"/>
      </w:pPr>
      <w:rPr>
        <w:rFonts w:hint="default"/>
      </w:rPr>
    </w:lvl>
    <w:lvl w:ilvl="1">
      <w:start w:val="1"/>
      <w:numFmt w:val="decimal"/>
      <w:pStyle w:val="Numbered11"/>
      <w:lvlText w:val="%1.%2."/>
      <w:lvlJc w:val="left"/>
      <w:pPr>
        <w:ind w:left="6661" w:hanging="565"/>
      </w:pPr>
      <w:rPr>
        <w:rFonts w:hint="default"/>
      </w:rPr>
    </w:lvl>
    <w:lvl w:ilvl="2">
      <w:start w:val="1"/>
      <w:numFmt w:val="decimal"/>
      <w:pStyle w:val="Numbered111"/>
      <w:lvlText w:val="%1.%2.%3."/>
      <w:lvlJc w:val="left"/>
      <w:pPr>
        <w:ind w:left="1224" w:hanging="504"/>
      </w:pPr>
      <w:rPr>
        <w:rFonts w:hint="default"/>
      </w:rPr>
    </w:lvl>
    <w:lvl w:ilvl="3">
      <w:start w:val="1"/>
      <w:numFmt w:val="decimal"/>
      <w:pStyle w:val="Numbered1111"/>
      <w:lvlText w:val="%1.%2.%3.%4."/>
      <w:lvlJc w:val="left"/>
      <w:pPr>
        <w:ind w:left="1728" w:hanging="648"/>
      </w:pPr>
      <w:rPr>
        <w:rFonts w:hint="default"/>
      </w:rPr>
    </w:lvl>
    <w:lvl w:ilvl="4">
      <w:start w:val="1"/>
      <w:numFmt w:val="decimal"/>
      <w:pStyle w:val="Numbered11111"/>
      <w:lvlText w:val="%1.%2.%3.%4.%5."/>
      <w:lvlJc w:val="left"/>
      <w:pPr>
        <w:ind w:left="2232" w:hanging="792"/>
      </w:pPr>
      <w:rPr>
        <w:rFonts w:hint="default"/>
      </w:rPr>
    </w:lvl>
    <w:lvl w:ilvl="5">
      <w:start w:val="1"/>
      <w:numFmt w:val="decimal"/>
      <w:pStyle w:val="Numbered111111"/>
      <w:lvlText w:val="%1.%2.%3.%4.%5.%6."/>
      <w:lvlJc w:val="left"/>
      <w:pPr>
        <w:ind w:left="2736" w:hanging="936"/>
      </w:pPr>
      <w:rPr>
        <w:rFonts w:hint="default"/>
      </w:rPr>
    </w:lvl>
    <w:lvl w:ilvl="6">
      <w:start w:val="1"/>
      <w:numFmt w:val="decimal"/>
      <w:pStyle w:val="Numbered1111111"/>
      <w:lvlText w:val="%1.%2.%3.%4.%5.%6.%7."/>
      <w:lvlJc w:val="left"/>
      <w:pPr>
        <w:ind w:left="3240" w:hanging="1080"/>
      </w:pPr>
      <w:rPr>
        <w:rFonts w:hint="default"/>
      </w:rPr>
    </w:lvl>
    <w:lvl w:ilvl="7">
      <w:start w:val="1"/>
      <w:numFmt w:val="decimal"/>
      <w:pStyle w:val="Numbered11111111"/>
      <w:lvlText w:val="%1.%2.%3.%4.%5.%6.%7.%8."/>
      <w:lvlJc w:val="left"/>
      <w:pPr>
        <w:ind w:left="3744" w:hanging="1224"/>
      </w:pPr>
      <w:rPr>
        <w:rFonts w:hint="default"/>
      </w:rPr>
    </w:lvl>
    <w:lvl w:ilvl="8">
      <w:start w:val="1"/>
      <w:numFmt w:val="decimal"/>
      <w:pStyle w:val="Numbered111111111"/>
      <w:lvlText w:val="%1.%2.%3.%4.%5.%6.%7.%8.%9."/>
      <w:lvlJc w:val="left"/>
      <w:pPr>
        <w:ind w:left="4320" w:hanging="1440"/>
      </w:pPr>
      <w:rPr>
        <w:rFonts w:hint="default"/>
      </w:rPr>
    </w:lvl>
  </w:abstractNum>
  <w:abstractNum w:abstractNumId="16">
    <w:nsid w:val="1EBA6F64"/>
    <w:multiLevelType w:val="multilevel"/>
    <w:tmpl w:val="9224E526"/>
    <w:lvl w:ilvl="0">
      <w:start w:val="1"/>
      <w:numFmt w:val="decimal"/>
      <w:pStyle w:val="HeadingLevel1"/>
      <w:lvlText w:val="%1"/>
      <w:lvlJc w:val="left"/>
      <w:pPr>
        <w:ind w:left="0" w:hanging="964"/>
      </w:pPr>
      <w:rPr>
        <w:rFonts w:hint="default"/>
      </w:rPr>
    </w:lvl>
    <w:lvl w:ilvl="1">
      <w:start w:val="1"/>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1"/>
      <w:numFmt w:val="none"/>
      <w:pStyle w:val="HeadingLevel5"/>
      <w:lvlText w:val=""/>
      <w:lvlJc w:val="left"/>
      <w:pPr>
        <w:ind w:left="0" w:hanging="964"/>
      </w:pPr>
      <w:rPr>
        <w:rFonts w:hint="default"/>
      </w:rPr>
    </w:lvl>
    <w:lvl w:ilvl="5">
      <w:start w:val="1"/>
      <w:numFmt w:val="none"/>
      <w:pStyle w:val="HeadingLevel6"/>
      <w:lvlText w:val=""/>
      <w:lvlJc w:val="left"/>
      <w:pPr>
        <w:ind w:left="0" w:hanging="964"/>
      </w:pPr>
      <w:rPr>
        <w:rFonts w:hint="default"/>
      </w:rPr>
    </w:lvl>
    <w:lvl w:ilvl="6">
      <w:start w:val="1"/>
      <w:numFmt w:val="decimal"/>
      <w:pStyle w:val="HeadingLevel7figure"/>
      <w:lvlText w:val="Figure %1.%7"/>
      <w:lvlJc w:val="left"/>
      <w:pPr>
        <w:ind w:left="0" w:firstLine="0"/>
      </w:pPr>
      <w:rPr>
        <w:rFonts w:hint="default"/>
      </w:rPr>
    </w:lvl>
    <w:lvl w:ilvl="7">
      <w:start w:val="1"/>
      <w:numFmt w:val="decimal"/>
      <w:pStyle w:val="HeadingLevel8table"/>
      <w:lvlText w:val="Table %1.%8"/>
      <w:lvlJc w:val="left"/>
      <w:pPr>
        <w:ind w:left="851" w:firstLine="0"/>
      </w:pPr>
      <w:rPr>
        <w:rFonts w:hint="default"/>
      </w:rPr>
    </w:lvl>
    <w:lvl w:ilvl="8">
      <w:start w:val="1"/>
      <w:numFmt w:val="none"/>
      <w:lvlText w:val=""/>
      <w:lvlJc w:val="left"/>
      <w:pPr>
        <w:ind w:left="0" w:hanging="964"/>
      </w:pPr>
      <w:rPr>
        <w:rFonts w:hint="default"/>
      </w:rPr>
    </w:lvl>
  </w:abstractNum>
  <w:abstractNum w:abstractNumId="17">
    <w:nsid w:val="1FD85330"/>
    <w:multiLevelType w:val="hybridMultilevel"/>
    <w:tmpl w:val="1E70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2B4889"/>
    <w:multiLevelType w:val="hybridMultilevel"/>
    <w:tmpl w:val="460CA7BE"/>
    <w:lvl w:ilvl="0" w:tplc="9E7EB01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7A321C"/>
    <w:multiLevelType w:val="hybridMultilevel"/>
    <w:tmpl w:val="4F6AEF16"/>
    <w:lvl w:ilvl="0" w:tplc="1B584576">
      <w:start w:val="1"/>
      <w:numFmt w:val="decimal"/>
      <w:pStyle w:val="Questionbox"/>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7B333CB"/>
    <w:multiLevelType w:val="multilevel"/>
    <w:tmpl w:val="090C4DA2"/>
    <w:lvl w:ilvl="0">
      <w:start w:val="1"/>
      <w:numFmt w:val="bullet"/>
      <w:pStyle w:val="Bulleta"/>
      <w:lvlText w:val=""/>
      <w:lvlJc w:val="left"/>
      <w:pPr>
        <w:ind w:left="397" w:hanging="397"/>
      </w:pPr>
      <w:rPr>
        <w:rFonts w:ascii="Symbol" w:hAnsi="Symbol" w:hint="default"/>
        <w:color w:val="auto"/>
        <w:sz w:val="24"/>
      </w:rPr>
    </w:lvl>
    <w:lvl w:ilvl="1">
      <w:start w:val="1"/>
      <w:numFmt w:val="bullet"/>
      <w:pStyle w:val="Bulletb"/>
      <w:lvlText w:val=""/>
      <w:lvlJc w:val="left"/>
      <w:pPr>
        <w:ind w:left="794" w:hanging="397"/>
      </w:pPr>
      <w:rPr>
        <w:rFonts w:ascii="Symbol" w:hAnsi="Symbol" w:hint="default"/>
        <w:color w:val="auto"/>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05A216D"/>
    <w:multiLevelType w:val="hybridMultilevel"/>
    <w:tmpl w:val="B2A84B44"/>
    <w:lvl w:ilvl="0" w:tplc="79205CB4">
      <w:start w:val="1"/>
      <w:numFmt w:val="bullet"/>
      <w:pStyle w:val="Bullets"/>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start w:val="1"/>
      <w:numFmt w:val="bullet"/>
      <w:lvlText w:val=""/>
      <w:lvlJc w:val="left"/>
      <w:pPr>
        <w:ind w:left="6120" w:hanging="360"/>
      </w:pPr>
      <w:rPr>
        <w:rFonts w:ascii="Wingdings" w:hAnsi="Wingdings" w:hint="default"/>
      </w:rPr>
    </w:lvl>
  </w:abstractNum>
  <w:abstractNum w:abstractNumId="22">
    <w:nsid w:val="32116901"/>
    <w:multiLevelType w:val="hybridMultilevel"/>
    <w:tmpl w:val="CC16F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055C44"/>
    <w:multiLevelType w:val="hybridMultilevel"/>
    <w:tmpl w:val="6AB64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D8734B"/>
    <w:multiLevelType w:val="hybridMultilevel"/>
    <w:tmpl w:val="9CD62612"/>
    <w:lvl w:ilvl="0" w:tplc="0C090001">
      <w:start w:val="1"/>
      <w:numFmt w:val="bullet"/>
      <w:lvlText w:val=""/>
      <w:lvlJc w:val="left"/>
      <w:pPr>
        <w:ind w:left="720" w:hanging="360"/>
      </w:pPr>
      <w:rPr>
        <w:rFonts w:ascii="Symbol" w:hAnsi="Symbol" w:hint="default"/>
      </w:rPr>
    </w:lvl>
    <w:lvl w:ilvl="1" w:tplc="0C090003" w:tentative="1">
      <w:start w:val="1"/>
      <w:numFmt w:val="bullet"/>
      <w:pStyle w:val="Numberedparagraph1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0A7CFA"/>
    <w:multiLevelType w:val="hybridMultilevel"/>
    <w:tmpl w:val="72BE3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216137"/>
    <w:multiLevelType w:val="hybridMultilevel"/>
    <w:tmpl w:val="9A5C47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45D95A16"/>
    <w:multiLevelType w:val="hybridMultilevel"/>
    <w:tmpl w:val="8138D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42710D"/>
    <w:multiLevelType w:val="multilevel"/>
    <w:tmpl w:val="07246ED6"/>
    <w:lvl w:ilvl="0">
      <w:start w:val="1"/>
      <w:numFmt w:val="decimal"/>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pStyle w:val="Heading3"/>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B497A96"/>
    <w:multiLevelType w:val="hybridMultilevel"/>
    <w:tmpl w:val="39A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B40576"/>
    <w:multiLevelType w:val="multilevel"/>
    <w:tmpl w:val="1250F310"/>
    <w:lvl w:ilvl="0">
      <w:start w:val="1"/>
      <w:numFmt w:val="bullet"/>
      <w:pStyle w:val="Bulletpoin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nsid w:val="4D2D092A"/>
    <w:multiLevelType w:val="hybridMultilevel"/>
    <w:tmpl w:val="6408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7527D7"/>
    <w:multiLevelType w:val="hybridMultilevel"/>
    <w:tmpl w:val="1554A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0B218A"/>
    <w:multiLevelType w:val="hybridMultilevel"/>
    <w:tmpl w:val="E29A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770AA"/>
    <w:multiLevelType w:val="hybridMultilevel"/>
    <w:tmpl w:val="E968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AC62D8D"/>
    <w:multiLevelType w:val="hybridMultilevel"/>
    <w:tmpl w:val="7EB69A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7200EF"/>
    <w:multiLevelType w:val="hybridMultilevel"/>
    <w:tmpl w:val="1066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B7254D"/>
    <w:multiLevelType w:val="hybridMultilevel"/>
    <w:tmpl w:val="43DA8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D10132"/>
    <w:multiLevelType w:val="hybridMultilevel"/>
    <w:tmpl w:val="539E580C"/>
    <w:lvl w:ilvl="0" w:tplc="F22622E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4B25741"/>
    <w:multiLevelType w:val="hybridMultilevel"/>
    <w:tmpl w:val="642A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1">
    <w:nsid w:val="6E7676CA"/>
    <w:multiLevelType w:val="hybridMultilevel"/>
    <w:tmpl w:val="EF28534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3031547"/>
    <w:multiLevelType w:val="hybridMultilevel"/>
    <w:tmpl w:val="E0B4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593149"/>
    <w:multiLevelType w:val="hybridMultilevel"/>
    <w:tmpl w:val="18C2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ED2018"/>
    <w:multiLevelType w:val="hybridMultilevel"/>
    <w:tmpl w:val="CF8A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F54998"/>
    <w:multiLevelType w:val="hybridMultilevel"/>
    <w:tmpl w:val="3F24A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CE93D91"/>
    <w:multiLevelType w:val="hybridMultilevel"/>
    <w:tmpl w:val="9AAC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14047E"/>
    <w:multiLevelType w:val="hybridMultilevel"/>
    <w:tmpl w:val="27EE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6"/>
  </w:num>
  <w:num w:numId="4">
    <w:abstractNumId w:val="28"/>
  </w:num>
  <w:num w:numId="5">
    <w:abstractNumId w:val="21"/>
  </w:num>
  <w:num w:numId="6">
    <w:abstractNumId w:val="19"/>
  </w:num>
  <w:num w:numId="7">
    <w:abstractNumId w:val="4"/>
  </w:num>
  <w:num w:numId="8">
    <w:abstractNumId w:val="15"/>
  </w:num>
  <w:num w:numId="9">
    <w:abstractNumId w:val="24"/>
  </w:num>
  <w:num w:numId="10">
    <w:abstractNumId w:val="30"/>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5"/>
  </w:num>
  <w:num w:numId="15">
    <w:abstractNumId w:val="13"/>
  </w:num>
  <w:num w:numId="16">
    <w:abstractNumId w:val="3"/>
  </w:num>
  <w:num w:numId="17">
    <w:abstractNumId w:val="44"/>
  </w:num>
  <w:num w:numId="18">
    <w:abstractNumId w:val="37"/>
  </w:num>
  <w:num w:numId="19">
    <w:abstractNumId w:val="43"/>
  </w:num>
  <w:num w:numId="20">
    <w:abstractNumId w:val="26"/>
  </w:num>
  <w:num w:numId="21">
    <w:abstractNumId w:val="23"/>
  </w:num>
  <w:num w:numId="22">
    <w:abstractNumId w:val="17"/>
  </w:num>
  <w:num w:numId="23">
    <w:abstractNumId w:val="8"/>
  </w:num>
  <w:num w:numId="24">
    <w:abstractNumId w:val="34"/>
  </w:num>
  <w:num w:numId="25">
    <w:abstractNumId w:val="33"/>
  </w:num>
  <w:num w:numId="26">
    <w:abstractNumId w:val="7"/>
  </w:num>
  <w:num w:numId="27">
    <w:abstractNumId w:val="41"/>
  </w:num>
  <w:num w:numId="28">
    <w:abstractNumId w:val="22"/>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16"/>
  </w:num>
  <w:num w:numId="35">
    <w:abstractNumId w:val="40"/>
  </w:num>
  <w:num w:numId="36">
    <w:abstractNumId w:val="42"/>
  </w:num>
  <w:num w:numId="37">
    <w:abstractNumId w:val="39"/>
  </w:num>
  <w:num w:numId="38">
    <w:abstractNumId w:val="27"/>
  </w:num>
  <w:num w:numId="39">
    <w:abstractNumId w:val="6"/>
  </w:num>
  <w:num w:numId="40">
    <w:abstractNumId w:val="10"/>
  </w:num>
  <w:num w:numId="41">
    <w:abstractNumId w:val="36"/>
  </w:num>
  <w:num w:numId="42">
    <w:abstractNumId w:val="31"/>
  </w:num>
  <w:num w:numId="43">
    <w:abstractNumId w:val="1"/>
  </w:num>
  <w:num w:numId="44">
    <w:abstractNumId w:val="32"/>
  </w:num>
  <w:num w:numId="45">
    <w:abstractNumId w:val="5"/>
  </w:num>
  <w:num w:numId="46">
    <w:abstractNumId w:val="1"/>
  </w:num>
  <w:num w:numId="47">
    <w:abstractNumId w:val="1"/>
  </w:num>
  <w:num w:numId="48">
    <w:abstractNumId w:val="16"/>
  </w:num>
  <w:num w:numId="49">
    <w:abstractNumId w:val="1"/>
  </w:num>
  <w:num w:numId="50">
    <w:abstractNumId w:val="16"/>
  </w:num>
  <w:num w:numId="51">
    <w:abstractNumId w:val="16"/>
  </w:num>
  <w:num w:numId="52">
    <w:abstractNumId w:val="14"/>
  </w:num>
  <w:num w:numId="53">
    <w:abstractNumId w:val="1"/>
  </w:num>
  <w:num w:numId="54">
    <w:abstractNumId w:val="1"/>
  </w:num>
  <w:num w:numId="55">
    <w:abstractNumId w:val="46"/>
  </w:num>
  <w:num w:numId="56">
    <w:abstractNumId w:val="16"/>
  </w:num>
  <w:num w:numId="57">
    <w:abstractNumId w:val="16"/>
  </w:num>
  <w:num w:numId="58">
    <w:abstractNumId w:val="47"/>
  </w:num>
  <w:num w:numId="59">
    <w:abstractNumId w:val="16"/>
  </w:num>
  <w:num w:numId="60">
    <w:abstractNumId w:val="29"/>
  </w:num>
  <w:num w:numId="61">
    <w:abstractNumId w:val="1"/>
  </w:num>
  <w:num w:numId="62">
    <w:abstractNumId w:val="1"/>
  </w:num>
  <w:num w:numId="63">
    <w:abstractNumId w:val="1"/>
  </w:num>
  <w:num w:numId="64">
    <w:abstractNumId w:val="16"/>
  </w:num>
  <w:num w:numId="65">
    <w:abstractNumId w:val="35"/>
  </w:num>
  <w:num w:numId="66">
    <w:abstractNumId w:val="1"/>
  </w:num>
  <w:num w:numId="67">
    <w:abstractNumId w:val="16"/>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21"/>
  </w:num>
  <w:num w:numId="72">
    <w:abstractNumId w:val="21"/>
  </w:num>
  <w:num w:numId="73">
    <w:abstractNumId w:val="21"/>
  </w:num>
  <w:num w:numId="74">
    <w:abstractNumId w:val="21"/>
  </w:num>
  <w:num w:numId="75">
    <w:abstractNumId w:val="38"/>
  </w:num>
  <w:num w:numId="76">
    <w:abstractNumId w:val="12"/>
  </w:num>
  <w:num w:numId="77">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2"/>
  </w:compat>
  <w:docVars>
    <w:docVar w:name="currentname" w:val="H:\trimdata\TRIM\TEMP\HPTRIM.5372\D15 189769  TFA - 2015 DTCS FAD - further consultation paper - public version - for publication - December 2015 - FINALISED.DOCX"/>
  </w:docVars>
  <w:rsids>
    <w:rsidRoot w:val="003120D5"/>
    <w:rsid w:val="000013EF"/>
    <w:rsid w:val="00001F96"/>
    <w:rsid w:val="00002543"/>
    <w:rsid w:val="00003446"/>
    <w:rsid w:val="00004E67"/>
    <w:rsid w:val="00006141"/>
    <w:rsid w:val="00007557"/>
    <w:rsid w:val="0001027F"/>
    <w:rsid w:val="00010DD2"/>
    <w:rsid w:val="0001243A"/>
    <w:rsid w:val="00013415"/>
    <w:rsid w:val="00013497"/>
    <w:rsid w:val="00013D9C"/>
    <w:rsid w:val="000151AF"/>
    <w:rsid w:val="000152E4"/>
    <w:rsid w:val="00020634"/>
    <w:rsid w:val="00020C10"/>
    <w:rsid w:val="000213D0"/>
    <w:rsid w:val="00023CF6"/>
    <w:rsid w:val="00023E23"/>
    <w:rsid w:val="00026D10"/>
    <w:rsid w:val="00026F3E"/>
    <w:rsid w:val="000276BB"/>
    <w:rsid w:val="00031D33"/>
    <w:rsid w:val="00033D79"/>
    <w:rsid w:val="000363B9"/>
    <w:rsid w:val="00036D89"/>
    <w:rsid w:val="00040466"/>
    <w:rsid w:val="00041C95"/>
    <w:rsid w:val="00042E0A"/>
    <w:rsid w:val="00043C97"/>
    <w:rsid w:val="000443D5"/>
    <w:rsid w:val="00044707"/>
    <w:rsid w:val="00044A9B"/>
    <w:rsid w:val="000452A7"/>
    <w:rsid w:val="00045957"/>
    <w:rsid w:val="00045F21"/>
    <w:rsid w:val="00053250"/>
    <w:rsid w:val="00053367"/>
    <w:rsid w:val="00053958"/>
    <w:rsid w:val="0005481F"/>
    <w:rsid w:val="00055045"/>
    <w:rsid w:val="000567A9"/>
    <w:rsid w:val="00056C43"/>
    <w:rsid w:val="00062F59"/>
    <w:rsid w:val="000631BD"/>
    <w:rsid w:val="00063A52"/>
    <w:rsid w:val="0006549C"/>
    <w:rsid w:val="00070623"/>
    <w:rsid w:val="00070AD6"/>
    <w:rsid w:val="000736DA"/>
    <w:rsid w:val="00074BB8"/>
    <w:rsid w:val="00074D2A"/>
    <w:rsid w:val="000750D1"/>
    <w:rsid w:val="000752FA"/>
    <w:rsid w:val="0007675F"/>
    <w:rsid w:val="00076BB2"/>
    <w:rsid w:val="00081280"/>
    <w:rsid w:val="0008204C"/>
    <w:rsid w:val="00082A2C"/>
    <w:rsid w:val="0008331F"/>
    <w:rsid w:val="00084028"/>
    <w:rsid w:val="000841B0"/>
    <w:rsid w:val="00084805"/>
    <w:rsid w:val="00085A72"/>
    <w:rsid w:val="00086032"/>
    <w:rsid w:val="00086847"/>
    <w:rsid w:val="00086FCA"/>
    <w:rsid w:val="000903E6"/>
    <w:rsid w:val="00091600"/>
    <w:rsid w:val="00091FFD"/>
    <w:rsid w:val="000932BD"/>
    <w:rsid w:val="00093B20"/>
    <w:rsid w:val="000941D6"/>
    <w:rsid w:val="00094693"/>
    <w:rsid w:val="0009497D"/>
    <w:rsid w:val="00094AEE"/>
    <w:rsid w:val="00094B8C"/>
    <w:rsid w:val="000964F6"/>
    <w:rsid w:val="00097951"/>
    <w:rsid w:val="00097BBC"/>
    <w:rsid w:val="000A0008"/>
    <w:rsid w:val="000A0D2C"/>
    <w:rsid w:val="000A29A2"/>
    <w:rsid w:val="000A3C76"/>
    <w:rsid w:val="000A49A0"/>
    <w:rsid w:val="000A57F4"/>
    <w:rsid w:val="000A5939"/>
    <w:rsid w:val="000A5B4D"/>
    <w:rsid w:val="000A7641"/>
    <w:rsid w:val="000A7C8C"/>
    <w:rsid w:val="000A7DD3"/>
    <w:rsid w:val="000B05BF"/>
    <w:rsid w:val="000B1E43"/>
    <w:rsid w:val="000B3766"/>
    <w:rsid w:val="000B4C22"/>
    <w:rsid w:val="000B4E2F"/>
    <w:rsid w:val="000B5376"/>
    <w:rsid w:val="000B580D"/>
    <w:rsid w:val="000C1A6D"/>
    <w:rsid w:val="000C4BE9"/>
    <w:rsid w:val="000C55A7"/>
    <w:rsid w:val="000C5DB6"/>
    <w:rsid w:val="000D1832"/>
    <w:rsid w:val="000D193A"/>
    <w:rsid w:val="000D42BA"/>
    <w:rsid w:val="000D5D03"/>
    <w:rsid w:val="000D66F2"/>
    <w:rsid w:val="000E0231"/>
    <w:rsid w:val="000E053B"/>
    <w:rsid w:val="000E0D50"/>
    <w:rsid w:val="000E36D5"/>
    <w:rsid w:val="000E56A9"/>
    <w:rsid w:val="000E6030"/>
    <w:rsid w:val="000E6BEB"/>
    <w:rsid w:val="000E74D5"/>
    <w:rsid w:val="000F0165"/>
    <w:rsid w:val="000F09F9"/>
    <w:rsid w:val="000F15DC"/>
    <w:rsid w:val="000F1B5A"/>
    <w:rsid w:val="000F2CD8"/>
    <w:rsid w:val="000F3088"/>
    <w:rsid w:val="000F3447"/>
    <w:rsid w:val="000F3B9D"/>
    <w:rsid w:val="000F3E02"/>
    <w:rsid w:val="000F42CC"/>
    <w:rsid w:val="000F435A"/>
    <w:rsid w:val="000F5A5E"/>
    <w:rsid w:val="000F78EA"/>
    <w:rsid w:val="000F7E48"/>
    <w:rsid w:val="00100AB2"/>
    <w:rsid w:val="001015A2"/>
    <w:rsid w:val="001023D1"/>
    <w:rsid w:val="00104EA5"/>
    <w:rsid w:val="00106BB8"/>
    <w:rsid w:val="00107019"/>
    <w:rsid w:val="00107AB0"/>
    <w:rsid w:val="001116C2"/>
    <w:rsid w:val="0011262D"/>
    <w:rsid w:val="00112902"/>
    <w:rsid w:val="00112941"/>
    <w:rsid w:val="00113A3F"/>
    <w:rsid w:val="00113C70"/>
    <w:rsid w:val="001167BE"/>
    <w:rsid w:val="00117BC8"/>
    <w:rsid w:val="001209CE"/>
    <w:rsid w:val="0012113B"/>
    <w:rsid w:val="0012128F"/>
    <w:rsid w:val="00121E08"/>
    <w:rsid w:val="00124025"/>
    <w:rsid w:val="0012616F"/>
    <w:rsid w:val="001263AB"/>
    <w:rsid w:val="00126B31"/>
    <w:rsid w:val="00133612"/>
    <w:rsid w:val="001343E3"/>
    <w:rsid w:val="00136CA1"/>
    <w:rsid w:val="00137A59"/>
    <w:rsid w:val="001400BA"/>
    <w:rsid w:val="00140160"/>
    <w:rsid w:val="00141C82"/>
    <w:rsid w:val="001439AB"/>
    <w:rsid w:val="00144E1A"/>
    <w:rsid w:val="001465E4"/>
    <w:rsid w:val="00147056"/>
    <w:rsid w:val="001476AD"/>
    <w:rsid w:val="001477F5"/>
    <w:rsid w:val="00147B38"/>
    <w:rsid w:val="00150A0B"/>
    <w:rsid w:val="00150A1E"/>
    <w:rsid w:val="00151F43"/>
    <w:rsid w:val="00152CFA"/>
    <w:rsid w:val="00153F8F"/>
    <w:rsid w:val="00153FB0"/>
    <w:rsid w:val="00154DDC"/>
    <w:rsid w:val="00155557"/>
    <w:rsid w:val="00155F87"/>
    <w:rsid w:val="001563CE"/>
    <w:rsid w:val="0015761D"/>
    <w:rsid w:val="00157A13"/>
    <w:rsid w:val="00160A23"/>
    <w:rsid w:val="00161B9A"/>
    <w:rsid w:val="00162236"/>
    <w:rsid w:val="001628C3"/>
    <w:rsid w:val="00164E0D"/>
    <w:rsid w:val="0016542C"/>
    <w:rsid w:val="00165C4D"/>
    <w:rsid w:val="00165EFB"/>
    <w:rsid w:val="00166256"/>
    <w:rsid w:val="00166B39"/>
    <w:rsid w:val="00166E3E"/>
    <w:rsid w:val="001712A5"/>
    <w:rsid w:val="001717B2"/>
    <w:rsid w:val="001717E8"/>
    <w:rsid w:val="00171E1D"/>
    <w:rsid w:val="00172053"/>
    <w:rsid w:val="001731D7"/>
    <w:rsid w:val="00174A66"/>
    <w:rsid w:val="00174A88"/>
    <w:rsid w:val="00174C62"/>
    <w:rsid w:val="00177310"/>
    <w:rsid w:val="001775B2"/>
    <w:rsid w:val="0017787C"/>
    <w:rsid w:val="00177EAA"/>
    <w:rsid w:val="001810C4"/>
    <w:rsid w:val="001811BD"/>
    <w:rsid w:val="001818AE"/>
    <w:rsid w:val="00183A61"/>
    <w:rsid w:val="00184748"/>
    <w:rsid w:val="00184D08"/>
    <w:rsid w:val="00186B6A"/>
    <w:rsid w:val="00186CF6"/>
    <w:rsid w:val="0019141F"/>
    <w:rsid w:val="001930F9"/>
    <w:rsid w:val="00193BBF"/>
    <w:rsid w:val="0019450C"/>
    <w:rsid w:val="00195D2C"/>
    <w:rsid w:val="00195E68"/>
    <w:rsid w:val="00196265"/>
    <w:rsid w:val="00196D01"/>
    <w:rsid w:val="001972E2"/>
    <w:rsid w:val="001A00D4"/>
    <w:rsid w:val="001A00E8"/>
    <w:rsid w:val="001A0E87"/>
    <w:rsid w:val="001A1870"/>
    <w:rsid w:val="001A4188"/>
    <w:rsid w:val="001A4B85"/>
    <w:rsid w:val="001A52A1"/>
    <w:rsid w:val="001A5E9E"/>
    <w:rsid w:val="001A7BF5"/>
    <w:rsid w:val="001B3195"/>
    <w:rsid w:val="001B41EB"/>
    <w:rsid w:val="001B4500"/>
    <w:rsid w:val="001B55C6"/>
    <w:rsid w:val="001B5D38"/>
    <w:rsid w:val="001B5E68"/>
    <w:rsid w:val="001B7967"/>
    <w:rsid w:val="001C13B7"/>
    <w:rsid w:val="001C1BCB"/>
    <w:rsid w:val="001C3C1C"/>
    <w:rsid w:val="001C4369"/>
    <w:rsid w:val="001C46F8"/>
    <w:rsid w:val="001C4CCB"/>
    <w:rsid w:val="001C4F0A"/>
    <w:rsid w:val="001D0A0C"/>
    <w:rsid w:val="001D1A27"/>
    <w:rsid w:val="001D2857"/>
    <w:rsid w:val="001D37FA"/>
    <w:rsid w:val="001D4182"/>
    <w:rsid w:val="001D4584"/>
    <w:rsid w:val="001D48E0"/>
    <w:rsid w:val="001D680E"/>
    <w:rsid w:val="001D7188"/>
    <w:rsid w:val="001D77AF"/>
    <w:rsid w:val="001D7CF5"/>
    <w:rsid w:val="001E0DD6"/>
    <w:rsid w:val="001E1447"/>
    <w:rsid w:val="001E3F40"/>
    <w:rsid w:val="001E4C58"/>
    <w:rsid w:val="001E4E84"/>
    <w:rsid w:val="001E58D8"/>
    <w:rsid w:val="001E5C09"/>
    <w:rsid w:val="001E7404"/>
    <w:rsid w:val="001E7547"/>
    <w:rsid w:val="001F080A"/>
    <w:rsid w:val="001F0E6B"/>
    <w:rsid w:val="001F106C"/>
    <w:rsid w:val="001F3C70"/>
    <w:rsid w:val="001F4338"/>
    <w:rsid w:val="001F4AC5"/>
    <w:rsid w:val="001F4C4D"/>
    <w:rsid w:val="001F5524"/>
    <w:rsid w:val="001F5F2A"/>
    <w:rsid w:val="001F6C8E"/>
    <w:rsid w:val="001F743A"/>
    <w:rsid w:val="001F7458"/>
    <w:rsid w:val="001F77AF"/>
    <w:rsid w:val="00200833"/>
    <w:rsid w:val="00201A35"/>
    <w:rsid w:val="00202C86"/>
    <w:rsid w:val="00203BDA"/>
    <w:rsid w:val="00206231"/>
    <w:rsid w:val="002064A5"/>
    <w:rsid w:val="00207065"/>
    <w:rsid w:val="002134F6"/>
    <w:rsid w:val="00213936"/>
    <w:rsid w:val="00213B79"/>
    <w:rsid w:val="00215516"/>
    <w:rsid w:val="00217138"/>
    <w:rsid w:val="002179B1"/>
    <w:rsid w:val="002203B2"/>
    <w:rsid w:val="00220F05"/>
    <w:rsid w:val="00221745"/>
    <w:rsid w:val="00222197"/>
    <w:rsid w:val="00222504"/>
    <w:rsid w:val="00223A8F"/>
    <w:rsid w:val="00223B6A"/>
    <w:rsid w:val="002240CB"/>
    <w:rsid w:val="002250AA"/>
    <w:rsid w:val="002252B0"/>
    <w:rsid w:val="00227781"/>
    <w:rsid w:val="00231945"/>
    <w:rsid w:val="002323A8"/>
    <w:rsid w:val="00232757"/>
    <w:rsid w:val="00233D17"/>
    <w:rsid w:val="00234AAA"/>
    <w:rsid w:val="00234B92"/>
    <w:rsid w:val="00235325"/>
    <w:rsid w:val="00235A2C"/>
    <w:rsid w:val="00236563"/>
    <w:rsid w:val="002401E8"/>
    <w:rsid w:val="0024244D"/>
    <w:rsid w:val="00242E2E"/>
    <w:rsid w:val="00243719"/>
    <w:rsid w:val="00245204"/>
    <w:rsid w:val="0024615A"/>
    <w:rsid w:val="00246367"/>
    <w:rsid w:val="002465E1"/>
    <w:rsid w:val="00247157"/>
    <w:rsid w:val="002514FA"/>
    <w:rsid w:val="00252CAB"/>
    <w:rsid w:val="00252F39"/>
    <w:rsid w:val="00253256"/>
    <w:rsid w:val="002555BB"/>
    <w:rsid w:val="002571CF"/>
    <w:rsid w:val="002609B6"/>
    <w:rsid w:val="00263B92"/>
    <w:rsid w:val="00265138"/>
    <w:rsid w:val="002651EE"/>
    <w:rsid w:val="002676B0"/>
    <w:rsid w:val="00267C6D"/>
    <w:rsid w:val="002719B7"/>
    <w:rsid w:val="00271A24"/>
    <w:rsid w:val="00272FB6"/>
    <w:rsid w:val="002743FA"/>
    <w:rsid w:val="0027449B"/>
    <w:rsid w:val="002804FA"/>
    <w:rsid w:val="00280E94"/>
    <w:rsid w:val="0028179F"/>
    <w:rsid w:val="002821A5"/>
    <w:rsid w:val="00282B57"/>
    <w:rsid w:val="00282D26"/>
    <w:rsid w:val="00283281"/>
    <w:rsid w:val="00284B9C"/>
    <w:rsid w:val="00284D39"/>
    <w:rsid w:val="00285BAA"/>
    <w:rsid w:val="00286BA8"/>
    <w:rsid w:val="002905E2"/>
    <w:rsid w:val="00290F49"/>
    <w:rsid w:val="0029484F"/>
    <w:rsid w:val="00295F18"/>
    <w:rsid w:val="002962CC"/>
    <w:rsid w:val="0029636C"/>
    <w:rsid w:val="002A2868"/>
    <w:rsid w:val="002A2891"/>
    <w:rsid w:val="002A433D"/>
    <w:rsid w:val="002A49D3"/>
    <w:rsid w:val="002A4B7A"/>
    <w:rsid w:val="002A5983"/>
    <w:rsid w:val="002A65A1"/>
    <w:rsid w:val="002B120E"/>
    <w:rsid w:val="002B18C7"/>
    <w:rsid w:val="002B2180"/>
    <w:rsid w:val="002B56EE"/>
    <w:rsid w:val="002B5F4B"/>
    <w:rsid w:val="002B7389"/>
    <w:rsid w:val="002B76BF"/>
    <w:rsid w:val="002C0F27"/>
    <w:rsid w:val="002C1795"/>
    <w:rsid w:val="002C2433"/>
    <w:rsid w:val="002C4AA7"/>
    <w:rsid w:val="002C6BDF"/>
    <w:rsid w:val="002D3207"/>
    <w:rsid w:val="002D4448"/>
    <w:rsid w:val="002D4FE0"/>
    <w:rsid w:val="002D58FD"/>
    <w:rsid w:val="002D5B26"/>
    <w:rsid w:val="002D6F2D"/>
    <w:rsid w:val="002D7BE5"/>
    <w:rsid w:val="002E0AEF"/>
    <w:rsid w:val="002E18EA"/>
    <w:rsid w:val="002E1B78"/>
    <w:rsid w:val="002E1B7B"/>
    <w:rsid w:val="002E2457"/>
    <w:rsid w:val="002E2CCF"/>
    <w:rsid w:val="002E36E9"/>
    <w:rsid w:val="002E4DB4"/>
    <w:rsid w:val="002E6761"/>
    <w:rsid w:val="002F1D22"/>
    <w:rsid w:val="002F2A1B"/>
    <w:rsid w:val="002F2C8D"/>
    <w:rsid w:val="002F3AD2"/>
    <w:rsid w:val="002F4C02"/>
    <w:rsid w:val="002F6284"/>
    <w:rsid w:val="00303B13"/>
    <w:rsid w:val="003048FF"/>
    <w:rsid w:val="003056AC"/>
    <w:rsid w:val="00306179"/>
    <w:rsid w:val="00306DBD"/>
    <w:rsid w:val="00307674"/>
    <w:rsid w:val="00307A98"/>
    <w:rsid w:val="003111B7"/>
    <w:rsid w:val="003120D5"/>
    <w:rsid w:val="00312A53"/>
    <w:rsid w:val="00313752"/>
    <w:rsid w:val="00314019"/>
    <w:rsid w:val="00314304"/>
    <w:rsid w:val="00314826"/>
    <w:rsid w:val="003165B6"/>
    <w:rsid w:val="00316E0D"/>
    <w:rsid w:val="0032245D"/>
    <w:rsid w:val="00322E6F"/>
    <w:rsid w:val="003250E1"/>
    <w:rsid w:val="00325718"/>
    <w:rsid w:val="00325FE0"/>
    <w:rsid w:val="0032607D"/>
    <w:rsid w:val="00326331"/>
    <w:rsid w:val="003273B5"/>
    <w:rsid w:val="003302D0"/>
    <w:rsid w:val="0033117A"/>
    <w:rsid w:val="00332520"/>
    <w:rsid w:val="003344A5"/>
    <w:rsid w:val="0033520D"/>
    <w:rsid w:val="00335322"/>
    <w:rsid w:val="00335E01"/>
    <w:rsid w:val="0033619F"/>
    <w:rsid w:val="00336FAC"/>
    <w:rsid w:val="0033710F"/>
    <w:rsid w:val="003406F8"/>
    <w:rsid w:val="0034195B"/>
    <w:rsid w:val="003430C6"/>
    <w:rsid w:val="0034361C"/>
    <w:rsid w:val="00345C76"/>
    <w:rsid w:val="00346436"/>
    <w:rsid w:val="00347B9E"/>
    <w:rsid w:val="00351EA9"/>
    <w:rsid w:val="00352FEA"/>
    <w:rsid w:val="00354B4C"/>
    <w:rsid w:val="00355A98"/>
    <w:rsid w:val="00356620"/>
    <w:rsid w:val="003603EF"/>
    <w:rsid w:val="00360FBE"/>
    <w:rsid w:val="00362E44"/>
    <w:rsid w:val="003636E0"/>
    <w:rsid w:val="0036394F"/>
    <w:rsid w:val="003643BB"/>
    <w:rsid w:val="00364A86"/>
    <w:rsid w:val="0036671F"/>
    <w:rsid w:val="00370DFE"/>
    <w:rsid w:val="0037123B"/>
    <w:rsid w:val="003714F7"/>
    <w:rsid w:val="003720CB"/>
    <w:rsid w:val="00372D5E"/>
    <w:rsid w:val="003736D4"/>
    <w:rsid w:val="0037468F"/>
    <w:rsid w:val="003777ED"/>
    <w:rsid w:val="00380D1D"/>
    <w:rsid w:val="00383E4B"/>
    <w:rsid w:val="00386B05"/>
    <w:rsid w:val="0039028D"/>
    <w:rsid w:val="00391D93"/>
    <w:rsid w:val="00392B22"/>
    <w:rsid w:val="00392EC1"/>
    <w:rsid w:val="00393D24"/>
    <w:rsid w:val="003942F3"/>
    <w:rsid w:val="00395BED"/>
    <w:rsid w:val="00396661"/>
    <w:rsid w:val="00396784"/>
    <w:rsid w:val="00396D07"/>
    <w:rsid w:val="003A0D86"/>
    <w:rsid w:val="003A17CF"/>
    <w:rsid w:val="003A2045"/>
    <w:rsid w:val="003A2341"/>
    <w:rsid w:val="003A25C3"/>
    <w:rsid w:val="003A3A43"/>
    <w:rsid w:val="003A4832"/>
    <w:rsid w:val="003A5B4C"/>
    <w:rsid w:val="003A695A"/>
    <w:rsid w:val="003A770E"/>
    <w:rsid w:val="003A7A7B"/>
    <w:rsid w:val="003B10F9"/>
    <w:rsid w:val="003B1301"/>
    <w:rsid w:val="003B2190"/>
    <w:rsid w:val="003B365F"/>
    <w:rsid w:val="003B3E17"/>
    <w:rsid w:val="003B6E53"/>
    <w:rsid w:val="003B74F8"/>
    <w:rsid w:val="003C1DB1"/>
    <w:rsid w:val="003C1DCE"/>
    <w:rsid w:val="003C2F39"/>
    <w:rsid w:val="003C376F"/>
    <w:rsid w:val="003C42D8"/>
    <w:rsid w:val="003C4538"/>
    <w:rsid w:val="003C51B3"/>
    <w:rsid w:val="003C5DC3"/>
    <w:rsid w:val="003C6609"/>
    <w:rsid w:val="003C6E01"/>
    <w:rsid w:val="003D1509"/>
    <w:rsid w:val="003D1D55"/>
    <w:rsid w:val="003D40F4"/>
    <w:rsid w:val="003D6D52"/>
    <w:rsid w:val="003E05A9"/>
    <w:rsid w:val="003E0864"/>
    <w:rsid w:val="003E4440"/>
    <w:rsid w:val="003E461C"/>
    <w:rsid w:val="003E474E"/>
    <w:rsid w:val="003E5D3D"/>
    <w:rsid w:val="003E5E66"/>
    <w:rsid w:val="003E6117"/>
    <w:rsid w:val="003E6FA0"/>
    <w:rsid w:val="003E72F6"/>
    <w:rsid w:val="003E7502"/>
    <w:rsid w:val="003F05C0"/>
    <w:rsid w:val="003F366C"/>
    <w:rsid w:val="003F3B18"/>
    <w:rsid w:val="003F4866"/>
    <w:rsid w:val="003F5B24"/>
    <w:rsid w:val="003F647C"/>
    <w:rsid w:val="003F6A25"/>
    <w:rsid w:val="003F6E7B"/>
    <w:rsid w:val="003F7F00"/>
    <w:rsid w:val="00401818"/>
    <w:rsid w:val="00401EB7"/>
    <w:rsid w:val="00404D59"/>
    <w:rsid w:val="00404E92"/>
    <w:rsid w:val="00407D7D"/>
    <w:rsid w:val="00411E46"/>
    <w:rsid w:val="00412CE3"/>
    <w:rsid w:val="004138B1"/>
    <w:rsid w:val="004163C3"/>
    <w:rsid w:val="004172AE"/>
    <w:rsid w:val="004205D8"/>
    <w:rsid w:val="004209E1"/>
    <w:rsid w:val="0042298B"/>
    <w:rsid w:val="00426D4F"/>
    <w:rsid w:val="00432104"/>
    <w:rsid w:val="00432325"/>
    <w:rsid w:val="00433CD2"/>
    <w:rsid w:val="0043428F"/>
    <w:rsid w:val="0043460C"/>
    <w:rsid w:val="0043487A"/>
    <w:rsid w:val="00435028"/>
    <w:rsid w:val="00435463"/>
    <w:rsid w:val="004355FD"/>
    <w:rsid w:val="00435BDD"/>
    <w:rsid w:val="00436531"/>
    <w:rsid w:val="004367CE"/>
    <w:rsid w:val="00436E11"/>
    <w:rsid w:val="0044006E"/>
    <w:rsid w:val="004400CA"/>
    <w:rsid w:val="00440D60"/>
    <w:rsid w:val="00440E5D"/>
    <w:rsid w:val="0044190B"/>
    <w:rsid w:val="004427EC"/>
    <w:rsid w:val="0044342C"/>
    <w:rsid w:val="00443D2F"/>
    <w:rsid w:val="0044435F"/>
    <w:rsid w:val="0044468C"/>
    <w:rsid w:val="004452ED"/>
    <w:rsid w:val="00445F34"/>
    <w:rsid w:val="00445F59"/>
    <w:rsid w:val="00453E4D"/>
    <w:rsid w:val="004544B0"/>
    <w:rsid w:val="00455EF3"/>
    <w:rsid w:val="00460999"/>
    <w:rsid w:val="00460F59"/>
    <w:rsid w:val="00461C50"/>
    <w:rsid w:val="0046351B"/>
    <w:rsid w:val="0046397F"/>
    <w:rsid w:val="00465B1A"/>
    <w:rsid w:val="00466950"/>
    <w:rsid w:val="004704A9"/>
    <w:rsid w:val="00470903"/>
    <w:rsid w:val="00470E25"/>
    <w:rsid w:val="00472282"/>
    <w:rsid w:val="00474608"/>
    <w:rsid w:val="00475B4E"/>
    <w:rsid w:val="0047613D"/>
    <w:rsid w:val="004763FB"/>
    <w:rsid w:val="00480789"/>
    <w:rsid w:val="004810DD"/>
    <w:rsid w:val="0048184D"/>
    <w:rsid w:val="004819E8"/>
    <w:rsid w:val="00482939"/>
    <w:rsid w:val="00483A01"/>
    <w:rsid w:val="00483A39"/>
    <w:rsid w:val="00483A49"/>
    <w:rsid w:val="00483FF6"/>
    <w:rsid w:val="00484DA8"/>
    <w:rsid w:val="00485213"/>
    <w:rsid w:val="00485403"/>
    <w:rsid w:val="004864D1"/>
    <w:rsid w:val="00487EA9"/>
    <w:rsid w:val="0049030A"/>
    <w:rsid w:val="00490FAD"/>
    <w:rsid w:val="0049167C"/>
    <w:rsid w:val="00491C67"/>
    <w:rsid w:val="00491CD1"/>
    <w:rsid w:val="0049274C"/>
    <w:rsid w:val="00492FA2"/>
    <w:rsid w:val="00493589"/>
    <w:rsid w:val="00493B5F"/>
    <w:rsid w:val="00494E89"/>
    <w:rsid w:val="00495F97"/>
    <w:rsid w:val="00496EF2"/>
    <w:rsid w:val="004A0FA8"/>
    <w:rsid w:val="004A1EB4"/>
    <w:rsid w:val="004A39DD"/>
    <w:rsid w:val="004A4AF4"/>
    <w:rsid w:val="004A4F62"/>
    <w:rsid w:val="004A4FF2"/>
    <w:rsid w:val="004A51EF"/>
    <w:rsid w:val="004B14BE"/>
    <w:rsid w:val="004B1A03"/>
    <w:rsid w:val="004B1EF6"/>
    <w:rsid w:val="004B2E8D"/>
    <w:rsid w:val="004B3370"/>
    <w:rsid w:val="004B4A33"/>
    <w:rsid w:val="004B5C81"/>
    <w:rsid w:val="004B78AC"/>
    <w:rsid w:val="004B7DF1"/>
    <w:rsid w:val="004B7F92"/>
    <w:rsid w:val="004C0152"/>
    <w:rsid w:val="004C0261"/>
    <w:rsid w:val="004C07D5"/>
    <w:rsid w:val="004C0AAA"/>
    <w:rsid w:val="004C2168"/>
    <w:rsid w:val="004C2695"/>
    <w:rsid w:val="004C2FEA"/>
    <w:rsid w:val="004C4817"/>
    <w:rsid w:val="004C492F"/>
    <w:rsid w:val="004C524A"/>
    <w:rsid w:val="004C6DE0"/>
    <w:rsid w:val="004D0471"/>
    <w:rsid w:val="004D07C3"/>
    <w:rsid w:val="004D0856"/>
    <w:rsid w:val="004D1BB6"/>
    <w:rsid w:val="004D2235"/>
    <w:rsid w:val="004D296B"/>
    <w:rsid w:val="004D43C9"/>
    <w:rsid w:val="004D4F70"/>
    <w:rsid w:val="004D733B"/>
    <w:rsid w:val="004D76D9"/>
    <w:rsid w:val="004D79D8"/>
    <w:rsid w:val="004E0CDC"/>
    <w:rsid w:val="004E0E49"/>
    <w:rsid w:val="004E22AA"/>
    <w:rsid w:val="004E421E"/>
    <w:rsid w:val="004E50E9"/>
    <w:rsid w:val="004E5513"/>
    <w:rsid w:val="004E5E50"/>
    <w:rsid w:val="004E684F"/>
    <w:rsid w:val="004E71AA"/>
    <w:rsid w:val="004E781B"/>
    <w:rsid w:val="004E7884"/>
    <w:rsid w:val="004E7E32"/>
    <w:rsid w:val="004F3F12"/>
    <w:rsid w:val="004F59D8"/>
    <w:rsid w:val="004F6AFE"/>
    <w:rsid w:val="004F79E4"/>
    <w:rsid w:val="00500775"/>
    <w:rsid w:val="00501436"/>
    <w:rsid w:val="005017BD"/>
    <w:rsid w:val="00505A4C"/>
    <w:rsid w:val="00506FC4"/>
    <w:rsid w:val="00510735"/>
    <w:rsid w:val="00513631"/>
    <w:rsid w:val="00515308"/>
    <w:rsid w:val="005242D7"/>
    <w:rsid w:val="005249B4"/>
    <w:rsid w:val="005252A2"/>
    <w:rsid w:val="00527142"/>
    <w:rsid w:val="00527190"/>
    <w:rsid w:val="00527734"/>
    <w:rsid w:val="00530530"/>
    <w:rsid w:val="005325C1"/>
    <w:rsid w:val="0053345D"/>
    <w:rsid w:val="005334D1"/>
    <w:rsid w:val="005351DB"/>
    <w:rsid w:val="0053526A"/>
    <w:rsid w:val="00535AF1"/>
    <w:rsid w:val="00540235"/>
    <w:rsid w:val="00540D3B"/>
    <w:rsid w:val="00542ACF"/>
    <w:rsid w:val="00542C8E"/>
    <w:rsid w:val="00542F1C"/>
    <w:rsid w:val="00544053"/>
    <w:rsid w:val="00547A08"/>
    <w:rsid w:val="00547D5F"/>
    <w:rsid w:val="005503D8"/>
    <w:rsid w:val="0055073C"/>
    <w:rsid w:val="00551023"/>
    <w:rsid w:val="00551DA9"/>
    <w:rsid w:val="005526DD"/>
    <w:rsid w:val="00554306"/>
    <w:rsid w:val="00554990"/>
    <w:rsid w:val="00554B3F"/>
    <w:rsid w:val="00554BED"/>
    <w:rsid w:val="005560EA"/>
    <w:rsid w:val="00556455"/>
    <w:rsid w:val="005635EA"/>
    <w:rsid w:val="00563838"/>
    <w:rsid w:val="00564247"/>
    <w:rsid w:val="00564487"/>
    <w:rsid w:val="00565B10"/>
    <w:rsid w:val="00566EEB"/>
    <w:rsid w:val="00567DA8"/>
    <w:rsid w:val="00570CC4"/>
    <w:rsid w:val="00572ED2"/>
    <w:rsid w:val="00572FB4"/>
    <w:rsid w:val="00573C00"/>
    <w:rsid w:val="005763F5"/>
    <w:rsid w:val="005768BA"/>
    <w:rsid w:val="00577F04"/>
    <w:rsid w:val="00580202"/>
    <w:rsid w:val="00580236"/>
    <w:rsid w:val="00581013"/>
    <w:rsid w:val="00581A27"/>
    <w:rsid w:val="00582B24"/>
    <w:rsid w:val="00584101"/>
    <w:rsid w:val="0058616B"/>
    <w:rsid w:val="00586293"/>
    <w:rsid w:val="00587780"/>
    <w:rsid w:val="00590160"/>
    <w:rsid w:val="005932B4"/>
    <w:rsid w:val="0059394D"/>
    <w:rsid w:val="0059400B"/>
    <w:rsid w:val="00594BF2"/>
    <w:rsid w:val="005951F0"/>
    <w:rsid w:val="00596090"/>
    <w:rsid w:val="005977E6"/>
    <w:rsid w:val="005979E2"/>
    <w:rsid w:val="005A041D"/>
    <w:rsid w:val="005A0887"/>
    <w:rsid w:val="005A1154"/>
    <w:rsid w:val="005A54B9"/>
    <w:rsid w:val="005A5703"/>
    <w:rsid w:val="005A62E7"/>
    <w:rsid w:val="005B12CC"/>
    <w:rsid w:val="005B1471"/>
    <w:rsid w:val="005B1604"/>
    <w:rsid w:val="005B3BDA"/>
    <w:rsid w:val="005B3C4C"/>
    <w:rsid w:val="005B3F10"/>
    <w:rsid w:val="005B5BFC"/>
    <w:rsid w:val="005B631F"/>
    <w:rsid w:val="005B6A47"/>
    <w:rsid w:val="005B7753"/>
    <w:rsid w:val="005C3196"/>
    <w:rsid w:val="005C42B3"/>
    <w:rsid w:val="005C4C28"/>
    <w:rsid w:val="005C61D3"/>
    <w:rsid w:val="005C6B0B"/>
    <w:rsid w:val="005C6C9E"/>
    <w:rsid w:val="005C7032"/>
    <w:rsid w:val="005D0778"/>
    <w:rsid w:val="005D4040"/>
    <w:rsid w:val="005D540C"/>
    <w:rsid w:val="005D6D13"/>
    <w:rsid w:val="005D6E70"/>
    <w:rsid w:val="005E0322"/>
    <w:rsid w:val="005E05D8"/>
    <w:rsid w:val="005E0CEE"/>
    <w:rsid w:val="005E121D"/>
    <w:rsid w:val="005E28AC"/>
    <w:rsid w:val="005E2989"/>
    <w:rsid w:val="005E6036"/>
    <w:rsid w:val="005E7D74"/>
    <w:rsid w:val="005F008F"/>
    <w:rsid w:val="005F0968"/>
    <w:rsid w:val="005F26FF"/>
    <w:rsid w:val="005F27E2"/>
    <w:rsid w:val="005F2B25"/>
    <w:rsid w:val="005F2F29"/>
    <w:rsid w:val="005F3007"/>
    <w:rsid w:val="005F366A"/>
    <w:rsid w:val="005F3968"/>
    <w:rsid w:val="005F5A19"/>
    <w:rsid w:val="005F7740"/>
    <w:rsid w:val="005F7FA1"/>
    <w:rsid w:val="00600340"/>
    <w:rsid w:val="006011F6"/>
    <w:rsid w:val="00601ACA"/>
    <w:rsid w:val="00603677"/>
    <w:rsid w:val="00603FDC"/>
    <w:rsid w:val="00604AEF"/>
    <w:rsid w:val="00604FD2"/>
    <w:rsid w:val="006057B0"/>
    <w:rsid w:val="00605CCC"/>
    <w:rsid w:val="006101A0"/>
    <w:rsid w:val="006101AB"/>
    <w:rsid w:val="00612AFF"/>
    <w:rsid w:val="00613408"/>
    <w:rsid w:val="0061382A"/>
    <w:rsid w:val="00613F9F"/>
    <w:rsid w:val="00615123"/>
    <w:rsid w:val="006169C8"/>
    <w:rsid w:val="006171F3"/>
    <w:rsid w:val="00620B8C"/>
    <w:rsid w:val="00622292"/>
    <w:rsid w:val="00624307"/>
    <w:rsid w:val="00624CCD"/>
    <w:rsid w:val="00625CD5"/>
    <w:rsid w:val="00626180"/>
    <w:rsid w:val="006261C3"/>
    <w:rsid w:val="00626A9A"/>
    <w:rsid w:val="006279C7"/>
    <w:rsid w:val="0063016C"/>
    <w:rsid w:val="00630593"/>
    <w:rsid w:val="00630BD8"/>
    <w:rsid w:val="00631668"/>
    <w:rsid w:val="00631C90"/>
    <w:rsid w:val="00632DC8"/>
    <w:rsid w:val="00633988"/>
    <w:rsid w:val="00634349"/>
    <w:rsid w:val="00634FF9"/>
    <w:rsid w:val="00635B90"/>
    <w:rsid w:val="00641019"/>
    <w:rsid w:val="006428AB"/>
    <w:rsid w:val="00643711"/>
    <w:rsid w:val="00643722"/>
    <w:rsid w:val="00644D97"/>
    <w:rsid w:val="00645FF8"/>
    <w:rsid w:val="0064726D"/>
    <w:rsid w:val="0064791B"/>
    <w:rsid w:val="0065342B"/>
    <w:rsid w:val="00654308"/>
    <w:rsid w:val="00654897"/>
    <w:rsid w:val="00654D79"/>
    <w:rsid w:val="00656025"/>
    <w:rsid w:val="006566C1"/>
    <w:rsid w:val="00656CFC"/>
    <w:rsid w:val="00657480"/>
    <w:rsid w:val="00657F3C"/>
    <w:rsid w:val="00657FF9"/>
    <w:rsid w:val="00660CA4"/>
    <w:rsid w:val="00660E68"/>
    <w:rsid w:val="0066145E"/>
    <w:rsid w:val="006616A1"/>
    <w:rsid w:val="0066265E"/>
    <w:rsid w:val="00664737"/>
    <w:rsid w:val="00664A41"/>
    <w:rsid w:val="006650A1"/>
    <w:rsid w:val="006662D2"/>
    <w:rsid w:val="006713FD"/>
    <w:rsid w:val="00672488"/>
    <w:rsid w:val="00673553"/>
    <w:rsid w:val="00674559"/>
    <w:rsid w:val="0067580A"/>
    <w:rsid w:val="006758C5"/>
    <w:rsid w:val="00676801"/>
    <w:rsid w:val="00676CB2"/>
    <w:rsid w:val="00677072"/>
    <w:rsid w:val="00680EF0"/>
    <w:rsid w:val="00683B70"/>
    <w:rsid w:val="006841AC"/>
    <w:rsid w:val="00684637"/>
    <w:rsid w:val="00690FB1"/>
    <w:rsid w:val="00692055"/>
    <w:rsid w:val="00692141"/>
    <w:rsid w:val="00692947"/>
    <w:rsid w:val="00695034"/>
    <w:rsid w:val="00695AE4"/>
    <w:rsid w:val="00696C40"/>
    <w:rsid w:val="00696F7F"/>
    <w:rsid w:val="00697431"/>
    <w:rsid w:val="0069761C"/>
    <w:rsid w:val="0069764A"/>
    <w:rsid w:val="006A01A6"/>
    <w:rsid w:val="006A0F87"/>
    <w:rsid w:val="006A0FF7"/>
    <w:rsid w:val="006A27CC"/>
    <w:rsid w:val="006A2C95"/>
    <w:rsid w:val="006A4A52"/>
    <w:rsid w:val="006A4ADA"/>
    <w:rsid w:val="006B06CD"/>
    <w:rsid w:val="006B07AD"/>
    <w:rsid w:val="006B10C7"/>
    <w:rsid w:val="006B30D9"/>
    <w:rsid w:val="006B31AC"/>
    <w:rsid w:val="006B39AC"/>
    <w:rsid w:val="006B3A19"/>
    <w:rsid w:val="006B41A7"/>
    <w:rsid w:val="006B4F4B"/>
    <w:rsid w:val="006B521A"/>
    <w:rsid w:val="006B5D80"/>
    <w:rsid w:val="006B6FE3"/>
    <w:rsid w:val="006B7259"/>
    <w:rsid w:val="006B7E7D"/>
    <w:rsid w:val="006C03E7"/>
    <w:rsid w:val="006C1ACB"/>
    <w:rsid w:val="006C3664"/>
    <w:rsid w:val="006C431B"/>
    <w:rsid w:val="006C6007"/>
    <w:rsid w:val="006C65CA"/>
    <w:rsid w:val="006C6748"/>
    <w:rsid w:val="006D0F31"/>
    <w:rsid w:val="006D1B00"/>
    <w:rsid w:val="006D27F9"/>
    <w:rsid w:val="006D33D5"/>
    <w:rsid w:val="006E1047"/>
    <w:rsid w:val="006E122C"/>
    <w:rsid w:val="006E1A14"/>
    <w:rsid w:val="006E2382"/>
    <w:rsid w:val="006E2984"/>
    <w:rsid w:val="006E2986"/>
    <w:rsid w:val="006E2D60"/>
    <w:rsid w:val="006E36C4"/>
    <w:rsid w:val="006E5F39"/>
    <w:rsid w:val="006E6B81"/>
    <w:rsid w:val="006E778F"/>
    <w:rsid w:val="006F1103"/>
    <w:rsid w:val="006F13FE"/>
    <w:rsid w:val="006F15BD"/>
    <w:rsid w:val="006F66D0"/>
    <w:rsid w:val="006F7270"/>
    <w:rsid w:val="006F760C"/>
    <w:rsid w:val="006F778A"/>
    <w:rsid w:val="00703136"/>
    <w:rsid w:val="00704583"/>
    <w:rsid w:val="00705233"/>
    <w:rsid w:val="00705963"/>
    <w:rsid w:val="00705DF1"/>
    <w:rsid w:val="0070634F"/>
    <w:rsid w:val="00707877"/>
    <w:rsid w:val="007120FA"/>
    <w:rsid w:val="0071251B"/>
    <w:rsid w:val="007125A5"/>
    <w:rsid w:val="007131DE"/>
    <w:rsid w:val="00713B3F"/>
    <w:rsid w:val="007142E9"/>
    <w:rsid w:val="0071615D"/>
    <w:rsid w:val="007164EE"/>
    <w:rsid w:val="00716676"/>
    <w:rsid w:val="00717238"/>
    <w:rsid w:val="00720424"/>
    <w:rsid w:val="007204DC"/>
    <w:rsid w:val="0072173C"/>
    <w:rsid w:val="0072190F"/>
    <w:rsid w:val="00721A1E"/>
    <w:rsid w:val="00722205"/>
    <w:rsid w:val="007242D4"/>
    <w:rsid w:val="00724381"/>
    <w:rsid w:val="007244D2"/>
    <w:rsid w:val="00726F88"/>
    <w:rsid w:val="00726F8D"/>
    <w:rsid w:val="00734053"/>
    <w:rsid w:val="00734F36"/>
    <w:rsid w:val="00734FEE"/>
    <w:rsid w:val="00735FCD"/>
    <w:rsid w:val="00735FDB"/>
    <w:rsid w:val="00736425"/>
    <w:rsid w:val="00736481"/>
    <w:rsid w:val="007364EE"/>
    <w:rsid w:val="00736602"/>
    <w:rsid w:val="00742FC8"/>
    <w:rsid w:val="00743FE7"/>
    <w:rsid w:val="00744937"/>
    <w:rsid w:val="007477D1"/>
    <w:rsid w:val="0075177F"/>
    <w:rsid w:val="00753160"/>
    <w:rsid w:val="00754716"/>
    <w:rsid w:val="00754CD2"/>
    <w:rsid w:val="007575A1"/>
    <w:rsid w:val="007626B4"/>
    <w:rsid w:val="00763618"/>
    <w:rsid w:val="007638EA"/>
    <w:rsid w:val="00763E11"/>
    <w:rsid w:val="00763FCB"/>
    <w:rsid w:val="0076560D"/>
    <w:rsid w:val="00765AFB"/>
    <w:rsid w:val="00766604"/>
    <w:rsid w:val="0077270F"/>
    <w:rsid w:val="007730FD"/>
    <w:rsid w:val="00773C0E"/>
    <w:rsid w:val="007744F2"/>
    <w:rsid w:val="0078249D"/>
    <w:rsid w:val="007832BB"/>
    <w:rsid w:val="00785DAE"/>
    <w:rsid w:val="00786008"/>
    <w:rsid w:val="00791181"/>
    <w:rsid w:val="00791873"/>
    <w:rsid w:val="0079286B"/>
    <w:rsid w:val="00792887"/>
    <w:rsid w:val="00792F2A"/>
    <w:rsid w:val="0079345E"/>
    <w:rsid w:val="007952EA"/>
    <w:rsid w:val="00795B2E"/>
    <w:rsid w:val="00795E1A"/>
    <w:rsid w:val="00796014"/>
    <w:rsid w:val="00796A75"/>
    <w:rsid w:val="00797E23"/>
    <w:rsid w:val="007A036A"/>
    <w:rsid w:val="007A13DB"/>
    <w:rsid w:val="007A1728"/>
    <w:rsid w:val="007A1EAE"/>
    <w:rsid w:val="007A3AE2"/>
    <w:rsid w:val="007A3F64"/>
    <w:rsid w:val="007A5108"/>
    <w:rsid w:val="007A61DB"/>
    <w:rsid w:val="007A7145"/>
    <w:rsid w:val="007B01AB"/>
    <w:rsid w:val="007B28D8"/>
    <w:rsid w:val="007B2F16"/>
    <w:rsid w:val="007B2F5A"/>
    <w:rsid w:val="007B3503"/>
    <w:rsid w:val="007B3943"/>
    <w:rsid w:val="007B47AE"/>
    <w:rsid w:val="007B50FD"/>
    <w:rsid w:val="007B550D"/>
    <w:rsid w:val="007B64B4"/>
    <w:rsid w:val="007B6C99"/>
    <w:rsid w:val="007B7101"/>
    <w:rsid w:val="007C14FB"/>
    <w:rsid w:val="007C270E"/>
    <w:rsid w:val="007C289C"/>
    <w:rsid w:val="007C3194"/>
    <w:rsid w:val="007C31F4"/>
    <w:rsid w:val="007C3C50"/>
    <w:rsid w:val="007C3F97"/>
    <w:rsid w:val="007C65D8"/>
    <w:rsid w:val="007C761C"/>
    <w:rsid w:val="007C7791"/>
    <w:rsid w:val="007D01FD"/>
    <w:rsid w:val="007D11BF"/>
    <w:rsid w:val="007D2558"/>
    <w:rsid w:val="007D36C9"/>
    <w:rsid w:val="007D3CF4"/>
    <w:rsid w:val="007D3DBE"/>
    <w:rsid w:val="007D7563"/>
    <w:rsid w:val="007E1336"/>
    <w:rsid w:val="007E14EB"/>
    <w:rsid w:val="007E2927"/>
    <w:rsid w:val="007E2E37"/>
    <w:rsid w:val="007E422A"/>
    <w:rsid w:val="007E435E"/>
    <w:rsid w:val="007E59AA"/>
    <w:rsid w:val="007E61A7"/>
    <w:rsid w:val="007E69AC"/>
    <w:rsid w:val="007E6ED4"/>
    <w:rsid w:val="007F0099"/>
    <w:rsid w:val="007F1A3C"/>
    <w:rsid w:val="007F21F2"/>
    <w:rsid w:val="007F2985"/>
    <w:rsid w:val="007F2AC1"/>
    <w:rsid w:val="007F341F"/>
    <w:rsid w:val="007F35C9"/>
    <w:rsid w:val="007F4B49"/>
    <w:rsid w:val="00801638"/>
    <w:rsid w:val="0080200B"/>
    <w:rsid w:val="00803C90"/>
    <w:rsid w:val="00804206"/>
    <w:rsid w:val="00804AA0"/>
    <w:rsid w:val="00805526"/>
    <w:rsid w:val="0080686E"/>
    <w:rsid w:val="00806BA2"/>
    <w:rsid w:val="00807AF6"/>
    <w:rsid w:val="00810091"/>
    <w:rsid w:val="00810A0F"/>
    <w:rsid w:val="0081256A"/>
    <w:rsid w:val="00812BB5"/>
    <w:rsid w:val="0081384E"/>
    <w:rsid w:val="00813949"/>
    <w:rsid w:val="00813AC3"/>
    <w:rsid w:val="00814408"/>
    <w:rsid w:val="00815C42"/>
    <w:rsid w:val="008209AA"/>
    <w:rsid w:val="008228FC"/>
    <w:rsid w:val="0082327A"/>
    <w:rsid w:val="00823292"/>
    <w:rsid w:val="00824642"/>
    <w:rsid w:val="00825007"/>
    <w:rsid w:val="00825BB7"/>
    <w:rsid w:val="00826146"/>
    <w:rsid w:val="00826D01"/>
    <w:rsid w:val="00827F27"/>
    <w:rsid w:val="00831F19"/>
    <w:rsid w:val="00833616"/>
    <w:rsid w:val="00833D0C"/>
    <w:rsid w:val="00834D25"/>
    <w:rsid w:val="00834D61"/>
    <w:rsid w:val="008366C7"/>
    <w:rsid w:val="00837A98"/>
    <w:rsid w:val="00843CF9"/>
    <w:rsid w:val="00845736"/>
    <w:rsid w:val="008476FE"/>
    <w:rsid w:val="0085010B"/>
    <w:rsid w:val="00851219"/>
    <w:rsid w:val="0085203E"/>
    <w:rsid w:val="008524D1"/>
    <w:rsid w:val="00852B1B"/>
    <w:rsid w:val="0085421F"/>
    <w:rsid w:val="00854558"/>
    <w:rsid w:val="0085786F"/>
    <w:rsid w:val="00857A59"/>
    <w:rsid w:val="008600B9"/>
    <w:rsid w:val="008601C2"/>
    <w:rsid w:val="0086102C"/>
    <w:rsid w:val="008623BD"/>
    <w:rsid w:val="00862EA5"/>
    <w:rsid w:val="00862FE5"/>
    <w:rsid w:val="00864BBC"/>
    <w:rsid w:val="0086766E"/>
    <w:rsid w:val="008709D1"/>
    <w:rsid w:val="00872A24"/>
    <w:rsid w:val="0087490D"/>
    <w:rsid w:val="00874CDD"/>
    <w:rsid w:val="00875842"/>
    <w:rsid w:val="00875E9C"/>
    <w:rsid w:val="00875ECA"/>
    <w:rsid w:val="00876489"/>
    <w:rsid w:val="00877DA3"/>
    <w:rsid w:val="00880209"/>
    <w:rsid w:val="00884027"/>
    <w:rsid w:val="008859AB"/>
    <w:rsid w:val="008870B4"/>
    <w:rsid w:val="0088764C"/>
    <w:rsid w:val="00887E94"/>
    <w:rsid w:val="00891C12"/>
    <w:rsid w:val="008929D5"/>
    <w:rsid w:val="008944FE"/>
    <w:rsid w:val="00895053"/>
    <w:rsid w:val="008957D0"/>
    <w:rsid w:val="00896C8A"/>
    <w:rsid w:val="008A0764"/>
    <w:rsid w:val="008A104D"/>
    <w:rsid w:val="008A3A72"/>
    <w:rsid w:val="008A440E"/>
    <w:rsid w:val="008A50DF"/>
    <w:rsid w:val="008B099C"/>
    <w:rsid w:val="008B0A6B"/>
    <w:rsid w:val="008B19DA"/>
    <w:rsid w:val="008B1E36"/>
    <w:rsid w:val="008B41A6"/>
    <w:rsid w:val="008B5228"/>
    <w:rsid w:val="008B6E46"/>
    <w:rsid w:val="008C0801"/>
    <w:rsid w:val="008C1231"/>
    <w:rsid w:val="008C1F80"/>
    <w:rsid w:val="008C29A2"/>
    <w:rsid w:val="008C5D7E"/>
    <w:rsid w:val="008C70BD"/>
    <w:rsid w:val="008C75E5"/>
    <w:rsid w:val="008D059A"/>
    <w:rsid w:val="008D07A8"/>
    <w:rsid w:val="008D2701"/>
    <w:rsid w:val="008D3247"/>
    <w:rsid w:val="008D3D55"/>
    <w:rsid w:val="008D4368"/>
    <w:rsid w:val="008D6B04"/>
    <w:rsid w:val="008E09D4"/>
    <w:rsid w:val="008E0F1A"/>
    <w:rsid w:val="008E2920"/>
    <w:rsid w:val="008E3EBE"/>
    <w:rsid w:val="008E4CBB"/>
    <w:rsid w:val="008E60EF"/>
    <w:rsid w:val="008E6C5D"/>
    <w:rsid w:val="008E6C76"/>
    <w:rsid w:val="008E73C1"/>
    <w:rsid w:val="008E7DBC"/>
    <w:rsid w:val="008F0C74"/>
    <w:rsid w:val="008F0E45"/>
    <w:rsid w:val="008F2140"/>
    <w:rsid w:val="008F2610"/>
    <w:rsid w:val="008F2C83"/>
    <w:rsid w:val="008F58A5"/>
    <w:rsid w:val="008F75AE"/>
    <w:rsid w:val="008F7D91"/>
    <w:rsid w:val="008F7DCB"/>
    <w:rsid w:val="008F7F5D"/>
    <w:rsid w:val="0090060D"/>
    <w:rsid w:val="00900D27"/>
    <w:rsid w:val="00902C87"/>
    <w:rsid w:val="009031CA"/>
    <w:rsid w:val="00903C78"/>
    <w:rsid w:val="00905043"/>
    <w:rsid w:val="00905E7A"/>
    <w:rsid w:val="0090630A"/>
    <w:rsid w:val="00910118"/>
    <w:rsid w:val="00912694"/>
    <w:rsid w:val="00912FC3"/>
    <w:rsid w:val="00913014"/>
    <w:rsid w:val="009135BA"/>
    <w:rsid w:val="00913792"/>
    <w:rsid w:val="00913F51"/>
    <w:rsid w:val="00914AF1"/>
    <w:rsid w:val="0091626D"/>
    <w:rsid w:val="00916756"/>
    <w:rsid w:val="00916D93"/>
    <w:rsid w:val="00917C10"/>
    <w:rsid w:val="009227F4"/>
    <w:rsid w:val="009228CA"/>
    <w:rsid w:val="00922ABF"/>
    <w:rsid w:val="009271D3"/>
    <w:rsid w:val="00927BBB"/>
    <w:rsid w:val="00927F64"/>
    <w:rsid w:val="00930BAD"/>
    <w:rsid w:val="009325EE"/>
    <w:rsid w:val="0093379C"/>
    <w:rsid w:val="009338A4"/>
    <w:rsid w:val="009363D8"/>
    <w:rsid w:val="00940B7E"/>
    <w:rsid w:val="0094202B"/>
    <w:rsid w:val="009450BA"/>
    <w:rsid w:val="00946381"/>
    <w:rsid w:val="0094730E"/>
    <w:rsid w:val="00947B2B"/>
    <w:rsid w:val="009500AB"/>
    <w:rsid w:val="00952B93"/>
    <w:rsid w:val="00952E98"/>
    <w:rsid w:val="009548BE"/>
    <w:rsid w:val="00956262"/>
    <w:rsid w:val="0095762D"/>
    <w:rsid w:val="009606DC"/>
    <w:rsid w:val="009607A6"/>
    <w:rsid w:val="009609BD"/>
    <w:rsid w:val="0096145F"/>
    <w:rsid w:val="0096386D"/>
    <w:rsid w:val="00963A22"/>
    <w:rsid w:val="00963F4C"/>
    <w:rsid w:val="00964A8D"/>
    <w:rsid w:val="00964E50"/>
    <w:rsid w:val="00965137"/>
    <w:rsid w:val="0097235E"/>
    <w:rsid w:val="009742CE"/>
    <w:rsid w:val="00974382"/>
    <w:rsid w:val="00974C3C"/>
    <w:rsid w:val="00975525"/>
    <w:rsid w:val="0097579C"/>
    <w:rsid w:val="009769E4"/>
    <w:rsid w:val="00981EF7"/>
    <w:rsid w:val="00982BE5"/>
    <w:rsid w:val="00982F09"/>
    <w:rsid w:val="00983FE2"/>
    <w:rsid w:val="009850CE"/>
    <w:rsid w:val="00985A4C"/>
    <w:rsid w:val="00990733"/>
    <w:rsid w:val="00990C41"/>
    <w:rsid w:val="00991F73"/>
    <w:rsid w:val="00992C31"/>
    <w:rsid w:val="00994346"/>
    <w:rsid w:val="00994D72"/>
    <w:rsid w:val="009953D9"/>
    <w:rsid w:val="009957C2"/>
    <w:rsid w:val="00995B8B"/>
    <w:rsid w:val="009966E2"/>
    <w:rsid w:val="00997003"/>
    <w:rsid w:val="0099723A"/>
    <w:rsid w:val="00997B29"/>
    <w:rsid w:val="009A06DE"/>
    <w:rsid w:val="009A2335"/>
    <w:rsid w:val="009A308E"/>
    <w:rsid w:val="009A4929"/>
    <w:rsid w:val="009A4939"/>
    <w:rsid w:val="009A6E9A"/>
    <w:rsid w:val="009A73DE"/>
    <w:rsid w:val="009B0B38"/>
    <w:rsid w:val="009B0B52"/>
    <w:rsid w:val="009B0F6E"/>
    <w:rsid w:val="009B14EE"/>
    <w:rsid w:val="009B1540"/>
    <w:rsid w:val="009B206A"/>
    <w:rsid w:val="009B3116"/>
    <w:rsid w:val="009B5AE6"/>
    <w:rsid w:val="009C1820"/>
    <w:rsid w:val="009C1C13"/>
    <w:rsid w:val="009C1CD6"/>
    <w:rsid w:val="009C1DF8"/>
    <w:rsid w:val="009C29A5"/>
    <w:rsid w:val="009C2E4A"/>
    <w:rsid w:val="009C41B8"/>
    <w:rsid w:val="009C4C6D"/>
    <w:rsid w:val="009C50E4"/>
    <w:rsid w:val="009C51EC"/>
    <w:rsid w:val="009C55AE"/>
    <w:rsid w:val="009C55E3"/>
    <w:rsid w:val="009C59DE"/>
    <w:rsid w:val="009C64D9"/>
    <w:rsid w:val="009C7491"/>
    <w:rsid w:val="009C7AF5"/>
    <w:rsid w:val="009C7D14"/>
    <w:rsid w:val="009D1053"/>
    <w:rsid w:val="009D1B8C"/>
    <w:rsid w:val="009D2948"/>
    <w:rsid w:val="009D36B3"/>
    <w:rsid w:val="009D584F"/>
    <w:rsid w:val="009D6209"/>
    <w:rsid w:val="009E3E9E"/>
    <w:rsid w:val="009E430C"/>
    <w:rsid w:val="009E4355"/>
    <w:rsid w:val="009E4400"/>
    <w:rsid w:val="009E7831"/>
    <w:rsid w:val="009F2548"/>
    <w:rsid w:val="009F52EC"/>
    <w:rsid w:val="009F56C1"/>
    <w:rsid w:val="009F6AEF"/>
    <w:rsid w:val="009F6C92"/>
    <w:rsid w:val="009F7925"/>
    <w:rsid w:val="009F7F26"/>
    <w:rsid w:val="00A006A9"/>
    <w:rsid w:val="00A0283E"/>
    <w:rsid w:val="00A02EC9"/>
    <w:rsid w:val="00A07975"/>
    <w:rsid w:val="00A07AFD"/>
    <w:rsid w:val="00A10037"/>
    <w:rsid w:val="00A100DC"/>
    <w:rsid w:val="00A11031"/>
    <w:rsid w:val="00A11A12"/>
    <w:rsid w:val="00A11DF2"/>
    <w:rsid w:val="00A124D7"/>
    <w:rsid w:val="00A1265F"/>
    <w:rsid w:val="00A12B85"/>
    <w:rsid w:val="00A12C08"/>
    <w:rsid w:val="00A130A5"/>
    <w:rsid w:val="00A147B2"/>
    <w:rsid w:val="00A1521B"/>
    <w:rsid w:val="00A15D84"/>
    <w:rsid w:val="00A17CFD"/>
    <w:rsid w:val="00A20E5A"/>
    <w:rsid w:val="00A22A92"/>
    <w:rsid w:val="00A22DB6"/>
    <w:rsid w:val="00A2345C"/>
    <w:rsid w:val="00A23A49"/>
    <w:rsid w:val="00A25A58"/>
    <w:rsid w:val="00A25FFB"/>
    <w:rsid w:val="00A312F2"/>
    <w:rsid w:val="00A313BD"/>
    <w:rsid w:val="00A32A1D"/>
    <w:rsid w:val="00A3316C"/>
    <w:rsid w:val="00A348DB"/>
    <w:rsid w:val="00A34EE9"/>
    <w:rsid w:val="00A375D8"/>
    <w:rsid w:val="00A3761E"/>
    <w:rsid w:val="00A4117B"/>
    <w:rsid w:val="00A44A54"/>
    <w:rsid w:val="00A46855"/>
    <w:rsid w:val="00A51018"/>
    <w:rsid w:val="00A51131"/>
    <w:rsid w:val="00A52A7D"/>
    <w:rsid w:val="00A53045"/>
    <w:rsid w:val="00A5313A"/>
    <w:rsid w:val="00A5390D"/>
    <w:rsid w:val="00A53F57"/>
    <w:rsid w:val="00A5498A"/>
    <w:rsid w:val="00A55C83"/>
    <w:rsid w:val="00A56E26"/>
    <w:rsid w:val="00A57AAD"/>
    <w:rsid w:val="00A616F2"/>
    <w:rsid w:val="00A62E57"/>
    <w:rsid w:val="00A63A68"/>
    <w:rsid w:val="00A658D2"/>
    <w:rsid w:val="00A65AC9"/>
    <w:rsid w:val="00A65DDF"/>
    <w:rsid w:val="00A66A44"/>
    <w:rsid w:val="00A70975"/>
    <w:rsid w:val="00A70A39"/>
    <w:rsid w:val="00A73172"/>
    <w:rsid w:val="00A743AB"/>
    <w:rsid w:val="00A74A49"/>
    <w:rsid w:val="00A75576"/>
    <w:rsid w:val="00A75FA5"/>
    <w:rsid w:val="00A75FD0"/>
    <w:rsid w:val="00A76517"/>
    <w:rsid w:val="00A8048C"/>
    <w:rsid w:val="00A81BF5"/>
    <w:rsid w:val="00A8452B"/>
    <w:rsid w:val="00A84C9C"/>
    <w:rsid w:val="00A855B2"/>
    <w:rsid w:val="00A85CF8"/>
    <w:rsid w:val="00A86BAC"/>
    <w:rsid w:val="00A86D5C"/>
    <w:rsid w:val="00A86FCA"/>
    <w:rsid w:val="00A87409"/>
    <w:rsid w:val="00A87AB5"/>
    <w:rsid w:val="00A87C48"/>
    <w:rsid w:val="00A91470"/>
    <w:rsid w:val="00A91864"/>
    <w:rsid w:val="00A92B1F"/>
    <w:rsid w:val="00A93F30"/>
    <w:rsid w:val="00A940BD"/>
    <w:rsid w:val="00A9587C"/>
    <w:rsid w:val="00A96518"/>
    <w:rsid w:val="00A96F2F"/>
    <w:rsid w:val="00A979D6"/>
    <w:rsid w:val="00AA090C"/>
    <w:rsid w:val="00AA1347"/>
    <w:rsid w:val="00AA1F19"/>
    <w:rsid w:val="00AA35A7"/>
    <w:rsid w:val="00AA3F24"/>
    <w:rsid w:val="00AA4666"/>
    <w:rsid w:val="00AA4EAB"/>
    <w:rsid w:val="00AA66E1"/>
    <w:rsid w:val="00AA6CD4"/>
    <w:rsid w:val="00AA6E71"/>
    <w:rsid w:val="00AA7DD0"/>
    <w:rsid w:val="00AB2A13"/>
    <w:rsid w:val="00AB2B51"/>
    <w:rsid w:val="00AB4137"/>
    <w:rsid w:val="00AB536D"/>
    <w:rsid w:val="00AB6372"/>
    <w:rsid w:val="00AB6E75"/>
    <w:rsid w:val="00AC038C"/>
    <w:rsid w:val="00AC0C78"/>
    <w:rsid w:val="00AC2DDB"/>
    <w:rsid w:val="00AC2FF5"/>
    <w:rsid w:val="00AC30F3"/>
    <w:rsid w:val="00AC486B"/>
    <w:rsid w:val="00AC6431"/>
    <w:rsid w:val="00AC6923"/>
    <w:rsid w:val="00AC6F3C"/>
    <w:rsid w:val="00AC7CA7"/>
    <w:rsid w:val="00AD0BB2"/>
    <w:rsid w:val="00AD4C85"/>
    <w:rsid w:val="00AD500F"/>
    <w:rsid w:val="00AD5DEE"/>
    <w:rsid w:val="00AD67AF"/>
    <w:rsid w:val="00AD6E6D"/>
    <w:rsid w:val="00AD7657"/>
    <w:rsid w:val="00AD7C8A"/>
    <w:rsid w:val="00AD7E69"/>
    <w:rsid w:val="00AD7FEB"/>
    <w:rsid w:val="00AE247C"/>
    <w:rsid w:val="00AE401C"/>
    <w:rsid w:val="00AE5998"/>
    <w:rsid w:val="00AE6055"/>
    <w:rsid w:val="00AE60B6"/>
    <w:rsid w:val="00AE75DC"/>
    <w:rsid w:val="00AE7955"/>
    <w:rsid w:val="00AE7CDB"/>
    <w:rsid w:val="00AE7F76"/>
    <w:rsid w:val="00AF2FE2"/>
    <w:rsid w:val="00AF5E56"/>
    <w:rsid w:val="00AF74FA"/>
    <w:rsid w:val="00B036FC"/>
    <w:rsid w:val="00B037C5"/>
    <w:rsid w:val="00B045AB"/>
    <w:rsid w:val="00B04A74"/>
    <w:rsid w:val="00B05344"/>
    <w:rsid w:val="00B0544E"/>
    <w:rsid w:val="00B0677E"/>
    <w:rsid w:val="00B074DB"/>
    <w:rsid w:val="00B07B59"/>
    <w:rsid w:val="00B10811"/>
    <w:rsid w:val="00B1384B"/>
    <w:rsid w:val="00B13A44"/>
    <w:rsid w:val="00B20D30"/>
    <w:rsid w:val="00B221C2"/>
    <w:rsid w:val="00B22A17"/>
    <w:rsid w:val="00B22D27"/>
    <w:rsid w:val="00B23A56"/>
    <w:rsid w:val="00B2448E"/>
    <w:rsid w:val="00B2455D"/>
    <w:rsid w:val="00B24B33"/>
    <w:rsid w:val="00B24F19"/>
    <w:rsid w:val="00B2625D"/>
    <w:rsid w:val="00B270AD"/>
    <w:rsid w:val="00B27EDC"/>
    <w:rsid w:val="00B32435"/>
    <w:rsid w:val="00B34215"/>
    <w:rsid w:val="00B37C8B"/>
    <w:rsid w:val="00B40143"/>
    <w:rsid w:val="00B40ECB"/>
    <w:rsid w:val="00B42826"/>
    <w:rsid w:val="00B43B36"/>
    <w:rsid w:val="00B44C60"/>
    <w:rsid w:val="00B50F19"/>
    <w:rsid w:val="00B513D7"/>
    <w:rsid w:val="00B51C98"/>
    <w:rsid w:val="00B51EF3"/>
    <w:rsid w:val="00B53F79"/>
    <w:rsid w:val="00B544E6"/>
    <w:rsid w:val="00B54955"/>
    <w:rsid w:val="00B55FD7"/>
    <w:rsid w:val="00B5634C"/>
    <w:rsid w:val="00B564EF"/>
    <w:rsid w:val="00B61B81"/>
    <w:rsid w:val="00B626DC"/>
    <w:rsid w:val="00B62E93"/>
    <w:rsid w:val="00B63DE2"/>
    <w:rsid w:val="00B64403"/>
    <w:rsid w:val="00B648C3"/>
    <w:rsid w:val="00B64A30"/>
    <w:rsid w:val="00B66C0E"/>
    <w:rsid w:val="00B672CF"/>
    <w:rsid w:val="00B71BD9"/>
    <w:rsid w:val="00B7239C"/>
    <w:rsid w:val="00B72D26"/>
    <w:rsid w:val="00B742E3"/>
    <w:rsid w:val="00B746B6"/>
    <w:rsid w:val="00B74A39"/>
    <w:rsid w:val="00B7543A"/>
    <w:rsid w:val="00B75C6A"/>
    <w:rsid w:val="00B768DC"/>
    <w:rsid w:val="00B80F47"/>
    <w:rsid w:val="00B853D2"/>
    <w:rsid w:val="00B870CC"/>
    <w:rsid w:val="00B87CE3"/>
    <w:rsid w:val="00B90C26"/>
    <w:rsid w:val="00B9141F"/>
    <w:rsid w:val="00B9343A"/>
    <w:rsid w:val="00B93F5A"/>
    <w:rsid w:val="00B94E7F"/>
    <w:rsid w:val="00B95045"/>
    <w:rsid w:val="00B95BC9"/>
    <w:rsid w:val="00BA1D02"/>
    <w:rsid w:val="00BA292C"/>
    <w:rsid w:val="00BA4BF1"/>
    <w:rsid w:val="00BA5ACB"/>
    <w:rsid w:val="00BA6B0F"/>
    <w:rsid w:val="00BA7F79"/>
    <w:rsid w:val="00BB08A5"/>
    <w:rsid w:val="00BB0FC3"/>
    <w:rsid w:val="00BB340A"/>
    <w:rsid w:val="00BB4090"/>
    <w:rsid w:val="00BB5B2E"/>
    <w:rsid w:val="00BB63A6"/>
    <w:rsid w:val="00BB794A"/>
    <w:rsid w:val="00BB7D3D"/>
    <w:rsid w:val="00BC1148"/>
    <w:rsid w:val="00BC1A68"/>
    <w:rsid w:val="00BC1C04"/>
    <w:rsid w:val="00BC2850"/>
    <w:rsid w:val="00BC394C"/>
    <w:rsid w:val="00BC4A52"/>
    <w:rsid w:val="00BC5CBF"/>
    <w:rsid w:val="00BC5EC0"/>
    <w:rsid w:val="00BC75CC"/>
    <w:rsid w:val="00BC79FE"/>
    <w:rsid w:val="00BC7A6D"/>
    <w:rsid w:val="00BC7DEF"/>
    <w:rsid w:val="00BD0E72"/>
    <w:rsid w:val="00BD29A2"/>
    <w:rsid w:val="00BD3A3F"/>
    <w:rsid w:val="00BD4213"/>
    <w:rsid w:val="00BD49D8"/>
    <w:rsid w:val="00BD6B4E"/>
    <w:rsid w:val="00BD6DF3"/>
    <w:rsid w:val="00BD742E"/>
    <w:rsid w:val="00BE144D"/>
    <w:rsid w:val="00BE4F53"/>
    <w:rsid w:val="00BE54FB"/>
    <w:rsid w:val="00BF1355"/>
    <w:rsid w:val="00BF1F07"/>
    <w:rsid w:val="00BF1F85"/>
    <w:rsid w:val="00BF379C"/>
    <w:rsid w:val="00BF48F9"/>
    <w:rsid w:val="00C00DCB"/>
    <w:rsid w:val="00C02633"/>
    <w:rsid w:val="00C02979"/>
    <w:rsid w:val="00C03149"/>
    <w:rsid w:val="00C03445"/>
    <w:rsid w:val="00C034B4"/>
    <w:rsid w:val="00C04B4D"/>
    <w:rsid w:val="00C05807"/>
    <w:rsid w:val="00C06D63"/>
    <w:rsid w:val="00C100AD"/>
    <w:rsid w:val="00C110C1"/>
    <w:rsid w:val="00C12216"/>
    <w:rsid w:val="00C13FDB"/>
    <w:rsid w:val="00C143D0"/>
    <w:rsid w:val="00C14F36"/>
    <w:rsid w:val="00C14FDD"/>
    <w:rsid w:val="00C15043"/>
    <w:rsid w:val="00C172FC"/>
    <w:rsid w:val="00C175E4"/>
    <w:rsid w:val="00C208AC"/>
    <w:rsid w:val="00C20CDA"/>
    <w:rsid w:val="00C213D7"/>
    <w:rsid w:val="00C219E1"/>
    <w:rsid w:val="00C21FD2"/>
    <w:rsid w:val="00C2417E"/>
    <w:rsid w:val="00C2432F"/>
    <w:rsid w:val="00C2439B"/>
    <w:rsid w:val="00C24808"/>
    <w:rsid w:val="00C259D8"/>
    <w:rsid w:val="00C25F3C"/>
    <w:rsid w:val="00C266E4"/>
    <w:rsid w:val="00C26B26"/>
    <w:rsid w:val="00C26D92"/>
    <w:rsid w:val="00C278D5"/>
    <w:rsid w:val="00C30FEE"/>
    <w:rsid w:val="00C31A9E"/>
    <w:rsid w:val="00C31AED"/>
    <w:rsid w:val="00C32261"/>
    <w:rsid w:val="00C32B8C"/>
    <w:rsid w:val="00C34134"/>
    <w:rsid w:val="00C34931"/>
    <w:rsid w:val="00C34C71"/>
    <w:rsid w:val="00C40073"/>
    <w:rsid w:val="00C407E0"/>
    <w:rsid w:val="00C413CC"/>
    <w:rsid w:val="00C42300"/>
    <w:rsid w:val="00C4267E"/>
    <w:rsid w:val="00C4350F"/>
    <w:rsid w:val="00C43906"/>
    <w:rsid w:val="00C43AE1"/>
    <w:rsid w:val="00C43C77"/>
    <w:rsid w:val="00C4529A"/>
    <w:rsid w:val="00C50600"/>
    <w:rsid w:val="00C509F3"/>
    <w:rsid w:val="00C50A19"/>
    <w:rsid w:val="00C5199B"/>
    <w:rsid w:val="00C53234"/>
    <w:rsid w:val="00C539FC"/>
    <w:rsid w:val="00C541D5"/>
    <w:rsid w:val="00C55919"/>
    <w:rsid w:val="00C56A07"/>
    <w:rsid w:val="00C56E4D"/>
    <w:rsid w:val="00C60239"/>
    <w:rsid w:val="00C625ED"/>
    <w:rsid w:val="00C6276E"/>
    <w:rsid w:val="00C629C7"/>
    <w:rsid w:val="00C633C8"/>
    <w:rsid w:val="00C648AE"/>
    <w:rsid w:val="00C66496"/>
    <w:rsid w:val="00C6719A"/>
    <w:rsid w:val="00C6724A"/>
    <w:rsid w:val="00C701CF"/>
    <w:rsid w:val="00C707F8"/>
    <w:rsid w:val="00C70B86"/>
    <w:rsid w:val="00C75496"/>
    <w:rsid w:val="00C7561C"/>
    <w:rsid w:val="00C77014"/>
    <w:rsid w:val="00C77684"/>
    <w:rsid w:val="00C77EA5"/>
    <w:rsid w:val="00C80BC6"/>
    <w:rsid w:val="00C8272F"/>
    <w:rsid w:val="00C828E5"/>
    <w:rsid w:val="00C83D28"/>
    <w:rsid w:val="00C847F7"/>
    <w:rsid w:val="00C86FDC"/>
    <w:rsid w:val="00C870F0"/>
    <w:rsid w:val="00C87A98"/>
    <w:rsid w:val="00C9062E"/>
    <w:rsid w:val="00C9065C"/>
    <w:rsid w:val="00C90758"/>
    <w:rsid w:val="00C9149D"/>
    <w:rsid w:val="00C918C7"/>
    <w:rsid w:val="00C934F7"/>
    <w:rsid w:val="00C93B5F"/>
    <w:rsid w:val="00C93C37"/>
    <w:rsid w:val="00C93E77"/>
    <w:rsid w:val="00C94866"/>
    <w:rsid w:val="00C94E10"/>
    <w:rsid w:val="00C95854"/>
    <w:rsid w:val="00C96F10"/>
    <w:rsid w:val="00C970A8"/>
    <w:rsid w:val="00CA011E"/>
    <w:rsid w:val="00CA0A56"/>
    <w:rsid w:val="00CA36D1"/>
    <w:rsid w:val="00CA3AF5"/>
    <w:rsid w:val="00CA4B4A"/>
    <w:rsid w:val="00CA55FF"/>
    <w:rsid w:val="00CA5BAF"/>
    <w:rsid w:val="00CA7645"/>
    <w:rsid w:val="00CA79B8"/>
    <w:rsid w:val="00CA7D9B"/>
    <w:rsid w:val="00CA7EF2"/>
    <w:rsid w:val="00CB1806"/>
    <w:rsid w:val="00CB3450"/>
    <w:rsid w:val="00CB5F02"/>
    <w:rsid w:val="00CC0646"/>
    <w:rsid w:val="00CC0E04"/>
    <w:rsid w:val="00CC10C2"/>
    <w:rsid w:val="00CC1B15"/>
    <w:rsid w:val="00CC27A2"/>
    <w:rsid w:val="00CC5C3E"/>
    <w:rsid w:val="00CC5D90"/>
    <w:rsid w:val="00CC5E4B"/>
    <w:rsid w:val="00CC64B9"/>
    <w:rsid w:val="00CC6503"/>
    <w:rsid w:val="00CC672B"/>
    <w:rsid w:val="00CD0133"/>
    <w:rsid w:val="00CD019D"/>
    <w:rsid w:val="00CD4564"/>
    <w:rsid w:val="00CD4613"/>
    <w:rsid w:val="00CD4E1D"/>
    <w:rsid w:val="00CD6439"/>
    <w:rsid w:val="00CD7EE8"/>
    <w:rsid w:val="00CE1158"/>
    <w:rsid w:val="00CE3E9B"/>
    <w:rsid w:val="00CE4549"/>
    <w:rsid w:val="00CE5494"/>
    <w:rsid w:val="00CE5920"/>
    <w:rsid w:val="00CE7471"/>
    <w:rsid w:val="00CF17E6"/>
    <w:rsid w:val="00CF20A3"/>
    <w:rsid w:val="00CF2208"/>
    <w:rsid w:val="00CF2FA5"/>
    <w:rsid w:val="00CF3AF6"/>
    <w:rsid w:val="00CF3CC2"/>
    <w:rsid w:val="00CF4166"/>
    <w:rsid w:val="00CF614E"/>
    <w:rsid w:val="00CF61AF"/>
    <w:rsid w:val="00CF62E6"/>
    <w:rsid w:val="00CF636A"/>
    <w:rsid w:val="00CF704B"/>
    <w:rsid w:val="00CF723D"/>
    <w:rsid w:val="00CF7DB7"/>
    <w:rsid w:val="00D001AB"/>
    <w:rsid w:val="00D0021D"/>
    <w:rsid w:val="00D007BB"/>
    <w:rsid w:val="00D02815"/>
    <w:rsid w:val="00D02C77"/>
    <w:rsid w:val="00D0414C"/>
    <w:rsid w:val="00D0458F"/>
    <w:rsid w:val="00D064A5"/>
    <w:rsid w:val="00D06BDC"/>
    <w:rsid w:val="00D1025A"/>
    <w:rsid w:val="00D1054F"/>
    <w:rsid w:val="00D12435"/>
    <w:rsid w:val="00D130F8"/>
    <w:rsid w:val="00D13CF8"/>
    <w:rsid w:val="00D13D6C"/>
    <w:rsid w:val="00D157BE"/>
    <w:rsid w:val="00D15E3D"/>
    <w:rsid w:val="00D16401"/>
    <w:rsid w:val="00D17870"/>
    <w:rsid w:val="00D21421"/>
    <w:rsid w:val="00D23FC4"/>
    <w:rsid w:val="00D24E0B"/>
    <w:rsid w:val="00D279D7"/>
    <w:rsid w:val="00D30A93"/>
    <w:rsid w:val="00D319F5"/>
    <w:rsid w:val="00D31F35"/>
    <w:rsid w:val="00D334A6"/>
    <w:rsid w:val="00D3392B"/>
    <w:rsid w:val="00D34BD3"/>
    <w:rsid w:val="00D3635B"/>
    <w:rsid w:val="00D363A1"/>
    <w:rsid w:val="00D400DA"/>
    <w:rsid w:val="00D40D55"/>
    <w:rsid w:val="00D4158D"/>
    <w:rsid w:val="00D455A6"/>
    <w:rsid w:val="00D47406"/>
    <w:rsid w:val="00D516D4"/>
    <w:rsid w:val="00D51DA9"/>
    <w:rsid w:val="00D54578"/>
    <w:rsid w:val="00D54D33"/>
    <w:rsid w:val="00D55930"/>
    <w:rsid w:val="00D56432"/>
    <w:rsid w:val="00D57595"/>
    <w:rsid w:val="00D61AFE"/>
    <w:rsid w:val="00D61EA3"/>
    <w:rsid w:val="00D63515"/>
    <w:rsid w:val="00D635EB"/>
    <w:rsid w:val="00D6553C"/>
    <w:rsid w:val="00D658FB"/>
    <w:rsid w:val="00D65FD8"/>
    <w:rsid w:val="00D66624"/>
    <w:rsid w:val="00D67AAA"/>
    <w:rsid w:val="00D720EF"/>
    <w:rsid w:val="00D72EA6"/>
    <w:rsid w:val="00D74597"/>
    <w:rsid w:val="00D749E3"/>
    <w:rsid w:val="00D74E6E"/>
    <w:rsid w:val="00D752CF"/>
    <w:rsid w:val="00D76108"/>
    <w:rsid w:val="00D7615B"/>
    <w:rsid w:val="00D7675B"/>
    <w:rsid w:val="00D77AC7"/>
    <w:rsid w:val="00D80442"/>
    <w:rsid w:val="00D80BF4"/>
    <w:rsid w:val="00D81B09"/>
    <w:rsid w:val="00D82433"/>
    <w:rsid w:val="00D82573"/>
    <w:rsid w:val="00D842DF"/>
    <w:rsid w:val="00D86F84"/>
    <w:rsid w:val="00D8769B"/>
    <w:rsid w:val="00D90754"/>
    <w:rsid w:val="00D912CA"/>
    <w:rsid w:val="00D91545"/>
    <w:rsid w:val="00D9488F"/>
    <w:rsid w:val="00D95511"/>
    <w:rsid w:val="00D9590E"/>
    <w:rsid w:val="00D963FC"/>
    <w:rsid w:val="00D96D8F"/>
    <w:rsid w:val="00D970C9"/>
    <w:rsid w:val="00D9791F"/>
    <w:rsid w:val="00DA0E6C"/>
    <w:rsid w:val="00DA19DB"/>
    <w:rsid w:val="00DA291C"/>
    <w:rsid w:val="00DA2C0A"/>
    <w:rsid w:val="00DA30AF"/>
    <w:rsid w:val="00DA3EC9"/>
    <w:rsid w:val="00DA5688"/>
    <w:rsid w:val="00DA6B40"/>
    <w:rsid w:val="00DA71C6"/>
    <w:rsid w:val="00DB2ACC"/>
    <w:rsid w:val="00DB3B10"/>
    <w:rsid w:val="00DB3C70"/>
    <w:rsid w:val="00DB4E73"/>
    <w:rsid w:val="00DB5696"/>
    <w:rsid w:val="00DB6160"/>
    <w:rsid w:val="00DB674E"/>
    <w:rsid w:val="00DB68F6"/>
    <w:rsid w:val="00DB7251"/>
    <w:rsid w:val="00DB7C42"/>
    <w:rsid w:val="00DC0E92"/>
    <w:rsid w:val="00DC1556"/>
    <w:rsid w:val="00DC1BAD"/>
    <w:rsid w:val="00DC21C6"/>
    <w:rsid w:val="00DC36A9"/>
    <w:rsid w:val="00DC36F2"/>
    <w:rsid w:val="00DC4432"/>
    <w:rsid w:val="00DC47AA"/>
    <w:rsid w:val="00DC59DD"/>
    <w:rsid w:val="00DC5FB4"/>
    <w:rsid w:val="00DC7499"/>
    <w:rsid w:val="00DD0359"/>
    <w:rsid w:val="00DD0AA4"/>
    <w:rsid w:val="00DD0B27"/>
    <w:rsid w:val="00DD18E8"/>
    <w:rsid w:val="00DD1988"/>
    <w:rsid w:val="00DD3E5D"/>
    <w:rsid w:val="00DD3E8B"/>
    <w:rsid w:val="00DD63F9"/>
    <w:rsid w:val="00DD79E0"/>
    <w:rsid w:val="00DD7B1A"/>
    <w:rsid w:val="00DE14DE"/>
    <w:rsid w:val="00DE167E"/>
    <w:rsid w:val="00DE3A6A"/>
    <w:rsid w:val="00DE4468"/>
    <w:rsid w:val="00DE46E7"/>
    <w:rsid w:val="00DE478E"/>
    <w:rsid w:val="00DE527B"/>
    <w:rsid w:val="00DE6594"/>
    <w:rsid w:val="00DE7C27"/>
    <w:rsid w:val="00DF38A5"/>
    <w:rsid w:val="00DF52A7"/>
    <w:rsid w:val="00DF561A"/>
    <w:rsid w:val="00DF5E43"/>
    <w:rsid w:val="00DF5E8F"/>
    <w:rsid w:val="00DF609C"/>
    <w:rsid w:val="00DF755A"/>
    <w:rsid w:val="00E00A18"/>
    <w:rsid w:val="00E013DE"/>
    <w:rsid w:val="00E01510"/>
    <w:rsid w:val="00E01F33"/>
    <w:rsid w:val="00E03507"/>
    <w:rsid w:val="00E0479A"/>
    <w:rsid w:val="00E05E4C"/>
    <w:rsid w:val="00E05EB4"/>
    <w:rsid w:val="00E06033"/>
    <w:rsid w:val="00E10842"/>
    <w:rsid w:val="00E11355"/>
    <w:rsid w:val="00E14FE7"/>
    <w:rsid w:val="00E210F6"/>
    <w:rsid w:val="00E21956"/>
    <w:rsid w:val="00E2229E"/>
    <w:rsid w:val="00E238D4"/>
    <w:rsid w:val="00E2481C"/>
    <w:rsid w:val="00E260E5"/>
    <w:rsid w:val="00E266FC"/>
    <w:rsid w:val="00E26A90"/>
    <w:rsid w:val="00E324C8"/>
    <w:rsid w:val="00E3708E"/>
    <w:rsid w:val="00E371C9"/>
    <w:rsid w:val="00E37464"/>
    <w:rsid w:val="00E40224"/>
    <w:rsid w:val="00E40667"/>
    <w:rsid w:val="00E40C46"/>
    <w:rsid w:val="00E436B2"/>
    <w:rsid w:val="00E457C4"/>
    <w:rsid w:val="00E47AEA"/>
    <w:rsid w:val="00E50271"/>
    <w:rsid w:val="00E51241"/>
    <w:rsid w:val="00E522F4"/>
    <w:rsid w:val="00E533E8"/>
    <w:rsid w:val="00E541E7"/>
    <w:rsid w:val="00E55F29"/>
    <w:rsid w:val="00E56225"/>
    <w:rsid w:val="00E56BCA"/>
    <w:rsid w:val="00E57A74"/>
    <w:rsid w:val="00E605C6"/>
    <w:rsid w:val="00E6063E"/>
    <w:rsid w:val="00E61315"/>
    <w:rsid w:val="00E64FE5"/>
    <w:rsid w:val="00E6659F"/>
    <w:rsid w:val="00E67540"/>
    <w:rsid w:val="00E6788A"/>
    <w:rsid w:val="00E70948"/>
    <w:rsid w:val="00E70D82"/>
    <w:rsid w:val="00E733AD"/>
    <w:rsid w:val="00E73F17"/>
    <w:rsid w:val="00E73FC7"/>
    <w:rsid w:val="00E741E2"/>
    <w:rsid w:val="00E744D4"/>
    <w:rsid w:val="00E80990"/>
    <w:rsid w:val="00E81081"/>
    <w:rsid w:val="00E82122"/>
    <w:rsid w:val="00E8241F"/>
    <w:rsid w:val="00E83CCA"/>
    <w:rsid w:val="00E8499A"/>
    <w:rsid w:val="00E84EC5"/>
    <w:rsid w:val="00E8530B"/>
    <w:rsid w:val="00E86398"/>
    <w:rsid w:val="00E90E40"/>
    <w:rsid w:val="00E9107F"/>
    <w:rsid w:val="00E91311"/>
    <w:rsid w:val="00E9222C"/>
    <w:rsid w:val="00E9358C"/>
    <w:rsid w:val="00E93CA1"/>
    <w:rsid w:val="00E95D98"/>
    <w:rsid w:val="00E96036"/>
    <w:rsid w:val="00E97339"/>
    <w:rsid w:val="00EA07E8"/>
    <w:rsid w:val="00EA218E"/>
    <w:rsid w:val="00EA37BC"/>
    <w:rsid w:val="00EA3D91"/>
    <w:rsid w:val="00EA41FC"/>
    <w:rsid w:val="00EA45C1"/>
    <w:rsid w:val="00EA575B"/>
    <w:rsid w:val="00EA662B"/>
    <w:rsid w:val="00EA774F"/>
    <w:rsid w:val="00EA7AD7"/>
    <w:rsid w:val="00EB0013"/>
    <w:rsid w:val="00EB00D3"/>
    <w:rsid w:val="00EB07D9"/>
    <w:rsid w:val="00EB20EA"/>
    <w:rsid w:val="00EB2313"/>
    <w:rsid w:val="00EB2BD3"/>
    <w:rsid w:val="00EB5347"/>
    <w:rsid w:val="00EB59E7"/>
    <w:rsid w:val="00EB5C25"/>
    <w:rsid w:val="00EB69BE"/>
    <w:rsid w:val="00EB6A55"/>
    <w:rsid w:val="00EB6C61"/>
    <w:rsid w:val="00EB6E95"/>
    <w:rsid w:val="00EC13D3"/>
    <w:rsid w:val="00EC1B99"/>
    <w:rsid w:val="00EC2638"/>
    <w:rsid w:val="00EC2806"/>
    <w:rsid w:val="00EC4F83"/>
    <w:rsid w:val="00EC658D"/>
    <w:rsid w:val="00EC6C1F"/>
    <w:rsid w:val="00EC6CE3"/>
    <w:rsid w:val="00ED00EA"/>
    <w:rsid w:val="00ED14CE"/>
    <w:rsid w:val="00ED2971"/>
    <w:rsid w:val="00ED337F"/>
    <w:rsid w:val="00ED362D"/>
    <w:rsid w:val="00ED4276"/>
    <w:rsid w:val="00ED4385"/>
    <w:rsid w:val="00ED4C7C"/>
    <w:rsid w:val="00ED6B67"/>
    <w:rsid w:val="00ED729A"/>
    <w:rsid w:val="00ED7DAB"/>
    <w:rsid w:val="00ED7E06"/>
    <w:rsid w:val="00EE0298"/>
    <w:rsid w:val="00EE0B08"/>
    <w:rsid w:val="00EE1DFF"/>
    <w:rsid w:val="00EE2C74"/>
    <w:rsid w:val="00EE31AF"/>
    <w:rsid w:val="00EE33D2"/>
    <w:rsid w:val="00EE365C"/>
    <w:rsid w:val="00EE389D"/>
    <w:rsid w:val="00EE3CBE"/>
    <w:rsid w:val="00EE5714"/>
    <w:rsid w:val="00EE5DAE"/>
    <w:rsid w:val="00EE6043"/>
    <w:rsid w:val="00EF04B6"/>
    <w:rsid w:val="00EF18B2"/>
    <w:rsid w:val="00EF3FBB"/>
    <w:rsid w:val="00EF7C3B"/>
    <w:rsid w:val="00F01F02"/>
    <w:rsid w:val="00F01F5A"/>
    <w:rsid w:val="00F02657"/>
    <w:rsid w:val="00F0327A"/>
    <w:rsid w:val="00F03EAF"/>
    <w:rsid w:val="00F043A6"/>
    <w:rsid w:val="00F0519B"/>
    <w:rsid w:val="00F05A4E"/>
    <w:rsid w:val="00F05EFC"/>
    <w:rsid w:val="00F06E54"/>
    <w:rsid w:val="00F06ED7"/>
    <w:rsid w:val="00F078BF"/>
    <w:rsid w:val="00F10514"/>
    <w:rsid w:val="00F11371"/>
    <w:rsid w:val="00F13B41"/>
    <w:rsid w:val="00F14300"/>
    <w:rsid w:val="00F144EA"/>
    <w:rsid w:val="00F155FE"/>
    <w:rsid w:val="00F1586A"/>
    <w:rsid w:val="00F15B51"/>
    <w:rsid w:val="00F201B8"/>
    <w:rsid w:val="00F21153"/>
    <w:rsid w:val="00F21F33"/>
    <w:rsid w:val="00F22A5D"/>
    <w:rsid w:val="00F23ACD"/>
    <w:rsid w:val="00F23E40"/>
    <w:rsid w:val="00F24040"/>
    <w:rsid w:val="00F24108"/>
    <w:rsid w:val="00F24CE4"/>
    <w:rsid w:val="00F25817"/>
    <w:rsid w:val="00F25CB0"/>
    <w:rsid w:val="00F26007"/>
    <w:rsid w:val="00F264BF"/>
    <w:rsid w:val="00F265C4"/>
    <w:rsid w:val="00F274AD"/>
    <w:rsid w:val="00F2797E"/>
    <w:rsid w:val="00F30CC5"/>
    <w:rsid w:val="00F31298"/>
    <w:rsid w:val="00F31895"/>
    <w:rsid w:val="00F31BCB"/>
    <w:rsid w:val="00F3248E"/>
    <w:rsid w:val="00F3264A"/>
    <w:rsid w:val="00F3272A"/>
    <w:rsid w:val="00F329E0"/>
    <w:rsid w:val="00F329F0"/>
    <w:rsid w:val="00F33277"/>
    <w:rsid w:val="00F33FD3"/>
    <w:rsid w:val="00F35A32"/>
    <w:rsid w:val="00F373BE"/>
    <w:rsid w:val="00F379FB"/>
    <w:rsid w:val="00F37C8D"/>
    <w:rsid w:val="00F37EB7"/>
    <w:rsid w:val="00F40671"/>
    <w:rsid w:val="00F4089A"/>
    <w:rsid w:val="00F40BFF"/>
    <w:rsid w:val="00F41406"/>
    <w:rsid w:val="00F4221B"/>
    <w:rsid w:val="00F42487"/>
    <w:rsid w:val="00F42C97"/>
    <w:rsid w:val="00F44B44"/>
    <w:rsid w:val="00F462BB"/>
    <w:rsid w:val="00F46BBD"/>
    <w:rsid w:val="00F46EBC"/>
    <w:rsid w:val="00F47535"/>
    <w:rsid w:val="00F478A8"/>
    <w:rsid w:val="00F50689"/>
    <w:rsid w:val="00F51ACE"/>
    <w:rsid w:val="00F525B4"/>
    <w:rsid w:val="00F57203"/>
    <w:rsid w:val="00F613A5"/>
    <w:rsid w:val="00F6706A"/>
    <w:rsid w:val="00F6751E"/>
    <w:rsid w:val="00F678B8"/>
    <w:rsid w:val="00F67974"/>
    <w:rsid w:val="00F71334"/>
    <w:rsid w:val="00F71E07"/>
    <w:rsid w:val="00F71FB5"/>
    <w:rsid w:val="00F72175"/>
    <w:rsid w:val="00F72BFD"/>
    <w:rsid w:val="00F72CC7"/>
    <w:rsid w:val="00F7372B"/>
    <w:rsid w:val="00F73CBF"/>
    <w:rsid w:val="00F73D64"/>
    <w:rsid w:val="00F746CE"/>
    <w:rsid w:val="00F748C6"/>
    <w:rsid w:val="00F755E7"/>
    <w:rsid w:val="00F76DE2"/>
    <w:rsid w:val="00F76DEE"/>
    <w:rsid w:val="00F771B8"/>
    <w:rsid w:val="00F83F9D"/>
    <w:rsid w:val="00F84829"/>
    <w:rsid w:val="00F84BA1"/>
    <w:rsid w:val="00F85436"/>
    <w:rsid w:val="00F85E2B"/>
    <w:rsid w:val="00F85E8E"/>
    <w:rsid w:val="00F86A88"/>
    <w:rsid w:val="00F90641"/>
    <w:rsid w:val="00F9096A"/>
    <w:rsid w:val="00F90D54"/>
    <w:rsid w:val="00F95AC8"/>
    <w:rsid w:val="00F95B61"/>
    <w:rsid w:val="00FA0722"/>
    <w:rsid w:val="00FA0FDD"/>
    <w:rsid w:val="00FA3359"/>
    <w:rsid w:val="00FA41A0"/>
    <w:rsid w:val="00FA56DD"/>
    <w:rsid w:val="00FA69E9"/>
    <w:rsid w:val="00FA6CBF"/>
    <w:rsid w:val="00FB01E8"/>
    <w:rsid w:val="00FB4948"/>
    <w:rsid w:val="00FB4B1A"/>
    <w:rsid w:val="00FB58DE"/>
    <w:rsid w:val="00FC0ABE"/>
    <w:rsid w:val="00FC0BA0"/>
    <w:rsid w:val="00FC1DD9"/>
    <w:rsid w:val="00FC2471"/>
    <w:rsid w:val="00FC2709"/>
    <w:rsid w:val="00FC2A3D"/>
    <w:rsid w:val="00FC4DED"/>
    <w:rsid w:val="00FC5730"/>
    <w:rsid w:val="00FC6043"/>
    <w:rsid w:val="00FC6138"/>
    <w:rsid w:val="00FC64B3"/>
    <w:rsid w:val="00FC6637"/>
    <w:rsid w:val="00FC752C"/>
    <w:rsid w:val="00FD2440"/>
    <w:rsid w:val="00FD39FD"/>
    <w:rsid w:val="00FD3BDB"/>
    <w:rsid w:val="00FD575F"/>
    <w:rsid w:val="00FD61A7"/>
    <w:rsid w:val="00FD702D"/>
    <w:rsid w:val="00FD76F7"/>
    <w:rsid w:val="00FE21D0"/>
    <w:rsid w:val="00FE228D"/>
    <w:rsid w:val="00FE324E"/>
    <w:rsid w:val="00FE351D"/>
    <w:rsid w:val="00FE392E"/>
    <w:rsid w:val="00FE4DFB"/>
    <w:rsid w:val="00FE6D77"/>
    <w:rsid w:val="00FF0834"/>
    <w:rsid w:val="00FF0C02"/>
    <w:rsid w:val="00FF0C74"/>
    <w:rsid w:val="00FF1AE3"/>
    <w:rsid w:val="00FF2559"/>
    <w:rsid w:val="00FF3EAF"/>
    <w:rsid w:val="00FF434C"/>
    <w:rsid w:val="00FF4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unhideWhenUsed="1" w:qFormat="1"/>
    <w:lsdException w:name="header" w:unhideWhenUsed="1" w:qFormat="1"/>
    <w:lsdException w:name="footer" w:unhideWhenUsed="1"/>
    <w:lsdException w:name="caption" w:uiPriority="35" w:qFormat="1"/>
    <w:lsdException w:name="footnote reference" w:unhideWhenUsed="1" w:qFormat="1"/>
    <w:lsdException w:name="toa heading" w:unhideWhenUsed="1"/>
    <w:lsdException w:name="Title" w:uiPriority="10" w:unhideWhenUsed="1"/>
    <w:lsdException w:name="Default Paragraph Font" w:locked="0" w:uiPriority="1" w:unhideWhenUsed="1"/>
    <w:lsdException w:name="Subtitle" w:uiPriority="11" w:unhideWhenUsed="1"/>
    <w:lsdException w:name="Hyperlink" w:unhideWhenUsed="1" w:qFormat="1"/>
    <w:lsdException w:name="Strong" w:uiPriority="22" w:unhideWhenUsed="1" w:qFormat="1"/>
    <w:lsdException w:name="Emphasis" w:uiPriority="2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unhideWhenUsed/>
    <w:qFormat/>
    <w:rsid w:val="00412CE3"/>
    <w:pPr>
      <w:spacing w:after="240" w:line="240" w:lineRule="auto"/>
    </w:pPr>
    <w:rPr>
      <w:rFonts w:ascii="Arial" w:hAnsi="Arial"/>
      <w:sz w:val="20"/>
    </w:rPr>
  </w:style>
  <w:style w:type="paragraph" w:styleId="Heading1">
    <w:name w:val="heading 1"/>
    <w:basedOn w:val="HeadingLevel1"/>
    <w:next w:val="Normal"/>
    <w:link w:val="Heading1Char"/>
    <w:uiPriority w:val="9"/>
    <w:semiHidden/>
    <w:locked/>
    <w:rsid w:val="005F008F"/>
  </w:style>
  <w:style w:type="paragraph" w:styleId="Heading2">
    <w:name w:val="heading 2"/>
    <w:basedOn w:val="HeadingLevel2"/>
    <w:next w:val="Normal"/>
    <w:link w:val="Heading2Char"/>
    <w:uiPriority w:val="9"/>
    <w:semiHidden/>
    <w:locked/>
    <w:rsid w:val="005F008F"/>
    <w:pPr>
      <w:numPr>
        <w:numId w:val="4"/>
      </w:numPr>
    </w:pPr>
  </w:style>
  <w:style w:type="paragraph" w:styleId="Heading3">
    <w:name w:val="heading 3"/>
    <w:basedOn w:val="HeadingLevel3"/>
    <w:next w:val="Normal"/>
    <w:link w:val="Heading3Char"/>
    <w:uiPriority w:val="9"/>
    <w:semiHidden/>
    <w:qFormat/>
    <w:locked/>
    <w:rsid w:val="005F008F"/>
    <w:pPr>
      <w:numPr>
        <w:numId w:val="4"/>
      </w:numPr>
    </w:pPr>
  </w:style>
  <w:style w:type="paragraph" w:styleId="Heading4">
    <w:name w:val="heading 4"/>
    <w:basedOn w:val="Normal"/>
    <w:next w:val="Normal"/>
    <w:link w:val="Heading4Char"/>
    <w:uiPriority w:val="9"/>
    <w:semiHidden/>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unhideWhenUsed/>
    <w:qFormat/>
    <w:locked/>
    <w:rsid w:val="00AA66E1"/>
    <w:pPr>
      <w:pageBreakBefore/>
      <w:numPr>
        <w:numId w:val="3"/>
      </w:numPr>
      <w:spacing w:before="360"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uiPriority w:val="9"/>
    <w:semiHidden/>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C56A07"/>
    <w:pPr>
      <w:keepNext/>
      <w:pageBreakBefore w:val="0"/>
      <w:numPr>
        <w:ilvl w:val="1"/>
      </w:numPr>
      <w:spacing w:before="240" w:after="240"/>
      <w:outlineLvl w:val="1"/>
    </w:pPr>
    <w:rPr>
      <w:bCs w:val="0"/>
      <w:sz w:val="32"/>
    </w:rPr>
  </w:style>
  <w:style w:type="character" w:customStyle="1" w:styleId="Heading2Char">
    <w:name w:val="Heading 2 Char"/>
    <w:basedOn w:val="DefaultParagraphFont"/>
    <w:link w:val="Heading2"/>
    <w:uiPriority w:val="9"/>
    <w:semiHidden/>
    <w:rsid w:val="00692055"/>
    <w:rPr>
      <w:rFonts w:ascii="Arial" w:eastAsiaTheme="majorEastAsia" w:hAnsi="Arial" w:cstheme="majorBidi"/>
      <w:b/>
      <w:color w:val="002060"/>
      <w:sz w:val="32"/>
      <w:szCs w:val="28"/>
    </w:rPr>
  </w:style>
  <w:style w:type="paragraph" w:customStyle="1" w:styleId="HeadingLevel3">
    <w:name w:val="Heading Level 3"/>
    <w:basedOn w:val="HeadingLevel2"/>
    <w:next w:val="Normal"/>
    <w:autoRedefine/>
    <w:uiPriority w:val="1"/>
    <w:unhideWhenUsed/>
    <w:qFormat/>
    <w:locked/>
    <w:rsid w:val="00020C10"/>
    <w:pPr>
      <w:numPr>
        <w:ilvl w:val="2"/>
      </w:numPr>
      <w:spacing w:before="0"/>
      <w:outlineLvl w:val="2"/>
    </w:pPr>
    <w:rPr>
      <w:sz w:val="28"/>
    </w:rPr>
  </w:style>
  <w:style w:type="character" w:customStyle="1" w:styleId="Heading3Char">
    <w:name w:val="Heading 3 Char"/>
    <w:basedOn w:val="DefaultParagraphFont"/>
    <w:link w:val="Heading3"/>
    <w:uiPriority w:val="9"/>
    <w:semiHidden/>
    <w:rsid w:val="00692055"/>
    <w:rPr>
      <w:rFonts w:ascii="Arial" w:eastAsiaTheme="majorEastAsia" w:hAnsi="Arial" w:cstheme="majorBidi"/>
      <w:b/>
      <w:color w:val="002060"/>
      <w:sz w:val="28"/>
      <w:szCs w:val="28"/>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E40C46"/>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unhideWhenUsed/>
    <w:qFormat/>
    <w:locked/>
    <w:rsid w:val="00763618"/>
    <w:pPr>
      <w:numPr>
        <w:ilvl w:val="3"/>
      </w:numPr>
      <w:outlineLvl w:val="3"/>
    </w:pPr>
    <w:rPr>
      <w:bCs/>
      <w:sz w:val="24"/>
    </w:rPr>
  </w:style>
  <w:style w:type="paragraph" w:customStyle="1" w:styleId="Bulleta">
    <w:name w:val="Bullet a"/>
    <w:basedOn w:val="Normal"/>
    <w:autoRedefine/>
    <w:uiPriority w:val="3"/>
    <w:unhideWhenUsed/>
    <w:qFormat/>
    <w:locked/>
    <w:rsid w:val="002F2C8D"/>
    <w:pPr>
      <w:numPr>
        <w:numId w:val="1"/>
      </w:numPr>
      <w:spacing w:before="120"/>
    </w:pPr>
  </w:style>
  <w:style w:type="paragraph" w:customStyle="1" w:styleId="Bulletb">
    <w:name w:val="Bullet b"/>
    <w:basedOn w:val="Bulleta"/>
    <w:autoRedefine/>
    <w:uiPriority w:val="3"/>
    <w:unhideWhenUsed/>
    <w:qFormat/>
    <w:locked/>
    <w:rsid w:val="002F2C8D"/>
    <w:pPr>
      <w:numPr>
        <w:ilvl w:val="1"/>
      </w:numPr>
    </w:pPr>
  </w:style>
  <w:style w:type="table" w:styleId="TableGrid">
    <w:name w:val="Table Grid"/>
    <w:aliases w:val="ACCC Table"/>
    <w:basedOn w:val="TableNormal"/>
    <w:uiPriority w:val="59"/>
    <w:locked/>
    <w:rsid w:val="008A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4source">
    <w:name w:val="Table/Figure 4 source"/>
    <w:basedOn w:val="Table2Text"/>
    <w:uiPriority w:val="5"/>
    <w:unhideWhenUsed/>
    <w:locked/>
    <w:rsid w:val="009450BA"/>
    <w:pPr>
      <w:spacing w:before="240" w:after="240"/>
      <w:ind w:left="567"/>
    </w:pPr>
  </w:style>
  <w:style w:type="paragraph" w:customStyle="1" w:styleId="Table2Text">
    <w:name w:val="Table 2 Text"/>
    <w:basedOn w:val="Normal"/>
    <w:next w:val="Normal"/>
    <w:autoRedefine/>
    <w:uiPriority w:val="5"/>
    <w:unhideWhenUsed/>
    <w:qFormat/>
    <w:locked/>
    <w:rsid w:val="00C14FDD"/>
    <w:pPr>
      <w:spacing w:before="120" w:after="120"/>
    </w:pPr>
    <w:rPr>
      <w:sz w:val="18"/>
    </w:rPr>
  </w:style>
  <w:style w:type="paragraph" w:customStyle="1" w:styleId="Table1Boldedtext">
    <w:name w:val="Table 1 Bolded text"/>
    <w:basedOn w:val="Normal"/>
    <w:autoRedefine/>
    <w:uiPriority w:val="5"/>
    <w:unhideWhenUsed/>
    <w:locked/>
    <w:rsid w:val="00C14FDD"/>
    <w:pPr>
      <w:spacing w:before="120" w:after="120"/>
    </w:pPr>
    <w:rPr>
      <w:b/>
      <w:sz w:val="18"/>
    </w:rPr>
  </w:style>
  <w:style w:type="paragraph" w:customStyle="1" w:styleId="Table3bullet">
    <w:name w:val="Table 3 bullet"/>
    <w:basedOn w:val="Normal"/>
    <w:autoRedefine/>
    <w:uiPriority w:val="5"/>
    <w:unhideWhenUsed/>
    <w:locked/>
    <w:rsid w:val="00A32A1D"/>
    <w:pPr>
      <w:numPr>
        <w:numId w:val="2"/>
      </w:numPr>
      <w:spacing w:after="120"/>
      <w:ind w:left="714" w:hanging="357"/>
    </w:pPr>
    <w:rPr>
      <w:sz w:val="18"/>
    </w:rPr>
  </w:style>
  <w:style w:type="paragraph" w:styleId="Quote">
    <w:name w:val="Quote"/>
    <w:basedOn w:val="Normal"/>
    <w:next w:val="Normal"/>
    <w:link w:val="QuoteChar"/>
    <w:autoRedefine/>
    <w:uiPriority w:val="29"/>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9"/>
    <w:rsid w:val="00692055"/>
    <w:rPr>
      <w:rFonts w:ascii="Arial" w:hAnsi="Arial"/>
      <w:iCs/>
      <w:color w:val="000000" w:themeColor="text1"/>
      <w:sz w:val="17"/>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numPr>
        <w:numId w:val="0"/>
      </w:numPr>
      <w:tabs>
        <w:tab w:val="num" w:pos="958"/>
      </w:tabs>
      <w:ind w:left="958" w:hanging="958"/>
    </w:pPr>
  </w:style>
  <w:style w:type="paragraph" w:styleId="TOC1">
    <w:name w:val="toc 1"/>
    <w:basedOn w:val="Normal"/>
    <w:next w:val="Normal"/>
    <w:autoRedefine/>
    <w:uiPriority w:val="39"/>
    <w:locked/>
    <w:rsid w:val="00E91311"/>
    <w:pPr>
      <w:tabs>
        <w:tab w:val="left" w:pos="426"/>
        <w:tab w:val="right" w:leader="dot" w:pos="8438"/>
      </w:tabs>
      <w:spacing w:before="240"/>
    </w:pPr>
    <w:rPr>
      <w:b/>
      <w:noProof/>
    </w:rPr>
  </w:style>
  <w:style w:type="paragraph" w:styleId="TOC2">
    <w:name w:val="toc 2"/>
    <w:basedOn w:val="Normal"/>
    <w:next w:val="Normal"/>
    <w:autoRedefine/>
    <w:uiPriority w:val="39"/>
    <w:locked/>
    <w:rsid w:val="00A20E5A"/>
    <w:pPr>
      <w:tabs>
        <w:tab w:val="left" w:pos="880"/>
        <w:tab w:val="right" w:leader="dot" w:pos="8438"/>
      </w:tabs>
      <w:spacing w:after="100"/>
      <w:ind w:left="426"/>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link w:val="ListParagraphChar"/>
    <w:uiPriority w:val="34"/>
    <w:qFormat/>
    <w:locked/>
    <w:rsid w:val="00FC6637"/>
    <w:pPr>
      <w:ind w:left="720"/>
      <w:contextualSpacing/>
    </w:pPr>
  </w:style>
  <w:style w:type="paragraph" w:customStyle="1" w:styleId="HeadingLevel8table">
    <w:name w:val="Heading Level 8 (table)"/>
    <w:basedOn w:val="HeadingLevel6"/>
    <w:next w:val="Normal"/>
    <w:autoRedefine/>
    <w:uiPriority w:val="1"/>
    <w:qFormat/>
    <w:locked/>
    <w:rsid w:val="00316E0D"/>
    <w:pPr>
      <w:numPr>
        <w:ilvl w:val="7"/>
      </w:numPr>
      <w:ind w:left="0"/>
      <w:jc w:val="both"/>
      <w:outlineLvl w:val="9"/>
    </w:pPr>
    <w:rPr>
      <w:b/>
      <w:bCs/>
      <w:i w:val="0"/>
      <w:sz w:val="20"/>
    </w:rPr>
  </w:style>
  <w:style w:type="paragraph" w:customStyle="1" w:styleId="Non-numberedtabletitle">
    <w:name w:val="Non-numbered table title"/>
    <w:basedOn w:val="HeadingLevel8table"/>
    <w:next w:val="Normal"/>
    <w:uiPriority w:val="3"/>
    <w:semiHidden/>
    <w:locked/>
    <w:rsid w:val="00FC6637"/>
    <w:pPr>
      <w:numPr>
        <w:ilvl w:val="0"/>
        <w:numId w:val="0"/>
      </w:numPr>
    </w:pPr>
  </w:style>
  <w:style w:type="paragraph" w:customStyle="1" w:styleId="AppendixLevel5figure">
    <w:name w:val="Appendix Level 5 (figure)"/>
    <w:basedOn w:val="AppendixLevel4"/>
    <w:next w:val="Normal"/>
    <w:uiPriority w:val="6"/>
    <w:unhideWhenUsed/>
    <w:qFormat/>
    <w:locked/>
    <w:rsid w:val="00823292"/>
    <w:pPr>
      <w:numPr>
        <w:ilvl w:val="4"/>
      </w:numPr>
      <w:outlineLvl w:val="9"/>
    </w:pPr>
    <w:rPr>
      <w:sz w:val="20"/>
    </w:rPr>
  </w:style>
  <w:style w:type="paragraph" w:customStyle="1" w:styleId="HeadingLevel5">
    <w:name w:val="Heading Level 5"/>
    <w:basedOn w:val="HeadingLevel4"/>
    <w:next w:val="Normal"/>
    <w:uiPriority w:val="1"/>
    <w:unhideWhenUsed/>
    <w:qFormat/>
    <w:locked/>
    <w:rsid w:val="00412CE3"/>
    <w:pPr>
      <w:numPr>
        <w:ilvl w:val="4"/>
      </w:numPr>
      <w:outlineLvl w:val="4"/>
    </w:pPr>
    <w:rPr>
      <w:bCs w:val="0"/>
      <w:i/>
    </w:rPr>
  </w:style>
  <w:style w:type="paragraph" w:customStyle="1" w:styleId="HeadingLevel6">
    <w:name w:val="Heading Level 6"/>
    <w:basedOn w:val="HeadingLevel5"/>
    <w:next w:val="Normal"/>
    <w:uiPriority w:val="1"/>
    <w:unhideWhenUsed/>
    <w:qFormat/>
    <w:locked/>
    <w:rsid w:val="00093B20"/>
    <w:pPr>
      <w:numPr>
        <w:ilvl w:val="5"/>
      </w:numPr>
      <w:outlineLvl w:val="5"/>
    </w:pPr>
    <w:rPr>
      <w:b w:val="0"/>
    </w:rPr>
  </w:style>
  <w:style w:type="paragraph" w:styleId="TOCHeading">
    <w:name w:val="TOC Heading"/>
    <w:basedOn w:val="Heading1"/>
    <w:next w:val="Normal"/>
    <w:uiPriority w:val="39"/>
    <w:semiHidden/>
    <w:qFormat/>
    <w:locked/>
    <w:rsid w:val="00FA0722"/>
    <w:pPr>
      <w:keepNext/>
      <w:keepLines/>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semiHidden/>
    <w:locked/>
    <w:rsid w:val="00FA0722"/>
    <w:pPr>
      <w:spacing w:after="100"/>
      <w:ind w:left="400"/>
    </w:pPr>
  </w:style>
  <w:style w:type="paragraph" w:customStyle="1" w:styleId="AppendixLevel1">
    <w:name w:val="Appendix Level 1"/>
    <w:basedOn w:val="Normal"/>
    <w:next w:val="Normal"/>
    <w:autoRedefine/>
    <w:uiPriority w:val="6"/>
    <w:unhideWhenUsed/>
    <w:qFormat/>
    <w:locked/>
    <w:rsid w:val="00184D08"/>
    <w:pPr>
      <w:pageBreakBefore/>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E06033"/>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3A770E"/>
    <w:pPr>
      <w:numPr>
        <w:ilvl w:val="3"/>
      </w:numPr>
      <w:outlineLvl w:val="3"/>
    </w:pPr>
    <w:rPr>
      <w:bCs w:val="0"/>
      <w:sz w:val="24"/>
    </w:rPr>
  </w:style>
  <w:style w:type="character" w:customStyle="1" w:styleId="Heading4Char">
    <w:name w:val="Heading 4 Char"/>
    <w:basedOn w:val="DefaultParagraphFont"/>
    <w:link w:val="Heading4"/>
    <w:uiPriority w:val="9"/>
    <w:semiHidden/>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qFormat/>
    <w:locked/>
    <w:rsid w:val="00823292"/>
    <w:pPr>
      <w:tabs>
        <w:tab w:val="center" w:pos="4513"/>
        <w:tab w:val="right" w:pos="9026"/>
      </w:tabs>
      <w:spacing w:after="0"/>
    </w:pPr>
  </w:style>
  <w:style w:type="character" w:customStyle="1" w:styleId="HeaderChar">
    <w:name w:val="Header Char"/>
    <w:basedOn w:val="DefaultParagraphFont"/>
    <w:link w:val="Header"/>
    <w:uiPriority w:val="99"/>
    <w:rsid w:val="00692055"/>
    <w:rPr>
      <w:rFonts w:ascii="Arial" w:hAnsi="Arial"/>
      <w:sz w:val="20"/>
    </w:rPr>
  </w:style>
  <w:style w:type="paragraph" w:styleId="Footer">
    <w:name w:val="footer"/>
    <w:basedOn w:val="Normal"/>
    <w:link w:val="FooterChar"/>
    <w:uiPriority w:val="99"/>
    <w:locked/>
    <w:rsid w:val="00823292"/>
    <w:pPr>
      <w:tabs>
        <w:tab w:val="center" w:pos="4513"/>
        <w:tab w:val="right" w:pos="9026"/>
      </w:tabs>
      <w:spacing w:after="0"/>
    </w:pPr>
  </w:style>
  <w:style w:type="character" w:customStyle="1" w:styleId="FooterChar">
    <w:name w:val="Footer Char"/>
    <w:basedOn w:val="DefaultParagraphFont"/>
    <w:link w:val="Footer"/>
    <w:uiPriority w:val="99"/>
    <w:rsid w:val="00692055"/>
    <w:rPr>
      <w:rFonts w:ascii="Arial" w:hAnsi="Arial"/>
      <w:sz w:val="20"/>
    </w:rPr>
  </w:style>
  <w:style w:type="paragraph" w:styleId="ListBullet">
    <w:name w:val="List Bullet"/>
    <w:basedOn w:val="Bulleta"/>
    <w:uiPriority w:val="99"/>
    <w:semiHidden/>
    <w:locked/>
    <w:rsid w:val="009C55E3"/>
  </w:style>
  <w:style w:type="table" w:customStyle="1" w:styleId="TableGrid1">
    <w:name w:val="Table Grid1"/>
    <w:basedOn w:val="TableNormal"/>
    <w:next w:val="TableGrid"/>
    <w:uiPriority w:val="59"/>
    <w:locked/>
    <w:rsid w:val="003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pPr>
  </w:style>
  <w:style w:type="paragraph" w:customStyle="1" w:styleId="Non-NumberedStyle">
    <w:name w:val="Non-Numbered Style"/>
    <w:basedOn w:val="HeadingLevel1"/>
    <w:next w:val="Normal"/>
    <w:semiHidden/>
    <w:qFormat/>
    <w:rsid w:val="00E91311"/>
    <w:pPr>
      <w:numPr>
        <w:numId w:val="0"/>
      </w:numPr>
      <w:outlineLvl w:val="9"/>
    </w:pPr>
  </w:style>
  <w:style w:type="character" w:styleId="CommentReference">
    <w:name w:val="annotation reference"/>
    <w:basedOn w:val="DefaultParagraphFont"/>
    <w:uiPriority w:val="99"/>
    <w:semiHidden/>
    <w:locked/>
    <w:rsid w:val="008476FE"/>
    <w:rPr>
      <w:sz w:val="16"/>
      <w:szCs w:val="16"/>
    </w:rPr>
  </w:style>
  <w:style w:type="paragraph" w:styleId="CommentText">
    <w:name w:val="annotation text"/>
    <w:basedOn w:val="Normal"/>
    <w:link w:val="CommentTextChar"/>
    <w:uiPriority w:val="99"/>
    <w:locked/>
    <w:rsid w:val="008476FE"/>
    <w:rPr>
      <w:szCs w:val="20"/>
    </w:rPr>
  </w:style>
  <w:style w:type="character" w:customStyle="1" w:styleId="CommentTextChar">
    <w:name w:val="Comment Text Char"/>
    <w:basedOn w:val="DefaultParagraphFont"/>
    <w:link w:val="CommentText"/>
    <w:uiPriority w:val="99"/>
    <w:rsid w:val="008476FE"/>
    <w:rPr>
      <w:rFonts w:ascii="Arial" w:hAnsi="Arial"/>
      <w:sz w:val="20"/>
      <w:szCs w:val="20"/>
    </w:rPr>
  </w:style>
  <w:style w:type="paragraph" w:styleId="CommentSubject">
    <w:name w:val="annotation subject"/>
    <w:basedOn w:val="CommentText"/>
    <w:next w:val="CommentText"/>
    <w:link w:val="CommentSubjectChar"/>
    <w:uiPriority w:val="99"/>
    <w:semiHidden/>
    <w:locked/>
    <w:rsid w:val="008476FE"/>
    <w:rPr>
      <w:b/>
      <w:bCs/>
    </w:rPr>
  </w:style>
  <w:style w:type="character" w:customStyle="1" w:styleId="CommentSubjectChar">
    <w:name w:val="Comment Subject Char"/>
    <w:basedOn w:val="CommentTextChar"/>
    <w:link w:val="CommentSubject"/>
    <w:uiPriority w:val="99"/>
    <w:semiHidden/>
    <w:rsid w:val="008476FE"/>
    <w:rPr>
      <w:rFonts w:ascii="Arial" w:hAnsi="Arial"/>
      <w:b/>
      <w:bCs/>
      <w:sz w:val="20"/>
      <w:szCs w:val="20"/>
    </w:rPr>
  </w:style>
  <w:style w:type="paragraph" w:customStyle="1" w:styleId="HeadingLevel9NONnumbered">
    <w:name w:val="Heading Level 9 (NON numbered)"/>
    <w:basedOn w:val="Normal"/>
    <w:next w:val="Normal"/>
    <w:uiPriority w:val="1"/>
    <w:qFormat/>
    <w:rsid w:val="00B63DE2"/>
    <w:pPr>
      <w:numPr>
        <w:ilvl w:val="8"/>
      </w:numPr>
    </w:pPr>
    <w:rPr>
      <w:rFonts w:eastAsiaTheme="majorEastAsia" w:cstheme="majorBidi"/>
      <w:b/>
      <w:bCs/>
      <w:i/>
      <w:color w:val="002060"/>
      <w:sz w:val="24"/>
      <w:szCs w:val="28"/>
    </w:rPr>
  </w:style>
  <w:style w:type="paragraph" w:customStyle="1" w:styleId="Bullets">
    <w:name w:val="Bullets"/>
    <w:basedOn w:val="ListParagraph"/>
    <w:link w:val="BulletsChar"/>
    <w:qFormat/>
    <w:rsid w:val="00B63DE2"/>
    <w:pPr>
      <w:numPr>
        <w:numId w:val="5"/>
      </w:numPr>
      <w:spacing w:after="120"/>
      <w:contextualSpacing w:val="0"/>
    </w:pPr>
  </w:style>
  <w:style w:type="character" w:customStyle="1" w:styleId="BulletsChar">
    <w:name w:val="Bullets Char"/>
    <w:basedOn w:val="DefaultParagraphFont"/>
    <w:link w:val="Bullets"/>
    <w:rsid w:val="00B63DE2"/>
    <w:rPr>
      <w:rFonts w:ascii="Arial" w:hAnsi="Arial"/>
      <w:sz w:val="20"/>
    </w:rPr>
  </w:style>
  <w:style w:type="paragraph" w:styleId="Revision">
    <w:name w:val="Revision"/>
    <w:hidden/>
    <w:uiPriority w:val="99"/>
    <w:semiHidden/>
    <w:rsid w:val="00D63515"/>
    <w:pPr>
      <w:spacing w:after="0" w:line="240" w:lineRule="auto"/>
    </w:pPr>
    <w:rPr>
      <w:rFonts w:ascii="Arial" w:hAnsi="Arial"/>
      <w:sz w:val="20"/>
    </w:rPr>
  </w:style>
  <w:style w:type="character" w:styleId="FollowedHyperlink">
    <w:name w:val="FollowedHyperlink"/>
    <w:basedOn w:val="DefaultParagraphFont"/>
    <w:uiPriority w:val="99"/>
    <w:semiHidden/>
    <w:locked/>
    <w:rsid w:val="00040466"/>
    <w:rPr>
      <w:color w:val="800080" w:themeColor="followedHyperlink"/>
      <w:u w:val="single"/>
    </w:rPr>
  </w:style>
  <w:style w:type="paragraph" w:customStyle="1" w:styleId="Questionbox">
    <w:name w:val="Question box"/>
    <w:basedOn w:val="Normal"/>
    <w:qFormat/>
    <w:rsid w:val="006A27CC"/>
    <w:pPr>
      <w:numPr>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pPr>
    <w:rPr>
      <w:sz w:val="22"/>
      <w:szCs w:val="20"/>
    </w:rPr>
  </w:style>
  <w:style w:type="table" w:styleId="MediumShading1">
    <w:name w:val="Medium Shading 1"/>
    <w:basedOn w:val="TableNormal"/>
    <w:uiPriority w:val="63"/>
    <w:locked/>
    <w:rsid w:val="009742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851219"/>
    <w:rPr>
      <w:rFonts w:ascii="Arial" w:hAnsi="Arial"/>
      <w:sz w:val="20"/>
    </w:rPr>
  </w:style>
  <w:style w:type="paragraph" w:customStyle="1" w:styleId="Numbered1">
    <w:name w:val="Numbered 1"/>
    <w:basedOn w:val="Heading1"/>
    <w:next w:val="Normal"/>
    <w:qFormat/>
    <w:rsid w:val="00C2439B"/>
    <w:pPr>
      <w:pageBreakBefore w:val="0"/>
      <w:numPr>
        <w:numId w:val="8"/>
      </w:numPr>
      <w:tabs>
        <w:tab w:val="left" w:pos="680"/>
      </w:tabs>
      <w:spacing w:before="240" w:after="0"/>
    </w:pPr>
    <w:rPr>
      <w:color w:val="auto"/>
      <w:sz w:val="24"/>
    </w:rPr>
  </w:style>
  <w:style w:type="paragraph" w:customStyle="1" w:styleId="Numbered11">
    <w:name w:val="Numbered 1.1"/>
    <w:basedOn w:val="Heading2"/>
    <w:next w:val="Normal"/>
    <w:qFormat/>
    <w:rsid w:val="00C2439B"/>
    <w:pPr>
      <w:keepNext w:val="0"/>
      <w:numPr>
        <w:numId w:val="8"/>
      </w:numPr>
      <w:tabs>
        <w:tab w:val="left" w:pos="1021"/>
      </w:tabs>
      <w:spacing w:before="200" w:after="0" w:line="240" w:lineRule="atLeast"/>
      <w:ind w:left="792"/>
    </w:pPr>
    <w:rPr>
      <w:rFonts w:cs="Arial"/>
      <w:b w:val="0"/>
      <w:bCs/>
      <w:color w:val="auto"/>
      <w:sz w:val="22"/>
      <w:szCs w:val="26"/>
    </w:rPr>
  </w:style>
  <w:style w:type="paragraph" w:customStyle="1" w:styleId="Numbered111">
    <w:name w:val="Numbered 1.1.1"/>
    <w:basedOn w:val="Heading3"/>
    <w:next w:val="Normal"/>
    <w:qFormat/>
    <w:rsid w:val="00C2439B"/>
    <w:pPr>
      <w:keepNext w:val="0"/>
      <w:numPr>
        <w:numId w:val="8"/>
      </w:numPr>
      <w:tabs>
        <w:tab w:val="left" w:pos="1361"/>
      </w:tabs>
      <w:spacing w:before="240" w:after="0"/>
      <w:contextualSpacing/>
    </w:pPr>
    <w:rPr>
      <w:bCs/>
      <w:i/>
      <w:color w:val="000000" w:themeColor="text1" w:themeShade="BF"/>
      <w:sz w:val="22"/>
      <w:szCs w:val="22"/>
    </w:rPr>
  </w:style>
  <w:style w:type="paragraph" w:customStyle="1" w:styleId="Numbered1111">
    <w:name w:val="Numbered 1.1.1.1"/>
    <w:basedOn w:val="Heading4"/>
    <w:next w:val="Normal"/>
    <w:rsid w:val="00C2439B"/>
    <w:pPr>
      <w:keepNext w:val="0"/>
      <w:keepLines w:val="0"/>
      <w:numPr>
        <w:ilvl w:val="3"/>
        <w:numId w:val="8"/>
      </w:numPr>
      <w:tabs>
        <w:tab w:val="left" w:pos="1361"/>
      </w:tabs>
      <w:spacing w:before="240"/>
    </w:pPr>
    <w:rPr>
      <w:rFonts w:ascii="Arial" w:hAnsi="Arial"/>
      <w:color w:val="51626F"/>
      <w:sz w:val="22"/>
    </w:rPr>
  </w:style>
  <w:style w:type="paragraph" w:customStyle="1" w:styleId="Numbered11111">
    <w:name w:val="Numbered 1.1.1.1.1"/>
    <w:basedOn w:val="Heading5"/>
    <w:next w:val="Normal"/>
    <w:uiPriority w:val="2"/>
    <w:rsid w:val="00C2439B"/>
    <w:pPr>
      <w:keepNext w:val="0"/>
      <w:keepLines w:val="0"/>
      <w:numPr>
        <w:ilvl w:val="4"/>
        <w:numId w:val="8"/>
      </w:numPr>
      <w:tabs>
        <w:tab w:val="left" w:pos="1701"/>
      </w:tabs>
      <w:spacing w:line="240" w:lineRule="atLeast"/>
    </w:pPr>
    <w:rPr>
      <w:rFonts w:ascii="Arial" w:hAnsi="Arial"/>
      <w:b/>
      <w:sz w:val="22"/>
    </w:rPr>
  </w:style>
  <w:style w:type="paragraph" w:customStyle="1" w:styleId="Numbered111111">
    <w:name w:val="Numbered 1.1.1.1.1.1"/>
    <w:basedOn w:val="Heading6"/>
    <w:next w:val="Normal"/>
    <w:uiPriority w:val="2"/>
    <w:rsid w:val="00C2439B"/>
    <w:pPr>
      <w:keepNext w:val="0"/>
      <w:keepLines w:val="0"/>
      <w:numPr>
        <w:ilvl w:val="5"/>
        <w:numId w:val="8"/>
      </w:numPr>
      <w:tabs>
        <w:tab w:val="left" w:pos="1701"/>
      </w:tabs>
      <w:spacing w:before="240"/>
    </w:pPr>
    <w:rPr>
      <w:rFonts w:ascii="Arial" w:hAnsi="Arial"/>
      <w:b/>
      <w:color w:val="auto"/>
      <w:sz w:val="22"/>
    </w:rPr>
  </w:style>
  <w:style w:type="paragraph" w:customStyle="1" w:styleId="Numbered1111111">
    <w:name w:val="Numbered 1.1.1.1.1.1.1"/>
    <w:basedOn w:val="Heading7"/>
    <w:next w:val="Normal"/>
    <w:uiPriority w:val="2"/>
    <w:rsid w:val="00C2439B"/>
    <w:pPr>
      <w:keepNext w:val="0"/>
      <w:keepLines w:val="0"/>
      <w:numPr>
        <w:ilvl w:val="6"/>
        <w:numId w:val="8"/>
      </w:numPr>
      <w:tabs>
        <w:tab w:val="left" w:pos="2041"/>
      </w:tabs>
      <w:spacing w:before="240"/>
    </w:pPr>
    <w:rPr>
      <w:rFonts w:ascii="Arial" w:hAnsi="Arial"/>
      <w:sz w:val="22"/>
    </w:rPr>
  </w:style>
  <w:style w:type="paragraph" w:customStyle="1" w:styleId="Numbered11111111">
    <w:name w:val="Numbered 1.1.1.1.1.1.1.1"/>
    <w:basedOn w:val="Heading8"/>
    <w:next w:val="Normal"/>
    <w:uiPriority w:val="2"/>
    <w:rsid w:val="00C2439B"/>
    <w:pPr>
      <w:keepNext w:val="0"/>
      <w:keepLines w:val="0"/>
      <w:numPr>
        <w:ilvl w:val="7"/>
        <w:numId w:val="8"/>
      </w:numPr>
      <w:tabs>
        <w:tab w:val="left" w:pos="2041"/>
      </w:tabs>
      <w:spacing w:before="240"/>
    </w:pPr>
    <w:rPr>
      <w:rFonts w:ascii="Arial" w:hAnsi="Arial"/>
      <w:color w:val="4F81BD" w:themeColor="accent1"/>
      <w:sz w:val="22"/>
    </w:rPr>
  </w:style>
  <w:style w:type="paragraph" w:customStyle="1" w:styleId="Numbered111111111">
    <w:name w:val="Numbered 1.1.1.1.1.1.1.1.1"/>
    <w:basedOn w:val="Heading9"/>
    <w:next w:val="Normal"/>
    <w:uiPriority w:val="2"/>
    <w:rsid w:val="00C2439B"/>
    <w:pPr>
      <w:keepNext w:val="0"/>
      <w:keepLines w:val="0"/>
      <w:numPr>
        <w:ilvl w:val="8"/>
        <w:numId w:val="8"/>
      </w:numPr>
      <w:tabs>
        <w:tab w:val="left" w:pos="2381"/>
      </w:tabs>
      <w:spacing w:before="240"/>
    </w:pPr>
    <w:rPr>
      <w:rFonts w:ascii="Arial" w:hAnsi="Arial"/>
      <w:color w:val="4F81BD" w:themeColor="accent1"/>
      <w:sz w:val="22"/>
    </w:rPr>
  </w:style>
  <w:style w:type="paragraph" w:customStyle="1" w:styleId="Bulletpoint">
    <w:name w:val="Bullet point"/>
    <w:basedOn w:val="ListBullet"/>
    <w:qFormat/>
    <w:rsid w:val="001263AB"/>
    <w:pPr>
      <w:numPr>
        <w:numId w:val="10"/>
      </w:numPr>
      <w:spacing w:before="60" w:after="120"/>
    </w:pPr>
    <w:rPr>
      <w:rFonts w:ascii="Calibri" w:hAnsi="Calibri" w:cs="Times New Roman"/>
      <w:sz w:val="22"/>
    </w:rPr>
  </w:style>
  <w:style w:type="paragraph" w:customStyle="1" w:styleId="Default">
    <w:name w:val="Default"/>
    <w:rsid w:val="001263AB"/>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locked/>
    <w:rsid w:val="00B23A56"/>
    <w:pPr>
      <w:numPr>
        <w:numId w:val="11"/>
      </w:numPr>
      <w:tabs>
        <w:tab w:val="clear" w:pos="643"/>
        <w:tab w:val="num" w:pos="680"/>
      </w:tabs>
      <w:spacing w:before="120"/>
      <w:ind w:left="680" w:hanging="340"/>
    </w:pPr>
  </w:style>
  <w:style w:type="paragraph" w:customStyle="1" w:styleId="Tabletitle">
    <w:name w:val="Table title"/>
    <w:basedOn w:val="Normal"/>
    <w:link w:val="TabletitleChar"/>
    <w:qFormat/>
    <w:rsid w:val="00B23A56"/>
    <w:pPr>
      <w:spacing w:before="240" w:after="120"/>
    </w:pPr>
    <w:rPr>
      <w:b/>
      <w:szCs w:val="20"/>
    </w:rPr>
  </w:style>
  <w:style w:type="character" w:customStyle="1" w:styleId="TabletitleChar">
    <w:name w:val="Table title Char"/>
    <w:basedOn w:val="DefaultParagraphFont"/>
    <w:link w:val="Tabletitle"/>
    <w:rsid w:val="00B23A56"/>
    <w:rPr>
      <w:rFonts w:ascii="Arial" w:hAnsi="Arial"/>
      <w:b/>
      <w:sz w:val="20"/>
      <w:szCs w:val="20"/>
    </w:rPr>
  </w:style>
  <w:style w:type="character" w:styleId="Strong">
    <w:name w:val="Strong"/>
    <w:basedOn w:val="DefaultParagraphFont"/>
    <w:uiPriority w:val="22"/>
    <w:qFormat/>
    <w:locked/>
    <w:rsid w:val="00F40BFF"/>
    <w:rPr>
      <w:b/>
      <w:bCs/>
    </w:rPr>
  </w:style>
  <w:style w:type="character" w:customStyle="1" w:styleId="tgc">
    <w:name w:val="_tgc"/>
    <w:basedOn w:val="DefaultParagraphFont"/>
    <w:rsid w:val="0019450C"/>
  </w:style>
  <w:style w:type="table" w:styleId="LightGrid-Accent6">
    <w:name w:val="Light Grid Accent 6"/>
    <w:basedOn w:val="TableNormal"/>
    <w:uiPriority w:val="62"/>
    <w:locked/>
    <w:rsid w:val="00F15B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Bullet4">
    <w:name w:val="List Bullet 4"/>
    <w:basedOn w:val="Normal"/>
    <w:uiPriority w:val="99"/>
    <w:locked/>
    <w:rsid w:val="00F15B51"/>
    <w:pPr>
      <w:numPr>
        <w:numId w:val="13"/>
      </w:numPr>
      <w:tabs>
        <w:tab w:val="clear" w:pos="1209"/>
        <w:tab w:val="num" w:pos="1361"/>
      </w:tabs>
      <w:spacing w:before="120" w:after="0"/>
      <w:ind w:left="1361" w:hanging="340"/>
    </w:pPr>
    <w:rPr>
      <w:rFonts w:ascii="Calibri" w:eastAsia="MS PGothic" w:hAnsi="Calibri" w:cs="MS PGothic"/>
      <w:sz w:val="22"/>
    </w:rPr>
  </w:style>
  <w:style w:type="paragraph" w:customStyle="1" w:styleId="Numberedparagraph11">
    <w:name w:val="Numbered paragraph 1.1"/>
    <w:basedOn w:val="Numbered11"/>
    <w:qFormat/>
    <w:rsid w:val="00B13A44"/>
    <w:pPr>
      <w:numPr>
        <w:numId w:val="9"/>
      </w:numPr>
      <w:outlineLvl w:val="9"/>
    </w:pPr>
    <w:rPr>
      <w:bCs w:val="0"/>
    </w:rPr>
  </w:style>
  <w:style w:type="paragraph" w:customStyle="1" w:styleId="Pullquotetext">
    <w:name w:val="Pull quote text"/>
    <w:link w:val="PullquotetextChar"/>
    <w:uiPriority w:val="1"/>
    <w:rsid w:val="00E266FC"/>
    <w:pPr>
      <w:spacing w:before="120" w:after="0" w:line="240" w:lineRule="auto"/>
    </w:pPr>
    <w:rPr>
      <w:rFonts w:ascii="Lucida Fax" w:hAnsi="Lucida Fax"/>
      <w:color w:val="DC5034"/>
      <w:szCs w:val="24"/>
    </w:rPr>
  </w:style>
  <w:style w:type="character" w:customStyle="1" w:styleId="PullquotetextChar">
    <w:name w:val="Pull quote text Char"/>
    <w:basedOn w:val="DefaultParagraphFont"/>
    <w:link w:val="Pullquotetext"/>
    <w:uiPriority w:val="1"/>
    <w:rsid w:val="00E266FC"/>
    <w:rPr>
      <w:rFonts w:ascii="Lucida Fax" w:hAnsi="Lucida Fax"/>
      <w:color w:val="DC5034"/>
      <w:szCs w:val="24"/>
    </w:rPr>
  </w:style>
  <w:style w:type="table" w:styleId="LightShading">
    <w:name w:val="Light Shading"/>
    <w:basedOn w:val="TableNormal"/>
    <w:uiPriority w:val="60"/>
    <w:locked/>
    <w:rsid w:val="00527734"/>
    <w:pPr>
      <w:spacing w:before="120" w:after="120" w:line="240" w:lineRule="auto"/>
    </w:pPr>
    <w:rPr>
      <w:sz w:val="20"/>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cBorders>
      </w:tcPr>
    </w:tblStylePr>
    <w:tblStylePr w:type="firstCol">
      <w:rPr>
        <w:b/>
        <w:bCs/>
        <w:sz w:val="20"/>
      </w:rPr>
    </w:tblStylePr>
    <w:tblStylePr w:type="lastCol">
      <w:rPr>
        <w:b/>
        <w:bCs/>
      </w:rPr>
    </w:tblStylePr>
  </w:style>
  <w:style w:type="paragraph" w:customStyle="1" w:styleId="Bulletpoint2">
    <w:name w:val="Bullet point 2"/>
    <w:basedOn w:val="ListBullet2"/>
    <w:uiPriority w:val="1"/>
    <w:qFormat/>
    <w:rsid w:val="00AF5E56"/>
    <w:pPr>
      <w:numPr>
        <w:numId w:val="35"/>
      </w:numPr>
      <w:tabs>
        <w:tab w:val="left" w:pos="680"/>
      </w:tabs>
      <w:ind w:left="680" w:hanging="340"/>
    </w:pPr>
  </w:style>
  <w:style w:type="paragraph" w:styleId="ListBullet3">
    <w:name w:val="List Bullet 3"/>
    <w:basedOn w:val="Normal"/>
    <w:uiPriority w:val="99"/>
    <w:semiHidden/>
    <w:locked/>
    <w:rsid w:val="007D3CF4"/>
    <w:pPr>
      <w:numPr>
        <w:numId w:val="4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3648">
      <w:bodyDiv w:val="1"/>
      <w:marLeft w:val="0"/>
      <w:marRight w:val="0"/>
      <w:marTop w:val="0"/>
      <w:marBottom w:val="0"/>
      <w:divBdr>
        <w:top w:val="none" w:sz="0" w:space="0" w:color="auto"/>
        <w:left w:val="none" w:sz="0" w:space="0" w:color="auto"/>
        <w:bottom w:val="none" w:sz="0" w:space="0" w:color="auto"/>
        <w:right w:val="none" w:sz="0" w:space="0" w:color="auto"/>
      </w:divBdr>
    </w:div>
    <w:div w:id="186481761">
      <w:bodyDiv w:val="1"/>
      <w:marLeft w:val="0"/>
      <w:marRight w:val="0"/>
      <w:marTop w:val="0"/>
      <w:marBottom w:val="0"/>
      <w:divBdr>
        <w:top w:val="none" w:sz="0" w:space="0" w:color="auto"/>
        <w:left w:val="none" w:sz="0" w:space="0" w:color="auto"/>
        <w:bottom w:val="none" w:sz="0" w:space="0" w:color="auto"/>
        <w:right w:val="none" w:sz="0" w:space="0" w:color="auto"/>
      </w:divBdr>
    </w:div>
    <w:div w:id="251665525">
      <w:bodyDiv w:val="1"/>
      <w:marLeft w:val="0"/>
      <w:marRight w:val="0"/>
      <w:marTop w:val="0"/>
      <w:marBottom w:val="0"/>
      <w:divBdr>
        <w:top w:val="none" w:sz="0" w:space="0" w:color="auto"/>
        <w:left w:val="none" w:sz="0" w:space="0" w:color="auto"/>
        <w:bottom w:val="none" w:sz="0" w:space="0" w:color="auto"/>
        <w:right w:val="none" w:sz="0" w:space="0" w:color="auto"/>
      </w:divBdr>
    </w:div>
    <w:div w:id="847519310">
      <w:bodyDiv w:val="1"/>
      <w:marLeft w:val="0"/>
      <w:marRight w:val="0"/>
      <w:marTop w:val="0"/>
      <w:marBottom w:val="0"/>
      <w:divBdr>
        <w:top w:val="none" w:sz="0" w:space="0" w:color="auto"/>
        <w:left w:val="none" w:sz="0" w:space="0" w:color="auto"/>
        <w:bottom w:val="none" w:sz="0" w:space="0" w:color="auto"/>
        <w:right w:val="none" w:sz="0" w:space="0" w:color="auto"/>
      </w:divBdr>
    </w:div>
    <w:div w:id="890459443">
      <w:bodyDiv w:val="1"/>
      <w:marLeft w:val="0"/>
      <w:marRight w:val="0"/>
      <w:marTop w:val="0"/>
      <w:marBottom w:val="0"/>
      <w:divBdr>
        <w:top w:val="none" w:sz="0" w:space="0" w:color="auto"/>
        <w:left w:val="none" w:sz="0" w:space="0" w:color="auto"/>
        <w:bottom w:val="none" w:sz="0" w:space="0" w:color="auto"/>
        <w:right w:val="none" w:sz="0" w:space="0" w:color="auto"/>
      </w:divBdr>
    </w:div>
    <w:div w:id="1014529177">
      <w:bodyDiv w:val="1"/>
      <w:marLeft w:val="0"/>
      <w:marRight w:val="0"/>
      <w:marTop w:val="0"/>
      <w:marBottom w:val="0"/>
      <w:divBdr>
        <w:top w:val="none" w:sz="0" w:space="0" w:color="auto"/>
        <w:left w:val="none" w:sz="0" w:space="0" w:color="auto"/>
        <w:bottom w:val="none" w:sz="0" w:space="0" w:color="auto"/>
        <w:right w:val="none" w:sz="0" w:space="0" w:color="auto"/>
      </w:divBdr>
    </w:div>
    <w:div w:id="1092120747">
      <w:bodyDiv w:val="1"/>
      <w:marLeft w:val="0"/>
      <w:marRight w:val="0"/>
      <w:marTop w:val="0"/>
      <w:marBottom w:val="0"/>
      <w:divBdr>
        <w:top w:val="none" w:sz="0" w:space="0" w:color="auto"/>
        <w:left w:val="none" w:sz="0" w:space="0" w:color="auto"/>
        <w:bottom w:val="none" w:sz="0" w:space="0" w:color="auto"/>
        <w:right w:val="none" w:sz="0" w:space="0" w:color="auto"/>
      </w:divBdr>
    </w:div>
    <w:div w:id="1143692266">
      <w:bodyDiv w:val="1"/>
      <w:marLeft w:val="0"/>
      <w:marRight w:val="0"/>
      <w:marTop w:val="0"/>
      <w:marBottom w:val="0"/>
      <w:divBdr>
        <w:top w:val="none" w:sz="0" w:space="0" w:color="auto"/>
        <w:left w:val="none" w:sz="0" w:space="0" w:color="auto"/>
        <w:bottom w:val="none" w:sz="0" w:space="0" w:color="auto"/>
        <w:right w:val="none" w:sz="0" w:space="0" w:color="auto"/>
      </w:divBdr>
    </w:div>
    <w:div w:id="1183275836">
      <w:bodyDiv w:val="1"/>
      <w:marLeft w:val="0"/>
      <w:marRight w:val="0"/>
      <w:marTop w:val="0"/>
      <w:marBottom w:val="0"/>
      <w:divBdr>
        <w:top w:val="none" w:sz="0" w:space="0" w:color="auto"/>
        <w:left w:val="none" w:sz="0" w:space="0" w:color="auto"/>
        <w:bottom w:val="none" w:sz="0" w:space="0" w:color="auto"/>
        <w:right w:val="none" w:sz="0" w:space="0" w:color="auto"/>
      </w:divBdr>
    </w:div>
    <w:div w:id="1308515421">
      <w:bodyDiv w:val="1"/>
      <w:marLeft w:val="0"/>
      <w:marRight w:val="0"/>
      <w:marTop w:val="0"/>
      <w:marBottom w:val="0"/>
      <w:divBdr>
        <w:top w:val="none" w:sz="0" w:space="0" w:color="auto"/>
        <w:left w:val="none" w:sz="0" w:space="0" w:color="auto"/>
        <w:bottom w:val="none" w:sz="0" w:space="0" w:color="auto"/>
        <w:right w:val="none" w:sz="0" w:space="0" w:color="auto"/>
      </w:divBdr>
    </w:div>
    <w:div w:id="1374188085">
      <w:bodyDiv w:val="1"/>
      <w:marLeft w:val="0"/>
      <w:marRight w:val="0"/>
      <w:marTop w:val="0"/>
      <w:marBottom w:val="0"/>
      <w:divBdr>
        <w:top w:val="none" w:sz="0" w:space="0" w:color="auto"/>
        <w:left w:val="none" w:sz="0" w:space="0" w:color="auto"/>
        <w:bottom w:val="none" w:sz="0" w:space="0" w:color="auto"/>
        <w:right w:val="none" w:sz="0" w:space="0" w:color="auto"/>
      </w:divBdr>
    </w:div>
    <w:div w:id="1457944859">
      <w:bodyDiv w:val="1"/>
      <w:marLeft w:val="0"/>
      <w:marRight w:val="0"/>
      <w:marTop w:val="0"/>
      <w:marBottom w:val="0"/>
      <w:divBdr>
        <w:top w:val="none" w:sz="0" w:space="0" w:color="auto"/>
        <w:left w:val="none" w:sz="0" w:space="0" w:color="auto"/>
        <w:bottom w:val="none" w:sz="0" w:space="0" w:color="auto"/>
        <w:right w:val="none" w:sz="0" w:space="0" w:color="auto"/>
      </w:divBdr>
    </w:div>
    <w:div w:id="1608999849">
      <w:bodyDiv w:val="1"/>
      <w:marLeft w:val="0"/>
      <w:marRight w:val="0"/>
      <w:marTop w:val="0"/>
      <w:marBottom w:val="0"/>
      <w:divBdr>
        <w:top w:val="none" w:sz="0" w:space="0" w:color="auto"/>
        <w:left w:val="none" w:sz="0" w:space="0" w:color="auto"/>
        <w:bottom w:val="none" w:sz="0" w:space="0" w:color="auto"/>
        <w:right w:val="none" w:sz="0" w:space="0" w:color="auto"/>
      </w:divBdr>
    </w:div>
    <w:div w:id="1648634253">
      <w:bodyDiv w:val="1"/>
      <w:marLeft w:val="0"/>
      <w:marRight w:val="0"/>
      <w:marTop w:val="0"/>
      <w:marBottom w:val="0"/>
      <w:divBdr>
        <w:top w:val="none" w:sz="0" w:space="0" w:color="auto"/>
        <w:left w:val="none" w:sz="0" w:space="0" w:color="auto"/>
        <w:bottom w:val="none" w:sz="0" w:space="0" w:color="auto"/>
        <w:right w:val="none" w:sz="0" w:space="0" w:color="auto"/>
      </w:divBdr>
    </w:div>
    <w:div w:id="1764837984">
      <w:bodyDiv w:val="1"/>
      <w:marLeft w:val="0"/>
      <w:marRight w:val="0"/>
      <w:marTop w:val="0"/>
      <w:marBottom w:val="0"/>
      <w:divBdr>
        <w:top w:val="none" w:sz="0" w:space="0" w:color="auto"/>
        <w:left w:val="none" w:sz="0" w:space="0" w:color="auto"/>
        <w:bottom w:val="none" w:sz="0" w:space="0" w:color="auto"/>
        <w:right w:val="none" w:sz="0" w:space="0" w:color="auto"/>
      </w:divBdr>
    </w:div>
    <w:div w:id="1909656800">
      <w:bodyDiv w:val="1"/>
      <w:marLeft w:val="0"/>
      <w:marRight w:val="0"/>
      <w:marTop w:val="0"/>
      <w:marBottom w:val="0"/>
      <w:divBdr>
        <w:top w:val="none" w:sz="0" w:space="0" w:color="auto"/>
        <w:left w:val="none" w:sz="0" w:space="0" w:color="auto"/>
        <w:bottom w:val="none" w:sz="0" w:space="0" w:color="auto"/>
        <w:right w:val="none" w:sz="0" w:space="0" w:color="auto"/>
      </w:divBdr>
    </w:div>
    <w:div w:id="19889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CS@acc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zm\AppData\Local\Microsoft\Windows\Temporary%20Internet%20Files\Content.Outlook\6DV0V51B\MEA-General%20-%20Final%20Report%20Template%20(Max%20Daly%20Version)%20-%20Februar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A333B-8D78-4925-91BB-5E6A92A7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MEA-General - Final Report Template (Max Daly Version) - February 2014</Template>
  <TotalTime>1</TotalTime>
  <Pages>15</Pages>
  <Words>4370</Words>
  <Characters>24914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Ouzman, Michele</dc:creator>
  <cp:lastModifiedBy>Thai, Jenny</cp:lastModifiedBy>
  <cp:revision>2</cp:revision>
  <cp:lastPrinted>2015-11-27T01:16:00Z</cp:lastPrinted>
  <dcterms:created xsi:type="dcterms:W3CDTF">2015-12-17T05:29:00Z</dcterms:created>
  <dcterms:modified xsi:type="dcterms:W3CDTF">2015-12-17T05:29:00Z</dcterms:modified>
</cp:coreProperties>
</file>