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BBD" w:rsidRDefault="00E40C46" w:rsidP="00672BBD">
      <w:r>
        <w:rPr>
          <w:noProof/>
          <w:lang w:eastAsia="en-AU"/>
        </w:rPr>
        <w:drawing>
          <wp:inline distT="0" distB="0" distL="0" distR="0" wp14:anchorId="1BD0A08D" wp14:editId="2DAC0077">
            <wp:extent cx="3419475" cy="1047750"/>
            <wp:effectExtent l="19050" t="0" r="9525" b="0"/>
            <wp:docPr id="1" name="Picture 1" descr="ACCC-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C-logo-BW"/>
                    <pic:cNvPicPr>
                      <a:picLocks noChangeAspect="1" noChangeArrowheads="1"/>
                    </pic:cNvPicPr>
                  </pic:nvPicPr>
                  <pic:blipFill>
                    <a:blip r:embed="rId8" cstate="print"/>
                    <a:srcRect/>
                    <a:stretch>
                      <a:fillRect/>
                    </a:stretch>
                  </pic:blipFill>
                  <pic:spPr bwMode="auto">
                    <a:xfrm>
                      <a:off x="0" y="0"/>
                      <a:ext cx="3419475" cy="1047750"/>
                    </a:xfrm>
                    <a:prstGeom prst="rect">
                      <a:avLst/>
                    </a:prstGeom>
                    <a:noFill/>
                    <a:ln w="9525">
                      <a:noFill/>
                      <a:miter lim="800000"/>
                      <a:headEnd/>
                      <a:tailEnd/>
                    </a:ln>
                  </pic:spPr>
                </pic:pic>
              </a:graphicData>
            </a:graphic>
          </wp:inline>
        </w:drawing>
      </w:r>
    </w:p>
    <w:p w:rsidR="00672BBD" w:rsidRDefault="00B52350" w:rsidP="00E40C46">
      <w:pPr>
        <w:pStyle w:val="ACCCreporttitle1"/>
      </w:pPr>
      <w:r w:rsidRPr="00B52350">
        <w:t>Public Inquiry into final access determinations for fixed line services</w:t>
      </w:r>
    </w:p>
    <w:p w:rsidR="004556DF" w:rsidRDefault="004556DF" w:rsidP="00E40C46">
      <w:pPr>
        <w:pStyle w:val="ACCCreporttitle2"/>
      </w:pPr>
    </w:p>
    <w:p w:rsidR="00672BBD" w:rsidRDefault="000E0877" w:rsidP="00E40C46">
      <w:pPr>
        <w:pStyle w:val="ACCCreporttitle2"/>
      </w:pPr>
      <w:r>
        <w:t>Additional</w:t>
      </w:r>
      <w:r w:rsidR="00B52350">
        <w:t xml:space="preserve"> information on cost allocation</w:t>
      </w:r>
    </w:p>
    <w:p w:rsidR="00672BBD" w:rsidRDefault="00672BBD" w:rsidP="001B5190">
      <w:pPr>
        <w:pStyle w:val="ACCCreporttitle2"/>
        <w:jc w:val="left"/>
      </w:pPr>
    </w:p>
    <w:p w:rsidR="00E40C46" w:rsidRDefault="00F8556C" w:rsidP="001B5190">
      <w:pPr>
        <w:pStyle w:val="ACCCreportdate"/>
      </w:pPr>
      <w:r w:rsidRPr="00783EDE">
        <w:t>July</w:t>
      </w:r>
      <w:r w:rsidR="001B5190" w:rsidRPr="00783EDE">
        <w:t xml:space="preserve"> 2014</w:t>
      </w:r>
      <w:bookmarkStart w:id="0" w:name="_GoBack"/>
      <w:bookmarkEnd w:id="0"/>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E40C46" w:rsidRDefault="00E40C46" w:rsidP="00E40C46">
      <w:pPr>
        <w:pStyle w:val="ACCCcopyrighttext"/>
      </w:pPr>
    </w:p>
    <w:p w:rsidR="00695D40" w:rsidRDefault="00695D40" w:rsidP="00E40C46">
      <w:pPr>
        <w:pStyle w:val="ACCCcopyrighttext"/>
      </w:pPr>
    </w:p>
    <w:p w:rsidR="00E40C46" w:rsidRDefault="00E40C46" w:rsidP="00E40C46">
      <w:pPr>
        <w:pStyle w:val="ACCCcopyrighttext"/>
      </w:pPr>
    </w:p>
    <w:p w:rsidR="00E40C46" w:rsidRDefault="00E40C46" w:rsidP="00E40C46">
      <w:pPr>
        <w:pStyle w:val="ACCCcopyrighttext"/>
      </w:pPr>
    </w:p>
    <w:p w:rsidR="00695D40" w:rsidRDefault="00695D40" w:rsidP="00695D40">
      <w:pPr>
        <w:pStyle w:val="ACCCcopyrighttext"/>
      </w:pPr>
      <w:r w:rsidRPr="00AC5A20">
        <w:rPr>
          <w:rFonts w:cs="Arial"/>
          <w:noProof/>
          <w:color w:val="0000FF"/>
          <w:lang w:eastAsia="en-AU"/>
        </w:rPr>
        <w:drawing>
          <wp:inline distT="0" distB="0" distL="0" distR="0" wp14:anchorId="33E0560C" wp14:editId="4051E3E6">
            <wp:extent cx="1181100" cy="9144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181100" cy="914400"/>
                    </a:xfrm>
                    <a:prstGeom prst="rect">
                      <a:avLst/>
                    </a:prstGeom>
                    <a:noFill/>
                    <a:ln w="9525">
                      <a:noFill/>
                      <a:miter lim="800000"/>
                      <a:headEnd/>
                      <a:tailEnd/>
                    </a:ln>
                  </pic:spPr>
                </pic:pic>
              </a:graphicData>
            </a:graphic>
          </wp:inline>
        </w:drawing>
      </w:r>
    </w:p>
    <w:p w:rsidR="00695D40" w:rsidRDefault="00695D40" w:rsidP="00695D40">
      <w:pPr>
        <w:pStyle w:val="ACCCcopyrighttext"/>
      </w:pPr>
    </w:p>
    <w:p w:rsidR="00695D40" w:rsidRDefault="00695D40" w:rsidP="00695D40">
      <w:pPr>
        <w:pStyle w:val="ACCCcopyrighttext"/>
      </w:pPr>
      <w:r>
        <w:t>Australian Competition and Consumer Commission</w:t>
      </w:r>
    </w:p>
    <w:p w:rsidR="00695D40" w:rsidRDefault="00695D40" w:rsidP="00695D40">
      <w:pPr>
        <w:pStyle w:val="ACCCcopyrighttext"/>
      </w:pPr>
    </w:p>
    <w:p w:rsidR="00695D40" w:rsidRDefault="00695D40" w:rsidP="00695D40">
      <w:pPr>
        <w:pStyle w:val="ACCCcopyrighttext"/>
      </w:pPr>
      <w:r>
        <w:rPr>
          <w:rFonts w:cs="Arial"/>
        </w:rPr>
        <w:t>©</w:t>
      </w:r>
      <w:r>
        <w:t xml:space="preserve"> Commonwealth of Australia 2014</w:t>
      </w:r>
    </w:p>
    <w:p w:rsidR="00695D40" w:rsidRDefault="00695D40" w:rsidP="00695D40">
      <w:pPr>
        <w:pStyle w:val="ACCCcopyrighttext"/>
      </w:pPr>
    </w:p>
    <w:p w:rsidR="00695D40" w:rsidRDefault="00695D40" w:rsidP="00695D40">
      <w:pPr>
        <w:pStyle w:val="ACCCcopyrighttext"/>
      </w:pPr>
      <w:r>
        <w:t xml:space="preserve">This work is copyright. In addition to any use permitted under the Copyright Act 1968, all material contained within this work is provided under a Creative Commons Attribution 3.0 Australia licence, with the exception of: </w:t>
      </w:r>
    </w:p>
    <w:p w:rsidR="00695D40" w:rsidRDefault="00695D40" w:rsidP="00695D40">
      <w:pPr>
        <w:pStyle w:val="ACCCcopyrighttext"/>
      </w:pPr>
      <w:r>
        <w:t>•</w:t>
      </w:r>
      <w:r>
        <w:tab/>
      </w:r>
      <w:proofErr w:type="gramStart"/>
      <w:r>
        <w:t>the</w:t>
      </w:r>
      <w:proofErr w:type="gramEnd"/>
      <w:r>
        <w:t xml:space="preserve"> Commonwealth Coat of Arms </w:t>
      </w:r>
    </w:p>
    <w:p w:rsidR="00695D40" w:rsidRDefault="00695D40" w:rsidP="00695D40">
      <w:pPr>
        <w:pStyle w:val="ACCCcopyrighttext"/>
      </w:pPr>
      <w:r>
        <w:t>•</w:t>
      </w:r>
      <w:r>
        <w:tab/>
      </w:r>
      <w:proofErr w:type="gramStart"/>
      <w:r>
        <w:t>the</w:t>
      </w:r>
      <w:proofErr w:type="gramEnd"/>
      <w:r>
        <w:t xml:space="preserve"> ACCC and AER logo</w:t>
      </w:r>
    </w:p>
    <w:p w:rsidR="00695D40" w:rsidRDefault="00695D40" w:rsidP="00695D40">
      <w:pPr>
        <w:pStyle w:val="ACCCcopyrighttext"/>
        <w:ind w:left="720" w:hanging="720"/>
      </w:pPr>
      <w:r>
        <w:t>•</w:t>
      </w:r>
      <w:r>
        <w:tab/>
        <w:t>any illustration, diagram, photograph or graphic over which the Australian Competition and Consumer Commission does not hold copyright, but which may be part of or contained within this publication.</w:t>
      </w:r>
    </w:p>
    <w:p w:rsidR="00695D40" w:rsidRDefault="00695D40" w:rsidP="00695D40">
      <w:pPr>
        <w:pStyle w:val="ACCCcopyrighttext"/>
      </w:pPr>
    </w:p>
    <w:p w:rsidR="00695D40" w:rsidRDefault="00695D40" w:rsidP="00695D40">
      <w:pPr>
        <w:pStyle w:val="ACCCcopyrighttext"/>
      </w:pPr>
      <w:r>
        <w:t xml:space="preserve">The details of the relevant licence conditions are available on the Creative Commons website, as is the full legal code for the CC BY 3.0 AU licence. </w:t>
      </w:r>
    </w:p>
    <w:p w:rsidR="00695D40" w:rsidRDefault="00695D40" w:rsidP="00695D40">
      <w:pPr>
        <w:pStyle w:val="ACCCcopyrighttext"/>
      </w:pPr>
    </w:p>
    <w:p w:rsidR="00695D40" w:rsidRDefault="00695D40" w:rsidP="00695D40">
      <w:pPr>
        <w:pStyle w:val="ACCCcopyrighttext"/>
      </w:pPr>
      <w:r>
        <w:t xml:space="preserve">Requests and inquiries concerning reproduction and rights should be addressed to the Director, Corporate Communications, ACCC, GPO Box 3131, Canberra ACT 2601, or </w:t>
      </w:r>
      <w:hyperlink r:id="rId10" w:history="1">
        <w:r w:rsidR="008B185C" w:rsidRPr="008E40F3">
          <w:rPr>
            <w:rStyle w:val="Hyperlink"/>
          </w:rPr>
          <w:t>publishing.unit@accc.gov.au</w:t>
        </w:r>
      </w:hyperlink>
      <w:r w:rsidR="008B185C">
        <w:t xml:space="preserve"> </w:t>
      </w:r>
      <w:r>
        <w:t xml:space="preserve"> </w:t>
      </w:r>
    </w:p>
    <w:p w:rsidR="00695D40" w:rsidRDefault="00695D40" w:rsidP="00695D40">
      <w:pPr>
        <w:pStyle w:val="ACCCcopyrighttext"/>
      </w:pPr>
    </w:p>
    <w:p w:rsidR="00695D40" w:rsidRDefault="00C72DD8" w:rsidP="00AC5A20">
      <w:pPr>
        <w:pStyle w:val="ACCCcopyrighttext"/>
      </w:pPr>
      <w:hyperlink r:id="rId11" w:history="1">
        <w:r w:rsidR="008B185C" w:rsidRPr="008E40F3">
          <w:rPr>
            <w:rStyle w:val="Hyperlink"/>
          </w:rPr>
          <w:t>www.accc.gov.au</w:t>
        </w:r>
      </w:hyperlink>
      <w:r w:rsidR="008B185C">
        <w:t xml:space="preserve"> </w:t>
      </w:r>
      <w:r w:rsidR="00695D40">
        <w:t xml:space="preserve"> </w:t>
      </w:r>
    </w:p>
    <w:p w:rsidR="00FA0722" w:rsidRPr="00695D40" w:rsidRDefault="00A70A39" w:rsidP="008D78CC">
      <w:pPr>
        <w:pStyle w:val="ACCCcopyrighttext"/>
      </w:pPr>
      <w:bookmarkStart w:id="1" w:name="_Toc377396309"/>
      <w:bookmarkStart w:id="2" w:name="_Toc352671883"/>
      <w:r w:rsidRPr="00695D40">
        <w:rPr>
          <w:rFonts w:eastAsiaTheme="majorEastAsia" w:cstheme="majorBidi"/>
          <w:b/>
          <w:bCs/>
          <w:color w:val="002060"/>
          <w:sz w:val="36"/>
          <w:szCs w:val="28"/>
        </w:rPr>
        <w:lastRenderedPageBreak/>
        <w:t>Contents</w:t>
      </w:r>
      <w:bookmarkEnd w:id="1"/>
    </w:p>
    <w:p w:rsidR="00695D40" w:rsidRDefault="00695D40">
      <w:pPr>
        <w:pStyle w:val="TOC1"/>
        <w:rPr>
          <w:rFonts w:asciiTheme="minorHAnsi" w:eastAsiaTheme="minorEastAsia" w:hAnsiTheme="minorHAnsi"/>
          <w:b w:val="0"/>
          <w:sz w:val="22"/>
          <w:lang w:eastAsia="en-AU"/>
        </w:rPr>
      </w:pPr>
      <w:r w:rsidRPr="00552D6F">
        <w:t>1</w:t>
      </w:r>
      <w:r>
        <w:rPr>
          <w:rFonts w:asciiTheme="minorHAnsi" w:eastAsiaTheme="minorEastAsia" w:hAnsiTheme="minorHAnsi"/>
          <w:b w:val="0"/>
          <w:sz w:val="22"/>
          <w:lang w:eastAsia="en-AU"/>
        </w:rPr>
        <w:tab/>
      </w:r>
      <w:r w:rsidRPr="00552D6F">
        <w:t>Introduction</w:t>
      </w:r>
      <w:r>
        <w:rPr>
          <w:webHidden/>
        </w:rPr>
        <w:tab/>
        <w:t>1</w:t>
      </w:r>
    </w:p>
    <w:p w:rsidR="00695D40" w:rsidRDefault="00695D40">
      <w:pPr>
        <w:pStyle w:val="TOC2"/>
        <w:rPr>
          <w:rFonts w:asciiTheme="minorHAnsi" w:eastAsiaTheme="minorEastAsia" w:hAnsiTheme="minorHAnsi"/>
          <w:sz w:val="22"/>
          <w:lang w:eastAsia="en-AU"/>
        </w:rPr>
      </w:pPr>
      <w:r w:rsidRPr="00552D6F">
        <w:t>1.1</w:t>
      </w:r>
      <w:r>
        <w:rPr>
          <w:rFonts w:asciiTheme="minorHAnsi" w:eastAsiaTheme="minorEastAsia" w:hAnsiTheme="minorHAnsi"/>
          <w:sz w:val="22"/>
          <w:lang w:eastAsia="en-AU"/>
        </w:rPr>
        <w:tab/>
      </w:r>
      <w:r w:rsidRPr="00552D6F">
        <w:t>Purpose</w:t>
      </w:r>
      <w:r>
        <w:rPr>
          <w:webHidden/>
        </w:rPr>
        <w:tab/>
        <w:t>1</w:t>
      </w:r>
    </w:p>
    <w:p w:rsidR="00695D40" w:rsidRDefault="00695D40">
      <w:pPr>
        <w:pStyle w:val="TOC2"/>
        <w:rPr>
          <w:rFonts w:asciiTheme="minorHAnsi" w:eastAsiaTheme="minorEastAsia" w:hAnsiTheme="minorHAnsi"/>
          <w:sz w:val="22"/>
          <w:lang w:eastAsia="en-AU"/>
        </w:rPr>
      </w:pPr>
      <w:r w:rsidRPr="00552D6F">
        <w:t>1.2</w:t>
      </w:r>
      <w:r>
        <w:rPr>
          <w:rFonts w:asciiTheme="minorHAnsi" w:eastAsiaTheme="minorEastAsia" w:hAnsiTheme="minorHAnsi"/>
          <w:sz w:val="22"/>
          <w:lang w:eastAsia="en-AU"/>
        </w:rPr>
        <w:tab/>
      </w:r>
      <w:r w:rsidRPr="00552D6F">
        <w:t>Asset classes</w:t>
      </w:r>
      <w:r>
        <w:rPr>
          <w:webHidden/>
        </w:rPr>
        <w:tab/>
        <w:t>1</w:t>
      </w:r>
    </w:p>
    <w:p w:rsidR="00695D40" w:rsidRDefault="00695D40">
      <w:pPr>
        <w:pStyle w:val="TOC2"/>
        <w:rPr>
          <w:rFonts w:asciiTheme="minorHAnsi" w:eastAsiaTheme="minorEastAsia" w:hAnsiTheme="minorHAnsi"/>
          <w:sz w:val="22"/>
          <w:lang w:eastAsia="en-AU"/>
        </w:rPr>
      </w:pPr>
      <w:r w:rsidRPr="00552D6F">
        <w:t>1.3</w:t>
      </w:r>
      <w:r>
        <w:rPr>
          <w:rFonts w:asciiTheme="minorHAnsi" w:eastAsiaTheme="minorEastAsia" w:hAnsiTheme="minorHAnsi"/>
          <w:sz w:val="22"/>
          <w:lang w:eastAsia="en-AU"/>
        </w:rPr>
        <w:tab/>
      </w:r>
      <w:r w:rsidRPr="00552D6F">
        <w:t>Key themes</w:t>
      </w:r>
      <w:r>
        <w:rPr>
          <w:webHidden/>
        </w:rPr>
        <w:tab/>
        <w:t>2</w:t>
      </w:r>
    </w:p>
    <w:p w:rsidR="00695D40" w:rsidRDefault="00695D40">
      <w:pPr>
        <w:pStyle w:val="TOC2"/>
        <w:rPr>
          <w:rFonts w:asciiTheme="minorHAnsi" w:eastAsiaTheme="minorEastAsia" w:hAnsiTheme="minorHAnsi"/>
          <w:sz w:val="22"/>
          <w:lang w:eastAsia="en-AU"/>
        </w:rPr>
      </w:pPr>
      <w:r w:rsidRPr="00552D6F">
        <w:t>1.4</w:t>
      </w:r>
      <w:r>
        <w:rPr>
          <w:rFonts w:asciiTheme="minorHAnsi" w:eastAsiaTheme="minorEastAsia" w:hAnsiTheme="minorHAnsi"/>
          <w:sz w:val="22"/>
          <w:lang w:eastAsia="en-AU"/>
        </w:rPr>
        <w:tab/>
      </w:r>
      <w:r w:rsidRPr="00552D6F">
        <w:t>Structure</w:t>
      </w:r>
      <w:r>
        <w:rPr>
          <w:webHidden/>
        </w:rPr>
        <w:tab/>
        <w:t>3</w:t>
      </w:r>
    </w:p>
    <w:p w:rsidR="00695D40" w:rsidRDefault="00695D40">
      <w:pPr>
        <w:pStyle w:val="TOC1"/>
        <w:rPr>
          <w:rFonts w:asciiTheme="minorHAnsi" w:eastAsiaTheme="minorEastAsia" w:hAnsiTheme="minorHAnsi"/>
          <w:b w:val="0"/>
          <w:sz w:val="22"/>
          <w:lang w:eastAsia="en-AU"/>
        </w:rPr>
      </w:pPr>
      <w:r w:rsidRPr="00552D6F">
        <w:t>2</w:t>
      </w:r>
      <w:r>
        <w:rPr>
          <w:rFonts w:asciiTheme="minorHAnsi" w:eastAsiaTheme="minorEastAsia" w:hAnsiTheme="minorHAnsi"/>
          <w:b w:val="0"/>
          <w:sz w:val="22"/>
          <w:lang w:eastAsia="en-AU"/>
        </w:rPr>
        <w:tab/>
      </w:r>
      <w:r w:rsidRPr="00552D6F">
        <w:t>Customer Access Network (CAN) asset classes</w:t>
      </w:r>
      <w:r>
        <w:rPr>
          <w:webHidden/>
        </w:rPr>
        <w:tab/>
        <w:t>4</w:t>
      </w:r>
    </w:p>
    <w:p w:rsidR="00695D40" w:rsidRDefault="00695D40">
      <w:pPr>
        <w:pStyle w:val="TOC2"/>
        <w:rPr>
          <w:rFonts w:asciiTheme="minorHAnsi" w:eastAsiaTheme="minorEastAsia" w:hAnsiTheme="minorHAnsi"/>
          <w:sz w:val="22"/>
          <w:lang w:eastAsia="en-AU"/>
        </w:rPr>
      </w:pPr>
      <w:r w:rsidRPr="00552D6F">
        <w:t>2.1</w:t>
      </w:r>
      <w:r>
        <w:rPr>
          <w:rFonts w:asciiTheme="minorHAnsi" w:eastAsiaTheme="minorEastAsia" w:hAnsiTheme="minorHAnsi"/>
          <w:sz w:val="22"/>
          <w:lang w:eastAsia="en-AU"/>
        </w:rPr>
        <w:tab/>
      </w:r>
      <w:r w:rsidRPr="00552D6F">
        <w:t>CA01 ducts and pipes</w:t>
      </w:r>
      <w:r>
        <w:rPr>
          <w:webHidden/>
        </w:rPr>
        <w:tab/>
        <w:t>5</w:t>
      </w:r>
    </w:p>
    <w:p w:rsidR="00695D40" w:rsidRDefault="00695D40">
      <w:pPr>
        <w:pStyle w:val="TOC2"/>
        <w:rPr>
          <w:rFonts w:asciiTheme="minorHAnsi" w:eastAsiaTheme="minorEastAsia" w:hAnsiTheme="minorHAnsi"/>
          <w:sz w:val="22"/>
          <w:lang w:eastAsia="en-AU"/>
        </w:rPr>
      </w:pPr>
      <w:r w:rsidRPr="00552D6F">
        <w:t>2.2</w:t>
      </w:r>
      <w:r>
        <w:rPr>
          <w:rFonts w:asciiTheme="minorHAnsi" w:eastAsiaTheme="minorEastAsia" w:hAnsiTheme="minorHAnsi"/>
          <w:sz w:val="22"/>
          <w:lang w:eastAsia="en-AU"/>
        </w:rPr>
        <w:tab/>
      </w:r>
      <w:r w:rsidRPr="00552D6F">
        <w:t>CA02 copper cables</w:t>
      </w:r>
      <w:r>
        <w:rPr>
          <w:webHidden/>
        </w:rPr>
        <w:tab/>
        <w:t>8</w:t>
      </w:r>
    </w:p>
    <w:p w:rsidR="00695D40" w:rsidRDefault="00695D40">
      <w:pPr>
        <w:pStyle w:val="TOC2"/>
        <w:rPr>
          <w:rFonts w:asciiTheme="minorHAnsi" w:eastAsiaTheme="minorEastAsia" w:hAnsiTheme="minorHAnsi"/>
          <w:sz w:val="22"/>
          <w:lang w:eastAsia="en-AU"/>
        </w:rPr>
      </w:pPr>
      <w:r w:rsidRPr="00552D6F">
        <w:t>2.3</w:t>
      </w:r>
      <w:r>
        <w:rPr>
          <w:rFonts w:asciiTheme="minorHAnsi" w:eastAsiaTheme="minorEastAsia" w:hAnsiTheme="minorHAnsi"/>
          <w:sz w:val="22"/>
          <w:lang w:eastAsia="en-AU"/>
        </w:rPr>
        <w:tab/>
      </w:r>
      <w:r w:rsidRPr="00552D6F">
        <w:t>CA03 other cables</w:t>
      </w:r>
      <w:r>
        <w:rPr>
          <w:webHidden/>
        </w:rPr>
        <w:tab/>
        <w:t>11</w:t>
      </w:r>
    </w:p>
    <w:p w:rsidR="00695D40" w:rsidRDefault="00695D40">
      <w:pPr>
        <w:pStyle w:val="TOC2"/>
        <w:rPr>
          <w:rFonts w:asciiTheme="minorHAnsi" w:eastAsiaTheme="minorEastAsia" w:hAnsiTheme="minorHAnsi"/>
          <w:sz w:val="22"/>
          <w:lang w:eastAsia="en-AU"/>
        </w:rPr>
      </w:pPr>
      <w:r w:rsidRPr="00552D6F">
        <w:t>2.4</w:t>
      </w:r>
      <w:r>
        <w:rPr>
          <w:rFonts w:asciiTheme="minorHAnsi" w:eastAsiaTheme="minorEastAsia" w:hAnsiTheme="minorHAnsi"/>
          <w:sz w:val="22"/>
          <w:lang w:eastAsia="en-AU"/>
        </w:rPr>
        <w:tab/>
      </w:r>
      <w:r w:rsidRPr="00552D6F">
        <w:t>CA04 pair gain systems</w:t>
      </w:r>
      <w:r>
        <w:rPr>
          <w:webHidden/>
        </w:rPr>
        <w:tab/>
        <w:t>13</w:t>
      </w:r>
    </w:p>
    <w:p w:rsidR="00695D40" w:rsidRDefault="00695D40">
      <w:pPr>
        <w:pStyle w:val="TOC2"/>
        <w:rPr>
          <w:rFonts w:asciiTheme="minorHAnsi" w:eastAsiaTheme="minorEastAsia" w:hAnsiTheme="minorHAnsi"/>
          <w:sz w:val="22"/>
          <w:lang w:eastAsia="en-AU"/>
        </w:rPr>
      </w:pPr>
      <w:r w:rsidRPr="00552D6F">
        <w:t>2.5</w:t>
      </w:r>
      <w:r>
        <w:rPr>
          <w:rFonts w:asciiTheme="minorHAnsi" w:eastAsiaTheme="minorEastAsia" w:hAnsiTheme="minorHAnsi"/>
          <w:sz w:val="22"/>
          <w:lang w:eastAsia="en-AU"/>
        </w:rPr>
        <w:tab/>
      </w:r>
      <w:r w:rsidRPr="00552D6F">
        <w:t>CA05 CAN radio bearer equipment</w:t>
      </w:r>
      <w:r>
        <w:rPr>
          <w:webHidden/>
        </w:rPr>
        <w:tab/>
        <w:t>15</w:t>
      </w:r>
    </w:p>
    <w:p w:rsidR="00695D40" w:rsidRDefault="00695D40">
      <w:pPr>
        <w:pStyle w:val="TOC2"/>
        <w:rPr>
          <w:rFonts w:asciiTheme="minorHAnsi" w:eastAsiaTheme="minorEastAsia" w:hAnsiTheme="minorHAnsi"/>
          <w:sz w:val="22"/>
          <w:lang w:eastAsia="en-AU"/>
        </w:rPr>
      </w:pPr>
      <w:r w:rsidRPr="00552D6F">
        <w:t>2.6</w:t>
      </w:r>
      <w:r>
        <w:rPr>
          <w:rFonts w:asciiTheme="minorHAnsi" w:eastAsiaTheme="minorEastAsia" w:hAnsiTheme="minorHAnsi"/>
          <w:sz w:val="22"/>
          <w:lang w:eastAsia="en-AU"/>
        </w:rPr>
        <w:tab/>
      </w:r>
      <w:r w:rsidRPr="00552D6F">
        <w:t>CA06 other CAN assets</w:t>
      </w:r>
      <w:r>
        <w:rPr>
          <w:webHidden/>
        </w:rPr>
        <w:tab/>
        <w:t>17</w:t>
      </w:r>
    </w:p>
    <w:p w:rsidR="00695D40" w:rsidRDefault="00695D40">
      <w:pPr>
        <w:pStyle w:val="TOC2"/>
        <w:rPr>
          <w:rFonts w:asciiTheme="minorHAnsi" w:eastAsiaTheme="minorEastAsia" w:hAnsiTheme="minorHAnsi"/>
          <w:sz w:val="22"/>
          <w:lang w:eastAsia="en-AU"/>
        </w:rPr>
      </w:pPr>
      <w:r w:rsidRPr="00552D6F">
        <w:t>2.7</w:t>
      </w:r>
      <w:r>
        <w:rPr>
          <w:rFonts w:asciiTheme="minorHAnsi" w:eastAsiaTheme="minorEastAsia" w:hAnsiTheme="minorHAnsi"/>
          <w:sz w:val="22"/>
          <w:lang w:eastAsia="en-AU"/>
        </w:rPr>
        <w:tab/>
      </w:r>
      <w:r w:rsidRPr="00552D6F">
        <w:t>CA07 other communications plant and equipment</w:t>
      </w:r>
      <w:r>
        <w:rPr>
          <w:webHidden/>
        </w:rPr>
        <w:tab/>
        <w:t>19</w:t>
      </w:r>
    </w:p>
    <w:p w:rsidR="00695D40" w:rsidRDefault="00695D40">
      <w:pPr>
        <w:pStyle w:val="TOC2"/>
        <w:rPr>
          <w:rFonts w:asciiTheme="minorHAnsi" w:eastAsiaTheme="minorEastAsia" w:hAnsiTheme="minorHAnsi"/>
          <w:sz w:val="22"/>
          <w:lang w:eastAsia="en-AU"/>
        </w:rPr>
      </w:pPr>
      <w:r w:rsidRPr="00552D6F">
        <w:t>2.8</w:t>
      </w:r>
      <w:r>
        <w:rPr>
          <w:rFonts w:asciiTheme="minorHAnsi" w:eastAsiaTheme="minorEastAsia" w:hAnsiTheme="minorHAnsi"/>
          <w:sz w:val="22"/>
          <w:lang w:eastAsia="en-AU"/>
        </w:rPr>
        <w:tab/>
      </w:r>
      <w:r w:rsidRPr="00552D6F">
        <w:t>CA08 network land</w:t>
      </w:r>
      <w:r>
        <w:rPr>
          <w:webHidden/>
        </w:rPr>
        <w:tab/>
        <w:t>21</w:t>
      </w:r>
    </w:p>
    <w:p w:rsidR="00695D40" w:rsidRDefault="00695D40">
      <w:pPr>
        <w:pStyle w:val="TOC2"/>
        <w:rPr>
          <w:rFonts w:asciiTheme="minorHAnsi" w:eastAsiaTheme="minorEastAsia" w:hAnsiTheme="minorHAnsi"/>
          <w:sz w:val="22"/>
          <w:lang w:eastAsia="en-AU"/>
        </w:rPr>
      </w:pPr>
      <w:r w:rsidRPr="00552D6F">
        <w:t>2.9</w:t>
      </w:r>
      <w:r>
        <w:rPr>
          <w:rFonts w:asciiTheme="minorHAnsi" w:eastAsiaTheme="minorEastAsia" w:hAnsiTheme="minorHAnsi"/>
          <w:sz w:val="22"/>
          <w:lang w:eastAsia="en-AU"/>
        </w:rPr>
        <w:tab/>
      </w:r>
      <w:r w:rsidRPr="00552D6F">
        <w:t>CA09 network buildings/support</w:t>
      </w:r>
      <w:r>
        <w:rPr>
          <w:webHidden/>
        </w:rPr>
        <w:tab/>
        <w:t>23</w:t>
      </w:r>
    </w:p>
    <w:p w:rsidR="00695D40" w:rsidRDefault="00695D40">
      <w:pPr>
        <w:pStyle w:val="TOC2"/>
        <w:rPr>
          <w:rFonts w:asciiTheme="minorHAnsi" w:eastAsiaTheme="minorEastAsia" w:hAnsiTheme="minorHAnsi"/>
          <w:sz w:val="22"/>
          <w:lang w:eastAsia="en-AU"/>
        </w:rPr>
      </w:pPr>
      <w:r w:rsidRPr="00552D6F">
        <w:t>2.10</w:t>
      </w:r>
      <w:r>
        <w:rPr>
          <w:rFonts w:asciiTheme="minorHAnsi" w:eastAsiaTheme="minorEastAsia" w:hAnsiTheme="minorHAnsi"/>
          <w:sz w:val="22"/>
          <w:lang w:eastAsia="en-AU"/>
        </w:rPr>
        <w:tab/>
      </w:r>
      <w:r w:rsidRPr="00552D6F">
        <w:t>CA10 indirect capital assets</w:t>
      </w:r>
      <w:r>
        <w:rPr>
          <w:webHidden/>
        </w:rPr>
        <w:tab/>
        <w:t>25</w:t>
      </w:r>
    </w:p>
    <w:p w:rsidR="00695D40" w:rsidRDefault="00695D40">
      <w:pPr>
        <w:pStyle w:val="TOC1"/>
        <w:rPr>
          <w:rFonts w:asciiTheme="minorHAnsi" w:eastAsiaTheme="minorEastAsia" w:hAnsiTheme="minorHAnsi"/>
          <w:b w:val="0"/>
          <w:sz w:val="22"/>
          <w:lang w:eastAsia="en-AU"/>
        </w:rPr>
      </w:pPr>
      <w:r w:rsidRPr="00552D6F">
        <w:t>3</w:t>
      </w:r>
      <w:r>
        <w:rPr>
          <w:rFonts w:asciiTheme="minorHAnsi" w:eastAsiaTheme="minorEastAsia" w:hAnsiTheme="minorHAnsi"/>
          <w:b w:val="0"/>
          <w:sz w:val="22"/>
          <w:lang w:eastAsia="en-AU"/>
        </w:rPr>
        <w:tab/>
      </w:r>
      <w:r w:rsidRPr="00552D6F">
        <w:t>Core network asset classes</w:t>
      </w:r>
      <w:r>
        <w:rPr>
          <w:webHidden/>
        </w:rPr>
        <w:tab/>
        <w:t>28</w:t>
      </w:r>
    </w:p>
    <w:p w:rsidR="00695D40" w:rsidRDefault="00695D40">
      <w:pPr>
        <w:pStyle w:val="TOC2"/>
        <w:rPr>
          <w:rFonts w:asciiTheme="minorHAnsi" w:eastAsiaTheme="minorEastAsia" w:hAnsiTheme="minorHAnsi"/>
          <w:sz w:val="22"/>
          <w:lang w:eastAsia="en-AU"/>
        </w:rPr>
      </w:pPr>
      <w:r w:rsidRPr="00552D6F">
        <w:t>3.1</w:t>
      </w:r>
      <w:r>
        <w:rPr>
          <w:rFonts w:asciiTheme="minorHAnsi" w:eastAsiaTheme="minorEastAsia" w:hAnsiTheme="minorHAnsi"/>
          <w:sz w:val="22"/>
          <w:lang w:eastAsia="en-AU"/>
        </w:rPr>
        <w:tab/>
      </w:r>
      <w:r w:rsidRPr="00552D6F">
        <w:t>CO01 switching equipment (local)</w:t>
      </w:r>
      <w:r>
        <w:rPr>
          <w:webHidden/>
        </w:rPr>
        <w:tab/>
        <w:t>29</w:t>
      </w:r>
    </w:p>
    <w:p w:rsidR="00695D40" w:rsidRDefault="00695D40">
      <w:pPr>
        <w:pStyle w:val="TOC2"/>
        <w:rPr>
          <w:rFonts w:asciiTheme="minorHAnsi" w:eastAsiaTheme="minorEastAsia" w:hAnsiTheme="minorHAnsi"/>
          <w:sz w:val="22"/>
          <w:lang w:eastAsia="en-AU"/>
        </w:rPr>
      </w:pPr>
      <w:r w:rsidRPr="00552D6F">
        <w:t>3.2</w:t>
      </w:r>
      <w:r>
        <w:rPr>
          <w:rFonts w:asciiTheme="minorHAnsi" w:eastAsiaTheme="minorEastAsia" w:hAnsiTheme="minorHAnsi"/>
          <w:sz w:val="22"/>
          <w:lang w:eastAsia="en-AU"/>
        </w:rPr>
        <w:tab/>
      </w:r>
      <w:r w:rsidRPr="00552D6F">
        <w:t>CO02 switching equipment (trunk)</w:t>
      </w:r>
      <w:r>
        <w:rPr>
          <w:webHidden/>
        </w:rPr>
        <w:tab/>
        <w:t>32</w:t>
      </w:r>
    </w:p>
    <w:p w:rsidR="00695D40" w:rsidRDefault="00695D40">
      <w:pPr>
        <w:pStyle w:val="TOC2"/>
        <w:rPr>
          <w:rFonts w:asciiTheme="minorHAnsi" w:eastAsiaTheme="minorEastAsia" w:hAnsiTheme="minorHAnsi"/>
          <w:sz w:val="22"/>
          <w:lang w:eastAsia="en-AU"/>
        </w:rPr>
      </w:pPr>
      <w:r w:rsidRPr="00552D6F">
        <w:t>3.3</w:t>
      </w:r>
      <w:r>
        <w:rPr>
          <w:rFonts w:asciiTheme="minorHAnsi" w:eastAsiaTheme="minorEastAsia" w:hAnsiTheme="minorHAnsi"/>
          <w:sz w:val="22"/>
          <w:lang w:eastAsia="en-AU"/>
        </w:rPr>
        <w:tab/>
      </w:r>
      <w:r w:rsidRPr="00552D6F">
        <w:t>CO03 switching equipment (other)</w:t>
      </w:r>
      <w:r>
        <w:rPr>
          <w:webHidden/>
        </w:rPr>
        <w:tab/>
        <w:t>34</w:t>
      </w:r>
    </w:p>
    <w:p w:rsidR="00695D40" w:rsidRDefault="00695D40">
      <w:pPr>
        <w:pStyle w:val="TOC2"/>
        <w:rPr>
          <w:rFonts w:asciiTheme="minorHAnsi" w:eastAsiaTheme="minorEastAsia" w:hAnsiTheme="minorHAnsi"/>
          <w:sz w:val="22"/>
          <w:lang w:eastAsia="en-AU"/>
        </w:rPr>
      </w:pPr>
      <w:r w:rsidRPr="00552D6F">
        <w:t>3.4</w:t>
      </w:r>
      <w:r>
        <w:rPr>
          <w:rFonts w:asciiTheme="minorHAnsi" w:eastAsiaTheme="minorEastAsia" w:hAnsiTheme="minorHAnsi"/>
          <w:sz w:val="22"/>
          <w:lang w:eastAsia="en-AU"/>
        </w:rPr>
        <w:tab/>
      </w:r>
      <w:r w:rsidRPr="00552D6F">
        <w:t>CO04 inter-exchange cables</w:t>
      </w:r>
      <w:r>
        <w:rPr>
          <w:webHidden/>
        </w:rPr>
        <w:tab/>
        <w:t>36</w:t>
      </w:r>
    </w:p>
    <w:p w:rsidR="00695D40" w:rsidRDefault="00695D40">
      <w:pPr>
        <w:pStyle w:val="TOC2"/>
        <w:rPr>
          <w:rFonts w:asciiTheme="minorHAnsi" w:eastAsiaTheme="minorEastAsia" w:hAnsiTheme="minorHAnsi"/>
          <w:sz w:val="22"/>
          <w:lang w:eastAsia="en-AU"/>
        </w:rPr>
      </w:pPr>
      <w:r w:rsidRPr="00552D6F">
        <w:t>3.5</w:t>
      </w:r>
      <w:r>
        <w:rPr>
          <w:rFonts w:asciiTheme="minorHAnsi" w:eastAsiaTheme="minorEastAsia" w:hAnsiTheme="minorHAnsi"/>
          <w:sz w:val="22"/>
          <w:lang w:eastAsia="en-AU"/>
        </w:rPr>
        <w:tab/>
      </w:r>
      <w:r w:rsidRPr="00552D6F">
        <w:t>CO05 transmission equipment</w:t>
      </w:r>
      <w:r>
        <w:rPr>
          <w:webHidden/>
        </w:rPr>
        <w:tab/>
        <w:t>39</w:t>
      </w:r>
    </w:p>
    <w:p w:rsidR="00695D40" w:rsidRDefault="00695D40">
      <w:pPr>
        <w:pStyle w:val="TOC2"/>
        <w:rPr>
          <w:rFonts w:asciiTheme="minorHAnsi" w:eastAsiaTheme="minorEastAsia" w:hAnsiTheme="minorHAnsi"/>
          <w:sz w:val="22"/>
          <w:lang w:eastAsia="en-AU"/>
        </w:rPr>
      </w:pPr>
      <w:r w:rsidRPr="00552D6F">
        <w:t>3.6</w:t>
      </w:r>
      <w:r>
        <w:rPr>
          <w:rFonts w:asciiTheme="minorHAnsi" w:eastAsiaTheme="minorEastAsia" w:hAnsiTheme="minorHAnsi"/>
          <w:sz w:val="22"/>
          <w:lang w:eastAsia="en-AU"/>
        </w:rPr>
        <w:tab/>
      </w:r>
      <w:r w:rsidRPr="00552D6F">
        <w:t>CO06 core radio bearer equipment</w:t>
      </w:r>
      <w:r>
        <w:rPr>
          <w:webHidden/>
        </w:rPr>
        <w:tab/>
        <w:t>42</w:t>
      </w:r>
    </w:p>
    <w:p w:rsidR="00695D40" w:rsidRDefault="00695D40">
      <w:pPr>
        <w:pStyle w:val="TOC2"/>
        <w:rPr>
          <w:rFonts w:asciiTheme="minorHAnsi" w:eastAsiaTheme="minorEastAsia" w:hAnsiTheme="minorHAnsi"/>
          <w:sz w:val="22"/>
          <w:lang w:eastAsia="en-AU"/>
        </w:rPr>
      </w:pPr>
      <w:r w:rsidRPr="00552D6F">
        <w:t>3.7</w:t>
      </w:r>
      <w:r>
        <w:rPr>
          <w:rFonts w:asciiTheme="minorHAnsi" w:eastAsiaTheme="minorEastAsia" w:hAnsiTheme="minorHAnsi"/>
          <w:sz w:val="22"/>
          <w:lang w:eastAsia="en-AU"/>
        </w:rPr>
        <w:tab/>
      </w:r>
      <w:r w:rsidRPr="00552D6F">
        <w:t>CO07 other communications plant and equipment</w:t>
      </w:r>
      <w:r>
        <w:rPr>
          <w:webHidden/>
        </w:rPr>
        <w:tab/>
        <w:t>44</w:t>
      </w:r>
    </w:p>
    <w:p w:rsidR="00695D40" w:rsidRDefault="00695D40">
      <w:pPr>
        <w:pStyle w:val="TOC2"/>
        <w:rPr>
          <w:rFonts w:asciiTheme="minorHAnsi" w:eastAsiaTheme="minorEastAsia" w:hAnsiTheme="minorHAnsi"/>
          <w:sz w:val="22"/>
          <w:lang w:eastAsia="en-AU"/>
        </w:rPr>
      </w:pPr>
      <w:r w:rsidRPr="00552D6F">
        <w:t>3.8</w:t>
      </w:r>
      <w:r>
        <w:rPr>
          <w:rFonts w:asciiTheme="minorHAnsi" w:eastAsiaTheme="minorEastAsia" w:hAnsiTheme="minorHAnsi"/>
          <w:sz w:val="22"/>
          <w:lang w:eastAsia="en-AU"/>
        </w:rPr>
        <w:tab/>
      </w:r>
      <w:r w:rsidRPr="00552D6F">
        <w:t>CO08 network land</w:t>
      </w:r>
      <w:r>
        <w:rPr>
          <w:webHidden/>
        </w:rPr>
        <w:tab/>
        <w:t>47</w:t>
      </w:r>
    </w:p>
    <w:p w:rsidR="00695D40" w:rsidRDefault="00695D40">
      <w:pPr>
        <w:pStyle w:val="TOC2"/>
        <w:rPr>
          <w:rFonts w:asciiTheme="minorHAnsi" w:eastAsiaTheme="minorEastAsia" w:hAnsiTheme="minorHAnsi"/>
          <w:sz w:val="22"/>
          <w:lang w:eastAsia="en-AU"/>
        </w:rPr>
      </w:pPr>
      <w:r w:rsidRPr="00552D6F">
        <w:t>3.9</w:t>
      </w:r>
      <w:r>
        <w:rPr>
          <w:rFonts w:asciiTheme="minorHAnsi" w:eastAsiaTheme="minorEastAsia" w:hAnsiTheme="minorHAnsi"/>
          <w:sz w:val="22"/>
          <w:lang w:eastAsia="en-AU"/>
        </w:rPr>
        <w:tab/>
      </w:r>
      <w:r w:rsidRPr="00552D6F">
        <w:t>CO09 network buildings/support</w:t>
      </w:r>
      <w:r>
        <w:rPr>
          <w:webHidden/>
        </w:rPr>
        <w:tab/>
        <w:t>50</w:t>
      </w:r>
    </w:p>
    <w:p w:rsidR="00695D40" w:rsidRDefault="00695D40">
      <w:pPr>
        <w:pStyle w:val="TOC2"/>
        <w:rPr>
          <w:rFonts w:asciiTheme="minorHAnsi" w:eastAsiaTheme="minorEastAsia" w:hAnsiTheme="minorHAnsi"/>
          <w:sz w:val="22"/>
          <w:lang w:eastAsia="en-AU"/>
        </w:rPr>
      </w:pPr>
      <w:r w:rsidRPr="00552D6F">
        <w:t>3.10</w:t>
      </w:r>
      <w:r>
        <w:rPr>
          <w:rFonts w:asciiTheme="minorHAnsi" w:eastAsiaTheme="minorEastAsia" w:hAnsiTheme="minorHAnsi"/>
          <w:sz w:val="22"/>
          <w:lang w:eastAsia="en-AU"/>
        </w:rPr>
        <w:tab/>
      </w:r>
      <w:r w:rsidRPr="00552D6F">
        <w:t>CO10 indirect capital assets</w:t>
      </w:r>
      <w:r>
        <w:rPr>
          <w:webHidden/>
        </w:rPr>
        <w:tab/>
        <w:t>53</w:t>
      </w:r>
    </w:p>
    <w:p w:rsidR="00695D40" w:rsidRDefault="00695D40">
      <w:pPr>
        <w:pStyle w:val="TOC2"/>
        <w:rPr>
          <w:rFonts w:asciiTheme="minorHAnsi" w:eastAsiaTheme="minorEastAsia" w:hAnsiTheme="minorHAnsi"/>
          <w:sz w:val="22"/>
          <w:lang w:eastAsia="en-AU"/>
        </w:rPr>
      </w:pPr>
      <w:r w:rsidRPr="00552D6F">
        <w:t>3.11</w:t>
      </w:r>
      <w:r>
        <w:rPr>
          <w:rFonts w:asciiTheme="minorHAnsi" w:eastAsiaTheme="minorEastAsia" w:hAnsiTheme="minorHAnsi"/>
          <w:sz w:val="22"/>
          <w:lang w:eastAsia="en-AU"/>
        </w:rPr>
        <w:tab/>
      </w:r>
      <w:r w:rsidRPr="00552D6F">
        <w:t>CO11 LSS equipment</w:t>
      </w:r>
      <w:r>
        <w:rPr>
          <w:webHidden/>
        </w:rPr>
        <w:tab/>
        <w:t>56</w:t>
      </w:r>
    </w:p>
    <w:p w:rsidR="00695D40" w:rsidRDefault="00695D40">
      <w:pPr>
        <w:pStyle w:val="TOC2"/>
        <w:rPr>
          <w:rFonts w:asciiTheme="minorHAnsi" w:eastAsiaTheme="minorEastAsia" w:hAnsiTheme="minorHAnsi"/>
          <w:sz w:val="22"/>
          <w:lang w:eastAsia="en-AU"/>
        </w:rPr>
      </w:pPr>
      <w:r w:rsidRPr="00552D6F">
        <w:t>3.12</w:t>
      </w:r>
      <w:r>
        <w:rPr>
          <w:rFonts w:asciiTheme="minorHAnsi" w:eastAsiaTheme="minorEastAsia" w:hAnsiTheme="minorHAnsi"/>
          <w:sz w:val="22"/>
          <w:lang w:eastAsia="en-AU"/>
        </w:rPr>
        <w:tab/>
      </w:r>
      <w:r w:rsidRPr="00552D6F">
        <w:t>CO12 data equipment</w:t>
      </w:r>
      <w:r>
        <w:rPr>
          <w:webHidden/>
        </w:rPr>
        <w:tab/>
        <w:t>57</w:t>
      </w:r>
    </w:p>
    <w:p w:rsidR="00A20E5A" w:rsidRPr="00A20E5A" w:rsidRDefault="00A20E5A" w:rsidP="00A66A44"/>
    <w:p w:rsidR="00E91311" w:rsidRDefault="00E91311" w:rsidP="00DA7429">
      <w:pPr>
        <w:pStyle w:val="Non-NumberedStyle"/>
        <w:sectPr w:rsidR="00E91311" w:rsidSect="00E91311">
          <w:headerReference w:type="even" r:id="rId12"/>
          <w:headerReference w:type="default" r:id="rId13"/>
          <w:footerReference w:type="even" r:id="rId14"/>
          <w:footerReference w:type="default" r:id="rId15"/>
          <w:headerReference w:type="first" r:id="rId16"/>
          <w:footerReference w:type="first" r:id="rId17"/>
          <w:pgSz w:w="11906" w:h="16838"/>
          <w:pgMar w:top="1440" w:right="1729" w:bottom="1582" w:left="1729" w:header="709" w:footer="709" w:gutter="0"/>
          <w:pgNumType w:start="1"/>
          <w:cols w:space="708"/>
          <w:docGrid w:linePitch="360"/>
        </w:sectPr>
      </w:pPr>
      <w:bookmarkStart w:id="3" w:name="_Toc377396310"/>
    </w:p>
    <w:p w:rsidR="00ED14CE" w:rsidRDefault="000E0877" w:rsidP="00DA7429">
      <w:pPr>
        <w:pStyle w:val="HeadingLevel1"/>
      </w:pPr>
      <w:bookmarkStart w:id="4" w:name="_Toc393375556"/>
      <w:bookmarkEnd w:id="2"/>
      <w:bookmarkEnd w:id="3"/>
      <w:r>
        <w:lastRenderedPageBreak/>
        <w:t>Introduction</w:t>
      </w:r>
      <w:bookmarkEnd w:id="4"/>
      <w:r>
        <w:t xml:space="preserve"> </w:t>
      </w:r>
    </w:p>
    <w:p w:rsidR="00672BBD" w:rsidRDefault="00CD7449" w:rsidP="004556DF">
      <w:pPr>
        <w:pStyle w:val="HeadingLevel2"/>
      </w:pPr>
      <w:bookmarkStart w:id="5" w:name="_Toc393375557"/>
      <w:r>
        <w:t>Purpose</w:t>
      </w:r>
      <w:bookmarkEnd w:id="5"/>
    </w:p>
    <w:p w:rsidR="000A2B7F" w:rsidRDefault="005B4DC7" w:rsidP="0084245E">
      <w:r>
        <w:t xml:space="preserve">As discussed in </w:t>
      </w:r>
      <w:r w:rsidR="00320E5D" w:rsidRPr="00320E5D">
        <w:t>chapter 3</w:t>
      </w:r>
      <w:r>
        <w:t xml:space="preserve"> of the discussion paper</w:t>
      </w:r>
      <w:r w:rsidR="00320E5D">
        <w:rPr>
          <w:rStyle w:val="FootnoteReference"/>
        </w:rPr>
        <w:footnoteReference w:id="1"/>
      </w:r>
      <w:r>
        <w:t xml:space="preserve">, Telstra has proposed a revised cost allocation framework for calculating prices for declared services. </w:t>
      </w:r>
    </w:p>
    <w:p w:rsidR="000A2B7F" w:rsidRDefault="005B4DC7" w:rsidP="0084245E">
      <w:r>
        <w:t xml:space="preserve">This </w:t>
      </w:r>
      <w:r w:rsidR="00320E5D">
        <w:t xml:space="preserve">document </w:t>
      </w:r>
      <w:r>
        <w:t>provide</w:t>
      </w:r>
      <w:r w:rsidR="000A2B7F">
        <w:t>s</w:t>
      </w:r>
      <w:r>
        <w:t xml:space="preserve"> further information on Telstra’s proposed approach for each of the asset classes contained in the fixe</w:t>
      </w:r>
      <w:r w:rsidR="000A2B7F">
        <w:t>d</w:t>
      </w:r>
      <w:r w:rsidR="000255D7">
        <w:t xml:space="preserve"> </w:t>
      </w:r>
      <w:r w:rsidR="000A2B7F">
        <w:t xml:space="preserve">line service model (the FLSM). In particular, it </w:t>
      </w:r>
      <w:r>
        <w:t>compare</w:t>
      </w:r>
      <w:r w:rsidR="000A2B7F">
        <w:t>s</w:t>
      </w:r>
      <w:r>
        <w:t xml:space="preserve"> Telstra’s proposed cost allocation framework for each asset classes with the approach adopted in the 2011 </w:t>
      </w:r>
      <w:r w:rsidR="00E75AC1" w:rsidRPr="00E75AC1">
        <w:t xml:space="preserve">and 2013 </w:t>
      </w:r>
      <w:r w:rsidR="00320E5D">
        <w:t xml:space="preserve">final access determinations, and </w:t>
      </w:r>
      <w:r>
        <w:t>highlight</w:t>
      </w:r>
      <w:r w:rsidR="000A2B7F">
        <w:t>s</w:t>
      </w:r>
      <w:r>
        <w:t xml:space="preserve"> key features </w:t>
      </w:r>
      <w:r w:rsidR="000A2B7F">
        <w:t xml:space="preserve">of Telstra’s proposed approach. </w:t>
      </w:r>
    </w:p>
    <w:p w:rsidR="00D97931" w:rsidRDefault="000A2B7F" w:rsidP="0084245E">
      <w:r>
        <w:t xml:space="preserve">This </w:t>
      </w:r>
      <w:r w:rsidR="00320E5D">
        <w:t xml:space="preserve">document </w:t>
      </w:r>
      <w:r>
        <w:t xml:space="preserve">has been prepared to assist stakeholders to review Telstra’s proposed cost allocation framework and to prepare their submission </w:t>
      </w:r>
      <w:r w:rsidR="00320E5D">
        <w:t xml:space="preserve">on </w:t>
      </w:r>
      <w:r>
        <w:t xml:space="preserve">this issue. This appendix should be read in conjunction with the </w:t>
      </w:r>
      <w:r w:rsidR="007A3C89">
        <w:t>discussion</w:t>
      </w:r>
      <w:r>
        <w:t xml:space="preserve"> paper.</w:t>
      </w:r>
    </w:p>
    <w:p w:rsidR="008207C0" w:rsidRDefault="00B559BB" w:rsidP="004556DF">
      <w:pPr>
        <w:pStyle w:val="HeadingLevel2"/>
      </w:pPr>
      <w:bookmarkStart w:id="6" w:name="_Toc393375558"/>
      <w:r>
        <w:t>Asset classes</w:t>
      </w:r>
      <w:bookmarkEnd w:id="6"/>
    </w:p>
    <w:p w:rsidR="00D0125B" w:rsidRDefault="000A6587" w:rsidP="006561CE">
      <w:r>
        <w:t>The fixed</w:t>
      </w:r>
      <w:r w:rsidR="000255D7">
        <w:t xml:space="preserve"> </w:t>
      </w:r>
      <w:r>
        <w:t xml:space="preserve">line services model (the FLSM), which is used to calculate price for declared services, consists of 22 asset classes. These are </w:t>
      </w:r>
      <w:r w:rsidR="004067DC">
        <w:t>categorised</w:t>
      </w:r>
      <w:r w:rsidR="006561CE">
        <w:t xml:space="preserve"> into 10 </w:t>
      </w:r>
      <w:r w:rsidR="00E141E7">
        <w:t xml:space="preserve">customer </w:t>
      </w:r>
      <w:r w:rsidR="00C36377">
        <w:t xml:space="preserve">access </w:t>
      </w:r>
      <w:r w:rsidR="00E141E7">
        <w:t xml:space="preserve">network (CAN) asset classes </w:t>
      </w:r>
      <w:r w:rsidR="006561CE">
        <w:t xml:space="preserve">and 12 </w:t>
      </w:r>
      <w:r w:rsidR="00E141E7">
        <w:t xml:space="preserve">core </w:t>
      </w:r>
      <w:r w:rsidR="006561CE">
        <w:t>asset classes</w:t>
      </w:r>
      <w:r w:rsidR="00A01B70">
        <w:t>.</w:t>
      </w:r>
      <w:r w:rsidR="006561CE">
        <w:t xml:space="preserve"> </w:t>
      </w:r>
      <w:r w:rsidR="00DE1AB5">
        <w:t xml:space="preserve">The CAN asset class generally represent assets that are used to provide the declared fixed line services from Telstra’s exchanges to end users while the </w:t>
      </w:r>
      <w:r w:rsidR="00D0125B">
        <w:t>c</w:t>
      </w:r>
      <w:r w:rsidR="00DE1AB5">
        <w:t xml:space="preserve">ore asset class generally represent assets that are used </w:t>
      </w:r>
      <w:r w:rsidR="00D0125B">
        <w:t xml:space="preserve">within or </w:t>
      </w:r>
      <w:r w:rsidR="00DE1AB5">
        <w:t xml:space="preserve">between </w:t>
      </w:r>
      <w:r w:rsidR="00D0125B">
        <w:t xml:space="preserve">Telstra </w:t>
      </w:r>
      <w:r w:rsidR="00DE1AB5">
        <w:t>exchanges</w:t>
      </w:r>
      <w:r w:rsidR="008D696C">
        <w:t>.</w:t>
      </w:r>
      <w:r w:rsidR="000058BC">
        <w:t xml:space="preserve"> </w:t>
      </w:r>
    </w:p>
    <w:p w:rsidR="000A6587" w:rsidRDefault="00F14C27" w:rsidP="000A6587">
      <w:r>
        <w:t>T</w:t>
      </w:r>
      <w:r w:rsidR="000058BC">
        <w:t xml:space="preserve">able </w:t>
      </w:r>
      <w:r>
        <w:t>1</w:t>
      </w:r>
      <w:r w:rsidR="000024D4">
        <w:t>.</w:t>
      </w:r>
      <w:r w:rsidR="002804AF">
        <w:t>2.1</w:t>
      </w:r>
      <w:r>
        <w:t xml:space="preserve"> </w:t>
      </w:r>
      <w:r w:rsidR="000058BC">
        <w:t xml:space="preserve">below </w:t>
      </w:r>
      <w:r w:rsidR="00516A4F">
        <w:t>lists</w:t>
      </w:r>
      <w:r w:rsidR="000058BC">
        <w:t xml:space="preserve"> the FLSM asset classes</w:t>
      </w:r>
      <w:r w:rsidR="000A6587">
        <w:t xml:space="preserve"> and shows </w:t>
      </w:r>
      <w:r>
        <w:t>the relative contribution of each asset class to total fixed</w:t>
      </w:r>
      <w:r w:rsidR="000255D7">
        <w:t xml:space="preserve"> </w:t>
      </w:r>
      <w:r>
        <w:t>line revenue requirement in 2013-14.</w:t>
      </w:r>
      <w:r w:rsidR="000A6587" w:rsidRPr="000A6587">
        <w:t xml:space="preserve"> </w:t>
      </w:r>
      <w:r w:rsidR="000A6587">
        <w:t xml:space="preserve">For the purposes of this document, the ACCC has categorised the asset classes into three groups based on their relative contribution to </w:t>
      </w:r>
      <w:r w:rsidR="008D1CAA">
        <w:t xml:space="preserve">the </w:t>
      </w:r>
      <w:r w:rsidR="000A6587">
        <w:t>total fixed</w:t>
      </w:r>
      <w:r w:rsidR="007A3C89">
        <w:t xml:space="preserve"> </w:t>
      </w:r>
      <w:r w:rsidR="000A6587">
        <w:t xml:space="preserve">line revenue requirement. An asset class is considered to be significant if it contributes more than </w:t>
      </w:r>
      <w:r w:rsidR="00033B1F">
        <w:rPr>
          <w:b/>
        </w:rPr>
        <w:t>[c-</w:t>
      </w:r>
      <w:proofErr w:type="spellStart"/>
      <w:r w:rsidR="00033B1F">
        <w:rPr>
          <w:b/>
        </w:rPr>
        <w:t>i</w:t>
      </w:r>
      <w:proofErr w:type="spellEnd"/>
      <w:r w:rsidR="00033B1F">
        <w:rPr>
          <w:b/>
        </w:rPr>
        <w:t>-c starts]</w:t>
      </w:r>
      <w:r w:rsidR="00552D6F">
        <w:rPr>
          <w:noProof/>
          <w:color w:val="000000"/>
          <w:highlight w:val="black"/>
        </w:rPr>
        <w:t>'''''''</w:t>
      </w:r>
      <w:r w:rsidR="00033B1F">
        <w:rPr>
          <w:b/>
        </w:rPr>
        <w:t>[c-</w:t>
      </w:r>
      <w:proofErr w:type="spellStart"/>
      <w:r w:rsidR="00033B1F">
        <w:rPr>
          <w:b/>
        </w:rPr>
        <w:t>i</w:t>
      </w:r>
      <w:proofErr w:type="spellEnd"/>
      <w:r w:rsidR="00033B1F">
        <w:rPr>
          <w:b/>
        </w:rPr>
        <w:t>-c ends]</w:t>
      </w:r>
      <w:r w:rsidR="000A6587">
        <w:t xml:space="preserve"> per cent of total fixed</w:t>
      </w:r>
      <w:r w:rsidR="007A3C89">
        <w:t xml:space="preserve"> </w:t>
      </w:r>
      <w:r w:rsidR="000A6587">
        <w:t xml:space="preserve">line revenue requirement. An asset class is considered to be material if it contributes between </w:t>
      </w:r>
      <w:r w:rsidR="00033B1F">
        <w:rPr>
          <w:b/>
        </w:rPr>
        <w:t>[c-</w:t>
      </w:r>
      <w:proofErr w:type="spellStart"/>
      <w:r w:rsidR="00033B1F">
        <w:rPr>
          <w:b/>
        </w:rPr>
        <w:t>i</w:t>
      </w:r>
      <w:proofErr w:type="spellEnd"/>
      <w:r w:rsidR="00033B1F">
        <w:rPr>
          <w:b/>
        </w:rPr>
        <w:t>-c starts]</w:t>
      </w:r>
      <w:r w:rsidR="00552D6F">
        <w:rPr>
          <w:noProof/>
          <w:color w:val="000000"/>
          <w:highlight w:val="black"/>
        </w:rPr>
        <w:t>'''</w:t>
      </w:r>
      <w:r w:rsidR="00033B1F">
        <w:rPr>
          <w:b/>
        </w:rPr>
        <w:t>[c-</w:t>
      </w:r>
      <w:proofErr w:type="spellStart"/>
      <w:r w:rsidR="00033B1F">
        <w:rPr>
          <w:b/>
        </w:rPr>
        <w:t>i</w:t>
      </w:r>
      <w:proofErr w:type="spellEnd"/>
      <w:r w:rsidR="00033B1F">
        <w:rPr>
          <w:b/>
        </w:rPr>
        <w:t>-c ends]</w:t>
      </w:r>
      <w:r w:rsidR="000A6587">
        <w:t xml:space="preserve"> and </w:t>
      </w:r>
      <w:r w:rsidR="00033B1F">
        <w:rPr>
          <w:b/>
        </w:rPr>
        <w:t>[c-</w:t>
      </w:r>
      <w:proofErr w:type="spellStart"/>
      <w:r w:rsidR="00033B1F">
        <w:rPr>
          <w:b/>
        </w:rPr>
        <w:t>i</w:t>
      </w:r>
      <w:proofErr w:type="spellEnd"/>
      <w:r w:rsidR="00033B1F">
        <w:rPr>
          <w:b/>
        </w:rPr>
        <w:t>-c starts]</w:t>
      </w:r>
      <w:r w:rsidR="00552D6F">
        <w:rPr>
          <w:noProof/>
          <w:color w:val="000000"/>
          <w:highlight w:val="black"/>
        </w:rPr>
        <w:t>''''''</w:t>
      </w:r>
      <w:r w:rsidR="00033B1F">
        <w:rPr>
          <w:b/>
        </w:rPr>
        <w:t>[c-</w:t>
      </w:r>
      <w:proofErr w:type="spellStart"/>
      <w:r w:rsidR="00033B1F">
        <w:rPr>
          <w:b/>
        </w:rPr>
        <w:t>i</w:t>
      </w:r>
      <w:proofErr w:type="spellEnd"/>
      <w:r w:rsidR="00033B1F">
        <w:rPr>
          <w:b/>
        </w:rPr>
        <w:t>-c ends]</w:t>
      </w:r>
      <w:r w:rsidR="000A6587">
        <w:t xml:space="preserve"> per cent of total fixed</w:t>
      </w:r>
      <w:r w:rsidR="000255D7">
        <w:t xml:space="preserve"> </w:t>
      </w:r>
      <w:r w:rsidR="000A6587">
        <w:t>line revenue requirement.</w:t>
      </w:r>
      <w:r w:rsidR="000A6587" w:rsidRPr="000A6587">
        <w:t xml:space="preserve"> </w:t>
      </w:r>
      <w:r w:rsidR="000A6587">
        <w:t xml:space="preserve">An asset class is considered to be minor if it contributes less that </w:t>
      </w:r>
      <w:r w:rsidR="00033B1F" w:rsidRPr="00033B1F">
        <w:t>[c-</w:t>
      </w:r>
      <w:proofErr w:type="spellStart"/>
      <w:r w:rsidR="00033B1F" w:rsidRPr="00033B1F">
        <w:t>i</w:t>
      </w:r>
      <w:proofErr w:type="spellEnd"/>
      <w:r w:rsidR="00033B1F" w:rsidRPr="00033B1F">
        <w:t>-c starts]</w:t>
      </w:r>
      <w:r w:rsidR="00552D6F">
        <w:rPr>
          <w:noProof/>
          <w:color w:val="000000"/>
          <w:highlight w:val="black"/>
        </w:rPr>
        <w:t>''''</w:t>
      </w:r>
      <w:r w:rsidR="00033B1F">
        <w:rPr>
          <w:b/>
        </w:rPr>
        <w:t>[c-</w:t>
      </w:r>
      <w:proofErr w:type="spellStart"/>
      <w:r w:rsidR="00033B1F">
        <w:rPr>
          <w:b/>
        </w:rPr>
        <w:t>i</w:t>
      </w:r>
      <w:proofErr w:type="spellEnd"/>
      <w:r w:rsidR="00033B1F">
        <w:rPr>
          <w:b/>
        </w:rPr>
        <w:t>-c ends]</w:t>
      </w:r>
      <w:r w:rsidR="000A6587">
        <w:t xml:space="preserve"> per cent of total fixed</w:t>
      </w:r>
      <w:r w:rsidR="000255D7">
        <w:t xml:space="preserve"> </w:t>
      </w:r>
      <w:r w:rsidR="000A6587">
        <w:t>line revenue requirement.</w:t>
      </w:r>
    </w:p>
    <w:p w:rsidR="000A6587" w:rsidRDefault="000A6587" w:rsidP="000A6587">
      <w:r>
        <w:t>The materiality of each asset class is provided</w:t>
      </w:r>
      <w:r w:rsidRPr="000A6587">
        <w:t xml:space="preserve"> </w:t>
      </w:r>
      <w:r w:rsidR="007A3C89">
        <w:t>i</w:t>
      </w:r>
      <w:r>
        <w:t>n the key points section for that asset class throughout the document.</w:t>
      </w:r>
    </w:p>
    <w:p w:rsidR="00A45FF0" w:rsidRDefault="002804AF" w:rsidP="000A6587">
      <w:pPr>
        <w:pStyle w:val="HeadingLevel8table"/>
        <w:ind w:left="1440" w:hanging="1440"/>
      </w:pPr>
      <w:r>
        <w:t>Table 1.2.1</w:t>
      </w:r>
      <w:r>
        <w:tab/>
      </w:r>
      <w:r w:rsidR="00A45FF0">
        <w:t>CAN and Core asset class</w:t>
      </w:r>
      <w:r w:rsidR="00CA5B21">
        <w:t xml:space="preserve"> costs</w:t>
      </w:r>
      <w:r w:rsidR="00A45FF0">
        <w:t xml:space="preserve"> in the FLSM</w:t>
      </w:r>
      <w:r w:rsidR="00CA5B21">
        <w:t xml:space="preserve"> as a proportion of total revenue requirement for</w:t>
      </w:r>
      <w:r w:rsidR="008B4094">
        <w:t xml:space="preserve"> 2013-14</w:t>
      </w:r>
    </w:p>
    <w:tbl>
      <w:tblPr>
        <w:tblStyle w:val="TableGrid"/>
        <w:tblW w:w="0" w:type="auto"/>
        <w:jc w:val="center"/>
        <w:tblLook w:val="04A0" w:firstRow="1" w:lastRow="0" w:firstColumn="1" w:lastColumn="0" w:noHBand="0" w:noVBand="1"/>
      </w:tblPr>
      <w:tblGrid>
        <w:gridCol w:w="2625"/>
        <w:gridCol w:w="1550"/>
        <w:gridCol w:w="2539"/>
        <w:gridCol w:w="1950"/>
      </w:tblGrid>
      <w:tr w:rsidR="000A6587" w:rsidRPr="00CA5CB9" w:rsidTr="00AB2E1F">
        <w:trPr>
          <w:jc w:val="center"/>
        </w:trPr>
        <w:tc>
          <w:tcPr>
            <w:tcW w:w="2625" w:type="dxa"/>
          </w:tcPr>
          <w:p w:rsidR="000A6587" w:rsidRPr="00CA5CB9" w:rsidRDefault="000A6587" w:rsidP="006561CE">
            <w:pPr>
              <w:rPr>
                <w:b/>
              </w:rPr>
            </w:pPr>
            <w:r w:rsidRPr="00CA5CB9">
              <w:rPr>
                <w:b/>
              </w:rPr>
              <w:t>CAN Assets</w:t>
            </w:r>
          </w:p>
        </w:tc>
        <w:tc>
          <w:tcPr>
            <w:tcW w:w="1550" w:type="dxa"/>
          </w:tcPr>
          <w:p w:rsidR="000A6587" w:rsidRPr="00CA5CB9" w:rsidRDefault="000A6587" w:rsidP="000A6587">
            <w:pPr>
              <w:rPr>
                <w:b/>
              </w:rPr>
            </w:pPr>
            <w:r w:rsidRPr="00CA5CB9">
              <w:rPr>
                <w:b/>
              </w:rPr>
              <w:t>% of revenue requirement</w:t>
            </w:r>
          </w:p>
        </w:tc>
        <w:tc>
          <w:tcPr>
            <w:tcW w:w="2539" w:type="dxa"/>
          </w:tcPr>
          <w:p w:rsidR="000A6587" w:rsidRPr="00CA5CB9" w:rsidRDefault="000A6587" w:rsidP="006561CE">
            <w:pPr>
              <w:rPr>
                <w:b/>
              </w:rPr>
            </w:pPr>
            <w:r w:rsidRPr="00CA5CB9">
              <w:rPr>
                <w:b/>
              </w:rPr>
              <w:t>Core Assets</w:t>
            </w:r>
          </w:p>
        </w:tc>
        <w:tc>
          <w:tcPr>
            <w:tcW w:w="1950" w:type="dxa"/>
          </w:tcPr>
          <w:p w:rsidR="000A6587" w:rsidRPr="00CA5CB9" w:rsidRDefault="000A6587" w:rsidP="000B7DBB">
            <w:pPr>
              <w:rPr>
                <w:b/>
              </w:rPr>
            </w:pPr>
            <w:r w:rsidRPr="00CA5CB9">
              <w:rPr>
                <w:b/>
              </w:rPr>
              <w:t>% of revenue requirement</w:t>
            </w:r>
          </w:p>
        </w:tc>
      </w:tr>
      <w:tr w:rsidR="007B24A4" w:rsidRPr="000A6587" w:rsidTr="00AB2E1F">
        <w:trPr>
          <w:jc w:val="center"/>
        </w:trPr>
        <w:tc>
          <w:tcPr>
            <w:tcW w:w="2625" w:type="dxa"/>
          </w:tcPr>
          <w:p w:rsidR="007B24A4" w:rsidRPr="000A6587" w:rsidRDefault="007B24A4" w:rsidP="008D696C">
            <w:r w:rsidRPr="000A6587">
              <w:t xml:space="preserve">CA01 Ducts and pipes </w:t>
            </w:r>
          </w:p>
        </w:tc>
        <w:tc>
          <w:tcPr>
            <w:tcW w:w="1550" w:type="dxa"/>
          </w:tcPr>
          <w:p w:rsidR="007B24A4" w:rsidRPr="000A6587" w:rsidRDefault="00C2190D" w:rsidP="0084245E">
            <w:pPr>
              <w:autoSpaceDE w:val="0"/>
              <w:autoSpaceDN w:val="0"/>
              <w:adjustRightInd w:val="0"/>
            </w:pPr>
            <w:r>
              <w:rPr>
                <w:b/>
              </w:rPr>
              <w:t>[c-</w:t>
            </w:r>
            <w:proofErr w:type="spellStart"/>
            <w:r>
              <w:rPr>
                <w:b/>
              </w:rPr>
              <w:t>i</w:t>
            </w:r>
            <w:proofErr w:type="spellEnd"/>
            <w:r>
              <w:rPr>
                <w:b/>
              </w:rPr>
              <w:t>-c starts]</w:t>
            </w:r>
            <w:r w:rsidR="00552D6F">
              <w:rPr>
                <w:noProof/>
                <w:color w:val="000000"/>
                <w:highlight w:val="black"/>
              </w:rPr>
              <w:t>''''''''''''''</w:t>
            </w:r>
          </w:p>
        </w:tc>
        <w:tc>
          <w:tcPr>
            <w:tcW w:w="2539" w:type="dxa"/>
          </w:tcPr>
          <w:p w:rsidR="007B24A4" w:rsidRPr="000A6587" w:rsidRDefault="007B24A4" w:rsidP="0084245E">
            <w:r w:rsidRPr="000A6587">
              <w:t>CO01 Switching equipment - local</w:t>
            </w:r>
          </w:p>
        </w:tc>
        <w:tc>
          <w:tcPr>
            <w:tcW w:w="1950" w:type="dxa"/>
          </w:tcPr>
          <w:p w:rsidR="007B24A4" w:rsidRPr="000A6587" w:rsidRDefault="00C2190D" w:rsidP="0084245E">
            <w:r>
              <w:rPr>
                <w:b/>
              </w:rPr>
              <w:t>[c-</w:t>
            </w:r>
            <w:proofErr w:type="spellStart"/>
            <w:r>
              <w:rPr>
                <w:b/>
              </w:rPr>
              <w:t>i</w:t>
            </w:r>
            <w:proofErr w:type="spellEnd"/>
            <w:r>
              <w:rPr>
                <w:b/>
              </w:rPr>
              <w:t>-c starts]</w:t>
            </w:r>
            <w:r w:rsidR="00552D6F">
              <w:rPr>
                <w:noProof/>
                <w:color w:val="000000"/>
                <w:highlight w:val="black"/>
              </w:rPr>
              <w:t>''''''''''''</w:t>
            </w:r>
          </w:p>
        </w:tc>
      </w:tr>
      <w:tr w:rsidR="007B24A4" w:rsidRPr="000A6587" w:rsidTr="00AB2E1F">
        <w:trPr>
          <w:jc w:val="center"/>
        </w:trPr>
        <w:tc>
          <w:tcPr>
            <w:tcW w:w="2625" w:type="dxa"/>
          </w:tcPr>
          <w:p w:rsidR="007B24A4" w:rsidRPr="000A6587" w:rsidRDefault="007B24A4" w:rsidP="006561CE">
            <w:pPr>
              <w:autoSpaceDE w:val="0"/>
              <w:autoSpaceDN w:val="0"/>
              <w:adjustRightInd w:val="0"/>
            </w:pPr>
            <w:r w:rsidRPr="000A6587">
              <w:t>CA02 Copper cables</w:t>
            </w:r>
          </w:p>
        </w:tc>
        <w:tc>
          <w:tcPr>
            <w:tcW w:w="1550" w:type="dxa"/>
          </w:tcPr>
          <w:p w:rsidR="007B24A4" w:rsidRPr="00552D6F" w:rsidRDefault="00552D6F" w:rsidP="006561CE">
            <w:pPr>
              <w:autoSpaceDE w:val="0"/>
              <w:autoSpaceDN w:val="0"/>
              <w:adjustRightInd w:val="0"/>
              <w:rPr>
                <w:highlight w:val="black"/>
              </w:rPr>
            </w:pPr>
            <w:r>
              <w:rPr>
                <w:noProof/>
                <w:color w:val="000000"/>
                <w:highlight w:val="black"/>
              </w:rPr>
              <w:t>''''''''''''''</w:t>
            </w:r>
          </w:p>
        </w:tc>
        <w:tc>
          <w:tcPr>
            <w:tcW w:w="2539" w:type="dxa"/>
          </w:tcPr>
          <w:p w:rsidR="007B24A4" w:rsidRPr="000A6587" w:rsidRDefault="007B24A4" w:rsidP="006561CE">
            <w:r w:rsidRPr="000A6587">
              <w:t>CO02 Switching equipment – trunk</w:t>
            </w:r>
          </w:p>
        </w:tc>
        <w:tc>
          <w:tcPr>
            <w:tcW w:w="1950" w:type="dxa"/>
          </w:tcPr>
          <w:p w:rsidR="007B24A4" w:rsidRPr="00552D6F" w:rsidRDefault="00552D6F" w:rsidP="006561CE">
            <w:pPr>
              <w:autoSpaceDE w:val="0"/>
              <w:autoSpaceDN w:val="0"/>
              <w:adjustRightInd w:val="0"/>
              <w:rPr>
                <w:highlight w:val="black"/>
              </w:rPr>
            </w:pPr>
            <w:r>
              <w:rPr>
                <w:noProof/>
                <w:color w:val="000000"/>
                <w:highlight w:val="black"/>
              </w:rPr>
              <w:t>''''''''''''</w:t>
            </w:r>
          </w:p>
        </w:tc>
      </w:tr>
      <w:tr w:rsidR="007B24A4" w:rsidRPr="000A6587" w:rsidTr="00AB2E1F">
        <w:trPr>
          <w:jc w:val="center"/>
        </w:trPr>
        <w:tc>
          <w:tcPr>
            <w:tcW w:w="2625" w:type="dxa"/>
          </w:tcPr>
          <w:p w:rsidR="007B24A4" w:rsidRPr="000A6587" w:rsidRDefault="007B24A4" w:rsidP="006561CE">
            <w:r w:rsidRPr="000A6587">
              <w:t>CA03 Other cables</w:t>
            </w:r>
          </w:p>
        </w:tc>
        <w:tc>
          <w:tcPr>
            <w:tcW w:w="1550" w:type="dxa"/>
          </w:tcPr>
          <w:p w:rsidR="007B24A4" w:rsidRPr="00552D6F" w:rsidRDefault="00552D6F" w:rsidP="006561CE">
            <w:pPr>
              <w:autoSpaceDE w:val="0"/>
              <w:autoSpaceDN w:val="0"/>
              <w:adjustRightInd w:val="0"/>
              <w:rPr>
                <w:highlight w:val="black"/>
              </w:rPr>
            </w:pPr>
            <w:r>
              <w:rPr>
                <w:noProof/>
                <w:color w:val="000000"/>
                <w:highlight w:val="black"/>
              </w:rPr>
              <w:t>'''''''''''''</w:t>
            </w:r>
          </w:p>
        </w:tc>
        <w:tc>
          <w:tcPr>
            <w:tcW w:w="2539" w:type="dxa"/>
          </w:tcPr>
          <w:p w:rsidR="007B24A4" w:rsidRPr="000A6587" w:rsidRDefault="007B24A4" w:rsidP="006561CE">
            <w:r w:rsidRPr="000A6587">
              <w:t>CO03 Switching equipment – other</w:t>
            </w:r>
          </w:p>
        </w:tc>
        <w:tc>
          <w:tcPr>
            <w:tcW w:w="1950" w:type="dxa"/>
          </w:tcPr>
          <w:p w:rsidR="007B24A4" w:rsidRPr="00552D6F" w:rsidRDefault="00552D6F" w:rsidP="006561CE">
            <w:pPr>
              <w:autoSpaceDE w:val="0"/>
              <w:autoSpaceDN w:val="0"/>
              <w:adjustRightInd w:val="0"/>
              <w:rPr>
                <w:highlight w:val="black"/>
              </w:rPr>
            </w:pPr>
            <w:r>
              <w:rPr>
                <w:noProof/>
                <w:color w:val="000000"/>
                <w:highlight w:val="black"/>
              </w:rPr>
              <w:t>'''''''''''''''''</w:t>
            </w:r>
          </w:p>
        </w:tc>
      </w:tr>
      <w:tr w:rsidR="007B24A4" w:rsidRPr="000A6587" w:rsidTr="00AB2E1F">
        <w:trPr>
          <w:jc w:val="center"/>
        </w:trPr>
        <w:tc>
          <w:tcPr>
            <w:tcW w:w="2625" w:type="dxa"/>
          </w:tcPr>
          <w:p w:rsidR="007B24A4" w:rsidRPr="000A6587" w:rsidRDefault="007B24A4" w:rsidP="000058BC">
            <w:r w:rsidRPr="000A6587">
              <w:lastRenderedPageBreak/>
              <w:t>CA04 Pair gain systems</w:t>
            </w:r>
          </w:p>
        </w:tc>
        <w:tc>
          <w:tcPr>
            <w:tcW w:w="1550" w:type="dxa"/>
          </w:tcPr>
          <w:p w:rsidR="007B24A4" w:rsidRPr="00552D6F" w:rsidRDefault="00552D6F" w:rsidP="006561CE">
            <w:pPr>
              <w:autoSpaceDE w:val="0"/>
              <w:autoSpaceDN w:val="0"/>
              <w:adjustRightInd w:val="0"/>
              <w:rPr>
                <w:highlight w:val="black"/>
              </w:rPr>
            </w:pPr>
            <w:r>
              <w:rPr>
                <w:noProof/>
                <w:color w:val="000000"/>
                <w:highlight w:val="black"/>
              </w:rPr>
              <w:t>''''''''''''</w:t>
            </w:r>
          </w:p>
        </w:tc>
        <w:tc>
          <w:tcPr>
            <w:tcW w:w="2539" w:type="dxa"/>
          </w:tcPr>
          <w:p w:rsidR="007B24A4" w:rsidRPr="000A6587" w:rsidRDefault="007B24A4" w:rsidP="006561CE">
            <w:r w:rsidRPr="000A6587">
              <w:t>CO04 Interexchange cables</w:t>
            </w:r>
          </w:p>
        </w:tc>
        <w:tc>
          <w:tcPr>
            <w:tcW w:w="1950" w:type="dxa"/>
          </w:tcPr>
          <w:p w:rsidR="007B24A4" w:rsidRPr="00552D6F" w:rsidRDefault="00552D6F" w:rsidP="006561CE">
            <w:pPr>
              <w:autoSpaceDE w:val="0"/>
              <w:autoSpaceDN w:val="0"/>
              <w:adjustRightInd w:val="0"/>
              <w:rPr>
                <w:highlight w:val="black"/>
              </w:rPr>
            </w:pPr>
            <w:r>
              <w:rPr>
                <w:noProof/>
                <w:color w:val="000000"/>
                <w:highlight w:val="black"/>
              </w:rPr>
              <w:t>''''''''''''</w:t>
            </w:r>
          </w:p>
        </w:tc>
      </w:tr>
      <w:tr w:rsidR="007B24A4" w:rsidRPr="000A6587" w:rsidTr="00AB2E1F">
        <w:trPr>
          <w:jc w:val="center"/>
        </w:trPr>
        <w:tc>
          <w:tcPr>
            <w:tcW w:w="2625" w:type="dxa"/>
          </w:tcPr>
          <w:p w:rsidR="007B24A4" w:rsidRPr="000A6587" w:rsidRDefault="007B24A4" w:rsidP="000058BC">
            <w:r w:rsidRPr="000A6587">
              <w:t>CA05 CAN Radio bearer equipment</w:t>
            </w:r>
          </w:p>
        </w:tc>
        <w:tc>
          <w:tcPr>
            <w:tcW w:w="1550" w:type="dxa"/>
          </w:tcPr>
          <w:p w:rsidR="007B24A4" w:rsidRPr="00552D6F" w:rsidRDefault="00552D6F" w:rsidP="006561CE">
            <w:pPr>
              <w:autoSpaceDE w:val="0"/>
              <w:autoSpaceDN w:val="0"/>
              <w:adjustRightInd w:val="0"/>
              <w:rPr>
                <w:highlight w:val="black"/>
              </w:rPr>
            </w:pPr>
            <w:r>
              <w:rPr>
                <w:noProof/>
                <w:color w:val="000000"/>
                <w:highlight w:val="black"/>
              </w:rPr>
              <w:t>'''''''''''''</w:t>
            </w:r>
          </w:p>
        </w:tc>
        <w:tc>
          <w:tcPr>
            <w:tcW w:w="2539" w:type="dxa"/>
          </w:tcPr>
          <w:p w:rsidR="007B24A4" w:rsidRPr="000A6587" w:rsidRDefault="007B24A4" w:rsidP="006561CE">
            <w:r w:rsidRPr="000A6587">
              <w:t>CO05 Transmission equipment</w:t>
            </w:r>
          </w:p>
        </w:tc>
        <w:tc>
          <w:tcPr>
            <w:tcW w:w="1950" w:type="dxa"/>
          </w:tcPr>
          <w:p w:rsidR="007B24A4" w:rsidRPr="00552D6F" w:rsidRDefault="00552D6F" w:rsidP="006561CE">
            <w:pPr>
              <w:autoSpaceDE w:val="0"/>
              <w:autoSpaceDN w:val="0"/>
              <w:adjustRightInd w:val="0"/>
              <w:rPr>
                <w:highlight w:val="black"/>
              </w:rPr>
            </w:pPr>
            <w:r>
              <w:rPr>
                <w:noProof/>
                <w:color w:val="000000"/>
                <w:highlight w:val="black"/>
              </w:rPr>
              <w:t>'''''''''''''''''</w:t>
            </w:r>
          </w:p>
        </w:tc>
      </w:tr>
      <w:tr w:rsidR="007B24A4" w:rsidRPr="000A6587" w:rsidTr="00AB2E1F">
        <w:trPr>
          <w:jc w:val="center"/>
        </w:trPr>
        <w:tc>
          <w:tcPr>
            <w:tcW w:w="2625" w:type="dxa"/>
          </w:tcPr>
          <w:p w:rsidR="007B24A4" w:rsidRPr="000A6587" w:rsidRDefault="007B24A4" w:rsidP="006561CE">
            <w:r w:rsidRPr="000A6587">
              <w:t>CA06 Other CAN assets</w:t>
            </w:r>
          </w:p>
        </w:tc>
        <w:tc>
          <w:tcPr>
            <w:tcW w:w="1550" w:type="dxa"/>
          </w:tcPr>
          <w:p w:rsidR="007B24A4" w:rsidRPr="00552D6F" w:rsidRDefault="00552D6F" w:rsidP="006561CE">
            <w:pPr>
              <w:autoSpaceDE w:val="0"/>
              <w:autoSpaceDN w:val="0"/>
              <w:adjustRightInd w:val="0"/>
              <w:rPr>
                <w:highlight w:val="black"/>
              </w:rPr>
            </w:pPr>
            <w:r>
              <w:rPr>
                <w:noProof/>
                <w:color w:val="000000"/>
                <w:highlight w:val="black"/>
              </w:rPr>
              <w:t>''''''''''''''''''''</w:t>
            </w:r>
          </w:p>
        </w:tc>
        <w:tc>
          <w:tcPr>
            <w:tcW w:w="2539" w:type="dxa"/>
          </w:tcPr>
          <w:p w:rsidR="007B24A4" w:rsidRPr="000A6587" w:rsidRDefault="007B24A4" w:rsidP="006561CE">
            <w:r w:rsidRPr="000A6587">
              <w:t>CO06 Core radio bearer equipment</w:t>
            </w:r>
          </w:p>
        </w:tc>
        <w:tc>
          <w:tcPr>
            <w:tcW w:w="1950" w:type="dxa"/>
          </w:tcPr>
          <w:p w:rsidR="007B24A4" w:rsidRPr="00552D6F" w:rsidRDefault="00552D6F" w:rsidP="006561CE">
            <w:pPr>
              <w:autoSpaceDE w:val="0"/>
              <w:autoSpaceDN w:val="0"/>
              <w:adjustRightInd w:val="0"/>
              <w:rPr>
                <w:highlight w:val="black"/>
              </w:rPr>
            </w:pPr>
            <w:r>
              <w:rPr>
                <w:noProof/>
                <w:color w:val="000000"/>
                <w:highlight w:val="black"/>
              </w:rPr>
              <w:t>'''''''''''''</w:t>
            </w:r>
          </w:p>
        </w:tc>
      </w:tr>
      <w:tr w:rsidR="007B24A4" w:rsidRPr="000A6587" w:rsidTr="00AB2E1F">
        <w:trPr>
          <w:jc w:val="center"/>
        </w:trPr>
        <w:tc>
          <w:tcPr>
            <w:tcW w:w="2625" w:type="dxa"/>
          </w:tcPr>
          <w:p w:rsidR="007B24A4" w:rsidRPr="000A6587" w:rsidRDefault="007B24A4" w:rsidP="000058BC">
            <w:r w:rsidRPr="000A6587">
              <w:t>CA07 Other communications plant and equipment</w:t>
            </w:r>
          </w:p>
        </w:tc>
        <w:tc>
          <w:tcPr>
            <w:tcW w:w="1550" w:type="dxa"/>
          </w:tcPr>
          <w:p w:rsidR="007B24A4" w:rsidRPr="00552D6F" w:rsidRDefault="00552D6F" w:rsidP="006561CE">
            <w:pPr>
              <w:autoSpaceDE w:val="0"/>
              <w:autoSpaceDN w:val="0"/>
              <w:adjustRightInd w:val="0"/>
              <w:rPr>
                <w:highlight w:val="black"/>
              </w:rPr>
            </w:pPr>
            <w:r>
              <w:rPr>
                <w:noProof/>
                <w:color w:val="000000"/>
                <w:highlight w:val="black"/>
              </w:rPr>
              <w:t>'''''''''''''</w:t>
            </w:r>
          </w:p>
        </w:tc>
        <w:tc>
          <w:tcPr>
            <w:tcW w:w="2539" w:type="dxa"/>
          </w:tcPr>
          <w:p w:rsidR="007B24A4" w:rsidRPr="000A6587" w:rsidRDefault="007B24A4" w:rsidP="006561CE">
            <w:r w:rsidRPr="000A6587">
              <w:t>CO07 Other communications plant and equipment</w:t>
            </w:r>
          </w:p>
        </w:tc>
        <w:tc>
          <w:tcPr>
            <w:tcW w:w="1950" w:type="dxa"/>
          </w:tcPr>
          <w:p w:rsidR="007B24A4" w:rsidRPr="00552D6F" w:rsidRDefault="00552D6F" w:rsidP="006561CE">
            <w:pPr>
              <w:autoSpaceDE w:val="0"/>
              <w:autoSpaceDN w:val="0"/>
              <w:adjustRightInd w:val="0"/>
              <w:rPr>
                <w:highlight w:val="black"/>
              </w:rPr>
            </w:pPr>
            <w:r>
              <w:rPr>
                <w:noProof/>
                <w:color w:val="000000"/>
                <w:highlight w:val="black"/>
              </w:rPr>
              <w:t>'''''''''''</w:t>
            </w:r>
          </w:p>
        </w:tc>
      </w:tr>
      <w:tr w:rsidR="007B24A4" w:rsidRPr="000A6587" w:rsidTr="00AB2E1F">
        <w:trPr>
          <w:jc w:val="center"/>
        </w:trPr>
        <w:tc>
          <w:tcPr>
            <w:tcW w:w="2625" w:type="dxa"/>
          </w:tcPr>
          <w:p w:rsidR="007B24A4" w:rsidRPr="000A6587" w:rsidRDefault="007B24A4" w:rsidP="000058BC">
            <w:r w:rsidRPr="000A6587">
              <w:t>CA08 Network land</w:t>
            </w:r>
          </w:p>
        </w:tc>
        <w:tc>
          <w:tcPr>
            <w:tcW w:w="1550" w:type="dxa"/>
          </w:tcPr>
          <w:p w:rsidR="007B24A4" w:rsidRPr="00552D6F" w:rsidRDefault="00552D6F" w:rsidP="006561CE">
            <w:pPr>
              <w:autoSpaceDE w:val="0"/>
              <w:autoSpaceDN w:val="0"/>
              <w:adjustRightInd w:val="0"/>
              <w:rPr>
                <w:highlight w:val="black"/>
              </w:rPr>
            </w:pPr>
            <w:r>
              <w:rPr>
                <w:noProof/>
                <w:color w:val="000000"/>
                <w:highlight w:val="black"/>
              </w:rPr>
              <w:t>''''''''''''</w:t>
            </w:r>
          </w:p>
        </w:tc>
        <w:tc>
          <w:tcPr>
            <w:tcW w:w="2539" w:type="dxa"/>
          </w:tcPr>
          <w:p w:rsidR="007B24A4" w:rsidRPr="000A6587" w:rsidRDefault="007B24A4" w:rsidP="006561CE">
            <w:r w:rsidRPr="000A6587">
              <w:t>CO08 Network land</w:t>
            </w:r>
          </w:p>
        </w:tc>
        <w:tc>
          <w:tcPr>
            <w:tcW w:w="1950" w:type="dxa"/>
          </w:tcPr>
          <w:p w:rsidR="007B24A4" w:rsidRPr="00552D6F" w:rsidRDefault="00552D6F" w:rsidP="006561CE">
            <w:pPr>
              <w:autoSpaceDE w:val="0"/>
              <w:autoSpaceDN w:val="0"/>
              <w:adjustRightInd w:val="0"/>
              <w:rPr>
                <w:highlight w:val="black"/>
              </w:rPr>
            </w:pPr>
            <w:r>
              <w:rPr>
                <w:noProof/>
                <w:color w:val="000000"/>
                <w:highlight w:val="black"/>
              </w:rPr>
              <w:t>'''''''''''</w:t>
            </w:r>
          </w:p>
        </w:tc>
      </w:tr>
      <w:tr w:rsidR="007B24A4" w:rsidRPr="000A6587" w:rsidTr="00AB2E1F">
        <w:trPr>
          <w:jc w:val="center"/>
        </w:trPr>
        <w:tc>
          <w:tcPr>
            <w:tcW w:w="2625" w:type="dxa"/>
          </w:tcPr>
          <w:p w:rsidR="007B24A4" w:rsidRPr="000A6587" w:rsidRDefault="007B24A4" w:rsidP="000058BC">
            <w:r w:rsidRPr="000A6587">
              <w:t>CA09 Network buildings/support</w:t>
            </w:r>
          </w:p>
        </w:tc>
        <w:tc>
          <w:tcPr>
            <w:tcW w:w="1550" w:type="dxa"/>
          </w:tcPr>
          <w:p w:rsidR="007B24A4" w:rsidRPr="00552D6F" w:rsidRDefault="00552D6F" w:rsidP="006561CE">
            <w:pPr>
              <w:autoSpaceDE w:val="0"/>
              <w:autoSpaceDN w:val="0"/>
              <w:adjustRightInd w:val="0"/>
              <w:rPr>
                <w:highlight w:val="black"/>
              </w:rPr>
            </w:pPr>
            <w:r>
              <w:rPr>
                <w:noProof/>
                <w:color w:val="000000"/>
                <w:highlight w:val="black"/>
              </w:rPr>
              <w:t>''''''''''''</w:t>
            </w:r>
          </w:p>
        </w:tc>
        <w:tc>
          <w:tcPr>
            <w:tcW w:w="2539" w:type="dxa"/>
          </w:tcPr>
          <w:p w:rsidR="007B24A4" w:rsidRPr="000A6587" w:rsidRDefault="007B24A4" w:rsidP="006561CE">
            <w:r w:rsidRPr="000A6587">
              <w:t>CO09 Network buildings/support</w:t>
            </w:r>
          </w:p>
        </w:tc>
        <w:tc>
          <w:tcPr>
            <w:tcW w:w="1950" w:type="dxa"/>
          </w:tcPr>
          <w:p w:rsidR="007B24A4" w:rsidRPr="00552D6F" w:rsidRDefault="00552D6F" w:rsidP="006561CE">
            <w:pPr>
              <w:autoSpaceDE w:val="0"/>
              <w:autoSpaceDN w:val="0"/>
              <w:adjustRightInd w:val="0"/>
              <w:rPr>
                <w:highlight w:val="black"/>
              </w:rPr>
            </w:pPr>
            <w:r>
              <w:rPr>
                <w:noProof/>
                <w:color w:val="000000"/>
                <w:highlight w:val="black"/>
              </w:rPr>
              <w:t>'''''''''''''</w:t>
            </w:r>
          </w:p>
        </w:tc>
      </w:tr>
      <w:tr w:rsidR="007B24A4" w:rsidRPr="000A6587" w:rsidTr="00AB2E1F">
        <w:trPr>
          <w:jc w:val="center"/>
        </w:trPr>
        <w:tc>
          <w:tcPr>
            <w:tcW w:w="2625" w:type="dxa"/>
          </w:tcPr>
          <w:p w:rsidR="007B24A4" w:rsidRPr="000A6587" w:rsidRDefault="007B24A4" w:rsidP="006561CE">
            <w:r w:rsidRPr="000A6587">
              <w:t>CA10 Indirect capital assets</w:t>
            </w:r>
          </w:p>
        </w:tc>
        <w:tc>
          <w:tcPr>
            <w:tcW w:w="1550" w:type="dxa"/>
          </w:tcPr>
          <w:p w:rsidR="007B24A4" w:rsidRPr="000A6587" w:rsidRDefault="00552D6F" w:rsidP="006561CE">
            <w:r>
              <w:rPr>
                <w:noProof/>
                <w:color w:val="000000"/>
                <w:highlight w:val="black"/>
              </w:rPr>
              <w:t>'''''''''''''</w:t>
            </w:r>
            <w:r>
              <w:rPr>
                <w:b/>
                <w:noProof/>
                <w:color w:val="000000"/>
                <w:highlight w:val="black"/>
              </w:rPr>
              <w:t>''</w:t>
            </w:r>
            <w:r w:rsidR="00C2190D">
              <w:rPr>
                <w:b/>
              </w:rPr>
              <w:t>c-</w:t>
            </w:r>
            <w:proofErr w:type="spellStart"/>
            <w:r w:rsidR="00C2190D">
              <w:rPr>
                <w:b/>
              </w:rPr>
              <w:t>i</w:t>
            </w:r>
            <w:proofErr w:type="spellEnd"/>
            <w:r w:rsidR="00C2190D">
              <w:rPr>
                <w:b/>
              </w:rPr>
              <w:t>-c ends]</w:t>
            </w:r>
          </w:p>
        </w:tc>
        <w:tc>
          <w:tcPr>
            <w:tcW w:w="2539" w:type="dxa"/>
          </w:tcPr>
          <w:p w:rsidR="007B24A4" w:rsidRPr="000A6587" w:rsidRDefault="007B24A4" w:rsidP="006561CE">
            <w:r w:rsidRPr="000A6587">
              <w:t>CO10 Indirect capital assets</w:t>
            </w:r>
          </w:p>
        </w:tc>
        <w:tc>
          <w:tcPr>
            <w:tcW w:w="1950" w:type="dxa"/>
          </w:tcPr>
          <w:p w:rsidR="007B24A4" w:rsidRPr="00552D6F" w:rsidRDefault="00552D6F" w:rsidP="006561CE">
            <w:pPr>
              <w:autoSpaceDE w:val="0"/>
              <w:autoSpaceDN w:val="0"/>
              <w:adjustRightInd w:val="0"/>
              <w:rPr>
                <w:highlight w:val="black"/>
              </w:rPr>
            </w:pPr>
            <w:r>
              <w:rPr>
                <w:noProof/>
                <w:color w:val="000000"/>
                <w:highlight w:val="black"/>
              </w:rPr>
              <w:t>'''''''''''''</w:t>
            </w:r>
          </w:p>
        </w:tc>
      </w:tr>
      <w:tr w:rsidR="007B24A4" w:rsidRPr="000A6587" w:rsidTr="00AB2E1F">
        <w:trPr>
          <w:jc w:val="center"/>
        </w:trPr>
        <w:tc>
          <w:tcPr>
            <w:tcW w:w="2625" w:type="dxa"/>
          </w:tcPr>
          <w:p w:rsidR="007B24A4" w:rsidRPr="000A6587" w:rsidRDefault="007B24A4" w:rsidP="006561CE"/>
        </w:tc>
        <w:tc>
          <w:tcPr>
            <w:tcW w:w="1550" w:type="dxa"/>
          </w:tcPr>
          <w:p w:rsidR="007B24A4" w:rsidRPr="000A6587" w:rsidRDefault="007B24A4" w:rsidP="006561CE"/>
        </w:tc>
        <w:tc>
          <w:tcPr>
            <w:tcW w:w="2539" w:type="dxa"/>
          </w:tcPr>
          <w:p w:rsidR="007B24A4" w:rsidRPr="000A6587" w:rsidRDefault="007B24A4" w:rsidP="006561CE">
            <w:r w:rsidRPr="000A6587">
              <w:t>CO11 LSS equipment</w:t>
            </w:r>
          </w:p>
        </w:tc>
        <w:tc>
          <w:tcPr>
            <w:tcW w:w="1950" w:type="dxa"/>
          </w:tcPr>
          <w:p w:rsidR="007B24A4" w:rsidRPr="00552D6F" w:rsidRDefault="00552D6F" w:rsidP="006561CE">
            <w:pPr>
              <w:autoSpaceDE w:val="0"/>
              <w:autoSpaceDN w:val="0"/>
              <w:adjustRightInd w:val="0"/>
              <w:rPr>
                <w:highlight w:val="black"/>
              </w:rPr>
            </w:pPr>
            <w:r>
              <w:rPr>
                <w:noProof/>
                <w:color w:val="000000"/>
                <w:highlight w:val="black"/>
              </w:rPr>
              <w:t>'''''''''''''</w:t>
            </w:r>
          </w:p>
        </w:tc>
      </w:tr>
      <w:tr w:rsidR="007B24A4" w:rsidTr="00AB2E1F">
        <w:trPr>
          <w:jc w:val="center"/>
        </w:trPr>
        <w:tc>
          <w:tcPr>
            <w:tcW w:w="2625" w:type="dxa"/>
          </w:tcPr>
          <w:p w:rsidR="007B24A4" w:rsidRPr="000A6587" w:rsidRDefault="007B24A4" w:rsidP="006561CE"/>
        </w:tc>
        <w:tc>
          <w:tcPr>
            <w:tcW w:w="1550" w:type="dxa"/>
          </w:tcPr>
          <w:p w:rsidR="007B24A4" w:rsidRPr="000A6587" w:rsidRDefault="007B24A4" w:rsidP="006561CE"/>
        </w:tc>
        <w:tc>
          <w:tcPr>
            <w:tcW w:w="2539" w:type="dxa"/>
          </w:tcPr>
          <w:p w:rsidR="007B24A4" w:rsidRPr="000A6587" w:rsidRDefault="007B24A4" w:rsidP="006561CE">
            <w:pPr>
              <w:autoSpaceDE w:val="0"/>
              <w:autoSpaceDN w:val="0"/>
              <w:adjustRightInd w:val="0"/>
            </w:pPr>
            <w:r w:rsidRPr="000A6587">
              <w:t>CO12 Data equipment</w:t>
            </w:r>
          </w:p>
        </w:tc>
        <w:tc>
          <w:tcPr>
            <w:tcW w:w="1950" w:type="dxa"/>
          </w:tcPr>
          <w:p w:rsidR="007B24A4" w:rsidRPr="000A6587" w:rsidRDefault="00552D6F" w:rsidP="006561CE">
            <w:pPr>
              <w:autoSpaceDE w:val="0"/>
              <w:autoSpaceDN w:val="0"/>
              <w:adjustRightInd w:val="0"/>
            </w:pPr>
            <w:r>
              <w:rPr>
                <w:noProof/>
                <w:color w:val="000000"/>
                <w:highlight w:val="black"/>
              </w:rPr>
              <w:t>''''''''''''''''</w:t>
            </w:r>
            <w:r w:rsidR="00C2190D">
              <w:rPr>
                <w:b/>
              </w:rPr>
              <w:t>[c-</w:t>
            </w:r>
            <w:proofErr w:type="spellStart"/>
            <w:r w:rsidR="00C2190D">
              <w:rPr>
                <w:b/>
              </w:rPr>
              <w:t>i</w:t>
            </w:r>
            <w:proofErr w:type="spellEnd"/>
            <w:r w:rsidR="00C2190D">
              <w:rPr>
                <w:b/>
              </w:rPr>
              <w:t>-c ends]</w:t>
            </w:r>
          </w:p>
        </w:tc>
      </w:tr>
    </w:tbl>
    <w:p w:rsidR="000024D4" w:rsidRPr="000024D4" w:rsidRDefault="000024D4" w:rsidP="000024D4"/>
    <w:p w:rsidR="000058BC" w:rsidRDefault="00DC7331" w:rsidP="004556DF">
      <w:pPr>
        <w:pStyle w:val="HeadingLevel2"/>
      </w:pPr>
      <w:bookmarkStart w:id="7" w:name="_Toc393375559"/>
      <w:r>
        <w:t>Key themes</w:t>
      </w:r>
      <w:bookmarkEnd w:id="7"/>
    </w:p>
    <w:p w:rsidR="00907742" w:rsidRDefault="00725792" w:rsidP="00725792">
      <w:r>
        <w:t>Although the purpose of this chapter</w:t>
      </w:r>
      <w:r w:rsidR="00907742">
        <w:t xml:space="preserve"> is to provide specific information on cost allocation for each asset class, there are a number of key themes that are common to all or a large range of asset classes. These should be kept in mind when reviewing the discussion on each asset class. These key themes are as follows:</w:t>
      </w:r>
    </w:p>
    <w:p w:rsidR="00907742" w:rsidRDefault="00907742" w:rsidP="00907742">
      <w:pPr>
        <w:pStyle w:val="Bulleta"/>
      </w:pPr>
      <w:r>
        <w:t>Cost allocation factors are generally higher under Telstra’s proposal compared to cost allocation factors calculated in accordance with the approach adopted in 2011 and 2013.</w:t>
      </w:r>
    </w:p>
    <w:p w:rsidR="00907742" w:rsidRDefault="00907742" w:rsidP="00907742">
      <w:pPr>
        <w:pStyle w:val="Bulleta"/>
      </w:pPr>
      <w:r>
        <w:t>The key driver of this increase in cost allocation factors is the one-off step change to a fully allocated model after a period of adopting a ‘partially’ allocated approach.</w:t>
      </w:r>
    </w:p>
    <w:p w:rsidR="00907742" w:rsidRDefault="00907742" w:rsidP="00907742">
      <w:pPr>
        <w:pStyle w:val="Bulleta"/>
      </w:pPr>
      <w:r>
        <w:t>There are likely to be other factors driving changes in cost allocation factors. Some of the additional drivers could include the following:</w:t>
      </w:r>
    </w:p>
    <w:p w:rsidR="00907742" w:rsidRDefault="00907742" w:rsidP="00907742">
      <w:pPr>
        <w:pStyle w:val="Bulletb"/>
      </w:pPr>
      <w:r>
        <w:t>Telstra has used different sources of information to reflect cost drivers for particular asset classes. For example, it uses specific information on length of duct network in different geographic bands to reflect geographic cost differences. Under the 2011 and 2013 approach, geographic cost differences were reflected using a set of geographic cost relativities.</w:t>
      </w:r>
    </w:p>
    <w:p w:rsidR="00596731" w:rsidRDefault="000B6921" w:rsidP="00907742">
      <w:pPr>
        <w:pStyle w:val="Bulletb"/>
      </w:pPr>
      <w:r>
        <w:t>Demand for different services, including declared and non-declared fixed</w:t>
      </w:r>
      <w:r w:rsidR="000255D7">
        <w:t xml:space="preserve"> </w:t>
      </w:r>
      <w:r>
        <w:t>line services are forecast to change at different rates. Due to the fully allocated model under Telstra’s proposed approach, this will mean that cost allocation factors will be affected in different ways.</w:t>
      </w:r>
    </w:p>
    <w:p w:rsidR="000B6921" w:rsidRDefault="00596731" w:rsidP="00596731">
      <w:pPr>
        <w:pStyle w:val="Bulleta"/>
      </w:pPr>
      <w:r>
        <w:t>A move to a fully allocated model, different sources of information and different changes in demand</w:t>
      </w:r>
      <w:r w:rsidR="000B6921">
        <w:t xml:space="preserve"> </w:t>
      </w:r>
      <w:r>
        <w:t>between services are all likely to influence cost allocation factors. However, it is difficult to quantify the effect of each factor on the cost allocation factors.</w:t>
      </w:r>
    </w:p>
    <w:p w:rsidR="00B56E5F" w:rsidRDefault="00B56E5F" w:rsidP="00596731">
      <w:pPr>
        <w:pStyle w:val="Bulleta"/>
      </w:pPr>
      <w:r>
        <w:lastRenderedPageBreak/>
        <w:t xml:space="preserve">The ‘Analysys’ model was a primary source of information for the ACCC in developing cost allocation factors for the 2011 and 2013 FADs, and is referred to throughout this document. The Analysys model was a TSLRIC </w:t>
      </w:r>
      <w:r w:rsidR="007A3C89">
        <w:t xml:space="preserve">(total service long run incremental cost) </w:t>
      </w:r>
      <w:r>
        <w:t xml:space="preserve">model </w:t>
      </w:r>
      <w:r w:rsidR="00AC01B7">
        <w:t xml:space="preserve">used </w:t>
      </w:r>
      <w:r>
        <w:t xml:space="preserve">by the ACCC before the introduction of the building-block model (and FLSM) in 2011. It is not currently used in setting prices for declared services. </w:t>
      </w:r>
    </w:p>
    <w:p w:rsidR="0084245E" w:rsidRDefault="0084245E" w:rsidP="004556DF">
      <w:pPr>
        <w:pStyle w:val="HeadingLevel2"/>
      </w:pPr>
      <w:bookmarkStart w:id="8" w:name="_Toc393375560"/>
      <w:r>
        <w:t>Structure</w:t>
      </w:r>
      <w:bookmarkEnd w:id="8"/>
    </w:p>
    <w:p w:rsidR="009D6F94" w:rsidRDefault="009D6F94" w:rsidP="0084245E">
      <w:r>
        <w:t>The remaining sections of this document discuss cost allocation factors for each FLSM asset class. For each asset class, the following information is provided:</w:t>
      </w:r>
    </w:p>
    <w:p w:rsidR="0084245E" w:rsidRDefault="009D6F94" w:rsidP="0045558E">
      <w:pPr>
        <w:pStyle w:val="Bulleta"/>
      </w:pPr>
      <w:r w:rsidRPr="009D6F94">
        <w:rPr>
          <w:i/>
        </w:rPr>
        <w:t>Asset d</w:t>
      </w:r>
      <w:r w:rsidR="0084245E" w:rsidRPr="009D6F94">
        <w:rPr>
          <w:i/>
        </w:rPr>
        <w:t>escription</w:t>
      </w:r>
      <w:r w:rsidR="0084245E">
        <w:t xml:space="preserve"> – a short description of what the asset class comprises.</w:t>
      </w:r>
      <w:r w:rsidR="006638AB">
        <w:t xml:space="preserve"> This is generally based on how Telstra </w:t>
      </w:r>
      <w:r>
        <w:t xml:space="preserve">has </w:t>
      </w:r>
      <w:r w:rsidR="006638AB">
        <w:t xml:space="preserve">described the asset class </w:t>
      </w:r>
      <w:r>
        <w:t xml:space="preserve">(as set out in their supporting documentation on </w:t>
      </w:r>
      <w:r w:rsidR="006638AB">
        <w:t>their proposed cost allocation framework</w:t>
      </w:r>
      <w:r>
        <w:t>)</w:t>
      </w:r>
      <w:r w:rsidR="006638AB">
        <w:t xml:space="preserve"> </w:t>
      </w:r>
      <w:r w:rsidR="00AC01B7">
        <w:t xml:space="preserve">and </w:t>
      </w:r>
      <w:r w:rsidR="006638AB">
        <w:t xml:space="preserve">may </w:t>
      </w:r>
      <w:r>
        <w:t xml:space="preserve">incorporate </w:t>
      </w:r>
      <w:r w:rsidR="006638AB">
        <w:t>information from other sources as well.</w:t>
      </w:r>
    </w:p>
    <w:p w:rsidR="004C44FB" w:rsidRPr="004C44FB" w:rsidRDefault="004C44FB" w:rsidP="00827133">
      <w:pPr>
        <w:pStyle w:val="Bulleta"/>
      </w:pPr>
      <w:r w:rsidRPr="004C44FB">
        <w:rPr>
          <w:i/>
        </w:rPr>
        <w:t>Key points</w:t>
      </w:r>
      <w:r>
        <w:t xml:space="preserve"> – </w:t>
      </w:r>
      <w:r w:rsidR="00FD318B">
        <w:t xml:space="preserve">a list of key points explaining the key differences between Telstra’s proposed </w:t>
      </w:r>
      <w:proofErr w:type="gramStart"/>
      <w:r w:rsidR="00FD318B">
        <w:t>approach</w:t>
      </w:r>
      <w:proofErr w:type="gramEnd"/>
      <w:r w:rsidR="00FD318B">
        <w:t xml:space="preserve"> compared to the 2011/13 approach and notable features of Telstra’s proposal. It also states </w:t>
      </w:r>
      <w:r w:rsidR="00AC01B7">
        <w:t xml:space="preserve">whether </w:t>
      </w:r>
      <w:r w:rsidR="00FD318B">
        <w:t xml:space="preserve">the asset class is a significant, material or minor contributor to </w:t>
      </w:r>
      <w:r w:rsidR="00AC01B7">
        <w:t xml:space="preserve">the </w:t>
      </w:r>
      <w:r w:rsidR="00FD318B">
        <w:t>total fixed</w:t>
      </w:r>
      <w:r w:rsidR="000255D7">
        <w:t xml:space="preserve"> </w:t>
      </w:r>
      <w:r w:rsidR="00FD318B">
        <w:t>line revenue requirement.</w:t>
      </w:r>
    </w:p>
    <w:p w:rsidR="000B7DBB" w:rsidRDefault="0084245E" w:rsidP="00827133">
      <w:pPr>
        <w:pStyle w:val="Bulleta"/>
      </w:pPr>
      <w:r w:rsidRPr="000B7DBB">
        <w:rPr>
          <w:i/>
        </w:rPr>
        <w:t>Services using this asset class</w:t>
      </w:r>
      <w:r>
        <w:t xml:space="preserve"> –</w:t>
      </w:r>
      <w:r w:rsidR="000B7DBB">
        <w:t xml:space="preserve"> a list of services that use the asset class. This includes all declared and non-declared fixed</w:t>
      </w:r>
      <w:r w:rsidR="000255D7">
        <w:t xml:space="preserve"> </w:t>
      </w:r>
      <w:r w:rsidR="000B7DBB">
        <w:t>line services that use the asset class. It also states whether the asset class is used for other non-fixed</w:t>
      </w:r>
      <w:r w:rsidR="000255D7">
        <w:t xml:space="preserve"> </w:t>
      </w:r>
      <w:r w:rsidR="000B7DBB">
        <w:t xml:space="preserve">line uses (such as third party access </w:t>
      </w:r>
      <w:r w:rsidR="007C071E">
        <w:t xml:space="preserve">to </w:t>
      </w:r>
      <w:r w:rsidR="000B7DBB">
        <w:t xml:space="preserve">ducts and Telstra exchange </w:t>
      </w:r>
      <w:r w:rsidR="007C071E">
        <w:t>buildings and use of Telstra’s core network by mobile and non-ADSL data services).</w:t>
      </w:r>
    </w:p>
    <w:p w:rsidR="006638AB" w:rsidRDefault="006638AB" w:rsidP="00737BE6">
      <w:pPr>
        <w:pStyle w:val="Bulleta"/>
      </w:pPr>
      <w:r w:rsidRPr="004C44FB">
        <w:rPr>
          <w:i/>
        </w:rPr>
        <w:t>Approach adopted in 2011/2013 FAD</w:t>
      </w:r>
      <w:r>
        <w:t xml:space="preserve"> – </w:t>
      </w:r>
      <w:r w:rsidR="004C44FB">
        <w:t xml:space="preserve">a </w:t>
      </w:r>
      <w:r>
        <w:t>brief summary of the approach taken to calculate the cost allocation factors in the previous FADs</w:t>
      </w:r>
      <w:r w:rsidR="004C44FB">
        <w:t>.</w:t>
      </w:r>
      <w:r>
        <w:t xml:space="preserve"> </w:t>
      </w:r>
    </w:p>
    <w:p w:rsidR="006638AB" w:rsidRDefault="006638AB" w:rsidP="00E43F7D">
      <w:pPr>
        <w:pStyle w:val="Bulleta"/>
      </w:pPr>
      <w:r w:rsidRPr="004C44FB">
        <w:rPr>
          <w:i/>
        </w:rPr>
        <w:t>Telstra’s proposed allocation method</w:t>
      </w:r>
      <w:r>
        <w:t xml:space="preserve"> – </w:t>
      </w:r>
      <w:r w:rsidR="004C44FB">
        <w:t xml:space="preserve">a </w:t>
      </w:r>
      <w:r>
        <w:t xml:space="preserve">brief </w:t>
      </w:r>
      <w:r w:rsidR="004C44FB">
        <w:t xml:space="preserve">description </w:t>
      </w:r>
      <w:r>
        <w:t xml:space="preserve">of Telstra’s proposed cost allocation method </w:t>
      </w:r>
      <w:r w:rsidR="004C44FB">
        <w:t>for that asset class. This information is based primarily on the documentation received from Telstra.</w:t>
      </w:r>
    </w:p>
    <w:p w:rsidR="004C44FB" w:rsidRDefault="006638AB" w:rsidP="00E43F7D">
      <w:pPr>
        <w:pStyle w:val="Bulleta"/>
      </w:pPr>
      <w:r w:rsidRPr="004C44FB">
        <w:rPr>
          <w:i/>
        </w:rPr>
        <w:t>Current vs. Telstra’s proposed allocation factors</w:t>
      </w:r>
      <w:r>
        <w:t xml:space="preserve"> – </w:t>
      </w:r>
      <w:r w:rsidR="004C44FB">
        <w:t xml:space="preserve">a comparison of cost allocation factors for 2013-14 based on the 2011/13 FAD approach compared with Telstra’s proposal. It also provides a chart providing Telstra’s proposed allocations for each asset class between all uses of that asset. </w:t>
      </w:r>
    </w:p>
    <w:p w:rsidR="00DA7429" w:rsidRDefault="008D2658" w:rsidP="00DA7429">
      <w:pPr>
        <w:pStyle w:val="HeadingLevel1"/>
      </w:pPr>
      <w:bookmarkStart w:id="9" w:name="_Toc393375561"/>
      <w:r>
        <w:lastRenderedPageBreak/>
        <w:t>Customer Access Network (CAN) a</w:t>
      </w:r>
      <w:r w:rsidR="000E0877">
        <w:t>sset classes</w:t>
      </w:r>
      <w:bookmarkEnd w:id="9"/>
      <w:r w:rsidR="000E0877">
        <w:t xml:space="preserve"> </w:t>
      </w:r>
    </w:p>
    <w:p w:rsidR="004556DF" w:rsidRDefault="004556DF">
      <w:pPr>
        <w:spacing w:after="200" w:line="276" w:lineRule="auto"/>
        <w:rPr>
          <w:rFonts w:eastAsiaTheme="majorEastAsia" w:cstheme="majorBidi"/>
          <w:b/>
          <w:color w:val="002060"/>
          <w:sz w:val="32"/>
          <w:szCs w:val="28"/>
        </w:rPr>
      </w:pPr>
      <w:r>
        <w:br w:type="page"/>
      </w:r>
    </w:p>
    <w:p w:rsidR="00172E62" w:rsidRDefault="00172E62" w:rsidP="00172E62">
      <w:pPr>
        <w:pStyle w:val="HeadingLevel2"/>
      </w:pPr>
      <w:bookmarkStart w:id="10" w:name="_Toc393375562"/>
      <w:r>
        <w:lastRenderedPageBreak/>
        <w:t>CA01 ducts and pipes</w:t>
      </w:r>
      <w:bookmarkEnd w:id="10"/>
      <w:r>
        <w:t xml:space="preserve"> </w:t>
      </w:r>
    </w:p>
    <w:p w:rsidR="00172E62" w:rsidRDefault="00172E62" w:rsidP="00172E62">
      <w:pPr>
        <w:pStyle w:val="HeadingLevel3"/>
        <w:numPr>
          <w:ilvl w:val="0"/>
          <w:numId w:val="0"/>
        </w:numPr>
      </w:pPr>
      <w:r>
        <w:t xml:space="preserve">Asset description </w:t>
      </w:r>
    </w:p>
    <w:p w:rsidR="00172E62" w:rsidRDefault="00BF3B6A" w:rsidP="00172E62">
      <w:r>
        <w:t xml:space="preserve">Ducts and pipes are </w:t>
      </w:r>
      <w:r w:rsidR="001B3E00">
        <w:t xml:space="preserve">the conduits </w:t>
      </w:r>
      <w:r>
        <w:t>which house telecommunication wire lines. These</w:t>
      </w:r>
      <w:r w:rsidR="00172E62">
        <w:t xml:space="preserve"> are predominantly used for the provision of fixed line access services to end</w:t>
      </w:r>
      <w:r w:rsidR="00172E62">
        <w:noBreakHyphen/>
        <w:t xml:space="preserve">users. In addition, these assets are also used by Telstra for the provision of other services and by third parties (including NBN Co) through the leasing of space within Telstra’s duct infrastructure. </w:t>
      </w:r>
    </w:p>
    <w:p w:rsidR="00172E62" w:rsidRDefault="00172E62" w:rsidP="00172E62">
      <w:r>
        <w:t xml:space="preserve">Ducts and pipes predominantly contain copper cables in the main and distribution stages of Telstra’s customer access network. The duct network also contains fibre optic cable, transmission cables, some HFC as well as cables of third parties (including NBN Co). The duct network is present in CBD, metropolitan and most regional areas. </w:t>
      </w:r>
    </w:p>
    <w:p w:rsidR="00172E62" w:rsidRDefault="00172E62" w:rsidP="00172E62">
      <w:pPr>
        <w:pStyle w:val="HeadingLevel3"/>
        <w:numPr>
          <w:ilvl w:val="0"/>
          <w:numId w:val="0"/>
        </w:numPr>
      </w:pPr>
      <w:r>
        <w:t xml:space="preserve">Key points </w:t>
      </w:r>
    </w:p>
    <w:p w:rsidR="00172E62" w:rsidRPr="00A93872" w:rsidRDefault="00172E62" w:rsidP="00172E62">
      <w:pPr>
        <w:pStyle w:val="Bulleta"/>
      </w:pPr>
      <w:r w:rsidRPr="00A93872">
        <w:t>D</w:t>
      </w:r>
      <w:r>
        <w:t xml:space="preserve">ucts and pipes contribute a </w:t>
      </w:r>
      <w:r w:rsidRPr="004C63CF">
        <w:t>significant</w:t>
      </w:r>
      <w:r>
        <w:t xml:space="preserve"> proportion towards the total fixed</w:t>
      </w:r>
      <w:r w:rsidR="000255D7">
        <w:t xml:space="preserve"> </w:t>
      </w:r>
      <w:r>
        <w:t>line revenue requirement (</w:t>
      </w:r>
      <w:r w:rsidR="00561F44">
        <w:rPr>
          <w:b/>
        </w:rPr>
        <w:t>[c-</w:t>
      </w:r>
      <w:proofErr w:type="spellStart"/>
      <w:r w:rsidR="00561F44">
        <w:rPr>
          <w:b/>
        </w:rPr>
        <w:t>i</w:t>
      </w:r>
      <w:proofErr w:type="spellEnd"/>
      <w:r w:rsidR="00561F44">
        <w:rPr>
          <w:b/>
        </w:rPr>
        <w:t>-c starts]</w:t>
      </w:r>
      <w:r w:rsidR="00552D6F">
        <w:rPr>
          <w:noProof/>
          <w:color w:val="000000"/>
          <w:highlight w:val="black"/>
        </w:rPr>
        <w:t>''''''''''</w:t>
      </w:r>
      <w:r w:rsidR="00561F44">
        <w:rPr>
          <w:b/>
        </w:rPr>
        <w:t>[c-</w:t>
      </w:r>
      <w:proofErr w:type="spellStart"/>
      <w:r w:rsidR="00561F44">
        <w:rPr>
          <w:b/>
        </w:rPr>
        <w:t>i</w:t>
      </w:r>
      <w:proofErr w:type="spellEnd"/>
      <w:r w:rsidR="00561F44">
        <w:rPr>
          <w:b/>
        </w:rPr>
        <w:t>-c ends]</w:t>
      </w:r>
      <w:r w:rsidRPr="00A93872">
        <w:t xml:space="preserve"> </w:t>
      </w:r>
      <w:r>
        <w:t>per cent</w:t>
      </w:r>
      <w:r w:rsidRPr="00A93872">
        <w:t xml:space="preserve"> in 2013-14</w:t>
      </w:r>
      <w:r>
        <w:t>).</w:t>
      </w:r>
    </w:p>
    <w:p w:rsidR="00172E62" w:rsidRPr="00A93872" w:rsidRDefault="00172E62" w:rsidP="00172E62">
      <w:pPr>
        <w:pStyle w:val="Bulleta"/>
      </w:pPr>
      <w:r w:rsidRPr="00A93872">
        <w:t xml:space="preserve">Telstra’s proposed </w:t>
      </w:r>
      <w:r>
        <w:t xml:space="preserve">cost allocation </w:t>
      </w:r>
      <w:r w:rsidRPr="00A93872">
        <w:t>methodology for ducts and pipes incorporates the concept of duct kilometres into the calculation of the cost allocation factor</w:t>
      </w:r>
      <w:r>
        <w:t>s</w:t>
      </w:r>
      <w:r w:rsidRPr="00A93872">
        <w:t xml:space="preserve">. </w:t>
      </w:r>
      <w:proofErr w:type="gramStart"/>
      <w:r w:rsidRPr="00A93872">
        <w:t>Duct kilometres is</w:t>
      </w:r>
      <w:proofErr w:type="gramEnd"/>
      <w:r w:rsidRPr="00A93872">
        <w:t xml:space="preserve"> identified as a key cost driver by Telstra. It is also used to reflect assumed cost differentials for ducts and pipes between ULLS bands.</w:t>
      </w:r>
    </w:p>
    <w:p w:rsidR="00172E62" w:rsidRPr="00A93872" w:rsidRDefault="00172E62" w:rsidP="00172E62">
      <w:pPr>
        <w:pStyle w:val="Bulleta"/>
      </w:pPr>
      <w:r w:rsidRPr="00A93872">
        <w:t>Telstra’s proposed methodology does not adopt the geographic cost relativities from the Analysys model, which were used to reflect cost differentials between ULLS bands in the 2011 FADs. Geographic cost differences are reflected in the concept of duct kilometres in Telstra’s proposal. This represents a key change from the 2011 FADs.</w:t>
      </w:r>
    </w:p>
    <w:p w:rsidR="00172E62" w:rsidRPr="00A93872" w:rsidRDefault="00172E62" w:rsidP="00172E62">
      <w:pPr>
        <w:pStyle w:val="Bulleta"/>
      </w:pPr>
      <w:r w:rsidRPr="00A93872">
        <w:t xml:space="preserve">Telstra’s proposed methodology explicitly reflects third party use of ducts and pipes. This element of Telstra’s proposal is likely to be able to incorporate NBN </w:t>
      </w:r>
      <w:proofErr w:type="spellStart"/>
      <w:r w:rsidRPr="00A93872">
        <w:t>Co’s</w:t>
      </w:r>
      <w:proofErr w:type="spellEnd"/>
      <w:r w:rsidRPr="00A93872">
        <w:t xml:space="preserve"> use of Telstra ducts and pipes in the calculation of cost allocation factors</w:t>
      </w:r>
      <w:r w:rsidR="009E2D16">
        <w:t>.</w:t>
      </w:r>
    </w:p>
    <w:p w:rsidR="00172E62" w:rsidRDefault="00172E62" w:rsidP="00172E62">
      <w:pPr>
        <w:pStyle w:val="Bulleta"/>
      </w:pPr>
      <w:r w:rsidRPr="00A93872">
        <w:t>In the 2011 FAD, the ACCC included an additional $911 million to the ducts and pipes RAB. The purpose of this adjustment was to maintain a $16 tie point for ULLS for that regulatory period.</w:t>
      </w:r>
    </w:p>
    <w:p w:rsidR="00172E62" w:rsidRDefault="00172E62" w:rsidP="00172E62">
      <w:pPr>
        <w:pStyle w:val="HeadingLevel3"/>
        <w:numPr>
          <w:ilvl w:val="0"/>
          <w:numId w:val="0"/>
        </w:numPr>
      </w:pPr>
      <w:r>
        <w:t>Services using this asset class</w:t>
      </w:r>
    </w:p>
    <w:p w:rsidR="00172E62" w:rsidRDefault="00172E62" w:rsidP="00172E62">
      <w:r>
        <w:t>Ducts and pipes are used for declared and other fixed</w:t>
      </w:r>
      <w:r w:rsidR="000255D7">
        <w:t xml:space="preserve"> </w:t>
      </w:r>
      <w:r>
        <w:t>line services and also for a range of non-fixed</w:t>
      </w:r>
      <w:r w:rsidR="000255D7">
        <w:t xml:space="preserve"> </w:t>
      </w:r>
      <w:r>
        <w:t>line uses.</w:t>
      </w:r>
    </w:p>
    <w:p w:rsidR="00172E62" w:rsidRDefault="00172E62" w:rsidP="00172E62">
      <w:r>
        <w:t>The declared fixed</w:t>
      </w:r>
      <w:r w:rsidR="000255D7">
        <w:t xml:space="preserve"> </w:t>
      </w:r>
      <w:r>
        <w:t>line services that require ducts and pipes are ULLS and WLR. The other fixed</w:t>
      </w:r>
      <w:r w:rsidR="000255D7">
        <w:t xml:space="preserve"> </w:t>
      </w:r>
      <w:r>
        <w:t>line services that require ducts and pipes are retail PSTN access, ISDN access and other DSL services (i.e. Telstra’s business DSL S/HDSL).</w:t>
      </w:r>
    </w:p>
    <w:p w:rsidR="00172E62" w:rsidRDefault="00172E62" w:rsidP="00172E62">
      <w:r>
        <w:t xml:space="preserve">While ducts and pipes contain copper cables used to supply wholesale ADSL services, the costs of ducts and pipes are recovered through the WLR service or a Telstra retail service (customers must have an active line to supply a wholesale ADSL service). </w:t>
      </w:r>
      <w:r w:rsidRPr="00AC21F8">
        <w:t xml:space="preserve">No cost is allocated to </w:t>
      </w:r>
      <w:r>
        <w:t>A</w:t>
      </w:r>
      <w:r w:rsidRPr="00AC21F8">
        <w:t>DSL service</w:t>
      </w:r>
      <w:r>
        <w:t>s</w:t>
      </w:r>
      <w:r w:rsidRPr="00AC21F8">
        <w:t xml:space="preserve"> for ducts and pipes as the costs for this asset class </w:t>
      </w:r>
      <w:r>
        <w:t xml:space="preserve">are </w:t>
      </w:r>
      <w:r w:rsidRPr="00AC21F8">
        <w:t xml:space="preserve">recovered through </w:t>
      </w:r>
      <w:r>
        <w:t xml:space="preserve">the </w:t>
      </w:r>
      <w:r w:rsidRPr="00AC21F8">
        <w:t>line access services</w:t>
      </w:r>
      <w:r>
        <w:t>.</w:t>
      </w:r>
      <w:r w:rsidRPr="00AC21F8">
        <w:t xml:space="preserve"> </w:t>
      </w:r>
    </w:p>
    <w:p w:rsidR="00172E62" w:rsidRDefault="00172E62" w:rsidP="00172E62">
      <w:r>
        <w:t xml:space="preserve">Ducts and pipes </w:t>
      </w:r>
      <w:r w:rsidR="009E2D16">
        <w:t>also have</w:t>
      </w:r>
      <w:r>
        <w:t xml:space="preserve"> non-fixed-line uses such as for Telstra’s HFC network, for transmission cables, for NBN </w:t>
      </w:r>
      <w:proofErr w:type="spellStart"/>
      <w:r>
        <w:t>Co’s</w:t>
      </w:r>
      <w:proofErr w:type="spellEnd"/>
      <w:r>
        <w:t xml:space="preserve"> cables (installed in Telstra’s ducts under the agreements between Telstra and NBN Co) and for cables of other third party infrastructure providers.</w:t>
      </w:r>
    </w:p>
    <w:p w:rsidR="00172E62" w:rsidRDefault="00172E62" w:rsidP="00172E62">
      <w:pPr>
        <w:pStyle w:val="HeadingLevel3"/>
        <w:numPr>
          <w:ilvl w:val="0"/>
          <w:numId w:val="0"/>
        </w:numPr>
      </w:pPr>
      <w:r>
        <w:lastRenderedPageBreak/>
        <w:t>Approach adopted for 2011 FAD</w:t>
      </w:r>
    </w:p>
    <w:p w:rsidR="00172E62" w:rsidRDefault="00172E62" w:rsidP="00172E62">
      <w:r>
        <w:t>In the 2011 FAD, the cost allocation factors for ducts and pipes were based on forecast SIOs for ULLS and WLR, total fixed</w:t>
      </w:r>
      <w:r w:rsidR="000255D7">
        <w:t xml:space="preserve"> </w:t>
      </w:r>
      <w:r>
        <w:t>line SIOs, and geographic ‘cost relativities’. The geographic cost relativities are factors taken from the Analysys model and reflect the relative differences in costs per SIO between the four ULLS bands for ducts and pipes and copper cables.</w:t>
      </w:r>
    </w:p>
    <w:p w:rsidR="00172E62" w:rsidRDefault="00172E62" w:rsidP="00172E62">
      <w:r>
        <w:t>Using this information, the FLSM calculates:</w:t>
      </w:r>
    </w:p>
    <w:p w:rsidR="00172E62" w:rsidRDefault="00172E62" w:rsidP="00172E62">
      <w:pPr>
        <w:pStyle w:val="Bulleta"/>
      </w:pPr>
      <w:r>
        <w:t>the average ducts and pipes cost per SIO</w:t>
      </w:r>
    </w:p>
    <w:p w:rsidR="00172E62" w:rsidRDefault="00172E62" w:rsidP="00172E62">
      <w:pPr>
        <w:pStyle w:val="Bulleta"/>
      </w:pPr>
      <w:r>
        <w:t>the average ducts and pipes cost per SIO in each band (based on the cost relativities)</w:t>
      </w:r>
    </w:p>
    <w:p w:rsidR="00172E62" w:rsidRDefault="00172E62" w:rsidP="00172E62">
      <w:pPr>
        <w:pStyle w:val="Bulleta"/>
      </w:pPr>
      <w:r>
        <w:t>the total cost of ducts and pipes for each band for ULLS and WLR (based on forecast SIOs for ULLS and WLR), and</w:t>
      </w:r>
    </w:p>
    <w:p w:rsidR="00172E62" w:rsidRDefault="00172E62" w:rsidP="00172E62">
      <w:pPr>
        <w:pStyle w:val="Bulleta"/>
      </w:pPr>
      <w:proofErr w:type="gramStart"/>
      <w:r>
        <w:t>the</w:t>
      </w:r>
      <w:proofErr w:type="gramEnd"/>
      <w:r>
        <w:t xml:space="preserve"> total cost of ducts and pipes for each band for all services (based on total SIOs).</w:t>
      </w:r>
    </w:p>
    <w:p w:rsidR="00172E62" w:rsidRDefault="00172E62" w:rsidP="00172E62">
      <w:r>
        <w:t xml:space="preserve">The cost allocation factors for ducts and pipes to ULLS and WLR are the ratio between total ducts and pipes cost for ULLS and WLR respectively and the total cost of ducts and pipes. </w:t>
      </w:r>
    </w:p>
    <w:p w:rsidR="00172E62" w:rsidRDefault="00172E62" w:rsidP="00172E62">
      <w:pPr>
        <w:pStyle w:val="HeadingLevel3"/>
        <w:numPr>
          <w:ilvl w:val="0"/>
          <w:numId w:val="0"/>
        </w:numPr>
      </w:pPr>
      <w:r>
        <w:t>Telstra’s proposed allocation method</w:t>
      </w:r>
    </w:p>
    <w:p w:rsidR="00172E62" w:rsidRDefault="00172E62" w:rsidP="00172E62">
      <w:r>
        <w:t>Under Telstra’s revised model, the costs associated with ducts and pipes are assumed to be driven primarily by the distance the network is required to cover (i.e. the kilometres of ducts required to provide services), the geographic location of the duct infrastructure and the number of services that use the duct network.</w:t>
      </w:r>
    </w:p>
    <w:p w:rsidR="00172E62" w:rsidRDefault="00172E62" w:rsidP="00172E62">
      <w:r>
        <w:t>A three-part allocation process is used to calculate the cost allocation factors for ducts and pipes:</w:t>
      </w:r>
    </w:p>
    <w:p w:rsidR="00172E62" w:rsidRDefault="00172E62" w:rsidP="00172E62">
      <w:pPr>
        <w:pStyle w:val="Bulleta"/>
      </w:pPr>
      <w:r>
        <w:t>First, information about Telstra’s duct and pipe network is obtained from a Telstra infrastructure database. From this the total duct kilometres is obtained for each band (ULLS bands 1 – 4) and for both fixed</w:t>
      </w:r>
      <w:r w:rsidR="000255D7">
        <w:t xml:space="preserve"> </w:t>
      </w:r>
      <w:r>
        <w:t xml:space="preserve">line and non-fixed-line use. From this, the proportion of total duct kilometres used in each band for each use is obtained. </w:t>
      </w:r>
    </w:p>
    <w:p w:rsidR="00172E62" w:rsidRDefault="00172E62" w:rsidP="00172E62">
      <w:pPr>
        <w:pStyle w:val="Bulleta"/>
      </w:pPr>
      <w:r>
        <w:t>Second, the proportion of duct kilometres in each band for fixed</w:t>
      </w:r>
      <w:r w:rsidR="000255D7">
        <w:t xml:space="preserve"> </w:t>
      </w:r>
      <w:r>
        <w:t>line use is then allocated between ULLS, ‘basic access’ (which includes</w:t>
      </w:r>
      <w:r w:rsidRPr="003337FA">
        <w:t xml:space="preserve"> PSTN retail access and WLR</w:t>
      </w:r>
      <w:proofErr w:type="gramStart"/>
      <w:r w:rsidRPr="003337FA">
        <w:t>)</w:t>
      </w:r>
      <w:r>
        <w:t xml:space="preserve">  and</w:t>
      </w:r>
      <w:proofErr w:type="gramEnd"/>
      <w:r>
        <w:t xml:space="preserve"> other fixed</w:t>
      </w:r>
      <w:r w:rsidR="000255D7">
        <w:t xml:space="preserve"> </w:t>
      </w:r>
      <w:r>
        <w:t xml:space="preserve">line services based on SIOs (ISDN access and other DSL services) in that band. This determines band-specific allocators for ULLS and basic access. Treating WLR and PSTN retail access lines in this way ensured that the cost allocated to each basic access line is the same, which reflects the fact that they are equivalent services. </w:t>
      </w:r>
    </w:p>
    <w:p w:rsidR="00172E62" w:rsidRDefault="00172E62" w:rsidP="00172E62">
      <w:pPr>
        <w:pStyle w:val="Bulleta"/>
      </w:pPr>
      <w:r>
        <w:t>Third, the band specific allocators are added together to obtain the cost allocation factors for ULLS and basic access. For ULLS, the band-specific allocators are added to obtain the cost allocation factor for bands 1-3.</w:t>
      </w:r>
      <w:r w:rsidRPr="00ED4633">
        <w:t xml:space="preserve"> </w:t>
      </w:r>
      <w:r>
        <w:t>The cost allocation factor for band 4 is the band-specific allocator for band 4. For the WLR cost allocation factor, the band specific allocators for basic access are added, and then multiplied by the ratio of WLR lines to total basic access lines</w:t>
      </w:r>
      <w:r w:rsidR="00E95B3C">
        <w:t>.</w:t>
      </w:r>
    </w:p>
    <w:p w:rsidR="00172E62" w:rsidRDefault="00172E62" w:rsidP="00172E62">
      <w:pPr>
        <w:pStyle w:val="HeadingLevel3"/>
        <w:numPr>
          <w:ilvl w:val="0"/>
          <w:numId w:val="0"/>
        </w:numPr>
      </w:pPr>
      <w:r>
        <w:t>Current versus Telstra’s proposed allocation factors</w:t>
      </w:r>
    </w:p>
    <w:p w:rsidR="00172E62" w:rsidRDefault="00172E62" w:rsidP="00172E62">
      <w:r>
        <w:t xml:space="preserve">Cost allocation factors for 2013-14 </w:t>
      </w:r>
      <w:r w:rsidR="00E95B3C">
        <w:t>(</w:t>
      </w:r>
      <w:r>
        <w:t>based on the 2011 FAD approach</w:t>
      </w:r>
      <w:r w:rsidR="00E95B3C">
        <w:t>)</w:t>
      </w:r>
      <w:r>
        <w:t xml:space="preserve"> and Telstra’s proposed approach are provided in Table 2.1.1.</w:t>
      </w:r>
    </w:p>
    <w:p w:rsidR="00172E62" w:rsidRDefault="00172E62" w:rsidP="00172E62">
      <w:pPr>
        <w:pStyle w:val="HeadingLevel8table"/>
        <w:ind w:left="1440" w:hanging="1440"/>
      </w:pPr>
      <w:r w:rsidRPr="00C56DCD">
        <w:lastRenderedPageBreak/>
        <w:t xml:space="preserve">Table </w:t>
      </w:r>
      <w:r>
        <w:t>2</w:t>
      </w:r>
      <w:r w:rsidRPr="00C56DCD">
        <w:t>.1.1</w:t>
      </w:r>
      <w:r w:rsidRPr="00C56DCD">
        <w:tab/>
        <w:t xml:space="preserve">Comparison of 2011 FAD </w:t>
      </w:r>
      <w:r w:rsidR="00E95B3C">
        <w:t xml:space="preserve">approach </w:t>
      </w:r>
      <w:proofErr w:type="spellStart"/>
      <w:r w:rsidRPr="00C56DCD">
        <w:t>vs</w:t>
      </w:r>
      <w:proofErr w:type="spellEnd"/>
      <w:r w:rsidRPr="00C56DCD">
        <w:t xml:space="preserve"> </w:t>
      </w:r>
      <w:r>
        <w:t>Telstra’s</w:t>
      </w:r>
      <w:r w:rsidRPr="00C56DCD">
        <w:t xml:space="preserve"> proposed approach for C</w:t>
      </w:r>
      <w:r>
        <w:t>A</w:t>
      </w:r>
      <w:r w:rsidRPr="00C56DCD">
        <w:t>01</w:t>
      </w:r>
      <w:r>
        <w:t xml:space="preserve"> ducts and pipes</w:t>
      </w:r>
      <w:r w:rsidR="00E95B3C">
        <w:t xml:space="preserve"> for 2013-14</w:t>
      </w:r>
    </w:p>
    <w:tbl>
      <w:tblPr>
        <w:tblStyle w:val="TableGrid1"/>
        <w:tblW w:w="0" w:type="auto"/>
        <w:tblLook w:val="04A0" w:firstRow="1" w:lastRow="0" w:firstColumn="1" w:lastColumn="0" w:noHBand="0" w:noVBand="1"/>
      </w:tblPr>
      <w:tblGrid>
        <w:gridCol w:w="1788"/>
        <w:gridCol w:w="1690"/>
        <w:gridCol w:w="1798"/>
        <w:gridCol w:w="1819"/>
        <w:gridCol w:w="1569"/>
      </w:tblGrid>
      <w:tr w:rsidR="00172E62" w:rsidRPr="00E04041" w:rsidTr="00561F44">
        <w:trPr>
          <w:trHeight w:val="514"/>
        </w:trPr>
        <w:tc>
          <w:tcPr>
            <w:tcW w:w="1788" w:type="dxa"/>
          </w:tcPr>
          <w:p w:rsidR="00172E62" w:rsidRPr="00E04041" w:rsidRDefault="00172E62" w:rsidP="00350637">
            <w:pPr>
              <w:pStyle w:val="Table2Text"/>
            </w:pPr>
            <w:r w:rsidRPr="00E04041">
              <w:t>Declared service</w:t>
            </w:r>
          </w:p>
        </w:tc>
        <w:tc>
          <w:tcPr>
            <w:tcW w:w="1690" w:type="dxa"/>
          </w:tcPr>
          <w:p w:rsidR="00172E62" w:rsidRPr="00E04041" w:rsidRDefault="00172E62" w:rsidP="00AC01B7">
            <w:pPr>
              <w:pStyle w:val="Table2Text"/>
            </w:pPr>
            <w:r w:rsidRPr="00E04041">
              <w:t>2011 FAD</w:t>
            </w:r>
            <w:r w:rsidR="00E95B3C">
              <w:t xml:space="preserve"> approach</w:t>
            </w:r>
            <w:r w:rsidRPr="00E04041">
              <w:t xml:space="preserve"> %</w:t>
            </w:r>
          </w:p>
        </w:tc>
        <w:tc>
          <w:tcPr>
            <w:tcW w:w="1798" w:type="dxa"/>
          </w:tcPr>
          <w:p w:rsidR="00172E62" w:rsidRPr="00E04041" w:rsidRDefault="00172E62" w:rsidP="00AC01B7">
            <w:pPr>
              <w:pStyle w:val="Table2Text"/>
            </w:pPr>
            <w:r w:rsidRPr="00E04041">
              <w:t>Telstra proposed</w:t>
            </w:r>
            <w:r w:rsidR="002318FC">
              <w:t xml:space="preserve"> approach</w:t>
            </w:r>
            <w:r w:rsidRPr="00E04041">
              <w:t xml:space="preserve"> %</w:t>
            </w:r>
          </w:p>
        </w:tc>
        <w:tc>
          <w:tcPr>
            <w:tcW w:w="1819" w:type="dxa"/>
          </w:tcPr>
          <w:p w:rsidR="00172E62" w:rsidRPr="00E04041" w:rsidRDefault="00172E62" w:rsidP="00AC01B7">
            <w:pPr>
              <w:pStyle w:val="Table2Text"/>
            </w:pPr>
            <w:r w:rsidRPr="00E04041">
              <w:t>%</w:t>
            </w:r>
            <w:r>
              <w:t xml:space="preserve"> </w:t>
            </w:r>
            <w:r w:rsidRPr="00AC21F8">
              <w:t>point</w:t>
            </w:r>
            <w:r>
              <w:t xml:space="preserve"> difference</w:t>
            </w:r>
          </w:p>
        </w:tc>
        <w:tc>
          <w:tcPr>
            <w:tcW w:w="1569" w:type="dxa"/>
          </w:tcPr>
          <w:p w:rsidR="00172E62" w:rsidRPr="00E04041" w:rsidRDefault="00172E62" w:rsidP="00BF3B6A">
            <w:pPr>
              <w:pStyle w:val="Table2Text"/>
            </w:pPr>
            <w:r w:rsidRPr="00AA6E8A">
              <w:t>%</w:t>
            </w:r>
            <w:r>
              <w:t xml:space="preserve"> change</w:t>
            </w:r>
          </w:p>
        </w:tc>
      </w:tr>
      <w:tr w:rsidR="00172E62" w:rsidRPr="00E04041" w:rsidTr="00561F44">
        <w:trPr>
          <w:trHeight w:val="514"/>
        </w:trPr>
        <w:tc>
          <w:tcPr>
            <w:tcW w:w="1788" w:type="dxa"/>
          </w:tcPr>
          <w:p w:rsidR="00172E62" w:rsidRPr="00E04041" w:rsidRDefault="00172E62" w:rsidP="00350637">
            <w:pPr>
              <w:pStyle w:val="Table2Text"/>
            </w:pPr>
            <w:r w:rsidRPr="00E04041">
              <w:t>ULLS</w:t>
            </w:r>
          </w:p>
        </w:tc>
        <w:tc>
          <w:tcPr>
            <w:tcW w:w="1690" w:type="dxa"/>
          </w:tcPr>
          <w:p w:rsidR="00172E62" w:rsidRPr="00E04041" w:rsidRDefault="00561F44" w:rsidP="00AC01B7">
            <w:pPr>
              <w:pStyle w:val="Table2Text"/>
            </w:pPr>
            <w:r>
              <w:t>[c-</w:t>
            </w:r>
            <w:proofErr w:type="spellStart"/>
            <w:r>
              <w:t>i</w:t>
            </w:r>
            <w:proofErr w:type="spellEnd"/>
            <w:r>
              <w:t>-c starts]</w:t>
            </w:r>
            <w:r w:rsidR="00552D6F">
              <w:rPr>
                <w:noProof/>
                <w:color w:val="000000"/>
                <w:highlight w:val="black"/>
              </w:rPr>
              <w:t>'''''''''</w:t>
            </w:r>
          </w:p>
        </w:tc>
        <w:tc>
          <w:tcPr>
            <w:tcW w:w="1798" w:type="dxa"/>
          </w:tcPr>
          <w:p w:rsidR="00172E62" w:rsidRPr="00552D6F" w:rsidRDefault="00552D6F" w:rsidP="00AC01B7">
            <w:pPr>
              <w:pStyle w:val="Table2Text"/>
              <w:rPr>
                <w:highlight w:val="black"/>
              </w:rPr>
            </w:pPr>
            <w:r>
              <w:rPr>
                <w:noProof/>
                <w:color w:val="000000"/>
                <w:highlight w:val="black"/>
              </w:rPr>
              <w:t>'''''''''''</w:t>
            </w:r>
          </w:p>
        </w:tc>
        <w:tc>
          <w:tcPr>
            <w:tcW w:w="1819" w:type="dxa"/>
          </w:tcPr>
          <w:p w:rsidR="00172E62" w:rsidRPr="00552D6F" w:rsidRDefault="00552D6F" w:rsidP="00AC01B7">
            <w:pPr>
              <w:pStyle w:val="Table2Text"/>
              <w:rPr>
                <w:highlight w:val="black"/>
              </w:rPr>
            </w:pPr>
            <w:r>
              <w:rPr>
                <w:noProof/>
                <w:color w:val="000000"/>
                <w:highlight w:val="black"/>
              </w:rPr>
              <w:t>''''''''''''</w:t>
            </w:r>
          </w:p>
        </w:tc>
        <w:tc>
          <w:tcPr>
            <w:tcW w:w="1569" w:type="dxa"/>
          </w:tcPr>
          <w:p w:rsidR="00172E62" w:rsidRPr="00552D6F" w:rsidRDefault="00552D6F" w:rsidP="00BF3B6A">
            <w:pPr>
              <w:pStyle w:val="Table2Text"/>
              <w:rPr>
                <w:highlight w:val="black"/>
              </w:rPr>
            </w:pPr>
            <w:r>
              <w:rPr>
                <w:noProof/>
                <w:color w:val="000000"/>
                <w:highlight w:val="black"/>
              </w:rPr>
              <w:t>'''''''''''''</w:t>
            </w:r>
          </w:p>
        </w:tc>
      </w:tr>
      <w:tr w:rsidR="00172E62" w:rsidRPr="00E04041" w:rsidTr="00561F44">
        <w:trPr>
          <w:trHeight w:val="514"/>
        </w:trPr>
        <w:tc>
          <w:tcPr>
            <w:tcW w:w="1788" w:type="dxa"/>
          </w:tcPr>
          <w:p w:rsidR="00172E62" w:rsidRPr="00E04041" w:rsidRDefault="00172E62" w:rsidP="00350637">
            <w:pPr>
              <w:pStyle w:val="Table2Text"/>
            </w:pPr>
            <w:r w:rsidRPr="00E04041">
              <w:t>WLR</w:t>
            </w:r>
          </w:p>
        </w:tc>
        <w:tc>
          <w:tcPr>
            <w:tcW w:w="1690" w:type="dxa"/>
          </w:tcPr>
          <w:p w:rsidR="00172E62" w:rsidRPr="00552D6F" w:rsidRDefault="00552D6F" w:rsidP="00AC01B7">
            <w:pPr>
              <w:pStyle w:val="Table2Text"/>
              <w:rPr>
                <w:highlight w:val="black"/>
              </w:rPr>
            </w:pPr>
            <w:r>
              <w:rPr>
                <w:noProof/>
                <w:color w:val="000000"/>
                <w:highlight w:val="black"/>
              </w:rPr>
              <w:t>''''''''''''</w:t>
            </w:r>
          </w:p>
        </w:tc>
        <w:tc>
          <w:tcPr>
            <w:tcW w:w="1798" w:type="dxa"/>
          </w:tcPr>
          <w:p w:rsidR="00172E62" w:rsidRPr="00552D6F" w:rsidRDefault="00552D6F" w:rsidP="00AC01B7">
            <w:pPr>
              <w:pStyle w:val="Table2Text"/>
              <w:rPr>
                <w:highlight w:val="black"/>
              </w:rPr>
            </w:pPr>
            <w:r>
              <w:rPr>
                <w:noProof/>
                <w:color w:val="000000"/>
                <w:highlight w:val="black"/>
              </w:rPr>
              <w:t>''''''''''</w:t>
            </w:r>
          </w:p>
        </w:tc>
        <w:tc>
          <w:tcPr>
            <w:tcW w:w="1819" w:type="dxa"/>
          </w:tcPr>
          <w:p w:rsidR="00172E62" w:rsidRPr="00552D6F" w:rsidRDefault="00552D6F" w:rsidP="00AC01B7">
            <w:pPr>
              <w:pStyle w:val="Table2Text"/>
              <w:rPr>
                <w:highlight w:val="black"/>
              </w:rPr>
            </w:pPr>
            <w:r>
              <w:rPr>
                <w:noProof/>
                <w:color w:val="000000"/>
                <w:highlight w:val="black"/>
              </w:rPr>
              <w:t>'''''''''''</w:t>
            </w:r>
          </w:p>
        </w:tc>
        <w:tc>
          <w:tcPr>
            <w:tcW w:w="1569" w:type="dxa"/>
          </w:tcPr>
          <w:p w:rsidR="00172E62" w:rsidRDefault="00552D6F" w:rsidP="00BF3B6A">
            <w:pPr>
              <w:pStyle w:val="Table2Text"/>
            </w:pPr>
            <w:r>
              <w:rPr>
                <w:noProof/>
                <w:color w:val="000000"/>
                <w:highlight w:val="black"/>
              </w:rPr>
              <w:t>''''''''''''</w:t>
            </w:r>
            <w:r w:rsidR="00561F44">
              <w:t>[c-</w:t>
            </w:r>
            <w:proofErr w:type="spellStart"/>
            <w:r w:rsidR="00561F44">
              <w:t>i</w:t>
            </w:r>
            <w:proofErr w:type="spellEnd"/>
            <w:r w:rsidR="00561F44">
              <w:t>-c ends]</w:t>
            </w:r>
          </w:p>
        </w:tc>
      </w:tr>
    </w:tbl>
    <w:p w:rsidR="00172E62" w:rsidRDefault="00172E62" w:rsidP="00172E62"/>
    <w:p w:rsidR="00172E62" w:rsidRDefault="00172E62" w:rsidP="00172E62">
      <w:r>
        <w:t>Figure 2.1.2 shows Telstra’s assumed share of use of ducts and pipes by the various services for 2013-14.</w:t>
      </w:r>
    </w:p>
    <w:p w:rsidR="00CA5B21" w:rsidRDefault="00172E62" w:rsidP="00172E62">
      <w:pPr>
        <w:pStyle w:val="HeadingLevel8table"/>
      </w:pPr>
      <w:r w:rsidRPr="00345E0A">
        <w:t xml:space="preserve">Figure </w:t>
      </w:r>
      <w:r>
        <w:t>2</w:t>
      </w:r>
      <w:r w:rsidRPr="00345E0A">
        <w:t>.1.2</w:t>
      </w:r>
      <w:r w:rsidRPr="00345E0A">
        <w:tab/>
        <w:t>Telstra’s proposed allocation of C</w:t>
      </w:r>
      <w:r>
        <w:t>A</w:t>
      </w:r>
      <w:r w:rsidRPr="00345E0A">
        <w:t>01</w:t>
      </w:r>
      <w:r>
        <w:t xml:space="preserve"> for ducts and pipes</w:t>
      </w:r>
      <w:r w:rsidR="002318FC">
        <w:t xml:space="preserve"> for 2013-14</w:t>
      </w:r>
    </w:p>
    <w:p w:rsidR="00172E62" w:rsidRDefault="00561F44" w:rsidP="00172E62">
      <w:pPr>
        <w:pStyle w:val="HeadingLevel8table"/>
      </w:pPr>
      <w:r w:rsidRPr="00561F44">
        <w:t>[</w:t>
      </w:r>
      <w:proofErr w:type="gramStart"/>
      <w:r w:rsidRPr="00561F44">
        <w:t>c-</w:t>
      </w:r>
      <w:proofErr w:type="spellStart"/>
      <w:r w:rsidRPr="00561F44">
        <w:t>i</w:t>
      </w:r>
      <w:proofErr w:type="spellEnd"/>
      <w:r w:rsidRPr="00561F44">
        <w:t>-c</w:t>
      </w:r>
      <w:proofErr w:type="gramEnd"/>
      <w:r w:rsidRPr="00561F44">
        <w:t xml:space="preserve"> starts]</w:t>
      </w:r>
    </w:p>
    <w:p w:rsidR="00CA5B21" w:rsidRPr="00552D6F" w:rsidRDefault="00552D6F" w:rsidP="00172E62">
      <w:pPr>
        <w:pStyle w:val="HeadingLevel8table"/>
      </w:pPr>
      <w:r>
        <w:rPr>
          <w:noProof/>
          <w:lang w:eastAsia="en-AU"/>
        </w:rPr>
        <w:drawing>
          <wp:inline distT="0" distB="0" distL="0" distR="0">
            <wp:extent cx="3609340" cy="2529840"/>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09340" cy="2529840"/>
                    </a:xfrm>
                    <a:prstGeom prst="rect">
                      <a:avLst/>
                    </a:prstGeom>
                  </pic:spPr>
                </pic:pic>
              </a:graphicData>
            </a:graphic>
          </wp:inline>
        </w:drawing>
      </w:r>
    </w:p>
    <w:p w:rsidR="00172E62" w:rsidRDefault="00561F44" w:rsidP="00172E62">
      <w:pPr>
        <w:pStyle w:val="HeadingLevel8table"/>
        <w:rPr>
          <w:highlight w:val="yellow"/>
        </w:rPr>
      </w:pPr>
      <w:r w:rsidRPr="00561F44">
        <w:t>[</w:t>
      </w:r>
      <w:proofErr w:type="gramStart"/>
      <w:r w:rsidRPr="00561F44">
        <w:t>c-</w:t>
      </w:r>
      <w:proofErr w:type="spellStart"/>
      <w:r w:rsidRPr="00561F44">
        <w:t>i</w:t>
      </w:r>
      <w:proofErr w:type="spellEnd"/>
      <w:r w:rsidRPr="00561F44">
        <w:t>-c</w:t>
      </w:r>
      <w:proofErr w:type="gramEnd"/>
      <w:r w:rsidRPr="00561F44">
        <w:t xml:space="preserve"> ends]</w:t>
      </w:r>
    </w:p>
    <w:p w:rsidR="00172E62" w:rsidRDefault="00172E62" w:rsidP="00172E62">
      <w:pPr>
        <w:rPr>
          <w:rFonts w:eastAsiaTheme="majorEastAsia" w:cstheme="majorBidi"/>
          <w:b/>
          <w:color w:val="002060"/>
          <w:sz w:val="32"/>
          <w:szCs w:val="28"/>
        </w:rPr>
      </w:pPr>
      <w:r>
        <w:t>Note: ‘</w:t>
      </w:r>
      <w:r w:rsidRPr="003337FA">
        <w:t>Other non-fixed line</w:t>
      </w:r>
      <w:r>
        <w:t>’</w:t>
      </w:r>
      <w:r w:rsidRPr="003337FA">
        <w:t xml:space="preserve"> </w:t>
      </w:r>
      <w:r>
        <w:t xml:space="preserve">includes use by Telstra’s HFC network, transmission cables, NBN </w:t>
      </w:r>
      <w:proofErr w:type="spellStart"/>
      <w:r>
        <w:t>Co’s</w:t>
      </w:r>
      <w:proofErr w:type="spellEnd"/>
      <w:r>
        <w:t xml:space="preserve"> cables (installed in Telstra’s ducts under the agreements between Telstra and NBN Co) and cables of other third party infrastructure providers.</w:t>
      </w:r>
      <w:r>
        <w:br w:type="page"/>
      </w:r>
    </w:p>
    <w:p w:rsidR="00172E62" w:rsidRPr="00DA7429" w:rsidRDefault="00172E62" w:rsidP="00172E62">
      <w:pPr>
        <w:pStyle w:val="HeadingLevel2"/>
      </w:pPr>
      <w:bookmarkStart w:id="11" w:name="_Toc393375563"/>
      <w:r>
        <w:lastRenderedPageBreak/>
        <w:t>CA02 copper cables</w:t>
      </w:r>
      <w:bookmarkEnd w:id="11"/>
      <w:r>
        <w:t xml:space="preserve"> </w:t>
      </w:r>
    </w:p>
    <w:p w:rsidR="00172E62" w:rsidRDefault="00172E62" w:rsidP="00172E62">
      <w:pPr>
        <w:pStyle w:val="HeadingLevel3"/>
        <w:numPr>
          <w:ilvl w:val="0"/>
          <w:numId w:val="0"/>
        </w:numPr>
      </w:pPr>
      <w:r>
        <w:t>Asset description</w:t>
      </w:r>
    </w:p>
    <w:p w:rsidR="00172E62" w:rsidRDefault="00172E62" w:rsidP="00172E62">
      <w:r>
        <w:t xml:space="preserve">Copper cables are used to connect end-user premises to exchange-based voice and broadband equipment (operated either by Telstra or a third party accessing an unbundled line service). </w:t>
      </w:r>
    </w:p>
    <w:p w:rsidR="00172E62" w:rsidRDefault="00172E62" w:rsidP="00172E62">
      <w:pPr>
        <w:pStyle w:val="HeadingLevel3"/>
        <w:numPr>
          <w:ilvl w:val="0"/>
          <w:numId w:val="0"/>
        </w:numPr>
      </w:pPr>
      <w:r>
        <w:t xml:space="preserve">Key points </w:t>
      </w:r>
    </w:p>
    <w:p w:rsidR="00172E62" w:rsidRPr="00A93872" w:rsidRDefault="00172E62" w:rsidP="00172E62">
      <w:pPr>
        <w:pStyle w:val="Bulleta"/>
      </w:pPr>
      <w:r>
        <w:t xml:space="preserve">Copper cables contribute a </w:t>
      </w:r>
      <w:r w:rsidRPr="004C63CF">
        <w:t>significant</w:t>
      </w:r>
      <w:r>
        <w:t xml:space="preserve"> proportion towards the total fixed</w:t>
      </w:r>
      <w:r w:rsidR="000255D7">
        <w:t xml:space="preserve"> </w:t>
      </w:r>
      <w:r>
        <w:t>line revenue requirement (</w:t>
      </w:r>
      <w:r w:rsidR="00561F44">
        <w:rPr>
          <w:b/>
        </w:rPr>
        <w:t>[c-</w:t>
      </w:r>
      <w:proofErr w:type="spellStart"/>
      <w:r w:rsidR="00561F44">
        <w:rPr>
          <w:b/>
        </w:rPr>
        <w:t>i</w:t>
      </w:r>
      <w:proofErr w:type="spellEnd"/>
      <w:r w:rsidR="00561F44">
        <w:rPr>
          <w:b/>
        </w:rPr>
        <w:t>-c starts]</w:t>
      </w:r>
      <w:r w:rsidR="00552D6F">
        <w:rPr>
          <w:noProof/>
          <w:color w:val="000000"/>
          <w:highlight w:val="black"/>
        </w:rPr>
        <w:t>''''''''''''</w:t>
      </w:r>
      <w:r w:rsidR="00561F44">
        <w:rPr>
          <w:b/>
        </w:rPr>
        <w:t>[c-</w:t>
      </w:r>
      <w:proofErr w:type="spellStart"/>
      <w:r w:rsidR="00561F44">
        <w:rPr>
          <w:b/>
        </w:rPr>
        <w:t>i</w:t>
      </w:r>
      <w:proofErr w:type="spellEnd"/>
      <w:r w:rsidR="00561F44">
        <w:rPr>
          <w:b/>
        </w:rPr>
        <w:t>-c ends]</w:t>
      </w:r>
      <w:r>
        <w:t xml:space="preserve"> per cent</w:t>
      </w:r>
      <w:r w:rsidRPr="00A93872">
        <w:t xml:space="preserve"> in 2013-14</w:t>
      </w:r>
      <w:r>
        <w:t>).</w:t>
      </w:r>
    </w:p>
    <w:p w:rsidR="00172E62" w:rsidRPr="00297340" w:rsidRDefault="00172E62" w:rsidP="00172E62">
      <w:pPr>
        <w:pStyle w:val="Bulleta"/>
      </w:pPr>
      <w:r w:rsidRPr="00297340">
        <w:t xml:space="preserve">Telstra’s proposed </w:t>
      </w:r>
      <w:r>
        <w:t xml:space="preserve">cost allocation </w:t>
      </w:r>
      <w:r w:rsidRPr="00297340">
        <w:t xml:space="preserve">methodology for </w:t>
      </w:r>
      <w:r>
        <w:t>copper cables</w:t>
      </w:r>
      <w:r w:rsidRPr="00297340">
        <w:t xml:space="preserve"> incorporates the concept of </w:t>
      </w:r>
      <w:r>
        <w:t>copper cable</w:t>
      </w:r>
      <w:r w:rsidRPr="00297340">
        <w:t xml:space="preserve"> kilometres into the calculation of the cost allocation factor</w:t>
      </w:r>
      <w:r>
        <w:t>s</w:t>
      </w:r>
      <w:r w:rsidRPr="00297340">
        <w:t xml:space="preserve">. </w:t>
      </w:r>
    </w:p>
    <w:p w:rsidR="00172E62" w:rsidRDefault="00172E62" w:rsidP="00172E62">
      <w:pPr>
        <w:pStyle w:val="Bulleta"/>
      </w:pPr>
      <w:r w:rsidRPr="0069143E">
        <w:t xml:space="preserve">Telstra’s proposed methodology does not adopt the geographic cost relativities from the Analysys model, which were used to reflect cost differentials between ULLS bands in the 2011 FADs. Geographic cost differences are reflected in the concept of </w:t>
      </w:r>
      <w:r>
        <w:t>copper cable</w:t>
      </w:r>
      <w:r w:rsidRPr="00297340">
        <w:t xml:space="preserve"> kilometres in Telstra’s proposal. This represents a key change from the 2011 FADs.</w:t>
      </w:r>
    </w:p>
    <w:p w:rsidR="00172E62" w:rsidRDefault="00172E62" w:rsidP="00172E62">
      <w:pPr>
        <w:pStyle w:val="HeadingLevel3"/>
        <w:numPr>
          <w:ilvl w:val="0"/>
          <w:numId w:val="0"/>
        </w:numPr>
      </w:pPr>
      <w:r>
        <w:t>Services using this asset class</w:t>
      </w:r>
    </w:p>
    <w:p w:rsidR="00172E62" w:rsidRDefault="00172E62" w:rsidP="00172E62">
      <w:r>
        <w:t>Copper cables are used for declared and other fixed</w:t>
      </w:r>
      <w:r w:rsidR="000255D7">
        <w:t xml:space="preserve"> </w:t>
      </w:r>
      <w:r>
        <w:t>line services.</w:t>
      </w:r>
    </w:p>
    <w:p w:rsidR="00172E62" w:rsidRDefault="00172E62" w:rsidP="00172E62">
      <w:r>
        <w:t>The declared fixed</w:t>
      </w:r>
      <w:r w:rsidR="000255D7">
        <w:t xml:space="preserve"> </w:t>
      </w:r>
      <w:r>
        <w:t>line services that require copper cables are ULLS and WLR. The other fixed</w:t>
      </w:r>
      <w:r w:rsidR="000255D7">
        <w:t xml:space="preserve"> </w:t>
      </w:r>
      <w:r>
        <w:t>line services that require copper cables are retail PSTN access, ISDN access and other DSL services (i.e. Telstra’s business DSL S/HDSL).</w:t>
      </w:r>
    </w:p>
    <w:p w:rsidR="00172E62" w:rsidRDefault="00172E62" w:rsidP="00172E62">
      <w:r>
        <w:t>While copper cables are used to supply WADSL and LSS, the costs are recovered via WLR or a Telstra retail service since there must be an active voice service on the line.</w:t>
      </w:r>
    </w:p>
    <w:p w:rsidR="00172E62" w:rsidRDefault="00172E62" w:rsidP="00172E62">
      <w:r>
        <w:t xml:space="preserve">While copper cables are used to supply wholesale ADSL services, the costs of copper cables are recovered through the WLR service or a Telstra retail service (customers must have an active line to supply a wholesale ADSL service). </w:t>
      </w:r>
      <w:r w:rsidRPr="00AC21F8">
        <w:t xml:space="preserve">No cost is allocated to </w:t>
      </w:r>
      <w:r>
        <w:t>A</w:t>
      </w:r>
      <w:r w:rsidRPr="00AC21F8">
        <w:t>DSL service</w:t>
      </w:r>
      <w:r>
        <w:t>s</w:t>
      </w:r>
      <w:r w:rsidRPr="00AC21F8">
        <w:t xml:space="preserve"> for </w:t>
      </w:r>
      <w:r>
        <w:t>copper cables</w:t>
      </w:r>
      <w:r w:rsidRPr="00AC21F8">
        <w:t xml:space="preserve"> as the costs for this asset class </w:t>
      </w:r>
      <w:r>
        <w:t xml:space="preserve">are </w:t>
      </w:r>
      <w:r w:rsidRPr="00AC21F8">
        <w:t xml:space="preserve">recovered through </w:t>
      </w:r>
      <w:r>
        <w:t xml:space="preserve">the </w:t>
      </w:r>
      <w:r w:rsidRPr="00AC21F8">
        <w:t>line access services</w:t>
      </w:r>
      <w:r>
        <w:t>.</w:t>
      </w:r>
      <w:r w:rsidRPr="00AC21F8">
        <w:t xml:space="preserve"> </w:t>
      </w:r>
    </w:p>
    <w:p w:rsidR="00172E62" w:rsidRDefault="00172E62" w:rsidP="00172E62">
      <w:pPr>
        <w:pStyle w:val="HeadingLevel3"/>
        <w:numPr>
          <w:ilvl w:val="0"/>
          <w:numId w:val="0"/>
        </w:numPr>
      </w:pPr>
      <w:r>
        <w:t>Approach adopted for the 2011 FAD</w:t>
      </w:r>
    </w:p>
    <w:p w:rsidR="00172E62" w:rsidRDefault="00172E62" w:rsidP="00172E62">
      <w:r>
        <w:t>In the 2011 FAD, the cost allocation factors for copper cables were based on forecast SIOs for ULLS and WLR, total SIOs, and geographic ‘cost relativities’. The geographic cost relativities are factors taken from the Analysys model and reflect the relative differences in costs per SIO between the four ULLS bands for ducts and pipes and copper cables.</w:t>
      </w:r>
    </w:p>
    <w:p w:rsidR="00172E62" w:rsidRDefault="00172E62" w:rsidP="00172E62">
      <w:r>
        <w:t>Using this information, the FLSM calculates:</w:t>
      </w:r>
    </w:p>
    <w:p w:rsidR="00172E62" w:rsidRDefault="00172E62" w:rsidP="00172E62">
      <w:pPr>
        <w:pStyle w:val="Bulleta"/>
      </w:pPr>
      <w:r>
        <w:t>the average copper cable cost per SIO</w:t>
      </w:r>
    </w:p>
    <w:p w:rsidR="00172E62" w:rsidRDefault="00172E62" w:rsidP="00172E62">
      <w:pPr>
        <w:pStyle w:val="Bulleta"/>
      </w:pPr>
      <w:r>
        <w:t>the average copper cable cost per SIO in each band (based on the cost relativities)</w:t>
      </w:r>
    </w:p>
    <w:p w:rsidR="00172E62" w:rsidRDefault="00172E62" w:rsidP="00172E62">
      <w:pPr>
        <w:pStyle w:val="Bulleta"/>
      </w:pPr>
      <w:r>
        <w:t>the total cost of copper cables for each band for ULLS and WLR (based on forecast SIOs) for ULLS and WLR and</w:t>
      </w:r>
    </w:p>
    <w:p w:rsidR="00172E62" w:rsidRDefault="00172E62" w:rsidP="00172E62">
      <w:pPr>
        <w:pStyle w:val="Bulleta"/>
      </w:pPr>
      <w:proofErr w:type="gramStart"/>
      <w:r>
        <w:t>the</w:t>
      </w:r>
      <w:proofErr w:type="gramEnd"/>
      <w:r>
        <w:t xml:space="preserve"> total cost of copper cables for each band for all services (based on total SIOs).</w:t>
      </w:r>
    </w:p>
    <w:p w:rsidR="00172E62" w:rsidRDefault="00172E62" w:rsidP="00172E62">
      <w:r>
        <w:lastRenderedPageBreak/>
        <w:t xml:space="preserve">The cost allocation factors for copper cables to ULLS and WLR are the ratio between total copper cables cost for ULLS and WLR respectively and total cost of copper cables. </w:t>
      </w:r>
    </w:p>
    <w:p w:rsidR="00172E62" w:rsidRDefault="00172E62" w:rsidP="00172E62">
      <w:pPr>
        <w:pStyle w:val="HeadingLevel3"/>
        <w:numPr>
          <w:ilvl w:val="0"/>
          <w:numId w:val="0"/>
        </w:numPr>
      </w:pPr>
      <w:r>
        <w:t xml:space="preserve">Telstra’s proposed allocation method </w:t>
      </w:r>
    </w:p>
    <w:p w:rsidR="00172E62" w:rsidRDefault="00172E62" w:rsidP="00172E62">
      <w:r>
        <w:t>Under Telstra’s revised model, the costs associated with copper cables are assumed to be driven primarily by the distance the network is required to cover (i.e. the kilometres of copper cables required to provide services), the geographic location of the copper cables infrastructure and the number of services that use the copper cables network.</w:t>
      </w:r>
    </w:p>
    <w:p w:rsidR="00172E62" w:rsidRDefault="00172E62" w:rsidP="00172E62">
      <w:r>
        <w:t>A three-part allocation process is used to calculate the cost allocation factors for copper cables:</w:t>
      </w:r>
    </w:p>
    <w:p w:rsidR="00172E62" w:rsidRDefault="00172E62" w:rsidP="00172E62">
      <w:pPr>
        <w:pStyle w:val="Bulleta"/>
      </w:pPr>
      <w:r>
        <w:t xml:space="preserve">First, information about Telstra’s copper cable network is obtained from a Telstra infrastructure database. From this the total copper cable kilometres is obtained for each band (ULLS bands 1 – 4). From this, the proportion of total copper cable kilometres used in each band is obtained. </w:t>
      </w:r>
    </w:p>
    <w:p w:rsidR="00172E62" w:rsidRDefault="00172E62" w:rsidP="00172E62">
      <w:pPr>
        <w:pStyle w:val="Bulleta"/>
      </w:pPr>
      <w:r>
        <w:t>Second, the proportion of copper cable kilometres in each band is then allocated between ULLS, ‘basic access’ (which includes</w:t>
      </w:r>
      <w:r w:rsidRPr="003337FA">
        <w:t xml:space="preserve"> PSTN retail access and WLR)</w:t>
      </w:r>
      <w:r w:rsidRPr="00842AD4">
        <w:t xml:space="preserve"> </w:t>
      </w:r>
      <w:r>
        <w:t>and other fixed</w:t>
      </w:r>
      <w:r w:rsidR="000255D7">
        <w:t xml:space="preserve"> </w:t>
      </w:r>
      <w:r>
        <w:t>line services based on SIOs (ISDN access and other DSL services) in that band.</w:t>
      </w:r>
      <w:r w:rsidRPr="00842AD4">
        <w:t xml:space="preserve"> </w:t>
      </w:r>
      <w:r>
        <w:t>This determines band-specific allocators for ULLS and basic access. Treating WLR and PSTN retail access lines in this way ensured that the cost allocated to each basic access line is the same, which reflects the fact that they are equivalent services.</w:t>
      </w:r>
    </w:p>
    <w:p w:rsidR="00172E62" w:rsidRDefault="00172E62" w:rsidP="00172E62">
      <w:pPr>
        <w:pStyle w:val="Bulleta"/>
      </w:pPr>
      <w:r>
        <w:t>Third, the band specific allocators are added together to obtain the cost allocation factors for ULLS and basic access. For ULLS, the band-specific allocators are added to obtain the cost allocation factor for bands 1-3.</w:t>
      </w:r>
      <w:r w:rsidRPr="00ED4633">
        <w:t xml:space="preserve"> </w:t>
      </w:r>
      <w:r>
        <w:t>The cost allocation factor for band 4 is the band-specific allocator for band 4. For the WLR cost allocation factor, the band specific allocators for basic access are added, and then multiplied by the ratio of WLR lines to total basic access lines</w:t>
      </w:r>
      <w:r w:rsidR="00041706">
        <w:t>.</w:t>
      </w:r>
    </w:p>
    <w:p w:rsidR="00172E62" w:rsidRDefault="00172E62" w:rsidP="00172E62">
      <w:pPr>
        <w:pStyle w:val="HeadingLevel3"/>
        <w:numPr>
          <w:ilvl w:val="0"/>
          <w:numId w:val="0"/>
        </w:numPr>
      </w:pPr>
      <w:r>
        <w:t xml:space="preserve">Current versus Telstra’s proposed allocation factors </w:t>
      </w:r>
    </w:p>
    <w:p w:rsidR="00172E62" w:rsidRDefault="00172E62" w:rsidP="00172E62">
      <w:r>
        <w:t>Cost allocation factors for 2013-14 based on the 2011 FAD approach and Telstra’s proposed approach are provided in Table 2.2.1.</w:t>
      </w:r>
    </w:p>
    <w:p w:rsidR="00172E62" w:rsidRDefault="00172E62" w:rsidP="00172E62">
      <w:pPr>
        <w:pStyle w:val="HeadingLevel8table"/>
        <w:ind w:left="1440" w:hanging="1440"/>
      </w:pPr>
      <w:r w:rsidRPr="00CB6ECB">
        <w:t xml:space="preserve">Table </w:t>
      </w:r>
      <w:r>
        <w:t>2</w:t>
      </w:r>
      <w:r w:rsidRPr="00CB6ECB">
        <w:t>.</w:t>
      </w:r>
      <w:r>
        <w:t>2</w:t>
      </w:r>
      <w:r w:rsidRPr="00CB6ECB">
        <w:t>.1</w:t>
      </w:r>
      <w:r w:rsidRPr="00CB6ECB">
        <w:tab/>
        <w:t xml:space="preserve">Comparison of 2011 FAD </w:t>
      </w:r>
      <w:r w:rsidR="002318FC">
        <w:t xml:space="preserve">approach </w:t>
      </w:r>
      <w:proofErr w:type="spellStart"/>
      <w:r w:rsidRPr="00CB6ECB">
        <w:t>vs</w:t>
      </w:r>
      <w:proofErr w:type="spellEnd"/>
      <w:r w:rsidRPr="00CB6ECB">
        <w:t xml:space="preserve"> </w:t>
      </w:r>
      <w:r>
        <w:t>Telstra’s</w:t>
      </w:r>
      <w:r w:rsidRPr="00CB6ECB">
        <w:t xml:space="preserve"> proposed approach for C</w:t>
      </w:r>
      <w:r>
        <w:t>A</w:t>
      </w:r>
      <w:r w:rsidRPr="00CB6ECB">
        <w:t>0</w:t>
      </w:r>
      <w:r>
        <w:t xml:space="preserve">2 copper cables </w:t>
      </w:r>
      <w:r w:rsidR="002318FC">
        <w:t>for 2013-14</w:t>
      </w:r>
    </w:p>
    <w:tbl>
      <w:tblPr>
        <w:tblStyle w:val="TableGrid1"/>
        <w:tblW w:w="0" w:type="auto"/>
        <w:tblLook w:val="04A0" w:firstRow="1" w:lastRow="0" w:firstColumn="1" w:lastColumn="0" w:noHBand="0" w:noVBand="1"/>
      </w:tblPr>
      <w:tblGrid>
        <w:gridCol w:w="1788"/>
        <w:gridCol w:w="1719"/>
        <w:gridCol w:w="1719"/>
        <w:gridCol w:w="1719"/>
        <w:gridCol w:w="1719"/>
      </w:tblGrid>
      <w:tr w:rsidR="00172E62" w:rsidRPr="00E04041" w:rsidTr="00561F44">
        <w:trPr>
          <w:trHeight w:val="447"/>
        </w:trPr>
        <w:tc>
          <w:tcPr>
            <w:tcW w:w="1788" w:type="dxa"/>
          </w:tcPr>
          <w:p w:rsidR="00172E62" w:rsidRPr="00E04041" w:rsidRDefault="00172E62" w:rsidP="00350637">
            <w:pPr>
              <w:pStyle w:val="Table2Text"/>
            </w:pPr>
            <w:r w:rsidRPr="00E04041">
              <w:t>Declared service</w:t>
            </w:r>
          </w:p>
        </w:tc>
        <w:tc>
          <w:tcPr>
            <w:tcW w:w="1719" w:type="dxa"/>
          </w:tcPr>
          <w:p w:rsidR="00172E62" w:rsidRPr="00E04041" w:rsidRDefault="00172E62" w:rsidP="00AC01B7">
            <w:pPr>
              <w:pStyle w:val="Table2Text"/>
            </w:pPr>
            <w:r w:rsidRPr="00E04041">
              <w:t xml:space="preserve">2011 FAD </w:t>
            </w:r>
            <w:r w:rsidR="002318FC">
              <w:t>approach</w:t>
            </w:r>
            <w:r w:rsidRPr="00E04041">
              <w:t>%</w:t>
            </w:r>
          </w:p>
        </w:tc>
        <w:tc>
          <w:tcPr>
            <w:tcW w:w="1719" w:type="dxa"/>
          </w:tcPr>
          <w:p w:rsidR="00172E62" w:rsidRPr="00E04041" w:rsidRDefault="00172E62" w:rsidP="00AC01B7">
            <w:pPr>
              <w:pStyle w:val="Table2Text"/>
            </w:pPr>
            <w:r w:rsidRPr="00E04041">
              <w:t xml:space="preserve">Telstra  proposed </w:t>
            </w:r>
            <w:r w:rsidR="002318FC">
              <w:t xml:space="preserve">approach </w:t>
            </w:r>
            <w:r w:rsidRPr="00E04041">
              <w:t>%</w:t>
            </w:r>
          </w:p>
        </w:tc>
        <w:tc>
          <w:tcPr>
            <w:tcW w:w="1719" w:type="dxa"/>
          </w:tcPr>
          <w:p w:rsidR="00172E62" w:rsidRPr="00E04041" w:rsidRDefault="00172E62" w:rsidP="00AC01B7">
            <w:pPr>
              <w:pStyle w:val="Table2Text"/>
            </w:pPr>
            <w:r w:rsidRPr="00E04041">
              <w:t>%</w:t>
            </w:r>
            <w:r>
              <w:t xml:space="preserve"> </w:t>
            </w:r>
            <w:r w:rsidRPr="00AC21F8">
              <w:t>point</w:t>
            </w:r>
            <w:r>
              <w:t xml:space="preserve"> difference</w:t>
            </w:r>
          </w:p>
        </w:tc>
        <w:tc>
          <w:tcPr>
            <w:tcW w:w="1719" w:type="dxa"/>
          </w:tcPr>
          <w:p w:rsidR="00172E62" w:rsidRPr="00E04041" w:rsidRDefault="00172E62" w:rsidP="00BF3B6A">
            <w:pPr>
              <w:pStyle w:val="Table2Text"/>
            </w:pPr>
            <w:r w:rsidRPr="00DD0034">
              <w:t>%</w:t>
            </w:r>
            <w:r>
              <w:t xml:space="preserve"> change</w:t>
            </w:r>
          </w:p>
        </w:tc>
      </w:tr>
      <w:tr w:rsidR="00172E62" w:rsidRPr="00E04041" w:rsidTr="00561F44">
        <w:trPr>
          <w:trHeight w:val="447"/>
        </w:trPr>
        <w:tc>
          <w:tcPr>
            <w:tcW w:w="1788" w:type="dxa"/>
          </w:tcPr>
          <w:p w:rsidR="00172E62" w:rsidRPr="00E04041" w:rsidRDefault="00172E62" w:rsidP="00350637">
            <w:pPr>
              <w:pStyle w:val="Table2Text"/>
            </w:pPr>
            <w:r w:rsidRPr="00E04041">
              <w:t>ULLS</w:t>
            </w:r>
          </w:p>
        </w:tc>
        <w:tc>
          <w:tcPr>
            <w:tcW w:w="1719" w:type="dxa"/>
          </w:tcPr>
          <w:p w:rsidR="00172E62" w:rsidRPr="00E04041" w:rsidRDefault="00561F44" w:rsidP="00AC01B7">
            <w:pPr>
              <w:pStyle w:val="Table2Text"/>
            </w:pPr>
            <w:r>
              <w:t>[c-</w:t>
            </w:r>
            <w:proofErr w:type="spellStart"/>
            <w:r>
              <w:t>i</w:t>
            </w:r>
            <w:proofErr w:type="spellEnd"/>
            <w:r>
              <w:t>-c starts]</w:t>
            </w:r>
            <w:r w:rsidR="00552D6F">
              <w:rPr>
                <w:noProof/>
                <w:color w:val="000000"/>
                <w:highlight w:val="black"/>
              </w:rPr>
              <w:t>'''''''</w:t>
            </w:r>
          </w:p>
        </w:tc>
        <w:tc>
          <w:tcPr>
            <w:tcW w:w="1719" w:type="dxa"/>
          </w:tcPr>
          <w:p w:rsidR="00172E62" w:rsidRPr="00552D6F" w:rsidRDefault="00552D6F" w:rsidP="00AC01B7">
            <w:pPr>
              <w:pStyle w:val="Table2Text"/>
              <w:rPr>
                <w:highlight w:val="black"/>
              </w:rPr>
            </w:pPr>
            <w:r>
              <w:rPr>
                <w:noProof/>
                <w:color w:val="000000"/>
                <w:highlight w:val="black"/>
              </w:rPr>
              <w:t>''''''''''''</w:t>
            </w:r>
          </w:p>
        </w:tc>
        <w:tc>
          <w:tcPr>
            <w:tcW w:w="1719" w:type="dxa"/>
          </w:tcPr>
          <w:p w:rsidR="00172E62" w:rsidRPr="00552D6F" w:rsidRDefault="00552D6F" w:rsidP="00AC01B7">
            <w:pPr>
              <w:pStyle w:val="Table2Text"/>
              <w:rPr>
                <w:highlight w:val="black"/>
              </w:rPr>
            </w:pPr>
            <w:r>
              <w:rPr>
                <w:noProof/>
                <w:color w:val="000000"/>
                <w:highlight w:val="black"/>
              </w:rPr>
              <w:t>''''''''''</w:t>
            </w:r>
          </w:p>
        </w:tc>
        <w:tc>
          <w:tcPr>
            <w:tcW w:w="1719" w:type="dxa"/>
          </w:tcPr>
          <w:p w:rsidR="00172E62" w:rsidRPr="00552D6F" w:rsidRDefault="00552D6F" w:rsidP="00BF3B6A">
            <w:pPr>
              <w:pStyle w:val="Table2Text"/>
              <w:rPr>
                <w:highlight w:val="black"/>
              </w:rPr>
            </w:pPr>
            <w:r>
              <w:rPr>
                <w:noProof/>
                <w:color w:val="000000"/>
                <w:highlight w:val="black"/>
              </w:rPr>
              <w:t>'''''''''''''</w:t>
            </w:r>
          </w:p>
        </w:tc>
      </w:tr>
      <w:tr w:rsidR="00172E62" w:rsidRPr="00E04041" w:rsidTr="00561F44">
        <w:trPr>
          <w:trHeight w:val="447"/>
        </w:trPr>
        <w:tc>
          <w:tcPr>
            <w:tcW w:w="1788" w:type="dxa"/>
          </w:tcPr>
          <w:p w:rsidR="00172E62" w:rsidRPr="00E04041" w:rsidRDefault="00172E62" w:rsidP="00350637">
            <w:pPr>
              <w:pStyle w:val="Table2Text"/>
            </w:pPr>
            <w:r w:rsidRPr="00E04041">
              <w:t>WLR</w:t>
            </w:r>
          </w:p>
        </w:tc>
        <w:tc>
          <w:tcPr>
            <w:tcW w:w="1719" w:type="dxa"/>
          </w:tcPr>
          <w:p w:rsidR="00172E62" w:rsidRPr="00552D6F" w:rsidRDefault="00552D6F" w:rsidP="00AC01B7">
            <w:pPr>
              <w:pStyle w:val="Table2Text"/>
              <w:rPr>
                <w:highlight w:val="black"/>
              </w:rPr>
            </w:pPr>
            <w:r>
              <w:rPr>
                <w:noProof/>
                <w:color w:val="000000"/>
                <w:highlight w:val="black"/>
              </w:rPr>
              <w:t>''''''''''</w:t>
            </w:r>
          </w:p>
        </w:tc>
        <w:tc>
          <w:tcPr>
            <w:tcW w:w="1719" w:type="dxa"/>
          </w:tcPr>
          <w:p w:rsidR="00172E62" w:rsidRPr="00552D6F" w:rsidRDefault="00552D6F" w:rsidP="00AC01B7">
            <w:pPr>
              <w:pStyle w:val="Table2Text"/>
              <w:rPr>
                <w:highlight w:val="black"/>
              </w:rPr>
            </w:pPr>
            <w:r>
              <w:rPr>
                <w:noProof/>
                <w:color w:val="000000"/>
                <w:highlight w:val="black"/>
              </w:rPr>
              <w:t>'''''''''''</w:t>
            </w:r>
          </w:p>
        </w:tc>
        <w:tc>
          <w:tcPr>
            <w:tcW w:w="1719" w:type="dxa"/>
          </w:tcPr>
          <w:p w:rsidR="00172E62" w:rsidRPr="00552D6F" w:rsidRDefault="00552D6F" w:rsidP="00AC01B7">
            <w:pPr>
              <w:pStyle w:val="Table2Text"/>
              <w:rPr>
                <w:highlight w:val="black"/>
              </w:rPr>
            </w:pPr>
            <w:r>
              <w:rPr>
                <w:noProof/>
                <w:color w:val="000000"/>
                <w:highlight w:val="black"/>
              </w:rPr>
              <w:t>''''''''''</w:t>
            </w:r>
          </w:p>
        </w:tc>
        <w:tc>
          <w:tcPr>
            <w:tcW w:w="1719" w:type="dxa"/>
          </w:tcPr>
          <w:p w:rsidR="00172E62" w:rsidRDefault="00552D6F" w:rsidP="00BF3B6A">
            <w:pPr>
              <w:pStyle w:val="Table2Text"/>
            </w:pPr>
            <w:r>
              <w:rPr>
                <w:noProof/>
                <w:color w:val="000000"/>
                <w:highlight w:val="black"/>
              </w:rPr>
              <w:t>''''''''''''''</w:t>
            </w:r>
            <w:r w:rsidR="00561F44">
              <w:t>[c-</w:t>
            </w:r>
            <w:proofErr w:type="spellStart"/>
            <w:r w:rsidR="00561F44">
              <w:t>i</w:t>
            </w:r>
            <w:proofErr w:type="spellEnd"/>
            <w:r w:rsidR="00561F44">
              <w:t>-c ends]</w:t>
            </w:r>
          </w:p>
        </w:tc>
      </w:tr>
    </w:tbl>
    <w:p w:rsidR="00172E62" w:rsidRDefault="00172E62" w:rsidP="00172E62"/>
    <w:p w:rsidR="00172E62" w:rsidRDefault="00172E62" w:rsidP="00172E62">
      <w:r>
        <w:t>Figure 2.2.2</w:t>
      </w:r>
      <w:r w:rsidRPr="00D80A3E">
        <w:t xml:space="preserve"> shows Telstra’s assumed share of use of copper cables by the various services for 2013-14</w:t>
      </w:r>
      <w:r>
        <w:t>.</w:t>
      </w:r>
    </w:p>
    <w:p w:rsidR="00CA5B21" w:rsidRDefault="00172E62" w:rsidP="00172E62">
      <w:pPr>
        <w:pStyle w:val="HeadingLevel8table"/>
      </w:pPr>
      <w:r w:rsidRPr="0062676F">
        <w:lastRenderedPageBreak/>
        <w:t>Figure 2.</w:t>
      </w:r>
      <w:r>
        <w:t>2</w:t>
      </w:r>
      <w:r w:rsidRPr="0062676F">
        <w:t>.2</w:t>
      </w:r>
      <w:r w:rsidRPr="0062676F">
        <w:tab/>
        <w:t>Telstra’s proposed allocation of CA0</w:t>
      </w:r>
      <w:r>
        <w:t>2 copper cables</w:t>
      </w:r>
      <w:r w:rsidR="002318FC">
        <w:t xml:space="preserve"> for 2013-14</w:t>
      </w:r>
    </w:p>
    <w:p w:rsidR="00172E62" w:rsidRDefault="00561F44" w:rsidP="00172E62">
      <w:pPr>
        <w:pStyle w:val="HeadingLevel8table"/>
      </w:pPr>
      <w:r w:rsidRPr="00561F44">
        <w:t>[</w:t>
      </w:r>
      <w:proofErr w:type="gramStart"/>
      <w:r w:rsidRPr="00561F44">
        <w:t>c-</w:t>
      </w:r>
      <w:proofErr w:type="spellStart"/>
      <w:r w:rsidRPr="00561F44">
        <w:t>i</w:t>
      </w:r>
      <w:proofErr w:type="spellEnd"/>
      <w:r w:rsidRPr="00561F44">
        <w:t>-c</w:t>
      </w:r>
      <w:proofErr w:type="gramEnd"/>
      <w:r w:rsidRPr="00561F44">
        <w:t xml:space="preserve"> starts]</w:t>
      </w:r>
    </w:p>
    <w:p w:rsidR="00CA5B21" w:rsidRDefault="00552D6F" w:rsidP="00172E62">
      <w:pPr>
        <w:pStyle w:val="HeadingLevel8table"/>
      </w:pPr>
      <w:r>
        <w:rPr>
          <w:noProof/>
          <w:lang w:eastAsia="en-AU"/>
        </w:rPr>
        <w:drawing>
          <wp:inline distT="0" distB="0" distL="0" distR="0">
            <wp:extent cx="3615055" cy="2536190"/>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15055" cy="2536190"/>
                    </a:xfrm>
                    <a:prstGeom prst="rect">
                      <a:avLst/>
                    </a:prstGeom>
                  </pic:spPr>
                </pic:pic>
              </a:graphicData>
            </a:graphic>
          </wp:inline>
        </w:drawing>
      </w:r>
    </w:p>
    <w:p w:rsidR="00172E62" w:rsidRDefault="00561F44" w:rsidP="00172E62">
      <w:pPr>
        <w:pStyle w:val="HeadingLevel8table"/>
        <w:rPr>
          <w:highlight w:val="yellow"/>
        </w:rPr>
      </w:pPr>
      <w:r w:rsidRPr="00561F44">
        <w:t>[</w:t>
      </w:r>
      <w:proofErr w:type="gramStart"/>
      <w:r w:rsidRPr="00561F44">
        <w:t>c-</w:t>
      </w:r>
      <w:proofErr w:type="spellStart"/>
      <w:r w:rsidRPr="00561F44">
        <w:t>i</w:t>
      </w:r>
      <w:proofErr w:type="spellEnd"/>
      <w:r w:rsidRPr="00561F44">
        <w:t>-c</w:t>
      </w:r>
      <w:proofErr w:type="gramEnd"/>
      <w:r w:rsidRPr="00561F44">
        <w:t xml:space="preserve"> ends]</w:t>
      </w:r>
    </w:p>
    <w:p w:rsidR="00172E62" w:rsidRDefault="00172E62" w:rsidP="00172E62"/>
    <w:p w:rsidR="00172E62" w:rsidRDefault="00172E62" w:rsidP="00172E62">
      <w:pPr>
        <w:spacing w:after="200" w:line="276" w:lineRule="auto"/>
        <w:rPr>
          <w:rFonts w:eastAsiaTheme="majorEastAsia" w:cstheme="majorBidi"/>
          <w:b/>
          <w:color w:val="002060"/>
          <w:sz w:val="32"/>
          <w:szCs w:val="28"/>
        </w:rPr>
      </w:pPr>
      <w:r>
        <w:br w:type="page"/>
      </w:r>
    </w:p>
    <w:p w:rsidR="00172E62" w:rsidRDefault="00172E62" w:rsidP="00172E62">
      <w:pPr>
        <w:pStyle w:val="HeadingLevel2"/>
      </w:pPr>
      <w:bookmarkStart w:id="12" w:name="_Toc393375564"/>
      <w:r>
        <w:lastRenderedPageBreak/>
        <w:t>CA03 other cables</w:t>
      </w:r>
      <w:bookmarkEnd w:id="12"/>
      <w:r>
        <w:t xml:space="preserve"> </w:t>
      </w:r>
    </w:p>
    <w:p w:rsidR="00172E62" w:rsidRDefault="00172E62" w:rsidP="00172E62">
      <w:pPr>
        <w:pStyle w:val="HeadingLevel3"/>
        <w:numPr>
          <w:ilvl w:val="0"/>
          <w:numId w:val="0"/>
        </w:numPr>
      </w:pPr>
      <w:r>
        <w:t>Asset description</w:t>
      </w:r>
    </w:p>
    <w:p w:rsidR="00172E62" w:rsidRDefault="00172E62" w:rsidP="00172E62">
      <w:r>
        <w:t>Other cables are CAN fibre optic cables and joints (and associated equipment) used for the provision of FTTP-based fixed line access services in Telstra’s Velocity estates such as those in the South Brisbane area. Other cables does not include fibre optic cable used to connect remote broadband and voice devices (e.g. CMUX units) to the local exchange (these are included in the core asset class – interexchange cables).</w:t>
      </w:r>
    </w:p>
    <w:p w:rsidR="00172E62" w:rsidRDefault="00172E62" w:rsidP="00172E62">
      <w:pPr>
        <w:pStyle w:val="HeadingLevel3"/>
        <w:numPr>
          <w:ilvl w:val="0"/>
          <w:numId w:val="0"/>
        </w:numPr>
      </w:pPr>
      <w:r>
        <w:t xml:space="preserve">Key points </w:t>
      </w:r>
    </w:p>
    <w:p w:rsidR="00172E62" w:rsidRPr="00A93872" w:rsidRDefault="00172E62" w:rsidP="00172E62">
      <w:pPr>
        <w:pStyle w:val="Bulleta"/>
      </w:pPr>
      <w:r>
        <w:t>Other cables contribute only a minor proportion towards the total fixed</w:t>
      </w:r>
      <w:r w:rsidR="000255D7">
        <w:t xml:space="preserve"> </w:t>
      </w:r>
      <w:r>
        <w:t>line revenue requirement (</w:t>
      </w:r>
      <w:r w:rsidR="00561F44">
        <w:rPr>
          <w:b/>
        </w:rPr>
        <w:t>[c-</w:t>
      </w:r>
      <w:proofErr w:type="spellStart"/>
      <w:r w:rsidR="00561F44">
        <w:rPr>
          <w:b/>
        </w:rPr>
        <w:t>i</w:t>
      </w:r>
      <w:proofErr w:type="spellEnd"/>
      <w:r w:rsidR="00561F44">
        <w:rPr>
          <w:b/>
        </w:rPr>
        <w:t>-c starts]</w:t>
      </w:r>
      <w:r w:rsidR="00552D6F">
        <w:rPr>
          <w:noProof/>
          <w:color w:val="000000"/>
          <w:highlight w:val="black"/>
        </w:rPr>
        <w:t>''''''''</w:t>
      </w:r>
      <w:r w:rsidR="00561F44">
        <w:rPr>
          <w:b/>
        </w:rPr>
        <w:t>[c-</w:t>
      </w:r>
      <w:proofErr w:type="spellStart"/>
      <w:r w:rsidR="00561F44">
        <w:rPr>
          <w:b/>
        </w:rPr>
        <w:t>i</w:t>
      </w:r>
      <w:proofErr w:type="spellEnd"/>
      <w:r w:rsidR="00561F44">
        <w:rPr>
          <w:b/>
        </w:rPr>
        <w:t>-c ends]</w:t>
      </w:r>
      <w:r>
        <w:t xml:space="preserve"> per cent</w:t>
      </w:r>
      <w:r w:rsidRPr="00A93872">
        <w:t xml:space="preserve"> in 2013-14</w:t>
      </w:r>
      <w:r>
        <w:t>).</w:t>
      </w:r>
    </w:p>
    <w:p w:rsidR="00172E62" w:rsidRDefault="00172E62" w:rsidP="00172E62">
      <w:pPr>
        <w:pStyle w:val="Bulleta"/>
      </w:pPr>
      <w:r>
        <w:t>The only declared service using other cables is WLR.</w:t>
      </w:r>
    </w:p>
    <w:p w:rsidR="00172E62" w:rsidRDefault="00172E62" w:rsidP="00172E62">
      <w:pPr>
        <w:pStyle w:val="Bulleta"/>
      </w:pPr>
      <w:r>
        <w:t xml:space="preserve">In the 2011 FADs, the cost allocation factor for other cables (to WLR) was based on the cost allocation factor taken from the Analysys model and adjusted annually for changes in demand for WLR. Under Telstra’s proposed approach, the cost allocation </w:t>
      </w:r>
      <w:proofErr w:type="gramStart"/>
      <w:r>
        <w:t>factors is</w:t>
      </w:r>
      <w:proofErr w:type="gramEnd"/>
      <w:r>
        <w:t xml:space="preserve"> based on forecast SIOs for WLR and retail PSTN access services. This move to a fully allocated approach appears to be the key consideration for this asset class.</w:t>
      </w:r>
    </w:p>
    <w:p w:rsidR="00172E62" w:rsidRDefault="00172E62" w:rsidP="00172E62">
      <w:pPr>
        <w:pStyle w:val="HeadingLevel3"/>
        <w:numPr>
          <w:ilvl w:val="0"/>
          <w:numId w:val="0"/>
        </w:numPr>
      </w:pPr>
      <w:r>
        <w:t>Services using this asset class</w:t>
      </w:r>
    </w:p>
    <w:p w:rsidR="00172E62" w:rsidRDefault="00172E62" w:rsidP="00172E62">
      <w:r>
        <w:t>The only declared service using other cables is WLR. Other cables are also used to provide PSTN retail access services.</w:t>
      </w:r>
    </w:p>
    <w:p w:rsidR="00172E62" w:rsidRDefault="00172E62" w:rsidP="00172E62">
      <w:pPr>
        <w:pStyle w:val="HeadingLevel3"/>
        <w:numPr>
          <w:ilvl w:val="0"/>
          <w:numId w:val="0"/>
        </w:numPr>
      </w:pPr>
      <w:r>
        <w:t>Approach adopted for the 2011 FAD</w:t>
      </w:r>
    </w:p>
    <w:p w:rsidR="00172E62" w:rsidRDefault="00172E62" w:rsidP="00172E62">
      <w:r>
        <w:t>In the 2011 FAD, the cost allocation factor for other cables to WLR services was initially based on the Analysys cost allocation factor for 2008-09.</w:t>
      </w:r>
    </w:p>
    <w:p w:rsidR="00172E62" w:rsidRDefault="00172E62" w:rsidP="00172E62">
      <w:r>
        <w:t>The cost allocation factor for each year was based on the cost allocation factor from the previous year and adjusted by the forecast percentage change in WLR SIOs for that year.</w:t>
      </w:r>
    </w:p>
    <w:p w:rsidR="00172E62" w:rsidRDefault="00172E62" w:rsidP="00172E62">
      <w:pPr>
        <w:pStyle w:val="HeadingLevel3"/>
        <w:numPr>
          <w:ilvl w:val="0"/>
          <w:numId w:val="0"/>
        </w:numPr>
      </w:pPr>
      <w:r>
        <w:t>Telstra’s proposed allocation method</w:t>
      </w:r>
    </w:p>
    <w:p w:rsidR="00172E62" w:rsidRDefault="00172E62" w:rsidP="00172E62">
      <w:r>
        <w:t>Under Telstra’s revised model, the costs associated with other cables are assumed to be driven by the number of fixed</w:t>
      </w:r>
      <w:r w:rsidR="000255D7">
        <w:t xml:space="preserve"> </w:t>
      </w:r>
      <w:r>
        <w:t>line SIOs.</w:t>
      </w:r>
    </w:p>
    <w:p w:rsidR="00172E62" w:rsidRDefault="00172E62" w:rsidP="00172E62">
      <w:r>
        <w:t>The cost allocation factor is derived by calculating the ratio of forecast WLR SIOs to the combined SIO forecast for WLR and PSTN retail access.</w:t>
      </w:r>
    </w:p>
    <w:p w:rsidR="00172E62" w:rsidRDefault="00172E62" w:rsidP="00172E62">
      <w:pPr>
        <w:pStyle w:val="HeadingLevel3"/>
        <w:numPr>
          <w:ilvl w:val="0"/>
          <w:numId w:val="0"/>
        </w:numPr>
      </w:pPr>
      <w:r>
        <w:t>Current versus Telstra’s proposed allocation factors</w:t>
      </w:r>
    </w:p>
    <w:p w:rsidR="00172E62" w:rsidRDefault="00172E62" w:rsidP="00172E62">
      <w:r>
        <w:t>Cost allocation factors for 2013-14 based on the 2011 FAD approach and Telstra’s proposed approach are provided in Table 2.3.1.</w:t>
      </w:r>
    </w:p>
    <w:p w:rsidR="00172E62" w:rsidRDefault="00172E62" w:rsidP="008D78CC">
      <w:pPr>
        <w:pStyle w:val="HeadingLevel8table"/>
        <w:ind w:left="1440" w:hanging="1440"/>
      </w:pPr>
      <w:r w:rsidRPr="00CB6ECB">
        <w:t xml:space="preserve">Table </w:t>
      </w:r>
      <w:r>
        <w:t>2</w:t>
      </w:r>
      <w:r w:rsidRPr="00CB6ECB">
        <w:t>.</w:t>
      </w:r>
      <w:r>
        <w:t>3</w:t>
      </w:r>
      <w:r w:rsidRPr="00CB6ECB">
        <w:t>.1</w:t>
      </w:r>
      <w:r w:rsidRPr="00CB6ECB">
        <w:tab/>
        <w:t xml:space="preserve">Comparison of 2011 FAD </w:t>
      </w:r>
      <w:r w:rsidR="002318FC">
        <w:t xml:space="preserve">approach </w:t>
      </w:r>
      <w:proofErr w:type="spellStart"/>
      <w:r w:rsidRPr="00CB6ECB">
        <w:t>vs</w:t>
      </w:r>
      <w:proofErr w:type="spellEnd"/>
      <w:r w:rsidRPr="00CB6ECB">
        <w:t xml:space="preserve"> </w:t>
      </w:r>
      <w:r>
        <w:t>Telstra’s</w:t>
      </w:r>
      <w:r w:rsidRPr="00CB6ECB">
        <w:t xml:space="preserve"> proposed approach for C</w:t>
      </w:r>
      <w:r>
        <w:t>A</w:t>
      </w:r>
      <w:r w:rsidRPr="00CB6ECB">
        <w:t>0</w:t>
      </w:r>
      <w:r>
        <w:t>3 other cables</w:t>
      </w:r>
      <w:r w:rsidR="002318FC">
        <w:t xml:space="preserve"> for 2013-14</w:t>
      </w:r>
    </w:p>
    <w:tbl>
      <w:tblPr>
        <w:tblStyle w:val="TableGrid"/>
        <w:tblW w:w="0" w:type="auto"/>
        <w:tblLook w:val="04A0" w:firstRow="1" w:lastRow="0" w:firstColumn="1" w:lastColumn="0" w:noHBand="0" w:noVBand="1"/>
      </w:tblPr>
      <w:tblGrid>
        <w:gridCol w:w="1788"/>
        <w:gridCol w:w="1719"/>
        <w:gridCol w:w="1719"/>
        <w:gridCol w:w="1719"/>
        <w:gridCol w:w="1719"/>
      </w:tblGrid>
      <w:tr w:rsidR="00172E62" w:rsidRPr="00170E62" w:rsidTr="00561F44">
        <w:trPr>
          <w:trHeight w:val="447"/>
        </w:trPr>
        <w:tc>
          <w:tcPr>
            <w:tcW w:w="1788" w:type="dxa"/>
          </w:tcPr>
          <w:p w:rsidR="00172E62" w:rsidRPr="00170E62" w:rsidRDefault="00172E62" w:rsidP="00350637">
            <w:pPr>
              <w:pStyle w:val="Table2Text"/>
            </w:pPr>
            <w:r>
              <w:t>Declared service</w:t>
            </w:r>
          </w:p>
        </w:tc>
        <w:tc>
          <w:tcPr>
            <w:tcW w:w="1719" w:type="dxa"/>
          </w:tcPr>
          <w:p w:rsidR="00172E62" w:rsidRPr="00170E62" w:rsidRDefault="00172E62" w:rsidP="00AC01B7">
            <w:pPr>
              <w:pStyle w:val="Table2Text"/>
            </w:pPr>
            <w:r w:rsidRPr="00170E62">
              <w:t xml:space="preserve">2011 FAD </w:t>
            </w:r>
            <w:r w:rsidR="002318FC">
              <w:t xml:space="preserve">approach </w:t>
            </w:r>
            <w:r w:rsidRPr="00170E62">
              <w:t>%</w:t>
            </w:r>
          </w:p>
        </w:tc>
        <w:tc>
          <w:tcPr>
            <w:tcW w:w="1719" w:type="dxa"/>
          </w:tcPr>
          <w:p w:rsidR="00172E62" w:rsidRPr="00170E62" w:rsidRDefault="00172E62" w:rsidP="00AC01B7">
            <w:pPr>
              <w:pStyle w:val="Table2Text"/>
            </w:pPr>
            <w:r>
              <w:t>Telstra</w:t>
            </w:r>
            <w:r w:rsidRPr="00170E62">
              <w:t xml:space="preserve">  proposed</w:t>
            </w:r>
            <w:r>
              <w:t xml:space="preserve"> </w:t>
            </w:r>
            <w:r w:rsidR="002318FC">
              <w:t xml:space="preserve">approach </w:t>
            </w:r>
            <w:r w:rsidRPr="00170E62">
              <w:t>%</w:t>
            </w:r>
          </w:p>
        </w:tc>
        <w:tc>
          <w:tcPr>
            <w:tcW w:w="1719" w:type="dxa"/>
          </w:tcPr>
          <w:p w:rsidR="00172E62" w:rsidRPr="00170E62" w:rsidRDefault="00172E62" w:rsidP="00AC01B7">
            <w:pPr>
              <w:pStyle w:val="Table2Text"/>
            </w:pPr>
            <w:r w:rsidRPr="00170E62">
              <w:t>%</w:t>
            </w:r>
            <w:r>
              <w:t xml:space="preserve"> point difference</w:t>
            </w:r>
          </w:p>
        </w:tc>
        <w:tc>
          <w:tcPr>
            <w:tcW w:w="1719" w:type="dxa"/>
          </w:tcPr>
          <w:p w:rsidR="00172E62" w:rsidRDefault="00172E62" w:rsidP="00BF3B6A">
            <w:pPr>
              <w:pStyle w:val="Table2Text"/>
            </w:pPr>
            <w:r>
              <w:t>% change</w:t>
            </w:r>
          </w:p>
        </w:tc>
      </w:tr>
      <w:tr w:rsidR="00172E62" w:rsidRPr="00170E62" w:rsidTr="00561F44">
        <w:trPr>
          <w:trHeight w:val="447"/>
        </w:trPr>
        <w:tc>
          <w:tcPr>
            <w:tcW w:w="1788" w:type="dxa"/>
          </w:tcPr>
          <w:p w:rsidR="00172E62" w:rsidRPr="00170E62" w:rsidRDefault="00172E62" w:rsidP="00350637">
            <w:pPr>
              <w:pStyle w:val="Table2Text"/>
            </w:pPr>
            <w:r>
              <w:lastRenderedPageBreak/>
              <w:t>WLR</w:t>
            </w:r>
          </w:p>
        </w:tc>
        <w:tc>
          <w:tcPr>
            <w:tcW w:w="1719" w:type="dxa"/>
            <w:vAlign w:val="center"/>
          </w:tcPr>
          <w:p w:rsidR="00172E62" w:rsidRPr="00170E62" w:rsidRDefault="00561F44" w:rsidP="00AC01B7">
            <w:pPr>
              <w:pStyle w:val="Table2Text"/>
            </w:pPr>
            <w:r>
              <w:t>[c-</w:t>
            </w:r>
            <w:proofErr w:type="spellStart"/>
            <w:r>
              <w:t>i</w:t>
            </w:r>
            <w:proofErr w:type="spellEnd"/>
            <w:r>
              <w:t>-c starts]</w:t>
            </w:r>
            <w:r w:rsidR="00552D6F">
              <w:rPr>
                <w:noProof/>
                <w:color w:val="000000"/>
                <w:highlight w:val="black"/>
              </w:rPr>
              <w:t>''''''''''</w:t>
            </w:r>
          </w:p>
        </w:tc>
        <w:tc>
          <w:tcPr>
            <w:tcW w:w="1719" w:type="dxa"/>
            <w:vAlign w:val="center"/>
          </w:tcPr>
          <w:p w:rsidR="00172E62" w:rsidRPr="00552D6F" w:rsidRDefault="00552D6F" w:rsidP="00AC01B7">
            <w:pPr>
              <w:pStyle w:val="Table2Text"/>
              <w:rPr>
                <w:highlight w:val="black"/>
              </w:rPr>
            </w:pPr>
            <w:r>
              <w:rPr>
                <w:noProof/>
                <w:color w:val="000000"/>
                <w:highlight w:val="black"/>
              </w:rPr>
              <w:t>''''''''''''</w:t>
            </w:r>
          </w:p>
        </w:tc>
        <w:tc>
          <w:tcPr>
            <w:tcW w:w="1719" w:type="dxa"/>
            <w:vAlign w:val="center"/>
          </w:tcPr>
          <w:p w:rsidR="00172E62" w:rsidRPr="00552D6F" w:rsidRDefault="00552D6F" w:rsidP="00AC01B7">
            <w:pPr>
              <w:pStyle w:val="Table2Text"/>
              <w:rPr>
                <w:highlight w:val="black"/>
              </w:rPr>
            </w:pPr>
            <w:r>
              <w:rPr>
                <w:noProof/>
                <w:color w:val="000000"/>
                <w:highlight w:val="black"/>
              </w:rPr>
              <w:t>''''''''''</w:t>
            </w:r>
          </w:p>
        </w:tc>
        <w:tc>
          <w:tcPr>
            <w:tcW w:w="1719" w:type="dxa"/>
          </w:tcPr>
          <w:p w:rsidR="00172E62" w:rsidRDefault="00552D6F" w:rsidP="00BF3B6A">
            <w:pPr>
              <w:pStyle w:val="Table2Text"/>
            </w:pPr>
            <w:r>
              <w:rPr>
                <w:noProof/>
                <w:color w:val="000000"/>
                <w:highlight w:val="black"/>
              </w:rPr>
              <w:t>'''''''''''''</w:t>
            </w:r>
            <w:r w:rsidR="00561F44">
              <w:t>[c-</w:t>
            </w:r>
            <w:proofErr w:type="spellStart"/>
            <w:r w:rsidR="00561F44">
              <w:t>i</w:t>
            </w:r>
            <w:proofErr w:type="spellEnd"/>
            <w:r w:rsidR="00561F44">
              <w:t>-c ends]</w:t>
            </w:r>
          </w:p>
        </w:tc>
      </w:tr>
    </w:tbl>
    <w:p w:rsidR="00172E62" w:rsidRDefault="00172E62" w:rsidP="00172E62">
      <w:pPr>
        <w:pStyle w:val="HeadingLevel7figure"/>
        <w:numPr>
          <w:ilvl w:val="0"/>
          <w:numId w:val="0"/>
        </w:numPr>
      </w:pPr>
    </w:p>
    <w:p w:rsidR="00172E62" w:rsidRPr="005B09BE" w:rsidRDefault="00172E62" w:rsidP="00172E62">
      <w:r>
        <w:t xml:space="preserve">Figure 2.3.2 </w:t>
      </w:r>
      <w:r w:rsidRPr="005F0991">
        <w:t>shows Telstra’s assumed share of use of other cables by the various services for 2013-14</w:t>
      </w:r>
      <w:r>
        <w:t>.</w:t>
      </w:r>
    </w:p>
    <w:p w:rsidR="00CA5B21" w:rsidRDefault="00172E62" w:rsidP="00172E62">
      <w:pPr>
        <w:pStyle w:val="HeadingLevel8table"/>
      </w:pPr>
      <w:r w:rsidRPr="0062676F">
        <w:t>Figure 2.</w:t>
      </w:r>
      <w:r>
        <w:t>3</w:t>
      </w:r>
      <w:r w:rsidRPr="0062676F">
        <w:t>.2</w:t>
      </w:r>
      <w:r w:rsidRPr="0062676F">
        <w:tab/>
        <w:t>Telstra’s proposed allocation of CA0</w:t>
      </w:r>
      <w:r>
        <w:t>3 other cables</w:t>
      </w:r>
      <w:r w:rsidR="002318FC">
        <w:t xml:space="preserve"> for 2013-14</w:t>
      </w:r>
    </w:p>
    <w:p w:rsidR="00172E62" w:rsidRDefault="00561F44" w:rsidP="00172E62">
      <w:pPr>
        <w:pStyle w:val="HeadingLevel8table"/>
      </w:pPr>
      <w:r w:rsidRPr="00561F44">
        <w:t>[</w:t>
      </w:r>
      <w:proofErr w:type="gramStart"/>
      <w:r w:rsidRPr="00561F44">
        <w:t>c-</w:t>
      </w:r>
      <w:proofErr w:type="spellStart"/>
      <w:r w:rsidRPr="00561F44">
        <w:t>i</w:t>
      </w:r>
      <w:proofErr w:type="spellEnd"/>
      <w:r w:rsidRPr="00561F44">
        <w:t>-c</w:t>
      </w:r>
      <w:proofErr w:type="gramEnd"/>
      <w:r w:rsidRPr="00561F44">
        <w:t xml:space="preserve"> starts]</w:t>
      </w:r>
    </w:p>
    <w:p w:rsidR="00CA5B21" w:rsidRDefault="00552D6F" w:rsidP="00172E62">
      <w:pPr>
        <w:pStyle w:val="HeadingLevel8table"/>
      </w:pPr>
      <w:r>
        <w:rPr>
          <w:noProof/>
          <w:lang w:eastAsia="en-AU"/>
        </w:rPr>
        <w:drawing>
          <wp:inline distT="0" distB="0" distL="0" distR="0">
            <wp:extent cx="3609340" cy="2536190"/>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09340" cy="2536190"/>
                    </a:xfrm>
                    <a:prstGeom prst="rect">
                      <a:avLst/>
                    </a:prstGeom>
                  </pic:spPr>
                </pic:pic>
              </a:graphicData>
            </a:graphic>
          </wp:inline>
        </w:drawing>
      </w:r>
    </w:p>
    <w:p w:rsidR="00172E62" w:rsidRPr="00561F44" w:rsidRDefault="00561F44" w:rsidP="00172E62">
      <w:pPr>
        <w:pStyle w:val="HeadingLevel8table"/>
        <w:rPr>
          <w:highlight w:val="yellow"/>
        </w:rPr>
      </w:pPr>
      <w:r w:rsidRPr="00561F44">
        <w:t>[</w:t>
      </w:r>
      <w:proofErr w:type="gramStart"/>
      <w:r w:rsidRPr="00561F44">
        <w:t>c-</w:t>
      </w:r>
      <w:proofErr w:type="spellStart"/>
      <w:r w:rsidRPr="00561F44">
        <w:t>i</w:t>
      </w:r>
      <w:proofErr w:type="spellEnd"/>
      <w:r w:rsidRPr="00561F44">
        <w:t>-c</w:t>
      </w:r>
      <w:proofErr w:type="gramEnd"/>
      <w:r w:rsidRPr="00561F44">
        <w:t xml:space="preserve"> ends]</w:t>
      </w:r>
    </w:p>
    <w:p w:rsidR="00172E62" w:rsidRDefault="00172E62" w:rsidP="00172E62">
      <w:pPr>
        <w:spacing w:after="200" w:line="276" w:lineRule="auto"/>
        <w:rPr>
          <w:rFonts w:eastAsiaTheme="majorEastAsia" w:cstheme="majorBidi"/>
          <w:b/>
          <w:color w:val="002060"/>
          <w:sz w:val="32"/>
          <w:szCs w:val="28"/>
        </w:rPr>
      </w:pPr>
      <w:r>
        <w:br w:type="page"/>
      </w:r>
    </w:p>
    <w:p w:rsidR="00172E62" w:rsidRDefault="00172E62" w:rsidP="00172E62">
      <w:pPr>
        <w:pStyle w:val="HeadingLevel2"/>
      </w:pPr>
      <w:bookmarkStart w:id="13" w:name="_Toc393375565"/>
      <w:r w:rsidRPr="00C86181">
        <w:lastRenderedPageBreak/>
        <w:t xml:space="preserve">CA04 </w:t>
      </w:r>
      <w:r>
        <w:t>p</w:t>
      </w:r>
      <w:r w:rsidRPr="00C86181">
        <w:t>air gain systems</w:t>
      </w:r>
      <w:bookmarkEnd w:id="13"/>
      <w:r w:rsidRPr="00C86181">
        <w:t xml:space="preserve"> </w:t>
      </w:r>
    </w:p>
    <w:p w:rsidR="00172E62" w:rsidRDefault="00172E62" w:rsidP="00172E62">
      <w:pPr>
        <w:pStyle w:val="HeadingLevel3"/>
        <w:numPr>
          <w:ilvl w:val="0"/>
          <w:numId w:val="0"/>
        </w:numPr>
      </w:pPr>
      <w:r>
        <w:t>Asset description</w:t>
      </w:r>
    </w:p>
    <w:p w:rsidR="00172E62" w:rsidRDefault="00172E62" w:rsidP="00172E62">
      <w:pPr>
        <w:rPr>
          <w:szCs w:val="20"/>
        </w:rPr>
      </w:pPr>
      <w:r>
        <w:t>Pair gain systems refer to</w:t>
      </w:r>
      <w:r>
        <w:rPr>
          <w:szCs w:val="20"/>
        </w:rPr>
        <w:t xml:space="preserve"> remote housing, devices and associated equipment used for supplying fixed line access services and fixed line voice services to end-users.</w:t>
      </w:r>
      <w:r w:rsidRPr="00957E30">
        <w:rPr>
          <w:szCs w:val="20"/>
        </w:rPr>
        <w:t xml:space="preserve"> </w:t>
      </w:r>
    </w:p>
    <w:p w:rsidR="00172E62" w:rsidRDefault="00172E62" w:rsidP="00172E62">
      <w:r>
        <w:rPr>
          <w:szCs w:val="20"/>
        </w:rPr>
        <w:t>These devices, generally CMUX units, can also facilitate the provision of broadband services to end-users with the installation of a collocated DSLAM device (these DSLAM devices, along with exchange-based DSLAM equipment, are included in CO12 data equipment)</w:t>
      </w:r>
    </w:p>
    <w:p w:rsidR="00172E62" w:rsidRDefault="00172E62" w:rsidP="00172E62">
      <w:pPr>
        <w:pStyle w:val="HeadingLevel3"/>
        <w:numPr>
          <w:ilvl w:val="0"/>
          <w:numId w:val="0"/>
        </w:numPr>
      </w:pPr>
      <w:r>
        <w:t xml:space="preserve">Key points </w:t>
      </w:r>
    </w:p>
    <w:p w:rsidR="00172E62" w:rsidRPr="00A93872" w:rsidRDefault="00172E62" w:rsidP="00172E62">
      <w:pPr>
        <w:pStyle w:val="Bulleta"/>
      </w:pPr>
      <w:r>
        <w:t>Pair gain systems contribute a material proportion towards the total fixed</w:t>
      </w:r>
      <w:r w:rsidR="000255D7">
        <w:t xml:space="preserve"> </w:t>
      </w:r>
      <w:r>
        <w:t>line revenue requirement (</w:t>
      </w:r>
      <w:r w:rsidR="00561F44">
        <w:rPr>
          <w:b/>
        </w:rPr>
        <w:t>[c-</w:t>
      </w:r>
      <w:proofErr w:type="spellStart"/>
      <w:r w:rsidR="00561F44">
        <w:rPr>
          <w:b/>
        </w:rPr>
        <w:t>i</w:t>
      </w:r>
      <w:proofErr w:type="spellEnd"/>
      <w:r w:rsidR="00561F44">
        <w:rPr>
          <w:b/>
        </w:rPr>
        <w:t>-c starts]</w:t>
      </w:r>
      <w:r w:rsidR="00552D6F">
        <w:rPr>
          <w:noProof/>
          <w:color w:val="000000"/>
          <w:highlight w:val="black"/>
        </w:rPr>
        <w:t>''''''''</w:t>
      </w:r>
      <w:r w:rsidR="00561F44">
        <w:rPr>
          <w:b/>
        </w:rPr>
        <w:t>[c-</w:t>
      </w:r>
      <w:proofErr w:type="spellStart"/>
      <w:r w:rsidR="00561F44">
        <w:rPr>
          <w:b/>
        </w:rPr>
        <w:t>i</w:t>
      </w:r>
      <w:proofErr w:type="spellEnd"/>
      <w:r w:rsidR="00561F44">
        <w:rPr>
          <w:b/>
        </w:rPr>
        <w:t>-c ends]</w:t>
      </w:r>
      <w:r>
        <w:t xml:space="preserve"> per cent</w:t>
      </w:r>
      <w:r w:rsidRPr="00A93872">
        <w:t xml:space="preserve"> in 2013-14</w:t>
      </w:r>
      <w:r>
        <w:t>).</w:t>
      </w:r>
    </w:p>
    <w:p w:rsidR="00172E62" w:rsidRDefault="00172E62" w:rsidP="00172E62">
      <w:pPr>
        <w:pStyle w:val="Bulleta"/>
      </w:pPr>
      <w:r>
        <w:t>The only declared service using other cables is WLR.</w:t>
      </w:r>
    </w:p>
    <w:p w:rsidR="00172E62" w:rsidRDefault="00172E62" w:rsidP="00172E62">
      <w:pPr>
        <w:pStyle w:val="Bulleta"/>
      </w:pPr>
      <w:r>
        <w:t>In the 2011 FADs, the cost allocation factor for pair gain systems (to WLR) was based on the cost allocation factor taken from the Analysys model and adjusted annually for changes in demand for WLR. Under Telstra’s proposed approach, the cost allocation factors is based on forecast SIOs for WLR and other access services using pair gain systems. This move to a fully allocated approach appears to be the key consideration for this asset class.</w:t>
      </w:r>
    </w:p>
    <w:p w:rsidR="00172E62" w:rsidRDefault="00172E62" w:rsidP="00172E62">
      <w:pPr>
        <w:pStyle w:val="HeadingLevel3"/>
        <w:numPr>
          <w:ilvl w:val="0"/>
          <w:numId w:val="0"/>
        </w:numPr>
      </w:pPr>
      <w:r>
        <w:t>Services using this asset class</w:t>
      </w:r>
    </w:p>
    <w:p w:rsidR="00172E62" w:rsidRDefault="00172E62" w:rsidP="00172E62">
      <w:r>
        <w:t>The only declared service using pair gain systems is WLR. Pair gain systems are also used to provide PSTN retail access services and ISDN access services.</w:t>
      </w:r>
    </w:p>
    <w:p w:rsidR="00172E62" w:rsidRDefault="00172E62" w:rsidP="00172E62">
      <w:pPr>
        <w:pStyle w:val="HeadingLevel3"/>
        <w:numPr>
          <w:ilvl w:val="0"/>
          <w:numId w:val="0"/>
        </w:numPr>
      </w:pPr>
      <w:r>
        <w:t>Approach adopted for the 2011 FAD</w:t>
      </w:r>
    </w:p>
    <w:p w:rsidR="00172E62" w:rsidRDefault="00172E62" w:rsidP="00172E62">
      <w:r>
        <w:t>In the 2011 FAD, the cost allocation factor for the pair gains systems to WLR services was initially based on the Analysys cost allocation factor for 2008-09.</w:t>
      </w:r>
    </w:p>
    <w:p w:rsidR="00172E62" w:rsidRDefault="00172E62" w:rsidP="00172E62">
      <w:r>
        <w:t>The cost allocation factor for each year was based on the cost allocation factor from the previous year and adjusted by the forecast percentage change in WLR SIOs for that year.</w:t>
      </w:r>
    </w:p>
    <w:p w:rsidR="00172E62" w:rsidRDefault="00172E62" w:rsidP="00172E62">
      <w:pPr>
        <w:pStyle w:val="HeadingLevel3"/>
        <w:numPr>
          <w:ilvl w:val="0"/>
          <w:numId w:val="0"/>
        </w:numPr>
      </w:pPr>
      <w:r>
        <w:t>Telstra proposed allocation method</w:t>
      </w:r>
    </w:p>
    <w:p w:rsidR="00172E62" w:rsidRDefault="00172E62" w:rsidP="00172E62">
      <w:r>
        <w:t>Under Telstra’s revised model, the costs associated with pair gains systems are assumed to be driven by the number of fixed line SIOs.</w:t>
      </w:r>
    </w:p>
    <w:p w:rsidR="00172E62" w:rsidRDefault="00172E62" w:rsidP="00172E62">
      <w:r>
        <w:t>The cost allocation factor is derived by calculating the ratio of forecast WLR SIOs to the combined SIO forecast for all services using pair gain systems (WLR, PSTN retail access, and ISDN access).</w:t>
      </w:r>
    </w:p>
    <w:p w:rsidR="00172E62" w:rsidRDefault="00172E62" w:rsidP="00172E62">
      <w:pPr>
        <w:pStyle w:val="HeadingLevel3"/>
        <w:numPr>
          <w:ilvl w:val="0"/>
          <w:numId w:val="0"/>
        </w:numPr>
      </w:pPr>
      <w:r>
        <w:t>Current versus Telstra’s proposed allocation factors</w:t>
      </w:r>
    </w:p>
    <w:p w:rsidR="00172E62" w:rsidRDefault="00172E62" w:rsidP="00172E62">
      <w:r>
        <w:t>Cost allocation factors for 2013-14 based on the 2011 FAD approach and Telstra’s proposed approach are provided in Table 2.4.1.</w:t>
      </w:r>
    </w:p>
    <w:p w:rsidR="00172E62" w:rsidRDefault="00172E62" w:rsidP="008D78CC">
      <w:pPr>
        <w:pStyle w:val="HeadingLevel8table"/>
        <w:ind w:left="1440" w:hanging="1440"/>
      </w:pPr>
      <w:r w:rsidRPr="00345E0A">
        <w:lastRenderedPageBreak/>
        <w:t xml:space="preserve">Table </w:t>
      </w:r>
      <w:r>
        <w:t>2</w:t>
      </w:r>
      <w:r w:rsidRPr="00345E0A">
        <w:t>.</w:t>
      </w:r>
      <w:r>
        <w:t>4</w:t>
      </w:r>
      <w:r w:rsidRPr="00345E0A">
        <w:t>.1</w:t>
      </w:r>
      <w:r w:rsidRPr="00345E0A">
        <w:tab/>
        <w:t xml:space="preserve">Comparison of 2011 FAD </w:t>
      </w:r>
      <w:r w:rsidR="002318FC">
        <w:t xml:space="preserve">approach </w:t>
      </w:r>
      <w:proofErr w:type="spellStart"/>
      <w:r w:rsidRPr="00345E0A">
        <w:t>vs</w:t>
      </w:r>
      <w:proofErr w:type="spellEnd"/>
      <w:r w:rsidRPr="00345E0A">
        <w:t xml:space="preserve"> </w:t>
      </w:r>
      <w:r>
        <w:t xml:space="preserve">Telstra’s </w:t>
      </w:r>
      <w:r w:rsidRPr="00345E0A">
        <w:t>proposed approach for C</w:t>
      </w:r>
      <w:r>
        <w:t>A</w:t>
      </w:r>
      <w:r w:rsidRPr="00345E0A">
        <w:t>0</w:t>
      </w:r>
      <w:r>
        <w:t>4 pair gain systems</w:t>
      </w:r>
      <w:r w:rsidR="002318FC">
        <w:t xml:space="preserve"> for 2013-14</w:t>
      </w:r>
    </w:p>
    <w:tbl>
      <w:tblPr>
        <w:tblStyle w:val="TableGrid"/>
        <w:tblW w:w="0" w:type="auto"/>
        <w:tblLook w:val="04A0" w:firstRow="1" w:lastRow="0" w:firstColumn="1" w:lastColumn="0" w:noHBand="0" w:noVBand="1"/>
      </w:tblPr>
      <w:tblGrid>
        <w:gridCol w:w="1788"/>
        <w:gridCol w:w="1719"/>
        <w:gridCol w:w="1719"/>
        <w:gridCol w:w="1719"/>
        <w:gridCol w:w="1719"/>
      </w:tblGrid>
      <w:tr w:rsidR="00172E62" w:rsidRPr="00170E62" w:rsidTr="00561F44">
        <w:trPr>
          <w:trHeight w:val="447"/>
        </w:trPr>
        <w:tc>
          <w:tcPr>
            <w:tcW w:w="1788" w:type="dxa"/>
          </w:tcPr>
          <w:p w:rsidR="00172E62" w:rsidRPr="00170E62" w:rsidRDefault="00172E62" w:rsidP="00350637">
            <w:pPr>
              <w:pStyle w:val="Table2Text"/>
            </w:pPr>
            <w:r>
              <w:t>Declared service</w:t>
            </w:r>
          </w:p>
        </w:tc>
        <w:tc>
          <w:tcPr>
            <w:tcW w:w="1719" w:type="dxa"/>
          </w:tcPr>
          <w:p w:rsidR="00172E62" w:rsidRPr="00170E62" w:rsidRDefault="00172E62" w:rsidP="00AC01B7">
            <w:pPr>
              <w:pStyle w:val="Table2Text"/>
            </w:pPr>
            <w:r w:rsidRPr="00170E62">
              <w:t xml:space="preserve">2011 FAD </w:t>
            </w:r>
            <w:r w:rsidR="002318FC">
              <w:t xml:space="preserve">approach </w:t>
            </w:r>
            <w:r w:rsidRPr="00170E62">
              <w:t>%</w:t>
            </w:r>
          </w:p>
        </w:tc>
        <w:tc>
          <w:tcPr>
            <w:tcW w:w="1719" w:type="dxa"/>
          </w:tcPr>
          <w:p w:rsidR="00172E62" w:rsidRPr="00170E62" w:rsidRDefault="00172E62" w:rsidP="00AC01B7">
            <w:pPr>
              <w:pStyle w:val="Table2Text"/>
            </w:pPr>
            <w:r>
              <w:t>Telstra</w:t>
            </w:r>
            <w:r w:rsidRPr="00170E62">
              <w:t xml:space="preserve">  proposed</w:t>
            </w:r>
            <w:r>
              <w:t xml:space="preserve"> </w:t>
            </w:r>
            <w:r w:rsidR="002318FC">
              <w:t xml:space="preserve">approach </w:t>
            </w:r>
            <w:r w:rsidRPr="00170E62">
              <w:t>%</w:t>
            </w:r>
          </w:p>
        </w:tc>
        <w:tc>
          <w:tcPr>
            <w:tcW w:w="1719" w:type="dxa"/>
          </w:tcPr>
          <w:p w:rsidR="00172E62" w:rsidRPr="00170E62" w:rsidRDefault="00172E62" w:rsidP="00AC01B7">
            <w:pPr>
              <w:pStyle w:val="Table2Text"/>
            </w:pPr>
            <w:r w:rsidRPr="00170E62">
              <w:t>%</w:t>
            </w:r>
            <w:r>
              <w:t xml:space="preserve"> point difference</w:t>
            </w:r>
          </w:p>
        </w:tc>
        <w:tc>
          <w:tcPr>
            <w:tcW w:w="1719" w:type="dxa"/>
          </w:tcPr>
          <w:p w:rsidR="00172E62" w:rsidRDefault="00172E62" w:rsidP="00BF3B6A">
            <w:pPr>
              <w:pStyle w:val="Table2Text"/>
            </w:pPr>
            <w:r>
              <w:t>% change</w:t>
            </w:r>
          </w:p>
        </w:tc>
      </w:tr>
      <w:tr w:rsidR="00172E62" w:rsidRPr="00170E62" w:rsidTr="00561F44">
        <w:trPr>
          <w:trHeight w:val="447"/>
        </w:trPr>
        <w:tc>
          <w:tcPr>
            <w:tcW w:w="1788" w:type="dxa"/>
          </w:tcPr>
          <w:p w:rsidR="00172E62" w:rsidRPr="00170E62" w:rsidRDefault="00172E62" w:rsidP="00350637">
            <w:pPr>
              <w:pStyle w:val="Table2Text"/>
            </w:pPr>
            <w:r>
              <w:t>WLR</w:t>
            </w:r>
          </w:p>
        </w:tc>
        <w:tc>
          <w:tcPr>
            <w:tcW w:w="1719" w:type="dxa"/>
            <w:vAlign w:val="center"/>
          </w:tcPr>
          <w:p w:rsidR="00172E62" w:rsidRPr="00170E62" w:rsidRDefault="00561F44" w:rsidP="00AC01B7">
            <w:pPr>
              <w:pStyle w:val="Table2Text"/>
            </w:pPr>
            <w:r>
              <w:t>[c-</w:t>
            </w:r>
            <w:proofErr w:type="spellStart"/>
            <w:r>
              <w:t>i</w:t>
            </w:r>
            <w:proofErr w:type="spellEnd"/>
            <w:r>
              <w:t>-c starts]</w:t>
            </w:r>
            <w:r w:rsidR="00552D6F">
              <w:rPr>
                <w:noProof/>
                <w:color w:val="000000"/>
                <w:highlight w:val="black"/>
              </w:rPr>
              <w:t>'''''''''''</w:t>
            </w:r>
          </w:p>
        </w:tc>
        <w:tc>
          <w:tcPr>
            <w:tcW w:w="1719" w:type="dxa"/>
            <w:vAlign w:val="center"/>
          </w:tcPr>
          <w:p w:rsidR="00172E62" w:rsidRPr="00552D6F" w:rsidRDefault="00552D6F" w:rsidP="00AC01B7">
            <w:pPr>
              <w:pStyle w:val="Table2Text"/>
              <w:rPr>
                <w:highlight w:val="black"/>
              </w:rPr>
            </w:pPr>
            <w:r>
              <w:rPr>
                <w:noProof/>
                <w:color w:val="000000"/>
                <w:highlight w:val="black"/>
              </w:rPr>
              <w:t>''''''''''''</w:t>
            </w:r>
          </w:p>
        </w:tc>
        <w:tc>
          <w:tcPr>
            <w:tcW w:w="1719" w:type="dxa"/>
            <w:vAlign w:val="center"/>
          </w:tcPr>
          <w:p w:rsidR="00172E62" w:rsidRPr="00552D6F" w:rsidRDefault="00552D6F" w:rsidP="00AC01B7">
            <w:pPr>
              <w:pStyle w:val="Table2Text"/>
              <w:rPr>
                <w:highlight w:val="black"/>
              </w:rPr>
            </w:pPr>
            <w:r>
              <w:rPr>
                <w:noProof/>
                <w:color w:val="000000"/>
                <w:highlight w:val="black"/>
              </w:rPr>
              <w:t>''''''''''</w:t>
            </w:r>
          </w:p>
        </w:tc>
        <w:tc>
          <w:tcPr>
            <w:tcW w:w="1719" w:type="dxa"/>
          </w:tcPr>
          <w:p w:rsidR="00172E62" w:rsidRDefault="00552D6F" w:rsidP="00BF3B6A">
            <w:pPr>
              <w:pStyle w:val="Table2Text"/>
            </w:pPr>
            <w:r>
              <w:rPr>
                <w:noProof/>
                <w:color w:val="000000"/>
                <w:highlight w:val="black"/>
              </w:rPr>
              <w:t>'''''''''''''''</w:t>
            </w:r>
            <w:r w:rsidR="00561F44">
              <w:t>[c-</w:t>
            </w:r>
            <w:proofErr w:type="spellStart"/>
            <w:r w:rsidR="00561F44">
              <w:t>i</w:t>
            </w:r>
            <w:proofErr w:type="spellEnd"/>
            <w:r w:rsidR="00561F44">
              <w:t>-c ends]</w:t>
            </w:r>
          </w:p>
        </w:tc>
      </w:tr>
    </w:tbl>
    <w:p w:rsidR="00172E62" w:rsidRDefault="00172E62" w:rsidP="00172E62"/>
    <w:p w:rsidR="00172E62" w:rsidRPr="004D510C" w:rsidRDefault="00172E62" w:rsidP="00172E62">
      <w:r>
        <w:t>Figure 2.4.2</w:t>
      </w:r>
      <w:r w:rsidRPr="004D510C">
        <w:t xml:space="preserve"> shows Telstra’s assumed share use of the pair gains systems assets by the various services for 2013-14.</w:t>
      </w:r>
    </w:p>
    <w:p w:rsidR="00CA5B21" w:rsidRDefault="00172E62" w:rsidP="00172E62">
      <w:pPr>
        <w:pStyle w:val="HeadingLevel8table"/>
      </w:pPr>
      <w:r w:rsidRPr="0062676F">
        <w:t>Figure 2.</w:t>
      </w:r>
      <w:r>
        <w:t>4</w:t>
      </w:r>
      <w:r w:rsidRPr="0062676F">
        <w:t>.2</w:t>
      </w:r>
      <w:r w:rsidRPr="0062676F">
        <w:tab/>
        <w:t>Telstra’s proposed allocation of CA0</w:t>
      </w:r>
      <w:r>
        <w:t>4 pair gain systems</w:t>
      </w:r>
      <w:r w:rsidR="002318FC">
        <w:t xml:space="preserve"> for 2013-14</w:t>
      </w:r>
    </w:p>
    <w:p w:rsidR="00172E62" w:rsidRDefault="00561F44" w:rsidP="00172E62">
      <w:pPr>
        <w:pStyle w:val="HeadingLevel8table"/>
      </w:pPr>
      <w:r w:rsidRPr="00561F44">
        <w:t>[</w:t>
      </w:r>
      <w:proofErr w:type="gramStart"/>
      <w:r w:rsidRPr="00561F44">
        <w:t>c-</w:t>
      </w:r>
      <w:proofErr w:type="spellStart"/>
      <w:r w:rsidRPr="00561F44">
        <w:t>i</w:t>
      </w:r>
      <w:proofErr w:type="spellEnd"/>
      <w:r w:rsidRPr="00561F44">
        <w:t>-c</w:t>
      </w:r>
      <w:proofErr w:type="gramEnd"/>
      <w:r w:rsidRPr="00561F44">
        <w:t xml:space="preserve"> starts]</w:t>
      </w:r>
    </w:p>
    <w:p w:rsidR="00CA5B21" w:rsidRDefault="00552D6F" w:rsidP="00172E62">
      <w:pPr>
        <w:pStyle w:val="HeadingLevel8table"/>
      </w:pPr>
      <w:r>
        <w:rPr>
          <w:noProof/>
          <w:lang w:eastAsia="en-AU"/>
        </w:rPr>
        <w:drawing>
          <wp:inline distT="0" distB="0" distL="0" distR="0">
            <wp:extent cx="3609340" cy="2536190"/>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09340" cy="2536190"/>
                    </a:xfrm>
                    <a:prstGeom prst="rect">
                      <a:avLst/>
                    </a:prstGeom>
                  </pic:spPr>
                </pic:pic>
              </a:graphicData>
            </a:graphic>
          </wp:inline>
        </w:drawing>
      </w:r>
    </w:p>
    <w:p w:rsidR="00172E62" w:rsidRPr="00561F44" w:rsidRDefault="00561F44" w:rsidP="00172E62">
      <w:pPr>
        <w:pStyle w:val="HeadingLevel8table"/>
      </w:pPr>
      <w:r w:rsidRPr="00561F44">
        <w:t>[</w:t>
      </w:r>
      <w:proofErr w:type="gramStart"/>
      <w:r w:rsidRPr="00561F44">
        <w:t>c-</w:t>
      </w:r>
      <w:proofErr w:type="spellStart"/>
      <w:r w:rsidRPr="00561F44">
        <w:t>i</w:t>
      </w:r>
      <w:proofErr w:type="spellEnd"/>
      <w:r w:rsidRPr="00561F44">
        <w:t>-c</w:t>
      </w:r>
      <w:proofErr w:type="gramEnd"/>
      <w:r w:rsidRPr="00561F44">
        <w:t xml:space="preserve"> ends]</w:t>
      </w:r>
    </w:p>
    <w:p w:rsidR="00172E62" w:rsidRPr="00D76A79" w:rsidRDefault="00172E62" w:rsidP="00172E62"/>
    <w:p w:rsidR="00172E62" w:rsidRDefault="00172E62" w:rsidP="00172E62">
      <w:pPr>
        <w:spacing w:after="200" w:line="276" w:lineRule="auto"/>
        <w:rPr>
          <w:rFonts w:eastAsiaTheme="majorEastAsia" w:cstheme="majorBidi"/>
          <w:b/>
          <w:color w:val="002060"/>
          <w:sz w:val="32"/>
          <w:szCs w:val="28"/>
        </w:rPr>
      </w:pPr>
      <w:r>
        <w:br w:type="page"/>
      </w:r>
    </w:p>
    <w:p w:rsidR="00172E62" w:rsidRPr="006022D6" w:rsidRDefault="00172E62" w:rsidP="00172E62">
      <w:pPr>
        <w:pStyle w:val="HeadingLevel2"/>
      </w:pPr>
      <w:bookmarkStart w:id="14" w:name="_Toc393375566"/>
      <w:r w:rsidRPr="006022D6">
        <w:lastRenderedPageBreak/>
        <w:t>CA05 CAN radio bearer equipment</w:t>
      </w:r>
      <w:bookmarkEnd w:id="14"/>
      <w:r w:rsidRPr="006022D6">
        <w:t xml:space="preserve"> </w:t>
      </w:r>
    </w:p>
    <w:p w:rsidR="00172E62" w:rsidRPr="006022D6" w:rsidRDefault="00172E62" w:rsidP="00172E62">
      <w:pPr>
        <w:pStyle w:val="HeadingLevel3"/>
        <w:numPr>
          <w:ilvl w:val="0"/>
          <w:numId w:val="0"/>
        </w:numPr>
      </w:pPr>
      <w:r w:rsidRPr="006022D6">
        <w:t>Asset description</w:t>
      </w:r>
    </w:p>
    <w:p w:rsidR="00172E62" w:rsidRPr="006022D6" w:rsidRDefault="00172E62" w:rsidP="00172E62">
      <w:r w:rsidRPr="006022D6">
        <w:t>These assets include antennas, terminals and related equipment</w:t>
      </w:r>
      <w:r w:rsidR="008A7E4A">
        <w:t xml:space="preserve"> </w:t>
      </w:r>
      <w:r w:rsidRPr="006022D6">
        <w:t xml:space="preserve">used </w:t>
      </w:r>
      <w:r w:rsidR="008A7E4A">
        <w:t xml:space="preserve">to provide </w:t>
      </w:r>
      <w:r w:rsidRPr="006022D6">
        <w:t xml:space="preserve">fixed wireless PSTN voice services in rural and remote areas. These assets are not related to mobile wireless services. </w:t>
      </w:r>
    </w:p>
    <w:p w:rsidR="00172E62" w:rsidRPr="006022D6" w:rsidRDefault="00172E62" w:rsidP="00172E62">
      <w:pPr>
        <w:pStyle w:val="HeadingLevel3"/>
        <w:numPr>
          <w:ilvl w:val="0"/>
          <w:numId w:val="0"/>
        </w:numPr>
      </w:pPr>
      <w:r w:rsidRPr="006022D6">
        <w:t xml:space="preserve">Key points </w:t>
      </w:r>
    </w:p>
    <w:p w:rsidR="00B67EF1" w:rsidRPr="00A93872" w:rsidRDefault="00B67EF1" w:rsidP="00B67EF1">
      <w:pPr>
        <w:pStyle w:val="Bulleta"/>
      </w:pPr>
      <w:r w:rsidRPr="006022D6">
        <w:t xml:space="preserve">CAN radio bearer equipment </w:t>
      </w:r>
      <w:r>
        <w:t>contributes only a minor proportion towards the total fixed</w:t>
      </w:r>
      <w:r w:rsidR="000255D7">
        <w:t xml:space="preserve"> </w:t>
      </w:r>
      <w:r>
        <w:t>line revenue requirement (</w:t>
      </w:r>
      <w:r>
        <w:rPr>
          <w:b/>
        </w:rPr>
        <w:t>[c-</w:t>
      </w:r>
      <w:proofErr w:type="spellStart"/>
      <w:r>
        <w:rPr>
          <w:b/>
        </w:rPr>
        <w:t>i</w:t>
      </w:r>
      <w:proofErr w:type="spellEnd"/>
      <w:r>
        <w:rPr>
          <w:b/>
        </w:rPr>
        <w:t>-c starts]</w:t>
      </w:r>
      <w:r w:rsidR="00552D6F">
        <w:rPr>
          <w:noProof/>
          <w:color w:val="000000"/>
          <w:highlight w:val="black"/>
        </w:rPr>
        <w:t>'''''''</w:t>
      </w:r>
      <w:r>
        <w:rPr>
          <w:b/>
        </w:rPr>
        <w:t>[c-</w:t>
      </w:r>
      <w:proofErr w:type="spellStart"/>
      <w:r>
        <w:rPr>
          <w:b/>
        </w:rPr>
        <w:t>i</w:t>
      </w:r>
      <w:proofErr w:type="spellEnd"/>
      <w:r>
        <w:rPr>
          <w:b/>
        </w:rPr>
        <w:t>-c ends]</w:t>
      </w:r>
      <w:r>
        <w:t xml:space="preserve"> per cent</w:t>
      </w:r>
      <w:r w:rsidRPr="00A93872">
        <w:t xml:space="preserve"> in 2013-14</w:t>
      </w:r>
      <w:r>
        <w:t>).</w:t>
      </w:r>
    </w:p>
    <w:p w:rsidR="00B67EF1" w:rsidRDefault="00743893" w:rsidP="00172E62">
      <w:pPr>
        <w:pStyle w:val="Bulleta"/>
      </w:pPr>
      <w:r>
        <w:t>In the 2011 FADs, there was no allocation of CAN radio bearer equipment costs to declared services. Under Telstra’s proposed cost allocation approach, there is an allocation of CAN radio bearer equipment costs to WLR.</w:t>
      </w:r>
    </w:p>
    <w:p w:rsidR="00172E62" w:rsidRDefault="00172E62" w:rsidP="00172E62">
      <w:pPr>
        <w:pStyle w:val="HeadingLevel3"/>
        <w:numPr>
          <w:ilvl w:val="0"/>
          <w:numId w:val="0"/>
        </w:numPr>
      </w:pPr>
      <w:r>
        <w:t>Services using this asset class</w:t>
      </w:r>
    </w:p>
    <w:p w:rsidR="00FB54FD" w:rsidRDefault="00FB54FD" w:rsidP="00FB54FD">
      <w:r>
        <w:t xml:space="preserve">According to Telstra’s proposal the only declared service using </w:t>
      </w:r>
      <w:r w:rsidRPr="006022D6">
        <w:t xml:space="preserve">CAN radio bearer equipment </w:t>
      </w:r>
      <w:r>
        <w:t xml:space="preserve">is WLR (although no allocation of these costs was made to WLR in the 2011 FADs). </w:t>
      </w:r>
      <w:r w:rsidRPr="006022D6">
        <w:t xml:space="preserve">CAN radio bearer equipment </w:t>
      </w:r>
      <w:r>
        <w:t>is also used to provide PSTN retail access services.</w:t>
      </w:r>
    </w:p>
    <w:p w:rsidR="00172E62" w:rsidRDefault="00172E62" w:rsidP="00172E62">
      <w:pPr>
        <w:pStyle w:val="HeadingLevel3"/>
        <w:numPr>
          <w:ilvl w:val="0"/>
          <w:numId w:val="0"/>
        </w:numPr>
      </w:pPr>
      <w:r>
        <w:t>Approach adopted for the 2011 FAD</w:t>
      </w:r>
    </w:p>
    <w:p w:rsidR="00FB54FD" w:rsidRDefault="00FB54FD" w:rsidP="00172E62">
      <w:r>
        <w:t xml:space="preserve">Similar to other CAN asset classes, </w:t>
      </w:r>
      <w:r w:rsidR="00A8340F">
        <w:t>the Analysys model was used as a basis for determining the cost allocation factors for CAN radio bearer equipment in the 2011 FADs. Because the Analysys model did not allocate any costs of CAN radio bearer equipment to declared services, no allocation of this asset class was made to declared services.</w:t>
      </w:r>
    </w:p>
    <w:p w:rsidR="00172E62" w:rsidRDefault="00172E62" w:rsidP="00172E62">
      <w:pPr>
        <w:pStyle w:val="HeadingLevel3"/>
        <w:numPr>
          <w:ilvl w:val="0"/>
          <w:numId w:val="0"/>
        </w:numPr>
      </w:pPr>
      <w:r>
        <w:t>Telstra proposed allocation method</w:t>
      </w:r>
    </w:p>
    <w:p w:rsidR="00172E62" w:rsidRDefault="00172E62" w:rsidP="00172E62">
      <w:r>
        <w:t xml:space="preserve">Under Telstra’s revised model, the costs associated with </w:t>
      </w:r>
      <w:r w:rsidR="00913A90">
        <w:t xml:space="preserve">CAN </w:t>
      </w:r>
      <w:r>
        <w:t>radio bearer equipment are assumed to be driven by the number of fixed line SIOs.</w:t>
      </w:r>
    </w:p>
    <w:p w:rsidR="00913A90" w:rsidRDefault="00913A90" w:rsidP="00913A90">
      <w:r>
        <w:t>The cost allocation factor is derived by calculating the ratio of forecast WLR SIOs to the combined SIO forecast for WLR and PSTN retail access.</w:t>
      </w:r>
    </w:p>
    <w:p w:rsidR="00172E62" w:rsidRPr="007D590D" w:rsidRDefault="00172E62" w:rsidP="00172E62">
      <w:pPr>
        <w:pStyle w:val="HeadingLevel3"/>
        <w:numPr>
          <w:ilvl w:val="0"/>
          <w:numId w:val="0"/>
        </w:numPr>
      </w:pPr>
      <w:r>
        <w:t>Current versus</w:t>
      </w:r>
      <w:r w:rsidRPr="007D590D">
        <w:t xml:space="preserve"> Telstra’s proposed allocation </w:t>
      </w:r>
      <w:r>
        <w:t>method</w:t>
      </w:r>
      <w:r w:rsidR="006355F9">
        <w:t xml:space="preserve"> </w:t>
      </w:r>
    </w:p>
    <w:p w:rsidR="00172E62" w:rsidRDefault="00172E62" w:rsidP="00172E62">
      <w:r>
        <w:t>Cost allocation factors for 2013-14 based on the 2011 FAD approach and Telstra’s proposed approach are provided in Table 2.5.1.</w:t>
      </w:r>
    </w:p>
    <w:p w:rsidR="00172E62" w:rsidRDefault="00172E62" w:rsidP="00F25347">
      <w:pPr>
        <w:pStyle w:val="HeadingLevel8table"/>
        <w:ind w:left="1440" w:hanging="1440"/>
      </w:pPr>
      <w:r w:rsidRPr="00345E0A">
        <w:t xml:space="preserve">Table </w:t>
      </w:r>
      <w:r>
        <w:t>2</w:t>
      </w:r>
      <w:r w:rsidRPr="00345E0A">
        <w:t>.</w:t>
      </w:r>
      <w:r>
        <w:t>5</w:t>
      </w:r>
      <w:r w:rsidRPr="00345E0A">
        <w:t>.1</w:t>
      </w:r>
      <w:r w:rsidRPr="00345E0A">
        <w:tab/>
        <w:t xml:space="preserve">Comparison of 2011 FAD </w:t>
      </w:r>
      <w:r w:rsidR="002318FC">
        <w:t xml:space="preserve">approach </w:t>
      </w:r>
      <w:proofErr w:type="spellStart"/>
      <w:r w:rsidRPr="00345E0A">
        <w:t>vs</w:t>
      </w:r>
      <w:proofErr w:type="spellEnd"/>
      <w:r w:rsidRPr="00345E0A">
        <w:t xml:space="preserve"> </w:t>
      </w:r>
      <w:r w:rsidR="00F25347">
        <w:t>Telstra’s</w:t>
      </w:r>
      <w:r w:rsidRPr="00345E0A">
        <w:t xml:space="preserve"> proposed approach for C</w:t>
      </w:r>
      <w:r>
        <w:t>A</w:t>
      </w:r>
      <w:r w:rsidRPr="00345E0A">
        <w:t>0</w:t>
      </w:r>
      <w:r>
        <w:t>5</w:t>
      </w:r>
      <w:r w:rsidR="00F25347">
        <w:t xml:space="preserve"> CAN radio bearer equipment</w:t>
      </w:r>
      <w:r w:rsidR="002318FC">
        <w:t xml:space="preserve"> for 2013-14</w:t>
      </w:r>
    </w:p>
    <w:tbl>
      <w:tblPr>
        <w:tblStyle w:val="TableGrid"/>
        <w:tblW w:w="0" w:type="auto"/>
        <w:tblLook w:val="04A0" w:firstRow="1" w:lastRow="0" w:firstColumn="1" w:lastColumn="0" w:noHBand="0" w:noVBand="1"/>
      </w:tblPr>
      <w:tblGrid>
        <w:gridCol w:w="1767"/>
        <w:gridCol w:w="1664"/>
        <w:gridCol w:w="1777"/>
        <w:gridCol w:w="1920"/>
        <w:gridCol w:w="1536"/>
      </w:tblGrid>
      <w:tr w:rsidR="00172E62" w:rsidTr="00561F44">
        <w:trPr>
          <w:trHeight w:val="447"/>
        </w:trPr>
        <w:tc>
          <w:tcPr>
            <w:tcW w:w="1767" w:type="dxa"/>
          </w:tcPr>
          <w:p w:rsidR="00172E62" w:rsidRDefault="00172E62" w:rsidP="00350637">
            <w:pPr>
              <w:pStyle w:val="Table2Text"/>
            </w:pPr>
            <w:r>
              <w:t>Declared service</w:t>
            </w:r>
          </w:p>
        </w:tc>
        <w:tc>
          <w:tcPr>
            <w:tcW w:w="1664" w:type="dxa"/>
            <w:vAlign w:val="center"/>
          </w:tcPr>
          <w:p w:rsidR="00172E62" w:rsidRDefault="00172E62" w:rsidP="00AC01B7">
            <w:pPr>
              <w:pStyle w:val="Table2Text"/>
            </w:pPr>
            <w:r>
              <w:t>2011 FAD</w:t>
            </w:r>
            <w:r w:rsidR="002318FC">
              <w:t xml:space="preserve"> approach</w:t>
            </w:r>
            <w:r>
              <w:t xml:space="preserve"> % </w:t>
            </w:r>
          </w:p>
        </w:tc>
        <w:tc>
          <w:tcPr>
            <w:tcW w:w="1777" w:type="dxa"/>
            <w:vAlign w:val="center"/>
          </w:tcPr>
          <w:p w:rsidR="00172E62" w:rsidRDefault="00172E62" w:rsidP="00AC01B7">
            <w:pPr>
              <w:pStyle w:val="Table2Text"/>
            </w:pPr>
            <w:r>
              <w:t xml:space="preserve">Telstra proposed </w:t>
            </w:r>
            <w:r w:rsidR="002318FC">
              <w:t xml:space="preserve">approach </w:t>
            </w:r>
            <w:r>
              <w:t>%</w:t>
            </w:r>
          </w:p>
        </w:tc>
        <w:tc>
          <w:tcPr>
            <w:tcW w:w="1920" w:type="dxa"/>
            <w:vAlign w:val="center"/>
          </w:tcPr>
          <w:p w:rsidR="00172E62" w:rsidRDefault="00172E62" w:rsidP="00AC01B7">
            <w:pPr>
              <w:pStyle w:val="Table2Text"/>
            </w:pPr>
            <w:r w:rsidRPr="008E313E">
              <w:t>% poin</w:t>
            </w:r>
            <w:r>
              <w:t>t difference</w:t>
            </w:r>
          </w:p>
        </w:tc>
        <w:tc>
          <w:tcPr>
            <w:tcW w:w="1536" w:type="dxa"/>
          </w:tcPr>
          <w:p w:rsidR="00172E62" w:rsidRPr="008E313E" w:rsidRDefault="00172E62" w:rsidP="00BF3B6A">
            <w:pPr>
              <w:pStyle w:val="Table2Text"/>
            </w:pPr>
            <w:r w:rsidRPr="00ED4DB4">
              <w:t>%</w:t>
            </w:r>
            <w:r>
              <w:t xml:space="preserve"> change</w:t>
            </w:r>
          </w:p>
        </w:tc>
      </w:tr>
      <w:tr w:rsidR="00172E62" w:rsidTr="00561F44">
        <w:trPr>
          <w:trHeight w:val="447"/>
        </w:trPr>
        <w:tc>
          <w:tcPr>
            <w:tcW w:w="1767" w:type="dxa"/>
          </w:tcPr>
          <w:p w:rsidR="00172E62" w:rsidRDefault="00172E62" w:rsidP="00350637">
            <w:pPr>
              <w:pStyle w:val="Table2Text"/>
            </w:pPr>
            <w:r>
              <w:t xml:space="preserve">WLR </w:t>
            </w:r>
          </w:p>
        </w:tc>
        <w:tc>
          <w:tcPr>
            <w:tcW w:w="1664" w:type="dxa"/>
            <w:vAlign w:val="center"/>
          </w:tcPr>
          <w:p w:rsidR="00172E62" w:rsidRDefault="00561F44" w:rsidP="00AC01B7">
            <w:pPr>
              <w:pStyle w:val="Table2Text"/>
            </w:pPr>
            <w:r>
              <w:t>[c-</w:t>
            </w:r>
            <w:proofErr w:type="spellStart"/>
            <w:r>
              <w:t>i</w:t>
            </w:r>
            <w:proofErr w:type="spellEnd"/>
            <w:r>
              <w:t>-c starts]</w:t>
            </w:r>
            <w:r w:rsidR="00552D6F">
              <w:rPr>
                <w:noProof/>
                <w:color w:val="000000"/>
                <w:highlight w:val="black"/>
              </w:rPr>
              <w:t>'''''''</w:t>
            </w:r>
          </w:p>
        </w:tc>
        <w:tc>
          <w:tcPr>
            <w:tcW w:w="1777" w:type="dxa"/>
            <w:vAlign w:val="center"/>
          </w:tcPr>
          <w:p w:rsidR="00172E62" w:rsidRPr="00552D6F" w:rsidRDefault="00552D6F" w:rsidP="00AC01B7">
            <w:pPr>
              <w:pStyle w:val="Table2Text"/>
              <w:rPr>
                <w:highlight w:val="black"/>
              </w:rPr>
            </w:pPr>
            <w:r>
              <w:rPr>
                <w:noProof/>
                <w:color w:val="000000"/>
                <w:highlight w:val="black"/>
              </w:rPr>
              <w:t>'''''''''''</w:t>
            </w:r>
          </w:p>
        </w:tc>
        <w:tc>
          <w:tcPr>
            <w:tcW w:w="1920" w:type="dxa"/>
            <w:vAlign w:val="center"/>
          </w:tcPr>
          <w:p w:rsidR="00172E62" w:rsidRPr="00552D6F" w:rsidRDefault="00552D6F" w:rsidP="00AC01B7">
            <w:pPr>
              <w:pStyle w:val="Table2Text"/>
              <w:rPr>
                <w:highlight w:val="black"/>
              </w:rPr>
            </w:pPr>
            <w:r>
              <w:rPr>
                <w:noProof/>
                <w:color w:val="000000"/>
                <w:highlight w:val="black"/>
              </w:rPr>
              <w:t>'''''''''''''</w:t>
            </w:r>
          </w:p>
        </w:tc>
        <w:tc>
          <w:tcPr>
            <w:tcW w:w="1536" w:type="dxa"/>
          </w:tcPr>
          <w:p w:rsidR="00172E62" w:rsidRDefault="00552D6F" w:rsidP="00BF3B6A">
            <w:pPr>
              <w:pStyle w:val="Table2Text"/>
            </w:pPr>
            <w:r>
              <w:rPr>
                <w:noProof/>
                <w:color w:val="000000"/>
                <w:highlight w:val="black"/>
              </w:rPr>
              <w:t>'''''''''</w:t>
            </w:r>
            <w:r w:rsidR="00561F44">
              <w:t>[c-</w:t>
            </w:r>
            <w:proofErr w:type="spellStart"/>
            <w:r w:rsidR="00561F44">
              <w:t>i</w:t>
            </w:r>
            <w:proofErr w:type="spellEnd"/>
            <w:r w:rsidR="00561F44">
              <w:t>-c ends]</w:t>
            </w:r>
          </w:p>
        </w:tc>
      </w:tr>
    </w:tbl>
    <w:p w:rsidR="00172E62" w:rsidRDefault="00172E62" w:rsidP="00172E62"/>
    <w:p w:rsidR="00172E62" w:rsidRDefault="00172E62" w:rsidP="00172E62">
      <w:r>
        <w:t>Figure 2.5.2</w:t>
      </w:r>
      <w:r w:rsidRPr="007D590D">
        <w:t xml:space="preserve"> Telstra’s assumed share of the radio bearer equipment asset class by the various services for 2013-14.</w:t>
      </w:r>
    </w:p>
    <w:p w:rsidR="00C964FC" w:rsidRDefault="00172E62" w:rsidP="008D78CC">
      <w:pPr>
        <w:pStyle w:val="HeadingLevel8table"/>
        <w:ind w:left="1440" w:hanging="1440"/>
      </w:pPr>
      <w:r w:rsidRPr="0062676F">
        <w:lastRenderedPageBreak/>
        <w:t>Figure 2.</w:t>
      </w:r>
      <w:r>
        <w:t>5</w:t>
      </w:r>
      <w:r w:rsidRPr="0062676F">
        <w:t>.2</w:t>
      </w:r>
      <w:r w:rsidRPr="0062676F">
        <w:tab/>
        <w:t>Telstra’s proposed allocation of CA0</w:t>
      </w:r>
      <w:r>
        <w:t>5</w:t>
      </w:r>
      <w:r w:rsidR="00F25347">
        <w:t xml:space="preserve"> CAN radio bearer equip</w:t>
      </w:r>
      <w:r w:rsidR="005A1937">
        <w:t>ment</w:t>
      </w:r>
      <w:r w:rsidR="002318FC">
        <w:t xml:space="preserve"> for 2013-14</w:t>
      </w:r>
    </w:p>
    <w:p w:rsidR="00CA5B21" w:rsidRPr="005871C8" w:rsidRDefault="00CA5B21" w:rsidP="008D78CC">
      <w:r w:rsidRPr="008D78CC">
        <w:rPr>
          <w:b/>
        </w:rPr>
        <w:t>[</w:t>
      </w:r>
      <w:proofErr w:type="gramStart"/>
      <w:r w:rsidRPr="008D78CC">
        <w:rPr>
          <w:b/>
        </w:rPr>
        <w:t>c-</w:t>
      </w:r>
      <w:proofErr w:type="spellStart"/>
      <w:r w:rsidRPr="008D78CC">
        <w:rPr>
          <w:b/>
        </w:rPr>
        <w:t>i</w:t>
      </w:r>
      <w:proofErr w:type="spellEnd"/>
      <w:r w:rsidRPr="008D78CC">
        <w:rPr>
          <w:b/>
        </w:rPr>
        <w:t>-c</w:t>
      </w:r>
      <w:proofErr w:type="gramEnd"/>
      <w:r w:rsidRPr="008D78CC">
        <w:rPr>
          <w:b/>
        </w:rPr>
        <w:t xml:space="preserve"> starts]</w:t>
      </w:r>
    </w:p>
    <w:p w:rsidR="00CA5B21" w:rsidRDefault="00552D6F" w:rsidP="00172E62">
      <w:pPr>
        <w:pStyle w:val="HeadingLevel8table"/>
        <w:rPr>
          <w:b w:val="0"/>
        </w:rPr>
      </w:pPr>
      <w:r>
        <w:rPr>
          <w:b w:val="0"/>
          <w:noProof/>
          <w:lang w:eastAsia="en-AU"/>
        </w:rPr>
        <w:drawing>
          <wp:inline distT="0" distB="0" distL="0" distR="0">
            <wp:extent cx="3615055" cy="2529840"/>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15055" cy="2529840"/>
                    </a:xfrm>
                    <a:prstGeom prst="rect">
                      <a:avLst/>
                    </a:prstGeom>
                  </pic:spPr>
                </pic:pic>
              </a:graphicData>
            </a:graphic>
          </wp:inline>
        </w:drawing>
      </w:r>
      <w:r w:rsidR="00561F44" w:rsidRPr="00561F44">
        <w:rPr>
          <w:b w:val="0"/>
        </w:rPr>
        <w:t xml:space="preserve"> </w:t>
      </w:r>
    </w:p>
    <w:p w:rsidR="00172E62" w:rsidRDefault="00561F44" w:rsidP="00172E62">
      <w:pPr>
        <w:pStyle w:val="HeadingLevel8table"/>
      </w:pPr>
      <w:r w:rsidRPr="00561F44">
        <w:t>[</w:t>
      </w:r>
      <w:proofErr w:type="gramStart"/>
      <w:r w:rsidRPr="00561F44">
        <w:t>c-</w:t>
      </w:r>
      <w:proofErr w:type="spellStart"/>
      <w:r w:rsidRPr="00561F44">
        <w:t>i</w:t>
      </w:r>
      <w:proofErr w:type="spellEnd"/>
      <w:r w:rsidRPr="00561F44">
        <w:t>-c</w:t>
      </w:r>
      <w:proofErr w:type="gramEnd"/>
      <w:r w:rsidRPr="00561F44">
        <w:t xml:space="preserve"> ends]</w:t>
      </w:r>
    </w:p>
    <w:p w:rsidR="00172E62" w:rsidRDefault="00172E62" w:rsidP="00172E62">
      <w:pPr>
        <w:spacing w:after="200" w:line="276" w:lineRule="auto"/>
        <w:rPr>
          <w:rFonts w:eastAsiaTheme="majorEastAsia" w:cstheme="majorBidi"/>
          <w:b/>
          <w:color w:val="002060"/>
          <w:sz w:val="32"/>
          <w:szCs w:val="28"/>
        </w:rPr>
      </w:pPr>
      <w:r>
        <w:br w:type="page"/>
      </w:r>
    </w:p>
    <w:p w:rsidR="00172E62" w:rsidRDefault="00172E62" w:rsidP="00172E62">
      <w:pPr>
        <w:pStyle w:val="HeadingLevel2"/>
      </w:pPr>
      <w:bookmarkStart w:id="15" w:name="_Toc393375567"/>
      <w:r>
        <w:lastRenderedPageBreak/>
        <w:t>CA06 other CAN assets</w:t>
      </w:r>
      <w:bookmarkEnd w:id="15"/>
      <w:r>
        <w:t xml:space="preserve"> </w:t>
      </w:r>
    </w:p>
    <w:p w:rsidR="00172E62" w:rsidRDefault="00172E62" w:rsidP="00172E62">
      <w:pPr>
        <w:pStyle w:val="HeadingLevel3"/>
        <w:numPr>
          <w:ilvl w:val="0"/>
          <w:numId w:val="0"/>
        </w:numPr>
      </w:pPr>
      <w:r>
        <w:t>Asset description</w:t>
      </w:r>
    </w:p>
    <w:p w:rsidR="00172E62" w:rsidRDefault="00172E62" w:rsidP="00172E62">
      <w:r>
        <w:t>The other CAN assets class is mainly made up of network termination units, which are used by fixed</w:t>
      </w:r>
      <w:r w:rsidR="000255D7">
        <w:t xml:space="preserve"> </w:t>
      </w:r>
      <w:r>
        <w:t xml:space="preserve">line access services. These assets are located at end-user premises. </w:t>
      </w:r>
    </w:p>
    <w:p w:rsidR="00172E62" w:rsidRDefault="00172E62" w:rsidP="00172E62">
      <w:pPr>
        <w:pStyle w:val="HeadingLevel3"/>
        <w:numPr>
          <w:ilvl w:val="0"/>
          <w:numId w:val="0"/>
        </w:numPr>
      </w:pPr>
      <w:r>
        <w:t xml:space="preserve">Key points </w:t>
      </w:r>
    </w:p>
    <w:p w:rsidR="00172E62" w:rsidRPr="00A93872" w:rsidRDefault="00172E62" w:rsidP="00172E62">
      <w:pPr>
        <w:pStyle w:val="Bulleta"/>
      </w:pPr>
      <w:r>
        <w:t>Other CAN assets contribute only a minor proportion towards the total fixed</w:t>
      </w:r>
      <w:r w:rsidR="000255D7">
        <w:t xml:space="preserve"> </w:t>
      </w:r>
      <w:r>
        <w:t>line revenue requirement (</w:t>
      </w:r>
      <w:r w:rsidR="00561F44">
        <w:rPr>
          <w:b/>
        </w:rPr>
        <w:t>[c-</w:t>
      </w:r>
      <w:proofErr w:type="spellStart"/>
      <w:r w:rsidR="00561F44">
        <w:rPr>
          <w:b/>
        </w:rPr>
        <w:t>i</w:t>
      </w:r>
      <w:proofErr w:type="spellEnd"/>
      <w:r w:rsidR="00561F44">
        <w:rPr>
          <w:b/>
        </w:rPr>
        <w:t>-c starts]</w:t>
      </w:r>
      <w:r w:rsidR="00552D6F">
        <w:rPr>
          <w:noProof/>
          <w:color w:val="000000"/>
          <w:highlight w:val="black"/>
        </w:rPr>
        <w:t>''''''''''''''</w:t>
      </w:r>
      <w:r w:rsidR="00561F44">
        <w:rPr>
          <w:b/>
        </w:rPr>
        <w:t>[c-</w:t>
      </w:r>
      <w:proofErr w:type="spellStart"/>
      <w:r w:rsidR="00561F44">
        <w:rPr>
          <w:b/>
        </w:rPr>
        <w:t>i</w:t>
      </w:r>
      <w:proofErr w:type="spellEnd"/>
      <w:r w:rsidR="00561F44">
        <w:rPr>
          <w:b/>
        </w:rPr>
        <w:t>-c ends]</w:t>
      </w:r>
      <w:r>
        <w:t xml:space="preserve"> per cent</w:t>
      </w:r>
      <w:r w:rsidRPr="00A93872">
        <w:t xml:space="preserve"> in 2013-14</w:t>
      </w:r>
      <w:r>
        <w:t>).</w:t>
      </w:r>
    </w:p>
    <w:p w:rsidR="00172E62" w:rsidRDefault="00172E62" w:rsidP="00172E62">
      <w:pPr>
        <w:pStyle w:val="Bulleta"/>
      </w:pPr>
      <w:r>
        <w:t>In the 2011 FADs, the cost allocation factors for other CAN assets were based on the cost allocation factors taken from the Analysys model and adjusted annually for changes in demand for ULLS and WLR. Under Telstra’s proposed approach, the cost allocation factors is based on forecast SIOs for ULLS, WLR and other access services using other CAN assets. This move to a fully allocated approach appears to be the key consideration for this asset class.</w:t>
      </w:r>
    </w:p>
    <w:p w:rsidR="00172E62" w:rsidRDefault="00172E62" w:rsidP="00172E62">
      <w:pPr>
        <w:pStyle w:val="HeadingLevel3"/>
        <w:numPr>
          <w:ilvl w:val="0"/>
          <w:numId w:val="0"/>
        </w:numPr>
      </w:pPr>
      <w:r>
        <w:t>Services using this asset class</w:t>
      </w:r>
    </w:p>
    <w:p w:rsidR="00172E62" w:rsidRDefault="00172E62" w:rsidP="00172E62">
      <w:r>
        <w:t>The declared services using other CAN assets are ULLS and WLR. Other CAN assets are also used to provide PSTN retail access services, ISDN access services and other DSL services (this includes business DSL and SHDSL).</w:t>
      </w:r>
    </w:p>
    <w:p w:rsidR="00172E62" w:rsidRDefault="00172E62" w:rsidP="00172E62">
      <w:pPr>
        <w:pStyle w:val="HeadingLevel3"/>
        <w:numPr>
          <w:ilvl w:val="0"/>
          <w:numId w:val="0"/>
        </w:numPr>
        <w:tabs>
          <w:tab w:val="left" w:pos="5265"/>
        </w:tabs>
      </w:pPr>
      <w:r>
        <w:t>Approach adopted for the 2011 FAD</w:t>
      </w:r>
      <w:r>
        <w:tab/>
      </w:r>
    </w:p>
    <w:p w:rsidR="00172E62" w:rsidRDefault="00172E62" w:rsidP="00172E62">
      <w:r>
        <w:t>In the 2011 FAD, the cost allocation factor</w:t>
      </w:r>
      <w:r w:rsidR="006E5BA7">
        <w:t>s</w:t>
      </w:r>
      <w:r>
        <w:t xml:space="preserve"> for other CAN assets for the ULLS and WLR service were initially based on the Analysys cost allocation factor</w:t>
      </w:r>
      <w:r w:rsidR="006E5BA7">
        <w:t>s</w:t>
      </w:r>
      <w:r w:rsidR="00BE2930">
        <w:t xml:space="preserve"> for 2008-09.</w:t>
      </w:r>
    </w:p>
    <w:p w:rsidR="00172E62" w:rsidRDefault="00172E62" w:rsidP="00172E62">
      <w:r>
        <w:t>The cost allocation factor for each year was based on the cost allocation factor from the previous year and adjusted by the forecast percentage change in ULLS and WLR SIOs for that year.</w:t>
      </w:r>
    </w:p>
    <w:p w:rsidR="00172E62" w:rsidRDefault="00172E62" w:rsidP="00172E62">
      <w:pPr>
        <w:pStyle w:val="HeadingLevel3"/>
        <w:numPr>
          <w:ilvl w:val="0"/>
          <w:numId w:val="0"/>
        </w:numPr>
      </w:pPr>
      <w:r>
        <w:t>Telstra proposed allocation method</w:t>
      </w:r>
    </w:p>
    <w:p w:rsidR="00172E62" w:rsidRDefault="00172E62" w:rsidP="00172E62">
      <w:r>
        <w:t>Under Telstra’s revised model, the costs associated with other CAN assets are assumed to be driven by the number of fixed line SIOs.</w:t>
      </w:r>
    </w:p>
    <w:p w:rsidR="00172E62" w:rsidRDefault="00172E62" w:rsidP="00172E62">
      <w:r>
        <w:t>The cost allocation factors for ULLS and WLR are derived by calculating the ratio of forecast ULLS or WLR SIOs to the combined SIO forecast for all services using other CAN assets (ULLS, WLR, PSTN retail access, ISDN access and other DSL services).</w:t>
      </w:r>
    </w:p>
    <w:p w:rsidR="00172E62" w:rsidRDefault="00172E62" w:rsidP="00172E62">
      <w:pPr>
        <w:pStyle w:val="HeadingLevel3"/>
        <w:numPr>
          <w:ilvl w:val="0"/>
          <w:numId w:val="0"/>
        </w:numPr>
      </w:pPr>
      <w:r>
        <w:t>Current versus Telstra’s propo</w:t>
      </w:r>
      <w:r w:rsidR="006355F9">
        <w:t>sed allocation factors</w:t>
      </w:r>
    </w:p>
    <w:p w:rsidR="00172E62" w:rsidRDefault="00172E62" w:rsidP="00172E62">
      <w:r>
        <w:t>Cost allocation factors for 2013-14 based on the 2011 FAD approach and Telstra’s proposed approach are provided in Table 2.6.1.</w:t>
      </w:r>
    </w:p>
    <w:p w:rsidR="00172E62" w:rsidRDefault="00172E62" w:rsidP="00172E62">
      <w:pPr>
        <w:pStyle w:val="HeadingLevel8table"/>
        <w:ind w:left="1440" w:hanging="1440"/>
      </w:pPr>
      <w:r w:rsidRPr="00345E0A">
        <w:t xml:space="preserve">Table </w:t>
      </w:r>
      <w:r>
        <w:t>2</w:t>
      </w:r>
      <w:r w:rsidRPr="00345E0A">
        <w:t>.</w:t>
      </w:r>
      <w:r>
        <w:t>6</w:t>
      </w:r>
      <w:r w:rsidRPr="00345E0A">
        <w:t>.1</w:t>
      </w:r>
      <w:r w:rsidRPr="00345E0A">
        <w:tab/>
        <w:t xml:space="preserve">Comparison of 2011 FAD </w:t>
      </w:r>
      <w:r w:rsidR="002318FC">
        <w:t xml:space="preserve">approach </w:t>
      </w:r>
      <w:proofErr w:type="spellStart"/>
      <w:r w:rsidRPr="00345E0A">
        <w:t>vs</w:t>
      </w:r>
      <w:proofErr w:type="spellEnd"/>
      <w:r w:rsidRPr="00345E0A">
        <w:t xml:space="preserve"> </w:t>
      </w:r>
      <w:r>
        <w:t>Telstra</w:t>
      </w:r>
      <w:r w:rsidRPr="00345E0A">
        <w:t xml:space="preserve"> proposed approach for C</w:t>
      </w:r>
      <w:r>
        <w:t>A</w:t>
      </w:r>
      <w:r w:rsidRPr="00345E0A">
        <w:t>0</w:t>
      </w:r>
      <w:r>
        <w:t>6 other CAN assets</w:t>
      </w:r>
      <w:r w:rsidR="002318FC">
        <w:t xml:space="preserve"> for 2013-14</w:t>
      </w:r>
    </w:p>
    <w:tbl>
      <w:tblPr>
        <w:tblStyle w:val="TableGrid"/>
        <w:tblW w:w="0" w:type="auto"/>
        <w:tblLook w:val="04A0" w:firstRow="1" w:lastRow="0" w:firstColumn="1" w:lastColumn="0" w:noHBand="0" w:noVBand="1"/>
      </w:tblPr>
      <w:tblGrid>
        <w:gridCol w:w="1795"/>
        <w:gridCol w:w="1717"/>
        <w:gridCol w:w="1717"/>
        <w:gridCol w:w="1717"/>
        <w:gridCol w:w="1718"/>
      </w:tblGrid>
      <w:tr w:rsidR="00172E62" w:rsidTr="00561F44">
        <w:trPr>
          <w:trHeight w:val="447"/>
        </w:trPr>
        <w:tc>
          <w:tcPr>
            <w:tcW w:w="1795" w:type="dxa"/>
          </w:tcPr>
          <w:p w:rsidR="00172E62" w:rsidRDefault="00172E62" w:rsidP="00350637">
            <w:pPr>
              <w:pStyle w:val="Table2Text"/>
            </w:pPr>
            <w:r>
              <w:t xml:space="preserve">Declared services </w:t>
            </w:r>
          </w:p>
        </w:tc>
        <w:tc>
          <w:tcPr>
            <w:tcW w:w="1717" w:type="dxa"/>
            <w:vAlign w:val="center"/>
          </w:tcPr>
          <w:p w:rsidR="00172E62" w:rsidRDefault="00172E62" w:rsidP="00AC01B7">
            <w:pPr>
              <w:pStyle w:val="Table2Text"/>
            </w:pPr>
            <w:r>
              <w:t xml:space="preserve">2011 FAD </w:t>
            </w:r>
            <w:r w:rsidR="002318FC">
              <w:t>approach</w:t>
            </w:r>
            <w:r>
              <w:t xml:space="preserve">% </w:t>
            </w:r>
          </w:p>
        </w:tc>
        <w:tc>
          <w:tcPr>
            <w:tcW w:w="1717" w:type="dxa"/>
            <w:vAlign w:val="center"/>
          </w:tcPr>
          <w:p w:rsidR="00172E62" w:rsidRDefault="00172E62" w:rsidP="00AC01B7">
            <w:pPr>
              <w:pStyle w:val="Table2Text"/>
            </w:pPr>
            <w:r>
              <w:t xml:space="preserve">Telstra proposed </w:t>
            </w:r>
            <w:r w:rsidR="002318FC">
              <w:t xml:space="preserve">approach </w:t>
            </w:r>
            <w:r>
              <w:t>%</w:t>
            </w:r>
          </w:p>
        </w:tc>
        <w:tc>
          <w:tcPr>
            <w:tcW w:w="1717" w:type="dxa"/>
          </w:tcPr>
          <w:p w:rsidR="00172E62" w:rsidRDefault="00172E62" w:rsidP="00AC01B7">
            <w:pPr>
              <w:pStyle w:val="Table2Text"/>
            </w:pPr>
            <w:r w:rsidRPr="006F3D06">
              <w:t xml:space="preserve">% points </w:t>
            </w:r>
            <w:r>
              <w:t>difference</w:t>
            </w:r>
          </w:p>
        </w:tc>
        <w:tc>
          <w:tcPr>
            <w:tcW w:w="1718" w:type="dxa"/>
          </w:tcPr>
          <w:p w:rsidR="00172E62" w:rsidRDefault="00172E62" w:rsidP="00BF3B6A">
            <w:pPr>
              <w:pStyle w:val="Table2Text"/>
            </w:pPr>
            <w:r w:rsidRPr="006F3D06">
              <w:t>%</w:t>
            </w:r>
            <w:r>
              <w:t xml:space="preserve"> change</w:t>
            </w:r>
          </w:p>
        </w:tc>
      </w:tr>
      <w:tr w:rsidR="00172E62" w:rsidTr="00561F44">
        <w:trPr>
          <w:trHeight w:val="447"/>
        </w:trPr>
        <w:tc>
          <w:tcPr>
            <w:tcW w:w="1795" w:type="dxa"/>
          </w:tcPr>
          <w:p w:rsidR="00172E62" w:rsidRDefault="00172E62" w:rsidP="00350637">
            <w:pPr>
              <w:pStyle w:val="Table2Text"/>
            </w:pPr>
            <w:r>
              <w:t>ULLS</w:t>
            </w:r>
          </w:p>
        </w:tc>
        <w:tc>
          <w:tcPr>
            <w:tcW w:w="1717" w:type="dxa"/>
            <w:vAlign w:val="center"/>
          </w:tcPr>
          <w:p w:rsidR="00172E62" w:rsidRDefault="00561F44" w:rsidP="00AC01B7">
            <w:pPr>
              <w:pStyle w:val="Table2Text"/>
            </w:pPr>
            <w:r>
              <w:t>[c-</w:t>
            </w:r>
            <w:proofErr w:type="spellStart"/>
            <w:r>
              <w:t>i</w:t>
            </w:r>
            <w:proofErr w:type="spellEnd"/>
            <w:r>
              <w:t>-c starts]</w:t>
            </w:r>
            <w:r w:rsidR="00552D6F">
              <w:rPr>
                <w:noProof/>
                <w:color w:val="000000"/>
                <w:highlight w:val="black"/>
              </w:rPr>
              <w:t>'''''''''''</w:t>
            </w:r>
          </w:p>
        </w:tc>
        <w:tc>
          <w:tcPr>
            <w:tcW w:w="1717" w:type="dxa"/>
            <w:vAlign w:val="center"/>
          </w:tcPr>
          <w:p w:rsidR="00172E62" w:rsidRPr="00552D6F" w:rsidRDefault="00552D6F" w:rsidP="00AC01B7">
            <w:pPr>
              <w:pStyle w:val="Table2Text"/>
              <w:rPr>
                <w:highlight w:val="black"/>
              </w:rPr>
            </w:pPr>
            <w:r>
              <w:rPr>
                <w:noProof/>
                <w:color w:val="000000"/>
                <w:highlight w:val="black"/>
              </w:rPr>
              <w:t>''''''''''</w:t>
            </w:r>
          </w:p>
        </w:tc>
        <w:tc>
          <w:tcPr>
            <w:tcW w:w="1717" w:type="dxa"/>
          </w:tcPr>
          <w:p w:rsidR="00172E62" w:rsidRPr="00552D6F" w:rsidRDefault="00552D6F" w:rsidP="00AC01B7">
            <w:pPr>
              <w:pStyle w:val="Table2Text"/>
              <w:rPr>
                <w:highlight w:val="black"/>
              </w:rPr>
            </w:pPr>
            <w:r>
              <w:rPr>
                <w:noProof/>
                <w:color w:val="000000"/>
                <w:highlight w:val="black"/>
              </w:rPr>
              <w:t>''''''''''''</w:t>
            </w:r>
          </w:p>
        </w:tc>
        <w:tc>
          <w:tcPr>
            <w:tcW w:w="1718" w:type="dxa"/>
          </w:tcPr>
          <w:p w:rsidR="00172E62" w:rsidRPr="00552D6F" w:rsidRDefault="00552D6F" w:rsidP="00BF3B6A">
            <w:pPr>
              <w:pStyle w:val="Table2Text"/>
              <w:rPr>
                <w:highlight w:val="black"/>
              </w:rPr>
            </w:pPr>
            <w:r>
              <w:rPr>
                <w:noProof/>
                <w:color w:val="000000"/>
                <w:highlight w:val="black"/>
              </w:rPr>
              <w:t>'''''''''''''</w:t>
            </w:r>
          </w:p>
        </w:tc>
      </w:tr>
      <w:tr w:rsidR="00172E62" w:rsidTr="00561F44">
        <w:trPr>
          <w:trHeight w:val="447"/>
        </w:trPr>
        <w:tc>
          <w:tcPr>
            <w:tcW w:w="1795" w:type="dxa"/>
          </w:tcPr>
          <w:p w:rsidR="00172E62" w:rsidRDefault="00172E62" w:rsidP="00350637">
            <w:pPr>
              <w:pStyle w:val="Table2Text"/>
            </w:pPr>
            <w:r>
              <w:lastRenderedPageBreak/>
              <w:t>WLR</w:t>
            </w:r>
          </w:p>
        </w:tc>
        <w:tc>
          <w:tcPr>
            <w:tcW w:w="1717" w:type="dxa"/>
            <w:vAlign w:val="center"/>
          </w:tcPr>
          <w:p w:rsidR="00172E62" w:rsidRPr="00552D6F" w:rsidRDefault="00552D6F" w:rsidP="00AC01B7">
            <w:pPr>
              <w:pStyle w:val="Table2Text"/>
              <w:rPr>
                <w:highlight w:val="black"/>
              </w:rPr>
            </w:pPr>
            <w:r>
              <w:rPr>
                <w:noProof/>
                <w:color w:val="000000"/>
                <w:highlight w:val="black"/>
              </w:rPr>
              <w:t>''''''''''''</w:t>
            </w:r>
          </w:p>
        </w:tc>
        <w:tc>
          <w:tcPr>
            <w:tcW w:w="1717" w:type="dxa"/>
            <w:vAlign w:val="center"/>
          </w:tcPr>
          <w:p w:rsidR="00172E62" w:rsidRPr="00552D6F" w:rsidRDefault="00552D6F" w:rsidP="00AC01B7">
            <w:pPr>
              <w:pStyle w:val="Table2Text"/>
              <w:rPr>
                <w:highlight w:val="black"/>
              </w:rPr>
            </w:pPr>
            <w:r>
              <w:rPr>
                <w:noProof/>
                <w:color w:val="000000"/>
                <w:highlight w:val="black"/>
              </w:rPr>
              <w:t>''''''''''</w:t>
            </w:r>
          </w:p>
        </w:tc>
        <w:tc>
          <w:tcPr>
            <w:tcW w:w="1717" w:type="dxa"/>
          </w:tcPr>
          <w:p w:rsidR="00172E62" w:rsidRPr="00552D6F" w:rsidRDefault="00552D6F" w:rsidP="00AC01B7">
            <w:pPr>
              <w:pStyle w:val="Table2Text"/>
              <w:rPr>
                <w:highlight w:val="black"/>
              </w:rPr>
            </w:pPr>
            <w:r>
              <w:rPr>
                <w:noProof/>
                <w:color w:val="000000"/>
                <w:highlight w:val="black"/>
              </w:rPr>
              <w:t>''''''''''''</w:t>
            </w:r>
          </w:p>
        </w:tc>
        <w:tc>
          <w:tcPr>
            <w:tcW w:w="1718" w:type="dxa"/>
          </w:tcPr>
          <w:p w:rsidR="00172E62" w:rsidRDefault="00552D6F" w:rsidP="00BF3B6A">
            <w:pPr>
              <w:pStyle w:val="Table2Text"/>
            </w:pPr>
            <w:r>
              <w:rPr>
                <w:noProof/>
                <w:color w:val="000000"/>
                <w:highlight w:val="black"/>
              </w:rPr>
              <w:t>'''''''''''''''</w:t>
            </w:r>
            <w:r w:rsidR="00561F44">
              <w:t>[c-</w:t>
            </w:r>
            <w:proofErr w:type="spellStart"/>
            <w:r w:rsidR="00561F44">
              <w:t>i</w:t>
            </w:r>
            <w:proofErr w:type="spellEnd"/>
            <w:r w:rsidR="00561F44">
              <w:t>-c ends]</w:t>
            </w:r>
          </w:p>
        </w:tc>
      </w:tr>
    </w:tbl>
    <w:p w:rsidR="00172E62" w:rsidRDefault="00172E62" w:rsidP="00172E62"/>
    <w:p w:rsidR="00172E62" w:rsidRDefault="00172E62" w:rsidP="00172E62">
      <w:r>
        <w:t xml:space="preserve">Figure 2.6.2 shows Telstra’s assumed share use of the </w:t>
      </w:r>
      <w:r w:rsidRPr="00950EAA">
        <w:t xml:space="preserve">other CAN assets </w:t>
      </w:r>
      <w:r>
        <w:t xml:space="preserve">class by the various services for 2013-14. </w:t>
      </w:r>
    </w:p>
    <w:p w:rsidR="00C56561" w:rsidRDefault="00172E62" w:rsidP="00172E62">
      <w:pPr>
        <w:pStyle w:val="HeadingLevel8table"/>
      </w:pPr>
      <w:r w:rsidRPr="0062676F">
        <w:t>Figure 2.</w:t>
      </w:r>
      <w:r>
        <w:t>6</w:t>
      </w:r>
      <w:r w:rsidRPr="0062676F">
        <w:t>.2</w:t>
      </w:r>
      <w:r w:rsidRPr="0062676F">
        <w:tab/>
        <w:t>Telstra’s proposed allocation of CA0</w:t>
      </w:r>
      <w:r>
        <w:t>6 other CAN assets</w:t>
      </w:r>
      <w:r w:rsidR="002318FC">
        <w:t xml:space="preserve"> for 2013-14</w:t>
      </w:r>
    </w:p>
    <w:p w:rsidR="00172E62" w:rsidRDefault="009B54F3" w:rsidP="00172E62">
      <w:pPr>
        <w:pStyle w:val="HeadingLevel8table"/>
      </w:pPr>
      <w:r w:rsidRPr="009B54F3">
        <w:t>[</w:t>
      </w:r>
      <w:proofErr w:type="gramStart"/>
      <w:r w:rsidRPr="009B54F3">
        <w:t>c-</w:t>
      </w:r>
      <w:proofErr w:type="spellStart"/>
      <w:r w:rsidRPr="009B54F3">
        <w:t>i</w:t>
      </w:r>
      <w:proofErr w:type="spellEnd"/>
      <w:r w:rsidRPr="009B54F3">
        <w:t>-c</w:t>
      </w:r>
      <w:proofErr w:type="gramEnd"/>
      <w:r w:rsidRPr="009B54F3">
        <w:t xml:space="preserve"> starts]</w:t>
      </w:r>
    </w:p>
    <w:p w:rsidR="00C56561" w:rsidRDefault="00552D6F" w:rsidP="00172E62">
      <w:pPr>
        <w:pStyle w:val="HeadingLevel8table"/>
      </w:pPr>
      <w:r>
        <w:rPr>
          <w:noProof/>
          <w:lang w:eastAsia="en-AU"/>
        </w:rPr>
        <w:drawing>
          <wp:inline distT="0" distB="0" distL="0" distR="0">
            <wp:extent cx="3615055" cy="2536190"/>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15055" cy="2536190"/>
                    </a:xfrm>
                    <a:prstGeom prst="rect">
                      <a:avLst/>
                    </a:prstGeom>
                  </pic:spPr>
                </pic:pic>
              </a:graphicData>
            </a:graphic>
          </wp:inline>
        </w:drawing>
      </w:r>
    </w:p>
    <w:p w:rsidR="00172E62" w:rsidRPr="009B54F3" w:rsidRDefault="009B54F3" w:rsidP="00172E62">
      <w:pPr>
        <w:pStyle w:val="HeadingLevel8table"/>
      </w:pPr>
      <w:r w:rsidRPr="009B54F3">
        <w:t>[</w:t>
      </w:r>
      <w:proofErr w:type="gramStart"/>
      <w:r w:rsidRPr="009B54F3">
        <w:t>c-</w:t>
      </w:r>
      <w:proofErr w:type="spellStart"/>
      <w:r w:rsidRPr="009B54F3">
        <w:t>i</w:t>
      </w:r>
      <w:proofErr w:type="spellEnd"/>
      <w:r w:rsidRPr="009B54F3">
        <w:t>-c</w:t>
      </w:r>
      <w:proofErr w:type="gramEnd"/>
      <w:r w:rsidRPr="009B54F3">
        <w:t xml:space="preserve"> ends]</w:t>
      </w:r>
    </w:p>
    <w:p w:rsidR="000A176B" w:rsidRDefault="00172E62">
      <w:pPr>
        <w:spacing w:after="200" w:line="276" w:lineRule="auto"/>
        <w:rPr>
          <w:rFonts w:eastAsiaTheme="majorEastAsia" w:cstheme="majorBidi"/>
          <w:b/>
          <w:color w:val="002060"/>
          <w:sz w:val="32"/>
          <w:szCs w:val="28"/>
        </w:rPr>
      </w:pPr>
      <w:r>
        <w:br w:type="page"/>
      </w:r>
    </w:p>
    <w:p w:rsidR="009245BE" w:rsidRDefault="009245BE" w:rsidP="009245BE">
      <w:pPr>
        <w:pStyle w:val="HeadingLevel2"/>
      </w:pPr>
      <w:bookmarkStart w:id="16" w:name="_Toc393375568"/>
      <w:r>
        <w:lastRenderedPageBreak/>
        <w:t>CA07 other communications plant and equipment</w:t>
      </w:r>
      <w:bookmarkEnd w:id="16"/>
      <w:r>
        <w:t xml:space="preserve"> </w:t>
      </w:r>
    </w:p>
    <w:p w:rsidR="009245BE" w:rsidRDefault="009245BE" w:rsidP="009245BE">
      <w:pPr>
        <w:pStyle w:val="HeadingLevel3"/>
        <w:numPr>
          <w:ilvl w:val="0"/>
          <w:numId w:val="0"/>
        </w:numPr>
      </w:pPr>
      <w:r>
        <w:t>Asset description</w:t>
      </w:r>
    </w:p>
    <w:p w:rsidR="009245BE" w:rsidRDefault="009245BE" w:rsidP="009245BE">
      <w:r>
        <w:t>Other communications plant and equipment asset class is predominantly made up of CAN radio towers, used in conjunction with radio bearer equipment in the provision of fixed-wireless services in rural and remote areas.</w:t>
      </w:r>
    </w:p>
    <w:p w:rsidR="0080039D" w:rsidRDefault="0080039D" w:rsidP="0080039D">
      <w:pPr>
        <w:pStyle w:val="HeadingLevel3"/>
        <w:numPr>
          <w:ilvl w:val="0"/>
          <w:numId w:val="0"/>
        </w:numPr>
      </w:pPr>
      <w:r>
        <w:t xml:space="preserve">Key points </w:t>
      </w:r>
    </w:p>
    <w:p w:rsidR="009C63E6" w:rsidRPr="00A93872" w:rsidRDefault="009C63E6" w:rsidP="009C63E6">
      <w:pPr>
        <w:pStyle w:val="Bulleta"/>
      </w:pPr>
      <w:r w:rsidRPr="006402CA">
        <w:t xml:space="preserve">Other </w:t>
      </w:r>
      <w:r>
        <w:t>communications plant and equipment</w:t>
      </w:r>
      <w:r w:rsidRPr="006402CA">
        <w:t xml:space="preserve"> </w:t>
      </w:r>
      <w:r>
        <w:t>comprises only a minor proportion towards the total fixed</w:t>
      </w:r>
      <w:r w:rsidR="000255D7">
        <w:t xml:space="preserve"> </w:t>
      </w:r>
      <w:r>
        <w:t>line revenue requirement (</w:t>
      </w:r>
      <w:r>
        <w:rPr>
          <w:b/>
        </w:rPr>
        <w:t>[c-</w:t>
      </w:r>
      <w:proofErr w:type="spellStart"/>
      <w:r>
        <w:rPr>
          <w:b/>
        </w:rPr>
        <w:t>i</w:t>
      </w:r>
      <w:proofErr w:type="spellEnd"/>
      <w:r>
        <w:rPr>
          <w:b/>
        </w:rPr>
        <w:t>-c starts]</w:t>
      </w:r>
      <w:r w:rsidR="00552D6F">
        <w:rPr>
          <w:noProof/>
          <w:color w:val="000000"/>
          <w:highlight w:val="black"/>
        </w:rPr>
        <w:t>'''''''</w:t>
      </w:r>
      <w:r>
        <w:rPr>
          <w:b/>
        </w:rPr>
        <w:t>[c-</w:t>
      </w:r>
      <w:proofErr w:type="spellStart"/>
      <w:r>
        <w:rPr>
          <w:b/>
        </w:rPr>
        <w:t>i</w:t>
      </w:r>
      <w:proofErr w:type="spellEnd"/>
      <w:r>
        <w:rPr>
          <w:b/>
        </w:rPr>
        <w:t>-c ends]</w:t>
      </w:r>
      <w:r>
        <w:t xml:space="preserve"> per cent</w:t>
      </w:r>
      <w:r w:rsidRPr="00A93872">
        <w:t xml:space="preserve"> in 2013-14</w:t>
      </w:r>
      <w:r>
        <w:t>).</w:t>
      </w:r>
    </w:p>
    <w:p w:rsidR="009C63E6" w:rsidRPr="000B2D00" w:rsidRDefault="009C63E6" w:rsidP="009C63E6">
      <w:pPr>
        <w:pStyle w:val="Bulleta"/>
      </w:pPr>
      <w:r w:rsidRPr="000B2D00">
        <w:t xml:space="preserve">In the 2011 FADs, the cost allocation factors for other </w:t>
      </w:r>
      <w:r w:rsidR="00FF4E44" w:rsidRPr="000B2D00">
        <w:t xml:space="preserve">communications plant and equipment </w:t>
      </w:r>
      <w:r w:rsidRPr="000B2D00">
        <w:t xml:space="preserve">were based on cost allocation factors taken from the Analysys model and adjusted annually for changes in demand for ULLS and WLR. Under Telstra’s proposed approach, the cost allocation factors is based on forecast SIOs for ULLS, WLR and other access services using </w:t>
      </w:r>
      <w:r w:rsidR="00FF4E44" w:rsidRPr="000B2D00">
        <w:t xml:space="preserve">other </w:t>
      </w:r>
      <w:r w:rsidR="000B2D00" w:rsidRPr="000B2D00">
        <w:t>communications</w:t>
      </w:r>
      <w:r w:rsidR="00FF4E44" w:rsidRPr="000B2D00">
        <w:t xml:space="preserve"> plant and equipment</w:t>
      </w:r>
      <w:r w:rsidRPr="000B2D00">
        <w:t>. This move to a fully allocated approach appears to be the key consideration for this asset class.</w:t>
      </w:r>
    </w:p>
    <w:p w:rsidR="009245BE" w:rsidRDefault="009245BE" w:rsidP="009245BE">
      <w:pPr>
        <w:pStyle w:val="HeadingLevel3"/>
        <w:numPr>
          <w:ilvl w:val="0"/>
          <w:numId w:val="0"/>
        </w:numPr>
      </w:pPr>
      <w:r>
        <w:t>Services using this asset class</w:t>
      </w:r>
    </w:p>
    <w:p w:rsidR="005029FB" w:rsidRDefault="005029FB" w:rsidP="005029FB">
      <w:r>
        <w:t>The declared services using other communications plant and equipment</w:t>
      </w:r>
      <w:r w:rsidRPr="006402CA">
        <w:t xml:space="preserve"> </w:t>
      </w:r>
      <w:r>
        <w:t>are ULLS and WLR. Other communications plant and equipment</w:t>
      </w:r>
      <w:r w:rsidRPr="006402CA">
        <w:t xml:space="preserve"> </w:t>
      </w:r>
      <w:r w:rsidR="00A81C5C">
        <w:t>is</w:t>
      </w:r>
      <w:r>
        <w:t xml:space="preserve"> also used to provide PSTN retail access services, ISDN access services and other DSL services (this includes business DSL and SHDSL).</w:t>
      </w:r>
    </w:p>
    <w:p w:rsidR="009245BE" w:rsidRDefault="009245BE" w:rsidP="009245BE">
      <w:pPr>
        <w:pStyle w:val="HeadingLevel3"/>
        <w:numPr>
          <w:ilvl w:val="0"/>
          <w:numId w:val="0"/>
        </w:numPr>
      </w:pPr>
      <w:r>
        <w:t>Approach adopted for the 2011 FAD</w:t>
      </w:r>
    </w:p>
    <w:p w:rsidR="004313B3" w:rsidRDefault="004313B3" w:rsidP="004313B3">
      <w:r>
        <w:t>The Analysys model did not include a separate asset class for other communications plant and equipment. In the 2011 FAD, the initial cost allocation factor</w:t>
      </w:r>
      <w:r w:rsidR="00292438">
        <w:t>s</w:t>
      </w:r>
      <w:r>
        <w:t xml:space="preserve"> for other communications plant and equipment was based on a weighted average of Analysys cost allocation factors for CAN radio equipment and CAN building and support assets.</w:t>
      </w:r>
    </w:p>
    <w:p w:rsidR="004313B3" w:rsidRDefault="004313B3" w:rsidP="004313B3">
      <w:r>
        <w:t>The cost allocation factor for each year was based on the cost allocation factor from the previous year and adjusted by the forecast percentage change in ULLS and WLR SIOs for that year.</w:t>
      </w:r>
    </w:p>
    <w:p w:rsidR="009245BE" w:rsidRDefault="009245BE" w:rsidP="009245BE">
      <w:pPr>
        <w:pStyle w:val="HeadingLevel3"/>
        <w:numPr>
          <w:ilvl w:val="0"/>
          <w:numId w:val="0"/>
        </w:numPr>
      </w:pPr>
      <w:r>
        <w:t>Telstra</w:t>
      </w:r>
      <w:r w:rsidR="00117E22">
        <w:t>’s</w:t>
      </w:r>
      <w:r>
        <w:t xml:space="preserve"> proposed allocation method</w:t>
      </w:r>
    </w:p>
    <w:p w:rsidR="00A81C5C" w:rsidRDefault="00A81C5C" w:rsidP="00A81C5C">
      <w:r>
        <w:t xml:space="preserve">Under Telstra’s revised model, the costs associated with other communications plant and equipment </w:t>
      </w:r>
      <w:proofErr w:type="gramStart"/>
      <w:r>
        <w:t>are</w:t>
      </w:r>
      <w:proofErr w:type="gramEnd"/>
      <w:r>
        <w:t xml:space="preserve"> assumed to be driven by the number of fixed line SIOs.</w:t>
      </w:r>
    </w:p>
    <w:p w:rsidR="00A81C5C" w:rsidRDefault="00A81C5C" w:rsidP="00A81C5C">
      <w:r>
        <w:t>The cost allocation factors for ULLS and WLR are derived by calculating the ratio of forecast ULLS or WLR SIOs to the combined SIO forecast for all services using other CAN assets (ULLS, WLR, PSTN retail access, ISDN access and other DSL services).</w:t>
      </w:r>
    </w:p>
    <w:p w:rsidR="009245BE" w:rsidRDefault="009245BE" w:rsidP="009245BE">
      <w:pPr>
        <w:pStyle w:val="HeadingLevel3"/>
        <w:numPr>
          <w:ilvl w:val="0"/>
          <w:numId w:val="0"/>
        </w:numPr>
      </w:pPr>
      <w:r>
        <w:t>Current versus Telstra’s propo</w:t>
      </w:r>
      <w:r w:rsidR="006355F9">
        <w:t>sed allocation factors</w:t>
      </w:r>
    </w:p>
    <w:p w:rsidR="009245BE" w:rsidRDefault="009245BE" w:rsidP="009245BE">
      <w:r>
        <w:t xml:space="preserve">Cost allocation factors for 2013-14 based on the 2011 FAD approach and Telstra’s proposed approach are provided in </w:t>
      </w:r>
      <w:r w:rsidR="00770979">
        <w:t>Table 2.7.1</w:t>
      </w:r>
      <w:r>
        <w:t>.</w:t>
      </w:r>
    </w:p>
    <w:p w:rsidR="009245BE" w:rsidRDefault="00345E0A" w:rsidP="00805B0F">
      <w:pPr>
        <w:pStyle w:val="HeadingLevel8table"/>
        <w:ind w:left="1440" w:hanging="1440"/>
      </w:pPr>
      <w:r w:rsidRPr="00345E0A">
        <w:lastRenderedPageBreak/>
        <w:t xml:space="preserve">Table </w:t>
      </w:r>
      <w:r>
        <w:t>2</w:t>
      </w:r>
      <w:r w:rsidRPr="00345E0A">
        <w:t>.</w:t>
      </w:r>
      <w:r>
        <w:t>7</w:t>
      </w:r>
      <w:r w:rsidRPr="00345E0A">
        <w:t>.1</w:t>
      </w:r>
      <w:r w:rsidRPr="00345E0A">
        <w:tab/>
        <w:t>Comparison of 2011 FAD</w:t>
      </w:r>
      <w:r w:rsidR="002318FC">
        <w:t xml:space="preserve"> approach</w:t>
      </w:r>
      <w:r w:rsidRPr="00345E0A">
        <w:t xml:space="preserve"> </w:t>
      </w:r>
      <w:proofErr w:type="spellStart"/>
      <w:r w:rsidRPr="00345E0A">
        <w:t>vs</w:t>
      </w:r>
      <w:proofErr w:type="spellEnd"/>
      <w:r w:rsidRPr="00345E0A">
        <w:t xml:space="preserve"> </w:t>
      </w:r>
      <w:r w:rsidR="00805B0F">
        <w:t>Telstra’s</w:t>
      </w:r>
      <w:r w:rsidRPr="00345E0A">
        <w:t xml:space="preserve"> proposed approach for C</w:t>
      </w:r>
      <w:r>
        <w:t>A</w:t>
      </w:r>
      <w:r w:rsidRPr="00345E0A">
        <w:t>0</w:t>
      </w:r>
      <w:r>
        <w:t>7</w:t>
      </w:r>
      <w:r w:rsidR="00805B0F">
        <w:t xml:space="preserve"> other communications plant and equipment</w:t>
      </w:r>
      <w:r w:rsidR="002318FC">
        <w:t xml:space="preserve"> for 2013-14</w:t>
      </w:r>
    </w:p>
    <w:tbl>
      <w:tblPr>
        <w:tblStyle w:val="TableGrid"/>
        <w:tblW w:w="0" w:type="auto"/>
        <w:tblLook w:val="04A0" w:firstRow="1" w:lastRow="0" w:firstColumn="1" w:lastColumn="0" w:noHBand="0" w:noVBand="1"/>
      </w:tblPr>
      <w:tblGrid>
        <w:gridCol w:w="1830"/>
        <w:gridCol w:w="1708"/>
        <w:gridCol w:w="1709"/>
        <w:gridCol w:w="1708"/>
        <w:gridCol w:w="1709"/>
      </w:tblGrid>
      <w:tr w:rsidR="00A60FDE" w:rsidTr="009B54F3">
        <w:trPr>
          <w:trHeight w:val="447"/>
        </w:trPr>
        <w:tc>
          <w:tcPr>
            <w:tcW w:w="1830" w:type="dxa"/>
          </w:tcPr>
          <w:p w:rsidR="00A60FDE" w:rsidRDefault="00A60FDE" w:rsidP="00350637">
            <w:pPr>
              <w:pStyle w:val="Table2Text"/>
            </w:pPr>
            <w:r>
              <w:t>Declared service</w:t>
            </w:r>
          </w:p>
        </w:tc>
        <w:tc>
          <w:tcPr>
            <w:tcW w:w="1708" w:type="dxa"/>
            <w:vAlign w:val="center"/>
          </w:tcPr>
          <w:p w:rsidR="00A60FDE" w:rsidRDefault="00A60FDE" w:rsidP="00AC01B7">
            <w:pPr>
              <w:pStyle w:val="Table2Text"/>
            </w:pPr>
            <w:r>
              <w:t xml:space="preserve">2011 FAD </w:t>
            </w:r>
            <w:r w:rsidR="002318FC">
              <w:t>approach</w:t>
            </w:r>
            <w:r>
              <w:t xml:space="preserve">% </w:t>
            </w:r>
          </w:p>
        </w:tc>
        <w:tc>
          <w:tcPr>
            <w:tcW w:w="1709" w:type="dxa"/>
            <w:vAlign w:val="center"/>
          </w:tcPr>
          <w:p w:rsidR="00A60FDE" w:rsidRDefault="00A60FDE" w:rsidP="00AC01B7">
            <w:pPr>
              <w:pStyle w:val="Table2Text"/>
            </w:pPr>
            <w:r>
              <w:t xml:space="preserve">Telstra proposed </w:t>
            </w:r>
            <w:r w:rsidR="002318FC">
              <w:t xml:space="preserve">approach </w:t>
            </w:r>
            <w:r>
              <w:t>%</w:t>
            </w:r>
          </w:p>
        </w:tc>
        <w:tc>
          <w:tcPr>
            <w:tcW w:w="1708" w:type="dxa"/>
          </w:tcPr>
          <w:p w:rsidR="00A60FDE" w:rsidRDefault="00A60FDE" w:rsidP="00AC01B7">
            <w:pPr>
              <w:pStyle w:val="Table2Text"/>
            </w:pPr>
            <w:r w:rsidRPr="00557636">
              <w:t>% po</w:t>
            </w:r>
            <w:r w:rsidR="003414D2">
              <w:t>int difference</w:t>
            </w:r>
          </w:p>
        </w:tc>
        <w:tc>
          <w:tcPr>
            <w:tcW w:w="1709" w:type="dxa"/>
          </w:tcPr>
          <w:p w:rsidR="00A60FDE" w:rsidRDefault="00A60FDE" w:rsidP="00BF3B6A">
            <w:pPr>
              <w:pStyle w:val="Table2Text"/>
            </w:pPr>
            <w:r w:rsidRPr="00557636">
              <w:t>%</w:t>
            </w:r>
            <w:r w:rsidR="003414D2">
              <w:t xml:space="preserve"> change</w:t>
            </w:r>
          </w:p>
        </w:tc>
      </w:tr>
      <w:tr w:rsidR="00BF505E" w:rsidTr="009B54F3">
        <w:trPr>
          <w:trHeight w:val="447"/>
        </w:trPr>
        <w:tc>
          <w:tcPr>
            <w:tcW w:w="1830" w:type="dxa"/>
          </w:tcPr>
          <w:p w:rsidR="00BF505E" w:rsidRDefault="00BF505E" w:rsidP="00350637">
            <w:pPr>
              <w:pStyle w:val="Table2Text"/>
            </w:pPr>
            <w:r w:rsidRPr="00023979">
              <w:t>ULLS</w:t>
            </w:r>
          </w:p>
        </w:tc>
        <w:tc>
          <w:tcPr>
            <w:tcW w:w="1708" w:type="dxa"/>
          </w:tcPr>
          <w:p w:rsidR="00BF505E" w:rsidRDefault="009B54F3" w:rsidP="00AC01B7">
            <w:pPr>
              <w:pStyle w:val="Table2Text"/>
            </w:pPr>
            <w:r>
              <w:t>[c-</w:t>
            </w:r>
            <w:proofErr w:type="spellStart"/>
            <w:r>
              <w:t>i</w:t>
            </w:r>
            <w:proofErr w:type="spellEnd"/>
            <w:r>
              <w:t>-c starts]</w:t>
            </w:r>
            <w:r w:rsidR="00552D6F">
              <w:rPr>
                <w:noProof/>
                <w:color w:val="000000"/>
                <w:highlight w:val="black"/>
              </w:rPr>
              <w:t>''''''''</w:t>
            </w:r>
          </w:p>
        </w:tc>
        <w:tc>
          <w:tcPr>
            <w:tcW w:w="1709" w:type="dxa"/>
          </w:tcPr>
          <w:p w:rsidR="00BF505E" w:rsidRPr="00552D6F" w:rsidRDefault="00552D6F" w:rsidP="00AC01B7">
            <w:pPr>
              <w:pStyle w:val="Table2Text"/>
              <w:rPr>
                <w:highlight w:val="black"/>
              </w:rPr>
            </w:pPr>
            <w:r>
              <w:rPr>
                <w:noProof/>
                <w:color w:val="000000"/>
                <w:highlight w:val="black"/>
              </w:rPr>
              <w:t>''''''''''''</w:t>
            </w:r>
          </w:p>
        </w:tc>
        <w:tc>
          <w:tcPr>
            <w:tcW w:w="1708" w:type="dxa"/>
          </w:tcPr>
          <w:p w:rsidR="00BF505E" w:rsidRPr="00552D6F" w:rsidRDefault="00552D6F" w:rsidP="00AC01B7">
            <w:pPr>
              <w:pStyle w:val="Table2Text"/>
              <w:rPr>
                <w:highlight w:val="black"/>
              </w:rPr>
            </w:pPr>
            <w:r>
              <w:rPr>
                <w:noProof/>
                <w:color w:val="000000"/>
                <w:highlight w:val="black"/>
              </w:rPr>
              <w:t>'''''''''''''</w:t>
            </w:r>
          </w:p>
        </w:tc>
        <w:tc>
          <w:tcPr>
            <w:tcW w:w="1709" w:type="dxa"/>
          </w:tcPr>
          <w:p w:rsidR="00BF505E" w:rsidRPr="00552D6F" w:rsidRDefault="00552D6F" w:rsidP="00BF3B6A">
            <w:pPr>
              <w:pStyle w:val="Table2Text"/>
              <w:rPr>
                <w:highlight w:val="black"/>
              </w:rPr>
            </w:pPr>
            <w:r>
              <w:rPr>
                <w:noProof/>
                <w:color w:val="000000"/>
                <w:highlight w:val="black"/>
              </w:rPr>
              <w:t>'''''''''''''''</w:t>
            </w:r>
          </w:p>
        </w:tc>
      </w:tr>
      <w:tr w:rsidR="00A60FDE" w:rsidTr="009B54F3">
        <w:trPr>
          <w:trHeight w:val="447"/>
        </w:trPr>
        <w:tc>
          <w:tcPr>
            <w:tcW w:w="1830" w:type="dxa"/>
          </w:tcPr>
          <w:p w:rsidR="00A60FDE" w:rsidRDefault="00A60FDE" w:rsidP="00350637">
            <w:pPr>
              <w:pStyle w:val="Table2Text"/>
            </w:pPr>
            <w:r>
              <w:t xml:space="preserve">WLR </w:t>
            </w:r>
          </w:p>
        </w:tc>
        <w:tc>
          <w:tcPr>
            <w:tcW w:w="1708" w:type="dxa"/>
            <w:vAlign w:val="center"/>
          </w:tcPr>
          <w:p w:rsidR="00A60FDE" w:rsidRPr="00552D6F" w:rsidRDefault="00552D6F" w:rsidP="00AC01B7">
            <w:pPr>
              <w:pStyle w:val="Table2Text"/>
              <w:rPr>
                <w:highlight w:val="black"/>
              </w:rPr>
            </w:pPr>
            <w:r>
              <w:rPr>
                <w:noProof/>
                <w:color w:val="000000"/>
                <w:highlight w:val="black"/>
              </w:rPr>
              <w:t>'''''''''</w:t>
            </w:r>
          </w:p>
        </w:tc>
        <w:tc>
          <w:tcPr>
            <w:tcW w:w="1709" w:type="dxa"/>
          </w:tcPr>
          <w:p w:rsidR="00A60FDE" w:rsidRPr="00552D6F" w:rsidRDefault="00552D6F" w:rsidP="00AC01B7">
            <w:pPr>
              <w:pStyle w:val="Table2Text"/>
              <w:rPr>
                <w:highlight w:val="black"/>
              </w:rPr>
            </w:pPr>
            <w:r>
              <w:rPr>
                <w:noProof/>
                <w:color w:val="000000"/>
                <w:highlight w:val="black"/>
              </w:rPr>
              <w:t>''''''''''</w:t>
            </w:r>
          </w:p>
        </w:tc>
        <w:tc>
          <w:tcPr>
            <w:tcW w:w="1708" w:type="dxa"/>
          </w:tcPr>
          <w:p w:rsidR="00A60FDE" w:rsidRPr="00552D6F" w:rsidRDefault="00552D6F" w:rsidP="00AC01B7">
            <w:pPr>
              <w:pStyle w:val="Table2Text"/>
              <w:rPr>
                <w:highlight w:val="black"/>
              </w:rPr>
            </w:pPr>
            <w:r>
              <w:rPr>
                <w:noProof/>
                <w:color w:val="000000"/>
                <w:highlight w:val="black"/>
              </w:rPr>
              <w:t>''''''''''</w:t>
            </w:r>
          </w:p>
        </w:tc>
        <w:tc>
          <w:tcPr>
            <w:tcW w:w="1709" w:type="dxa"/>
          </w:tcPr>
          <w:p w:rsidR="00A60FDE" w:rsidRDefault="00552D6F" w:rsidP="00BF3B6A">
            <w:pPr>
              <w:pStyle w:val="Table2Text"/>
            </w:pPr>
            <w:r>
              <w:rPr>
                <w:noProof/>
                <w:color w:val="000000"/>
                <w:highlight w:val="black"/>
              </w:rPr>
              <w:t>''''''''''''''''</w:t>
            </w:r>
            <w:r w:rsidR="009B54F3">
              <w:t>[c-</w:t>
            </w:r>
            <w:proofErr w:type="spellStart"/>
            <w:r w:rsidR="009B54F3">
              <w:t>i</w:t>
            </w:r>
            <w:proofErr w:type="spellEnd"/>
            <w:r w:rsidR="009B54F3">
              <w:t>-c ends]</w:t>
            </w:r>
          </w:p>
        </w:tc>
      </w:tr>
    </w:tbl>
    <w:p w:rsidR="009245BE" w:rsidRDefault="009245BE" w:rsidP="009245BE"/>
    <w:p w:rsidR="009245BE" w:rsidRPr="009245BE" w:rsidRDefault="00770979" w:rsidP="009245BE">
      <w:r>
        <w:t>Figure 2.7.2</w:t>
      </w:r>
      <w:r w:rsidR="009245BE" w:rsidRPr="009245BE">
        <w:t xml:space="preserve"> shows Telstra’s assumed share use of the other communications plant and equipment asset class by the various services for 2013-14.</w:t>
      </w:r>
    </w:p>
    <w:p w:rsidR="00B931AE" w:rsidRDefault="0062676F" w:rsidP="00B931AE">
      <w:pPr>
        <w:pStyle w:val="HeadingLevel8table"/>
        <w:ind w:left="1440" w:hanging="1440"/>
      </w:pPr>
      <w:r w:rsidRPr="0062676F">
        <w:t>Figure 2.</w:t>
      </w:r>
      <w:r>
        <w:t>7</w:t>
      </w:r>
      <w:r w:rsidRPr="0062676F">
        <w:t>.2</w:t>
      </w:r>
      <w:r w:rsidRPr="0062676F">
        <w:tab/>
        <w:t>Telstra’s proposed allocation of CA0</w:t>
      </w:r>
      <w:r>
        <w:t>7</w:t>
      </w:r>
      <w:r w:rsidR="00B931AE">
        <w:t xml:space="preserve"> other communications plant and equipment</w:t>
      </w:r>
      <w:r w:rsidR="002318FC">
        <w:t xml:space="preserve"> for 2013-14</w:t>
      </w:r>
    </w:p>
    <w:p w:rsidR="00C56561" w:rsidRPr="005871C8" w:rsidRDefault="00C56561" w:rsidP="008D78CC">
      <w:r w:rsidRPr="008D78CC">
        <w:rPr>
          <w:b/>
        </w:rPr>
        <w:t>[</w:t>
      </w:r>
      <w:proofErr w:type="gramStart"/>
      <w:r w:rsidRPr="008D78CC">
        <w:rPr>
          <w:b/>
        </w:rPr>
        <w:t>c-</w:t>
      </w:r>
      <w:proofErr w:type="spellStart"/>
      <w:r w:rsidRPr="008D78CC">
        <w:rPr>
          <w:b/>
        </w:rPr>
        <w:t>i</w:t>
      </w:r>
      <w:proofErr w:type="spellEnd"/>
      <w:r w:rsidRPr="008D78CC">
        <w:rPr>
          <w:b/>
        </w:rPr>
        <w:t>-c</w:t>
      </w:r>
      <w:proofErr w:type="gramEnd"/>
      <w:r w:rsidRPr="008D78CC">
        <w:rPr>
          <w:b/>
        </w:rPr>
        <w:t xml:space="preserve"> starts]</w:t>
      </w:r>
    </w:p>
    <w:p w:rsidR="00C56561" w:rsidRDefault="00552D6F" w:rsidP="00AB2E1F">
      <w:pPr>
        <w:pStyle w:val="HeadingLevel8table"/>
        <w:rPr>
          <w:b w:val="0"/>
        </w:rPr>
      </w:pPr>
      <w:r>
        <w:rPr>
          <w:b w:val="0"/>
          <w:noProof/>
          <w:lang w:eastAsia="en-AU"/>
        </w:rPr>
        <w:drawing>
          <wp:inline distT="0" distB="0" distL="0" distR="0">
            <wp:extent cx="3609340" cy="2529840"/>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09340" cy="2529840"/>
                    </a:xfrm>
                    <a:prstGeom prst="rect">
                      <a:avLst/>
                    </a:prstGeom>
                  </pic:spPr>
                </pic:pic>
              </a:graphicData>
            </a:graphic>
          </wp:inline>
        </w:drawing>
      </w:r>
    </w:p>
    <w:p w:rsidR="009245BE" w:rsidRDefault="009B54F3" w:rsidP="00AB2E1F">
      <w:pPr>
        <w:pStyle w:val="HeadingLevel8table"/>
      </w:pPr>
      <w:r w:rsidRPr="009B54F3">
        <w:t>[</w:t>
      </w:r>
      <w:proofErr w:type="gramStart"/>
      <w:r w:rsidRPr="009B54F3">
        <w:t>c-</w:t>
      </w:r>
      <w:proofErr w:type="spellStart"/>
      <w:r w:rsidRPr="009B54F3">
        <w:t>i</w:t>
      </w:r>
      <w:proofErr w:type="spellEnd"/>
      <w:r w:rsidRPr="009B54F3">
        <w:t>-c</w:t>
      </w:r>
      <w:proofErr w:type="gramEnd"/>
      <w:r w:rsidRPr="009B54F3">
        <w:t xml:space="preserve"> ends]</w:t>
      </w:r>
    </w:p>
    <w:p w:rsidR="000A176B" w:rsidRDefault="000A176B">
      <w:pPr>
        <w:spacing w:after="200" w:line="276" w:lineRule="auto"/>
        <w:rPr>
          <w:rFonts w:eastAsiaTheme="majorEastAsia" w:cstheme="majorBidi"/>
          <w:b/>
          <w:color w:val="002060"/>
          <w:sz w:val="32"/>
          <w:szCs w:val="28"/>
        </w:rPr>
      </w:pPr>
      <w:r>
        <w:br w:type="page"/>
      </w:r>
    </w:p>
    <w:p w:rsidR="007E6FBC" w:rsidRDefault="007E6FBC" w:rsidP="007E6FBC">
      <w:pPr>
        <w:pStyle w:val="HeadingLevel2"/>
      </w:pPr>
      <w:bookmarkStart w:id="17" w:name="_Toc393375569"/>
      <w:r>
        <w:lastRenderedPageBreak/>
        <w:t>CA08 network land</w:t>
      </w:r>
      <w:bookmarkEnd w:id="17"/>
      <w:r>
        <w:t xml:space="preserve"> </w:t>
      </w:r>
    </w:p>
    <w:p w:rsidR="007E6FBC" w:rsidRDefault="007E6FBC" w:rsidP="007E6FBC">
      <w:pPr>
        <w:pStyle w:val="HeadingLevel3"/>
        <w:numPr>
          <w:ilvl w:val="0"/>
          <w:numId w:val="0"/>
        </w:numPr>
      </w:pPr>
      <w:r>
        <w:t>Asset description</w:t>
      </w:r>
    </w:p>
    <w:p w:rsidR="00206AEC" w:rsidRDefault="007E6FBC" w:rsidP="007E6FBC">
      <w:r>
        <w:t>Network land is the value of the network land assets (such as freehold network land, structural land improvements, mains power connections, fencing, roads, paths, parking, drainage and landscaping) to accommodate the customer side of the main distribution frame</w:t>
      </w:r>
      <w:r w:rsidR="00206AEC">
        <w:t>. The main distribution frame</w:t>
      </w:r>
      <w:r>
        <w:t xml:space="preserve"> is contained in </w:t>
      </w:r>
      <w:r w:rsidR="00206AEC">
        <w:t>the next</w:t>
      </w:r>
      <w:r w:rsidR="00CF4FAB">
        <w:t xml:space="preserve"> asset class—</w:t>
      </w:r>
      <w:r w:rsidR="00C10254">
        <w:t>network buildings/support</w:t>
      </w:r>
      <w:r>
        <w:t xml:space="preserve">. </w:t>
      </w:r>
      <w:r w:rsidR="00206AEC">
        <w:t>This asset class only reflects the cost of supporting the customer-side of the main distribution frame (which is exclusively used for connecting fixed line access services).</w:t>
      </w:r>
    </w:p>
    <w:p w:rsidR="00AE0C22" w:rsidRDefault="00AE0C22" w:rsidP="007E6FBC">
      <w:r>
        <w:t>Network land relating to the core access network is included in CO08 network land.</w:t>
      </w:r>
    </w:p>
    <w:p w:rsidR="00BE2F84" w:rsidRDefault="00BE2F84" w:rsidP="00BE2F84">
      <w:pPr>
        <w:pStyle w:val="HeadingLevel3"/>
        <w:numPr>
          <w:ilvl w:val="0"/>
          <w:numId w:val="0"/>
        </w:numPr>
      </w:pPr>
      <w:r>
        <w:t xml:space="preserve">Key points </w:t>
      </w:r>
    </w:p>
    <w:p w:rsidR="00AE0C22" w:rsidRPr="00A93872" w:rsidRDefault="00AE0C22" w:rsidP="00AE0C22">
      <w:pPr>
        <w:pStyle w:val="Bulleta"/>
      </w:pPr>
      <w:r>
        <w:t>Network land contributes only a minor proportion towards the total fixed</w:t>
      </w:r>
      <w:r w:rsidR="000255D7">
        <w:t xml:space="preserve"> </w:t>
      </w:r>
      <w:r>
        <w:t>line revenue requirement (</w:t>
      </w:r>
      <w:r>
        <w:rPr>
          <w:b/>
        </w:rPr>
        <w:t>[c-</w:t>
      </w:r>
      <w:proofErr w:type="spellStart"/>
      <w:r>
        <w:rPr>
          <w:b/>
        </w:rPr>
        <w:t>i</w:t>
      </w:r>
      <w:proofErr w:type="spellEnd"/>
      <w:r>
        <w:rPr>
          <w:b/>
        </w:rPr>
        <w:t>-c starts]</w:t>
      </w:r>
      <w:r w:rsidR="00552D6F">
        <w:rPr>
          <w:noProof/>
          <w:color w:val="000000"/>
          <w:highlight w:val="black"/>
        </w:rPr>
        <w:t>'''''''</w:t>
      </w:r>
      <w:r>
        <w:rPr>
          <w:b/>
        </w:rPr>
        <w:t>[c-</w:t>
      </w:r>
      <w:proofErr w:type="spellStart"/>
      <w:r>
        <w:rPr>
          <w:b/>
        </w:rPr>
        <w:t>i</w:t>
      </w:r>
      <w:proofErr w:type="spellEnd"/>
      <w:r>
        <w:rPr>
          <w:b/>
        </w:rPr>
        <w:t>-c ends]</w:t>
      </w:r>
      <w:r>
        <w:t xml:space="preserve"> per cent</w:t>
      </w:r>
      <w:r w:rsidRPr="00A93872">
        <w:t xml:space="preserve"> in 2013-14</w:t>
      </w:r>
      <w:r>
        <w:t>).</w:t>
      </w:r>
    </w:p>
    <w:p w:rsidR="00AE0C22" w:rsidRDefault="00AE0C22" w:rsidP="00AE0C22">
      <w:pPr>
        <w:pStyle w:val="Bulleta"/>
      </w:pPr>
      <w:r>
        <w:t>In the 2011 FADs, the cost allocation factors for network land were based on the cost allocation factors taken from the Analysys model and adjusted annually for changes in demand for ULLS and WLR. Under Telstra’s proposed approach, the cost allocation factors is based on forecast SIOs for ULLS, WLR and other access services using other CAN assets. This move to a fully allocated approach appears to be the key consideration for this asset class.</w:t>
      </w:r>
    </w:p>
    <w:p w:rsidR="007E6FBC" w:rsidRDefault="007E6FBC" w:rsidP="007E6FBC">
      <w:pPr>
        <w:pStyle w:val="HeadingLevel3"/>
        <w:numPr>
          <w:ilvl w:val="0"/>
          <w:numId w:val="0"/>
        </w:numPr>
      </w:pPr>
      <w:r>
        <w:t>Services using this asset class</w:t>
      </w:r>
    </w:p>
    <w:p w:rsidR="00D7380D" w:rsidRDefault="00D7380D" w:rsidP="00D7380D">
      <w:r>
        <w:t>Network land is used for declared and other fixed</w:t>
      </w:r>
      <w:r w:rsidR="000255D7">
        <w:t xml:space="preserve"> </w:t>
      </w:r>
      <w:r>
        <w:t>line services.</w:t>
      </w:r>
    </w:p>
    <w:p w:rsidR="00D7380D" w:rsidRDefault="00D7380D" w:rsidP="00D7380D">
      <w:r>
        <w:t>The declared fixed</w:t>
      </w:r>
      <w:r w:rsidR="000255D7">
        <w:t xml:space="preserve"> </w:t>
      </w:r>
      <w:r>
        <w:t xml:space="preserve">line services that require network </w:t>
      </w:r>
      <w:r w:rsidR="006A2463">
        <w:t xml:space="preserve">land </w:t>
      </w:r>
      <w:r>
        <w:t>are ULLS and WLR. The other fixed</w:t>
      </w:r>
      <w:r w:rsidR="000255D7">
        <w:t xml:space="preserve"> </w:t>
      </w:r>
      <w:r>
        <w:t>line services that require network land are retail PSTN access, ISDN access and other DSL services (i.e. Telstra’s business DSL S/HDSL).</w:t>
      </w:r>
    </w:p>
    <w:p w:rsidR="007E6FBC" w:rsidRDefault="007E6FBC" w:rsidP="007E6FBC">
      <w:pPr>
        <w:pStyle w:val="HeadingLevel3"/>
        <w:numPr>
          <w:ilvl w:val="0"/>
          <w:numId w:val="0"/>
        </w:numPr>
      </w:pPr>
      <w:r>
        <w:t>Approach adopted for the 2011 FAD</w:t>
      </w:r>
    </w:p>
    <w:p w:rsidR="00BE2930" w:rsidRDefault="00BE2930" w:rsidP="00BE2930">
      <w:r>
        <w:t>In the 2011 FAD, the cost allocation factor</w:t>
      </w:r>
      <w:r w:rsidR="005D7D6D">
        <w:t>s</w:t>
      </w:r>
      <w:r>
        <w:t xml:space="preserve"> for network land for ULLS and WLR were initially based on the Analysys cost allocation factor</w:t>
      </w:r>
      <w:r w:rsidR="006E5BA7">
        <w:t>s for 2008-09</w:t>
      </w:r>
      <w:r>
        <w:t>.</w:t>
      </w:r>
    </w:p>
    <w:p w:rsidR="00BE2930" w:rsidRDefault="00BE2930" w:rsidP="00BE2930">
      <w:r>
        <w:t>The cost allocation factor for each year was based on the cost allocation factor from the previous year and adjusted by the forecast percentage change in ULLS and WLR SIOs for that year.</w:t>
      </w:r>
    </w:p>
    <w:p w:rsidR="007E6FBC" w:rsidRDefault="007E6FBC" w:rsidP="007E6FBC">
      <w:pPr>
        <w:pStyle w:val="HeadingLevel3"/>
        <w:numPr>
          <w:ilvl w:val="0"/>
          <w:numId w:val="0"/>
        </w:numPr>
      </w:pPr>
      <w:r>
        <w:t>Telstra proposed allocation method</w:t>
      </w:r>
    </w:p>
    <w:p w:rsidR="00FF7175" w:rsidRDefault="00FF7175" w:rsidP="00FF7175">
      <w:r>
        <w:t>Under Telstra’s revised model, the costs associated with network land are assumed to be driven by the number of fixed line SIOs.</w:t>
      </w:r>
    </w:p>
    <w:p w:rsidR="00FF7175" w:rsidRDefault="00FF7175" w:rsidP="00FF7175">
      <w:r>
        <w:t>The cost allocation factors for ULLS and WLR are derived by calculating the ratio of forecast ULLS or WLR SIOs to the combined SIO forecast for all services using network land (ULLS, WLR, PSTN retail access, ISDN access and other DSL services).</w:t>
      </w:r>
    </w:p>
    <w:p w:rsidR="007E6FBC" w:rsidRDefault="00117E22" w:rsidP="007E6FBC">
      <w:pPr>
        <w:pStyle w:val="HeadingLevel3"/>
        <w:numPr>
          <w:ilvl w:val="0"/>
          <w:numId w:val="0"/>
        </w:numPr>
      </w:pPr>
      <w:r>
        <w:t>Current versus</w:t>
      </w:r>
      <w:r w:rsidR="007E6FBC">
        <w:t xml:space="preserve"> Telstra’s propo</w:t>
      </w:r>
      <w:r w:rsidR="006355F9">
        <w:t xml:space="preserve">sed allocation factors </w:t>
      </w:r>
    </w:p>
    <w:p w:rsidR="007E6FBC" w:rsidRDefault="007E6FBC" w:rsidP="007E6FBC">
      <w:r>
        <w:t>Cost allocation factors for 2013-14 based on the 2011 FAD approach and Telstra’s proposed approach are provided in the table below.</w:t>
      </w:r>
    </w:p>
    <w:p w:rsidR="007E6FBC" w:rsidRDefault="00345E0A" w:rsidP="00510202">
      <w:pPr>
        <w:pStyle w:val="HeadingLevel8table"/>
        <w:ind w:left="1440" w:hanging="1440"/>
      </w:pPr>
      <w:r w:rsidRPr="00345E0A">
        <w:lastRenderedPageBreak/>
        <w:t xml:space="preserve">Table </w:t>
      </w:r>
      <w:r>
        <w:t>2</w:t>
      </w:r>
      <w:r w:rsidRPr="00345E0A">
        <w:t>.</w:t>
      </w:r>
      <w:r>
        <w:t>8</w:t>
      </w:r>
      <w:r w:rsidRPr="00345E0A">
        <w:t>.1</w:t>
      </w:r>
      <w:r w:rsidRPr="00345E0A">
        <w:tab/>
        <w:t xml:space="preserve">Comparison of 2011 FAD </w:t>
      </w:r>
      <w:r w:rsidR="002318FC">
        <w:t xml:space="preserve">approach </w:t>
      </w:r>
      <w:proofErr w:type="spellStart"/>
      <w:r w:rsidRPr="00345E0A">
        <w:t>vs</w:t>
      </w:r>
      <w:proofErr w:type="spellEnd"/>
      <w:r w:rsidRPr="00345E0A">
        <w:t xml:space="preserve"> </w:t>
      </w:r>
      <w:r w:rsidR="00510202">
        <w:t>Telstra’s</w:t>
      </w:r>
      <w:r w:rsidRPr="00345E0A">
        <w:t xml:space="preserve"> proposed approach for C</w:t>
      </w:r>
      <w:r>
        <w:t>A</w:t>
      </w:r>
      <w:r w:rsidRPr="00345E0A">
        <w:t>0</w:t>
      </w:r>
      <w:r>
        <w:t>8</w:t>
      </w:r>
      <w:r w:rsidR="00510202">
        <w:t xml:space="preserve"> network land</w:t>
      </w:r>
      <w:r w:rsidR="002318FC">
        <w:t xml:space="preserve"> for 2013-14</w:t>
      </w:r>
    </w:p>
    <w:tbl>
      <w:tblPr>
        <w:tblStyle w:val="TableGrid"/>
        <w:tblW w:w="0" w:type="auto"/>
        <w:tblLook w:val="04A0" w:firstRow="1" w:lastRow="0" w:firstColumn="1" w:lastColumn="0" w:noHBand="0" w:noVBand="1"/>
      </w:tblPr>
      <w:tblGrid>
        <w:gridCol w:w="1788"/>
        <w:gridCol w:w="1719"/>
        <w:gridCol w:w="1719"/>
        <w:gridCol w:w="1719"/>
        <w:gridCol w:w="1719"/>
      </w:tblGrid>
      <w:tr w:rsidR="0070354D" w:rsidTr="009B54F3">
        <w:trPr>
          <w:trHeight w:val="447"/>
        </w:trPr>
        <w:tc>
          <w:tcPr>
            <w:tcW w:w="1788" w:type="dxa"/>
          </w:tcPr>
          <w:p w:rsidR="0070354D" w:rsidRDefault="0070354D" w:rsidP="00350637">
            <w:pPr>
              <w:pStyle w:val="Table2Text"/>
            </w:pPr>
            <w:r>
              <w:t>Declared service</w:t>
            </w:r>
          </w:p>
        </w:tc>
        <w:tc>
          <w:tcPr>
            <w:tcW w:w="1719" w:type="dxa"/>
            <w:vAlign w:val="center"/>
          </w:tcPr>
          <w:p w:rsidR="0070354D" w:rsidRDefault="0070354D" w:rsidP="00AC01B7">
            <w:pPr>
              <w:pStyle w:val="Table2Text"/>
            </w:pPr>
            <w:r>
              <w:t xml:space="preserve">2011 FAD </w:t>
            </w:r>
            <w:r w:rsidR="002318FC">
              <w:t xml:space="preserve">approach </w:t>
            </w:r>
            <w:r>
              <w:t xml:space="preserve">% </w:t>
            </w:r>
          </w:p>
        </w:tc>
        <w:tc>
          <w:tcPr>
            <w:tcW w:w="1719" w:type="dxa"/>
            <w:vAlign w:val="center"/>
          </w:tcPr>
          <w:p w:rsidR="0070354D" w:rsidRDefault="0070354D" w:rsidP="00AC01B7">
            <w:pPr>
              <w:pStyle w:val="Table2Text"/>
            </w:pPr>
            <w:r>
              <w:t xml:space="preserve">Telstra proposed </w:t>
            </w:r>
            <w:r w:rsidR="002318FC">
              <w:t xml:space="preserve">approach </w:t>
            </w:r>
            <w:r>
              <w:t>%</w:t>
            </w:r>
          </w:p>
        </w:tc>
        <w:tc>
          <w:tcPr>
            <w:tcW w:w="1719" w:type="dxa"/>
            <w:vAlign w:val="center"/>
          </w:tcPr>
          <w:p w:rsidR="0070354D" w:rsidRDefault="0070354D" w:rsidP="00AC01B7">
            <w:pPr>
              <w:pStyle w:val="Table2Text"/>
            </w:pPr>
            <w:r>
              <w:t>% point</w:t>
            </w:r>
            <w:r w:rsidR="003414D2">
              <w:t xml:space="preserve"> difference</w:t>
            </w:r>
          </w:p>
        </w:tc>
        <w:tc>
          <w:tcPr>
            <w:tcW w:w="1719" w:type="dxa"/>
          </w:tcPr>
          <w:p w:rsidR="0070354D" w:rsidDel="0070354D" w:rsidRDefault="0070354D" w:rsidP="00BF3B6A">
            <w:pPr>
              <w:pStyle w:val="Table2Text"/>
            </w:pPr>
            <w:r>
              <w:t>%</w:t>
            </w:r>
            <w:r w:rsidR="003414D2">
              <w:t xml:space="preserve"> change</w:t>
            </w:r>
          </w:p>
        </w:tc>
      </w:tr>
      <w:tr w:rsidR="0070354D" w:rsidTr="009B54F3">
        <w:trPr>
          <w:trHeight w:val="447"/>
        </w:trPr>
        <w:tc>
          <w:tcPr>
            <w:tcW w:w="1788" w:type="dxa"/>
          </w:tcPr>
          <w:p w:rsidR="0070354D" w:rsidRDefault="0070354D" w:rsidP="00350637">
            <w:pPr>
              <w:pStyle w:val="Table2Text"/>
            </w:pPr>
            <w:r>
              <w:t>ULLS</w:t>
            </w:r>
          </w:p>
        </w:tc>
        <w:tc>
          <w:tcPr>
            <w:tcW w:w="1719" w:type="dxa"/>
            <w:vAlign w:val="center"/>
          </w:tcPr>
          <w:p w:rsidR="0070354D" w:rsidRDefault="009B54F3" w:rsidP="00AC01B7">
            <w:pPr>
              <w:pStyle w:val="Table2Text"/>
            </w:pPr>
            <w:r>
              <w:t>[c-</w:t>
            </w:r>
            <w:proofErr w:type="spellStart"/>
            <w:r>
              <w:t>i</w:t>
            </w:r>
            <w:proofErr w:type="spellEnd"/>
            <w:r>
              <w:t>-c starts]</w:t>
            </w:r>
            <w:r w:rsidR="00552D6F">
              <w:rPr>
                <w:noProof/>
                <w:color w:val="000000"/>
                <w:highlight w:val="black"/>
              </w:rPr>
              <w:t>'''''''''''</w:t>
            </w:r>
          </w:p>
        </w:tc>
        <w:tc>
          <w:tcPr>
            <w:tcW w:w="1719" w:type="dxa"/>
            <w:vAlign w:val="center"/>
          </w:tcPr>
          <w:p w:rsidR="0070354D" w:rsidRPr="00552D6F" w:rsidRDefault="00552D6F" w:rsidP="00AC01B7">
            <w:pPr>
              <w:pStyle w:val="Table2Text"/>
              <w:rPr>
                <w:highlight w:val="black"/>
              </w:rPr>
            </w:pPr>
            <w:r>
              <w:rPr>
                <w:noProof/>
                <w:color w:val="000000"/>
                <w:highlight w:val="black"/>
              </w:rPr>
              <w:t>''''''''''''</w:t>
            </w:r>
          </w:p>
        </w:tc>
        <w:tc>
          <w:tcPr>
            <w:tcW w:w="1719" w:type="dxa"/>
            <w:vAlign w:val="center"/>
          </w:tcPr>
          <w:p w:rsidR="0070354D" w:rsidRPr="00552D6F" w:rsidRDefault="00552D6F" w:rsidP="00AC01B7">
            <w:pPr>
              <w:pStyle w:val="Table2Text"/>
              <w:rPr>
                <w:highlight w:val="black"/>
              </w:rPr>
            </w:pPr>
            <w:r>
              <w:rPr>
                <w:noProof/>
                <w:color w:val="000000"/>
                <w:highlight w:val="black"/>
              </w:rPr>
              <w:t>''''''''''''</w:t>
            </w:r>
          </w:p>
        </w:tc>
        <w:tc>
          <w:tcPr>
            <w:tcW w:w="1719" w:type="dxa"/>
          </w:tcPr>
          <w:p w:rsidR="0070354D" w:rsidRPr="00552D6F" w:rsidRDefault="00552D6F" w:rsidP="00BF3B6A">
            <w:pPr>
              <w:pStyle w:val="Table2Text"/>
              <w:rPr>
                <w:highlight w:val="black"/>
              </w:rPr>
            </w:pPr>
            <w:r>
              <w:rPr>
                <w:noProof/>
                <w:color w:val="000000"/>
                <w:highlight w:val="black"/>
              </w:rPr>
              <w:t>'''''''''''''</w:t>
            </w:r>
          </w:p>
        </w:tc>
      </w:tr>
      <w:tr w:rsidR="0070354D" w:rsidTr="009B54F3">
        <w:trPr>
          <w:trHeight w:val="447"/>
        </w:trPr>
        <w:tc>
          <w:tcPr>
            <w:tcW w:w="1788" w:type="dxa"/>
          </w:tcPr>
          <w:p w:rsidR="0070354D" w:rsidRDefault="0070354D" w:rsidP="00350637">
            <w:pPr>
              <w:pStyle w:val="Table2Text"/>
            </w:pPr>
            <w:r>
              <w:t>WLR</w:t>
            </w:r>
            <w:r>
              <w:tab/>
            </w:r>
          </w:p>
        </w:tc>
        <w:tc>
          <w:tcPr>
            <w:tcW w:w="1719" w:type="dxa"/>
            <w:vAlign w:val="center"/>
          </w:tcPr>
          <w:p w:rsidR="0070354D" w:rsidRPr="00552D6F" w:rsidRDefault="00552D6F" w:rsidP="00AC01B7">
            <w:pPr>
              <w:pStyle w:val="Table2Text"/>
              <w:rPr>
                <w:highlight w:val="black"/>
              </w:rPr>
            </w:pPr>
            <w:r>
              <w:rPr>
                <w:noProof/>
                <w:color w:val="000000"/>
                <w:highlight w:val="black"/>
              </w:rPr>
              <w:t>'''''''''''</w:t>
            </w:r>
          </w:p>
        </w:tc>
        <w:tc>
          <w:tcPr>
            <w:tcW w:w="1719" w:type="dxa"/>
            <w:vAlign w:val="center"/>
          </w:tcPr>
          <w:p w:rsidR="0070354D" w:rsidRPr="00552D6F" w:rsidRDefault="00552D6F" w:rsidP="00AC01B7">
            <w:pPr>
              <w:pStyle w:val="Table2Text"/>
              <w:rPr>
                <w:highlight w:val="black"/>
              </w:rPr>
            </w:pPr>
            <w:r>
              <w:rPr>
                <w:noProof/>
                <w:color w:val="000000"/>
                <w:highlight w:val="black"/>
              </w:rPr>
              <w:t>''''''''''''</w:t>
            </w:r>
          </w:p>
        </w:tc>
        <w:tc>
          <w:tcPr>
            <w:tcW w:w="1719" w:type="dxa"/>
            <w:vAlign w:val="center"/>
          </w:tcPr>
          <w:p w:rsidR="0070354D" w:rsidRPr="00552D6F" w:rsidRDefault="00552D6F" w:rsidP="00AC01B7">
            <w:pPr>
              <w:pStyle w:val="Table2Text"/>
              <w:rPr>
                <w:highlight w:val="black"/>
              </w:rPr>
            </w:pPr>
            <w:r>
              <w:rPr>
                <w:noProof/>
                <w:color w:val="000000"/>
                <w:highlight w:val="black"/>
              </w:rPr>
              <w:t>''''''''''''</w:t>
            </w:r>
          </w:p>
        </w:tc>
        <w:tc>
          <w:tcPr>
            <w:tcW w:w="1719" w:type="dxa"/>
          </w:tcPr>
          <w:p w:rsidR="0070354D" w:rsidRDefault="00552D6F" w:rsidP="00BF3B6A">
            <w:pPr>
              <w:pStyle w:val="Table2Text"/>
            </w:pPr>
            <w:r>
              <w:rPr>
                <w:noProof/>
                <w:color w:val="000000"/>
                <w:highlight w:val="black"/>
              </w:rPr>
              <w:t>''''''''''''''</w:t>
            </w:r>
            <w:r w:rsidR="009B54F3">
              <w:t>[c-</w:t>
            </w:r>
            <w:proofErr w:type="spellStart"/>
            <w:r w:rsidR="009B54F3">
              <w:t>i</w:t>
            </w:r>
            <w:proofErr w:type="spellEnd"/>
            <w:r w:rsidR="009B54F3">
              <w:t>-c ends]</w:t>
            </w:r>
          </w:p>
        </w:tc>
      </w:tr>
    </w:tbl>
    <w:p w:rsidR="007E6FBC" w:rsidRDefault="007E6FBC" w:rsidP="007E6FBC"/>
    <w:p w:rsidR="007E6FBC" w:rsidRDefault="007E6FBC" w:rsidP="007E6FBC">
      <w:r w:rsidRPr="007E6FBC">
        <w:t>The following chart shows Telstra’s assumed share use of the network land asset class used by the various services for 2013-14.</w:t>
      </w:r>
    </w:p>
    <w:p w:rsidR="00510202" w:rsidRDefault="005065CE" w:rsidP="00AB2E1F">
      <w:pPr>
        <w:pStyle w:val="HeadingLevel8table"/>
      </w:pPr>
      <w:r w:rsidRPr="005065CE">
        <w:t>Figure 2.</w:t>
      </w:r>
      <w:r>
        <w:t>8</w:t>
      </w:r>
      <w:r w:rsidRPr="005065CE">
        <w:t>.2</w:t>
      </w:r>
      <w:r w:rsidRPr="005065CE">
        <w:tab/>
        <w:t>Telstra’s proposed allocation of CA0</w:t>
      </w:r>
      <w:r>
        <w:t>8</w:t>
      </w:r>
      <w:r w:rsidR="00510202">
        <w:t xml:space="preserve"> network land</w:t>
      </w:r>
      <w:r w:rsidR="002318FC">
        <w:t xml:space="preserve"> for 2013-14</w:t>
      </w:r>
    </w:p>
    <w:p w:rsidR="00C56561" w:rsidRPr="005871C8" w:rsidRDefault="00C56561" w:rsidP="008D78CC">
      <w:r w:rsidRPr="008D78CC">
        <w:rPr>
          <w:b/>
        </w:rPr>
        <w:t>[</w:t>
      </w:r>
      <w:proofErr w:type="gramStart"/>
      <w:r w:rsidRPr="008D78CC">
        <w:rPr>
          <w:b/>
        </w:rPr>
        <w:t>c-</w:t>
      </w:r>
      <w:proofErr w:type="spellStart"/>
      <w:r w:rsidRPr="008D78CC">
        <w:rPr>
          <w:b/>
        </w:rPr>
        <w:t>i</w:t>
      </w:r>
      <w:proofErr w:type="spellEnd"/>
      <w:r w:rsidRPr="008D78CC">
        <w:rPr>
          <w:b/>
        </w:rPr>
        <w:t>-c</w:t>
      </w:r>
      <w:proofErr w:type="gramEnd"/>
      <w:r w:rsidRPr="008D78CC">
        <w:rPr>
          <w:b/>
        </w:rPr>
        <w:t xml:space="preserve"> starts]</w:t>
      </w:r>
    </w:p>
    <w:p w:rsidR="00C56561" w:rsidRDefault="00552D6F" w:rsidP="00AB2E1F">
      <w:pPr>
        <w:pStyle w:val="HeadingLevel8table"/>
        <w:rPr>
          <w:b w:val="0"/>
        </w:rPr>
      </w:pPr>
      <w:r>
        <w:rPr>
          <w:b w:val="0"/>
          <w:noProof/>
          <w:lang w:eastAsia="en-AU"/>
        </w:rPr>
        <w:drawing>
          <wp:inline distT="0" distB="0" distL="0" distR="0">
            <wp:extent cx="3609340" cy="2536190"/>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09340" cy="2536190"/>
                    </a:xfrm>
                    <a:prstGeom prst="rect">
                      <a:avLst/>
                    </a:prstGeom>
                  </pic:spPr>
                </pic:pic>
              </a:graphicData>
            </a:graphic>
          </wp:inline>
        </w:drawing>
      </w:r>
    </w:p>
    <w:p w:rsidR="007E6FBC" w:rsidRDefault="009B54F3" w:rsidP="00AB2E1F">
      <w:pPr>
        <w:pStyle w:val="HeadingLevel8table"/>
      </w:pPr>
      <w:r w:rsidRPr="009B54F3">
        <w:t>[</w:t>
      </w:r>
      <w:proofErr w:type="gramStart"/>
      <w:r w:rsidRPr="009B54F3">
        <w:t>c-</w:t>
      </w:r>
      <w:proofErr w:type="spellStart"/>
      <w:r w:rsidRPr="009B54F3">
        <w:t>i</w:t>
      </w:r>
      <w:proofErr w:type="spellEnd"/>
      <w:r w:rsidRPr="009B54F3">
        <w:t>-c</w:t>
      </w:r>
      <w:proofErr w:type="gramEnd"/>
      <w:r w:rsidRPr="009B54F3">
        <w:t xml:space="preserve"> ends]</w:t>
      </w:r>
    </w:p>
    <w:p w:rsidR="00A33551" w:rsidRDefault="00A33551">
      <w:pPr>
        <w:spacing w:after="200" w:line="276" w:lineRule="auto"/>
        <w:rPr>
          <w:rFonts w:eastAsiaTheme="majorEastAsia" w:cstheme="majorBidi"/>
          <w:b/>
          <w:color w:val="002060"/>
          <w:sz w:val="32"/>
          <w:szCs w:val="28"/>
        </w:rPr>
      </w:pPr>
      <w:r>
        <w:br w:type="page"/>
      </w:r>
    </w:p>
    <w:p w:rsidR="007E6FBC" w:rsidRDefault="007E6FBC" w:rsidP="007E6FBC">
      <w:pPr>
        <w:pStyle w:val="HeadingLevel2"/>
      </w:pPr>
      <w:bookmarkStart w:id="18" w:name="_Toc393375570"/>
      <w:r>
        <w:lastRenderedPageBreak/>
        <w:t>CA09 network buildings/support</w:t>
      </w:r>
      <w:bookmarkEnd w:id="18"/>
      <w:r>
        <w:t xml:space="preserve"> </w:t>
      </w:r>
    </w:p>
    <w:p w:rsidR="007E6FBC" w:rsidRDefault="007E6FBC" w:rsidP="007E6FBC">
      <w:pPr>
        <w:pStyle w:val="HeadingLevel3"/>
        <w:numPr>
          <w:ilvl w:val="0"/>
          <w:numId w:val="0"/>
        </w:numPr>
      </w:pPr>
      <w:r>
        <w:t>Asset description</w:t>
      </w:r>
    </w:p>
    <w:p w:rsidR="00B71BF8" w:rsidRDefault="00B71BF8" w:rsidP="007E6FBC">
      <w:r>
        <w:t>This asset class is the value and associated costs of the n</w:t>
      </w:r>
      <w:r w:rsidR="007E6FBC">
        <w:t xml:space="preserve">etwork building/support which </w:t>
      </w:r>
      <w:r>
        <w:t xml:space="preserve">used </w:t>
      </w:r>
      <w:r w:rsidR="003C69F2">
        <w:t xml:space="preserve">on </w:t>
      </w:r>
      <w:r w:rsidR="007E6FBC">
        <w:t xml:space="preserve">the customer side of the main distribution frame </w:t>
      </w:r>
      <w:r w:rsidR="003C69F2">
        <w:t xml:space="preserve">located </w:t>
      </w:r>
      <w:r w:rsidR="007E6FBC">
        <w:t xml:space="preserve">within Telstra exchange buildings. </w:t>
      </w:r>
      <w:r w:rsidR="003C69F2">
        <w:t xml:space="preserve">These assets are used </w:t>
      </w:r>
      <w:r>
        <w:t>exclusively</w:t>
      </w:r>
      <w:r w:rsidR="003C69F2">
        <w:t xml:space="preserve"> for</w:t>
      </w:r>
      <w:r>
        <w:t xml:space="preserve"> </w:t>
      </w:r>
      <w:r w:rsidR="003C69F2">
        <w:t xml:space="preserve"> </w:t>
      </w:r>
      <w:r>
        <w:t xml:space="preserve"> connecting fixed line access services. </w:t>
      </w:r>
    </w:p>
    <w:p w:rsidR="00F27A79" w:rsidRDefault="00F27A79" w:rsidP="00F27A79">
      <w:r>
        <w:t>Network buildings/support assets relating to the core access network are included in CO09 network building/support.</w:t>
      </w:r>
    </w:p>
    <w:p w:rsidR="001B4C98" w:rsidRDefault="001B4C98" w:rsidP="001B4C98">
      <w:pPr>
        <w:pStyle w:val="HeadingLevel3"/>
        <w:numPr>
          <w:ilvl w:val="0"/>
          <w:numId w:val="0"/>
        </w:numPr>
      </w:pPr>
      <w:r>
        <w:t xml:space="preserve">Key points </w:t>
      </w:r>
    </w:p>
    <w:p w:rsidR="00865414" w:rsidRPr="00A93872" w:rsidRDefault="00865414" w:rsidP="00865414">
      <w:pPr>
        <w:pStyle w:val="Bulleta"/>
      </w:pPr>
      <w:r>
        <w:t>Network buildings/support</w:t>
      </w:r>
      <w:r w:rsidRPr="00F85AC5">
        <w:t xml:space="preserve"> </w:t>
      </w:r>
      <w:r>
        <w:t>contributes a material proportion towards the total fixed</w:t>
      </w:r>
      <w:r w:rsidR="000255D7">
        <w:t xml:space="preserve"> </w:t>
      </w:r>
      <w:r>
        <w:t>line revenue requirement (</w:t>
      </w:r>
      <w:r>
        <w:rPr>
          <w:b/>
        </w:rPr>
        <w:t>[c-</w:t>
      </w:r>
      <w:proofErr w:type="spellStart"/>
      <w:r>
        <w:rPr>
          <w:b/>
        </w:rPr>
        <w:t>i</w:t>
      </w:r>
      <w:proofErr w:type="spellEnd"/>
      <w:r>
        <w:rPr>
          <w:b/>
        </w:rPr>
        <w:t>-c starts]</w:t>
      </w:r>
      <w:r w:rsidR="00552D6F">
        <w:rPr>
          <w:noProof/>
          <w:color w:val="000000"/>
          <w:highlight w:val="black"/>
        </w:rPr>
        <w:t>''''''''</w:t>
      </w:r>
      <w:r>
        <w:rPr>
          <w:b/>
        </w:rPr>
        <w:t>[c-</w:t>
      </w:r>
      <w:proofErr w:type="spellStart"/>
      <w:r>
        <w:rPr>
          <w:b/>
        </w:rPr>
        <w:t>i</w:t>
      </w:r>
      <w:proofErr w:type="spellEnd"/>
      <w:r>
        <w:rPr>
          <w:b/>
        </w:rPr>
        <w:t>-c ends]</w:t>
      </w:r>
      <w:r>
        <w:t xml:space="preserve"> per cent</w:t>
      </w:r>
      <w:r w:rsidRPr="00A93872">
        <w:t xml:space="preserve"> in 2013-14</w:t>
      </w:r>
      <w:r>
        <w:t>).</w:t>
      </w:r>
    </w:p>
    <w:p w:rsidR="00BF3650" w:rsidRDefault="00BF3650" w:rsidP="00BF3650">
      <w:pPr>
        <w:pStyle w:val="Bulleta"/>
      </w:pPr>
      <w:r>
        <w:t>In the 2011 FADs, the cost allocation factors for network buildings/support</w:t>
      </w:r>
      <w:r w:rsidRPr="00F85AC5">
        <w:t xml:space="preserve"> </w:t>
      </w:r>
      <w:r>
        <w:t>were based on the cost allocation factors taken from the Analysys model and adjusted annually for changes in demand for ULLS and WLR. Under Telstra’s proposed approach, the cost allocation factors is based on forecast SIOs for ULLS, WLR and other access services using other CAN assets. This move to a fully allocated approach appears to be the key consideration for this asset class.</w:t>
      </w:r>
    </w:p>
    <w:p w:rsidR="007E6FBC" w:rsidRDefault="007E6FBC" w:rsidP="007E6FBC">
      <w:pPr>
        <w:pStyle w:val="HeadingLevel3"/>
        <w:numPr>
          <w:ilvl w:val="0"/>
          <w:numId w:val="0"/>
        </w:numPr>
      </w:pPr>
      <w:r>
        <w:t>Services using this asset class</w:t>
      </w:r>
    </w:p>
    <w:p w:rsidR="006A2463" w:rsidRDefault="006A2463" w:rsidP="006A2463">
      <w:r>
        <w:t>Network building/support is used for declared and other fixed</w:t>
      </w:r>
      <w:r w:rsidR="000255D7">
        <w:t xml:space="preserve"> </w:t>
      </w:r>
      <w:r>
        <w:t>line services.</w:t>
      </w:r>
    </w:p>
    <w:p w:rsidR="006A2463" w:rsidRDefault="006A2463" w:rsidP="006A2463">
      <w:r>
        <w:t>The declared fixed</w:t>
      </w:r>
      <w:r w:rsidR="000255D7">
        <w:t xml:space="preserve"> </w:t>
      </w:r>
      <w:r>
        <w:t>line services that require network building/support are ULLS and WLR. The other fixed</w:t>
      </w:r>
      <w:r w:rsidR="000255D7">
        <w:t xml:space="preserve"> </w:t>
      </w:r>
      <w:r>
        <w:t>line services that require network building/support are retail PSTN access, ISDN access and other DSL services (i.e. Telstra’s business DSL S/HDSL).</w:t>
      </w:r>
    </w:p>
    <w:p w:rsidR="007E6FBC" w:rsidRDefault="007E6FBC" w:rsidP="007E6FBC">
      <w:pPr>
        <w:pStyle w:val="HeadingLevel3"/>
        <w:numPr>
          <w:ilvl w:val="0"/>
          <w:numId w:val="0"/>
        </w:numPr>
      </w:pPr>
      <w:r>
        <w:t>Approach adopted for the 2011 FAD</w:t>
      </w:r>
    </w:p>
    <w:p w:rsidR="003F7A15" w:rsidRDefault="003F7A15" w:rsidP="003F7A15">
      <w:r>
        <w:t>In the 2011 FAD, the cost allocation factors for network buildings/support</w:t>
      </w:r>
      <w:r w:rsidRPr="00AA0D38">
        <w:t xml:space="preserve"> </w:t>
      </w:r>
      <w:r>
        <w:t>for ULLS and WLR were initially based on the Analysys cost allocation factors for 2008-09.</w:t>
      </w:r>
    </w:p>
    <w:p w:rsidR="003F7A15" w:rsidRDefault="003F7A15" w:rsidP="003F7A15">
      <w:r>
        <w:t>The cost allocation factor for each year was based on the cost allocation factor from the previous year and adjusted by the forecast percentage change in ULLS and WLR SIOs for that year.</w:t>
      </w:r>
    </w:p>
    <w:p w:rsidR="007E6FBC" w:rsidRDefault="007E6FBC" w:rsidP="007E6FBC">
      <w:pPr>
        <w:pStyle w:val="HeadingLevel3"/>
        <w:numPr>
          <w:ilvl w:val="0"/>
          <w:numId w:val="0"/>
        </w:numPr>
      </w:pPr>
      <w:r>
        <w:t>Telstra proposed allocation method</w:t>
      </w:r>
    </w:p>
    <w:p w:rsidR="003F7A15" w:rsidRDefault="003F7A15" w:rsidP="003F7A15">
      <w:r>
        <w:t>Under Telstra’s revised model, the costs associated with network building/support are assumed to be driven by the number of fixed line SIOs.</w:t>
      </w:r>
    </w:p>
    <w:p w:rsidR="003F7A15" w:rsidRDefault="003F7A15" w:rsidP="003F7A15">
      <w:r>
        <w:t>The cost allocation factors for ULLS and WLR are derived by calculating the ratio of forecast ULLS or WLR SIOs to the combined SIO forecast for all services using network building/support (ULLS, WLR, PSTN retail access, ISDN access and other DSL services).</w:t>
      </w:r>
    </w:p>
    <w:p w:rsidR="007E6FBC" w:rsidRDefault="007E6FBC" w:rsidP="007E6FBC">
      <w:pPr>
        <w:pStyle w:val="HeadingLevel3"/>
        <w:numPr>
          <w:ilvl w:val="0"/>
          <w:numId w:val="0"/>
        </w:numPr>
      </w:pPr>
      <w:r>
        <w:t>Current versus Telstr</w:t>
      </w:r>
      <w:r w:rsidR="006355F9">
        <w:t>a’s proposed allocation factors</w:t>
      </w:r>
    </w:p>
    <w:p w:rsidR="007E6FBC" w:rsidRDefault="007E6FBC" w:rsidP="007E6FBC">
      <w:r>
        <w:t>Cost allocation factors for 2013-14 based on the 2011 FAD approach and Telstra’s proposed approach are provided in the table below.</w:t>
      </w:r>
    </w:p>
    <w:p w:rsidR="007E6FBC" w:rsidRDefault="00345E0A" w:rsidP="006355F9">
      <w:pPr>
        <w:pStyle w:val="HeadingLevel8table"/>
        <w:ind w:left="1440" w:hanging="1440"/>
      </w:pPr>
      <w:r w:rsidRPr="00345E0A">
        <w:lastRenderedPageBreak/>
        <w:t xml:space="preserve">Table </w:t>
      </w:r>
      <w:r>
        <w:t>2</w:t>
      </w:r>
      <w:r w:rsidRPr="00345E0A">
        <w:t>.</w:t>
      </w:r>
      <w:r>
        <w:t>9</w:t>
      </w:r>
      <w:r w:rsidRPr="00345E0A">
        <w:t>.1</w:t>
      </w:r>
      <w:r w:rsidRPr="00345E0A">
        <w:tab/>
        <w:t xml:space="preserve">Comparison of 2011 FAD </w:t>
      </w:r>
      <w:r w:rsidR="00EB3D67">
        <w:t xml:space="preserve">approach </w:t>
      </w:r>
      <w:proofErr w:type="spellStart"/>
      <w:r w:rsidRPr="00345E0A">
        <w:t>vs</w:t>
      </w:r>
      <w:proofErr w:type="spellEnd"/>
      <w:r w:rsidRPr="00345E0A">
        <w:t xml:space="preserve"> </w:t>
      </w:r>
      <w:r w:rsidR="006355F9">
        <w:t xml:space="preserve">Telstra’s </w:t>
      </w:r>
      <w:r w:rsidRPr="00345E0A">
        <w:t>proposed approach for C</w:t>
      </w:r>
      <w:r>
        <w:t>A</w:t>
      </w:r>
      <w:r w:rsidRPr="00345E0A">
        <w:t>0</w:t>
      </w:r>
      <w:r>
        <w:t>9</w:t>
      </w:r>
      <w:r w:rsidR="006355F9">
        <w:t xml:space="preserve"> network buildings/support</w:t>
      </w:r>
      <w:r w:rsidR="00EB3D67">
        <w:t xml:space="preserve"> for 2013-14</w:t>
      </w:r>
    </w:p>
    <w:tbl>
      <w:tblPr>
        <w:tblStyle w:val="TableGrid"/>
        <w:tblW w:w="0" w:type="auto"/>
        <w:tblLook w:val="04A0" w:firstRow="1" w:lastRow="0" w:firstColumn="1" w:lastColumn="0" w:noHBand="0" w:noVBand="1"/>
      </w:tblPr>
      <w:tblGrid>
        <w:gridCol w:w="1788"/>
        <w:gridCol w:w="1719"/>
        <w:gridCol w:w="1719"/>
        <w:gridCol w:w="1719"/>
        <w:gridCol w:w="1719"/>
      </w:tblGrid>
      <w:tr w:rsidR="00E60B1E" w:rsidTr="009B54F3">
        <w:trPr>
          <w:trHeight w:val="447"/>
        </w:trPr>
        <w:tc>
          <w:tcPr>
            <w:tcW w:w="1788" w:type="dxa"/>
          </w:tcPr>
          <w:p w:rsidR="00E60B1E" w:rsidRDefault="00E60B1E" w:rsidP="00350637">
            <w:pPr>
              <w:pStyle w:val="Table2Text"/>
            </w:pPr>
            <w:r>
              <w:t>Declared service</w:t>
            </w:r>
          </w:p>
        </w:tc>
        <w:tc>
          <w:tcPr>
            <w:tcW w:w="1719" w:type="dxa"/>
            <w:vAlign w:val="center"/>
          </w:tcPr>
          <w:p w:rsidR="00E60B1E" w:rsidRDefault="00E60B1E" w:rsidP="00AC01B7">
            <w:pPr>
              <w:pStyle w:val="Table2Text"/>
            </w:pPr>
            <w:r>
              <w:t xml:space="preserve">2011 FAD </w:t>
            </w:r>
            <w:r w:rsidR="00EB3D67">
              <w:t xml:space="preserve">approach </w:t>
            </w:r>
            <w:r>
              <w:t xml:space="preserve">% </w:t>
            </w:r>
          </w:p>
        </w:tc>
        <w:tc>
          <w:tcPr>
            <w:tcW w:w="1719" w:type="dxa"/>
            <w:vAlign w:val="center"/>
          </w:tcPr>
          <w:p w:rsidR="00E60B1E" w:rsidRDefault="00E60B1E" w:rsidP="00AC01B7">
            <w:pPr>
              <w:pStyle w:val="Table2Text"/>
            </w:pPr>
            <w:r>
              <w:t xml:space="preserve">Telstra proposed </w:t>
            </w:r>
            <w:r w:rsidR="00EB3D67">
              <w:t xml:space="preserve">approach </w:t>
            </w:r>
            <w:r>
              <w:t>%</w:t>
            </w:r>
          </w:p>
        </w:tc>
        <w:tc>
          <w:tcPr>
            <w:tcW w:w="1719" w:type="dxa"/>
            <w:vAlign w:val="center"/>
          </w:tcPr>
          <w:p w:rsidR="00E60B1E" w:rsidRDefault="00E60B1E" w:rsidP="00AC01B7">
            <w:pPr>
              <w:pStyle w:val="Table2Text"/>
            </w:pPr>
            <w:r>
              <w:t>% point</w:t>
            </w:r>
            <w:r w:rsidR="003414D2">
              <w:t xml:space="preserve"> difference</w:t>
            </w:r>
          </w:p>
        </w:tc>
        <w:tc>
          <w:tcPr>
            <w:tcW w:w="1719" w:type="dxa"/>
          </w:tcPr>
          <w:p w:rsidR="00E60B1E" w:rsidDel="00E60B1E" w:rsidRDefault="00E60B1E" w:rsidP="00BF3B6A">
            <w:pPr>
              <w:pStyle w:val="Table2Text"/>
            </w:pPr>
            <w:r>
              <w:t>%</w:t>
            </w:r>
            <w:r w:rsidR="003414D2">
              <w:t xml:space="preserve"> change</w:t>
            </w:r>
          </w:p>
        </w:tc>
      </w:tr>
      <w:tr w:rsidR="00E60B1E" w:rsidTr="009B54F3">
        <w:trPr>
          <w:trHeight w:val="447"/>
        </w:trPr>
        <w:tc>
          <w:tcPr>
            <w:tcW w:w="1788" w:type="dxa"/>
          </w:tcPr>
          <w:p w:rsidR="00E60B1E" w:rsidRDefault="00E60B1E" w:rsidP="00350637">
            <w:pPr>
              <w:pStyle w:val="Table2Text"/>
            </w:pPr>
            <w:r>
              <w:t>ULLS</w:t>
            </w:r>
          </w:p>
        </w:tc>
        <w:tc>
          <w:tcPr>
            <w:tcW w:w="1719" w:type="dxa"/>
            <w:vAlign w:val="center"/>
          </w:tcPr>
          <w:p w:rsidR="00E60B1E" w:rsidRDefault="009B54F3" w:rsidP="00AC01B7">
            <w:pPr>
              <w:pStyle w:val="Table2Text"/>
            </w:pPr>
            <w:r>
              <w:t>[c-</w:t>
            </w:r>
            <w:proofErr w:type="spellStart"/>
            <w:r>
              <w:t>i</w:t>
            </w:r>
            <w:proofErr w:type="spellEnd"/>
            <w:r>
              <w:t>-c starts]</w:t>
            </w:r>
            <w:r w:rsidR="00552D6F">
              <w:rPr>
                <w:noProof/>
                <w:color w:val="000000"/>
                <w:highlight w:val="black"/>
              </w:rPr>
              <w:t>''''''''''</w:t>
            </w:r>
          </w:p>
        </w:tc>
        <w:tc>
          <w:tcPr>
            <w:tcW w:w="1719" w:type="dxa"/>
            <w:vAlign w:val="center"/>
          </w:tcPr>
          <w:p w:rsidR="00E60B1E" w:rsidRPr="00552D6F" w:rsidRDefault="00552D6F" w:rsidP="00AC01B7">
            <w:pPr>
              <w:pStyle w:val="Table2Text"/>
              <w:rPr>
                <w:highlight w:val="black"/>
              </w:rPr>
            </w:pPr>
            <w:r>
              <w:rPr>
                <w:noProof/>
                <w:color w:val="000000"/>
                <w:highlight w:val="black"/>
              </w:rPr>
              <w:t>'''''''''''</w:t>
            </w:r>
          </w:p>
        </w:tc>
        <w:tc>
          <w:tcPr>
            <w:tcW w:w="1719" w:type="dxa"/>
            <w:vAlign w:val="center"/>
          </w:tcPr>
          <w:p w:rsidR="00E60B1E" w:rsidRPr="00552D6F" w:rsidRDefault="00552D6F" w:rsidP="00AC01B7">
            <w:pPr>
              <w:pStyle w:val="Table2Text"/>
              <w:rPr>
                <w:highlight w:val="black"/>
              </w:rPr>
            </w:pPr>
            <w:r>
              <w:rPr>
                <w:noProof/>
                <w:color w:val="000000"/>
                <w:highlight w:val="black"/>
              </w:rPr>
              <w:t>''''''''''''</w:t>
            </w:r>
          </w:p>
        </w:tc>
        <w:tc>
          <w:tcPr>
            <w:tcW w:w="1719" w:type="dxa"/>
          </w:tcPr>
          <w:p w:rsidR="00E60B1E" w:rsidRPr="00552D6F" w:rsidRDefault="00552D6F" w:rsidP="00BF3B6A">
            <w:pPr>
              <w:pStyle w:val="Table2Text"/>
              <w:rPr>
                <w:highlight w:val="black"/>
              </w:rPr>
            </w:pPr>
            <w:r>
              <w:rPr>
                <w:noProof/>
                <w:color w:val="000000"/>
                <w:highlight w:val="black"/>
              </w:rPr>
              <w:t>'''''''''''''</w:t>
            </w:r>
          </w:p>
        </w:tc>
      </w:tr>
      <w:tr w:rsidR="00E60B1E" w:rsidTr="009B54F3">
        <w:trPr>
          <w:trHeight w:val="447"/>
        </w:trPr>
        <w:tc>
          <w:tcPr>
            <w:tcW w:w="1788" w:type="dxa"/>
          </w:tcPr>
          <w:p w:rsidR="00E60B1E" w:rsidRDefault="00E60B1E" w:rsidP="00350637">
            <w:pPr>
              <w:pStyle w:val="Table2Text"/>
            </w:pPr>
            <w:r>
              <w:t>WLR</w:t>
            </w:r>
            <w:r>
              <w:tab/>
            </w:r>
          </w:p>
        </w:tc>
        <w:tc>
          <w:tcPr>
            <w:tcW w:w="1719" w:type="dxa"/>
            <w:vAlign w:val="center"/>
          </w:tcPr>
          <w:p w:rsidR="00E60B1E" w:rsidRPr="00552D6F" w:rsidRDefault="00552D6F" w:rsidP="00AC01B7">
            <w:pPr>
              <w:pStyle w:val="Table2Text"/>
              <w:rPr>
                <w:highlight w:val="black"/>
              </w:rPr>
            </w:pPr>
            <w:r>
              <w:rPr>
                <w:noProof/>
                <w:color w:val="000000"/>
                <w:highlight w:val="black"/>
              </w:rPr>
              <w:t>''''''''''''</w:t>
            </w:r>
          </w:p>
        </w:tc>
        <w:tc>
          <w:tcPr>
            <w:tcW w:w="1719" w:type="dxa"/>
            <w:vAlign w:val="center"/>
          </w:tcPr>
          <w:p w:rsidR="00E60B1E" w:rsidRPr="00552D6F" w:rsidRDefault="00552D6F" w:rsidP="00AC01B7">
            <w:pPr>
              <w:pStyle w:val="Table2Text"/>
              <w:rPr>
                <w:highlight w:val="black"/>
              </w:rPr>
            </w:pPr>
            <w:r>
              <w:rPr>
                <w:noProof/>
                <w:color w:val="000000"/>
                <w:highlight w:val="black"/>
              </w:rPr>
              <w:t>'''''''''''</w:t>
            </w:r>
          </w:p>
        </w:tc>
        <w:tc>
          <w:tcPr>
            <w:tcW w:w="1719" w:type="dxa"/>
            <w:vAlign w:val="center"/>
          </w:tcPr>
          <w:p w:rsidR="00E60B1E" w:rsidRPr="00552D6F" w:rsidRDefault="00552D6F" w:rsidP="00AC01B7">
            <w:pPr>
              <w:pStyle w:val="Table2Text"/>
              <w:rPr>
                <w:highlight w:val="black"/>
              </w:rPr>
            </w:pPr>
            <w:r>
              <w:rPr>
                <w:noProof/>
                <w:color w:val="000000"/>
                <w:highlight w:val="black"/>
              </w:rPr>
              <w:t>''''''''''''</w:t>
            </w:r>
          </w:p>
        </w:tc>
        <w:tc>
          <w:tcPr>
            <w:tcW w:w="1719" w:type="dxa"/>
          </w:tcPr>
          <w:p w:rsidR="00E60B1E" w:rsidRDefault="00552D6F" w:rsidP="00BF3B6A">
            <w:pPr>
              <w:pStyle w:val="Table2Text"/>
            </w:pPr>
            <w:r>
              <w:rPr>
                <w:noProof/>
                <w:color w:val="000000"/>
                <w:highlight w:val="black"/>
              </w:rPr>
              <w:t>''''''''''''''</w:t>
            </w:r>
            <w:r w:rsidR="009B54F3">
              <w:t>[c-</w:t>
            </w:r>
            <w:proofErr w:type="spellStart"/>
            <w:r w:rsidR="009B54F3">
              <w:t>i</w:t>
            </w:r>
            <w:proofErr w:type="spellEnd"/>
            <w:r w:rsidR="009B54F3">
              <w:t>-c ends]</w:t>
            </w:r>
          </w:p>
        </w:tc>
      </w:tr>
    </w:tbl>
    <w:p w:rsidR="007E6FBC" w:rsidRDefault="007E6FBC" w:rsidP="007E6FBC"/>
    <w:p w:rsidR="007E6FBC" w:rsidRDefault="007E6FBC" w:rsidP="007E6FBC">
      <w:r w:rsidRPr="007E6FBC">
        <w:t>The following chart shows Telstra’s assumed share use of the network building/support assets class used by the various services for 2013-14.</w:t>
      </w:r>
    </w:p>
    <w:p w:rsidR="00CD26D9" w:rsidRDefault="005065CE" w:rsidP="00AB2E1F">
      <w:pPr>
        <w:pStyle w:val="HeadingLevel8table"/>
      </w:pPr>
      <w:r w:rsidRPr="005065CE">
        <w:t>Figure 2.</w:t>
      </w:r>
      <w:r>
        <w:t>9</w:t>
      </w:r>
      <w:r w:rsidRPr="005065CE">
        <w:t>.2</w:t>
      </w:r>
      <w:r w:rsidRPr="005065CE">
        <w:tab/>
        <w:t>Telstra’s proposed allocation of CA0</w:t>
      </w:r>
      <w:r>
        <w:t>9</w:t>
      </w:r>
      <w:r w:rsidR="00EB3D67">
        <w:t xml:space="preserve"> </w:t>
      </w:r>
      <w:r w:rsidR="005871C8" w:rsidRPr="005871C8">
        <w:t xml:space="preserve">network buildings/support </w:t>
      </w:r>
      <w:r w:rsidR="00EB3D67">
        <w:t>for 2013-14</w:t>
      </w:r>
    </w:p>
    <w:p w:rsidR="00C56561" w:rsidRPr="005871C8" w:rsidRDefault="00C56561" w:rsidP="008D78CC">
      <w:r w:rsidRPr="008D78CC">
        <w:rPr>
          <w:b/>
        </w:rPr>
        <w:t>[</w:t>
      </w:r>
      <w:proofErr w:type="gramStart"/>
      <w:r w:rsidRPr="008D78CC">
        <w:rPr>
          <w:b/>
        </w:rPr>
        <w:t>c-</w:t>
      </w:r>
      <w:proofErr w:type="spellStart"/>
      <w:r w:rsidRPr="008D78CC">
        <w:rPr>
          <w:b/>
        </w:rPr>
        <w:t>i</w:t>
      </w:r>
      <w:proofErr w:type="spellEnd"/>
      <w:r w:rsidRPr="008D78CC">
        <w:rPr>
          <w:b/>
        </w:rPr>
        <w:t>-c</w:t>
      </w:r>
      <w:proofErr w:type="gramEnd"/>
      <w:r w:rsidRPr="008D78CC">
        <w:rPr>
          <w:b/>
        </w:rPr>
        <w:t xml:space="preserve"> starts]</w:t>
      </w:r>
    </w:p>
    <w:p w:rsidR="00C56561" w:rsidRDefault="00552D6F" w:rsidP="00AB2E1F">
      <w:pPr>
        <w:pStyle w:val="HeadingLevel8table"/>
        <w:rPr>
          <w:b w:val="0"/>
        </w:rPr>
      </w:pPr>
      <w:r>
        <w:rPr>
          <w:b w:val="0"/>
          <w:noProof/>
          <w:lang w:eastAsia="en-AU"/>
        </w:rPr>
        <w:drawing>
          <wp:inline distT="0" distB="0" distL="0" distR="0">
            <wp:extent cx="3609340" cy="252984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09340" cy="2529840"/>
                    </a:xfrm>
                    <a:prstGeom prst="rect">
                      <a:avLst/>
                    </a:prstGeom>
                  </pic:spPr>
                </pic:pic>
              </a:graphicData>
            </a:graphic>
          </wp:inline>
        </w:drawing>
      </w:r>
    </w:p>
    <w:p w:rsidR="007E6FBC" w:rsidRPr="008D78CC" w:rsidRDefault="009B54F3" w:rsidP="00AB2E1F">
      <w:pPr>
        <w:pStyle w:val="HeadingLevel8table"/>
        <w:rPr>
          <w:b w:val="0"/>
        </w:rPr>
      </w:pPr>
      <w:r w:rsidRPr="009B54F3">
        <w:t>[</w:t>
      </w:r>
      <w:proofErr w:type="gramStart"/>
      <w:r w:rsidRPr="009B54F3">
        <w:t>c-</w:t>
      </w:r>
      <w:proofErr w:type="spellStart"/>
      <w:r w:rsidRPr="009B54F3">
        <w:t>i</w:t>
      </w:r>
      <w:proofErr w:type="spellEnd"/>
      <w:r w:rsidRPr="009B54F3">
        <w:t>-c</w:t>
      </w:r>
      <w:proofErr w:type="gramEnd"/>
      <w:r w:rsidRPr="009B54F3">
        <w:t xml:space="preserve"> ends]</w:t>
      </w:r>
    </w:p>
    <w:p w:rsidR="000A176B" w:rsidRDefault="000A176B">
      <w:pPr>
        <w:spacing w:after="200" w:line="276" w:lineRule="auto"/>
        <w:rPr>
          <w:rFonts w:eastAsiaTheme="majorEastAsia" w:cstheme="majorBidi"/>
          <w:b/>
          <w:color w:val="002060"/>
          <w:sz w:val="32"/>
          <w:szCs w:val="28"/>
        </w:rPr>
      </w:pPr>
      <w:r>
        <w:br w:type="page"/>
      </w:r>
    </w:p>
    <w:p w:rsidR="007E6FBC" w:rsidRDefault="007E6FBC" w:rsidP="000B4885">
      <w:pPr>
        <w:pStyle w:val="HeadingLevel2"/>
      </w:pPr>
      <w:bookmarkStart w:id="19" w:name="_Toc393375571"/>
      <w:r>
        <w:lastRenderedPageBreak/>
        <w:t>CA10 indirect capital assets</w:t>
      </w:r>
      <w:bookmarkEnd w:id="19"/>
    </w:p>
    <w:p w:rsidR="000B4885" w:rsidRDefault="000B4885" w:rsidP="000B4885">
      <w:pPr>
        <w:pStyle w:val="HeadingLevel3"/>
        <w:numPr>
          <w:ilvl w:val="0"/>
          <w:numId w:val="0"/>
        </w:numPr>
      </w:pPr>
      <w:r>
        <w:t>Asset description</w:t>
      </w:r>
    </w:p>
    <w:p w:rsidR="000B4885" w:rsidRDefault="002A335B" w:rsidP="000B4885">
      <w:r w:rsidRPr="002A335B">
        <w:t xml:space="preserve">The CAN indirect asset class contains mainly IT services equipment </w:t>
      </w:r>
      <w:r w:rsidR="00104A9F">
        <w:t xml:space="preserve">(both </w:t>
      </w:r>
      <w:r w:rsidR="00104A9F" w:rsidRPr="002A335B">
        <w:t>software and hardware</w:t>
      </w:r>
      <w:r w:rsidR="00104A9F">
        <w:t xml:space="preserve">). It also contains </w:t>
      </w:r>
      <w:r w:rsidRPr="002A335B">
        <w:t>motor vehicles and mechanical aids.</w:t>
      </w:r>
    </w:p>
    <w:p w:rsidR="001B4C98" w:rsidRDefault="001B4C98" w:rsidP="001B4C98">
      <w:pPr>
        <w:pStyle w:val="HeadingLevel3"/>
        <w:numPr>
          <w:ilvl w:val="0"/>
          <w:numId w:val="0"/>
        </w:numPr>
      </w:pPr>
      <w:r>
        <w:t xml:space="preserve">Key points </w:t>
      </w:r>
    </w:p>
    <w:p w:rsidR="008D1008" w:rsidRPr="00A93872" w:rsidRDefault="008D1008" w:rsidP="008D1008">
      <w:pPr>
        <w:pStyle w:val="Bulleta"/>
      </w:pPr>
      <w:r>
        <w:t>Indirect capital assets contribute a material proportion towards the total fixed</w:t>
      </w:r>
      <w:r w:rsidR="000255D7">
        <w:t xml:space="preserve"> </w:t>
      </w:r>
      <w:r>
        <w:t>line revenue requirement (</w:t>
      </w:r>
      <w:r>
        <w:rPr>
          <w:b/>
        </w:rPr>
        <w:t>[c-</w:t>
      </w:r>
      <w:proofErr w:type="spellStart"/>
      <w:r>
        <w:rPr>
          <w:b/>
        </w:rPr>
        <w:t>i</w:t>
      </w:r>
      <w:proofErr w:type="spellEnd"/>
      <w:r>
        <w:rPr>
          <w:b/>
        </w:rPr>
        <w:t>-c starts]</w:t>
      </w:r>
      <w:r w:rsidR="00552D6F">
        <w:rPr>
          <w:noProof/>
          <w:color w:val="000000"/>
          <w:highlight w:val="black"/>
        </w:rPr>
        <w:t>''''''''</w:t>
      </w:r>
      <w:r>
        <w:rPr>
          <w:b/>
        </w:rPr>
        <w:t>[c-</w:t>
      </w:r>
      <w:proofErr w:type="spellStart"/>
      <w:r>
        <w:rPr>
          <w:b/>
        </w:rPr>
        <w:t>i</w:t>
      </w:r>
      <w:proofErr w:type="spellEnd"/>
      <w:r>
        <w:rPr>
          <w:b/>
        </w:rPr>
        <w:t>-c ends]</w:t>
      </w:r>
      <w:r>
        <w:t xml:space="preserve"> per cent</w:t>
      </w:r>
      <w:r w:rsidRPr="00A93872">
        <w:t xml:space="preserve"> in 2013-14</w:t>
      </w:r>
      <w:r>
        <w:t>).</w:t>
      </w:r>
    </w:p>
    <w:p w:rsidR="008D1008" w:rsidRDefault="001B4C98" w:rsidP="001B4C98">
      <w:pPr>
        <w:pStyle w:val="Bulleta"/>
      </w:pPr>
      <w:r w:rsidRPr="006A3C2D">
        <w:t xml:space="preserve">Telstra’s proposed </w:t>
      </w:r>
      <w:r w:rsidR="008D1008">
        <w:t xml:space="preserve">‘general allocator’ </w:t>
      </w:r>
      <w:r w:rsidR="002C6B3F">
        <w:t xml:space="preserve">approach </w:t>
      </w:r>
      <w:r w:rsidRPr="006A3C2D">
        <w:t xml:space="preserve">for indirect capital assets </w:t>
      </w:r>
      <w:r w:rsidR="002C6B3F">
        <w:t>is</w:t>
      </w:r>
      <w:r w:rsidRPr="006A3C2D">
        <w:t xml:space="preserve"> </w:t>
      </w:r>
      <w:r w:rsidR="002C6B3F">
        <w:t xml:space="preserve">similar to </w:t>
      </w:r>
      <w:r w:rsidRPr="006A3C2D">
        <w:t xml:space="preserve">the </w:t>
      </w:r>
      <w:r w:rsidR="002C6B3F">
        <w:t>‘</w:t>
      </w:r>
      <w:r w:rsidRPr="006A3C2D">
        <w:t>revenue share</w:t>
      </w:r>
      <w:r w:rsidR="002C6B3F">
        <w:t>’</w:t>
      </w:r>
      <w:r w:rsidRPr="006A3C2D">
        <w:t xml:space="preserve"> </w:t>
      </w:r>
      <w:r w:rsidR="002C6B3F">
        <w:t xml:space="preserve">approach adopted for this asset class in </w:t>
      </w:r>
      <w:r w:rsidRPr="006A3C2D">
        <w:t>th</w:t>
      </w:r>
      <w:r w:rsidR="002C6B3F">
        <w:t>e 2011 FADs. The key differences are:</w:t>
      </w:r>
    </w:p>
    <w:p w:rsidR="002C6B3F" w:rsidRDefault="002C6B3F" w:rsidP="002C6B3F">
      <w:pPr>
        <w:pStyle w:val="Bulletb"/>
      </w:pPr>
      <w:proofErr w:type="gramStart"/>
      <w:r>
        <w:t>under</w:t>
      </w:r>
      <w:proofErr w:type="gramEnd"/>
      <w:r>
        <w:t xml:space="preserve"> Telstra’s approach, all other CAN asset classes are used to calculate the general allocation factor. In the 2011 FADs, a smaller range of asset classes were used.</w:t>
      </w:r>
    </w:p>
    <w:p w:rsidR="002C6B3F" w:rsidRDefault="002C6B3F" w:rsidP="002C6B3F">
      <w:pPr>
        <w:pStyle w:val="Bulletb"/>
      </w:pPr>
      <w:proofErr w:type="gramStart"/>
      <w:r>
        <w:t>under</w:t>
      </w:r>
      <w:proofErr w:type="gramEnd"/>
      <w:r>
        <w:t xml:space="preserve"> Telstra’s approach, the general allocation factor is calculated annually. In the 2011 FADs, it was calculated using the revenue share approach for the first year only, then adjusted in line with changes in demand for declared services. </w:t>
      </w:r>
    </w:p>
    <w:p w:rsidR="00B870DF" w:rsidRDefault="00B870DF" w:rsidP="001B4C98">
      <w:pPr>
        <w:pStyle w:val="Bulleta"/>
      </w:pPr>
      <w:r>
        <w:t xml:space="preserve">Although a similar framework is used to calculate cost allocation factors for indirect capital assets, it is expected to increase under Telstra’s proposal. This is likely to be driven by the move to fully allocated model and the impact on cost allocation factors for other asset classes, on which the general allocation factors are based. </w:t>
      </w:r>
    </w:p>
    <w:p w:rsidR="000B4885" w:rsidRDefault="000B4885" w:rsidP="000B4885">
      <w:pPr>
        <w:pStyle w:val="HeadingLevel3"/>
        <w:numPr>
          <w:ilvl w:val="0"/>
          <w:numId w:val="0"/>
        </w:numPr>
      </w:pPr>
      <w:r>
        <w:t>Services using this asset class</w:t>
      </w:r>
    </w:p>
    <w:p w:rsidR="000B4885" w:rsidRDefault="00A27ECD">
      <w:r>
        <w:t>Indirect capital assets</w:t>
      </w:r>
      <w:r w:rsidRPr="00A27ECD">
        <w:t xml:space="preserve"> are </w:t>
      </w:r>
      <w:r w:rsidR="000E3E71">
        <w:t xml:space="preserve">assumed to be </w:t>
      </w:r>
      <w:r w:rsidRPr="00A27ECD">
        <w:t>used for declared and other fixed</w:t>
      </w:r>
      <w:r w:rsidR="000255D7">
        <w:t xml:space="preserve"> </w:t>
      </w:r>
      <w:r w:rsidRPr="00A27ECD">
        <w:t>line services and also for a range of non-fixed-line uses.</w:t>
      </w:r>
      <w:r w:rsidR="000E3E71">
        <w:t xml:space="preserve"> </w:t>
      </w:r>
      <w:r w:rsidRPr="00A27ECD">
        <w:t>The declared fixed</w:t>
      </w:r>
      <w:r w:rsidR="000255D7">
        <w:t xml:space="preserve"> </w:t>
      </w:r>
      <w:r w:rsidRPr="00A27ECD">
        <w:t xml:space="preserve">line services that require </w:t>
      </w:r>
      <w:r>
        <w:t>indirect capital assets</w:t>
      </w:r>
      <w:r w:rsidRPr="00A27ECD">
        <w:t xml:space="preserve"> are ULLS and WLR.</w:t>
      </w:r>
    </w:p>
    <w:p w:rsidR="000B4885" w:rsidRDefault="000B4885" w:rsidP="000B4885">
      <w:pPr>
        <w:pStyle w:val="HeadingLevel3"/>
        <w:numPr>
          <w:ilvl w:val="0"/>
          <w:numId w:val="0"/>
        </w:numPr>
      </w:pPr>
      <w:r>
        <w:t>Approach adopted for 2011 FAD</w:t>
      </w:r>
    </w:p>
    <w:p w:rsidR="00215683" w:rsidRDefault="00583116" w:rsidP="00A33551">
      <w:r w:rsidRPr="00583116">
        <w:t xml:space="preserve">In the 2011 FAD, the </w:t>
      </w:r>
      <w:r w:rsidR="00215683">
        <w:t xml:space="preserve">initial </w:t>
      </w:r>
      <w:r w:rsidRPr="00583116">
        <w:t>cost allocation factor for indirect capital asset</w:t>
      </w:r>
      <w:r w:rsidR="00033E7F">
        <w:t>s</w:t>
      </w:r>
      <w:r w:rsidRPr="00583116">
        <w:t xml:space="preserve"> was based on a </w:t>
      </w:r>
      <w:r w:rsidR="00215683">
        <w:t>‘</w:t>
      </w:r>
      <w:r w:rsidRPr="00583116">
        <w:t>revenue share</w:t>
      </w:r>
      <w:r w:rsidR="00215683">
        <w:t>’</w:t>
      </w:r>
      <w:r w:rsidRPr="00583116">
        <w:t xml:space="preserve"> approach.</w:t>
      </w:r>
      <w:r w:rsidR="00215683">
        <w:t xml:space="preserve"> This involved the following three step process:</w:t>
      </w:r>
    </w:p>
    <w:p w:rsidR="009D4135" w:rsidRDefault="00583116" w:rsidP="0045558E">
      <w:pPr>
        <w:pStyle w:val="Bulleta"/>
      </w:pPr>
      <w:r w:rsidRPr="00583116">
        <w:t xml:space="preserve">First, </w:t>
      </w:r>
      <w:r w:rsidR="009D4135">
        <w:t xml:space="preserve">the total annual revenue requirement for </w:t>
      </w:r>
      <w:r w:rsidR="009D4135" w:rsidRPr="00583116">
        <w:t>the first seven CAN asset classes</w:t>
      </w:r>
      <w:r w:rsidR="009D4135">
        <w:t xml:space="preserve"> was calculated for 2009-10.</w:t>
      </w:r>
    </w:p>
    <w:p w:rsidR="009D4135" w:rsidRDefault="009D4135" w:rsidP="0045558E">
      <w:pPr>
        <w:pStyle w:val="Bulleta"/>
      </w:pPr>
      <w:r>
        <w:t xml:space="preserve">Second, the annual revenue requirement for </w:t>
      </w:r>
      <w:r w:rsidRPr="00583116">
        <w:t>the first seven CAN asset classes</w:t>
      </w:r>
      <w:r>
        <w:t xml:space="preserve"> for each declared service was calculated for 2009-10</w:t>
      </w:r>
      <w:r w:rsidR="00676764">
        <w:t>.</w:t>
      </w:r>
    </w:p>
    <w:p w:rsidR="009D4135" w:rsidRDefault="009D4135" w:rsidP="00737BE6">
      <w:pPr>
        <w:pStyle w:val="Bulleta"/>
      </w:pPr>
      <w:r>
        <w:t>Third, the annual revenue requirement for each declared service calculated in the second step is divided by the total annual revenue requirement calculated</w:t>
      </w:r>
      <w:r w:rsidR="00676764">
        <w:t xml:space="preserve"> in the</w:t>
      </w:r>
      <w:r>
        <w:t xml:space="preserve"> first step to obtain the cost allocation factors for each declared service for that year.</w:t>
      </w:r>
    </w:p>
    <w:p w:rsidR="002545CB" w:rsidRDefault="009C6914" w:rsidP="009C6914">
      <w:r>
        <w:t>Onc</w:t>
      </w:r>
      <w:r w:rsidR="002545CB">
        <w:t>e the initial cost allocation factors were determined, they were adjusted each year by the forecast percentage changes in ULLS and WLR SIOs for that year.</w:t>
      </w:r>
    </w:p>
    <w:p w:rsidR="002545CB" w:rsidRDefault="002545CB" w:rsidP="002545CB">
      <w:pPr>
        <w:pStyle w:val="Bulleta"/>
        <w:numPr>
          <w:ilvl w:val="0"/>
          <w:numId w:val="0"/>
        </w:numPr>
        <w:ind w:left="360"/>
      </w:pPr>
    </w:p>
    <w:p w:rsidR="000B4885" w:rsidRDefault="000B4885" w:rsidP="000B4885">
      <w:pPr>
        <w:pStyle w:val="HeadingLevel3"/>
        <w:numPr>
          <w:ilvl w:val="0"/>
          <w:numId w:val="0"/>
        </w:numPr>
      </w:pPr>
      <w:r>
        <w:lastRenderedPageBreak/>
        <w:t>Telstra’s proposed allocation method</w:t>
      </w:r>
    </w:p>
    <w:p w:rsidR="000B4885" w:rsidRDefault="00895BB1" w:rsidP="000B4885">
      <w:r>
        <w:t xml:space="preserve">Telstra has proposed a </w:t>
      </w:r>
      <w:r w:rsidR="00590174">
        <w:t>’</w:t>
      </w:r>
      <w:r>
        <w:t>general allocator</w:t>
      </w:r>
      <w:r w:rsidR="00590174">
        <w:t>’</w:t>
      </w:r>
      <w:r>
        <w:t xml:space="preserve"> approach to allocate costs for indirect capital assets</w:t>
      </w:r>
      <w:r w:rsidR="000B4885">
        <w:t xml:space="preserve">. </w:t>
      </w:r>
      <w:r w:rsidR="003C402A">
        <w:t xml:space="preserve">Telstra’s </w:t>
      </w:r>
      <w:r w:rsidR="000B4885">
        <w:t xml:space="preserve">rationale for using a general allocator is </w:t>
      </w:r>
      <w:r>
        <w:t xml:space="preserve">that </w:t>
      </w:r>
      <w:r w:rsidR="000B4885">
        <w:t xml:space="preserve">there is no logical, direct causal relationship that can be calculated between </w:t>
      </w:r>
      <w:r>
        <w:t>indirect capital</w:t>
      </w:r>
      <w:r w:rsidR="000B4885">
        <w:t xml:space="preserve"> asset and the relevant services.</w:t>
      </w:r>
    </w:p>
    <w:p w:rsidR="00063E2C" w:rsidRDefault="000B4885" w:rsidP="00583116">
      <w:r>
        <w:t xml:space="preserve">The methodology used to calculate the general allocator for CAN indirect capital asset </w:t>
      </w:r>
      <w:r w:rsidR="00782D5A">
        <w:t xml:space="preserve">is similar to the revenue shares approach adopted in the 2011 FADs as </w:t>
      </w:r>
      <w:r w:rsidR="00583116" w:rsidRPr="00583116">
        <w:t>described</w:t>
      </w:r>
      <w:r w:rsidR="00590174">
        <w:t xml:space="preserve"> </w:t>
      </w:r>
      <w:r w:rsidR="00583116" w:rsidRPr="00583116">
        <w:t>above</w:t>
      </w:r>
      <w:r w:rsidR="005A2113">
        <w:t>.</w:t>
      </w:r>
      <w:r w:rsidR="00583116" w:rsidRPr="00583116">
        <w:t xml:space="preserve"> </w:t>
      </w:r>
      <w:r w:rsidR="005A2113">
        <w:t>T</w:t>
      </w:r>
      <w:r w:rsidR="00583116" w:rsidRPr="00583116">
        <w:t xml:space="preserve">he </w:t>
      </w:r>
      <w:r w:rsidR="00063E2C">
        <w:t xml:space="preserve">two </w:t>
      </w:r>
      <w:r w:rsidR="00782D5A">
        <w:t>key differences between Telstra’s approach and the 2011 FAD approach are</w:t>
      </w:r>
      <w:r w:rsidR="00063E2C">
        <w:t>:</w:t>
      </w:r>
    </w:p>
    <w:p w:rsidR="000B4885" w:rsidRDefault="00583116" w:rsidP="00AB2E1F">
      <w:pPr>
        <w:pStyle w:val="Bulleta"/>
      </w:pPr>
      <w:r w:rsidRPr="00583116">
        <w:t xml:space="preserve">Telstra proposes to include </w:t>
      </w:r>
      <w:r w:rsidR="00895BB1">
        <w:t xml:space="preserve">all CAN asset classes except indirect capital assets </w:t>
      </w:r>
      <w:r w:rsidR="005A2113">
        <w:t>(</w:t>
      </w:r>
      <w:r w:rsidR="003568E7">
        <w:t xml:space="preserve">Telstra propose to include </w:t>
      </w:r>
      <w:r w:rsidRPr="00583116">
        <w:t>network land and network buildings/support</w:t>
      </w:r>
      <w:r w:rsidR="003568E7">
        <w:t xml:space="preserve"> on top of the seven CAN asset classes already included</w:t>
      </w:r>
      <w:r w:rsidR="005A2113">
        <w:t>)</w:t>
      </w:r>
      <w:r w:rsidRPr="00583116">
        <w:t xml:space="preserve"> in the calculations</w:t>
      </w:r>
      <w:r w:rsidR="00782D5A">
        <w:t xml:space="preserve"> of the general allocator</w:t>
      </w:r>
      <w:r w:rsidRPr="00583116">
        <w:t>.</w:t>
      </w:r>
      <w:r w:rsidR="005448D5">
        <w:t xml:space="preserve"> </w:t>
      </w:r>
      <w:r w:rsidR="00782D5A">
        <w:t>In the 2011 FADs, only the first seven CAN asset classes were used (</w:t>
      </w:r>
      <w:r w:rsidR="00782D5A" w:rsidRPr="00583116">
        <w:t>network land and network buildings/support</w:t>
      </w:r>
      <w:r w:rsidR="00782D5A">
        <w:t xml:space="preserve"> were excluded from the calculations).</w:t>
      </w:r>
    </w:p>
    <w:p w:rsidR="00063E2C" w:rsidRDefault="00782D5A" w:rsidP="00AB2E1F">
      <w:pPr>
        <w:pStyle w:val="Bulleta"/>
      </w:pPr>
      <w:r>
        <w:t xml:space="preserve">The </w:t>
      </w:r>
      <w:r w:rsidR="00D57002">
        <w:t>general allocation approach is adopted for each year of the</w:t>
      </w:r>
      <w:r w:rsidR="00063E2C">
        <w:t xml:space="preserve"> regulatory period.</w:t>
      </w:r>
      <w:r>
        <w:t xml:space="preserve"> In the 2011 FADs, this approach was only adopted for the first year, after which the cost allocation factors were adjusted for changes in demand for ULLS and WLR.</w:t>
      </w:r>
    </w:p>
    <w:p w:rsidR="000B4885" w:rsidRDefault="00117E22" w:rsidP="000B4885">
      <w:pPr>
        <w:pStyle w:val="HeadingLevel3"/>
        <w:numPr>
          <w:ilvl w:val="0"/>
          <w:numId w:val="0"/>
        </w:numPr>
      </w:pPr>
      <w:r>
        <w:t>Current versus</w:t>
      </w:r>
      <w:r w:rsidR="000B4885">
        <w:t xml:space="preserve"> Telstra’s proposed allocation factors</w:t>
      </w:r>
    </w:p>
    <w:p w:rsidR="000B4885" w:rsidRDefault="000B4885" w:rsidP="000B4885">
      <w:r>
        <w:t>Cost allocation factors for 2013-14 based on the 2011 FAD approach and Telstra’s proposed approach are provided in the table below.</w:t>
      </w:r>
    </w:p>
    <w:p w:rsidR="000B4885" w:rsidRPr="007E6FBC" w:rsidRDefault="00345E0A" w:rsidP="008619DF">
      <w:pPr>
        <w:pStyle w:val="HeadingLevel8table"/>
        <w:ind w:left="1440" w:hanging="1440"/>
      </w:pPr>
      <w:r w:rsidRPr="00345E0A">
        <w:t xml:space="preserve">Table </w:t>
      </w:r>
      <w:r>
        <w:t>2</w:t>
      </w:r>
      <w:r w:rsidRPr="00345E0A">
        <w:t>.1</w:t>
      </w:r>
      <w:r>
        <w:t>0</w:t>
      </w:r>
      <w:r w:rsidRPr="00345E0A">
        <w:t>.1</w:t>
      </w:r>
      <w:r w:rsidRPr="00345E0A">
        <w:tab/>
        <w:t xml:space="preserve">Comparison of 2011 FAD </w:t>
      </w:r>
      <w:r w:rsidR="00EB3D67">
        <w:t xml:space="preserve">approach </w:t>
      </w:r>
      <w:proofErr w:type="spellStart"/>
      <w:r w:rsidRPr="00345E0A">
        <w:t>vs</w:t>
      </w:r>
      <w:proofErr w:type="spellEnd"/>
      <w:r w:rsidRPr="00345E0A">
        <w:t xml:space="preserve"> </w:t>
      </w:r>
      <w:r w:rsidR="00FB4C8E">
        <w:t>Telstra’s</w:t>
      </w:r>
      <w:r w:rsidRPr="00345E0A">
        <w:t xml:space="preserve"> proposed approach for C</w:t>
      </w:r>
      <w:r>
        <w:t>A</w:t>
      </w:r>
      <w:r w:rsidRPr="00345E0A">
        <w:t>1</w:t>
      </w:r>
      <w:r>
        <w:t>0</w:t>
      </w:r>
      <w:r w:rsidR="00FB4C8E">
        <w:t xml:space="preserve"> indirect capital assets</w:t>
      </w:r>
      <w:r w:rsidR="00EB3D67">
        <w:t xml:space="preserve"> for 2013-14</w:t>
      </w:r>
    </w:p>
    <w:tbl>
      <w:tblPr>
        <w:tblStyle w:val="TableGrid"/>
        <w:tblW w:w="0" w:type="auto"/>
        <w:tblLook w:val="04A0" w:firstRow="1" w:lastRow="0" w:firstColumn="1" w:lastColumn="0" w:noHBand="0" w:noVBand="1"/>
      </w:tblPr>
      <w:tblGrid>
        <w:gridCol w:w="1788"/>
        <w:gridCol w:w="1719"/>
        <w:gridCol w:w="1719"/>
        <w:gridCol w:w="1719"/>
        <w:gridCol w:w="1719"/>
      </w:tblGrid>
      <w:tr w:rsidR="00A91B93" w:rsidTr="009B54F3">
        <w:trPr>
          <w:trHeight w:val="447"/>
        </w:trPr>
        <w:tc>
          <w:tcPr>
            <w:tcW w:w="1788" w:type="dxa"/>
          </w:tcPr>
          <w:p w:rsidR="00A91B93" w:rsidRDefault="00A91B93" w:rsidP="00350637">
            <w:pPr>
              <w:pStyle w:val="Table2Text"/>
            </w:pPr>
            <w:r>
              <w:t>Declared service</w:t>
            </w:r>
          </w:p>
        </w:tc>
        <w:tc>
          <w:tcPr>
            <w:tcW w:w="1719" w:type="dxa"/>
          </w:tcPr>
          <w:p w:rsidR="00A91B93" w:rsidRDefault="00A91B93" w:rsidP="00AC01B7">
            <w:pPr>
              <w:pStyle w:val="Table2Text"/>
            </w:pPr>
            <w:r>
              <w:t>2011 FAD</w:t>
            </w:r>
            <w:r w:rsidR="00EB3D67">
              <w:t xml:space="preserve"> approach</w:t>
            </w:r>
            <w:r>
              <w:t xml:space="preserve"> %</w:t>
            </w:r>
          </w:p>
        </w:tc>
        <w:tc>
          <w:tcPr>
            <w:tcW w:w="1719" w:type="dxa"/>
          </w:tcPr>
          <w:p w:rsidR="00A91B93" w:rsidRDefault="00A91B93" w:rsidP="00AC01B7">
            <w:pPr>
              <w:pStyle w:val="Table2Text"/>
            </w:pPr>
            <w:r>
              <w:t>Telstra proposed</w:t>
            </w:r>
            <w:r w:rsidR="00EB3D67">
              <w:t xml:space="preserve"> approach</w:t>
            </w:r>
            <w:r>
              <w:t xml:space="preserve"> %</w:t>
            </w:r>
          </w:p>
        </w:tc>
        <w:tc>
          <w:tcPr>
            <w:tcW w:w="1719" w:type="dxa"/>
          </w:tcPr>
          <w:p w:rsidR="00A91B93" w:rsidRDefault="00A91B93" w:rsidP="00AC01B7">
            <w:pPr>
              <w:pStyle w:val="Table2Text"/>
            </w:pPr>
            <w:r>
              <w:t>% point difference</w:t>
            </w:r>
          </w:p>
        </w:tc>
        <w:tc>
          <w:tcPr>
            <w:tcW w:w="1719" w:type="dxa"/>
          </w:tcPr>
          <w:p w:rsidR="00A91B93" w:rsidRDefault="00A91B93" w:rsidP="00BF3B6A">
            <w:pPr>
              <w:pStyle w:val="Table2Text"/>
            </w:pPr>
            <w:r>
              <w:t>% change</w:t>
            </w:r>
          </w:p>
        </w:tc>
      </w:tr>
      <w:tr w:rsidR="00A91B93" w:rsidTr="009B54F3">
        <w:trPr>
          <w:trHeight w:val="447"/>
        </w:trPr>
        <w:tc>
          <w:tcPr>
            <w:tcW w:w="1788" w:type="dxa"/>
          </w:tcPr>
          <w:p w:rsidR="00A91B93" w:rsidRDefault="00A91B93" w:rsidP="00350637">
            <w:pPr>
              <w:pStyle w:val="Table2Text"/>
            </w:pPr>
            <w:r>
              <w:t>ULLS</w:t>
            </w:r>
          </w:p>
        </w:tc>
        <w:tc>
          <w:tcPr>
            <w:tcW w:w="1719" w:type="dxa"/>
          </w:tcPr>
          <w:p w:rsidR="00A91B93" w:rsidRDefault="009B54F3" w:rsidP="00AC01B7">
            <w:pPr>
              <w:pStyle w:val="Table2Text"/>
            </w:pPr>
            <w:r w:rsidRPr="008D78CC">
              <w:rPr>
                <w:b/>
              </w:rPr>
              <w:t>[c-</w:t>
            </w:r>
            <w:proofErr w:type="spellStart"/>
            <w:r w:rsidRPr="008D78CC">
              <w:rPr>
                <w:b/>
              </w:rPr>
              <w:t>i</w:t>
            </w:r>
            <w:proofErr w:type="spellEnd"/>
            <w:r w:rsidRPr="008D78CC">
              <w:rPr>
                <w:b/>
              </w:rPr>
              <w:t>-c starts]</w:t>
            </w:r>
            <w:r w:rsidR="00552D6F">
              <w:rPr>
                <w:noProof/>
                <w:color w:val="000000"/>
                <w:highlight w:val="black"/>
              </w:rPr>
              <w:t>''''''''</w:t>
            </w:r>
          </w:p>
        </w:tc>
        <w:tc>
          <w:tcPr>
            <w:tcW w:w="1719" w:type="dxa"/>
          </w:tcPr>
          <w:p w:rsidR="00A91B93" w:rsidRPr="00552D6F" w:rsidRDefault="00552D6F" w:rsidP="00AC01B7">
            <w:pPr>
              <w:pStyle w:val="Table2Text"/>
              <w:rPr>
                <w:highlight w:val="black"/>
              </w:rPr>
            </w:pPr>
            <w:r>
              <w:rPr>
                <w:noProof/>
                <w:color w:val="000000"/>
                <w:highlight w:val="black"/>
              </w:rPr>
              <w:t>''''''''''''</w:t>
            </w:r>
          </w:p>
        </w:tc>
        <w:tc>
          <w:tcPr>
            <w:tcW w:w="1719" w:type="dxa"/>
          </w:tcPr>
          <w:p w:rsidR="00A91B93" w:rsidRPr="00552D6F" w:rsidRDefault="00552D6F" w:rsidP="00AC01B7">
            <w:pPr>
              <w:pStyle w:val="Table2Text"/>
              <w:rPr>
                <w:highlight w:val="black"/>
              </w:rPr>
            </w:pPr>
            <w:r>
              <w:rPr>
                <w:noProof/>
                <w:color w:val="000000"/>
                <w:highlight w:val="black"/>
              </w:rPr>
              <w:t>''''''''''</w:t>
            </w:r>
          </w:p>
        </w:tc>
        <w:tc>
          <w:tcPr>
            <w:tcW w:w="1719" w:type="dxa"/>
          </w:tcPr>
          <w:p w:rsidR="00A91B93" w:rsidRPr="00552D6F" w:rsidRDefault="00552D6F" w:rsidP="00BF3B6A">
            <w:pPr>
              <w:pStyle w:val="Table2Text"/>
              <w:rPr>
                <w:highlight w:val="black"/>
              </w:rPr>
            </w:pPr>
            <w:r>
              <w:rPr>
                <w:noProof/>
                <w:color w:val="000000"/>
                <w:highlight w:val="black"/>
              </w:rPr>
              <w:t>'''''''''''''''</w:t>
            </w:r>
          </w:p>
        </w:tc>
      </w:tr>
      <w:tr w:rsidR="00A91B93" w:rsidTr="009B54F3">
        <w:trPr>
          <w:trHeight w:val="447"/>
        </w:trPr>
        <w:tc>
          <w:tcPr>
            <w:tcW w:w="1788" w:type="dxa"/>
          </w:tcPr>
          <w:p w:rsidR="00A91B93" w:rsidRDefault="00A91B93" w:rsidP="00350637">
            <w:pPr>
              <w:pStyle w:val="Table2Text"/>
            </w:pPr>
            <w:r>
              <w:t>WLR</w:t>
            </w:r>
          </w:p>
        </w:tc>
        <w:tc>
          <w:tcPr>
            <w:tcW w:w="1719" w:type="dxa"/>
          </w:tcPr>
          <w:p w:rsidR="00A91B93" w:rsidRPr="00552D6F" w:rsidRDefault="00552D6F" w:rsidP="00AC01B7">
            <w:pPr>
              <w:pStyle w:val="Table2Text"/>
              <w:rPr>
                <w:highlight w:val="black"/>
              </w:rPr>
            </w:pPr>
            <w:r>
              <w:rPr>
                <w:noProof/>
                <w:color w:val="000000"/>
                <w:highlight w:val="black"/>
              </w:rPr>
              <w:t>'''''''''''</w:t>
            </w:r>
          </w:p>
        </w:tc>
        <w:tc>
          <w:tcPr>
            <w:tcW w:w="1719" w:type="dxa"/>
          </w:tcPr>
          <w:p w:rsidR="00A91B93" w:rsidRPr="00552D6F" w:rsidRDefault="00552D6F" w:rsidP="00AC01B7">
            <w:pPr>
              <w:pStyle w:val="Table2Text"/>
              <w:rPr>
                <w:highlight w:val="black"/>
              </w:rPr>
            </w:pPr>
            <w:r>
              <w:rPr>
                <w:noProof/>
                <w:color w:val="000000"/>
                <w:highlight w:val="black"/>
              </w:rPr>
              <w:t>''''''''''''</w:t>
            </w:r>
          </w:p>
        </w:tc>
        <w:tc>
          <w:tcPr>
            <w:tcW w:w="1719" w:type="dxa"/>
          </w:tcPr>
          <w:p w:rsidR="00A91B93" w:rsidRPr="00552D6F" w:rsidRDefault="00552D6F" w:rsidP="00AC01B7">
            <w:pPr>
              <w:pStyle w:val="Table2Text"/>
              <w:rPr>
                <w:highlight w:val="black"/>
              </w:rPr>
            </w:pPr>
            <w:r>
              <w:rPr>
                <w:noProof/>
                <w:color w:val="000000"/>
                <w:highlight w:val="black"/>
              </w:rPr>
              <w:t>''''''''''''</w:t>
            </w:r>
          </w:p>
        </w:tc>
        <w:tc>
          <w:tcPr>
            <w:tcW w:w="1719" w:type="dxa"/>
          </w:tcPr>
          <w:p w:rsidR="00A91B93" w:rsidRDefault="00552D6F" w:rsidP="00BF3B6A">
            <w:pPr>
              <w:pStyle w:val="Table2Text"/>
            </w:pPr>
            <w:r>
              <w:rPr>
                <w:noProof/>
                <w:color w:val="000000"/>
                <w:highlight w:val="black"/>
              </w:rPr>
              <w:t>'''''''''''''''</w:t>
            </w:r>
            <w:r w:rsidR="009B54F3" w:rsidRPr="008D78CC">
              <w:rPr>
                <w:b/>
              </w:rPr>
              <w:t>[c-</w:t>
            </w:r>
            <w:proofErr w:type="spellStart"/>
            <w:r w:rsidR="009B54F3" w:rsidRPr="008D78CC">
              <w:rPr>
                <w:b/>
              </w:rPr>
              <w:t>i</w:t>
            </w:r>
            <w:proofErr w:type="spellEnd"/>
            <w:r w:rsidR="009B54F3" w:rsidRPr="008D78CC">
              <w:rPr>
                <w:b/>
              </w:rPr>
              <w:t>-c ends]</w:t>
            </w:r>
          </w:p>
        </w:tc>
      </w:tr>
    </w:tbl>
    <w:p w:rsidR="000B4885" w:rsidRDefault="000B4885" w:rsidP="000B4885"/>
    <w:p w:rsidR="000B4885" w:rsidRDefault="00401DE7" w:rsidP="000B4885">
      <w:r>
        <w:t>Figure 2.10.2</w:t>
      </w:r>
      <w:r w:rsidR="000B4885" w:rsidRPr="000B4885">
        <w:t xml:space="preserve"> shows Telstra’s assumed share of </w:t>
      </w:r>
      <w:r>
        <w:t>CAN indirect capital assets</w:t>
      </w:r>
      <w:r w:rsidR="000B4885" w:rsidRPr="000B4885">
        <w:t xml:space="preserve"> by the various services for 2013-14.</w:t>
      </w:r>
    </w:p>
    <w:p w:rsidR="00C56561" w:rsidRDefault="005065CE" w:rsidP="00AB2E1F">
      <w:pPr>
        <w:pStyle w:val="HeadingLevel8table"/>
      </w:pPr>
      <w:r w:rsidRPr="005065CE">
        <w:lastRenderedPageBreak/>
        <w:t>Figure 2.</w:t>
      </w:r>
      <w:r>
        <w:t>10</w:t>
      </w:r>
      <w:r w:rsidRPr="005065CE">
        <w:t>.2</w:t>
      </w:r>
      <w:r w:rsidRPr="005065CE">
        <w:tab/>
        <w:t>Telstra’s proposed allocation of CA</w:t>
      </w:r>
      <w:r>
        <w:t>10</w:t>
      </w:r>
      <w:r w:rsidR="006541FD">
        <w:t xml:space="preserve"> indirect capital assets</w:t>
      </w:r>
      <w:r w:rsidR="00897D9C">
        <w:t xml:space="preserve"> </w:t>
      </w:r>
      <w:r w:rsidR="00EB3D67">
        <w:t xml:space="preserve">for 2013-14 </w:t>
      </w:r>
    </w:p>
    <w:p w:rsidR="00C964FC" w:rsidRDefault="009B54F3" w:rsidP="00AB2E1F">
      <w:pPr>
        <w:pStyle w:val="HeadingLevel8table"/>
      </w:pPr>
      <w:r w:rsidRPr="009B54F3">
        <w:t>[</w:t>
      </w:r>
      <w:proofErr w:type="gramStart"/>
      <w:r w:rsidRPr="009B54F3">
        <w:t>c-</w:t>
      </w:r>
      <w:proofErr w:type="spellStart"/>
      <w:r w:rsidRPr="009B54F3">
        <w:t>i</w:t>
      </w:r>
      <w:proofErr w:type="spellEnd"/>
      <w:r w:rsidRPr="009B54F3">
        <w:t>-c</w:t>
      </w:r>
      <w:proofErr w:type="gramEnd"/>
      <w:r w:rsidRPr="009B54F3">
        <w:t xml:space="preserve"> starts]</w:t>
      </w:r>
    </w:p>
    <w:p w:rsidR="00C56561" w:rsidRPr="00552D6F" w:rsidRDefault="00552D6F" w:rsidP="00AB2E1F">
      <w:pPr>
        <w:pStyle w:val="HeadingLevel8table"/>
        <w:rPr>
          <w:b w:val="0"/>
          <w:highlight w:val="black"/>
        </w:rPr>
      </w:pPr>
      <w:r>
        <w:rPr>
          <w:b w:val="0"/>
          <w:noProof/>
          <w:color w:val="000000"/>
          <w:lang w:eastAsia="en-AU"/>
        </w:rPr>
        <w:drawing>
          <wp:inline distT="0" distB="0" distL="0" distR="0">
            <wp:extent cx="3609340" cy="2536190"/>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09340" cy="2536190"/>
                    </a:xfrm>
                    <a:prstGeom prst="rect">
                      <a:avLst/>
                    </a:prstGeom>
                  </pic:spPr>
                </pic:pic>
              </a:graphicData>
            </a:graphic>
          </wp:inline>
        </w:drawing>
      </w:r>
      <w:r>
        <w:rPr>
          <w:b w:val="0"/>
          <w:noProof/>
          <w:color w:val="000000"/>
          <w:highlight w:val="black"/>
        </w:rPr>
        <w:t xml:space="preserve"> </w:t>
      </w:r>
    </w:p>
    <w:p w:rsidR="000B4885" w:rsidRDefault="009B54F3" w:rsidP="00AB2E1F">
      <w:pPr>
        <w:pStyle w:val="HeadingLevel8table"/>
      </w:pPr>
      <w:r w:rsidRPr="009B54F3">
        <w:t>[</w:t>
      </w:r>
      <w:proofErr w:type="gramStart"/>
      <w:r w:rsidRPr="009B54F3">
        <w:t>c-</w:t>
      </w:r>
      <w:proofErr w:type="spellStart"/>
      <w:r w:rsidRPr="009B54F3">
        <w:t>i</w:t>
      </w:r>
      <w:proofErr w:type="spellEnd"/>
      <w:r w:rsidRPr="009B54F3">
        <w:t>-c</w:t>
      </w:r>
      <w:proofErr w:type="gramEnd"/>
      <w:r w:rsidRPr="009B54F3">
        <w:t xml:space="preserve"> ends]</w:t>
      </w:r>
    </w:p>
    <w:p w:rsidR="003055C1" w:rsidRDefault="003055C1" w:rsidP="000B4885">
      <w:r w:rsidRPr="003055C1">
        <w:t>Note: “Other</w:t>
      </w:r>
      <w:r w:rsidR="00C53C2E">
        <w:t xml:space="preserve"> fixed</w:t>
      </w:r>
      <w:r w:rsidR="000255D7">
        <w:t xml:space="preserve"> </w:t>
      </w:r>
      <w:r w:rsidR="00C53C2E">
        <w:t>line</w:t>
      </w:r>
      <w:r w:rsidRPr="003055C1">
        <w:t xml:space="preserve">” includes all services </w:t>
      </w:r>
      <w:r w:rsidR="00C53C2E">
        <w:t xml:space="preserve">in the CAN asset class </w:t>
      </w:r>
      <w:r w:rsidRPr="003055C1">
        <w:t>(excluding ULLS and WLR) that use indirect capital assets</w:t>
      </w:r>
      <w:r w:rsidR="003414D2">
        <w:t xml:space="preserve"> while “non-fixed line” services are services using CAN indirect capital assets.</w:t>
      </w:r>
    </w:p>
    <w:p w:rsidR="00DA7429" w:rsidRDefault="008D2658" w:rsidP="00DA7429">
      <w:pPr>
        <w:pStyle w:val="HeadingLevel1"/>
      </w:pPr>
      <w:bookmarkStart w:id="20" w:name="_Toc393375572"/>
      <w:r>
        <w:lastRenderedPageBreak/>
        <w:t>Core network asset classes</w:t>
      </w:r>
      <w:bookmarkEnd w:id="20"/>
      <w:r>
        <w:t xml:space="preserve"> </w:t>
      </w:r>
    </w:p>
    <w:p w:rsidR="006F35CA" w:rsidRDefault="006F35CA">
      <w:pPr>
        <w:spacing w:after="200" w:line="276" w:lineRule="auto"/>
        <w:rPr>
          <w:rFonts w:eastAsiaTheme="majorEastAsia" w:cstheme="majorBidi"/>
          <w:b/>
          <w:color w:val="002060"/>
          <w:sz w:val="32"/>
          <w:szCs w:val="28"/>
        </w:rPr>
      </w:pPr>
      <w:r>
        <w:br w:type="page"/>
      </w:r>
    </w:p>
    <w:p w:rsidR="00CA0E67" w:rsidRDefault="005A5F93" w:rsidP="005A5F93">
      <w:pPr>
        <w:pStyle w:val="HeadingLevel2"/>
      </w:pPr>
      <w:bookmarkStart w:id="21" w:name="_Toc393375573"/>
      <w:r>
        <w:lastRenderedPageBreak/>
        <w:t xml:space="preserve">CO01 switching equipment </w:t>
      </w:r>
      <w:r w:rsidR="004B0637">
        <w:t>(</w:t>
      </w:r>
      <w:r>
        <w:t>l</w:t>
      </w:r>
      <w:r w:rsidRPr="005A5F93">
        <w:t>ocal</w:t>
      </w:r>
      <w:r w:rsidR="004B0637">
        <w:t>)</w:t>
      </w:r>
      <w:bookmarkEnd w:id="21"/>
    </w:p>
    <w:p w:rsidR="005A5F93" w:rsidRDefault="005A5F93" w:rsidP="005A5F93">
      <w:pPr>
        <w:pStyle w:val="HeadingLevel3"/>
        <w:numPr>
          <w:ilvl w:val="0"/>
          <w:numId w:val="0"/>
        </w:numPr>
      </w:pPr>
      <w:r>
        <w:t>Asset description</w:t>
      </w:r>
    </w:p>
    <w:p w:rsidR="001B4C98" w:rsidRDefault="005A5F93" w:rsidP="005A5F93">
      <w:r>
        <w:t>Local switching equipment contains voice aggregation devices (</w:t>
      </w:r>
      <w:r w:rsidR="009B7A01">
        <w:t xml:space="preserve">remote switching stages </w:t>
      </w:r>
      <w:r>
        <w:t xml:space="preserve">(RSS), </w:t>
      </w:r>
      <w:r w:rsidR="009B7A01">
        <w:t xml:space="preserve">remote aggregation units </w:t>
      </w:r>
      <w:r>
        <w:t xml:space="preserve">(RAU)) – including voice line cards, as well as local access switch (LAS) devices. The costs associated with these assets are driven by both the number of end user services connected and the volume of voice minutes that traverse the equipment. </w:t>
      </w:r>
    </w:p>
    <w:p w:rsidR="001B4C98" w:rsidRDefault="001B4C98" w:rsidP="001B4C98">
      <w:pPr>
        <w:pStyle w:val="HeadingLevel3"/>
        <w:numPr>
          <w:ilvl w:val="0"/>
          <w:numId w:val="0"/>
        </w:numPr>
      </w:pPr>
      <w:r>
        <w:t xml:space="preserve">Key points </w:t>
      </w:r>
    </w:p>
    <w:p w:rsidR="009B7A01" w:rsidRPr="00A93872" w:rsidRDefault="009B7A01" w:rsidP="009B7A01">
      <w:pPr>
        <w:pStyle w:val="Bulleta"/>
      </w:pPr>
      <w:r>
        <w:t>Switching equipment (local)</w:t>
      </w:r>
      <w:r w:rsidRPr="005621F7">
        <w:t xml:space="preserve"> </w:t>
      </w:r>
      <w:r>
        <w:t>contributes a material proportion towards the total fixed</w:t>
      </w:r>
      <w:r w:rsidR="000255D7">
        <w:t xml:space="preserve"> </w:t>
      </w:r>
      <w:r>
        <w:t>line revenue requirement (</w:t>
      </w:r>
      <w:r>
        <w:rPr>
          <w:b/>
        </w:rPr>
        <w:t>[c-</w:t>
      </w:r>
      <w:proofErr w:type="spellStart"/>
      <w:r>
        <w:rPr>
          <w:b/>
        </w:rPr>
        <w:t>i</w:t>
      </w:r>
      <w:proofErr w:type="spellEnd"/>
      <w:r>
        <w:rPr>
          <w:b/>
        </w:rPr>
        <w:t>-c starts]</w:t>
      </w:r>
      <w:r w:rsidR="00552D6F">
        <w:rPr>
          <w:noProof/>
          <w:color w:val="000000"/>
          <w:highlight w:val="black"/>
        </w:rPr>
        <w:t>'''''''</w:t>
      </w:r>
      <w:r>
        <w:rPr>
          <w:b/>
        </w:rPr>
        <w:t>[c-</w:t>
      </w:r>
      <w:proofErr w:type="spellStart"/>
      <w:r>
        <w:rPr>
          <w:b/>
        </w:rPr>
        <w:t>i</w:t>
      </w:r>
      <w:proofErr w:type="spellEnd"/>
      <w:r>
        <w:rPr>
          <w:b/>
        </w:rPr>
        <w:t>-c ends]</w:t>
      </w:r>
      <w:r>
        <w:t xml:space="preserve"> per cent</w:t>
      </w:r>
      <w:r w:rsidRPr="00A93872">
        <w:t xml:space="preserve"> in 2013-14</w:t>
      </w:r>
      <w:r>
        <w:t>).</w:t>
      </w:r>
    </w:p>
    <w:p w:rsidR="001B4C98" w:rsidRDefault="001B4C98" w:rsidP="001B4C98">
      <w:pPr>
        <w:pStyle w:val="Bulleta"/>
      </w:pPr>
      <w:r>
        <w:t>Telstra has developed revised routing factors for a range of core asset classes (all switching equipment assets, inter-exchange cables and transmission assets) based on ‘call dispersion’ data. These revised routing factors replace those contained in the Analysys model, which were implicitly reflected in the cost allocation factors for the 2011 FADs.</w:t>
      </w:r>
    </w:p>
    <w:p w:rsidR="001B4C98" w:rsidRDefault="001B4C98" w:rsidP="001B4C98">
      <w:pPr>
        <w:pStyle w:val="Bulleta"/>
      </w:pPr>
      <w:r w:rsidRPr="00DF6B5B">
        <w:t>For local and trunk switching equipment, the 2013 FAD allocated cost</w:t>
      </w:r>
      <w:r w:rsidR="009B7A01">
        <w:t>s</w:t>
      </w:r>
      <w:r w:rsidRPr="00DF6B5B">
        <w:t xml:space="preserve"> to </w:t>
      </w:r>
      <w:r w:rsidR="009B7A01">
        <w:t>wholesale ADSL services.</w:t>
      </w:r>
      <w:r w:rsidRPr="00DF6B5B">
        <w:t xml:space="preserve"> Telstra did not allocate any </w:t>
      </w:r>
      <w:r w:rsidR="009B7A01">
        <w:t xml:space="preserve">of these </w:t>
      </w:r>
      <w:r w:rsidRPr="00DF6B5B">
        <w:t>cost</w:t>
      </w:r>
      <w:r w:rsidR="009B7A01">
        <w:t>s</w:t>
      </w:r>
      <w:r w:rsidRPr="00DF6B5B">
        <w:t xml:space="preserve"> to </w:t>
      </w:r>
      <w:r w:rsidR="009B7A01">
        <w:t xml:space="preserve">wholesale </w:t>
      </w:r>
      <w:r w:rsidRPr="00DF6B5B">
        <w:t>ADSL</w:t>
      </w:r>
      <w:r w:rsidR="009B7A01">
        <w:t xml:space="preserve"> in its proposal</w:t>
      </w:r>
      <w:r w:rsidRPr="00DF6B5B">
        <w:t>.</w:t>
      </w:r>
    </w:p>
    <w:p w:rsidR="005A5F93" w:rsidRDefault="001B4C98" w:rsidP="00AB2E1F">
      <w:pPr>
        <w:pStyle w:val="Bulleta"/>
      </w:pPr>
      <w:r w:rsidRPr="00B4545E">
        <w:t>The cost allocation factors from the Analysys model, which were reflected in the 2011 FADs, assumed that exchange building assets and other ancillary assets (including power and air-conditioning equipment) were included in the local switching equipment asset class. Under Telstra’s proposed approach, these assets are included in other asset classes (</w:t>
      </w:r>
      <w:r>
        <w:t>CO07, CO08 and CO09 asset classes</w:t>
      </w:r>
      <w:r w:rsidRPr="00B4545E">
        <w:t>)</w:t>
      </w:r>
      <w:r w:rsidR="009B7A01">
        <w:t xml:space="preserve"> and allocated to services based on allocation factors for those asset clas</w:t>
      </w:r>
      <w:r w:rsidR="00317D0D">
        <w:t>s</w:t>
      </w:r>
      <w:r w:rsidR="009B7A01">
        <w:t>es.</w:t>
      </w:r>
    </w:p>
    <w:p w:rsidR="005A5F93" w:rsidRDefault="005A5F93" w:rsidP="005A5F93">
      <w:pPr>
        <w:pStyle w:val="HeadingLevel3"/>
        <w:numPr>
          <w:ilvl w:val="0"/>
          <w:numId w:val="0"/>
        </w:numPr>
      </w:pPr>
      <w:r>
        <w:t xml:space="preserve">Services using this asset class </w:t>
      </w:r>
    </w:p>
    <w:p w:rsidR="009B1B8C" w:rsidRPr="009B1B8C" w:rsidRDefault="009B1B8C" w:rsidP="00B92FED">
      <w:r w:rsidRPr="009B1B8C">
        <w:t xml:space="preserve">Local switching equipment </w:t>
      </w:r>
      <w:r w:rsidR="0040298A">
        <w:t>is</w:t>
      </w:r>
      <w:r w:rsidR="0040298A" w:rsidRPr="009B1B8C">
        <w:t xml:space="preserve"> </w:t>
      </w:r>
      <w:r w:rsidRPr="009B1B8C">
        <w:t>used for declared and other fixed</w:t>
      </w:r>
      <w:r w:rsidR="000255D7">
        <w:t xml:space="preserve"> </w:t>
      </w:r>
      <w:r w:rsidRPr="009B1B8C">
        <w:t>line services.</w:t>
      </w:r>
    </w:p>
    <w:p w:rsidR="005A5F93" w:rsidRDefault="009B1B8C">
      <w:r w:rsidRPr="009B1B8C">
        <w:t>The declared fixed</w:t>
      </w:r>
      <w:r w:rsidR="000255D7">
        <w:t xml:space="preserve"> </w:t>
      </w:r>
      <w:r w:rsidRPr="009B1B8C">
        <w:t xml:space="preserve">line services that require local switching equipment are </w:t>
      </w:r>
      <w:r w:rsidR="00E73B5E">
        <w:t>FOAS and FTAS (formally known as PSTN OA and PSTN TA or collectively as PSTN OTA)</w:t>
      </w:r>
      <w:r w:rsidRPr="009B1B8C">
        <w:t>, LCS and WLR.</w:t>
      </w:r>
      <w:r w:rsidR="00A730A3">
        <w:t xml:space="preserve"> </w:t>
      </w:r>
      <w:proofErr w:type="gramStart"/>
      <w:r w:rsidRPr="009B1B8C">
        <w:t>The other fixed</w:t>
      </w:r>
      <w:r w:rsidR="000255D7">
        <w:t xml:space="preserve"> </w:t>
      </w:r>
      <w:r w:rsidRPr="009B1B8C">
        <w:t xml:space="preserve">line services that require local switching equipment are </w:t>
      </w:r>
      <w:r w:rsidR="004B0637">
        <w:t xml:space="preserve">retail </w:t>
      </w:r>
      <w:r w:rsidRPr="009B1B8C">
        <w:t>PSTN</w:t>
      </w:r>
      <w:r w:rsidR="00A730A3">
        <w:t xml:space="preserve"> services (includes retail access, local, national, international and fixed-to-mobile calls)</w:t>
      </w:r>
      <w:r w:rsidR="0040298A">
        <w:t xml:space="preserve"> </w:t>
      </w:r>
      <w:r w:rsidRPr="009B1B8C">
        <w:t xml:space="preserve">and ISDN </w:t>
      </w:r>
      <w:r w:rsidR="00A730A3">
        <w:t xml:space="preserve">voice </w:t>
      </w:r>
      <w:r w:rsidRPr="009B1B8C">
        <w:t>services.</w:t>
      </w:r>
      <w:proofErr w:type="gramEnd"/>
    </w:p>
    <w:p w:rsidR="005A5F93" w:rsidRDefault="005A5F93" w:rsidP="005A5F93">
      <w:pPr>
        <w:pStyle w:val="HeadingLevel3"/>
        <w:numPr>
          <w:ilvl w:val="0"/>
          <w:numId w:val="0"/>
        </w:numPr>
      </w:pPr>
      <w:r>
        <w:t xml:space="preserve">Approach adopted for </w:t>
      </w:r>
      <w:r w:rsidR="00265B59">
        <w:t xml:space="preserve">the </w:t>
      </w:r>
      <w:r>
        <w:t>2011 FAD</w:t>
      </w:r>
    </w:p>
    <w:p w:rsidR="00614F7C" w:rsidRPr="00C93E5C" w:rsidRDefault="00614F7C" w:rsidP="00A33551">
      <w:r w:rsidRPr="00614F7C">
        <w:t>In the 2011 FAD, the cost allocation factors for local switching equipment were based on the Analysys cost allocation factor for 2008-09, forecast minutes of use for PTSN OTA and LCS for each year, forecast SIOs for WLR for each year, and PSTN voice call minutes from previous years</w:t>
      </w:r>
      <w:r w:rsidR="007860D9">
        <w:t xml:space="preserve"> collected under the ACCC’s regulatory accounting framework RKR</w:t>
      </w:r>
      <w:r w:rsidRPr="00614F7C">
        <w:t>.</w:t>
      </w:r>
    </w:p>
    <w:p w:rsidR="00614F7C" w:rsidRPr="000A176B" w:rsidRDefault="00614F7C" w:rsidP="00A33551">
      <w:r w:rsidRPr="0063109F">
        <w:t>The initial cost allocation factor for local switching equipment to PSTN OTA was based on the initial cost allocation factor fr</w:t>
      </w:r>
      <w:r w:rsidRPr="000A176B">
        <w:t xml:space="preserve">om the Analysys model, but adjusted to </w:t>
      </w:r>
      <w:r w:rsidR="0099207B">
        <w:t xml:space="preserve">take into account </w:t>
      </w:r>
      <w:r w:rsidRPr="000A176B">
        <w:t>total peak voice traffic volume in 2002-03</w:t>
      </w:r>
      <w:r w:rsidR="0099207B">
        <w:t>, rather than current volumes</w:t>
      </w:r>
      <w:r w:rsidRPr="000A176B">
        <w:t>. The effect of this adjustment was to remove the part of the switching equipment the ACCC considered had been overprovisioned by Telstra. The initial cost allocation factor</w:t>
      </w:r>
      <w:r w:rsidR="0099207B">
        <w:t>s</w:t>
      </w:r>
      <w:r w:rsidRPr="000A176B">
        <w:t xml:space="preserve"> for local switching equipment to WLR and LCS were based on the initial cost allocation factors from the Analysys model.</w:t>
      </w:r>
    </w:p>
    <w:p w:rsidR="005A5F93" w:rsidRPr="00614F7C" w:rsidRDefault="00614F7C">
      <w:r w:rsidRPr="00614F7C">
        <w:lastRenderedPageBreak/>
        <w:t>The cost allocation factors for WLR, PSTN OTA</w:t>
      </w:r>
      <w:r w:rsidR="00D452E5">
        <w:t xml:space="preserve"> and LCS</w:t>
      </w:r>
      <w:r w:rsidRPr="00614F7C">
        <w:t xml:space="preserve"> for each year </w:t>
      </w:r>
      <w:r w:rsidR="00041706">
        <w:t>were</w:t>
      </w:r>
      <w:r w:rsidRPr="00614F7C">
        <w:t xml:space="preserve"> then based on the cost allocation factor from the previous year and adjusted by the forecast percentage change in WLR SIOs and minutes of use for PSTN OTA and LCS </w:t>
      </w:r>
      <w:r w:rsidR="00041706">
        <w:t>(</w:t>
      </w:r>
      <w:r w:rsidRPr="00614F7C">
        <w:t>respectively</w:t>
      </w:r>
      <w:r w:rsidR="00041706">
        <w:t>)</w:t>
      </w:r>
      <w:r w:rsidRPr="00614F7C">
        <w:t xml:space="preserve"> for that year.</w:t>
      </w:r>
    </w:p>
    <w:p w:rsidR="005A5F93" w:rsidRDefault="005A5F93" w:rsidP="005A5F93">
      <w:pPr>
        <w:pStyle w:val="HeadingLevel3"/>
        <w:numPr>
          <w:ilvl w:val="0"/>
          <w:numId w:val="0"/>
        </w:numPr>
      </w:pPr>
      <w:r>
        <w:t>Telstra’s proposed allocation method</w:t>
      </w:r>
    </w:p>
    <w:p w:rsidR="005A5F93" w:rsidRDefault="005A5F93" w:rsidP="005A5F93">
      <w:r>
        <w:t xml:space="preserve">Under Telstra’s revised model, the costs associated with local switching equipment are </w:t>
      </w:r>
      <w:r w:rsidR="004B0637">
        <w:t xml:space="preserve">assumed to be </w:t>
      </w:r>
      <w:r>
        <w:t>driven primarily by the number of ports and line cards</w:t>
      </w:r>
      <w:r w:rsidR="00716F0F">
        <w:t>,</w:t>
      </w:r>
      <w:r w:rsidR="0040298A">
        <w:t xml:space="preserve"> which are in turn</w:t>
      </w:r>
      <w:r>
        <w:t xml:space="preserve"> being driven by the number of SIOs</w:t>
      </w:r>
      <w:r w:rsidR="00716F0F">
        <w:t>,</w:t>
      </w:r>
      <w:r>
        <w:t xml:space="preserve"> and the volume of calls measured by aggregate minutes of use (MOU).</w:t>
      </w:r>
    </w:p>
    <w:p w:rsidR="005A5F93" w:rsidRDefault="005A5F93" w:rsidP="005A5F93">
      <w:r>
        <w:t>A three-part allocation process is used to calculate the cost allocation factors for local switching equipment:</w:t>
      </w:r>
    </w:p>
    <w:p w:rsidR="005A5F93" w:rsidRDefault="005A5F93" w:rsidP="0045558E">
      <w:pPr>
        <w:pStyle w:val="Bulleta"/>
      </w:pPr>
      <w:r>
        <w:t xml:space="preserve">First, using information from </w:t>
      </w:r>
      <w:r w:rsidR="00992813">
        <w:t>Telstra’s</w:t>
      </w:r>
      <w:r>
        <w:t xml:space="preserve"> asset register, local switching equipment</w:t>
      </w:r>
      <w:r w:rsidR="00716F0F">
        <w:t xml:space="preserve"> is </w:t>
      </w:r>
      <w:r>
        <w:t xml:space="preserve">split into </w:t>
      </w:r>
      <w:r w:rsidR="004B0637">
        <w:t xml:space="preserve">different </w:t>
      </w:r>
      <w:r>
        <w:t>equipment types on the basis of underlying cost driver – either SIOs or call volumes (measured by aggregate minutes of use).</w:t>
      </w:r>
    </w:p>
    <w:p w:rsidR="005A5F93" w:rsidRDefault="00D47CFA" w:rsidP="00D47CFA">
      <w:pPr>
        <w:pStyle w:val="Bulleta"/>
      </w:pPr>
      <w:r w:rsidRPr="00D47CFA">
        <w:t>Second, a share of local switching equipment for which costs are driven by SIOs is allocated to WLR. The share allocated to WLR is the ratio of forecast WLR SIOs to the sum of all fixed</w:t>
      </w:r>
      <w:r w:rsidR="000255D7">
        <w:t xml:space="preserve"> </w:t>
      </w:r>
      <w:r w:rsidRPr="00D47CFA">
        <w:t>line access services using local switching equipment</w:t>
      </w:r>
      <w:r w:rsidR="00716F0F">
        <w:t xml:space="preserve"> (PSTN retail access and ISDN access)</w:t>
      </w:r>
      <w:r w:rsidR="00041706">
        <w:t>.</w:t>
      </w:r>
    </w:p>
    <w:p w:rsidR="005A5F93" w:rsidRDefault="00D47CFA" w:rsidP="00D47CFA">
      <w:pPr>
        <w:pStyle w:val="Bulleta"/>
      </w:pPr>
      <w:r w:rsidRPr="00D47CFA">
        <w:t xml:space="preserve">Third, a share of local switching equipment for which costs are driven by minutes of use is allocated to </w:t>
      </w:r>
      <w:r w:rsidR="00E73B5E">
        <w:t>FOAS/FTAS</w:t>
      </w:r>
      <w:r w:rsidRPr="00D47CFA">
        <w:t xml:space="preserve"> and LCS. The share allocated to </w:t>
      </w:r>
      <w:r w:rsidR="00E73B5E">
        <w:t>FOAS/FTAS</w:t>
      </w:r>
      <w:r w:rsidRPr="00D47CFA">
        <w:t xml:space="preserve"> and LCS is the ratio of forecast </w:t>
      </w:r>
      <w:r w:rsidR="00E73B5E">
        <w:t>FOAS/</w:t>
      </w:r>
      <w:proofErr w:type="spellStart"/>
      <w:r w:rsidR="00E73B5E">
        <w:t>FTAS</w:t>
      </w:r>
      <w:r w:rsidR="00716F0F">
        <w:t>or</w:t>
      </w:r>
      <w:proofErr w:type="spellEnd"/>
      <w:r w:rsidR="00716F0F">
        <w:t xml:space="preserve"> </w:t>
      </w:r>
      <w:r w:rsidRPr="00D47CFA">
        <w:t>L</w:t>
      </w:r>
      <w:r>
        <w:t>C</w:t>
      </w:r>
      <w:r w:rsidR="00863563">
        <w:t>S</w:t>
      </w:r>
      <w:r w:rsidRPr="00D47CFA">
        <w:t xml:space="preserve"> minutes of use </w:t>
      </w:r>
      <w:r w:rsidR="00041706">
        <w:t>(</w:t>
      </w:r>
      <w:r w:rsidRPr="00D47CFA">
        <w:t>respectively</w:t>
      </w:r>
      <w:r w:rsidR="00041706">
        <w:t>)</w:t>
      </w:r>
      <w:r w:rsidRPr="00D47CFA">
        <w:t xml:space="preserve"> divided by total minutes of use for all services using local switching equipment (</w:t>
      </w:r>
      <w:r w:rsidR="00E73B5E">
        <w:t>FOAS/FTAS</w:t>
      </w:r>
      <w:r w:rsidRPr="00D47CFA">
        <w:t xml:space="preserve">, LCS, retail PSTN services and ISDN </w:t>
      </w:r>
      <w:r w:rsidR="00863563">
        <w:t xml:space="preserve">voice </w:t>
      </w:r>
      <w:r w:rsidRPr="00D47CFA">
        <w:t xml:space="preserve">services). In this step, minutes of use are weighted using routing factors, which reflect the different </w:t>
      </w:r>
      <w:r w:rsidR="00041706">
        <w:t xml:space="preserve">loads </w:t>
      </w:r>
      <w:r w:rsidRPr="00D47CFA">
        <w:t xml:space="preserve">that the various voice services </w:t>
      </w:r>
      <w:r w:rsidR="00041706">
        <w:t xml:space="preserve">place on </w:t>
      </w:r>
      <w:r w:rsidRPr="00D47CFA">
        <w:t>local switching equipment.</w:t>
      </w:r>
    </w:p>
    <w:p w:rsidR="005A5F93" w:rsidRDefault="005A5F93" w:rsidP="005A5F93">
      <w:pPr>
        <w:pStyle w:val="HeadingLevel3"/>
        <w:numPr>
          <w:ilvl w:val="0"/>
          <w:numId w:val="0"/>
        </w:numPr>
      </w:pPr>
      <w:r>
        <w:t>Current versus Telstra’s proposed allocation factors</w:t>
      </w:r>
    </w:p>
    <w:p w:rsidR="005A5F93" w:rsidRDefault="005A5F93" w:rsidP="00CA0E67">
      <w:r>
        <w:t xml:space="preserve">Cost allocation factors for 2013-14 based on the 2011 FAD approach and Telstra’s proposed approach are provided in </w:t>
      </w:r>
      <w:r w:rsidR="00C12A07">
        <w:t>T</w:t>
      </w:r>
      <w:r>
        <w:t xml:space="preserve">able </w:t>
      </w:r>
      <w:r w:rsidR="00C12A07">
        <w:t>3.1.1</w:t>
      </w:r>
      <w:r>
        <w:t>.</w:t>
      </w:r>
    </w:p>
    <w:p w:rsidR="005A5F93" w:rsidRDefault="00592613" w:rsidP="008F35E8">
      <w:pPr>
        <w:pStyle w:val="HeadingLevel8table"/>
        <w:ind w:left="1440" w:hanging="1440"/>
      </w:pPr>
      <w:r>
        <w:t>Table 3.1.1</w:t>
      </w:r>
      <w:r>
        <w:tab/>
      </w:r>
      <w:r w:rsidR="004D6FF4">
        <w:t>Comparison of 2011 FAD</w:t>
      </w:r>
      <w:r w:rsidR="00041706">
        <w:t xml:space="preserve"> approach</w:t>
      </w:r>
      <w:r w:rsidR="004D6FF4">
        <w:t xml:space="preserve"> </w:t>
      </w:r>
      <w:proofErr w:type="spellStart"/>
      <w:r w:rsidR="004D6FF4">
        <w:t>vs</w:t>
      </w:r>
      <w:proofErr w:type="spellEnd"/>
      <w:r w:rsidR="004D6FF4">
        <w:t xml:space="preserve"> </w:t>
      </w:r>
      <w:r w:rsidR="008F35E8">
        <w:t xml:space="preserve">Telstra’s </w:t>
      </w:r>
      <w:r w:rsidR="004D6FF4">
        <w:t xml:space="preserve">proposed approach for </w:t>
      </w:r>
      <w:r w:rsidR="005A5F93">
        <w:t>CO01</w:t>
      </w:r>
      <w:r w:rsidR="008F35E8">
        <w:t xml:space="preserve"> switching equipment (local)</w:t>
      </w:r>
      <w:r w:rsidR="00041706">
        <w:t xml:space="preserve"> for 2013-14</w:t>
      </w:r>
    </w:p>
    <w:tbl>
      <w:tblPr>
        <w:tblStyle w:val="TableGrid"/>
        <w:tblW w:w="5000" w:type="pct"/>
        <w:tblLook w:val="04A0" w:firstRow="1" w:lastRow="0" w:firstColumn="1" w:lastColumn="0" w:noHBand="0" w:noVBand="1"/>
      </w:tblPr>
      <w:tblGrid>
        <w:gridCol w:w="1732"/>
        <w:gridCol w:w="1733"/>
        <w:gridCol w:w="1733"/>
        <w:gridCol w:w="1733"/>
        <w:gridCol w:w="1733"/>
      </w:tblGrid>
      <w:tr w:rsidR="00DE429A" w:rsidRPr="001D5E75" w:rsidTr="00AB2E1F">
        <w:trPr>
          <w:trHeight w:val="470"/>
        </w:trPr>
        <w:tc>
          <w:tcPr>
            <w:tcW w:w="1000" w:type="pct"/>
            <w:vAlign w:val="center"/>
          </w:tcPr>
          <w:p w:rsidR="00DE429A" w:rsidRPr="00AF0763" w:rsidRDefault="00DE429A" w:rsidP="00350637">
            <w:pPr>
              <w:pStyle w:val="Table2Text"/>
            </w:pPr>
          </w:p>
        </w:tc>
        <w:tc>
          <w:tcPr>
            <w:tcW w:w="1000" w:type="pct"/>
            <w:vAlign w:val="center"/>
          </w:tcPr>
          <w:p w:rsidR="00DE429A" w:rsidRPr="00AF0763" w:rsidRDefault="00DE429A" w:rsidP="00AC01B7">
            <w:pPr>
              <w:pStyle w:val="Table2Text"/>
            </w:pPr>
            <w:r>
              <w:t>2011 FAD</w:t>
            </w:r>
            <w:r w:rsidR="00041706">
              <w:t xml:space="preserve"> approach</w:t>
            </w:r>
            <w:r>
              <w:t xml:space="preserve"> %</w:t>
            </w:r>
          </w:p>
        </w:tc>
        <w:tc>
          <w:tcPr>
            <w:tcW w:w="1000" w:type="pct"/>
            <w:vAlign w:val="center"/>
          </w:tcPr>
          <w:p w:rsidR="00DE429A" w:rsidRPr="00AF0763" w:rsidRDefault="00DE429A" w:rsidP="00AC01B7">
            <w:pPr>
              <w:pStyle w:val="Table2Text"/>
            </w:pPr>
            <w:r w:rsidRPr="00AF0763">
              <w:t>Telstra proposed</w:t>
            </w:r>
            <w:r w:rsidR="00041706">
              <w:t xml:space="preserve"> approach</w:t>
            </w:r>
            <w:r w:rsidRPr="00AF0763">
              <w:t xml:space="preserve"> (%)</w:t>
            </w:r>
          </w:p>
        </w:tc>
        <w:tc>
          <w:tcPr>
            <w:tcW w:w="1000" w:type="pct"/>
            <w:vAlign w:val="center"/>
          </w:tcPr>
          <w:p w:rsidR="00DE429A" w:rsidRPr="00AF0763" w:rsidRDefault="00DE429A" w:rsidP="00AC01B7">
            <w:pPr>
              <w:pStyle w:val="Table2Text"/>
            </w:pPr>
            <w:r w:rsidRPr="00D2357E">
              <w:t>% point difference</w:t>
            </w:r>
          </w:p>
        </w:tc>
        <w:tc>
          <w:tcPr>
            <w:tcW w:w="1000" w:type="pct"/>
            <w:vAlign w:val="center"/>
          </w:tcPr>
          <w:p w:rsidR="00DE429A" w:rsidRPr="00AF0763" w:rsidRDefault="00DE429A" w:rsidP="00BF3B6A">
            <w:pPr>
              <w:pStyle w:val="Table2Text"/>
            </w:pPr>
            <w:r w:rsidRPr="00D2357E">
              <w:t>% change</w:t>
            </w:r>
          </w:p>
        </w:tc>
      </w:tr>
      <w:tr w:rsidR="00DE429A" w:rsidRPr="001D5E75" w:rsidTr="00AB2E1F">
        <w:trPr>
          <w:trHeight w:val="470"/>
        </w:trPr>
        <w:tc>
          <w:tcPr>
            <w:tcW w:w="1000" w:type="pct"/>
            <w:vAlign w:val="center"/>
          </w:tcPr>
          <w:p w:rsidR="00DE429A" w:rsidRPr="00AF0763" w:rsidRDefault="00DE429A" w:rsidP="00350637">
            <w:pPr>
              <w:pStyle w:val="Table2Text"/>
            </w:pPr>
            <w:r w:rsidRPr="00AF0763">
              <w:t>WLR</w:t>
            </w:r>
          </w:p>
        </w:tc>
        <w:tc>
          <w:tcPr>
            <w:tcW w:w="1000" w:type="pct"/>
            <w:vAlign w:val="center"/>
          </w:tcPr>
          <w:p w:rsidR="00DE429A" w:rsidRPr="00AF0763" w:rsidRDefault="00830455" w:rsidP="00AC01B7">
            <w:pPr>
              <w:pStyle w:val="Table2Text"/>
            </w:pPr>
            <w:r w:rsidRPr="008A178E">
              <w:t>[c-</w:t>
            </w:r>
            <w:proofErr w:type="spellStart"/>
            <w:r w:rsidRPr="008A178E">
              <w:t>i</w:t>
            </w:r>
            <w:proofErr w:type="spellEnd"/>
            <w:r w:rsidRPr="008A178E">
              <w:t>-c starts]</w:t>
            </w:r>
            <w:r w:rsidR="00552D6F">
              <w:rPr>
                <w:noProof/>
                <w:color w:val="000000"/>
                <w:highlight w:val="black"/>
              </w:rPr>
              <w:t>'''''''</w:t>
            </w:r>
          </w:p>
        </w:tc>
        <w:tc>
          <w:tcPr>
            <w:tcW w:w="1000" w:type="pct"/>
            <w:vAlign w:val="center"/>
          </w:tcPr>
          <w:p w:rsidR="00DE429A" w:rsidRPr="00552D6F" w:rsidRDefault="00552D6F" w:rsidP="00AC01B7">
            <w:pPr>
              <w:pStyle w:val="Table2Text"/>
              <w:rPr>
                <w:highlight w:val="black"/>
              </w:rPr>
            </w:pPr>
            <w:r>
              <w:rPr>
                <w:noProof/>
                <w:color w:val="000000"/>
                <w:highlight w:val="black"/>
              </w:rPr>
              <w:t>'''''''</w:t>
            </w:r>
          </w:p>
        </w:tc>
        <w:tc>
          <w:tcPr>
            <w:tcW w:w="1000" w:type="pct"/>
            <w:vAlign w:val="center"/>
          </w:tcPr>
          <w:p w:rsidR="00DE429A" w:rsidRPr="00552D6F" w:rsidRDefault="00552D6F" w:rsidP="00AC01B7">
            <w:pPr>
              <w:pStyle w:val="Table2Text"/>
              <w:rPr>
                <w:highlight w:val="black"/>
              </w:rPr>
            </w:pPr>
            <w:r>
              <w:rPr>
                <w:noProof/>
                <w:color w:val="000000"/>
                <w:highlight w:val="black"/>
              </w:rPr>
              <w:t>'''''''''''</w:t>
            </w:r>
          </w:p>
        </w:tc>
        <w:tc>
          <w:tcPr>
            <w:tcW w:w="1000" w:type="pct"/>
          </w:tcPr>
          <w:p w:rsidR="00DE429A" w:rsidRPr="00552D6F" w:rsidRDefault="00552D6F" w:rsidP="00BF3B6A">
            <w:pPr>
              <w:pStyle w:val="Table2Text"/>
              <w:rPr>
                <w:highlight w:val="black"/>
              </w:rPr>
            </w:pPr>
            <w:r>
              <w:rPr>
                <w:noProof/>
                <w:color w:val="000000"/>
                <w:highlight w:val="black"/>
              </w:rPr>
              <w:t>''''''''''''''''''</w:t>
            </w:r>
          </w:p>
        </w:tc>
      </w:tr>
      <w:tr w:rsidR="00DE429A" w:rsidRPr="001D5E75" w:rsidTr="00AB2E1F">
        <w:trPr>
          <w:trHeight w:val="470"/>
        </w:trPr>
        <w:tc>
          <w:tcPr>
            <w:tcW w:w="1000" w:type="pct"/>
            <w:vAlign w:val="center"/>
          </w:tcPr>
          <w:p w:rsidR="00DE429A" w:rsidRPr="00AF0763" w:rsidRDefault="00650892" w:rsidP="00350637">
            <w:pPr>
              <w:pStyle w:val="Table2Text"/>
            </w:pPr>
            <w:r>
              <w:t>FOAS/FTAS</w:t>
            </w:r>
          </w:p>
        </w:tc>
        <w:tc>
          <w:tcPr>
            <w:tcW w:w="1000" w:type="pct"/>
            <w:vAlign w:val="center"/>
          </w:tcPr>
          <w:p w:rsidR="00DE429A" w:rsidRPr="00552D6F" w:rsidRDefault="00552D6F" w:rsidP="00AC01B7">
            <w:pPr>
              <w:pStyle w:val="Table2Text"/>
              <w:rPr>
                <w:highlight w:val="black"/>
              </w:rPr>
            </w:pPr>
            <w:r>
              <w:rPr>
                <w:noProof/>
                <w:color w:val="000000"/>
                <w:highlight w:val="black"/>
              </w:rPr>
              <w:t>''''''''</w:t>
            </w:r>
          </w:p>
        </w:tc>
        <w:tc>
          <w:tcPr>
            <w:tcW w:w="1000" w:type="pct"/>
            <w:vAlign w:val="center"/>
          </w:tcPr>
          <w:p w:rsidR="00DE429A" w:rsidRPr="00552D6F" w:rsidRDefault="00552D6F" w:rsidP="00AC01B7">
            <w:pPr>
              <w:pStyle w:val="Table2Text"/>
              <w:rPr>
                <w:highlight w:val="black"/>
              </w:rPr>
            </w:pPr>
            <w:r>
              <w:rPr>
                <w:noProof/>
                <w:color w:val="000000"/>
                <w:highlight w:val="black"/>
              </w:rPr>
              <w:t>''''''''''''</w:t>
            </w:r>
          </w:p>
        </w:tc>
        <w:tc>
          <w:tcPr>
            <w:tcW w:w="1000" w:type="pct"/>
            <w:vAlign w:val="center"/>
          </w:tcPr>
          <w:p w:rsidR="00DE429A" w:rsidRPr="00552D6F" w:rsidRDefault="00552D6F" w:rsidP="00AC01B7">
            <w:pPr>
              <w:pStyle w:val="Table2Text"/>
              <w:rPr>
                <w:highlight w:val="black"/>
              </w:rPr>
            </w:pPr>
            <w:r>
              <w:rPr>
                <w:noProof/>
                <w:color w:val="000000"/>
                <w:highlight w:val="black"/>
              </w:rPr>
              <w:t>''''''''''</w:t>
            </w:r>
          </w:p>
        </w:tc>
        <w:tc>
          <w:tcPr>
            <w:tcW w:w="1000" w:type="pct"/>
          </w:tcPr>
          <w:p w:rsidR="00DE429A" w:rsidRPr="00552D6F" w:rsidRDefault="00552D6F" w:rsidP="00BF3B6A">
            <w:pPr>
              <w:pStyle w:val="Table2Text"/>
              <w:rPr>
                <w:highlight w:val="black"/>
              </w:rPr>
            </w:pPr>
            <w:r>
              <w:rPr>
                <w:noProof/>
                <w:color w:val="000000"/>
                <w:highlight w:val="black"/>
              </w:rPr>
              <w:t>'''''''''''''''</w:t>
            </w:r>
          </w:p>
        </w:tc>
      </w:tr>
      <w:tr w:rsidR="00DE429A" w:rsidRPr="001D5E75" w:rsidTr="00AB2E1F">
        <w:trPr>
          <w:trHeight w:val="470"/>
        </w:trPr>
        <w:tc>
          <w:tcPr>
            <w:tcW w:w="1000" w:type="pct"/>
            <w:vAlign w:val="center"/>
          </w:tcPr>
          <w:p w:rsidR="00DE429A" w:rsidRPr="00AF0763" w:rsidRDefault="00DE429A" w:rsidP="00350637">
            <w:pPr>
              <w:pStyle w:val="Table2Text"/>
            </w:pPr>
            <w:r w:rsidRPr="00AF0763">
              <w:t>LCS</w:t>
            </w:r>
          </w:p>
        </w:tc>
        <w:tc>
          <w:tcPr>
            <w:tcW w:w="1000" w:type="pct"/>
            <w:vAlign w:val="center"/>
          </w:tcPr>
          <w:p w:rsidR="00DE429A" w:rsidRPr="00552D6F" w:rsidRDefault="00552D6F" w:rsidP="00AC01B7">
            <w:pPr>
              <w:pStyle w:val="Table2Text"/>
              <w:rPr>
                <w:highlight w:val="black"/>
              </w:rPr>
            </w:pPr>
            <w:r>
              <w:rPr>
                <w:noProof/>
                <w:color w:val="000000"/>
                <w:highlight w:val="black"/>
              </w:rPr>
              <w:t>'''''''''</w:t>
            </w:r>
          </w:p>
        </w:tc>
        <w:tc>
          <w:tcPr>
            <w:tcW w:w="1000" w:type="pct"/>
            <w:vAlign w:val="center"/>
          </w:tcPr>
          <w:p w:rsidR="00DE429A" w:rsidRPr="00552D6F" w:rsidRDefault="00552D6F" w:rsidP="00AC01B7">
            <w:pPr>
              <w:pStyle w:val="Table2Text"/>
              <w:rPr>
                <w:highlight w:val="black"/>
              </w:rPr>
            </w:pPr>
            <w:r>
              <w:rPr>
                <w:noProof/>
                <w:color w:val="000000"/>
                <w:highlight w:val="black"/>
              </w:rPr>
              <w:t>'''''''</w:t>
            </w:r>
          </w:p>
        </w:tc>
        <w:tc>
          <w:tcPr>
            <w:tcW w:w="1000" w:type="pct"/>
            <w:vAlign w:val="center"/>
          </w:tcPr>
          <w:p w:rsidR="00DE429A" w:rsidRPr="00552D6F" w:rsidRDefault="00552D6F" w:rsidP="00350637">
            <w:pPr>
              <w:pStyle w:val="Table2Text"/>
              <w:rPr>
                <w:highlight w:val="black"/>
              </w:rPr>
            </w:pPr>
            <w:r>
              <w:rPr>
                <w:noProof/>
                <w:color w:val="000000"/>
                <w:highlight w:val="black"/>
              </w:rPr>
              <w:t>''''''''''''</w:t>
            </w:r>
          </w:p>
        </w:tc>
        <w:tc>
          <w:tcPr>
            <w:tcW w:w="1000" w:type="pct"/>
          </w:tcPr>
          <w:p w:rsidR="00DE429A" w:rsidRDefault="00552D6F" w:rsidP="00350637">
            <w:pPr>
              <w:pStyle w:val="Table2Text"/>
            </w:pPr>
            <w:r>
              <w:rPr>
                <w:noProof/>
                <w:color w:val="000000"/>
                <w:highlight w:val="black"/>
              </w:rPr>
              <w:t>''''''''''''''</w:t>
            </w:r>
            <w:r w:rsidR="00830455">
              <w:t>[c-</w:t>
            </w:r>
            <w:proofErr w:type="spellStart"/>
            <w:r w:rsidR="00830455">
              <w:t>i</w:t>
            </w:r>
            <w:proofErr w:type="spellEnd"/>
            <w:r w:rsidR="00830455">
              <w:t>-c ends]</w:t>
            </w:r>
          </w:p>
        </w:tc>
      </w:tr>
    </w:tbl>
    <w:p w:rsidR="005A5F93" w:rsidRDefault="005A5F93" w:rsidP="005A5F93"/>
    <w:p w:rsidR="005A5F93" w:rsidRPr="005A5F93" w:rsidRDefault="00C12A07" w:rsidP="005A5F93">
      <w:r>
        <w:t>Figure 3.1.2</w:t>
      </w:r>
      <w:r w:rsidR="005A5F93" w:rsidRPr="005A5F93">
        <w:t xml:space="preserve"> shows Telstra’s assumed share of use of local switching equipment by the various services for 2013-14.</w:t>
      </w:r>
    </w:p>
    <w:p w:rsidR="006E6F61" w:rsidRDefault="005065CE" w:rsidP="008D78CC">
      <w:pPr>
        <w:pStyle w:val="HeadingLevel8table"/>
        <w:ind w:left="1440" w:hanging="1440"/>
      </w:pPr>
      <w:r w:rsidRPr="005065CE">
        <w:t xml:space="preserve">Figure </w:t>
      </w:r>
      <w:r>
        <w:t>3</w:t>
      </w:r>
      <w:r w:rsidRPr="005065CE">
        <w:t>.</w:t>
      </w:r>
      <w:r>
        <w:t>1</w:t>
      </w:r>
      <w:r w:rsidRPr="005065CE">
        <w:t>.2</w:t>
      </w:r>
      <w:r w:rsidRPr="005065CE">
        <w:tab/>
        <w:t>Telstra’s proposed allocation of C</w:t>
      </w:r>
      <w:r>
        <w:t>O</w:t>
      </w:r>
      <w:r w:rsidRPr="005065CE">
        <w:t>0</w:t>
      </w:r>
      <w:r>
        <w:t>1</w:t>
      </w:r>
      <w:r w:rsidR="00041706">
        <w:t xml:space="preserve"> </w:t>
      </w:r>
      <w:proofErr w:type="spellStart"/>
      <w:r w:rsidR="0090586F">
        <w:t>swithcing</w:t>
      </w:r>
      <w:proofErr w:type="spellEnd"/>
      <w:r w:rsidR="0090586F">
        <w:t xml:space="preserve"> equipment (local)</w:t>
      </w:r>
      <w:r w:rsidR="00041706">
        <w:t xml:space="preserve"> for 2013-14</w:t>
      </w:r>
      <w:r w:rsidR="0090586F">
        <w:t xml:space="preserve"> </w:t>
      </w:r>
    </w:p>
    <w:p w:rsidR="00A703F9" w:rsidRPr="005871C8" w:rsidRDefault="00A703F9" w:rsidP="008D78CC">
      <w:r w:rsidRPr="008D78CC">
        <w:rPr>
          <w:b/>
        </w:rPr>
        <w:t>[</w:t>
      </w:r>
      <w:proofErr w:type="gramStart"/>
      <w:r w:rsidRPr="008D78CC">
        <w:rPr>
          <w:b/>
        </w:rPr>
        <w:t>c-</w:t>
      </w:r>
      <w:proofErr w:type="spellStart"/>
      <w:r w:rsidRPr="008D78CC">
        <w:rPr>
          <w:b/>
        </w:rPr>
        <w:t>i</w:t>
      </w:r>
      <w:proofErr w:type="spellEnd"/>
      <w:r w:rsidRPr="008D78CC">
        <w:rPr>
          <w:b/>
        </w:rPr>
        <w:t>-c</w:t>
      </w:r>
      <w:proofErr w:type="gramEnd"/>
      <w:r w:rsidRPr="008D78CC">
        <w:rPr>
          <w:b/>
        </w:rPr>
        <w:t xml:space="preserve"> starts]</w:t>
      </w:r>
    </w:p>
    <w:p w:rsidR="00A703F9" w:rsidRPr="00552D6F" w:rsidRDefault="00552D6F" w:rsidP="00AB2E1F">
      <w:pPr>
        <w:pStyle w:val="HeadingLevel8table"/>
        <w:rPr>
          <w:b w:val="0"/>
        </w:rPr>
      </w:pPr>
      <w:r>
        <w:rPr>
          <w:b w:val="0"/>
          <w:noProof/>
          <w:lang w:eastAsia="en-AU"/>
        </w:rPr>
        <w:lastRenderedPageBreak/>
        <w:drawing>
          <wp:inline distT="0" distB="0" distL="0" distR="0">
            <wp:extent cx="3615055" cy="253619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15055" cy="2536190"/>
                    </a:xfrm>
                    <a:prstGeom prst="rect">
                      <a:avLst/>
                    </a:prstGeom>
                  </pic:spPr>
                </pic:pic>
              </a:graphicData>
            </a:graphic>
          </wp:inline>
        </w:drawing>
      </w:r>
    </w:p>
    <w:p w:rsidR="005A5F93" w:rsidRDefault="00830455" w:rsidP="00AB2E1F">
      <w:pPr>
        <w:pStyle w:val="HeadingLevel8table"/>
      </w:pPr>
      <w:r w:rsidRPr="00830455">
        <w:t>[</w:t>
      </w:r>
      <w:proofErr w:type="gramStart"/>
      <w:r w:rsidRPr="00830455">
        <w:t>c-</w:t>
      </w:r>
      <w:proofErr w:type="spellStart"/>
      <w:r w:rsidRPr="00830455">
        <w:t>i</w:t>
      </w:r>
      <w:proofErr w:type="spellEnd"/>
      <w:r w:rsidRPr="00830455">
        <w:t>-c</w:t>
      </w:r>
      <w:proofErr w:type="gramEnd"/>
      <w:r w:rsidRPr="00830455">
        <w:t xml:space="preserve"> ends]</w:t>
      </w:r>
    </w:p>
    <w:p w:rsidR="00A33551" w:rsidRDefault="00A33551">
      <w:pPr>
        <w:spacing w:after="200" w:line="276" w:lineRule="auto"/>
        <w:rPr>
          <w:rFonts w:eastAsiaTheme="majorEastAsia" w:cstheme="majorBidi"/>
          <w:b/>
          <w:color w:val="002060"/>
          <w:sz w:val="32"/>
          <w:szCs w:val="28"/>
        </w:rPr>
      </w:pPr>
      <w:r>
        <w:br w:type="page"/>
      </w:r>
    </w:p>
    <w:p w:rsidR="002D7534" w:rsidRDefault="005A5F93" w:rsidP="007E6FBC">
      <w:pPr>
        <w:pStyle w:val="HeadingLevel2"/>
      </w:pPr>
      <w:bookmarkStart w:id="22" w:name="_Toc393375574"/>
      <w:r>
        <w:lastRenderedPageBreak/>
        <w:t>CO02 switching equipment</w:t>
      </w:r>
      <w:r w:rsidR="00A64852">
        <w:t xml:space="preserve"> (</w:t>
      </w:r>
      <w:r>
        <w:t>trunk</w:t>
      </w:r>
      <w:r w:rsidR="00A64852">
        <w:t>)</w:t>
      </w:r>
      <w:bookmarkEnd w:id="22"/>
    </w:p>
    <w:p w:rsidR="005A5F93" w:rsidRDefault="005A5F93" w:rsidP="005A5F93">
      <w:pPr>
        <w:pStyle w:val="HeadingLevel3"/>
        <w:numPr>
          <w:ilvl w:val="0"/>
          <w:numId w:val="0"/>
        </w:numPr>
      </w:pPr>
      <w:r>
        <w:t>Asset description</w:t>
      </w:r>
    </w:p>
    <w:p w:rsidR="005A5F93" w:rsidRDefault="00F43866" w:rsidP="005A5F93">
      <w:r>
        <w:t>Trunk s</w:t>
      </w:r>
      <w:r w:rsidR="005A5F93">
        <w:t>witching equipment comprises switching equipment and control software used to provide fixed line voice services. The switches within trunk switching equipment are higher-order transit switches used in the network to control calls between local switches – such as</w:t>
      </w:r>
      <w:r w:rsidR="00041706">
        <w:t xml:space="preserve"> </w:t>
      </w:r>
      <w:r w:rsidR="005A5F93">
        <w:t>STD calls – and are also generally used to interconnect to other fixed line and mobile networks operated by Telstra and third</w:t>
      </w:r>
      <w:r w:rsidR="00041706">
        <w:t xml:space="preserve"> </w:t>
      </w:r>
      <w:r w:rsidR="005A5F93">
        <w:t>parties.</w:t>
      </w:r>
    </w:p>
    <w:p w:rsidR="001B4C98" w:rsidRDefault="001B4C98" w:rsidP="001B4C98">
      <w:pPr>
        <w:pStyle w:val="HeadingLevel3"/>
        <w:numPr>
          <w:ilvl w:val="0"/>
          <w:numId w:val="0"/>
        </w:numPr>
      </w:pPr>
      <w:r>
        <w:t xml:space="preserve">Key points </w:t>
      </w:r>
    </w:p>
    <w:p w:rsidR="00D855E7" w:rsidRPr="00A93872" w:rsidRDefault="00D855E7" w:rsidP="00D855E7">
      <w:pPr>
        <w:pStyle w:val="Bulleta"/>
      </w:pPr>
      <w:r w:rsidRPr="00D06CF5">
        <w:t xml:space="preserve">Switching equipment </w:t>
      </w:r>
      <w:r>
        <w:t>(trunk) contributes only a minor proportion towards the total fixed</w:t>
      </w:r>
      <w:r w:rsidR="000255D7">
        <w:t xml:space="preserve"> </w:t>
      </w:r>
      <w:r>
        <w:t>line revenue requirement (</w:t>
      </w:r>
      <w:r>
        <w:rPr>
          <w:b/>
        </w:rPr>
        <w:t>[c-</w:t>
      </w:r>
      <w:proofErr w:type="spellStart"/>
      <w:r>
        <w:rPr>
          <w:b/>
        </w:rPr>
        <w:t>i</w:t>
      </w:r>
      <w:proofErr w:type="spellEnd"/>
      <w:r>
        <w:rPr>
          <w:b/>
        </w:rPr>
        <w:t>-c starts]</w:t>
      </w:r>
      <w:r w:rsidR="00552D6F">
        <w:rPr>
          <w:noProof/>
          <w:color w:val="000000"/>
          <w:highlight w:val="black"/>
        </w:rPr>
        <w:t>'''''''</w:t>
      </w:r>
      <w:r>
        <w:rPr>
          <w:b/>
        </w:rPr>
        <w:t>[c-</w:t>
      </w:r>
      <w:proofErr w:type="spellStart"/>
      <w:r>
        <w:rPr>
          <w:b/>
        </w:rPr>
        <w:t>i</w:t>
      </w:r>
      <w:proofErr w:type="spellEnd"/>
      <w:r>
        <w:rPr>
          <w:b/>
        </w:rPr>
        <w:t>-c ends]</w:t>
      </w:r>
      <w:r>
        <w:t xml:space="preserve"> per cent</w:t>
      </w:r>
      <w:r w:rsidRPr="00A93872">
        <w:t xml:space="preserve"> in 2013-14</w:t>
      </w:r>
      <w:r>
        <w:t>).</w:t>
      </w:r>
    </w:p>
    <w:p w:rsidR="001B4C98" w:rsidRPr="00DF6B5B" w:rsidRDefault="001B4C98" w:rsidP="001B4C98">
      <w:pPr>
        <w:pStyle w:val="Bulleta"/>
      </w:pPr>
      <w:r w:rsidRPr="00DF6B5B">
        <w:t>Telstra has developed revised routing factors for a range of core asset classes (all switching equipment assets, inter-exchange cables and transmission assets) based on ‘call dispersion’ data. These revised routing factors replace those contained in the Analysys model, which where implicitly reflected in the cost allocation factors for the 2011 FADs.</w:t>
      </w:r>
    </w:p>
    <w:p w:rsidR="00D855E7" w:rsidRDefault="00D855E7" w:rsidP="00D855E7">
      <w:pPr>
        <w:pStyle w:val="Bulleta"/>
      </w:pPr>
      <w:r w:rsidRPr="00DF6B5B">
        <w:t>For local and trunk switching equipment, the 2013 FAD allocated cost</w:t>
      </w:r>
      <w:r>
        <w:t>s</w:t>
      </w:r>
      <w:r w:rsidRPr="00DF6B5B">
        <w:t xml:space="preserve"> to </w:t>
      </w:r>
      <w:r>
        <w:t>wholesale ADSL services.</w:t>
      </w:r>
      <w:r w:rsidRPr="00DF6B5B">
        <w:t xml:space="preserve"> Telstra did not allocate any </w:t>
      </w:r>
      <w:r>
        <w:t xml:space="preserve">of these </w:t>
      </w:r>
      <w:r w:rsidRPr="00DF6B5B">
        <w:t>cost</w:t>
      </w:r>
      <w:r>
        <w:t>s</w:t>
      </w:r>
      <w:r w:rsidRPr="00DF6B5B">
        <w:t xml:space="preserve"> to </w:t>
      </w:r>
      <w:r>
        <w:t xml:space="preserve">wholesale </w:t>
      </w:r>
      <w:r w:rsidRPr="00DF6B5B">
        <w:t>ADSL</w:t>
      </w:r>
      <w:r>
        <w:t xml:space="preserve"> in its proposal</w:t>
      </w:r>
      <w:r w:rsidRPr="00DF6B5B">
        <w:t>.</w:t>
      </w:r>
    </w:p>
    <w:p w:rsidR="005A5F93" w:rsidRDefault="005A5F93" w:rsidP="00791D3C">
      <w:pPr>
        <w:pStyle w:val="HeadingLevel3"/>
        <w:numPr>
          <w:ilvl w:val="0"/>
          <w:numId w:val="0"/>
        </w:numPr>
      </w:pPr>
      <w:r>
        <w:t xml:space="preserve">Services using </w:t>
      </w:r>
      <w:r w:rsidR="00791D3C">
        <w:t xml:space="preserve">this asset class </w:t>
      </w:r>
    </w:p>
    <w:p w:rsidR="005A5F93" w:rsidRDefault="00111A0D" w:rsidP="005A5F93">
      <w:r>
        <w:t>T</w:t>
      </w:r>
      <w:r w:rsidR="005A5F93">
        <w:t xml:space="preserve">runk switching equipment </w:t>
      </w:r>
      <w:r>
        <w:t>is</w:t>
      </w:r>
      <w:r w:rsidR="005A5F93">
        <w:t xml:space="preserve"> used for declared and </w:t>
      </w:r>
      <w:r w:rsidR="00DB130C">
        <w:t xml:space="preserve">non-declared </w:t>
      </w:r>
      <w:r w:rsidR="005A5F93">
        <w:t>fixed</w:t>
      </w:r>
      <w:r w:rsidR="000255D7">
        <w:t xml:space="preserve"> </w:t>
      </w:r>
      <w:r w:rsidR="005A5F93">
        <w:t>line services.</w:t>
      </w:r>
    </w:p>
    <w:p w:rsidR="004A5860" w:rsidRDefault="004A5860" w:rsidP="004A5860">
      <w:r w:rsidRPr="009B1B8C">
        <w:t>The declared fixed</w:t>
      </w:r>
      <w:r w:rsidR="000255D7">
        <w:t xml:space="preserve"> </w:t>
      </w:r>
      <w:r w:rsidRPr="009B1B8C">
        <w:t xml:space="preserve">line services that require </w:t>
      </w:r>
      <w:r>
        <w:t>trunk</w:t>
      </w:r>
      <w:r w:rsidRPr="009B1B8C">
        <w:t xml:space="preserve"> switching equipment are </w:t>
      </w:r>
      <w:r w:rsidR="008F5711" w:rsidRPr="008F5711">
        <w:t>FOAS and FTAS (formally known as PSTN OA and PSTN TA or collectively as PSTN OTA)</w:t>
      </w:r>
      <w:r>
        <w:t xml:space="preserve"> and </w:t>
      </w:r>
      <w:r w:rsidRPr="009B1B8C">
        <w:t>LCS.</w:t>
      </w:r>
      <w:r>
        <w:t xml:space="preserve"> </w:t>
      </w:r>
      <w:proofErr w:type="gramStart"/>
      <w:r w:rsidRPr="009B1B8C">
        <w:t>The other fixed</w:t>
      </w:r>
      <w:r w:rsidR="000255D7">
        <w:t xml:space="preserve"> </w:t>
      </w:r>
      <w:r w:rsidRPr="009B1B8C">
        <w:t xml:space="preserve">line services that require </w:t>
      </w:r>
      <w:r>
        <w:t>trunk</w:t>
      </w:r>
      <w:r w:rsidRPr="009B1B8C">
        <w:t xml:space="preserve"> switching equipment are </w:t>
      </w:r>
      <w:r>
        <w:t xml:space="preserve">retail </w:t>
      </w:r>
      <w:r w:rsidRPr="009B1B8C">
        <w:t>PSTN</w:t>
      </w:r>
      <w:r>
        <w:t xml:space="preserve"> voice services (includes local, national, international and fixed-to-mobile calls) </w:t>
      </w:r>
      <w:r w:rsidRPr="009B1B8C">
        <w:t xml:space="preserve">and ISDN </w:t>
      </w:r>
      <w:r>
        <w:t xml:space="preserve">voice </w:t>
      </w:r>
      <w:r w:rsidRPr="009B1B8C">
        <w:t>services.</w:t>
      </w:r>
      <w:proofErr w:type="gramEnd"/>
    </w:p>
    <w:p w:rsidR="005A5F93" w:rsidRDefault="005A5F93" w:rsidP="00791D3C">
      <w:pPr>
        <w:pStyle w:val="HeadingLevel3"/>
        <w:numPr>
          <w:ilvl w:val="0"/>
          <w:numId w:val="0"/>
        </w:numPr>
      </w:pPr>
      <w:r>
        <w:t xml:space="preserve">Approach adopted for </w:t>
      </w:r>
      <w:r w:rsidR="00265B59">
        <w:t xml:space="preserve">the </w:t>
      </w:r>
      <w:r>
        <w:t>2011 FAD</w:t>
      </w:r>
    </w:p>
    <w:p w:rsidR="00D452E5" w:rsidRPr="00D452E5" w:rsidRDefault="00D452E5" w:rsidP="00AB2E1F">
      <w:r w:rsidRPr="00D452E5">
        <w:t xml:space="preserve">The initial cost allocation factor for </w:t>
      </w:r>
      <w:r w:rsidR="00046D67">
        <w:t xml:space="preserve">this asset class to </w:t>
      </w:r>
      <w:r w:rsidRPr="00D452E5">
        <w:t>PSTN OTA was based on the cost allocation factor from the Analysys model. It was adjusted down to ensure the ratio of cost allocation factors between local switching equipment and trunk switching equipment was maintained following the over-provisioning adjustment made to the cost allocation factor for local switching equi</w:t>
      </w:r>
      <w:r w:rsidR="00046D67">
        <w:t>pment (see discussion of CO01</w:t>
      </w:r>
      <w:r w:rsidR="00041706">
        <w:t xml:space="preserve"> </w:t>
      </w:r>
      <w:r w:rsidRPr="00D452E5">
        <w:t xml:space="preserve">switching </w:t>
      </w:r>
      <w:r w:rsidR="00041706">
        <w:t xml:space="preserve">equipment </w:t>
      </w:r>
      <w:r w:rsidR="00046D67">
        <w:t>(local)</w:t>
      </w:r>
      <w:r w:rsidRPr="00D452E5">
        <w:t>).</w:t>
      </w:r>
    </w:p>
    <w:p w:rsidR="00D452E5" w:rsidRPr="00D452E5" w:rsidRDefault="00D452E5" w:rsidP="00AB2E1F">
      <w:r w:rsidRPr="00D452E5">
        <w:t>The initial cost allocation factor for LCS was adopted from the cost allocation factor from the Analysys model.</w:t>
      </w:r>
    </w:p>
    <w:p w:rsidR="005A5F93" w:rsidRDefault="00D452E5">
      <w:r w:rsidRPr="00D452E5">
        <w:t xml:space="preserve">The cost allocation factors for PSTN OTA </w:t>
      </w:r>
      <w:r>
        <w:t xml:space="preserve">and LCS </w:t>
      </w:r>
      <w:r w:rsidRPr="00D452E5">
        <w:t xml:space="preserve">for each year </w:t>
      </w:r>
      <w:r w:rsidR="00041706">
        <w:t>were</w:t>
      </w:r>
      <w:r w:rsidRPr="00D452E5">
        <w:t xml:space="preserve"> then based on the cost allocation factor from the previous year and adjusted by the forecast percentage change in </w:t>
      </w:r>
      <w:r w:rsidR="00D55844">
        <w:t>the</w:t>
      </w:r>
      <w:r w:rsidRPr="00D452E5">
        <w:t xml:space="preserve"> minutes of use for PSTN OTA and </w:t>
      </w:r>
      <w:r w:rsidR="00D00FE6">
        <w:t xml:space="preserve">LCS </w:t>
      </w:r>
      <w:r w:rsidR="00041706">
        <w:t>(</w:t>
      </w:r>
      <w:r w:rsidR="00D00FE6">
        <w:t>respectively</w:t>
      </w:r>
      <w:r w:rsidR="00041706">
        <w:t>)</w:t>
      </w:r>
      <w:r w:rsidR="00D00FE6">
        <w:t xml:space="preserve"> for that year.</w:t>
      </w:r>
    </w:p>
    <w:p w:rsidR="005A5F93" w:rsidRDefault="005A5F93" w:rsidP="00791D3C">
      <w:pPr>
        <w:pStyle w:val="HeadingLevel3"/>
        <w:numPr>
          <w:ilvl w:val="0"/>
          <w:numId w:val="0"/>
        </w:numPr>
      </w:pPr>
      <w:r>
        <w:t>Telstra’s proposed allocation method</w:t>
      </w:r>
    </w:p>
    <w:p w:rsidR="00970446" w:rsidRPr="00970446" w:rsidRDefault="00970446" w:rsidP="00A33551">
      <w:r w:rsidRPr="00970446">
        <w:t xml:space="preserve">Under Telstra’s revised model, the cost driver for trunk switching equipment is call volumes (minutes of use). </w:t>
      </w:r>
    </w:p>
    <w:p w:rsidR="005A5F93" w:rsidRDefault="00111A0D" w:rsidP="00AB2E1F">
      <w:r w:rsidRPr="00111A0D">
        <w:t xml:space="preserve">Cost allocation factors for </w:t>
      </w:r>
      <w:r w:rsidR="008F5711" w:rsidRPr="008F5711">
        <w:t>FOAS/FTAS</w:t>
      </w:r>
      <w:r w:rsidRPr="00111A0D">
        <w:t xml:space="preserve"> and LCS are calculated as the ratio of forecast </w:t>
      </w:r>
      <w:r w:rsidR="008F5711" w:rsidRPr="008F5711">
        <w:t>FOAS/FTAS</w:t>
      </w:r>
      <w:r w:rsidRPr="00111A0D">
        <w:t xml:space="preserve"> and </w:t>
      </w:r>
      <w:r w:rsidR="008F5711" w:rsidRPr="00111A0D">
        <w:t>L</w:t>
      </w:r>
      <w:r w:rsidR="008F5711">
        <w:t>CS</w:t>
      </w:r>
      <w:r w:rsidR="008F5711" w:rsidRPr="00111A0D">
        <w:t xml:space="preserve"> </w:t>
      </w:r>
      <w:r w:rsidRPr="00111A0D">
        <w:t xml:space="preserve">minutes of use respectively divided by total minutes of use for all </w:t>
      </w:r>
      <w:r w:rsidRPr="00111A0D">
        <w:lastRenderedPageBreak/>
        <w:t xml:space="preserve">services using </w:t>
      </w:r>
      <w:r w:rsidR="003B304D">
        <w:t>trunk</w:t>
      </w:r>
      <w:r w:rsidRPr="00111A0D">
        <w:t xml:space="preserve"> switching equipment (</w:t>
      </w:r>
      <w:r w:rsidR="008F5711" w:rsidRPr="008F5711">
        <w:t>FOAS/FTAS</w:t>
      </w:r>
      <w:r w:rsidRPr="00111A0D">
        <w:t xml:space="preserve">, LCS, retail PSTN </w:t>
      </w:r>
      <w:r w:rsidR="003B304D">
        <w:t xml:space="preserve">voice </w:t>
      </w:r>
      <w:r w:rsidRPr="00111A0D">
        <w:t xml:space="preserve">services and ISDN </w:t>
      </w:r>
      <w:r w:rsidR="003B304D">
        <w:t xml:space="preserve">voice </w:t>
      </w:r>
      <w:r w:rsidRPr="00111A0D">
        <w:t xml:space="preserve">services). In this step, minutes of use are weighted using routing factors, which reflect the different </w:t>
      </w:r>
      <w:r w:rsidR="00041706">
        <w:t>loads</w:t>
      </w:r>
      <w:r w:rsidR="00041706" w:rsidRPr="00111A0D">
        <w:t xml:space="preserve"> </w:t>
      </w:r>
      <w:r w:rsidRPr="00111A0D">
        <w:t xml:space="preserve">that the various services </w:t>
      </w:r>
      <w:r w:rsidR="00041706">
        <w:t xml:space="preserve">place on </w:t>
      </w:r>
      <w:r w:rsidRPr="00111A0D">
        <w:t>trunk switching equipment.</w:t>
      </w:r>
    </w:p>
    <w:p w:rsidR="005A5F93" w:rsidRDefault="005A5F93" w:rsidP="00791D3C">
      <w:pPr>
        <w:pStyle w:val="HeadingLevel3"/>
        <w:numPr>
          <w:ilvl w:val="0"/>
          <w:numId w:val="0"/>
        </w:numPr>
      </w:pPr>
      <w:r>
        <w:t>Current v</w:t>
      </w:r>
      <w:r w:rsidR="00791D3C">
        <w:t xml:space="preserve">ersus </w:t>
      </w:r>
      <w:r>
        <w:t>Telstra’s proposed allocation factors</w:t>
      </w:r>
    </w:p>
    <w:p w:rsidR="005A5F93" w:rsidRDefault="005A5F93" w:rsidP="005A5F93">
      <w:r>
        <w:t xml:space="preserve">Cost allocation factors for 2013-14 based on the 2011 FAD approach and Telstra’s proposed approach are provided in </w:t>
      </w:r>
      <w:r w:rsidR="007724B6">
        <w:t>T</w:t>
      </w:r>
      <w:r>
        <w:t xml:space="preserve">able </w:t>
      </w:r>
      <w:r w:rsidR="007724B6">
        <w:t>3.2.1</w:t>
      </w:r>
      <w:r>
        <w:t>.</w:t>
      </w:r>
    </w:p>
    <w:p w:rsidR="00791D3C" w:rsidRDefault="00D55844" w:rsidP="003B304D">
      <w:pPr>
        <w:pStyle w:val="HeadingLevel8table"/>
        <w:ind w:left="1440" w:hanging="1440"/>
      </w:pPr>
      <w:r w:rsidRPr="00D55844">
        <w:t>Table 3.</w:t>
      </w:r>
      <w:r>
        <w:t>2</w:t>
      </w:r>
      <w:r w:rsidRPr="00D55844">
        <w:t>.1</w:t>
      </w:r>
      <w:r w:rsidRPr="00D55844">
        <w:tab/>
        <w:t>Comparison of 2011 FAD</w:t>
      </w:r>
      <w:r w:rsidR="00041706">
        <w:t xml:space="preserve"> approach</w:t>
      </w:r>
      <w:r w:rsidRPr="00D55844">
        <w:t xml:space="preserve"> </w:t>
      </w:r>
      <w:proofErr w:type="spellStart"/>
      <w:r w:rsidRPr="00D55844">
        <w:t>vs</w:t>
      </w:r>
      <w:proofErr w:type="spellEnd"/>
      <w:r w:rsidRPr="00D55844">
        <w:t xml:space="preserve"> </w:t>
      </w:r>
      <w:r w:rsidR="003B304D">
        <w:t>Telstra’s</w:t>
      </w:r>
      <w:r w:rsidRPr="00D55844">
        <w:t xml:space="preserve"> proposed approach for CO0</w:t>
      </w:r>
      <w:r>
        <w:t>2</w:t>
      </w:r>
      <w:r w:rsidR="003B304D">
        <w:t xml:space="preserve"> switching equipment (trunk)</w:t>
      </w:r>
      <w:r w:rsidR="00041706">
        <w:t xml:space="preserve"> for 2013-14</w:t>
      </w:r>
    </w:p>
    <w:tbl>
      <w:tblPr>
        <w:tblStyle w:val="TableGrid"/>
        <w:tblW w:w="0" w:type="auto"/>
        <w:tblLook w:val="04A0" w:firstRow="1" w:lastRow="0" w:firstColumn="1" w:lastColumn="0" w:noHBand="0" w:noVBand="1"/>
      </w:tblPr>
      <w:tblGrid>
        <w:gridCol w:w="1788"/>
        <w:gridCol w:w="1719"/>
        <w:gridCol w:w="1719"/>
        <w:gridCol w:w="1719"/>
        <w:gridCol w:w="1719"/>
      </w:tblGrid>
      <w:tr w:rsidR="00B42EFF" w:rsidTr="00D00FE6">
        <w:trPr>
          <w:trHeight w:val="447"/>
        </w:trPr>
        <w:tc>
          <w:tcPr>
            <w:tcW w:w="1788" w:type="dxa"/>
          </w:tcPr>
          <w:p w:rsidR="00B42EFF" w:rsidRDefault="00B42EFF" w:rsidP="00350637">
            <w:pPr>
              <w:pStyle w:val="Table2Text"/>
            </w:pPr>
            <w:r>
              <w:t>Declared service</w:t>
            </w:r>
          </w:p>
        </w:tc>
        <w:tc>
          <w:tcPr>
            <w:tcW w:w="1719" w:type="dxa"/>
          </w:tcPr>
          <w:p w:rsidR="00B42EFF" w:rsidRDefault="00B42EFF" w:rsidP="00AC01B7">
            <w:pPr>
              <w:pStyle w:val="Table2Text"/>
            </w:pPr>
            <w:r>
              <w:t>2011 FAD</w:t>
            </w:r>
            <w:r w:rsidR="00041706">
              <w:t xml:space="preserve"> approach</w:t>
            </w:r>
            <w:r>
              <w:t xml:space="preserve"> %</w:t>
            </w:r>
          </w:p>
        </w:tc>
        <w:tc>
          <w:tcPr>
            <w:tcW w:w="1719" w:type="dxa"/>
          </w:tcPr>
          <w:p w:rsidR="00B42EFF" w:rsidRDefault="00B42EFF" w:rsidP="00AC01B7">
            <w:pPr>
              <w:pStyle w:val="Table2Text"/>
            </w:pPr>
            <w:r>
              <w:t>Telstra proposed</w:t>
            </w:r>
            <w:r w:rsidR="00041706">
              <w:t xml:space="preserve"> approach </w:t>
            </w:r>
            <w:r>
              <w:t>%</w:t>
            </w:r>
          </w:p>
        </w:tc>
        <w:tc>
          <w:tcPr>
            <w:tcW w:w="1719" w:type="dxa"/>
          </w:tcPr>
          <w:p w:rsidR="00B42EFF" w:rsidRDefault="00B42EFF" w:rsidP="00AC01B7">
            <w:pPr>
              <w:pStyle w:val="Table2Text"/>
            </w:pPr>
            <w:r>
              <w:t>% point difference</w:t>
            </w:r>
          </w:p>
        </w:tc>
        <w:tc>
          <w:tcPr>
            <w:tcW w:w="1719" w:type="dxa"/>
          </w:tcPr>
          <w:p w:rsidR="00B42EFF" w:rsidRDefault="00B42EFF" w:rsidP="00BF3B6A">
            <w:pPr>
              <w:pStyle w:val="Table2Text"/>
            </w:pPr>
            <w:r>
              <w:t>% change</w:t>
            </w:r>
          </w:p>
        </w:tc>
      </w:tr>
      <w:tr w:rsidR="00B42EFF" w:rsidTr="00D00FE6">
        <w:trPr>
          <w:trHeight w:val="447"/>
        </w:trPr>
        <w:tc>
          <w:tcPr>
            <w:tcW w:w="1788" w:type="dxa"/>
          </w:tcPr>
          <w:p w:rsidR="00B42EFF" w:rsidRDefault="008F5711" w:rsidP="00350637">
            <w:pPr>
              <w:pStyle w:val="Table2Text"/>
            </w:pPr>
            <w:r w:rsidRPr="008F5711">
              <w:t>FOAS/FTAS</w:t>
            </w:r>
          </w:p>
        </w:tc>
        <w:tc>
          <w:tcPr>
            <w:tcW w:w="1719" w:type="dxa"/>
          </w:tcPr>
          <w:p w:rsidR="00B42EFF" w:rsidRDefault="00830455" w:rsidP="00AC01B7">
            <w:pPr>
              <w:pStyle w:val="Table2Text"/>
            </w:pPr>
            <w:r w:rsidRPr="008A178E">
              <w:t>[c-</w:t>
            </w:r>
            <w:proofErr w:type="spellStart"/>
            <w:r w:rsidRPr="008A178E">
              <w:t>i</w:t>
            </w:r>
            <w:proofErr w:type="spellEnd"/>
            <w:r w:rsidRPr="008A178E">
              <w:t>-c starts]</w:t>
            </w:r>
            <w:r w:rsidR="00552D6F">
              <w:rPr>
                <w:noProof/>
                <w:color w:val="000000"/>
                <w:highlight w:val="black"/>
              </w:rPr>
              <w:t>'''''''''''</w:t>
            </w:r>
          </w:p>
        </w:tc>
        <w:tc>
          <w:tcPr>
            <w:tcW w:w="1719" w:type="dxa"/>
          </w:tcPr>
          <w:p w:rsidR="00B42EFF" w:rsidRPr="00552D6F" w:rsidRDefault="00552D6F" w:rsidP="00AC01B7">
            <w:pPr>
              <w:pStyle w:val="Table2Text"/>
              <w:rPr>
                <w:highlight w:val="black"/>
              </w:rPr>
            </w:pPr>
            <w:r>
              <w:rPr>
                <w:noProof/>
                <w:color w:val="000000"/>
                <w:highlight w:val="black"/>
              </w:rPr>
              <w:t>''''''''''</w:t>
            </w:r>
          </w:p>
        </w:tc>
        <w:tc>
          <w:tcPr>
            <w:tcW w:w="1719" w:type="dxa"/>
          </w:tcPr>
          <w:p w:rsidR="00B42EFF" w:rsidRPr="00552D6F" w:rsidRDefault="00552D6F" w:rsidP="00AC01B7">
            <w:pPr>
              <w:pStyle w:val="Table2Text"/>
              <w:rPr>
                <w:highlight w:val="black"/>
              </w:rPr>
            </w:pPr>
            <w:r>
              <w:rPr>
                <w:noProof/>
                <w:color w:val="000000"/>
                <w:highlight w:val="black"/>
              </w:rPr>
              <w:t>''''''''''''''</w:t>
            </w:r>
          </w:p>
        </w:tc>
        <w:tc>
          <w:tcPr>
            <w:tcW w:w="1719" w:type="dxa"/>
          </w:tcPr>
          <w:p w:rsidR="00B42EFF" w:rsidRPr="00552D6F" w:rsidRDefault="00552D6F" w:rsidP="00BF3B6A">
            <w:pPr>
              <w:pStyle w:val="Table2Text"/>
              <w:rPr>
                <w:highlight w:val="black"/>
              </w:rPr>
            </w:pPr>
            <w:r>
              <w:rPr>
                <w:noProof/>
                <w:color w:val="000000"/>
                <w:highlight w:val="black"/>
              </w:rPr>
              <w:t>'''''''''''''''</w:t>
            </w:r>
          </w:p>
        </w:tc>
      </w:tr>
      <w:tr w:rsidR="00B42EFF" w:rsidTr="00D00FE6">
        <w:trPr>
          <w:trHeight w:val="447"/>
        </w:trPr>
        <w:tc>
          <w:tcPr>
            <w:tcW w:w="1788" w:type="dxa"/>
          </w:tcPr>
          <w:p w:rsidR="00B42EFF" w:rsidRDefault="00B42EFF" w:rsidP="00350637">
            <w:pPr>
              <w:pStyle w:val="Table2Text"/>
            </w:pPr>
            <w:r>
              <w:t>LCS</w:t>
            </w:r>
          </w:p>
        </w:tc>
        <w:tc>
          <w:tcPr>
            <w:tcW w:w="1719" w:type="dxa"/>
          </w:tcPr>
          <w:p w:rsidR="00B42EFF" w:rsidRPr="00552D6F" w:rsidRDefault="00552D6F" w:rsidP="00AC01B7">
            <w:pPr>
              <w:pStyle w:val="Table2Text"/>
              <w:rPr>
                <w:highlight w:val="black"/>
              </w:rPr>
            </w:pPr>
            <w:r>
              <w:rPr>
                <w:noProof/>
                <w:color w:val="000000"/>
                <w:highlight w:val="black"/>
              </w:rPr>
              <w:t>'''''''''</w:t>
            </w:r>
          </w:p>
        </w:tc>
        <w:tc>
          <w:tcPr>
            <w:tcW w:w="1719" w:type="dxa"/>
          </w:tcPr>
          <w:p w:rsidR="00B42EFF" w:rsidRPr="00552D6F" w:rsidRDefault="00552D6F" w:rsidP="00AC01B7">
            <w:pPr>
              <w:pStyle w:val="Table2Text"/>
              <w:rPr>
                <w:highlight w:val="black"/>
              </w:rPr>
            </w:pPr>
            <w:r>
              <w:rPr>
                <w:noProof/>
                <w:color w:val="000000"/>
                <w:highlight w:val="black"/>
              </w:rPr>
              <w:t>'''''''''</w:t>
            </w:r>
          </w:p>
        </w:tc>
        <w:tc>
          <w:tcPr>
            <w:tcW w:w="1719" w:type="dxa"/>
          </w:tcPr>
          <w:p w:rsidR="00B42EFF" w:rsidRPr="00552D6F" w:rsidRDefault="00552D6F" w:rsidP="00AC01B7">
            <w:pPr>
              <w:pStyle w:val="Table2Text"/>
              <w:rPr>
                <w:highlight w:val="black"/>
              </w:rPr>
            </w:pPr>
            <w:r>
              <w:rPr>
                <w:noProof/>
                <w:color w:val="000000"/>
                <w:highlight w:val="black"/>
              </w:rPr>
              <w:t>''''''''''</w:t>
            </w:r>
          </w:p>
        </w:tc>
        <w:tc>
          <w:tcPr>
            <w:tcW w:w="1719" w:type="dxa"/>
          </w:tcPr>
          <w:p w:rsidR="00B42EFF" w:rsidRDefault="00552D6F" w:rsidP="00BF3B6A">
            <w:pPr>
              <w:pStyle w:val="Table2Text"/>
            </w:pPr>
            <w:r>
              <w:rPr>
                <w:noProof/>
                <w:color w:val="000000"/>
                <w:highlight w:val="black"/>
              </w:rPr>
              <w:t>''''''''''''</w:t>
            </w:r>
            <w:r w:rsidR="00830455">
              <w:t>[c-</w:t>
            </w:r>
            <w:proofErr w:type="spellStart"/>
            <w:r w:rsidR="00830455">
              <w:t>i</w:t>
            </w:r>
            <w:proofErr w:type="spellEnd"/>
            <w:r w:rsidR="00830455">
              <w:t>-c ends]</w:t>
            </w:r>
          </w:p>
        </w:tc>
      </w:tr>
    </w:tbl>
    <w:p w:rsidR="00791D3C" w:rsidRDefault="00791D3C" w:rsidP="005A5F93"/>
    <w:p w:rsidR="00791D3C" w:rsidRDefault="007724B6" w:rsidP="005A5F93">
      <w:r>
        <w:t>Figure 3.2.2</w:t>
      </w:r>
      <w:r w:rsidR="00791D3C" w:rsidRPr="00791D3C">
        <w:t xml:space="preserve"> shows Telstra’s assumed share of use of trunk switching equipment by the various services for 2013-14</w:t>
      </w:r>
      <w:r w:rsidR="00791D3C">
        <w:t xml:space="preserve">. </w:t>
      </w:r>
    </w:p>
    <w:p w:rsidR="003B304D" w:rsidRDefault="005065CE" w:rsidP="008D78CC">
      <w:pPr>
        <w:pStyle w:val="HeadingLevel8table"/>
        <w:ind w:left="1440" w:hanging="1440"/>
      </w:pPr>
      <w:r w:rsidRPr="005065CE">
        <w:t>Figure 3.</w:t>
      </w:r>
      <w:r>
        <w:t>2</w:t>
      </w:r>
      <w:r w:rsidRPr="005065CE">
        <w:t>.2</w:t>
      </w:r>
      <w:r w:rsidRPr="005065CE">
        <w:tab/>
        <w:t>Telstra’s proposed allocation of CO0</w:t>
      </w:r>
      <w:r>
        <w:t>2</w:t>
      </w:r>
      <w:r w:rsidR="003B304D">
        <w:t xml:space="preserve"> switching equipment (trunk)</w:t>
      </w:r>
      <w:r w:rsidR="00041706">
        <w:t xml:space="preserve"> for 2013-14</w:t>
      </w:r>
    </w:p>
    <w:p w:rsidR="00A703F9" w:rsidRPr="005871C8" w:rsidRDefault="00A703F9" w:rsidP="008D78CC">
      <w:r w:rsidRPr="008D78CC">
        <w:rPr>
          <w:b/>
        </w:rPr>
        <w:t>[</w:t>
      </w:r>
      <w:proofErr w:type="gramStart"/>
      <w:r w:rsidRPr="008D78CC">
        <w:rPr>
          <w:b/>
        </w:rPr>
        <w:t>c-</w:t>
      </w:r>
      <w:proofErr w:type="spellStart"/>
      <w:r w:rsidRPr="008D78CC">
        <w:rPr>
          <w:b/>
        </w:rPr>
        <w:t>i</w:t>
      </w:r>
      <w:proofErr w:type="spellEnd"/>
      <w:r w:rsidRPr="008D78CC">
        <w:rPr>
          <w:b/>
        </w:rPr>
        <w:t>-c</w:t>
      </w:r>
      <w:proofErr w:type="gramEnd"/>
      <w:r w:rsidRPr="008D78CC">
        <w:rPr>
          <w:b/>
        </w:rPr>
        <w:t xml:space="preserve"> starts]</w:t>
      </w:r>
    </w:p>
    <w:p w:rsidR="00A703F9" w:rsidRPr="00552D6F" w:rsidRDefault="00552D6F" w:rsidP="00AB2E1F">
      <w:pPr>
        <w:pStyle w:val="HeadingLevel8table"/>
        <w:rPr>
          <w:b w:val="0"/>
        </w:rPr>
      </w:pPr>
      <w:r>
        <w:rPr>
          <w:b w:val="0"/>
          <w:noProof/>
          <w:lang w:eastAsia="en-AU"/>
        </w:rPr>
        <w:drawing>
          <wp:inline distT="0" distB="0" distL="0" distR="0">
            <wp:extent cx="3609340" cy="252984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09340" cy="2529840"/>
                    </a:xfrm>
                    <a:prstGeom prst="rect">
                      <a:avLst/>
                    </a:prstGeom>
                  </pic:spPr>
                </pic:pic>
              </a:graphicData>
            </a:graphic>
          </wp:inline>
        </w:drawing>
      </w:r>
    </w:p>
    <w:p w:rsidR="005A5F93" w:rsidRDefault="00830455" w:rsidP="00AB2E1F">
      <w:pPr>
        <w:pStyle w:val="HeadingLevel8table"/>
      </w:pPr>
      <w:r w:rsidRPr="00830455">
        <w:t>[</w:t>
      </w:r>
      <w:proofErr w:type="gramStart"/>
      <w:r w:rsidRPr="00830455">
        <w:t>c-</w:t>
      </w:r>
      <w:proofErr w:type="spellStart"/>
      <w:r w:rsidRPr="00830455">
        <w:t>i</w:t>
      </w:r>
      <w:proofErr w:type="spellEnd"/>
      <w:r w:rsidRPr="00830455">
        <w:t>-c</w:t>
      </w:r>
      <w:proofErr w:type="gramEnd"/>
      <w:r w:rsidRPr="00830455">
        <w:t xml:space="preserve"> ends]</w:t>
      </w:r>
    </w:p>
    <w:p w:rsidR="007C31DA" w:rsidRDefault="007C31DA">
      <w:pPr>
        <w:spacing w:after="200" w:line="276" w:lineRule="auto"/>
        <w:rPr>
          <w:rFonts w:eastAsiaTheme="majorEastAsia" w:cstheme="majorBidi"/>
          <w:b/>
          <w:color w:val="002060"/>
          <w:sz w:val="32"/>
          <w:szCs w:val="28"/>
        </w:rPr>
      </w:pPr>
      <w:r>
        <w:rPr>
          <w:rFonts w:eastAsiaTheme="majorEastAsia" w:cstheme="majorBidi"/>
          <w:b/>
          <w:color w:val="002060"/>
          <w:sz w:val="32"/>
          <w:szCs w:val="28"/>
        </w:rPr>
        <w:br w:type="page"/>
      </w:r>
    </w:p>
    <w:p w:rsidR="00791D3C" w:rsidRDefault="00791D3C" w:rsidP="00791D3C">
      <w:pPr>
        <w:pStyle w:val="HeadingLevel2"/>
      </w:pPr>
      <w:bookmarkStart w:id="23" w:name="_Toc393375575"/>
      <w:r>
        <w:lastRenderedPageBreak/>
        <w:t>CO03 switching equipment</w:t>
      </w:r>
      <w:r w:rsidR="00F55710">
        <w:t xml:space="preserve"> (</w:t>
      </w:r>
      <w:r>
        <w:t>other</w:t>
      </w:r>
      <w:r w:rsidR="00F55710">
        <w:t>)</w:t>
      </w:r>
      <w:bookmarkEnd w:id="23"/>
    </w:p>
    <w:p w:rsidR="00117E22" w:rsidRDefault="00117E22" w:rsidP="00117E22">
      <w:pPr>
        <w:pStyle w:val="HeadingLevel3"/>
        <w:numPr>
          <w:ilvl w:val="0"/>
          <w:numId w:val="0"/>
        </w:numPr>
      </w:pPr>
      <w:r>
        <w:t>Asset description</w:t>
      </w:r>
    </w:p>
    <w:p w:rsidR="00117E22" w:rsidRDefault="00225020" w:rsidP="00117E22">
      <w:r>
        <w:t>The</w:t>
      </w:r>
      <w:r w:rsidRPr="00225020">
        <w:t xml:space="preserve"> other switching equipment contains miscellaneous equipment used to support the provision of fixed line voice services.</w:t>
      </w:r>
    </w:p>
    <w:p w:rsidR="001B4C98" w:rsidRDefault="001B4C98" w:rsidP="001B4C98">
      <w:pPr>
        <w:pStyle w:val="HeadingLevel3"/>
        <w:numPr>
          <w:ilvl w:val="0"/>
          <w:numId w:val="0"/>
        </w:numPr>
      </w:pPr>
      <w:r>
        <w:t xml:space="preserve">Key points </w:t>
      </w:r>
    </w:p>
    <w:p w:rsidR="006C5C18" w:rsidRPr="00A93872" w:rsidRDefault="006C5C18" w:rsidP="006C5C18">
      <w:pPr>
        <w:pStyle w:val="Bulleta"/>
      </w:pPr>
      <w:r w:rsidRPr="00D06CF5">
        <w:t xml:space="preserve">Switching equipment </w:t>
      </w:r>
      <w:r>
        <w:t>(other) contributes only a minor proportion towards the total fixed</w:t>
      </w:r>
      <w:r w:rsidR="000255D7">
        <w:t xml:space="preserve"> </w:t>
      </w:r>
      <w:r>
        <w:t>line revenue requirement (</w:t>
      </w:r>
      <w:r>
        <w:rPr>
          <w:b/>
        </w:rPr>
        <w:t>[c-</w:t>
      </w:r>
      <w:proofErr w:type="spellStart"/>
      <w:r>
        <w:rPr>
          <w:b/>
        </w:rPr>
        <w:t>i</w:t>
      </w:r>
      <w:proofErr w:type="spellEnd"/>
      <w:r>
        <w:rPr>
          <w:b/>
        </w:rPr>
        <w:t>-c starts]</w:t>
      </w:r>
      <w:r w:rsidR="00552D6F">
        <w:rPr>
          <w:noProof/>
          <w:color w:val="000000"/>
          <w:highlight w:val="black"/>
        </w:rPr>
        <w:t>'''''''''''</w:t>
      </w:r>
      <w:r>
        <w:rPr>
          <w:b/>
        </w:rPr>
        <w:t>[c-</w:t>
      </w:r>
      <w:proofErr w:type="spellStart"/>
      <w:r>
        <w:rPr>
          <w:b/>
        </w:rPr>
        <w:t>i</w:t>
      </w:r>
      <w:proofErr w:type="spellEnd"/>
      <w:r>
        <w:rPr>
          <w:b/>
        </w:rPr>
        <w:t>-c ends]</w:t>
      </w:r>
      <w:r>
        <w:t xml:space="preserve"> per cent</w:t>
      </w:r>
      <w:r w:rsidRPr="00A93872">
        <w:t xml:space="preserve"> in 2013-14</w:t>
      </w:r>
      <w:r>
        <w:t>).</w:t>
      </w:r>
    </w:p>
    <w:p w:rsidR="001B4C98" w:rsidRPr="00DF6B5B" w:rsidRDefault="001B4C98" w:rsidP="001B4C98">
      <w:pPr>
        <w:pStyle w:val="Bulleta"/>
      </w:pPr>
      <w:r w:rsidRPr="00DF6B5B">
        <w:t>Telstra has developed revised routing factors for a range of core asset classes (all switching equipment assets, inter-exchange cables and transmission assets) based on ‘call dispersion’ data. These revised routing factors replace those contained in the Analysys model, which where implicitly reflected in the cost allocation factors for the 2011 FADs.</w:t>
      </w:r>
    </w:p>
    <w:p w:rsidR="00117E22" w:rsidRDefault="00117E22" w:rsidP="00117E22">
      <w:pPr>
        <w:pStyle w:val="HeadingLevel3"/>
        <w:numPr>
          <w:ilvl w:val="0"/>
          <w:numId w:val="0"/>
        </w:numPr>
      </w:pPr>
      <w:r>
        <w:t xml:space="preserve">Services using this asset class </w:t>
      </w:r>
    </w:p>
    <w:p w:rsidR="00225020" w:rsidRDefault="00225020" w:rsidP="00225020">
      <w:r>
        <w:t xml:space="preserve">Other switching equipment is used for declared and </w:t>
      </w:r>
      <w:r w:rsidR="00DB130C">
        <w:t xml:space="preserve">non-declared </w:t>
      </w:r>
      <w:r>
        <w:t>fixed</w:t>
      </w:r>
      <w:r w:rsidR="000255D7">
        <w:t xml:space="preserve"> </w:t>
      </w:r>
      <w:r>
        <w:t>line services.</w:t>
      </w:r>
    </w:p>
    <w:p w:rsidR="00117E22" w:rsidRDefault="00225020" w:rsidP="00225020">
      <w:r>
        <w:t>The declared fixed</w:t>
      </w:r>
      <w:r w:rsidR="000255D7">
        <w:t xml:space="preserve"> </w:t>
      </w:r>
      <w:r>
        <w:t xml:space="preserve">line services that require other switching equipment are </w:t>
      </w:r>
      <w:r w:rsidR="006F2DCF" w:rsidRPr="006F2DCF">
        <w:t>FOAS and FTAS (formally known as PSTN OA and PSTN TA or collectively as PSTN OTA)</w:t>
      </w:r>
      <w:r>
        <w:t xml:space="preserve"> and LCS. </w:t>
      </w:r>
      <w:proofErr w:type="gramStart"/>
      <w:r>
        <w:t>The other fixed</w:t>
      </w:r>
      <w:r w:rsidR="000255D7">
        <w:t xml:space="preserve"> </w:t>
      </w:r>
      <w:r>
        <w:t xml:space="preserve">line services that require other switching equipment are </w:t>
      </w:r>
      <w:r w:rsidR="00F55710">
        <w:t xml:space="preserve">retail </w:t>
      </w:r>
      <w:r>
        <w:t>PSTN</w:t>
      </w:r>
      <w:r w:rsidR="00DB130C">
        <w:t xml:space="preserve"> </w:t>
      </w:r>
      <w:r w:rsidR="006C5C18">
        <w:t xml:space="preserve">voice services </w:t>
      </w:r>
      <w:r w:rsidR="00586572">
        <w:t xml:space="preserve">(includes local, national, international and fixed-to-mobile calls) </w:t>
      </w:r>
      <w:r w:rsidR="006C5C18">
        <w:t>and ISDN voice services</w:t>
      </w:r>
      <w:r w:rsidR="00586572">
        <w:t>.</w:t>
      </w:r>
      <w:proofErr w:type="gramEnd"/>
    </w:p>
    <w:p w:rsidR="00117E22" w:rsidRDefault="00117E22" w:rsidP="00117E22">
      <w:pPr>
        <w:pStyle w:val="HeadingLevel3"/>
        <w:numPr>
          <w:ilvl w:val="0"/>
          <w:numId w:val="0"/>
        </w:numPr>
      </w:pPr>
      <w:r>
        <w:t xml:space="preserve">Approach adopted for </w:t>
      </w:r>
      <w:r w:rsidR="00265B59">
        <w:t xml:space="preserve">the </w:t>
      </w:r>
      <w:r>
        <w:t>2011 FAD</w:t>
      </w:r>
    </w:p>
    <w:p w:rsidR="00225020" w:rsidRDefault="00225020" w:rsidP="00225020">
      <w:r>
        <w:t>In the 2011 FAD, the cost allocation factors for other switching equipment were based on the cost relativities from the Analysys model and the cost allocation factors for the local switching equipment and demand forecasts for LCS.</w:t>
      </w:r>
    </w:p>
    <w:p w:rsidR="004A0D60" w:rsidRDefault="004A0D60" w:rsidP="004A0D60">
      <w:r>
        <w:t>The initial cost allocation factor for PSTN OTA was based on the cost allocation factor from the Analysys model. It was adjusted down to ensure the ratio of cost allocation factors between</w:t>
      </w:r>
      <w:r w:rsidR="00BD01A4">
        <w:t xml:space="preserve"> local switching equipment and other</w:t>
      </w:r>
      <w:r>
        <w:t xml:space="preserve"> switching equipment was maintained following the over-provisioning adjustment made to the cost allocation factor for local switching equipment (see discussion of CO01 –</w:t>
      </w:r>
      <w:r w:rsidR="00041706">
        <w:t xml:space="preserve"> </w:t>
      </w:r>
      <w:r>
        <w:t xml:space="preserve">switching </w:t>
      </w:r>
      <w:r w:rsidR="00041706">
        <w:t>equipment (other)</w:t>
      </w:r>
      <w:r>
        <w:t>).</w:t>
      </w:r>
    </w:p>
    <w:p w:rsidR="00BD01A4" w:rsidRDefault="004A0D60" w:rsidP="004A0D60">
      <w:r>
        <w:t>The initial cost allocation factor for LCS was adopted from the cost allocation</w:t>
      </w:r>
      <w:r w:rsidR="00BD01A4">
        <w:t xml:space="preserve"> factor from the Analysys model.</w:t>
      </w:r>
    </w:p>
    <w:p w:rsidR="00117E22" w:rsidRDefault="00BD01A4" w:rsidP="004A0D60">
      <w:r w:rsidRPr="00BD01A4">
        <w:t xml:space="preserve">The cost allocation factors for PSTN OTA and LCS for each year </w:t>
      </w:r>
      <w:r w:rsidR="00265B59">
        <w:t>were</w:t>
      </w:r>
      <w:r w:rsidR="00265B59" w:rsidRPr="00BD01A4">
        <w:t xml:space="preserve"> </w:t>
      </w:r>
      <w:r w:rsidRPr="00BD01A4">
        <w:t xml:space="preserve">then based on the cost allocation factor from the previous year and adjusted by the forecast percentage change in the minutes of use for PSTN OTA and LCS </w:t>
      </w:r>
      <w:r w:rsidR="00265B59">
        <w:t>(</w:t>
      </w:r>
      <w:r w:rsidRPr="00BD01A4">
        <w:t>respectively</w:t>
      </w:r>
      <w:r w:rsidR="00265B59">
        <w:t>)</w:t>
      </w:r>
      <w:r w:rsidRPr="00BD01A4">
        <w:t xml:space="preserve"> for that year.</w:t>
      </w:r>
    </w:p>
    <w:p w:rsidR="00117E22" w:rsidRDefault="00117E22" w:rsidP="00117E22">
      <w:pPr>
        <w:pStyle w:val="HeadingLevel3"/>
        <w:numPr>
          <w:ilvl w:val="0"/>
          <w:numId w:val="0"/>
        </w:numPr>
      </w:pPr>
      <w:r>
        <w:t>Telstra’s proposed allocation method</w:t>
      </w:r>
    </w:p>
    <w:p w:rsidR="00225020" w:rsidRDefault="00225020" w:rsidP="00225020">
      <w:r>
        <w:t>Under Telstra’s revised model, the cost driver for other switching equipment is assumed to be</w:t>
      </w:r>
      <w:r w:rsidR="00265B59">
        <w:t xml:space="preserve"> </w:t>
      </w:r>
      <w:r>
        <w:t xml:space="preserve">call volumes (minutes of use). </w:t>
      </w:r>
    </w:p>
    <w:p w:rsidR="00117E22" w:rsidRDefault="00CD76D2" w:rsidP="00AB2E1F">
      <w:r w:rsidRPr="00CD76D2">
        <w:t xml:space="preserve">Cost allocation factors for </w:t>
      </w:r>
      <w:r w:rsidR="006F2DCF" w:rsidRPr="006F2DCF">
        <w:t>FOAS/FTAS</w:t>
      </w:r>
      <w:r w:rsidRPr="00CD76D2">
        <w:t xml:space="preserve"> and LCS are calculated as the ratio of forecast </w:t>
      </w:r>
      <w:r w:rsidR="006F2DCF" w:rsidRPr="006F2DCF">
        <w:t>FOAS/FTAS</w:t>
      </w:r>
      <w:r w:rsidRPr="00CD76D2">
        <w:t xml:space="preserve"> and </w:t>
      </w:r>
      <w:r w:rsidR="006F2DCF" w:rsidRPr="00CD76D2">
        <w:t>L</w:t>
      </w:r>
      <w:r w:rsidR="006F2DCF">
        <w:t>CS</w:t>
      </w:r>
      <w:r w:rsidR="006F2DCF" w:rsidRPr="00CD76D2">
        <w:t xml:space="preserve"> </w:t>
      </w:r>
      <w:r w:rsidRPr="00CD76D2">
        <w:t xml:space="preserve">minutes of use </w:t>
      </w:r>
      <w:r w:rsidR="00265B59">
        <w:t>(</w:t>
      </w:r>
      <w:r w:rsidRPr="00CD76D2">
        <w:t>respectively</w:t>
      </w:r>
      <w:r w:rsidR="00265B59">
        <w:t>)</w:t>
      </w:r>
      <w:r w:rsidRPr="00CD76D2">
        <w:t xml:space="preserve"> divided by total minutes of use for all services using </w:t>
      </w:r>
      <w:r w:rsidR="00586572">
        <w:t>other</w:t>
      </w:r>
      <w:r w:rsidRPr="00CD76D2">
        <w:t xml:space="preserve"> switching equipment (</w:t>
      </w:r>
      <w:r w:rsidR="006F2DCF" w:rsidRPr="006F2DCF">
        <w:t>FOAS/FTAS</w:t>
      </w:r>
      <w:r w:rsidRPr="00CD76D2">
        <w:t xml:space="preserve">, LCS, retail PSTN services and ISDN services). In this step, minutes of use are weighted using routing factors, which reflect the different </w:t>
      </w:r>
      <w:r w:rsidR="00265B59">
        <w:t xml:space="preserve">loads </w:t>
      </w:r>
      <w:r w:rsidRPr="00CD76D2">
        <w:t xml:space="preserve">that the various services </w:t>
      </w:r>
      <w:r w:rsidR="00265B59">
        <w:t>place on other</w:t>
      </w:r>
      <w:r w:rsidRPr="00CD76D2">
        <w:t xml:space="preserve"> switching equipment.</w:t>
      </w:r>
    </w:p>
    <w:p w:rsidR="00117E22" w:rsidRDefault="00117E22" w:rsidP="00117E22">
      <w:pPr>
        <w:pStyle w:val="HeadingLevel3"/>
        <w:numPr>
          <w:ilvl w:val="0"/>
          <w:numId w:val="0"/>
        </w:numPr>
      </w:pPr>
      <w:r>
        <w:lastRenderedPageBreak/>
        <w:t>Current versus Telstra’s proposed allocation factors</w:t>
      </w:r>
    </w:p>
    <w:p w:rsidR="00225020" w:rsidRPr="00225020" w:rsidRDefault="00225020" w:rsidP="00225020">
      <w:r w:rsidRPr="00225020">
        <w:t xml:space="preserve">Cost allocation factors for 2013-14 based on the 2011 FAD approach and Telstra’s proposed approach are provided in </w:t>
      </w:r>
      <w:r w:rsidR="009A55F8">
        <w:t>T</w:t>
      </w:r>
      <w:r w:rsidRPr="00225020">
        <w:t xml:space="preserve">able </w:t>
      </w:r>
      <w:r w:rsidR="009A55F8">
        <w:t>3.3.1</w:t>
      </w:r>
      <w:r w:rsidRPr="00225020">
        <w:t>.</w:t>
      </w:r>
    </w:p>
    <w:p w:rsidR="00117E22" w:rsidRDefault="00D55844" w:rsidP="00C60765">
      <w:pPr>
        <w:pStyle w:val="HeadingLevel8table"/>
        <w:ind w:left="1440" w:hanging="1440"/>
      </w:pPr>
      <w:r w:rsidRPr="00D55844">
        <w:t>Table 3.</w:t>
      </w:r>
      <w:r>
        <w:t>3</w:t>
      </w:r>
      <w:r w:rsidRPr="00D55844">
        <w:t>.</w:t>
      </w:r>
      <w:r>
        <w:t>1</w:t>
      </w:r>
      <w:r w:rsidRPr="00D55844">
        <w:tab/>
        <w:t>Comparison of 2011 FAD</w:t>
      </w:r>
      <w:r w:rsidR="00265B59">
        <w:t xml:space="preserve"> approach</w:t>
      </w:r>
      <w:r w:rsidRPr="00D55844">
        <w:t xml:space="preserve"> </w:t>
      </w:r>
      <w:proofErr w:type="spellStart"/>
      <w:r w:rsidRPr="00D55844">
        <w:t>vs</w:t>
      </w:r>
      <w:proofErr w:type="spellEnd"/>
      <w:r w:rsidRPr="00D55844">
        <w:t xml:space="preserve"> </w:t>
      </w:r>
      <w:r w:rsidR="00C60765">
        <w:t>Telstra’s</w:t>
      </w:r>
      <w:r w:rsidRPr="00D55844">
        <w:t xml:space="preserve"> proposed approach for CO0</w:t>
      </w:r>
      <w:r>
        <w:t>3</w:t>
      </w:r>
      <w:r w:rsidR="00C60765">
        <w:t xml:space="preserve"> switching equipment (other)</w:t>
      </w:r>
      <w:r w:rsidR="00265B59">
        <w:t xml:space="preserve"> for 2013-14</w:t>
      </w:r>
    </w:p>
    <w:tbl>
      <w:tblPr>
        <w:tblStyle w:val="TableGrid"/>
        <w:tblW w:w="0" w:type="auto"/>
        <w:tblLook w:val="04A0" w:firstRow="1" w:lastRow="0" w:firstColumn="1" w:lastColumn="0" w:noHBand="0" w:noVBand="1"/>
      </w:tblPr>
      <w:tblGrid>
        <w:gridCol w:w="1788"/>
        <w:gridCol w:w="1719"/>
        <w:gridCol w:w="1719"/>
        <w:gridCol w:w="1719"/>
        <w:gridCol w:w="1719"/>
      </w:tblGrid>
      <w:tr w:rsidR="00110374" w:rsidTr="00D00FE6">
        <w:trPr>
          <w:trHeight w:val="447"/>
        </w:trPr>
        <w:tc>
          <w:tcPr>
            <w:tcW w:w="1788" w:type="dxa"/>
          </w:tcPr>
          <w:p w:rsidR="00110374" w:rsidRDefault="00110374" w:rsidP="00350637">
            <w:pPr>
              <w:pStyle w:val="Table2Text"/>
            </w:pPr>
            <w:r>
              <w:t>Declared service</w:t>
            </w:r>
          </w:p>
        </w:tc>
        <w:tc>
          <w:tcPr>
            <w:tcW w:w="1719" w:type="dxa"/>
          </w:tcPr>
          <w:p w:rsidR="00110374" w:rsidRDefault="00110374" w:rsidP="00AC01B7">
            <w:pPr>
              <w:pStyle w:val="Table2Text"/>
            </w:pPr>
            <w:r>
              <w:t xml:space="preserve">2011 FAD </w:t>
            </w:r>
            <w:r w:rsidR="00265B59">
              <w:t xml:space="preserve">approach </w:t>
            </w:r>
            <w:r>
              <w:t>%</w:t>
            </w:r>
          </w:p>
        </w:tc>
        <w:tc>
          <w:tcPr>
            <w:tcW w:w="1719" w:type="dxa"/>
          </w:tcPr>
          <w:p w:rsidR="00110374" w:rsidRDefault="00110374" w:rsidP="00AC01B7">
            <w:pPr>
              <w:pStyle w:val="Table2Text"/>
            </w:pPr>
            <w:r>
              <w:t xml:space="preserve">Telstra proposed </w:t>
            </w:r>
            <w:r w:rsidR="00265B59">
              <w:t xml:space="preserve">approach </w:t>
            </w:r>
            <w:r>
              <w:t>%</w:t>
            </w:r>
          </w:p>
        </w:tc>
        <w:tc>
          <w:tcPr>
            <w:tcW w:w="1719" w:type="dxa"/>
          </w:tcPr>
          <w:p w:rsidR="00110374" w:rsidRDefault="00110374" w:rsidP="00AC01B7">
            <w:pPr>
              <w:pStyle w:val="Table2Text"/>
            </w:pPr>
            <w:r w:rsidRPr="00282709">
              <w:t>% point difference</w:t>
            </w:r>
          </w:p>
        </w:tc>
        <w:tc>
          <w:tcPr>
            <w:tcW w:w="1719" w:type="dxa"/>
          </w:tcPr>
          <w:p w:rsidR="00110374" w:rsidRDefault="00110374" w:rsidP="00BF3B6A">
            <w:pPr>
              <w:pStyle w:val="Table2Text"/>
            </w:pPr>
            <w:r w:rsidRPr="00282709">
              <w:t>% change</w:t>
            </w:r>
          </w:p>
        </w:tc>
      </w:tr>
      <w:tr w:rsidR="00110374" w:rsidTr="00D00FE6">
        <w:trPr>
          <w:trHeight w:val="447"/>
        </w:trPr>
        <w:tc>
          <w:tcPr>
            <w:tcW w:w="1788" w:type="dxa"/>
          </w:tcPr>
          <w:p w:rsidR="00110374" w:rsidRDefault="006F2DCF" w:rsidP="00350637">
            <w:pPr>
              <w:pStyle w:val="Table2Text"/>
            </w:pPr>
            <w:r w:rsidRPr="006F2DCF">
              <w:t>FOAS/FTAS</w:t>
            </w:r>
          </w:p>
        </w:tc>
        <w:tc>
          <w:tcPr>
            <w:tcW w:w="1719" w:type="dxa"/>
          </w:tcPr>
          <w:p w:rsidR="00110374" w:rsidRDefault="003028C8" w:rsidP="00AC01B7">
            <w:pPr>
              <w:pStyle w:val="Table2Text"/>
            </w:pPr>
            <w:r w:rsidRPr="008A178E">
              <w:t>[c-</w:t>
            </w:r>
            <w:proofErr w:type="spellStart"/>
            <w:r w:rsidRPr="008A178E">
              <w:t>i</w:t>
            </w:r>
            <w:proofErr w:type="spellEnd"/>
            <w:r w:rsidRPr="008A178E">
              <w:t>-c starts]</w:t>
            </w:r>
            <w:r w:rsidR="00552D6F">
              <w:rPr>
                <w:noProof/>
                <w:color w:val="000000"/>
                <w:highlight w:val="black"/>
              </w:rPr>
              <w:t>''''''''''''</w:t>
            </w:r>
          </w:p>
        </w:tc>
        <w:tc>
          <w:tcPr>
            <w:tcW w:w="1719" w:type="dxa"/>
          </w:tcPr>
          <w:p w:rsidR="00110374" w:rsidRPr="00552D6F" w:rsidRDefault="00552D6F" w:rsidP="00AC01B7">
            <w:pPr>
              <w:pStyle w:val="Table2Text"/>
              <w:rPr>
                <w:highlight w:val="black"/>
              </w:rPr>
            </w:pPr>
            <w:r>
              <w:rPr>
                <w:noProof/>
                <w:color w:val="000000"/>
                <w:highlight w:val="black"/>
              </w:rPr>
              <w:t>'''''''''''</w:t>
            </w:r>
          </w:p>
        </w:tc>
        <w:tc>
          <w:tcPr>
            <w:tcW w:w="1719" w:type="dxa"/>
          </w:tcPr>
          <w:p w:rsidR="00110374" w:rsidRPr="00552D6F" w:rsidRDefault="00552D6F" w:rsidP="00AC01B7">
            <w:pPr>
              <w:pStyle w:val="Table2Text"/>
              <w:rPr>
                <w:highlight w:val="black"/>
              </w:rPr>
            </w:pPr>
            <w:r>
              <w:rPr>
                <w:noProof/>
                <w:color w:val="000000"/>
                <w:highlight w:val="black"/>
              </w:rPr>
              <w:t>'''''''''''''''</w:t>
            </w:r>
          </w:p>
        </w:tc>
        <w:tc>
          <w:tcPr>
            <w:tcW w:w="1719" w:type="dxa"/>
          </w:tcPr>
          <w:p w:rsidR="00110374" w:rsidRPr="00552D6F" w:rsidRDefault="00552D6F" w:rsidP="00BF3B6A">
            <w:pPr>
              <w:pStyle w:val="Table2Text"/>
              <w:rPr>
                <w:highlight w:val="black"/>
              </w:rPr>
            </w:pPr>
            <w:r>
              <w:rPr>
                <w:noProof/>
                <w:color w:val="000000"/>
                <w:highlight w:val="black"/>
              </w:rPr>
              <w:t>'''''''''''''</w:t>
            </w:r>
          </w:p>
        </w:tc>
      </w:tr>
      <w:tr w:rsidR="00110374" w:rsidTr="00D00FE6">
        <w:trPr>
          <w:trHeight w:val="447"/>
        </w:trPr>
        <w:tc>
          <w:tcPr>
            <w:tcW w:w="1788" w:type="dxa"/>
          </w:tcPr>
          <w:p w:rsidR="00110374" w:rsidRDefault="00110374" w:rsidP="00350637">
            <w:pPr>
              <w:pStyle w:val="Table2Text"/>
            </w:pPr>
            <w:r>
              <w:t>LCS</w:t>
            </w:r>
          </w:p>
        </w:tc>
        <w:tc>
          <w:tcPr>
            <w:tcW w:w="1719" w:type="dxa"/>
          </w:tcPr>
          <w:p w:rsidR="00110374" w:rsidRPr="00552D6F" w:rsidRDefault="00552D6F" w:rsidP="00AC01B7">
            <w:pPr>
              <w:pStyle w:val="Table2Text"/>
              <w:rPr>
                <w:highlight w:val="black"/>
              </w:rPr>
            </w:pPr>
            <w:r>
              <w:rPr>
                <w:noProof/>
                <w:color w:val="000000"/>
                <w:highlight w:val="black"/>
              </w:rPr>
              <w:t>'''''''''</w:t>
            </w:r>
          </w:p>
        </w:tc>
        <w:tc>
          <w:tcPr>
            <w:tcW w:w="1719" w:type="dxa"/>
          </w:tcPr>
          <w:p w:rsidR="00110374" w:rsidRPr="00552D6F" w:rsidRDefault="00552D6F" w:rsidP="00AC01B7">
            <w:pPr>
              <w:pStyle w:val="Table2Text"/>
              <w:rPr>
                <w:highlight w:val="black"/>
              </w:rPr>
            </w:pPr>
            <w:r>
              <w:rPr>
                <w:noProof/>
                <w:color w:val="000000"/>
                <w:highlight w:val="black"/>
              </w:rPr>
              <w:t>''''''''</w:t>
            </w:r>
          </w:p>
        </w:tc>
        <w:tc>
          <w:tcPr>
            <w:tcW w:w="1719" w:type="dxa"/>
          </w:tcPr>
          <w:p w:rsidR="00110374" w:rsidRPr="00552D6F" w:rsidRDefault="00552D6F" w:rsidP="00AC01B7">
            <w:pPr>
              <w:pStyle w:val="Table2Text"/>
              <w:rPr>
                <w:highlight w:val="black"/>
              </w:rPr>
            </w:pPr>
            <w:r>
              <w:rPr>
                <w:noProof/>
                <w:color w:val="000000"/>
                <w:highlight w:val="black"/>
              </w:rPr>
              <w:t>'''''''''</w:t>
            </w:r>
          </w:p>
        </w:tc>
        <w:tc>
          <w:tcPr>
            <w:tcW w:w="1719" w:type="dxa"/>
          </w:tcPr>
          <w:p w:rsidR="00110374" w:rsidRPr="00822B1D" w:rsidRDefault="00552D6F" w:rsidP="00BF3B6A">
            <w:pPr>
              <w:pStyle w:val="Table2Text"/>
            </w:pPr>
            <w:r>
              <w:rPr>
                <w:noProof/>
                <w:color w:val="000000"/>
                <w:highlight w:val="black"/>
              </w:rPr>
              <w:t>''''''''''''</w:t>
            </w:r>
            <w:r w:rsidR="003028C8">
              <w:t>[c-</w:t>
            </w:r>
            <w:proofErr w:type="spellStart"/>
            <w:r w:rsidR="003028C8">
              <w:t>i</w:t>
            </w:r>
            <w:proofErr w:type="spellEnd"/>
            <w:r w:rsidR="003028C8">
              <w:t>-c ends]</w:t>
            </w:r>
          </w:p>
        </w:tc>
      </w:tr>
    </w:tbl>
    <w:p w:rsidR="00210CA6" w:rsidRDefault="00210CA6" w:rsidP="00117E22"/>
    <w:p w:rsidR="00117E22" w:rsidRDefault="009A55F8" w:rsidP="00117E22">
      <w:r>
        <w:t>Figure 3.3.2</w:t>
      </w:r>
      <w:r w:rsidR="00225020" w:rsidRPr="00225020">
        <w:t xml:space="preserve"> shows Telstra’s assumed share of use of other switching equipment by the various services for 2013-14.</w:t>
      </w:r>
    </w:p>
    <w:p w:rsidR="00C60765" w:rsidRDefault="005065CE" w:rsidP="008D78CC">
      <w:pPr>
        <w:pStyle w:val="HeadingLevel8table"/>
        <w:ind w:left="1440" w:hanging="1440"/>
      </w:pPr>
      <w:r w:rsidRPr="005065CE">
        <w:t>Figure 3.</w:t>
      </w:r>
      <w:r>
        <w:t>3</w:t>
      </w:r>
      <w:r w:rsidRPr="005065CE">
        <w:t>.2</w:t>
      </w:r>
      <w:r w:rsidRPr="005065CE">
        <w:tab/>
        <w:t>Telstra’s proposed allocation of CO0</w:t>
      </w:r>
      <w:r>
        <w:t>3</w:t>
      </w:r>
      <w:r w:rsidR="00C60765">
        <w:t xml:space="preserve"> switching equipment (other) </w:t>
      </w:r>
      <w:r w:rsidR="00265B59">
        <w:t>for 2013-14</w:t>
      </w:r>
    </w:p>
    <w:p w:rsidR="00A703F9" w:rsidRPr="005871C8" w:rsidRDefault="00A703F9" w:rsidP="008D78CC">
      <w:r w:rsidRPr="008D78CC">
        <w:rPr>
          <w:b/>
        </w:rPr>
        <w:t>[</w:t>
      </w:r>
      <w:proofErr w:type="gramStart"/>
      <w:r w:rsidRPr="008D78CC">
        <w:rPr>
          <w:b/>
        </w:rPr>
        <w:t>c-</w:t>
      </w:r>
      <w:proofErr w:type="spellStart"/>
      <w:r w:rsidRPr="008D78CC">
        <w:rPr>
          <w:b/>
        </w:rPr>
        <w:t>i</w:t>
      </w:r>
      <w:proofErr w:type="spellEnd"/>
      <w:r w:rsidRPr="008D78CC">
        <w:rPr>
          <w:b/>
        </w:rPr>
        <w:t>-c</w:t>
      </w:r>
      <w:proofErr w:type="gramEnd"/>
      <w:r w:rsidRPr="008D78CC">
        <w:rPr>
          <w:b/>
        </w:rPr>
        <w:t xml:space="preserve"> starts]</w:t>
      </w:r>
    </w:p>
    <w:p w:rsidR="00A703F9" w:rsidRPr="00552D6F" w:rsidRDefault="00552D6F" w:rsidP="00AB2E1F">
      <w:pPr>
        <w:pStyle w:val="HeadingLevel8table"/>
        <w:rPr>
          <w:b w:val="0"/>
        </w:rPr>
      </w:pPr>
      <w:r>
        <w:rPr>
          <w:b w:val="0"/>
          <w:noProof/>
          <w:lang w:eastAsia="en-AU"/>
        </w:rPr>
        <w:drawing>
          <wp:inline distT="0" distB="0" distL="0" distR="0">
            <wp:extent cx="3609340" cy="252984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09340" cy="2529840"/>
                    </a:xfrm>
                    <a:prstGeom prst="rect">
                      <a:avLst/>
                    </a:prstGeom>
                  </pic:spPr>
                </pic:pic>
              </a:graphicData>
            </a:graphic>
          </wp:inline>
        </w:drawing>
      </w:r>
    </w:p>
    <w:p w:rsidR="00225020" w:rsidRDefault="003028C8" w:rsidP="00AB2E1F">
      <w:pPr>
        <w:pStyle w:val="HeadingLevel8table"/>
      </w:pPr>
      <w:r w:rsidRPr="003028C8">
        <w:t>[</w:t>
      </w:r>
      <w:proofErr w:type="gramStart"/>
      <w:r w:rsidRPr="003028C8">
        <w:t>c-</w:t>
      </w:r>
      <w:proofErr w:type="spellStart"/>
      <w:r w:rsidRPr="003028C8">
        <w:t>i</w:t>
      </w:r>
      <w:proofErr w:type="spellEnd"/>
      <w:r w:rsidRPr="003028C8">
        <w:t>-c</w:t>
      </w:r>
      <w:proofErr w:type="gramEnd"/>
      <w:r w:rsidRPr="003028C8">
        <w:t xml:space="preserve"> ends]</w:t>
      </w:r>
    </w:p>
    <w:p w:rsidR="00225020" w:rsidRPr="00225020" w:rsidRDefault="00225020" w:rsidP="00A33551"/>
    <w:p w:rsidR="0004761D" w:rsidRDefault="0004761D">
      <w:pPr>
        <w:spacing w:after="200" w:line="276" w:lineRule="auto"/>
        <w:rPr>
          <w:rFonts w:eastAsiaTheme="majorEastAsia" w:cstheme="majorBidi"/>
          <w:b/>
          <w:color w:val="002060"/>
          <w:sz w:val="32"/>
          <w:szCs w:val="28"/>
        </w:rPr>
      </w:pPr>
      <w:r>
        <w:br w:type="page"/>
      </w:r>
    </w:p>
    <w:p w:rsidR="00791D3C" w:rsidRDefault="00791D3C" w:rsidP="00791D3C">
      <w:pPr>
        <w:pStyle w:val="HeadingLevel2"/>
      </w:pPr>
      <w:bookmarkStart w:id="24" w:name="_Toc393375576"/>
      <w:r>
        <w:lastRenderedPageBreak/>
        <w:t>CO04 i</w:t>
      </w:r>
      <w:r w:rsidRPr="00791D3C">
        <w:t>nter-exchange cable</w:t>
      </w:r>
      <w:r w:rsidR="00502F0F">
        <w:t>s</w:t>
      </w:r>
      <w:bookmarkEnd w:id="24"/>
    </w:p>
    <w:p w:rsidR="00117E22" w:rsidRDefault="00117E22" w:rsidP="00117E22">
      <w:pPr>
        <w:pStyle w:val="HeadingLevel3"/>
        <w:numPr>
          <w:ilvl w:val="0"/>
          <w:numId w:val="0"/>
        </w:numPr>
      </w:pPr>
      <w:r>
        <w:t>Asset description</w:t>
      </w:r>
    </w:p>
    <w:p w:rsidR="00117E22" w:rsidRDefault="000205FB" w:rsidP="00117E22">
      <w:r w:rsidRPr="000205FB">
        <w:t xml:space="preserve">Inter-exchange cables are the fibre optic cables that connect Telstra’s exchange buildings and are used to transmit data (including voice signals) throughout the network. This asset class also includes optical fibre cables that connect </w:t>
      </w:r>
      <w:r w:rsidR="00DB130C">
        <w:t xml:space="preserve">voice and broadband </w:t>
      </w:r>
      <w:r w:rsidRPr="000205FB">
        <w:t>exchange based equipment</w:t>
      </w:r>
      <w:r w:rsidR="00DB130C">
        <w:t xml:space="preserve"> (such as large pair gains systems and CAN based DSL</w:t>
      </w:r>
      <w:r w:rsidR="00C138A3">
        <w:t>A</w:t>
      </w:r>
      <w:r w:rsidR="00DB130C">
        <w:t>M)</w:t>
      </w:r>
      <w:r w:rsidRPr="000205FB">
        <w:t xml:space="preserve"> to the local exchange.</w:t>
      </w:r>
    </w:p>
    <w:p w:rsidR="001B4C98" w:rsidRDefault="001B4C98" w:rsidP="001B4C98">
      <w:pPr>
        <w:pStyle w:val="HeadingLevel3"/>
        <w:numPr>
          <w:ilvl w:val="0"/>
          <w:numId w:val="0"/>
        </w:numPr>
      </w:pPr>
      <w:r>
        <w:t xml:space="preserve">Key points </w:t>
      </w:r>
    </w:p>
    <w:p w:rsidR="003724A7" w:rsidRPr="00A93872" w:rsidRDefault="003724A7" w:rsidP="003724A7">
      <w:pPr>
        <w:pStyle w:val="Bulleta"/>
      </w:pPr>
      <w:r>
        <w:t>Inter-exchange cables contribute a material proportion towards the total fixed</w:t>
      </w:r>
      <w:r w:rsidR="000255D7">
        <w:t xml:space="preserve"> </w:t>
      </w:r>
      <w:r>
        <w:t>line revenue requirement (</w:t>
      </w:r>
      <w:r>
        <w:rPr>
          <w:b/>
        </w:rPr>
        <w:t>[c-</w:t>
      </w:r>
      <w:proofErr w:type="spellStart"/>
      <w:r>
        <w:rPr>
          <w:b/>
        </w:rPr>
        <w:t>i</w:t>
      </w:r>
      <w:proofErr w:type="spellEnd"/>
      <w:r>
        <w:rPr>
          <w:b/>
        </w:rPr>
        <w:t>-c starts]</w:t>
      </w:r>
      <w:r w:rsidR="00552D6F">
        <w:rPr>
          <w:noProof/>
          <w:color w:val="000000"/>
          <w:highlight w:val="black"/>
        </w:rPr>
        <w:t>''''''''</w:t>
      </w:r>
      <w:r>
        <w:rPr>
          <w:b/>
        </w:rPr>
        <w:t>[c-</w:t>
      </w:r>
      <w:proofErr w:type="spellStart"/>
      <w:r>
        <w:rPr>
          <w:b/>
        </w:rPr>
        <w:t>i</w:t>
      </w:r>
      <w:proofErr w:type="spellEnd"/>
      <w:r>
        <w:rPr>
          <w:b/>
        </w:rPr>
        <w:t>-c ends]</w:t>
      </w:r>
      <w:r>
        <w:t xml:space="preserve"> per cent</w:t>
      </w:r>
      <w:r w:rsidRPr="00A93872">
        <w:t xml:space="preserve"> in 2013-14</w:t>
      </w:r>
      <w:r>
        <w:t>).</w:t>
      </w:r>
    </w:p>
    <w:p w:rsidR="001B4C98" w:rsidRDefault="001B4C98" w:rsidP="001B4C98">
      <w:pPr>
        <w:pStyle w:val="Bulleta"/>
      </w:pPr>
      <w:r w:rsidRPr="00111A0D">
        <w:t>Telstra has developed revised routing factors for a range of core asset classes (all switching equipment assets, inter-exchange cables and transmission assets) based on ‘call dispersion’ data. These revised routing factors replace those contained in the Analysys model, which where implicitly reflected in the cost allocation factors for the 2011 FADs.</w:t>
      </w:r>
    </w:p>
    <w:p w:rsidR="001B4C98" w:rsidRDefault="001B4C98" w:rsidP="001B4C98">
      <w:pPr>
        <w:pStyle w:val="Bulleta"/>
      </w:pPr>
      <w:r w:rsidRPr="00A93872">
        <w:t xml:space="preserve">Telstra’s proposed methodology for </w:t>
      </w:r>
      <w:r>
        <w:t>inter-exchange cables</w:t>
      </w:r>
      <w:r w:rsidRPr="00A93872">
        <w:t xml:space="preserve"> incorporates the concept of </w:t>
      </w:r>
      <w:r>
        <w:t xml:space="preserve">fibre </w:t>
      </w:r>
      <w:r w:rsidR="00265B59">
        <w:t>kilometres</w:t>
      </w:r>
      <w:r>
        <w:t xml:space="preserve"> </w:t>
      </w:r>
      <w:r w:rsidRPr="00A93872">
        <w:t xml:space="preserve">into the calculation of the cost allocation factor. </w:t>
      </w:r>
      <w:r>
        <w:t xml:space="preserve">For example, a 3km length </w:t>
      </w:r>
      <w:r w:rsidR="00E313E8">
        <w:t xml:space="preserve">of </w:t>
      </w:r>
      <w:r>
        <w:t>cable containing two fibre</w:t>
      </w:r>
      <w:r w:rsidR="00E313E8">
        <w:t>s</w:t>
      </w:r>
      <w:r>
        <w:t xml:space="preserve"> is considered to </w:t>
      </w:r>
      <w:r w:rsidR="00E313E8">
        <w:t xml:space="preserve">represent </w:t>
      </w:r>
      <w:r>
        <w:t>6 fibre km. The length of the optical fib</w:t>
      </w:r>
      <w:r w:rsidR="00E313E8">
        <w:t>re</w:t>
      </w:r>
      <w:r>
        <w:t xml:space="preserve"> has been </w:t>
      </w:r>
      <w:r w:rsidRPr="00A93872">
        <w:t>id</w:t>
      </w:r>
      <w:r>
        <w:t xml:space="preserve">entified as a key cost driver </w:t>
      </w:r>
      <w:r w:rsidR="00E313E8">
        <w:t>of inter-exchange cables</w:t>
      </w:r>
      <w:r w:rsidRPr="00A93872">
        <w:t>.</w:t>
      </w:r>
    </w:p>
    <w:p w:rsidR="001B4C98" w:rsidRDefault="001B4C98" w:rsidP="001B4C98">
      <w:pPr>
        <w:pStyle w:val="Bulleta"/>
      </w:pPr>
      <w:r w:rsidRPr="009E3666">
        <w:t xml:space="preserve">Telstra’s methodology </w:t>
      </w:r>
      <w:r w:rsidR="00E313E8">
        <w:t>for this asset class makes significant use of information from Telstra’s internal infrastructure databases. This information is used to identify different streams of traffic on inter-exchange cables, including those that relate to declared services. The information from these databases represent how inter-exchange fibre is currently used and current traffic volumes (as opposed to future expected use or volumes).</w:t>
      </w:r>
    </w:p>
    <w:p w:rsidR="00117E22" w:rsidRDefault="00117E22" w:rsidP="00117E22">
      <w:pPr>
        <w:pStyle w:val="HeadingLevel3"/>
        <w:numPr>
          <w:ilvl w:val="0"/>
          <w:numId w:val="0"/>
        </w:numPr>
      </w:pPr>
      <w:r>
        <w:t xml:space="preserve">Services using this asset class </w:t>
      </w:r>
    </w:p>
    <w:p w:rsidR="00117E22" w:rsidRDefault="000205FB" w:rsidP="00117E22">
      <w:r w:rsidRPr="000205FB">
        <w:t xml:space="preserve">The inter-exchange cables assets are used to provide a range of declared and non-declared fixed </w:t>
      </w:r>
      <w:r w:rsidR="00502F0F">
        <w:t xml:space="preserve">line </w:t>
      </w:r>
      <w:r w:rsidRPr="000205FB">
        <w:t xml:space="preserve">services as well as a number of other </w:t>
      </w:r>
      <w:r w:rsidR="00E62FAF">
        <w:t xml:space="preserve">non-fixed-line </w:t>
      </w:r>
      <w:r w:rsidRPr="000205FB">
        <w:t>services</w:t>
      </w:r>
      <w:r w:rsidR="00502F0F">
        <w:t xml:space="preserve"> (including mobile and non-ADSL data)</w:t>
      </w:r>
      <w:r w:rsidRPr="000205FB">
        <w:t xml:space="preserve">. </w:t>
      </w:r>
      <w:r w:rsidR="00E62FAF">
        <w:t>I</w:t>
      </w:r>
      <w:r w:rsidR="00E62FAF" w:rsidRPr="000205FB">
        <w:t>nter-exchange cable</w:t>
      </w:r>
      <w:r w:rsidR="00E62FAF">
        <w:t>s</w:t>
      </w:r>
      <w:r w:rsidR="00E62FAF" w:rsidRPr="000205FB">
        <w:t xml:space="preserve"> also support and carry</w:t>
      </w:r>
      <w:r w:rsidRPr="000205FB">
        <w:t xml:space="preserve"> service data through transmission systems, which is </w:t>
      </w:r>
      <w:r w:rsidR="00E62FAF">
        <w:t xml:space="preserve">described </w:t>
      </w:r>
      <w:r w:rsidRPr="000205FB">
        <w:t>in the next asset class</w:t>
      </w:r>
      <w:r w:rsidR="00E62FAF">
        <w:t xml:space="preserve"> (CO05 transmission equipment).</w:t>
      </w:r>
    </w:p>
    <w:p w:rsidR="00281ADF" w:rsidRDefault="000205FB" w:rsidP="00117E22">
      <w:r w:rsidRPr="000205FB">
        <w:t>The declared services</w:t>
      </w:r>
      <w:r w:rsidR="00265B59">
        <w:t xml:space="preserve"> which use </w:t>
      </w:r>
      <w:r w:rsidRPr="000205FB">
        <w:t xml:space="preserve">this asset class </w:t>
      </w:r>
      <w:r w:rsidR="00E62FAF">
        <w:t>are</w:t>
      </w:r>
      <w:r w:rsidRPr="000205FB">
        <w:t xml:space="preserve"> LCS, </w:t>
      </w:r>
      <w:r w:rsidR="00AC3B0D" w:rsidRPr="00AC3B0D">
        <w:t>FOAS and FTAS (formally known as PSTN OA and PSTN TA or collectively as PSTN OTA)</w:t>
      </w:r>
      <w:r w:rsidR="00E62FAF">
        <w:t xml:space="preserve"> </w:t>
      </w:r>
      <w:r w:rsidRPr="000205FB">
        <w:t>and wholesale ADSL</w:t>
      </w:r>
      <w:r w:rsidR="00502F0F">
        <w:t>.</w:t>
      </w:r>
      <w:r w:rsidRPr="000205FB">
        <w:t xml:space="preserve"> </w:t>
      </w:r>
      <w:r w:rsidR="00502F0F">
        <w:t>N</w:t>
      </w:r>
      <w:r w:rsidRPr="000205FB">
        <w:t xml:space="preserve">on-declared services </w:t>
      </w:r>
      <w:r w:rsidR="00502F0F">
        <w:t>using inter-exchange cables are</w:t>
      </w:r>
      <w:r w:rsidR="00502F0F" w:rsidRPr="000205FB">
        <w:t xml:space="preserve"> </w:t>
      </w:r>
      <w:r w:rsidR="001F4306">
        <w:t>retail</w:t>
      </w:r>
      <w:r w:rsidR="00E62FAF">
        <w:t xml:space="preserve"> PSTN voice services (includes</w:t>
      </w:r>
      <w:r w:rsidR="001F4306">
        <w:t xml:space="preserve"> </w:t>
      </w:r>
      <w:r w:rsidR="00E62FAF">
        <w:t xml:space="preserve">(includes local, national, international and fixed-to-mobile calls) </w:t>
      </w:r>
      <w:r w:rsidR="0060482A" w:rsidRPr="000205FB">
        <w:t>IS</w:t>
      </w:r>
      <w:r w:rsidR="0060482A">
        <w:t>DN</w:t>
      </w:r>
      <w:r w:rsidR="00E62FAF">
        <w:t xml:space="preserve"> voice services</w:t>
      </w:r>
      <w:r w:rsidRPr="000205FB">
        <w:t xml:space="preserve"> </w:t>
      </w:r>
      <w:r w:rsidR="00096290">
        <w:t xml:space="preserve">and </w:t>
      </w:r>
      <w:r w:rsidR="001F4306">
        <w:t xml:space="preserve">retail </w:t>
      </w:r>
      <w:r w:rsidRPr="000205FB">
        <w:t xml:space="preserve">ADSL </w:t>
      </w:r>
      <w:r w:rsidR="001F4306">
        <w:t>services</w:t>
      </w:r>
      <w:r w:rsidRPr="000205FB">
        <w:t>.</w:t>
      </w:r>
    </w:p>
    <w:p w:rsidR="00117E22" w:rsidRDefault="00117E22" w:rsidP="00117E22">
      <w:pPr>
        <w:pStyle w:val="HeadingLevel3"/>
        <w:numPr>
          <w:ilvl w:val="0"/>
          <w:numId w:val="0"/>
        </w:numPr>
      </w:pPr>
      <w:r>
        <w:t xml:space="preserve">Approach adopted for </w:t>
      </w:r>
      <w:r w:rsidR="00265B59">
        <w:t xml:space="preserve">the </w:t>
      </w:r>
      <w:r>
        <w:t>2011</w:t>
      </w:r>
      <w:r w:rsidR="009B76DF">
        <w:t xml:space="preserve"> and 2013 </w:t>
      </w:r>
      <w:r>
        <w:t>FAD</w:t>
      </w:r>
      <w:r w:rsidR="009B76DF">
        <w:t>s</w:t>
      </w:r>
    </w:p>
    <w:p w:rsidR="000205FB" w:rsidRDefault="000205FB" w:rsidP="000205FB">
      <w:r>
        <w:t>In the 2011</w:t>
      </w:r>
      <w:r w:rsidR="009B76DF">
        <w:t xml:space="preserve"> and 2013 </w:t>
      </w:r>
      <w:r>
        <w:t>FAD</w:t>
      </w:r>
      <w:r w:rsidR="000635FF">
        <w:t>s</w:t>
      </w:r>
      <w:r>
        <w:t xml:space="preserve">, the </w:t>
      </w:r>
      <w:r w:rsidR="00FF6190">
        <w:t xml:space="preserve">initial </w:t>
      </w:r>
      <w:r w:rsidR="00747338">
        <w:t xml:space="preserve">cost allocation factors </w:t>
      </w:r>
      <w:r>
        <w:t>for inter-exchange cables for the PSTN</w:t>
      </w:r>
      <w:r w:rsidR="000635FF">
        <w:t xml:space="preserve"> OTA,</w:t>
      </w:r>
      <w:r>
        <w:t xml:space="preserve"> LCS </w:t>
      </w:r>
      <w:r w:rsidR="000635FF">
        <w:t xml:space="preserve">and wholesale ADSL </w:t>
      </w:r>
      <w:r>
        <w:t>services were based on the Analysys cost allocation factor for 2008-09.</w:t>
      </w:r>
    </w:p>
    <w:p w:rsidR="009B0F14" w:rsidRDefault="000205FB" w:rsidP="000205FB">
      <w:r>
        <w:t>The cost allocation factor</w:t>
      </w:r>
      <w:r w:rsidR="00747338">
        <w:t>s</w:t>
      </w:r>
      <w:r>
        <w:t xml:space="preserve"> </w:t>
      </w:r>
      <w:r w:rsidR="00747338">
        <w:t xml:space="preserve">in subsequent years </w:t>
      </w:r>
      <w:r w:rsidR="00265B59">
        <w:t xml:space="preserve">were </w:t>
      </w:r>
      <w:r>
        <w:t xml:space="preserve">based on the cost allocation factor from the previous year and adjusted by the forecast percentage change in </w:t>
      </w:r>
      <w:r w:rsidR="000635FF">
        <w:t xml:space="preserve">wholesale ADSL </w:t>
      </w:r>
      <w:r>
        <w:t xml:space="preserve">SIOs and forecast percentage change in volume of minutes for PSTN OTA </w:t>
      </w:r>
      <w:r w:rsidR="00281ADF">
        <w:t xml:space="preserve">and LCS </w:t>
      </w:r>
      <w:r>
        <w:t>services for that year.</w:t>
      </w:r>
    </w:p>
    <w:p w:rsidR="00117E22" w:rsidRDefault="00117E22" w:rsidP="00117E22">
      <w:pPr>
        <w:pStyle w:val="HeadingLevel3"/>
        <w:numPr>
          <w:ilvl w:val="0"/>
          <w:numId w:val="0"/>
        </w:numPr>
      </w:pPr>
      <w:r>
        <w:lastRenderedPageBreak/>
        <w:t>Telstra’s proposed allocation method</w:t>
      </w:r>
    </w:p>
    <w:p w:rsidR="00257E42" w:rsidRDefault="00257E42" w:rsidP="00257E42">
      <w:r>
        <w:t>Under Telstra’s revised model, the costs associated with inter-exchange cables are assumed to be driven by the length of fibre-optic cables (fibre kilometres), number of services (SIOs) and volumes (minutes of use).The primary cost driver in Telstra</w:t>
      </w:r>
      <w:r w:rsidR="00265B59">
        <w:t>’s</w:t>
      </w:r>
      <w:r>
        <w:t xml:space="preserve"> proposal is the length of optical fibre inter-exchange cables.</w:t>
      </w:r>
    </w:p>
    <w:p w:rsidR="00257E42" w:rsidRDefault="00BE6299" w:rsidP="00257E42">
      <w:r>
        <w:t>T</w:t>
      </w:r>
      <w:r w:rsidR="00257E42">
        <w:t>he proportion of total fibre km used by respective inter-exchange traffic streams (ADSL, PSTN voice, transmission</w:t>
      </w:r>
      <w:r w:rsidR="00443DE1">
        <w:t>,</w:t>
      </w:r>
      <w:r w:rsidR="00257E42">
        <w:t xml:space="preserve"> and </w:t>
      </w:r>
      <w:r w:rsidR="00281ADF">
        <w:t>mobiles and non-ADSL data</w:t>
      </w:r>
      <w:r w:rsidR="00257E42">
        <w:t xml:space="preserve">) is </w:t>
      </w:r>
      <w:r>
        <w:t>first obtained from a combination of Telstra’s internal databases.</w:t>
      </w:r>
    </w:p>
    <w:p w:rsidR="00257E42" w:rsidRDefault="00257E42" w:rsidP="00257E42">
      <w:r>
        <w:t>Further allocations are t</w:t>
      </w:r>
      <w:r w:rsidR="000E65A2">
        <w:t xml:space="preserve">hen made for ADSL (allocated between </w:t>
      </w:r>
      <w:r>
        <w:t>retail</w:t>
      </w:r>
      <w:r w:rsidR="000E65A2">
        <w:t xml:space="preserve"> and </w:t>
      </w:r>
      <w:r>
        <w:t xml:space="preserve">wholesale ADSL using SIO forecasts), PSTN (allocated </w:t>
      </w:r>
      <w:r w:rsidR="000E65A2">
        <w:t xml:space="preserve">between </w:t>
      </w:r>
      <w:r w:rsidR="00AC3B0D" w:rsidRPr="00AC3B0D">
        <w:t>FOAS/FTAS</w:t>
      </w:r>
      <w:r>
        <w:t xml:space="preserve">, LCS and retail </w:t>
      </w:r>
      <w:r w:rsidR="00281ADF">
        <w:t xml:space="preserve">PSTN </w:t>
      </w:r>
      <w:r w:rsidR="000E65A2">
        <w:t xml:space="preserve">voice </w:t>
      </w:r>
      <w:r>
        <w:t xml:space="preserve">services using minutes of use, which </w:t>
      </w:r>
      <w:r w:rsidR="00265B59">
        <w:t>are</w:t>
      </w:r>
      <w:r>
        <w:t xml:space="preserve"> weighted using routing factors to reflect that inter-exchange cables are used in different ways for </w:t>
      </w:r>
      <w:r w:rsidR="00443DE1">
        <w:t xml:space="preserve">PSTN </w:t>
      </w:r>
      <w:r>
        <w:t>voice services), and transmission (</w:t>
      </w:r>
      <w:r w:rsidR="000E65A2">
        <w:t xml:space="preserve">allocations are </w:t>
      </w:r>
      <w:r>
        <w:t>based on the allocation</w:t>
      </w:r>
      <w:r w:rsidR="00443DE1">
        <w:t xml:space="preserve"> factors for</w:t>
      </w:r>
      <w:r>
        <w:t xml:space="preserve"> </w:t>
      </w:r>
      <w:r w:rsidR="009E3666">
        <w:t xml:space="preserve">CO05: </w:t>
      </w:r>
      <w:r>
        <w:t xml:space="preserve">transmission </w:t>
      </w:r>
      <w:r w:rsidR="00281ADF">
        <w:t>equipment</w:t>
      </w:r>
      <w:r w:rsidR="000E65A2">
        <w:t>).</w:t>
      </w:r>
    </w:p>
    <w:p w:rsidR="00117E22" w:rsidRDefault="00117E22" w:rsidP="00117E22">
      <w:pPr>
        <w:pStyle w:val="HeadingLevel3"/>
        <w:numPr>
          <w:ilvl w:val="0"/>
          <w:numId w:val="0"/>
        </w:numPr>
      </w:pPr>
      <w:r>
        <w:t>Current versus Telstra’s proposed allocation factors</w:t>
      </w:r>
    </w:p>
    <w:p w:rsidR="00117E22" w:rsidRDefault="00257E42" w:rsidP="00117E22">
      <w:r w:rsidRPr="00257E42">
        <w:t>Cost allocation factors for 2013-14 based on the 2011</w:t>
      </w:r>
      <w:r w:rsidR="009B76DF">
        <w:t xml:space="preserve"> and </w:t>
      </w:r>
      <w:r w:rsidR="00265B59">
        <w:t>2013</w:t>
      </w:r>
      <w:r w:rsidRPr="00257E42">
        <w:t xml:space="preserve"> FAD approach and Telstra’s proposed approach are provided in </w:t>
      </w:r>
      <w:r w:rsidR="009A55F8">
        <w:t>T</w:t>
      </w:r>
      <w:r w:rsidRPr="00257E42">
        <w:t xml:space="preserve">able </w:t>
      </w:r>
      <w:r w:rsidR="009A55F8">
        <w:t>3.4.1</w:t>
      </w:r>
      <w:r w:rsidRPr="00257E42">
        <w:t>.</w:t>
      </w:r>
    </w:p>
    <w:p w:rsidR="00117E22" w:rsidRDefault="00D55844" w:rsidP="006219CA">
      <w:pPr>
        <w:pStyle w:val="HeadingLevel8table"/>
        <w:ind w:left="1440" w:hanging="1440"/>
      </w:pPr>
      <w:r w:rsidRPr="00D55844">
        <w:t>Table 3.</w:t>
      </w:r>
      <w:r>
        <w:t>4</w:t>
      </w:r>
      <w:r w:rsidRPr="00D55844">
        <w:t>.1</w:t>
      </w:r>
      <w:r w:rsidRPr="00D55844">
        <w:tab/>
        <w:t>Comparison of 2011</w:t>
      </w:r>
      <w:r w:rsidR="009B76DF">
        <w:t>/2013</w:t>
      </w:r>
      <w:r w:rsidRPr="00D55844">
        <w:t xml:space="preserve"> FAD</w:t>
      </w:r>
      <w:r w:rsidR="00265B59">
        <w:t xml:space="preserve"> approach</w:t>
      </w:r>
      <w:r w:rsidRPr="00D55844">
        <w:t xml:space="preserve"> </w:t>
      </w:r>
      <w:proofErr w:type="spellStart"/>
      <w:r w:rsidRPr="00D55844">
        <w:t>vs</w:t>
      </w:r>
      <w:proofErr w:type="spellEnd"/>
      <w:r w:rsidRPr="00D55844">
        <w:t xml:space="preserve"> </w:t>
      </w:r>
      <w:r w:rsidR="006219CA">
        <w:t xml:space="preserve">Telstra’s </w:t>
      </w:r>
      <w:r w:rsidRPr="00D55844">
        <w:t>proposed approach for CO0</w:t>
      </w:r>
      <w:r>
        <w:t>4</w:t>
      </w:r>
      <w:r w:rsidR="006219CA">
        <w:t xml:space="preserve"> inter-exchange cables</w:t>
      </w:r>
      <w:r w:rsidR="00265B59">
        <w:t xml:space="preserve"> for 2013-14</w:t>
      </w:r>
    </w:p>
    <w:tbl>
      <w:tblPr>
        <w:tblStyle w:val="TableGrid"/>
        <w:tblW w:w="0" w:type="auto"/>
        <w:tblLook w:val="04A0" w:firstRow="1" w:lastRow="0" w:firstColumn="1" w:lastColumn="0" w:noHBand="0" w:noVBand="1"/>
      </w:tblPr>
      <w:tblGrid>
        <w:gridCol w:w="1795"/>
        <w:gridCol w:w="1717"/>
        <w:gridCol w:w="1717"/>
        <w:gridCol w:w="1717"/>
        <w:gridCol w:w="1718"/>
      </w:tblGrid>
      <w:tr w:rsidR="00C138A3" w:rsidTr="00D00FE6">
        <w:trPr>
          <w:trHeight w:val="447"/>
        </w:trPr>
        <w:tc>
          <w:tcPr>
            <w:tcW w:w="1795" w:type="dxa"/>
          </w:tcPr>
          <w:p w:rsidR="00C138A3" w:rsidRDefault="00C138A3" w:rsidP="00350637">
            <w:pPr>
              <w:pStyle w:val="Table2Text"/>
            </w:pPr>
            <w:r>
              <w:t>Declared service</w:t>
            </w:r>
          </w:p>
        </w:tc>
        <w:tc>
          <w:tcPr>
            <w:tcW w:w="1717" w:type="dxa"/>
          </w:tcPr>
          <w:p w:rsidR="00C138A3" w:rsidRDefault="00C138A3" w:rsidP="00AC01B7">
            <w:pPr>
              <w:pStyle w:val="Table2Text"/>
            </w:pPr>
            <w:r>
              <w:t>2011/2013 FAD</w:t>
            </w:r>
            <w:r w:rsidR="00265B59">
              <w:t xml:space="preserve"> approach</w:t>
            </w:r>
            <w:r>
              <w:t xml:space="preserve"> %</w:t>
            </w:r>
          </w:p>
        </w:tc>
        <w:tc>
          <w:tcPr>
            <w:tcW w:w="1717" w:type="dxa"/>
          </w:tcPr>
          <w:p w:rsidR="00C138A3" w:rsidRDefault="00C138A3" w:rsidP="00AC01B7">
            <w:pPr>
              <w:pStyle w:val="Table2Text"/>
            </w:pPr>
            <w:r>
              <w:t xml:space="preserve">Telstra proposed </w:t>
            </w:r>
            <w:r w:rsidR="00265B59">
              <w:t xml:space="preserve">approach </w:t>
            </w:r>
            <w:r>
              <w:t>%</w:t>
            </w:r>
          </w:p>
        </w:tc>
        <w:tc>
          <w:tcPr>
            <w:tcW w:w="1717" w:type="dxa"/>
          </w:tcPr>
          <w:p w:rsidR="00C138A3" w:rsidRDefault="00C138A3" w:rsidP="00AC01B7">
            <w:pPr>
              <w:pStyle w:val="Table2Text"/>
            </w:pPr>
            <w:r w:rsidRPr="00E846B6">
              <w:t>% point difference</w:t>
            </w:r>
          </w:p>
        </w:tc>
        <w:tc>
          <w:tcPr>
            <w:tcW w:w="1718" w:type="dxa"/>
          </w:tcPr>
          <w:p w:rsidR="00C138A3" w:rsidRDefault="00C138A3" w:rsidP="00BF3B6A">
            <w:pPr>
              <w:pStyle w:val="Table2Text"/>
            </w:pPr>
            <w:r w:rsidRPr="00E846B6">
              <w:t>% change</w:t>
            </w:r>
          </w:p>
        </w:tc>
      </w:tr>
      <w:tr w:rsidR="00C138A3" w:rsidTr="00D00FE6">
        <w:trPr>
          <w:trHeight w:val="447"/>
        </w:trPr>
        <w:tc>
          <w:tcPr>
            <w:tcW w:w="1795" w:type="dxa"/>
          </w:tcPr>
          <w:p w:rsidR="00C138A3" w:rsidRDefault="00AC3B0D" w:rsidP="00350637">
            <w:pPr>
              <w:pStyle w:val="Table2Text"/>
            </w:pPr>
            <w:r w:rsidRPr="00AC3B0D">
              <w:t>FOAS/FTAS</w:t>
            </w:r>
          </w:p>
        </w:tc>
        <w:tc>
          <w:tcPr>
            <w:tcW w:w="1717" w:type="dxa"/>
          </w:tcPr>
          <w:p w:rsidR="00C138A3" w:rsidRDefault="003028C8" w:rsidP="00AC01B7">
            <w:pPr>
              <w:pStyle w:val="Table2Text"/>
            </w:pPr>
            <w:r w:rsidRPr="008A178E">
              <w:t>[c-</w:t>
            </w:r>
            <w:proofErr w:type="spellStart"/>
            <w:r w:rsidRPr="008A178E">
              <w:t>i</w:t>
            </w:r>
            <w:proofErr w:type="spellEnd"/>
            <w:r w:rsidRPr="008A178E">
              <w:t>-c starts]</w:t>
            </w:r>
            <w:r w:rsidR="00552D6F">
              <w:rPr>
                <w:noProof/>
                <w:color w:val="000000"/>
                <w:highlight w:val="black"/>
              </w:rPr>
              <w:t>'''''''''</w:t>
            </w:r>
          </w:p>
        </w:tc>
        <w:tc>
          <w:tcPr>
            <w:tcW w:w="1717" w:type="dxa"/>
          </w:tcPr>
          <w:p w:rsidR="00C138A3" w:rsidRPr="00552D6F" w:rsidRDefault="00552D6F" w:rsidP="00AC01B7">
            <w:pPr>
              <w:pStyle w:val="Table2Text"/>
              <w:rPr>
                <w:highlight w:val="black"/>
              </w:rPr>
            </w:pPr>
            <w:r>
              <w:rPr>
                <w:noProof/>
                <w:color w:val="000000"/>
                <w:highlight w:val="black"/>
              </w:rPr>
              <w:t>'''''''</w:t>
            </w:r>
          </w:p>
        </w:tc>
        <w:tc>
          <w:tcPr>
            <w:tcW w:w="1717" w:type="dxa"/>
          </w:tcPr>
          <w:p w:rsidR="00C138A3" w:rsidRPr="00552D6F" w:rsidRDefault="00552D6F" w:rsidP="00AC01B7">
            <w:pPr>
              <w:pStyle w:val="Table2Text"/>
              <w:rPr>
                <w:highlight w:val="black"/>
              </w:rPr>
            </w:pPr>
            <w:r>
              <w:rPr>
                <w:noProof/>
                <w:color w:val="000000"/>
                <w:highlight w:val="black"/>
              </w:rPr>
              <w:t>''''''''''''</w:t>
            </w:r>
          </w:p>
        </w:tc>
        <w:tc>
          <w:tcPr>
            <w:tcW w:w="1718" w:type="dxa"/>
          </w:tcPr>
          <w:p w:rsidR="00C138A3" w:rsidRPr="00552D6F" w:rsidRDefault="00552D6F" w:rsidP="00BF3B6A">
            <w:pPr>
              <w:pStyle w:val="Table2Text"/>
              <w:rPr>
                <w:highlight w:val="black"/>
              </w:rPr>
            </w:pPr>
            <w:r>
              <w:rPr>
                <w:noProof/>
                <w:color w:val="000000"/>
                <w:highlight w:val="black"/>
              </w:rPr>
              <w:t>'''''''''''''</w:t>
            </w:r>
          </w:p>
        </w:tc>
      </w:tr>
      <w:tr w:rsidR="00C138A3" w:rsidTr="00D00FE6">
        <w:trPr>
          <w:trHeight w:val="447"/>
        </w:trPr>
        <w:tc>
          <w:tcPr>
            <w:tcW w:w="1795" w:type="dxa"/>
          </w:tcPr>
          <w:p w:rsidR="00C138A3" w:rsidRDefault="00C138A3" w:rsidP="00350637">
            <w:pPr>
              <w:pStyle w:val="Table2Text"/>
            </w:pPr>
            <w:r w:rsidRPr="00697207">
              <w:t>LCS</w:t>
            </w:r>
          </w:p>
        </w:tc>
        <w:tc>
          <w:tcPr>
            <w:tcW w:w="1717" w:type="dxa"/>
          </w:tcPr>
          <w:p w:rsidR="00C138A3" w:rsidRPr="00552D6F" w:rsidRDefault="00552D6F" w:rsidP="00AC01B7">
            <w:pPr>
              <w:pStyle w:val="Table2Text"/>
              <w:rPr>
                <w:highlight w:val="black"/>
              </w:rPr>
            </w:pPr>
            <w:r>
              <w:rPr>
                <w:noProof/>
                <w:color w:val="000000"/>
                <w:highlight w:val="black"/>
              </w:rPr>
              <w:t>'''''''''</w:t>
            </w:r>
          </w:p>
        </w:tc>
        <w:tc>
          <w:tcPr>
            <w:tcW w:w="1717" w:type="dxa"/>
          </w:tcPr>
          <w:p w:rsidR="00C138A3" w:rsidRPr="00552D6F" w:rsidRDefault="00552D6F" w:rsidP="00AC01B7">
            <w:pPr>
              <w:pStyle w:val="Table2Text"/>
              <w:rPr>
                <w:highlight w:val="black"/>
              </w:rPr>
            </w:pPr>
            <w:r>
              <w:rPr>
                <w:noProof/>
                <w:color w:val="000000"/>
                <w:highlight w:val="black"/>
              </w:rPr>
              <w:t>'''''''</w:t>
            </w:r>
          </w:p>
        </w:tc>
        <w:tc>
          <w:tcPr>
            <w:tcW w:w="1717" w:type="dxa"/>
          </w:tcPr>
          <w:p w:rsidR="00C138A3" w:rsidRPr="00552D6F" w:rsidRDefault="00552D6F" w:rsidP="00AC01B7">
            <w:pPr>
              <w:pStyle w:val="Table2Text"/>
              <w:rPr>
                <w:highlight w:val="black"/>
              </w:rPr>
            </w:pPr>
            <w:r>
              <w:rPr>
                <w:noProof/>
                <w:color w:val="000000"/>
                <w:highlight w:val="black"/>
              </w:rPr>
              <w:t>''''''''''</w:t>
            </w:r>
          </w:p>
        </w:tc>
        <w:tc>
          <w:tcPr>
            <w:tcW w:w="1718" w:type="dxa"/>
          </w:tcPr>
          <w:p w:rsidR="00C138A3" w:rsidRPr="00552D6F" w:rsidRDefault="00552D6F" w:rsidP="00BF3B6A">
            <w:pPr>
              <w:pStyle w:val="Table2Text"/>
              <w:rPr>
                <w:highlight w:val="black"/>
              </w:rPr>
            </w:pPr>
            <w:r>
              <w:rPr>
                <w:noProof/>
                <w:color w:val="000000"/>
                <w:highlight w:val="black"/>
              </w:rPr>
              <w:t>''''''''''''''</w:t>
            </w:r>
          </w:p>
        </w:tc>
      </w:tr>
      <w:tr w:rsidR="00C138A3" w:rsidTr="00D00FE6">
        <w:trPr>
          <w:trHeight w:val="447"/>
        </w:trPr>
        <w:tc>
          <w:tcPr>
            <w:tcW w:w="1795" w:type="dxa"/>
          </w:tcPr>
          <w:p w:rsidR="00C138A3" w:rsidRDefault="00C138A3" w:rsidP="00350637">
            <w:pPr>
              <w:pStyle w:val="Table2Text"/>
            </w:pPr>
            <w:r w:rsidRPr="00697207">
              <w:t xml:space="preserve">Wholesale ADSL  </w:t>
            </w:r>
          </w:p>
        </w:tc>
        <w:tc>
          <w:tcPr>
            <w:tcW w:w="1717" w:type="dxa"/>
          </w:tcPr>
          <w:p w:rsidR="00C138A3" w:rsidRPr="00552D6F" w:rsidRDefault="00552D6F" w:rsidP="00AC01B7">
            <w:pPr>
              <w:pStyle w:val="Table2Text"/>
              <w:rPr>
                <w:highlight w:val="black"/>
              </w:rPr>
            </w:pPr>
            <w:r>
              <w:rPr>
                <w:noProof/>
                <w:color w:val="000000"/>
                <w:highlight w:val="black"/>
              </w:rPr>
              <w:t>'''''''''</w:t>
            </w:r>
          </w:p>
        </w:tc>
        <w:tc>
          <w:tcPr>
            <w:tcW w:w="1717" w:type="dxa"/>
          </w:tcPr>
          <w:p w:rsidR="00C138A3" w:rsidRPr="00552D6F" w:rsidRDefault="00552D6F" w:rsidP="00AC01B7">
            <w:pPr>
              <w:pStyle w:val="Table2Text"/>
              <w:rPr>
                <w:highlight w:val="black"/>
              </w:rPr>
            </w:pPr>
            <w:r>
              <w:rPr>
                <w:noProof/>
                <w:color w:val="000000"/>
                <w:highlight w:val="black"/>
              </w:rPr>
              <w:t xml:space="preserve">''''''''' </w:t>
            </w:r>
          </w:p>
        </w:tc>
        <w:tc>
          <w:tcPr>
            <w:tcW w:w="1717" w:type="dxa"/>
          </w:tcPr>
          <w:p w:rsidR="00C138A3" w:rsidRPr="00552D6F" w:rsidRDefault="00552D6F" w:rsidP="00AC01B7">
            <w:pPr>
              <w:pStyle w:val="Table2Text"/>
              <w:rPr>
                <w:highlight w:val="black"/>
              </w:rPr>
            </w:pPr>
            <w:r>
              <w:rPr>
                <w:noProof/>
                <w:color w:val="000000"/>
                <w:highlight w:val="black"/>
              </w:rPr>
              <w:t>'''''''''</w:t>
            </w:r>
          </w:p>
        </w:tc>
        <w:tc>
          <w:tcPr>
            <w:tcW w:w="1718" w:type="dxa"/>
          </w:tcPr>
          <w:p w:rsidR="00C138A3" w:rsidRDefault="00552D6F" w:rsidP="00BF3B6A">
            <w:pPr>
              <w:pStyle w:val="Table2Text"/>
            </w:pPr>
            <w:r>
              <w:rPr>
                <w:noProof/>
                <w:color w:val="000000"/>
                <w:highlight w:val="black"/>
              </w:rPr>
              <w:t>''''''''''''</w:t>
            </w:r>
            <w:r w:rsidR="003028C8">
              <w:t>[c-</w:t>
            </w:r>
            <w:proofErr w:type="spellStart"/>
            <w:r w:rsidR="003028C8">
              <w:t>i</w:t>
            </w:r>
            <w:proofErr w:type="spellEnd"/>
            <w:r w:rsidR="003028C8">
              <w:t>-c ends]</w:t>
            </w:r>
          </w:p>
        </w:tc>
      </w:tr>
    </w:tbl>
    <w:p w:rsidR="00117E22" w:rsidRDefault="00783EDE" w:rsidP="00783EDE">
      <w:pPr>
        <w:tabs>
          <w:tab w:val="left" w:pos="4935"/>
        </w:tabs>
      </w:pPr>
      <w:r>
        <w:tab/>
      </w:r>
    </w:p>
    <w:p w:rsidR="00F33CB7" w:rsidRDefault="009A55F8" w:rsidP="00117E22">
      <w:r>
        <w:t>Figure 3.4.2</w:t>
      </w:r>
      <w:r w:rsidR="00F33CB7" w:rsidRPr="00225020">
        <w:t xml:space="preserve"> shows Telstra’s assumed share of use of </w:t>
      </w:r>
      <w:r w:rsidR="00F33CB7">
        <w:t>i</w:t>
      </w:r>
      <w:r w:rsidR="00F33CB7" w:rsidRPr="000205FB">
        <w:t>nter-exchange cable</w:t>
      </w:r>
      <w:r w:rsidR="00F33CB7">
        <w:t xml:space="preserve"> </w:t>
      </w:r>
      <w:r w:rsidR="00F33CB7" w:rsidRPr="00225020">
        <w:t>by the various services for 2013-14.</w:t>
      </w:r>
    </w:p>
    <w:p w:rsidR="00C8422B" w:rsidRDefault="005065CE" w:rsidP="00AB2E1F">
      <w:pPr>
        <w:pStyle w:val="HeadingLevel8table"/>
      </w:pPr>
      <w:r w:rsidRPr="005065CE">
        <w:t>Figure 3.</w:t>
      </w:r>
      <w:r>
        <w:t>4</w:t>
      </w:r>
      <w:r w:rsidRPr="005065CE">
        <w:t>.2</w:t>
      </w:r>
      <w:r w:rsidRPr="005065CE">
        <w:tab/>
        <w:t>Telstra’s proposed allocation of CO0</w:t>
      </w:r>
      <w:r>
        <w:t>4</w:t>
      </w:r>
      <w:r w:rsidR="005F3269">
        <w:t xml:space="preserve"> inter-exchange cables</w:t>
      </w:r>
      <w:r w:rsidR="00265B59">
        <w:t xml:space="preserve"> for 2013-14</w:t>
      </w:r>
    </w:p>
    <w:p w:rsidR="00A703F9" w:rsidRPr="005871C8" w:rsidRDefault="00A703F9" w:rsidP="008D78CC">
      <w:r w:rsidRPr="008D78CC">
        <w:rPr>
          <w:b/>
        </w:rPr>
        <w:t>[</w:t>
      </w:r>
      <w:proofErr w:type="gramStart"/>
      <w:r w:rsidRPr="008D78CC">
        <w:rPr>
          <w:b/>
        </w:rPr>
        <w:t>c-</w:t>
      </w:r>
      <w:proofErr w:type="spellStart"/>
      <w:r w:rsidRPr="008D78CC">
        <w:rPr>
          <w:b/>
        </w:rPr>
        <w:t>i</w:t>
      </w:r>
      <w:proofErr w:type="spellEnd"/>
      <w:r w:rsidRPr="008D78CC">
        <w:rPr>
          <w:b/>
        </w:rPr>
        <w:t>-c</w:t>
      </w:r>
      <w:proofErr w:type="gramEnd"/>
      <w:r w:rsidRPr="008D78CC">
        <w:rPr>
          <w:b/>
        </w:rPr>
        <w:t xml:space="preserve"> starts]</w:t>
      </w:r>
    </w:p>
    <w:p w:rsidR="00A703F9" w:rsidRPr="00552D6F" w:rsidRDefault="00552D6F" w:rsidP="00AB2E1F">
      <w:pPr>
        <w:pStyle w:val="HeadingLevel8table"/>
        <w:rPr>
          <w:b w:val="0"/>
        </w:rPr>
      </w:pPr>
      <w:r>
        <w:rPr>
          <w:b w:val="0"/>
          <w:noProof/>
          <w:lang w:eastAsia="en-AU"/>
        </w:rPr>
        <w:lastRenderedPageBreak/>
        <w:drawing>
          <wp:inline distT="0" distB="0" distL="0" distR="0">
            <wp:extent cx="3609340" cy="253619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09340" cy="2536190"/>
                    </a:xfrm>
                    <a:prstGeom prst="rect">
                      <a:avLst/>
                    </a:prstGeom>
                  </pic:spPr>
                </pic:pic>
              </a:graphicData>
            </a:graphic>
          </wp:inline>
        </w:drawing>
      </w:r>
    </w:p>
    <w:p w:rsidR="00C3452E" w:rsidRDefault="003028C8" w:rsidP="00AB2E1F">
      <w:pPr>
        <w:pStyle w:val="HeadingLevel8table"/>
      </w:pPr>
      <w:r w:rsidRPr="003028C8">
        <w:t>[</w:t>
      </w:r>
      <w:proofErr w:type="gramStart"/>
      <w:r w:rsidRPr="003028C8">
        <w:t>c-</w:t>
      </w:r>
      <w:proofErr w:type="spellStart"/>
      <w:r w:rsidRPr="003028C8">
        <w:t>i</w:t>
      </w:r>
      <w:proofErr w:type="spellEnd"/>
      <w:r w:rsidRPr="003028C8">
        <w:t>-c</w:t>
      </w:r>
      <w:proofErr w:type="gramEnd"/>
      <w:r w:rsidRPr="003028C8">
        <w:t xml:space="preserve"> ends]</w:t>
      </w:r>
    </w:p>
    <w:p w:rsidR="00096290" w:rsidRPr="00096290" w:rsidRDefault="00C3452E" w:rsidP="00096290">
      <w:r>
        <w:t>“</w:t>
      </w:r>
      <w:r w:rsidR="00345E04">
        <w:t>N</w:t>
      </w:r>
      <w:r>
        <w:t>on-fixed</w:t>
      </w:r>
      <w:r w:rsidR="00345E04">
        <w:t>-</w:t>
      </w:r>
      <w:r>
        <w:t>line” includes mobile</w:t>
      </w:r>
      <w:r w:rsidR="00C8422B">
        <w:t xml:space="preserve">s </w:t>
      </w:r>
      <w:r>
        <w:t>and non-ADSL data.</w:t>
      </w:r>
    </w:p>
    <w:p w:rsidR="0004761D" w:rsidRPr="00216630" w:rsidRDefault="0004761D" w:rsidP="00AB2E1F">
      <w:pPr>
        <w:pStyle w:val="Bulleta"/>
        <w:numPr>
          <w:ilvl w:val="0"/>
          <w:numId w:val="0"/>
        </w:numPr>
        <w:ind w:left="720"/>
        <w:rPr>
          <w:rFonts w:eastAsiaTheme="majorEastAsia" w:cstheme="majorBidi"/>
          <w:color w:val="002060"/>
          <w:sz w:val="32"/>
          <w:szCs w:val="28"/>
        </w:rPr>
      </w:pPr>
      <w:r>
        <w:br w:type="page"/>
      </w:r>
    </w:p>
    <w:p w:rsidR="00791D3C" w:rsidRDefault="00791D3C" w:rsidP="00791D3C">
      <w:pPr>
        <w:pStyle w:val="HeadingLevel2"/>
      </w:pPr>
      <w:bookmarkStart w:id="25" w:name="_Toc393375577"/>
      <w:r>
        <w:lastRenderedPageBreak/>
        <w:t>CO05 t</w:t>
      </w:r>
      <w:r w:rsidRPr="00791D3C">
        <w:t>ransmission equipment</w:t>
      </w:r>
      <w:bookmarkEnd w:id="25"/>
    </w:p>
    <w:p w:rsidR="00117E22" w:rsidRDefault="00117E22" w:rsidP="00117E22">
      <w:pPr>
        <w:pStyle w:val="HeadingLevel3"/>
        <w:numPr>
          <w:ilvl w:val="0"/>
          <w:numId w:val="0"/>
        </w:numPr>
      </w:pPr>
      <w:r>
        <w:t>Asset description</w:t>
      </w:r>
    </w:p>
    <w:p w:rsidR="000A52D3" w:rsidRDefault="00615A79" w:rsidP="000A52D3">
      <w:r>
        <w:t>The transmission equipment a</w:t>
      </w:r>
      <w:r w:rsidRPr="00615A79">
        <w:t xml:space="preserve">sset </w:t>
      </w:r>
      <w:r>
        <w:t>c</w:t>
      </w:r>
      <w:r w:rsidRPr="00615A79">
        <w:t xml:space="preserve">lass contains a mix of Synchronous Digital Hierarchy (SDH) transmission equipment, </w:t>
      </w:r>
      <w:proofErr w:type="spellStart"/>
      <w:r w:rsidRPr="00615A79">
        <w:t>Plesiochronous</w:t>
      </w:r>
      <w:proofErr w:type="spellEnd"/>
      <w:r w:rsidRPr="00615A79">
        <w:t xml:space="preserve"> Digital Hierarchy (PDH) transmission equipment an</w:t>
      </w:r>
      <w:r w:rsidR="000A52D3">
        <w:t xml:space="preserve">d other transmission equipment. This transmission equipment is limited to electronic equipment (such as, switches, aggregation devices, synchronising devices and service ports) and does not include the optical fibre cable over which SDH and PDH transmission </w:t>
      </w:r>
      <w:proofErr w:type="gramStart"/>
      <w:r w:rsidR="000A52D3">
        <w:t>operat</w:t>
      </w:r>
      <w:r w:rsidR="00265B59">
        <w:t>e</w:t>
      </w:r>
      <w:r w:rsidR="00AA5158">
        <w:t>.</w:t>
      </w:r>
      <w:r w:rsidR="000A52D3">
        <w:t>;</w:t>
      </w:r>
      <w:proofErr w:type="gramEnd"/>
      <w:r w:rsidR="000A52D3">
        <w:t xml:space="preserve"> </w:t>
      </w:r>
      <w:r w:rsidR="00AA5158">
        <w:t>T</w:t>
      </w:r>
      <w:r w:rsidR="000A52D3">
        <w:t>hese cables are dealt with under the asset class for inter-exchange cable</w:t>
      </w:r>
      <w:r w:rsidR="00194DD0">
        <w:t>s</w:t>
      </w:r>
      <w:r w:rsidR="000A52D3">
        <w:t>.</w:t>
      </w:r>
    </w:p>
    <w:p w:rsidR="00CD7B82" w:rsidRDefault="00615A79" w:rsidP="00117E22">
      <w:r>
        <w:t xml:space="preserve">The </w:t>
      </w:r>
      <w:r w:rsidRPr="00615A79">
        <w:t>SDH and PDH equipment consists of multiplexers that aggregate multiple digital streams into a single larger stream and is used as one means of sending data throughout Telstra’s network. SDH transmission equipment is more modern and prevalent in Telstra’s network and is capable of aggregating and sending greater quantities of data more efficiently than PDH equipment.</w:t>
      </w:r>
      <w:r>
        <w:t xml:space="preserve"> </w:t>
      </w:r>
      <w:r w:rsidR="00F33CB7">
        <w:t>SDH is mainly used for ADSL services, while PDH is used predominantly for PSTN services</w:t>
      </w:r>
      <w:r w:rsidR="00194DD0">
        <w:t>.</w:t>
      </w:r>
    </w:p>
    <w:p w:rsidR="00CD7B82" w:rsidRDefault="00CD7B82" w:rsidP="00CD7B82">
      <w:pPr>
        <w:pStyle w:val="HeadingLevel3"/>
        <w:numPr>
          <w:ilvl w:val="0"/>
          <w:numId w:val="0"/>
        </w:numPr>
      </w:pPr>
      <w:r>
        <w:t xml:space="preserve">Key points </w:t>
      </w:r>
    </w:p>
    <w:p w:rsidR="00091318" w:rsidRPr="00A93872" w:rsidRDefault="00091318" w:rsidP="00091318">
      <w:pPr>
        <w:pStyle w:val="Bulleta"/>
      </w:pPr>
      <w:r>
        <w:t>Transmission equipment</w:t>
      </w:r>
      <w:r w:rsidRPr="00CF408B">
        <w:t xml:space="preserve"> </w:t>
      </w:r>
      <w:r>
        <w:t xml:space="preserve">contributes a </w:t>
      </w:r>
      <w:r w:rsidRPr="004C63CF">
        <w:t>significant</w:t>
      </w:r>
      <w:r>
        <w:t xml:space="preserve"> proportion towards the total fixed</w:t>
      </w:r>
      <w:r w:rsidR="000255D7">
        <w:t xml:space="preserve"> </w:t>
      </w:r>
      <w:r>
        <w:t>line revenue requirement (</w:t>
      </w:r>
      <w:r>
        <w:rPr>
          <w:b/>
        </w:rPr>
        <w:t>[c-</w:t>
      </w:r>
      <w:proofErr w:type="spellStart"/>
      <w:r>
        <w:rPr>
          <w:b/>
        </w:rPr>
        <w:t>i</w:t>
      </w:r>
      <w:proofErr w:type="spellEnd"/>
      <w:r>
        <w:rPr>
          <w:b/>
        </w:rPr>
        <w:t>-c starts]</w:t>
      </w:r>
      <w:r w:rsidR="00552D6F">
        <w:rPr>
          <w:noProof/>
          <w:color w:val="000000"/>
          <w:highlight w:val="black"/>
        </w:rPr>
        <w:t>'''''''''''</w:t>
      </w:r>
      <w:r>
        <w:rPr>
          <w:b/>
        </w:rPr>
        <w:t>[c-</w:t>
      </w:r>
      <w:proofErr w:type="spellStart"/>
      <w:r>
        <w:rPr>
          <w:b/>
        </w:rPr>
        <w:t>i</w:t>
      </w:r>
      <w:proofErr w:type="spellEnd"/>
      <w:r>
        <w:rPr>
          <w:b/>
        </w:rPr>
        <w:t>-c ends]</w:t>
      </w:r>
      <w:r w:rsidRPr="00A93872">
        <w:t xml:space="preserve"> </w:t>
      </w:r>
      <w:r>
        <w:t>per cent</w:t>
      </w:r>
      <w:r w:rsidRPr="00A93872">
        <w:t xml:space="preserve"> in 2013-14</w:t>
      </w:r>
      <w:r>
        <w:t>).</w:t>
      </w:r>
    </w:p>
    <w:p w:rsidR="00CD7B82" w:rsidRPr="00CF5CED" w:rsidRDefault="00CD7B82" w:rsidP="00CD7B82">
      <w:pPr>
        <w:pStyle w:val="Bulleta"/>
      </w:pPr>
      <w:r w:rsidRPr="00111A0D">
        <w:t>Telstra has developed revised routing factors for a range of core asset classes (all switching equipment assets, inter-exchange cables and transmission assets) based on ‘call dispersion’ data. These revised routing factors replace those contained in the Analysys model, which where implicitly reflected in the cost allocation factors for the 2011</w:t>
      </w:r>
      <w:r w:rsidR="002227F7">
        <w:t>/13</w:t>
      </w:r>
      <w:r w:rsidRPr="00111A0D">
        <w:t xml:space="preserve"> FADs.</w:t>
      </w:r>
    </w:p>
    <w:p w:rsidR="00091318" w:rsidRDefault="00091318" w:rsidP="00091318">
      <w:pPr>
        <w:pStyle w:val="Bulleta"/>
      </w:pPr>
      <w:r w:rsidRPr="009E3666">
        <w:t xml:space="preserve">Telstra’s methodology </w:t>
      </w:r>
      <w:r>
        <w:t>for this asset class makes significant use of information from Telstra’s internal infrastructure databases. This information is used to identify different types of transmission equipment and the various traffic streams that use transmission equipment, including those that relate to declared services. The information from these databases represent how transmission equipment is currently used and current traffic volumes (as opposed to future expected use or volumes).</w:t>
      </w:r>
    </w:p>
    <w:p w:rsidR="00117E22" w:rsidRDefault="00117E22" w:rsidP="00117E22">
      <w:pPr>
        <w:pStyle w:val="HeadingLevel3"/>
        <w:numPr>
          <w:ilvl w:val="0"/>
          <w:numId w:val="0"/>
        </w:numPr>
      </w:pPr>
      <w:r>
        <w:t xml:space="preserve">Services using this asset class </w:t>
      </w:r>
    </w:p>
    <w:p w:rsidR="00993C3F" w:rsidRDefault="00747AB9" w:rsidP="00117E22">
      <w:r>
        <w:t>There are a range of fixed</w:t>
      </w:r>
      <w:r w:rsidR="000255D7">
        <w:t xml:space="preserve"> </w:t>
      </w:r>
      <w:r>
        <w:t xml:space="preserve">line and other </w:t>
      </w:r>
      <w:r w:rsidR="00B8235D">
        <w:t xml:space="preserve">services that </w:t>
      </w:r>
      <w:r w:rsidR="00FD5BB8">
        <w:t xml:space="preserve">use </w:t>
      </w:r>
      <w:r w:rsidR="00351CBE">
        <w:t>transmission equipment</w:t>
      </w:r>
      <w:r>
        <w:t>. The declared fixed</w:t>
      </w:r>
      <w:r w:rsidR="000255D7">
        <w:t xml:space="preserve"> </w:t>
      </w:r>
      <w:r>
        <w:t xml:space="preserve">line services </w:t>
      </w:r>
      <w:r w:rsidR="00351CBE">
        <w:t xml:space="preserve">that use transmission equipment are </w:t>
      </w:r>
      <w:r w:rsidR="00B65020" w:rsidRPr="00B65020">
        <w:t>FOAS and FTAS (formally known as PSTN OA and PSTN TA or collectively as PSTN OTA)</w:t>
      </w:r>
      <w:r w:rsidR="008918F7">
        <w:t xml:space="preserve">, </w:t>
      </w:r>
      <w:r w:rsidR="00FB309D">
        <w:t>LCS</w:t>
      </w:r>
      <w:r>
        <w:t xml:space="preserve"> and wholesale ADSL</w:t>
      </w:r>
      <w:r w:rsidR="00351CBE">
        <w:t>. Other fixed</w:t>
      </w:r>
      <w:r w:rsidR="000255D7">
        <w:t xml:space="preserve"> </w:t>
      </w:r>
      <w:r w:rsidR="00351CBE">
        <w:t>line services that also use transmission equipment are retail</w:t>
      </w:r>
      <w:r>
        <w:t xml:space="preserve"> </w:t>
      </w:r>
      <w:r w:rsidRPr="000205FB">
        <w:t>PSTN</w:t>
      </w:r>
      <w:r w:rsidR="00351CBE">
        <w:t xml:space="preserve"> voice services </w:t>
      </w:r>
      <w:r w:rsidRPr="000205FB">
        <w:t xml:space="preserve">(local, national, international and fixed to mobile calls), </w:t>
      </w:r>
      <w:r w:rsidR="00194DD0" w:rsidRPr="000205FB">
        <w:t>IS</w:t>
      </w:r>
      <w:r w:rsidR="00194DD0">
        <w:t>DN</w:t>
      </w:r>
      <w:r w:rsidR="00351CBE">
        <w:t xml:space="preserve"> voice services</w:t>
      </w:r>
      <w:r w:rsidRPr="000205FB">
        <w:t xml:space="preserve">, </w:t>
      </w:r>
      <w:r>
        <w:t xml:space="preserve">and </w:t>
      </w:r>
      <w:r w:rsidR="00351CBE">
        <w:t xml:space="preserve">retail </w:t>
      </w:r>
      <w:r w:rsidRPr="000205FB">
        <w:t xml:space="preserve">ADSL </w:t>
      </w:r>
      <w:r w:rsidR="00351CBE">
        <w:t>services</w:t>
      </w:r>
      <w:r w:rsidRPr="000205FB">
        <w:t>.</w:t>
      </w:r>
    </w:p>
    <w:p w:rsidR="00F922C4" w:rsidRDefault="00F922C4" w:rsidP="00117E22">
      <w:r>
        <w:t xml:space="preserve">Transmission equipment </w:t>
      </w:r>
      <w:r w:rsidR="00950895">
        <w:t>is</w:t>
      </w:r>
      <w:r>
        <w:t xml:space="preserve"> also used for non-fixed line services (including mobiles and non-ADSL data).</w:t>
      </w:r>
    </w:p>
    <w:p w:rsidR="00117E22" w:rsidRDefault="00117E22" w:rsidP="00117E22">
      <w:pPr>
        <w:pStyle w:val="HeadingLevel3"/>
        <w:numPr>
          <w:ilvl w:val="0"/>
          <w:numId w:val="0"/>
        </w:numPr>
      </w:pPr>
      <w:r>
        <w:t>Approach adopted for 2011</w:t>
      </w:r>
      <w:r w:rsidR="00F8210C">
        <w:t xml:space="preserve"> and 2013 </w:t>
      </w:r>
      <w:r>
        <w:t>FAD</w:t>
      </w:r>
      <w:r w:rsidR="00F8210C">
        <w:t>s</w:t>
      </w:r>
    </w:p>
    <w:p w:rsidR="00493C13" w:rsidRDefault="000635FF" w:rsidP="00747338">
      <w:r>
        <w:t>In the 2011</w:t>
      </w:r>
      <w:r w:rsidR="009B76DF">
        <w:t xml:space="preserve"> and 2013</w:t>
      </w:r>
      <w:r w:rsidR="00747338">
        <w:t xml:space="preserve"> </w:t>
      </w:r>
      <w:r>
        <w:t>FAD</w:t>
      </w:r>
      <w:r w:rsidR="009B76DF">
        <w:t>s</w:t>
      </w:r>
      <w:r>
        <w:t xml:space="preserve">, the </w:t>
      </w:r>
      <w:r w:rsidR="00A36AD2">
        <w:t xml:space="preserve">initial </w:t>
      </w:r>
      <w:r>
        <w:t xml:space="preserve">cost allocation factor for transmission equipment for </w:t>
      </w:r>
      <w:r w:rsidR="00F8210C">
        <w:t xml:space="preserve">LCS was </w:t>
      </w:r>
      <w:r>
        <w:t>based on the Analysys cost allocation factor for 2008-09.</w:t>
      </w:r>
      <w:r w:rsidR="00F8210C">
        <w:t xml:space="preserve"> </w:t>
      </w:r>
      <w:r w:rsidR="00747338">
        <w:t xml:space="preserve">The cost allocation factor </w:t>
      </w:r>
      <w:r w:rsidR="00016447">
        <w:t xml:space="preserve">for LCS </w:t>
      </w:r>
      <w:r w:rsidR="00747338">
        <w:t xml:space="preserve">in subsequent years was based on the cost allocation factor from the previous year and adjusted by the forecast percentage change in minutes </w:t>
      </w:r>
      <w:r w:rsidR="00F8210C">
        <w:t xml:space="preserve">of use for </w:t>
      </w:r>
      <w:r w:rsidR="00747338">
        <w:t>LCS for that year.</w:t>
      </w:r>
    </w:p>
    <w:p w:rsidR="00493C13" w:rsidRDefault="00493C13" w:rsidP="00747338">
      <w:r>
        <w:lastRenderedPageBreak/>
        <w:t xml:space="preserve">For PSTN OTA and Wholesale ADSL, the cost allocation factors were based on the Analysys cost allocation factors, but adjusted to account for higher rates of growth in data traffic using transmission equipment. The ACCC made these adjustments because it considered that the Analysys cost allocation factors </w:t>
      </w:r>
      <w:r w:rsidR="00CA3A58">
        <w:t xml:space="preserve">— developed in 2007-08 — did not contemplate the subsequent increase in the </w:t>
      </w:r>
      <w:r>
        <w:t>volume of data traffic using transmission equipment</w:t>
      </w:r>
      <w:r w:rsidR="00CA3A58">
        <w:t>,</w:t>
      </w:r>
      <w:r>
        <w:t xml:space="preserve"> and</w:t>
      </w:r>
      <w:r w:rsidR="00CA3A58">
        <w:t xml:space="preserve"> in the absence of the adjustments </w:t>
      </w:r>
      <w:r>
        <w:t xml:space="preserve">would </w:t>
      </w:r>
      <w:r w:rsidR="00CA3A58">
        <w:t xml:space="preserve">have </w:t>
      </w:r>
      <w:r>
        <w:t>over-allocate</w:t>
      </w:r>
      <w:r w:rsidR="00CA3A58">
        <w:t>d</w:t>
      </w:r>
      <w:r>
        <w:t xml:space="preserve"> costs</w:t>
      </w:r>
      <w:r w:rsidR="00016447">
        <w:t xml:space="preserve"> of transmission equipment to PSTN OTA and Wholesale ADSL.</w:t>
      </w:r>
      <w:r>
        <w:t xml:space="preserve">  </w:t>
      </w:r>
    </w:p>
    <w:p w:rsidR="00117E22" w:rsidRDefault="00117E22" w:rsidP="00117E22">
      <w:pPr>
        <w:pStyle w:val="HeadingLevel3"/>
        <w:numPr>
          <w:ilvl w:val="0"/>
          <w:numId w:val="0"/>
        </w:numPr>
      </w:pPr>
      <w:r>
        <w:t>Telstra’s proposed allocation method</w:t>
      </w:r>
    </w:p>
    <w:p w:rsidR="00300E56" w:rsidRDefault="00300E56" w:rsidP="00300E56">
      <w:r>
        <w:t>Under Telstra’s revised model, the costs associated with transmission equipment are assumed to be driven by the number of services (SIOs) and volume (minutes of use).</w:t>
      </w:r>
    </w:p>
    <w:p w:rsidR="00300E56" w:rsidRDefault="00300E56" w:rsidP="00747AB9">
      <w:r>
        <w:t xml:space="preserve">Telstra’s asset </w:t>
      </w:r>
      <w:r w:rsidR="004E4459">
        <w:t xml:space="preserve">register </w:t>
      </w:r>
      <w:r>
        <w:t xml:space="preserve">is </w:t>
      </w:r>
      <w:r w:rsidR="006B3356">
        <w:t xml:space="preserve">first </w:t>
      </w:r>
      <w:r>
        <w:t xml:space="preserve">used to identify </w:t>
      </w:r>
      <w:r w:rsidR="00FA65FA">
        <w:t xml:space="preserve">the </w:t>
      </w:r>
      <w:r>
        <w:t>three primary categories of transmission assets</w:t>
      </w:r>
      <w:r w:rsidR="00FA65FA">
        <w:t>;</w:t>
      </w:r>
      <w:r>
        <w:t xml:space="preserve"> SDH, PDH and other transmission equipment</w:t>
      </w:r>
      <w:r w:rsidR="00FA65FA">
        <w:t>.</w:t>
      </w:r>
      <w:r w:rsidR="00747AB9">
        <w:t xml:space="preserve"> </w:t>
      </w:r>
      <w:r w:rsidR="006B3356">
        <w:t xml:space="preserve">A </w:t>
      </w:r>
      <w:r w:rsidR="00747AB9">
        <w:t xml:space="preserve">Telstra </w:t>
      </w:r>
      <w:r>
        <w:t xml:space="preserve">internal infrastructure database is </w:t>
      </w:r>
      <w:r w:rsidR="00F33CB7">
        <w:t xml:space="preserve">then </w:t>
      </w:r>
      <w:r>
        <w:t xml:space="preserve">used to identify the proportion of these assets that is utilised by ADSL services, PSTN services and </w:t>
      </w:r>
      <w:r w:rsidR="000C69DE">
        <w:t>‘</w:t>
      </w:r>
      <w:r>
        <w:t>other</w:t>
      </w:r>
      <w:r w:rsidR="000C69DE">
        <w:t>’</w:t>
      </w:r>
      <w:r>
        <w:t xml:space="preserve"> services</w:t>
      </w:r>
      <w:r w:rsidR="000C69DE">
        <w:t xml:space="preserve"> (which includes mobile and non-ADSL data)</w:t>
      </w:r>
      <w:r>
        <w:t>.</w:t>
      </w:r>
    </w:p>
    <w:p w:rsidR="00300E56" w:rsidRDefault="00300E56" w:rsidP="00300E56">
      <w:r>
        <w:t xml:space="preserve">Further allocations are </w:t>
      </w:r>
      <w:r w:rsidR="006B3356">
        <w:t xml:space="preserve">then </w:t>
      </w:r>
      <w:r>
        <w:t xml:space="preserve">made for ADSL (allocated </w:t>
      </w:r>
      <w:r w:rsidR="006B3356">
        <w:t xml:space="preserve">between </w:t>
      </w:r>
      <w:r>
        <w:t xml:space="preserve">retail and wholesale ADSL using SIO forecasts), and PSTN (allocated to </w:t>
      </w:r>
      <w:r w:rsidR="00B65020" w:rsidRPr="00B65020">
        <w:t>FOAS/FTAS</w:t>
      </w:r>
      <w:r>
        <w:t>, LCS and retail voice services using minutes of use – minutes of use is weighted using routing factors to reflect that transmission equipment is used in different ways for PTSN voice services).</w:t>
      </w:r>
    </w:p>
    <w:p w:rsidR="00117E22" w:rsidRDefault="00117E22" w:rsidP="00117E22">
      <w:pPr>
        <w:pStyle w:val="HeadingLevel3"/>
        <w:numPr>
          <w:ilvl w:val="0"/>
          <w:numId w:val="0"/>
        </w:numPr>
      </w:pPr>
      <w:r>
        <w:t>Current versus Telstra’s proposed allocation factors</w:t>
      </w:r>
    </w:p>
    <w:p w:rsidR="00117E22" w:rsidRDefault="00216630" w:rsidP="00117E22">
      <w:r w:rsidRPr="00216630">
        <w:t>Cost allocation factors for 2013-14 based on the 2011</w:t>
      </w:r>
      <w:r w:rsidR="009B76DF">
        <w:t xml:space="preserve"> and 2013</w:t>
      </w:r>
      <w:r w:rsidRPr="00216630">
        <w:t xml:space="preserve"> FAD approach and Telstra’s proposed approach are provided in </w:t>
      </w:r>
      <w:r w:rsidR="00623E55">
        <w:t>Table 3.5.1</w:t>
      </w:r>
      <w:r w:rsidRPr="00216630">
        <w:t>.</w:t>
      </w:r>
    </w:p>
    <w:p w:rsidR="00117E22" w:rsidRDefault="00D55844" w:rsidP="007F618C">
      <w:pPr>
        <w:pStyle w:val="HeadingLevel8table"/>
        <w:ind w:left="1440" w:hanging="1440"/>
      </w:pPr>
      <w:r w:rsidRPr="00D55844">
        <w:t>Table 3.</w:t>
      </w:r>
      <w:r>
        <w:t>5</w:t>
      </w:r>
      <w:r w:rsidRPr="00D55844">
        <w:t>.</w:t>
      </w:r>
      <w:r w:rsidR="00265B59">
        <w:t>1</w:t>
      </w:r>
      <w:r w:rsidRPr="00D55844">
        <w:tab/>
        <w:t>Comparison of 2011</w:t>
      </w:r>
      <w:r w:rsidR="00265B59">
        <w:t>/2013</w:t>
      </w:r>
      <w:r w:rsidRPr="00D55844">
        <w:t xml:space="preserve"> FAD</w:t>
      </w:r>
      <w:r w:rsidR="00265B59">
        <w:t xml:space="preserve"> approach</w:t>
      </w:r>
      <w:r w:rsidRPr="00D55844">
        <w:t xml:space="preserve"> </w:t>
      </w:r>
      <w:proofErr w:type="spellStart"/>
      <w:r w:rsidRPr="00D55844">
        <w:t>vs</w:t>
      </w:r>
      <w:proofErr w:type="spellEnd"/>
      <w:r w:rsidRPr="00D55844">
        <w:t xml:space="preserve"> </w:t>
      </w:r>
      <w:r w:rsidR="007F618C">
        <w:t xml:space="preserve">Telstra’s </w:t>
      </w:r>
      <w:r w:rsidRPr="00D55844">
        <w:t>proposed approach for CO0</w:t>
      </w:r>
      <w:r>
        <w:t>5</w:t>
      </w:r>
      <w:r w:rsidR="007F618C">
        <w:t xml:space="preserve"> transmission equipment</w:t>
      </w:r>
      <w:r w:rsidR="00265B59">
        <w:t xml:space="preserve"> for 2013-14</w:t>
      </w:r>
    </w:p>
    <w:tbl>
      <w:tblPr>
        <w:tblStyle w:val="TableGrid"/>
        <w:tblW w:w="0" w:type="auto"/>
        <w:tblLook w:val="04A0" w:firstRow="1" w:lastRow="0" w:firstColumn="1" w:lastColumn="0" w:noHBand="0" w:noVBand="1"/>
      </w:tblPr>
      <w:tblGrid>
        <w:gridCol w:w="1784"/>
        <w:gridCol w:w="1720"/>
        <w:gridCol w:w="1720"/>
        <w:gridCol w:w="1720"/>
        <w:gridCol w:w="1720"/>
      </w:tblGrid>
      <w:tr w:rsidR="00216630" w:rsidTr="00D00FE6">
        <w:trPr>
          <w:trHeight w:val="447"/>
        </w:trPr>
        <w:tc>
          <w:tcPr>
            <w:tcW w:w="1784" w:type="dxa"/>
          </w:tcPr>
          <w:p w:rsidR="00216630" w:rsidRDefault="00216630" w:rsidP="00350637">
            <w:pPr>
              <w:pStyle w:val="Table2Text"/>
            </w:pPr>
            <w:r>
              <w:t>Declared service</w:t>
            </w:r>
          </w:p>
        </w:tc>
        <w:tc>
          <w:tcPr>
            <w:tcW w:w="1720" w:type="dxa"/>
          </w:tcPr>
          <w:p w:rsidR="00216630" w:rsidRDefault="00216630" w:rsidP="00AC01B7">
            <w:pPr>
              <w:pStyle w:val="Table2Text"/>
            </w:pPr>
            <w:r>
              <w:t>2011/2013</w:t>
            </w:r>
            <w:r w:rsidR="00265B59">
              <w:t xml:space="preserve"> approach</w:t>
            </w:r>
            <w:r>
              <w:t xml:space="preserve"> FAD %</w:t>
            </w:r>
          </w:p>
        </w:tc>
        <w:tc>
          <w:tcPr>
            <w:tcW w:w="1720" w:type="dxa"/>
          </w:tcPr>
          <w:p w:rsidR="00216630" w:rsidRDefault="00216630" w:rsidP="00AC01B7">
            <w:pPr>
              <w:pStyle w:val="Table2Text"/>
            </w:pPr>
            <w:r>
              <w:t xml:space="preserve">Telstra proposed </w:t>
            </w:r>
            <w:r w:rsidR="00265B59">
              <w:t xml:space="preserve">approach </w:t>
            </w:r>
            <w:r>
              <w:t>%</w:t>
            </w:r>
          </w:p>
        </w:tc>
        <w:tc>
          <w:tcPr>
            <w:tcW w:w="1720" w:type="dxa"/>
          </w:tcPr>
          <w:p w:rsidR="00216630" w:rsidRDefault="00216630" w:rsidP="00AC01B7">
            <w:pPr>
              <w:pStyle w:val="Table2Text"/>
            </w:pPr>
            <w:r w:rsidRPr="00EC1B60">
              <w:t>% point difference</w:t>
            </w:r>
          </w:p>
        </w:tc>
        <w:tc>
          <w:tcPr>
            <w:tcW w:w="1720" w:type="dxa"/>
          </w:tcPr>
          <w:p w:rsidR="00216630" w:rsidRDefault="00216630" w:rsidP="00AC01B7">
            <w:pPr>
              <w:pStyle w:val="Table2Text"/>
            </w:pPr>
            <w:r w:rsidRPr="00EC1B60">
              <w:t>% change</w:t>
            </w:r>
          </w:p>
        </w:tc>
      </w:tr>
      <w:tr w:rsidR="00216630" w:rsidTr="00D00FE6">
        <w:trPr>
          <w:trHeight w:val="447"/>
        </w:trPr>
        <w:tc>
          <w:tcPr>
            <w:tcW w:w="1784" w:type="dxa"/>
          </w:tcPr>
          <w:p w:rsidR="00216630" w:rsidRDefault="00B65020" w:rsidP="00350637">
            <w:pPr>
              <w:pStyle w:val="Table2Text"/>
            </w:pPr>
            <w:r w:rsidRPr="00B65020">
              <w:t>FOAS/FTAS</w:t>
            </w:r>
          </w:p>
        </w:tc>
        <w:tc>
          <w:tcPr>
            <w:tcW w:w="1720" w:type="dxa"/>
          </w:tcPr>
          <w:p w:rsidR="00216630" w:rsidRDefault="002227F7" w:rsidP="00AC01B7">
            <w:pPr>
              <w:pStyle w:val="Table2Text"/>
            </w:pPr>
            <w:r w:rsidRPr="008A178E">
              <w:t>[c-</w:t>
            </w:r>
            <w:proofErr w:type="spellStart"/>
            <w:r w:rsidRPr="008A178E">
              <w:t>i</w:t>
            </w:r>
            <w:proofErr w:type="spellEnd"/>
            <w:r w:rsidRPr="008A178E">
              <w:t>-c starts]</w:t>
            </w:r>
            <w:r w:rsidR="00552D6F">
              <w:rPr>
                <w:noProof/>
                <w:color w:val="000000"/>
                <w:highlight w:val="black"/>
              </w:rPr>
              <w:t>'''''''</w:t>
            </w:r>
          </w:p>
        </w:tc>
        <w:tc>
          <w:tcPr>
            <w:tcW w:w="1720" w:type="dxa"/>
          </w:tcPr>
          <w:p w:rsidR="00216630" w:rsidRPr="00552D6F" w:rsidRDefault="00552D6F" w:rsidP="00AC01B7">
            <w:pPr>
              <w:pStyle w:val="Table2Text"/>
              <w:rPr>
                <w:highlight w:val="black"/>
              </w:rPr>
            </w:pPr>
            <w:r>
              <w:rPr>
                <w:noProof/>
                <w:color w:val="000000"/>
                <w:highlight w:val="black"/>
              </w:rPr>
              <w:t>'''''''</w:t>
            </w:r>
          </w:p>
        </w:tc>
        <w:tc>
          <w:tcPr>
            <w:tcW w:w="1720" w:type="dxa"/>
          </w:tcPr>
          <w:p w:rsidR="00216630" w:rsidRPr="00552D6F" w:rsidRDefault="00552D6F" w:rsidP="00AC01B7">
            <w:pPr>
              <w:pStyle w:val="Table2Text"/>
              <w:rPr>
                <w:highlight w:val="black"/>
              </w:rPr>
            </w:pPr>
            <w:r>
              <w:rPr>
                <w:noProof/>
                <w:color w:val="000000"/>
                <w:highlight w:val="black"/>
              </w:rPr>
              <w:t>''''''''''</w:t>
            </w:r>
          </w:p>
        </w:tc>
        <w:tc>
          <w:tcPr>
            <w:tcW w:w="1720" w:type="dxa"/>
          </w:tcPr>
          <w:p w:rsidR="00216630" w:rsidRPr="00552D6F" w:rsidRDefault="00552D6F" w:rsidP="00AC01B7">
            <w:pPr>
              <w:pStyle w:val="Table2Text"/>
              <w:rPr>
                <w:highlight w:val="black"/>
              </w:rPr>
            </w:pPr>
            <w:r>
              <w:rPr>
                <w:noProof/>
                <w:color w:val="000000"/>
                <w:highlight w:val="black"/>
              </w:rPr>
              <w:t>'''''''''''''''''</w:t>
            </w:r>
          </w:p>
        </w:tc>
      </w:tr>
      <w:tr w:rsidR="00216630" w:rsidTr="00D00FE6">
        <w:trPr>
          <w:trHeight w:val="447"/>
        </w:trPr>
        <w:tc>
          <w:tcPr>
            <w:tcW w:w="1784" w:type="dxa"/>
          </w:tcPr>
          <w:p w:rsidR="00216630" w:rsidRDefault="00216630" w:rsidP="00350637">
            <w:pPr>
              <w:pStyle w:val="Table2Text"/>
            </w:pPr>
            <w:r>
              <w:t>LCS</w:t>
            </w:r>
          </w:p>
        </w:tc>
        <w:tc>
          <w:tcPr>
            <w:tcW w:w="1720" w:type="dxa"/>
          </w:tcPr>
          <w:p w:rsidR="00216630" w:rsidRPr="00552D6F" w:rsidRDefault="00552D6F" w:rsidP="00AC01B7">
            <w:pPr>
              <w:pStyle w:val="Table2Text"/>
              <w:rPr>
                <w:highlight w:val="black"/>
              </w:rPr>
            </w:pPr>
            <w:r>
              <w:rPr>
                <w:noProof/>
                <w:color w:val="000000"/>
                <w:highlight w:val="black"/>
              </w:rPr>
              <w:t>'''''''</w:t>
            </w:r>
          </w:p>
        </w:tc>
        <w:tc>
          <w:tcPr>
            <w:tcW w:w="1720" w:type="dxa"/>
          </w:tcPr>
          <w:p w:rsidR="00216630" w:rsidRPr="00552D6F" w:rsidRDefault="00552D6F" w:rsidP="00AC01B7">
            <w:pPr>
              <w:pStyle w:val="Table2Text"/>
              <w:rPr>
                <w:highlight w:val="black"/>
              </w:rPr>
            </w:pPr>
            <w:r>
              <w:rPr>
                <w:noProof/>
                <w:color w:val="000000"/>
                <w:highlight w:val="black"/>
              </w:rPr>
              <w:t>'''''''''</w:t>
            </w:r>
          </w:p>
        </w:tc>
        <w:tc>
          <w:tcPr>
            <w:tcW w:w="1720" w:type="dxa"/>
          </w:tcPr>
          <w:p w:rsidR="00216630" w:rsidRPr="00552D6F" w:rsidRDefault="00552D6F" w:rsidP="00AC01B7">
            <w:pPr>
              <w:pStyle w:val="Table2Text"/>
              <w:rPr>
                <w:highlight w:val="black"/>
              </w:rPr>
            </w:pPr>
            <w:r>
              <w:rPr>
                <w:noProof/>
                <w:color w:val="000000"/>
                <w:highlight w:val="black"/>
              </w:rPr>
              <w:t>'''''''''</w:t>
            </w:r>
          </w:p>
        </w:tc>
        <w:tc>
          <w:tcPr>
            <w:tcW w:w="1720" w:type="dxa"/>
          </w:tcPr>
          <w:p w:rsidR="00623E55" w:rsidRPr="00552D6F" w:rsidRDefault="00552D6F" w:rsidP="00AC01B7">
            <w:pPr>
              <w:pStyle w:val="Table2Text"/>
              <w:rPr>
                <w:highlight w:val="black"/>
              </w:rPr>
            </w:pPr>
            <w:r>
              <w:rPr>
                <w:noProof/>
                <w:color w:val="000000"/>
                <w:highlight w:val="black"/>
              </w:rPr>
              <w:t>''''''''''''</w:t>
            </w:r>
          </w:p>
        </w:tc>
      </w:tr>
      <w:tr w:rsidR="00216630" w:rsidTr="00D00FE6">
        <w:trPr>
          <w:trHeight w:val="447"/>
        </w:trPr>
        <w:tc>
          <w:tcPr>
            <w:tcW w:w="1784" w:type="dxa"/>
          </w:tcPr>
          <w:p w:rsidR="00216630" w:rsidRDefault="00265B59" w:rsidP="00350637">
            <w:pPr>
              <w:pStyle w:val="Table2Text"/>
            </w:pPr>
            <w:r>
              <w:t>W</w:t>
            </w:r>
            <w:r w:rsidR="00216630">
              <w:t>holesale ADSL</w:t>
            </w:r>
          </w:p>
        </w:tc>
        <w:tc>
          <w:tcPr>
            <w:tcW w:w="1720" w:type="dxa"/>
          </w:tcPr>
          <w:p w:rsidR="00216630" w:rsidRPr="00552D6F" w:rsidRDefault="00552D6F" w:rsidP="00AC01B7">
            <w:pPr>
              <w:pStyle w:val="Table2Text"/>
              <w:rPr>
                <w:highlight w:val="black"/>
              </w:rPr>
            </w:pPr>
            <w:r>
              <w:rPr>
                <w:noProof/>
                <w:color w:val="000000"/>
                <w:highlight w:val="black"/>
              </w:rPr>
              <w:t>''''''''</w:t>
            </w:r>
          </w:p>
        </w:tc>
        <w:tc>
          <w:tcPr>
            <w:tcW w:w="1720" w:type="dxa"/>
          </w:tcPr>
          <w:p w:rsidR="00216630" w:rsidRPr="00552D6F" w:rsidRDefault="00552D6F" w:rsidP="00AC01B7">
            <w:pPr>
              <w:pStyle w:val="Table2Text"/>
              <w:rPr>
                <w:highlight w:val="black"/>
              </w:rPr>
            </w:pPr>
            <w:r>
              <w:rPr>
                <w:noProof/>
                <w:color w:val="000000"/>
                <w:highlight w:val="black"/>
              </w:rPr>
              <w:t>'''''''''</w:t>
            </w:r>
          </w:p>
        </w:tc>
        <w:tc>
          <w:tcPr>
            <w:tcW w:w="1720" w:type="dxa"/>
          </w:tcPr>
          <w:p w:rsidR="00216630" w:rsidRPr="00552D6F" w:rsidRDefault="00552D6F" w:rsidP="00AC01B7">
            <w:pPr>
              <w:pStyle w:val="Table2Text"/>
              <w:rPr>
                <w:highlight w:val="black"/>
              </w:rPr>
            </w:pPr>
            <w:r>
              <w:rPr>
                <w:noProof/>
                <w:color w:val="000000"/>
                <w:highlight w:val="black"/>
              </w:rPr>
              <w:t>'''''''''</w:t>
            </w:r>
          </w:p>
        </w:tc>
        <w:tc>
          <w:tcPr>
            <w:tcW w:w="1720" w:type="dxa"/>
          </w:tcPr>
          <w:p w:rsidR="00216630" w:rsidRDefault="00552D6F" w:rsidP="00AC01B7">
            <w:pPr>
              <w:pStyle w:val="Table2Text"/>
            </w:pPr>
            <w:r>
              <w:rPr>
                <w:noProof/>
                <w:color w:val="000000"/>
                <w:highlight w:val="black"/>
              </w:rPr>
              <w:t>''''''''''''</w:t>
            </w:r>
            <w:r w:rsidR="002227F7">
              <w:t>[c-</w:t>
            </w:r>
            <w:proofErr w:type="spellStart"/>
            <w:r w:rsidR="002227F7">
              <w:t>i</w:t>
            </w:r>
            <w:proofErr w:type="spellEnd"/>
            <w:r w:rsidR="002227F7">
              <w:t>-c ends]</w:t>
            </w:r>
          </w:p>
        </w:tc>
      </w:tr>
    </w:tbl>
    <w:p w:rsidR="00117E22" w:rsidRDefault="00117E22" w:rsidP="00117E22"/>
    <w:p w:rsidR="00117E22" w:rsidRDefault="00623E55" w:rsidP="00117E22">
      <w:r>
        <w:t>Figure 3.5.2</w:t>
      </w:r>
      <w:r w:rsidR="002747C7">
        <w:t xml:space="preserve"> shows Telstra’s assumed share use of the </w:t>
      </w:r>
      <w:r w:rsidR="00F33CB7">
        <w:t>transmission equipment</w:t>
      </w:r>
      <w:r w:rsidR="002747C7" w:rsidRPr="00950EAA">
        <w:t xml:space="preserve"> assets </w:t>
      </w:r>
      <w:r w:rsidR="002747C7">
        <w:t xml:space="preserve">class by the various services for 2013-14. </w:t>
      </w:r>
    </w:p>
    <w:p w:rsidR="007F618C" w:rsidRDefault="005065CE" w:rsidP="008D78CC">
      <w:pPr>
        <w:pStyle w:val="HeadingLevel8table"/>
        <w:ind w:left="1440" w:hanging="1440"/>
      </w:pPr>
      <w:r w:rsidRPr="005065CE">
        <w:t>Figure 3.</w:t>
      </w:r>
      <w:r>
        <w:t>5</w:t>
      </w:r>
      <w:r w:rsidRPr="005065CE">
        <w:t>.2</w:t>
      </w:r>
      <w:r w:rsidRPr="005065CE">
        <w:tab/>
        <w:t>Telstra’s proposed allocation of CO0</w:t>
      </w:r>
      <w:r>
        <w:t>5</w:t>
      </w:r>
      <w:r w:rsidR="007F618C">
        <w:t xml:space="preserve"> transmission equipment</w:t>
      </w:r>
      <w:r w:rsidR="00265B59">
        <w:t xml:space="preserve"> for 2013-14</w:t>
      </w:r>
    </w:p>
    <w:p w:rsidR="00A703F9" w:rsidRPr="005871C8" w:rsidRDefault="00A703F9" w:rsidP="008D78CC">
      <w:r w:rsidRPr="008D78CC">
        <w:rPr>
          <w:b/>
        </w:rPr>
        <w:t>[</w:t>
      </w:r>
      <w:proofErr w:type="gramStart"/>
      <w:r w:rsidRPr="008D78CC">
        <w:rPr>
          <w:b/>
        </w:rPr>
        <w:t>c-</w:t>
      </w:r>
      <w:proofErr w:type="spellStart"/>
      <w:r w:rsidRPr="008D78CC">
        <w:rPr>
          <w:b/>
        </w:rPr>
        <w:t>i</w:t>
      </w:r>
      <w:proofErr w:type="spellEnd"/>
      <w:r w:rsidRPr="008D78CC">
        <w:rPr>
          <w:b/>
        </w:rPr>
        <w:t>-c</w:t>
      </w:r>
      <w:proofErr w:type="gramEnd"/>
      <w:r w:rsidRPr="008D78CC">
        <w:rPr>
          <w:b/>
        </w:rPr>
        <w:t xml:space="preserve"> starts]</w:t>
      </w:r>
    </w:p>
    <w:p w:rsidR="00402ABF" w:rsidRPr="00552D6F" w:rsidRDefault="00552D6F" w:rsidP="00AB2E1F">
      <w:pPr>
        <w:pStyle w:val="HeadingLevel8table"/>
        <w:rPr>
          <w:b w:val="0"/>
          <w:highlight w:val="black"/>
        </w:rPr>
      </w:pPr>
      <w:r>
        <w:rPr>
          <w:b w:val="0"/>
          <w:noProof/>
          <w:color w:val="000000"/>
          <w:lang w:eastAsia="en-AU"/>
        </w:rPr>
        <w:lastRenderedPageBreak/>
        <w:drawing>
          <wp:inline distT="0" distB="0" distL="0" distR="0">
            <wp:extent cx="3609340" cy="252984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09340" cy="2529840"/>
                    </a:xfrm>
                    <a:prstGeom prst="rect">
                      <a:avLst/>
                    </a:prstGeom>
                  </pic:spPr>
                </pic:pic>
              </a:graphicData>
            </a:graphic>
          </wp:inline>
        </w:drawing>
      </w:r>
      <w:r>
        <w:rPr>
          <w:b w:val="0"/>
          <w:noProof/>
          <w:color w:val="000000"/>
          <w:highlight w:val="black"/>
        </w:rPr>
        <w:t xml:space="preserve"> </w:t>
      </w:r>
    </w:p>
    <w:p w:rsidR="002747C7" w:rsidRDefault="002227F7" w:rsidP="00AB2E1F">
      <w:pPr>
        <w:pStyle w:val="HeadingLevel8table"/>
      </w:pPr>
      <w:r w:rsidRPr="002227F7">
        <w:t>[</w:t>
      </w:r>
      <w:proofErr w:type="gramStart"/>
      <w:r w:rsidRPr="002227F7">
        <w:t>c-</w:t>
      </w:r>
      <w:proofErr w:type="spellStart"/>
      <w:r w:rsidRPr="002227F7">
        <w:t>i</w:t>
      </w:r>
      <w:proofErr w:type="spellEnd"/>
      <w:r w:rsidRPr="002227F7">
        <w:t>-c</w:t>
      </w:r>
      <w:proofErr w:type="gramEnd"/>
      <w:r w:rsidRPr="002227F7">
        <w:t xml:space="preserve"> ends]</w:t>
      </w:r>
    </w:p>
    <w:p w:rsidR="0004761D" w:rsidRDefault="0004761D">
      <w:pPr>
        <w:spacing w:after="200" w:line="276" w:lineRule="auto"/>
        <w:rPr>
          <w:rFonts w:eastAsiaTheme="majorEastAsia" w:cstheme="majorBidi"/>
          <w:b/>
          <w:color w:val="002060"/>
          <w:sz w:val="32"/>
          <w:szCs w:val="28"/>
        </w:rPr>
      </w:pPr>
      <w:r>
        <w:br w:type="page"/>
      </w:r>
    </w:p>
    <w:p w:rsidR="00791D3C" w:rsidRDefault="00791D3C" w:rsidP="00791D3C">
      <w:pPr>
        <w:pStyle w:val="HeadingLevel2"/>
      </w:pPr>
      <w:bookmarkStart w:id="26" w:name="_Toc393375578"/>
      <w:r>
        <w:lastRenderedPageBreak/>
        <w:t>CO06 c</w:t>
      </w:r>
      <w:r w:rsidRPr="00791D3C">
        <w:t>ore radio bearer equipment</w:t>
      </w:r>
      <w:bookmarkEnd w:id="26"/>
    </w:p>
    <w:p w:rsidR="00117E22" w:rsidRDefault="00117E22" w:rsidP="00117E22">
      <w:pPr>
        <w:pStyle w:val="HeadingLevel3"/>
        <w:numPr>
          <w:ilvl w:val="0"/>
          <w:numId w:val="0"/>
        </w:numPr>
      </w:pPr>
      <w:r>
        <w:t>Asset description</w:t>
      </w:r>
    </w:p>
    <w:p w:rsidR="00117E22" w:rsidRDefault="007F3311" w:rsidP="00117E22">
      <w:r>
        <w:t>Core radio bearer equipment contains assets used to support the SDH and PDH transmission network in regional and remote areas. These assets are used in place of fibre optic cables.</w:t>
      </w:r>
    </w:p>
    <w:p w:rsidR="00CD7B82" w:rsidRDefault="00CD7B82" w:rsidP="00CD7B82">
      <w:pPr>
        <w:pStyle w:val="HeadingLevel3"/>
        <w:numPr>
          <w:ilvl w:val="0"/>
          <w:numId w:val="0"/>
        </w:numPr>
      </w:pPr>
      <w:r>
        <w:t xml:space="preserve">Key points </w:t>
      </w:r>
    </w:p>
    <w:p w:rsidR="003F02A6" w:rsidRPr="00A93872" w:rsidRDefault="003F02A6" w:rsidP="003F02A6">
      <w:pPr>
        <w:pStyle w:val="Bulleta"/>
      </w:pPr>
      <w:r>
        <w:t>Core radio bearer equipment</w:t>
      </w:r>
      <w:r w:rsidRPr="00CF408B">
        <w:t xml:space="preserve"> </w:t>
      </w:r>
      <w:r>
        <w:t>contributes a material proportion towards the total fixed</w:t>
      </w:r>
      <w:r w:rsidR="000255D7">
        <w:t xml:space="preserve"> </w:t>
      </w:r>
      <w:r>
        <w:t>line revenue requirement (</w:t>
      </w:r>
      <w:r>
        <w:rPr>
          <w:b/>
        </w:rPr>
        <w:t>[c-</w:t>
      </w:r>
      <w:proofErr w:type="spellStart"/>
      <w:r>
        <w:rPr>
          <w:b/>
        </w:rPr>
        <w:t>i</w:t>
      </w:r>
      <w:proofErr w:type="spellEnd"/>
      <w:r>
        <w:rPr>
          <w:b/>
        </w:rPr>
        <w:t>-c starts]</w:t>
      </w:r>
      <w:r w:rsidR="00552D6F">
        <w:rPr>
          <w:noProof/>
          <w:color w:val="000000"/>
          <w:highlight w:val="black"/>
        </w:rPr>
        <w:t>'''''''''</w:t>
      </w:r>
      <w:r>
        <w:rPr>
          <w:b/>
        </w:rPr>
        <w:t>[c-</w:t>
      </w:r>
      <w:proofErr w:type="spellStart"/>
      <w:r>
        <w:rPr>
          <w:b/>
        </w:rPr>
        <w:t>i</w:t>
      </w:r>
      <w:proofErr w:type="spellEnd"/>
      <w:r>
        <w:rPr>
          <w:b/>
        </w:rPr>
        <w:t>-c ends]</w:t>
      </w:r>
      <w:r>
        <w:t xml:space="preserve"> per cent</w:t>
      </w:r>
      <w:r w:rsidRPr="00A93872">
        <w:t xml:space="preserve"> in 2013-14</w:t>
      </w:r>
      <w:r>
        <w:t>).</w:t>
      </w:r>
    </w:p>
    <w:p w:rsidR="003F02A6" w:rsidRPr="003D71ED" w:rsidRDefault="00FD5BB8" w:rsidP="00CD7B82">
      <w:pPr>
        <w:pStyle w:val="Bulleta"/>
      </w:pPr>
      <w:r w:rsidRPr="00307299">
        <w:t xml:space="preserve">Telstra has adopted the same </w:t>
      </w:r>
      <w:r w:rsidR="00307299" w:rsidRPr="003D71ED">
        <w:t xml:space="preserve">platform </w:t>
      </w:r>
      <w:r w:rsidRPr="00307299">
        <w:t>allocation</w:t>
      </w:r>
      <w:r w:rsidR="00307299" w:rsidRPr="003D71ED">
        <w:t>s</w:t>
      </w:r>
      <w:r w:rsidRPr="00307299">
        <w:t xml:space="preserve"> for this class as CO05 transmission equipment, as these assets </w:t>
      </w:r>
      <w:r w:rsidR="00275FA1" w:rsidRPr="003D71ED">
        <w:t>are</w:t>
      </w:r>
      <w:r w:rsidRPr="003D71ED">
        <w:t xml:space="preserve"> primarily used to support transmission equipment and </w:t>
      </w:r>
      <w:r w:rsidR="00057F65" w:rsidRPr="003D71ED">
        <w:t xml:space="preserve">also because </w:t>
      </w:r>
      <w:r w:rsidRPr="003D71ED">
        <w:t>the relative size of this asset class</w:t>
      </w:r>
      <w:r w:rsidR="00057F65" w:rsidRPr="003D71ED">
        <w:t xml:space="preserve"> is small compared to other asset classes</w:t>
      </w:r>
      <w:r w:rsidRPr="003D71ED">
        <w:t>.</w:t>
      </w:r>
    </w:p>
    <w:p w:rsidR="00117E22" w:rsidRDefault="00117E22" w:rsidP="00117E22">
      <w:pPr>
        <w:pStyle w:val="HeadingLevel3"/>
        <w:numPr>
          <w:ilvl w:val="0"/>
          <w:numId w:val="0"/>
        </w:numPr>
      </w:pPr>
      <w:r>
        <w:t xml:space="preserve">Services using this asset class </w:t>
      </w:r>
    </w:p>
    <w:p w:rsidR="00076F6F" w:rsidRDefault="00076F6F" w:rsidP="00076F6F">
      <w:r>
        <w:t>There are a range of fixed</w:t>
      </w:r>
      <w:r w:rsidR="000255D7">
        <w:t xml:space="preserve"> </w:t>
      </w:r>
      <w:r>
        <w:t>line and other services that use core radio bearer equipment. The declared fixed</w:t>
      </w:r>
      <w:r w:rsidR="000255D7">
        <w:t xml:space="preserve"> </w:t>
      </w:r>
      <w:r>
        <w:t xml:space="preserve">line services that use core radio bearer equipment are </w:t>
      </w:r>
      <w:r w:rsidR="005E6CFE" w:rsidRPr="005E6CFE">
        <w:t>FOAS and FTAS (formally known as PSTN OA and PSTN TA or collectively as PSTN OTA)</w:t>
      </w:r>
      <w:r>
        <w:t>, LCS and wholesale ADSL. Other fixed</w:t>
      </w:r>
      <w:r w:rsidR="000255D7">
        <w:t xml:space="preserve"> </w:t>
      </w:r>
      <w:r>
        <w:t xml:space="preserve">line services that also use core radio bearer equipment are retail </w:t>
      </w:r>
      <w:r w:rsidRPr="000205FB">
        <w:t>PSTN</w:t>
      </w:r>
      <w:r>
        <w:t xml:space="preserve"> voice services </w:t>
      </w:r>
      <w:r w:rsidRPr="000205FB">
        <w:t>(local, national, international and fixed to mobile calls), IS</w:t>
      </w:r>
      <w:r>
        <w:t>DN voice services</w:t>
      </w:r>
      <w:r w:rsidRPr="000205FB">
        <w:t xml:space="preserve">, </w:t>
      </w:r>
      <w:r>
        <w:t xml:space="preserve">and retail </w:t>
      </w:r>
      <w:r w:rsidRPr="000205FB">
        <w:t xml:space="preserve">ADSL </w:t>
      </w:r>
      <w:r>
        <w:t>services</w:t>
      </w:r>
      <w:r w:rsidRPr="000205FB">
        <w:t>.</w:t>
      </w:r>
    </w:p>
    <w:p w:rsidR="00076F6F" w:rsidRDefault="00076F6F" w:rsidP="00076F6F">
      <w:r>
        <w:t>Core radio bearer equipment is also used for non-fixed line services (including mobiles and non-ADSL data).</w:t>
      </w:r>
    </w:p>
    <w:p w:rsidR="00117E22" w:rsidRDefault="00117E22" w:rsidP="00117E22">
      <w:pPr>
        <w:pStyle w:val="HeadingLevel3"/>
        <w:numPr>
          <w:ilvl w:val="0"/>
          <w:numId w:val="0"/>
        </w:numPr>
      </w:pPr>
      <w:r>
        <w:t xml:space="preserve">Approach adopted for </w:t>
      </w:r>
      <w:r w:rsidR="00275FA1">
        <w:t xml:space="preserve">the </w:t>
      </w:r>
      <w:r>
        <w:t>2011</w:t>
      </w:r>
      <w:r w:rsidR="009B76DF">
        <w:t xml:space="preserve"> and 2013</w:t>
      </w:r>
      <w:r w:rsidR="00275FA1">
        <w:t xml:space="preserve"> </w:t>
      </w:r>
      <w:r>
        <w:t>FAD</w:t>
      </w:r>
      <w:r w:rsidR="009B76DF">
        <w:t>s</w:t>
      </w:r>
    </w:p>
    <w:p w:rsidR="00A36AD2" w:rsidRDefault="00076F6F" w:rsidP="00076F6F">
      <w:r>
        <w:t xml:space="preserve">In the 2011 FADs, the </w:t>
      </w:r>
      <w:r w:rsidR="00A36AD2">
        <w:t xml:space="preserve">initial </w:t>
      </w:r>
      <w:r>
        <w:t>cost allocation factor</w:t>
      </w:r>
      <w:r w:rsidR="00A36AD2">
        <w:t>s</w:t>
      </w:r>
      <w:r>
        <w:t xml:space="preserve"> for </w:t>
      </w:r>
      <w:r w:rsidR="00A36AD2">
        <w:t xml:space="preserve">core radio bearer </w:t>
      </w:r>
      <w:r>
        <w:t>equipment for PSTN OTA, LCS and wholesale ADSL services were based on the Analysys cost allocation factor for 2008-09</w:t>
      </w:r>
      <w:r w:rsidR="00A36AD2">
        <w:t>.</w:t>
      </w:r>
    </w:p>
    <w:p w:rsidR="00076F6F" w:rsidRDefault="00076F6F" w:rsidP="00076F6F">
      <w:r>
        <w:t>The cost allocation factor in subsequent years was based on the cost allocation factor from the previous year and adjusted by the forecast percentage change in wholesale ADSL SIOs and forecast percentage change in volume of minutes for PSTN OTA and LCS services for that year.</w:t>
      </w:r>
    </w:p>
    <w:p w:rsidR="00117E22" w:rsidRDefault="00117E22" w:rsidP="00117E22">
      <w:pPr>
        <w:pStyle w:val="HeadingLevel3"/>
        <w:numPr>
          <w:ilvl w:val="0"/>
          <w:numId w:val="0"/>
        </w:numPr>
      </w:pPr>
      <w:r>
        <w:t>Telstra’s proposed allocation method</w:t>
      </w:r>
    </w:p>
    <w:p w:rsidR="00307299" w:rsidRDefault="00307299" w:rsidP="00307299">
      <w:r>
        <w:t>Under Telstra’s revised model, the costs associated with core radio bearer equipment are assumed to be driven by the number of services (SIOs) and volume (minutes of use).</w:t>
      </w:r>
    </w:p>
    <w:p w:rsidR="00307299" w:rsidRDefault="00307299" w:rsidP="00307299">
      <w:r>
        <w:t>Telstra has adopted the same platform allocations</w:t>
      </w:r>
      <w:r w:rsidRPr="00307299">
        <w:t xml:space="preserve"> </w:t>
      </w:r>
      <w:r>
        <w:t>as CO05 transmission equipment</w:t>
      </w:r>
      <w:r w:rsidRPr="00307299">
        <w:t xml:space="preserve"> </w:t>
      </w:r>
      <w:r>
        <w:t xml:space="preserve">for this asset class to identify the proportion of core radio bearer </w:t>
      </w:r>
      <w:r w:rsidR="00AD4906">
        <w:t xml:space="preserve">equipment </w:t>
      </w:r>
      <w:r>
        <w:t>that is utilised by ADSL services, PSTN services and ‘other’ services (which includes mobile and non-ADSL data).</w:t>
      </w:r>
      <w:r w:rsidR="00BF2D83">
        <w:t xml:space="preserve"> The same platform allocations as transmission equipment are used because core radio bearer equipment is </w:t>
      </w:r>
      <w:r>
        <w:t>primarily used to support transmission equipment and also because the relative size of this asset class is small compared to other asset classes</w:t>
      </w:r>
    </w:p>
    <w:p w:rsidR="00307299" w:rsidRDefault="00307299" w:rsidP="00307299">
      <w:r>
        <w:t xml:space="preserve">Further allocations are then made for ADSL (allocated between retail and wholesale ADSL using SIO forecasts), and PSTN (allocated to </w:t>
      </w:r>
      <w:r w:rsidRPr="00B65020">
        <w:t>FOAS/FTAS</w:t>
      </w:r>
      <w:r>
        <w:t>, LCS and retail voice services using minutes of use – minutes of use is weighted using routing factors to reflect that transmission equipment is used in different ways for PTSN voice services).</w:t>
      </w:r>
    </w:p>
    <w:p w:rsidR="00117E22" w:rsidRDefault="00117E22" w:rsidP="00117E22">
      <w:pPr>
        <w:pStyle w:val="HeadingLevel3"/>
        <w:numPr>
          <w:ilvl w:val="0"/>
          <w:numId w:val="0"/>
        </w:numPr>
      </w:pPr>
      <w:r>
        <w:lastRenderedPageBreak/>
        <w:t>Current versus Telstra’s proposed allocation factors</w:t>
      </w:r>
    </w:p>
    <w:p w:rsidR="00117E22" w:rsidRDefault="003E4E2C" w:rsidP="00117E22">
      <w:r w:rsidRPr="003E4E2C">
        <w:t>Cost allocation factors for 2013-14 based on the 2011</w:t>
      </w:r>
      <w:r w:rsidR="009B76DF">
        <w:t xml:space="preserve"> and </w:t>
      </w:r>
      <w:r>
        <w:t>2013</w:t>
      </w:r>
      <w:r w:rsidRPr="003E4E2C">
        <w:t xml:space="preserve"> FAD</w:t>
      </w:r>
      <w:r>
        <w:t>s</w:t>
      </w:r>
      <w:r w:rsidRPr="003E4E2C">
        <w:t xml:space="preserve"> approach and Telstra’s proposed approach are provided in </w:t>
      </w:r>
      <w:r w:rsidR="009A55F8">
        <w:t>T</w:t>
      </w:r>
      <w:r w:rsidRPr="003E4E2C">
        <w:t xml:space="preserve">able </w:t>
      </w:r>
      <w:r w:rsidR="009A55F8">
        <w:t>3.6.1</w:t>
      </w:r>
      <w:r w:rsidRPr="003E4E2C">
        <w:t>.</w:t>
      </w:r>
    </w:p>
    <w:p w:rsidR="00117E22" w:rsidRDefault="00D55844" w:rsidP="005A5B9B">
      <w:pPr>
        <w:pStyle w:val="HeadingLevel8table"/>
        <w:ind w:left="1440" w:hanging="1440"/>
      </w:pPr>
      <w:r w:rsidRPr="00D55844">
        <w:t>Table 3.</w:t>
      </w:r>
      <w:r>
        <w:t>6</w:t>
      </w:r>
      <w:r w:rsidRPr="00D55844">
        <w:t>.</w:t>
      </w:r>
      <w:r w:rsidR="00275FA1">
        <w:t>1</w:t>
      </w:r>
      <w:r w:rsidRPr="00D55844">
        <w:tab/>
        <w:t>Comparison of 2011</w:t>
      </w:r>
      <w:r w:rsidR="00275FA1">
        <w:t>/2013</w:t>
      </w:r>
      <w:r w:rsidR="001716E7">
        <w:t xml:space="preserve"> </w:t>
      </w:r>
      <w:r w:rsidRPr="00D55844">
        <w:t>FAD</w:t>
      </w:r>
      <w:r w:rsidR="00275FA1">
        <w:t xml:space="preserve"> approach</w:t>
      </w:r>
      <w:r w:rsidRPr="00D55844">
        <w:t xml:space="preserve"> </w:t>
      </w:r>
      <w:proofErr w:type="spellStart"/>
      <w:r w:rsidRPr="00D55844">
        <w:t>vs</w:t>
      </w:r>
      <w:proofErr w:type="spellEnd"/>
      <w:r w:rsidRPr="00D55844">
        <w:t xml:space="preserve"> </w:t>
      </w:r>
      <w:r w:rsidR="005A5B9B">
        <w:t>Telstra’s</w:t>
      </w:r>
      <w:r w:rsidRPr="00D55844">
        <w:t xml:space="preserve"> proposed approach for CO0</w:t>
      </w:r>
      <w:r>
        <w:t>6</w:t>
      </w:r>
      <w:r w:rsidR="005A5B9B">
        <w:t xml:space="preserve"> core radio bearer equipment</w:t>
      </w:r>
      <w:r w:rsidR="00275FA1">
        <w:t xml:space="preserve"> for 2013-14</w:t>
      </w:r>
    </w:p>
    <w:tbl>
      <w:tblPr>
        <w:tblStyle w:val="TableGrid"/>
        <w:tblW w:w="0" w:type="auto"/>
        <w:tblLook w:val="04A0" w:firstRow="1" w:lastRow="0" w:firstColumn="1" w:lastColumn="0" w:noHBand="0" w:noVBand="1"/>
      </w:tblPr>
      <w:tblGrid>
        <w:gridCol w:w="1795"/>
        <w:gridCol w:w="1799"/>
        <w:gridCol w:w="1765"/>
        <w:gridCol w:w="1789"/>
        <w:gridCol w:w="1516"/>
      </w:tblGrid>
      <w:tr w:rsidR="001D0EB8" w:rsidTr="00AB2E1F">
        <w:trPr>
          <w:trHeight w:val="447"/>
        </w:trPr>
        <w:tc>
          <w:tcPr>
            <w:tcW w:w="1795" w:type="dxa"/>
          </w:tcPr>
          <w:p w:rsidR="001D0EB8" w:rsidRDefault="001D0EB8" w:rsidP="00350637">
            <w:pPr>
              <w:pStyle w:val="Table2Text"/>
            </w:pPr>
            <w:r>
              <w:t>Declared service</w:t>
            </w:r>
          </w:p>
        </w:tc>
        <w:tc>
          <w:tcPr>
            <w:tcW w:w="1799" w:type="dxa"/>
          </w:tcPr>
          <w:p w:rsidR="001D0EB8" w:rsidRDefault="001D0EB8" w:rsidP="00AC01B7">
            <w:pPr>
              <w:pStyle w:val="Table2Text"/>
            </w:pPr>
            <w:r>
              <w:t>2011/2013 FAD</w:t>
            </w:r>
            <w:r w:rsidR="00275FA1">
              <w:t xml:space="preserve"> approach</w:t>
            </w:r>
            <w:r>
              <w:t xml:space="preserve"> %</w:t>
            </w:r>
          </w:p>
        </w:tc>
        <w:tc>
          <w:tcPr>
            <w:tcW w:w="1765" w:type="dxa"/>
          </w:tcPr>
          <w:p w:rsidR="001D0EB8" w:rsidRDefault="001D0EB8" w:rsidP="00AC01B7">
            <w:pPr>
              <w:pStyle w:val="Table2Text"/>
            </w:pPr>
            <w:r>
              <w:t>Telstra proposed</w:t>
            </w:r>
            <w:r w:rsidR="00275FA1">
              <w:t xml:space="preserve"> approach</w:t>
            </w:r>
            <w:r>
              <w:t xml:space="preserve"> %</w:t>
            </w:r>
          </w:p>
        </w:tc>
        <w:tc>
          <w:tcPr>
            <w:tcW w:w="1789" w:type="dxa"/>
          </w:tcPr>
          <w:p w:rsidR="001D0EB8" w:rsidRDefault="001D0EB8" w:rsidP="00AC01B7">
            <w:pPr>
              <w:pStyle w:val="Table2Text"/>
            </w:pPr>
            <w:r w:rsidRPr="00B47D2F">
              <w:t>% point difference</w:t>
            </w:r>
          </w:p>
        </w:tc>
        <w:tc>
          <w:tcPr>
            <w:tcW w:w="1516" w:type="dxa"/>
          </w:tcPr>
          <w:p w:rsidR="001D0EB8" w:rsidRDefault="001D0EB8" w:rsidP="00AC01B7">
            <w:pPr>
              <w:pStyle w:val="Table2Text"/>
            </w:pPr>
            <w:r w:rsidRPr="00B47D2F">
              <w:t>% change</w:t>
            </w:r>
          </w:p>
        </w:tc>
      </w:tr>
      <w:tr w:rsidR="001D0EB8" w:rsidTr="00AB2E1F">
        <w:trPr>
          <w:trHeight w:val="447"/>
        </w:trPr>
        <w:tc>
          <w:tcPr>
            <w:tcW w:w="1795" w:type="dxa"/>
          </w:tcPr>
          <w:p w:rsidR="001D0EB8" w:rsidRDefault="005E6CFE" w:rsidP="00350637">
            <w:pPr>
              <w:pStyle w:val="Table2Text"/>
            </w:pPr>
            <w:r w:rsidRPr="005E6CFE">
              <w:t>FOAS/FTAS</w:t>
            </w:r>
          </w:p>
        </w:tc>
        <w:tc>
          <w:tcPr>
            <w:tcW w:w="1799" w:type="dxa"/>
          </w:tcPr>
          <w:p w:rsidR="001D0EB8" w:rsidRDefault="002227F7" w:rsidP="00AC01B7">
            <w:pPr>
              <w:pStyle w:val="Table2Text"/>
            </w:pPr>
            <w:r w:rsidRPr="008A178E">
              <w:t>[c-</w:t>
            </w:r>
            <w:proofErr w:type="spellStart"/>
            <w:r w:rsidRPr="008A178E">
              <w:t>i</w:t>
            </w:r>
            <w:proofErr w:type="spellEnd"/>
            <w:r w:rsidRPr="008A178E">
              <w:t>-c starts]</w:t>
            </w:r>
            <w:r w:rsidR="00552D6F">
              <w:rPr>
                <w:noProof/>
                <w:color w:val="000000"/>
                <w:highlight w:val="black"/>
              </w:rPr>
              <w:t>'''''''</w:t>
            </w:r>
          </w:p>
        </w:tc>
        <w:tc>
          <w:tcPr>
            <w:tcW w:w="1765" w:type="dxa"/>
          </w:tcPr>
          <w:p w:rsidR="001D0EB8" w:rsidRPr="00552D6F" w:rsidRDefault="00552D6F" w:rsidP="00AC01B7">
            <w:pPr>
              <w:pStyle w:val="Table2Text"/>
              <w:rPr>
                <w:highlight w:val="black"/>
              </w:rPr>
            </w:pPr>
            <w:r>
              <w:rPr>
                <w:noProof/>
                <w:color w:val="000000"/>
                <w:highlight w:val="black"/>
              </w:rPr>
              <w:t>''''''''</w:t>
            </w:r>
          </w:p>
        </w:tc>
        <w:tc>
          <w:tcPr>
            <w:tcW w:w="1789" w:type="dxa"/>
          </w:tcPr>
          <w:p w:rsidR="001D0EB8" w:rsidRPr="00552D6F" w:rsidRDefault="00552D6F" w:rsidP="00AC01B7">
            <w:pPr>
              <w:pStyle w:val="Table2Text"/>
              <w:rPr>
                <w:highlight w:val="black"/>
              </w:rPr>
            </w:pPr>
            <w:r>
              <w:rPr>
                <w:noProof/>
                <w:color w:val="000000"/>
                <w:highlight w:val="black"/>
              </w:rPr>
              <w:t>'''''''''''</w:t>
            </w:r>
          </w:p>
        </w:tc>
        <w:tc>
          <w:tcPr>
            <w:tcW w:w="1516" w:type="dxa"/>
          </w:tcPr>
          <w:p w:rsidR="001D0EB8" w:rsidRPr="00552D6F" w:rsidRDefault="00552D6F" w:rsidP="00AC01B7">
            <w:pPr>
              <w:pStyle w:val="Table2Text"/>
              <w:rPr>
                <w:highlight w:val="black"/>
              </w:rPr>
            </w:pPr>
            <w:r>
              <w:rPr>
                <w:noProof/>
                <w:color w:val="000000"/>
                <w:highlight w:val="black"/>
              </w:rPr>
              <w:t>'''''''''''''''</w:t>
            </w:r>
          </w:p>
        </w:tc>
      </w:tr>
      <w:tr w:rsidR="001D0EB8" w:rsidTr="00AB2E1F">
        <w:trPr>
          <w:trHeight w:val="447"/>
        </w:trPr>
        <w:tc>
          <w:tcPr>
            <w:tcW w:w="1795" w:type="dxa"/>
          </w:tcPr>
          <w:p w:rsidR="001D0EB8" w:rsidRDefault="001D0EB8" w:rsidP="00350637">
            <w:pPr>
              <w:pStyle w:val="Table2Text"/>
            </w:pPr>
            <w:r>
              <w:t>LCS</w:t>
            </w:r>
          </w:p>
        </w:tc>
        <w:tc>
          <w:tcPr>
            <w:tcW w:w="1799" w:type="dxa"/>
          </w:tcPr>
          <w:p w:rsidR="001D0EB8" w:rsidRPr="00552D6F" w:rsidRDefault="00552D6F" w:rsidP="00AC01B7">
            <w:pPr>
              <w:pStyle w:val="Table2Text"/>
              <w:rPr>
                <w:highlight w:val="black"/>
              </w:rPr>
            </w:pPr>
            <w:r>
              <w:rPr>
                <w:noProof/>
                <w:color w:val="000000"/>
                <w:highlight w:val="black"/>
              </w:rPr>
              <w:t>''''''''</w:t>
            </w:r>
          </w:p>
        </w:tc>
        <w:tc>
          <w:tcPr>
            <w:tcW w:w="1765" w:type="dxa"/>
          </w:tcPr>
          <w:p w:rsidR="001D0EB8" w:rsidRPr="00552D6F" w:rsidRDefault="00552D6F" w:rsidP="00AC01B7">
            <w:pPr>
              <w:pStyle w:val="Table2Text"/>
              <w:rPr>
                <w:highlight w:val="black"/>
              </w:rPr>
            </w:pPr>
            <w:r>
              <w:rPr>
                <w:noProof/>
                <w:color w:val="000000"/>
                <w:highlight w:val="black"/>
              </w:rPr>
              <w:t>'''''''''</w:t>
            </w:r>
          </w:p>
        </w:tc>
        <w:tc>
          <w:tcPr>
            <w:tcW w:w="1789" w:type="dxa"/>
          </w:tcPr>
          <w:p w:rsidR="001D0EB8" w:rsidRPr="00552D6F" w:rsidRDefault="00552D6F" w:rsidP="00AC01B7">
            <w:pPr>
              <w:pStyle w:val="Table2Text"/>
              <w:rPr>
                <w:highlight w:val="black"/>
              </w:rPr>
            </w:pPr>
            <w:r>
              <w:rPr>
                <w:noProof/>
                <w:color w:val="000000"/>
                <w:highlight w:val="black"/>
              </w:rPr>
              <w:t>''''''''''</w:t>
            </w:r>
          </w:p>
        </w:tc>
        <w:tc>
          <w:tcPr>
            <w:tcW w:w="1516" w:type="dxa"/>
          </w:tcPr>
          <w:p w:rsidR="001D0EB8" w:rsidRPr="00552D6F" w:rsidRDefault="00552D6F" w:rsidP="00AC01B7">
            <w:pPr>
              <w:pStyle w:val="Table2Text"/>
              <w:rPr>
                <w:highlight w:val="black"/>
              </w:rPr>
            </w:pPr>
            <w:r>
              <w:rPr>
                <w:noProof/>
                <w:color w:val="000000"/>
                <w:highlight w:val="black"/>
              </w:rPr>
              <w:t>''''''''''''''</w:t>
            </w:r>
          </w:p>
        </w:tc>
      </w:tr>
      <w:tr w:rsidR="001D0EB8" w:rsidTr="00AB2E1F">
        <w:trPr>
          <w:trHeight w:val="447"/>
        </w:trPr>
        <w:tc>
          <w:tcPr>
            <w:tcW w:w="1795" w:type="dxa"/>
          </w:tcPr>
          <w:p w:rsidR="001D0EB8" w:rsidRDefault="001D0EB8" w:rsidP="00350637">
            <w:pPr>
              <w:pStyle w:val="Table2Text"/>
            </w:pPr>
            <w:r>
              <w:t>Wholesale ADSL</w:t>
            </w:r>
          </w:p>
        </w:tc>
        <w:tc>
          <w:tcPr>
            <w:tcW w:w="1799" w:type="dxa"/>
          </w:tcPr>
          <w:p w:rsidR="001D0EB8" w:rsidRPr="00552D6F" w:rsidRDefault="00552D6F" w:rsidP="00EC2770">
            <w:pPr>
              <w:pStyle w:val="Table2Text"/>
              <w:rPr>
                <w:highlight w:val="black"/>
              </w:rPr>
            </w:pPr>
            <w:r>
              <w:rPr>
                <w:noProof/>
                <w:color w:val="000000"/>
                <w:highlight w:val="black"/>
              </w:rPr>
              <w:t>'''''''''</w:t>
            </w:r>
          </w:p>
        </w:tc>
        <w:tc>
          <w:tcPr>
            <w:tcW w:w="1765" w:type="dxa"/>
          </w:tcPr>
          <w:p w:rsidR="001D0EB8" w:rsidRPr="00552D6F" w:rsidRDefault="00552D6F" w:rsidP="00AC01B7">
            <w:pPr>
              <w:pStyle w:val="Table2Text"/>
              <w:rPr>
                <w:highlight w:val="black"/>
              </w:rPr>
            </w:pPr>
            <w:r>
              <w:rPr>
                <w:noProof/>
                <w:color w:val="000000"/>
                <w:highlight w:val="black"/>
              </w:rPr>
              <w:t>'''''''</w:t>
            </w:r>
          </w:p>
        </w:tc>
        <w:tc>
          <w:tcPr>
            <w:tcW w:w="1789" w:type="dxa"/>
          </w:tcPr>
          <w:p w:rsidR="001D0EB8" w:rsidRPr="00552D6F" w:rsidRDefault="00552D6F" w:rsidP="00AC01B7">
            <w:pPr>
              <w:pStyle w:val="Table2Text"/>
              <w:rPr>
                <w:highlight w:val="black"/>
              </w:rPr>
            </w:pPr>
            <w:r>
              <w:rPr>
                <w:noProof/>
                <w:color w:val="000000"/>
                <w:highlight w:val="black"/>
              </w:rPr>
              <w:t>'''''''''''</w:t>
            </w:r>
          </w:p>
        </w:tc>
        <w:tc>
          <w:tcPr>
            <w:tcW w:w="1516" w:type="dxa"/>
          </w:tcPr>
          <w:p w:rsidR="001D0EB8" w:rsidRDefault="00552D6F" w:rsidP="00AC01B7">
            <w:pPr>
              <w:pStyle w:val="Table2Text"/>
            </w:pPr>
            <w:r>
              <w:rPr>
                <w:noProof/>
                <w:color w:val="000000"/>
                <w:highlight w:val="black"/>
              </w:rPr>
              <w:t>''''''''''''</w:t>
            </w:r>
            <w:r w:rsidR="002227F7">
              <w:t>[c-</w:t>
            </w:r>
            <w:proofErr w:type="spellStart"/>
            <w:r w:rsidR="002227F7">
              <w:t>i</w:t>
            </w:r>
            <w:proofErr w:type="spellEnd"/>
            <w:r w:rsidR="002227F7">
              <w:t>-c ends]</w:t>
            </w:r>
          </w:p>
        </w:tc>
      </w:tr>
    </w:tbl>
    <w:p w:rsidR="00117E22" w:rsidRDefault="00117E22" w:rsidP="00117E22"/>
    <w:p w:rsidR="00117E22" w:rsidRDefault="009A55F8" w:rsidP="00117E22">
      <w:r>
        <w:t>Figure 3.6.2</w:t>
      </w:r>
      <w:r w:rsidR="004E5D34" w:rsidRPr="004E5D34">
        <w:t xml:space="preserve"> shows Telstra’s assumed share of use of </w:t>
      </w:r>
      <w:r w:rsidR="004E5D34">
        <w:t>core radio bearer equipment</w:t>
      </w:r>
      <w:r w:rsidR="004E5D34" w:rsidRPr="004E5D34">
        <w:t xml:space="preserve"> by the various services for 2013-14.</w:t>
      </w:r>
      <w:r w:rsidR="002D0DB8">
        <w:t xml:space="preserve"> </w:t>
      </w:r>
    </w:p>
    <w:p w:rsidR="00A06B2B" w:rsidRDefault="005065CE" w:rsidP="00AC5A20">
      <w:pPr>
        <w:pStyle w:val="HeadingLevel8table"/>
        <w:ind w:left="1440" w:hanging="1440"/>
      </w:pPr>
      <w:r w:rsidRPr="008B4094">
        <w:t>Figure 3.</w:t>
      </w:r>
      <w:r w:rsidRPr="00B9633B">
        <w:t>6.2</w:t>
      </w:r>
      <w:r w:rsidRPr="00B9633B">
        <w:tab/>
        <w:t>Telstra’s proposed allocation of CO06</w:t>
      </w:r>
      <w:r w:rsidR="00A06B2B">
        <w:t xml:space="preserve"> core radio bearer equipment</w:t>
      </w:r>
      <w:r w:rsidR="00A668E5">
        <w:t xml:space="preserve"> for 2013-14</w:t>
      </w:r>
    </w:p>
    <w:p w:rsidR="00A703F9" w:rsidRPr="005871C8" w:rsidRDefault="00A703F9" w:rsidP="00AC5A20">
      <w:r w:rsidRPr="00AC5A20">
        <w:rPr>
          <w:b/>
        </w:rPr>
        <w:t>[</w:t>
      </w:r>
      <w:proofErr w:type="gramStart"/>
      <w:r w:rsidRPr="00AC5A20">
        <w:rPr>
          <w:b/>
        </w:rPr>
        <w:t>c-</w:t>
      </w:r>
      <w:proofErr w:type="spellStart"/>
      <w:r w:rsidRPr="00AC5A20">
        <w:rPr>
          <w:b/>
        </w:rPr>
        <w:t>i</w:t>
      </w:r>
      <w:proofErr w:type="spellEnd"/>
      <w:r w:rsidRPr="00AC5A20">
        <w:rPr>
          <w:b/>
        </w:rPr>
        <w:t>-c</w:t>
      </w:r>
      <w:proofErr w:type="gramEnd"/>
      <w:r w:rsidRPr="00AC5A20">
        <w:rPr>
          <w:b/>
        </w:rPr>
        <w:t xml:space="preserve"> starts]</w:t>
      </w:r>
    </w:p>
    <w:p w:rsidR="00A703F9" w:rsidRPr="00552D6F" w:rsidRDefault="00552D6F" w:rsidP="00AB2E1F">
      <w:pPr>
        <w:pStyle w:val="HeadingLevel8table"/>
        <w:rPr>
          <w:b w:val="0"/>
        </w:rPr>
      </w:pPr>
      <w:r>
        <w:rPr>
          <w:b w:val="0"/>
          <w:noProof/>
          <w:lang w:eastAsia="en-AU"/>
        </w:rPr>
        <w:drawing>
          <wp:inline distT="0" distB="0" distL="0" distR="0">
            <wp:extent cx="3615055" cy="252984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15055" cy="2529840"/>
                    </a:xfrm>
                    <a:prstGeom prst="rect">
                      <a:avLst/>
                    </a:prstGeom>
                  </pic:spPr>
                </pic:pic>
              </a:graphicData>
            </a:graphic>
          </wp:inline>
        </w:drawing>
      </w:r>
    </w:p>
    <w:p w:rsidR="004E5D34" w:rsidRDefault="002227F7" w:rsidP="00AB2E1F">
      <w:pPr>
        <w:pStyle w:val="HeadingLevel8table"/>
      </w:pPr>
      <w:r w:rsidRPr="002227F7">
        <w:t>[</w:t>
      </w:r>
      <w:proofErr w:type="gramStart"/>
      <w:r w:rsidRPr="002227F7">
        <w:t>c-</w:t>
      </w:r>
      <w:proofErr w:type="spellStart"/>
      <w:r w:rsidRPr="002227F7">
        <w:t>i</w:t>
      </w:r>
      <w:proofErr w:type="spellEnd"/>
      <w:r w:rsidRPr="002227F7">
        <w:t>-c</w:t>
      </w:r>
      <w:proofErr w:type="gramEnd"/>
      <w:r w:rsidRPr="002227F7">
        <w:t xml:space="preserve"> ends]</w:t>
      </w:r>
    </w:p>
    <w:p w:rsidR="00117E22" w:rsidRPr="00117E22" w:rsidRDefault="00117E22" w:rsidP="00117E22"/>
    <w:p w:rsidR="0004761D" w:rsidRDefault="0004761D">
      <w:pPr>
        <w:spacing w:after="200" w:line="276" w:lineRule="auto"/>
        <w:rPr>
          <w:rFonts w:eastAsiaTheme="majorEastAsia" w:cstheme="majorBidi"/>
          <w:b/>
          <w:color w:val="002060"/>
          <w:sz w:val="32"/>
          <w:szCs w:val="28"/>
        </w:rPr>
      </w:pPr>
      <w:r>
        <w:br w:type="page"/>
      </w:r>
    </w:p>
    <w:p w:rsidR="00791D3C" w:rsidRDefault="00791D3C" w:rsidP="00791D3C">
      <w:pPr>
        <w:pStyle w:val="HeadingLevel2"/>
      </w:pPr>
      <w:bookmarkStart w:id="27" w:name="_Toc393375579"/>
      <w:r>
        <w:lastRenderedPageBreak/>
        <w:t>CO07 o</w:t>
      </w:r>
      <w:r w:rsidRPr="00791D3C">
        <w:t>ther communications plant</w:t>
      </w:r>
      <w:r w:rsidR="00422CF2">
        <w:t xml:space="preserve"> and equipment</w:t>
      </w:r>
      <w:bookmarkEnd w:id="27"/>
    </w:p>
    <w:p w:rsidR="00117E22" w:rsidRDefault="00117E22" w:rsidP="00117E22">
      <w:pPr>
        <w:pStyle w:val="HeadingLevel3"/>
        <w:numPr>
          <w:ilvl w:val="0"/>
          <w:numId w:val="0"/>
        </w:numPr>
      </w:pPr>
      <w:r>
        <w:t>Asset description</w:t>
      </w:r>
    </w:p>
    <w:p w:rsidR="00117E22" w:rsidRDefault="002649AE" w:rsidP="00117E22">
      <w:r>
        <w:t>Other c</w:t>
      </w:r>
      <w:r w:rsidR="004A196F" w:rsidRPr="004A196F">
        <w:t>ommunications plant and equipment contain</w:t>
      </w:r>
      <w:r w:rsidR="00526452">
        <w:t>s</w:t>
      </w:r>
      <w:r w:rsidR="004A196F" w:rsidRPr="004A196F">
        <w:t xml:space="preserve"> racks, ironworks and tie cables used in Telstra exchange buildings.</w:t>
      </w:r>
    </w:p>
    <w:p w:rsidR="00CD7B82" w:rsidRDefault="00CD7B82" w:rsidP="00CD7B82">
      <w:pPr>
        <w:pStyle w:val="HeadingLevel3"/>
        <w:numPr>
          <w:ilvl w:val="0"/>
          <w:numId w:val="0"/>
        </w:numPr>
      </w:pPr>
      <w:r>
        <w:t xml:space="preserve">Key points </w:t>
      </w:r>
    </w:p>
    <w:p w:rsidR="00526452" w:rsidRPr="00A93872" w:rsidRDefault="002649AE" w:rsidP="00526452">
      <w:pPr>
        <w:pStyle w:val="Bulleta"/>
      </w:pPr>
      <w:r>
        <w:t>Other c</w:t>
      </w:r>
      <w:r w:rsidR="00526452" w:rsidRPr="004A196F">
        <w:t xml:space="preserve">ommunications plant and equipment </w:t>
      </w:r>
      <w:r w:rsidR="00526452">
        <w:t>contributes only a minor proportion towards the total fixed</w:t>
      </w:r>
      <w:r w:rsidR="000255D7">
        <w:t xml:space="preserve"> </w:t>
      </w:r>
      <w:r w:rsidR="00526452">
        <w:t>line revenue requirement (</w:t>
      </w:r>
      <w:r w:rsidR="00526452">
        <w:rPr>
          <w:b/>
        </w:rPr>
        <w:t>[c-</w:t>
      </w:r>
      <w:proofErr w:type="spellStart"/>
      <w:r w:rsidR="00526452">
        <w:rPr>
          <w:b/>
        </w:rPr>
        <w:t>i</w:t>
      </w:r>
      <w:proofErr w:type="spellEnd"/>
      <w:r w:rsidR="00526452">
        <w:rPr>
          <w:b/>
        </w:rPr>
        <w:t>-c starts]</w:t>
      </w:r>
      <w:r w:rsidR="00552D6F">
        <w:rPr>
          <w:noProof/>
          <w:color w:val="000000"/>
          <w:highlight w:val="black"/>
        </w:rPr>
        <w:t>''''''''</w:t>
      </w:r>
      <w:r w:rsidR="00526452">
        <w:rPr>
          <w:b/>
        </w:rPr>
        <w:t>[c-</w:t>
      </w:r>
      <w:proofErr w:type="spellStart"/>
      <w:r w:rsidR="00526452">
        <w:rPr>
          <w:b/>
        </w:rPr>
        <w:t>i</w:t>
      </w:r>
      <w:proofErr w:type="spellEnd"/>
      <w:r w:rsidR="00526452">
        <w:rPr>
          <w:b/>
        </w:rPr>
        <w:t>-c ends]</w:t>
      </w:r>
      <w:r w:rsidR="00526452">
        <w:t xml:space="preserve"> per cent</w:t>
      </w:r>
      <w:r w:rsidR="00526452" w:rsidRPr="00A93872">
        <w:t xml:space="preserve"> in 2013-14</w:t>
      </w:r>
      <w:r w:rsidR="00526452">
        <w:t>).</w:t>
      </w:r>
    </w:p>
    <w:p w:rsidR="002649AE" w:rsidRDefault="002649AE" w:rsidP="002649AE">
      <w:pPr>
        <w:pStyle w:val="Bulleta"/>
      </w:pPr>
      <w:r w:rsidRPr="006A3C2D">
        <w:t xml:space="preserve">Telstra’s proposed </w:t>
      </w:r>
      <w:r>
        <w:t xml:space="preserve">‘general allocator’ approach </w:t>
      </w:r>
      <w:r w:rsidRPr="006A3C2D">
        <w:t xml:space="preserve">for </w:t>
      </w:r>
      <w:r>
        <w:t>o</w:t>
      </w:r>
      <w:r w:rsidRPr="004A196F">
        <w:t xml:space="preserve">ther </w:t>
      </w:r>
      <w:r>
        <w:t>c</w:t>
      </w:r>
      <w:r w:rsidRPr="004A196F">
        <w:t xml:space="preserve">ommunications, plant and equipment </w:t>
      </w:r>
      <w:r>
        <w:t>is</w:t>
      </w:r>
      <w:r w:rsidRPr="006A3C2D">
        <w:t xml:space="preserve"> </w:t>
      </w:r>
      <w:r>
        <w:t xml:space="preserve">similar to </w:t>
      </w:r>
      <w:r w:rsidRPr="006A3C2D">
        <w:t xml:space="preserve">the </w:t>
      </w:r>
      <w:r>
        <w:t>‘</w:t>
      </w:r>
      <w:r w:rsidRPr="006A3C2D">
        <w:t>revenue share</w:t>
      </w:r>
      <w:r>
        <w:t>’</w:t>
      </w:r>
      <w:r w:rsidRPr="006A3C2D">
        <w:t xml:space="preserve"> </w:t>
      </w:r>
      <w:r>
        <w:t xml:space="preserve">approach adopted for this asset class in </w:t>
      </w:r>
      <w:r w:rsidRPr="006A3C2D">
        <w:t>th</w:t>
      </w:r>
      <w:r>
        <w:t>e 2011 FADs. The key differences are:</w:t>
      </w:r>
    </w:p>
    <w:p w:rsidR="002649AE" w:rsidRDefault="002649AE" w:rsidP="002649AE">
      <w:pPr>
        <w:pStyle w:val="Bulletb"/>
      </w:pPr>
      <w:proofErr w:type="gramStart"/>
      <w:r>
        <w:t>under</w:t>
      </w:r>
      <w:proofErr w:type="gramEnd"/>
      <w:r>
        <w:t xml:space="preserve"> Telstra’s approach, </w:t>
      </w:r>
      <w:r w:rsidR="007F3C4A">
        <w:t xml:space="preserve">the first six core asset </w:t>
      </w:r>
      <w:r>
        <w:t xml:space="preserve">classes </w:t>
      </w:r>
      <w:r w:rsidR="007F3C4A">
        <w:t xml:space="preserve">and CO12 data equipment </w:t>
      </w:r>
      <w:r>
        <w:t xml:space="preserve">are used to calculate the general allocation factor. In the 2011 </w:t>
      </w:r>
      <w:r w:rsidR="007F3C4A">
        <w:t>FAD, data equipment was not used in this calculation (this asset class was only added to the FLSM in 2013)</w:t>
      </w:r>
      <w:r>
        <w:t>.</w:t>
      </w:r>
    </w:p>
    <w:p w:rsidR="002649AE" w:rsidRDefault="002649AE" w:rsidP="002649AE">
      <w:pPr>
        <w:pStyle w:val="Bulletb"/>
      </w:pPr>
      <w:proofErr w:type="gramStart"/>
      <w:r>
        <w:t>under</w:t>
      </w:r>
      <w:proofErr w:type="gramEnd"/>
      <w:r>
        <w:t xml:space="preserve"> Telstra’s approach, the general allocation factor is calculated annually. In the 2011 FADs, it was calculated using the revenue share approach for the first year only, then adjusted in line with changes in demand for declared services. </w:t>
      </w:r>
    </w:p>
    <w:p w:rsidR="00BE1D5D" w:rsidRDefault="00BE1D5D" w:rsidP="00CD7B82">
      <w:pPr>
        <w:pStyle w:val="Bulleta"/>
      </w:pPr>
      <w:r>
        <w:t>Telstra’s proposed approach</w:t>
      </w:r>
      <w:r w:rsidR="00F94B78">
        <w:t xml:space="preserve"> to</w:t>
      </w:r>
      <w:r>
        <w:t xml:space="preserve"> o</w:t>
      </w:r>
      <w:r w:rsidRPr="004A196F">
        <w:t xml:space="preserve">ther </w:t>
      </w:r>
      <w:r>
        <w:t>c</w:t>
      </w:r>
      <w:r w:rsidRPr="004A196F">
        <w:t>ommunications plant and equipment</w:t>
      </w:r>
      <w:r>
        <w:t xml:space="preserve"> also includes an allocation to third</w:t>
      </w:r>
      <w:r w:rsidR="00D727FD">
        <w:t xml:space="preserve"> </w:t>
      </w:r>
      <w:r>
        <w:t>party use to reflect the use of Telstra’s exchange buildings (and associated equipment) by other users, including NBN Co. This allocation was based on internal Telstra information on current use of Telstra facilities by third parties (as opposed to forecast use).</w:t>
      </w:r>
    </w:p>
    <w:p w:rsidR="00117E22" w:rsidRDefault="00117E22" w:rsidP="00117E22">
      <w:pPr>
        <w:pStyle w:val="HeadingLevel3"/>
        <w:numPr>
          <w:ilvl w:val="0"/>
          <w:numId w:val="0"/>
        </w:numPr>
      </w:pPr>
      <w:r>
        <w:t xml:space="preserve">Services using this asset class </w:t>
      </w:r>
    </w:p>
    <w:p w:rsidR="004A196F" w:rsidRDefault="004A196F" w:rsidP="004A196F">
      <w:r>
        <w:t xml:space="preserve">Other communications plant and equipment are used for declared and </w:t>
      </w:r>
      <w:r w:rsidR="00E0461B">
        <w:t xml:space="preserve">non-declared </w:t>
      </w:r>
      <w:r>
        <w:t>fixed</w:t>
      </w:r>
      <w:r w:rsidR="000255D7">
        <w:t xml:space="preserve"> </w:t>
      </w:r>
      <w:r>
        <w:t>line services</w:t>
      </w:r>
      <w:r w:rsidR="00E0461B">
        <w:t xml:space="preserve">, as well as </w:t>
      </w:r>
      <w:r>
        <w:t xml:space="preserve">a range of </w:t>
      </w:r>
      <w:r w:rsidR="00E0461B">
        <w:t xml:space="preserve">other </w:t>
      </w:r>
      <w:r>
        <w:t>non-fixed-line uses.</w:t>
      </w:r>
    </w:p>
    <w:p w:rsidR="004A196F" w:rsidRDefault="004A196F" w:rsidP="004A196F">
      <w:r>
        <w:t xml:space="preserve">The declared services that require other communications plant and equipment are WLR, </w:t>
      </w:r>
      <w:r w:rsidR="00976AE7" w:rsidRPr="00976AE7">
        <w:t>FOAS and FTAS (formally known as PSTN OA and PSTN TA or collectively as PSTN OTA)</w:t>
      </w:r>
      <w:r>
        <w:t xml:space="preserve">, LCS and </w:t>
      </w:r>
      <w:r w:rsidR="00E0461B">
        <w:t xml:space="preserve">wholesale </w:t>
      </w:r>
      <w:r>
        <w:t>ADSL services.</w:t>
      </w:r>
      <w:r w:rsidR="00610AFF">
        <w:t xml:space="preserve"> The non-declared services using this asset class include retail PSTN</w:t>
      </w:r>
      <w:r w:rsidR="00742639">
        <w:t xml:space="preserve"> services</w:t>
      </w:r>
      <w:r w:rsidR="00610AFF">
        <w:t>,</w:t>
      </w:r>
      <w:r w:rsidR="00B8528A">
        <w:t xml:space="preserve"> retail ADSL, ISDN and other DSL services.</w:t>
      </w:r>
    </w:p>
    <w:p w:rsidR="00FB4BB7" w:rsidRDefault="00FB4BB7" w:rsidP="00FB4BB7">
      <w:r>
        <w:t>Other communications plant and equipment are used to support use of Telstra’s facilities by third parties (including NBN Co or access seekers that install their own equipment).</w:t>
      </w:r>
      <w:r w:rsidR="00216227">
        <w:t xml:space="preserve"> </w:t>
      </w:r>
      <w:r>
        <w:t xml:space="preserve">Other communications plant and equipment is also assumed </w:t>
      </w:r>
      <w:r w:rsidR="00D727FD">
        <w:t xml:space="preserve">to </w:t>
      </w:r>
      <w:r>
        <w:t>support non-fixed-line services such as mobiles and non-ADSL data.</w:t>
      </w:r>
    </w:p>
    <w:p w:rsidR="007F36BF" w:rsidRDefault="007F36BF" w:rsidP="007F36BF">
      <w:pPr>
        <w:pStyle w:val="HeadingLevel3"/>
        <w:numPr>
          <w:ilvl w:val="0"/>
          <w:numId w:val="0"/>
        </w:numPr>
      </w:pPr>
      <w:r>
        <w:t xml:space="preserve">Approach adopted for </w:t>
      </w:r>
      <w:r w:rsidR="00D727FD">
        <w:t xml:space="preserve">the </w:t>
      </w:r>
      <w:r>
        <w:t>2011</w:t>
      </w:r>
      <w:r w:rsidR="009B76DF">
        <w:t xml:space="preserve"> and 2013</w:t>
      </w:r>
      <w:r>
        <w:t xml:space="preserve"> FAD</w:t>
      </w:r>
      <w:r w:rsidR="009B76DF">
        <w:t>s</w:t>
      </w:r>
    </w:p>
    <w:p w:rsidR="007F36BF" w:rsidRDefault="007F36BF" w:rsidP="007F36BF">
      <w:r w:rsidRPr="00583116">
        <w:t xml:space="preserve">In the 2011 FAD, the </w:t>
      </w:r>
      <w:r>
        <w:t xml:space="preserve">initial </w:t>
      </w:r>
      <w:r w:rsidRPr="00583116">
        <w:t xml:space="preserve">cost allocation factor for </w:t>
      </w:r>
      <w:r>
        <w:t>o</w:t>
      </w:r>
      <w:r w:rsidRPr="004A196F">
        <w:t xml:space="preserve">ther </w:t>
      </w:r>
      <w:r>
        <w:t>c</w:t>
      </w:r>
      <w:r w:rsidRPr="004A196F">
        <w:t>ommunications, plant and equipment</w:t>
      </w:r>
      <w:r>
        <w:t xml:space="preserve"> </w:t>
      </w:r>
      <w:r w:rsidRPr="00583116">
        <w:t xml:space="preserve">was based on a </w:t>
      </w:r>
      <w:r>
        <w:t>‘</w:t>
      </w:r>
      <w:r w:rsidRPr="00583116">
        <w:t>revenue share</w:t>
      </w:r>
      <w:r>
        <w:t>’</w:t>
      </w:r>
      <w:r w:rsidRPr="00583116">
        <w:t xml:space="preserve"> approach.</w:t>
      </w:r>
      <w:r>
        <w:t xml:space="preserve"> This involved the following three step process:</w:t>
      </w:r>
    </w:p>
    <w:p w:rsidR="007F36BF" w:rsidRDefault="007F36BF" w:rsidP="007F36BF">
      <w:pPr>
        <w:pStyle w:val="Bulleta"/>
      </w:pPr>
      <w:r w:rsidRPr="00583116">
        <w:t xml:space="preserve">First, </w:t>
      </w:r>
      <w:r>
        <w:t xml:space="preserve">the total annual revenue requirement for </w:t>
      </w:r>
      <w:r w:rsidRPr="00583116">
        <w:t xml:space="preserve">the first </w:t>
      </w:r>
      <w:r>
        <w:t>six core</w:t>
      </w:r>
      <w:r w:rsidRPr="00583116">
        <w:t xml:space="preserve"> asset classes</w:t>
      </w:r>
      <w:r>
        <w:t xml:space="preserve"> was calculated for 2009-10.</w:t>
      </w:r>
    </w:p>
    <w:p w:rsidR="007F36BF" w:rsidRDefault="007F36BF" w:rsidP="007F36BF">
      <w:pPr>
        <w:pStyle w:val="Bulleta"/>
      </w:pPr>
      <w:r>
        <w:lastRenderedPageBreak/>
        <w:t xml:space="preserve">Second, the annual revenue requirement for </w:t>
      </w:r>
      <w:r w:rsidRPr="00583116">
        <w:t xml:space="preserve">the first </w:t>
      </w:r>
      <w:r>
        <w:t>six core</w:t>
      </w:r>
      <w:r w:rsidRPr="00583116">
        <w:t xml:space="preserve"> asset classes</w:t>
      </w:r>
      <w:r>
        <w:t xml:space="preserve"> for each declared service was calculated for 2009-10.</w:t>
      </w:r>
    </w:p>
    <w:p w:rsidR="007F36BF" w:rsidRDefault="007F36BF" w:rsidP="007F36BF">
      <w:pPr>
        <w:pStyle w:val="Bulleta"/>
      </w:pPr>
      <w:r>
        <w:t>Third, the annual revenue requirement for each declared service calculated in the second step is divided by the total annual revenue requirement calculated in the first step to obtain the cost allocation factors for each declared service for 2009-10.</w:t>
      </w:r>
    </w:p>
    <w:p w:rsidR="007F36BF" w:rsidRDefault="007F36BF" w:rsidP="007F36BF">
      <w:r>
        <w:t>Once the initial cost allocation factors were determined, they were adjusted each year by the forecast percentage changes in PSTN OTA and LCS</w:t>
      </w:r>
      <w:r w:rsidR="00D727FD">
        <w:t xml:space="preserve"> demand</w:t>
      </w:r>
      <w:r>
        <w:t xml:space="preserve"> for that year.</w:t>
      </w:r>
    </w:p>
    <w:p w:rsidR="00117E22" w:rsidRDefault="00117E22" w:rsidP="00117E22">
      <w:pPr>
        <w:pStyle w:val="HeadingLevel3"/>
        <w:numPr>
          <w:ilvl w:val="0"/>
          <w:numId w:val="0"/>
        </w:numPr>
      </w:pPr>
      <w:r>
        <w:t>Telstra’s proposed allocation method</w:t>
      </w:r>
    </w:p>
    <w:p w:rsidR="00491660" w:rsidRDefault="00491660" w:rsidP="000D2BAA">
      <w:r>
        <w:t>Under Telstra’s propose</w:t>
      </w:r>
      <w:r w:rsidR="00DA5721">
        <w:t>d</w:t>
      </w:r>
      <w:r>
        <w:t xml:space="preserve"> approach, a share of o</w:t>
      </w:r>
      <w:r w:rsidRPr="004A196F">
        <w:t xml:space="preserve">ther </w:t>
      </w:r>
      <w:r>
        <w:t>c</w:t>
      </w:r>
      <w:r w:rsidRPr="004A196F">
        <w:t>ommunications plant and equipment</w:t>
      </w:r>
      <w:r>
        <w:t xml:space="preserve"> is first allocated to third party use (such as other access seekers that install their own equipment or NBN Co </w:t>
      </w:r>
      <w:r w:rsidR="007F36BF">
        <w:t>installing</w:t>
      </w:r>
      <w:r>
        <w:t xml:space="preserve"> equipment for use in the NBN). This allocation is based on internal Telstra information on third</w:t>
      </w:r>
      <w:r w:rsidR="00D727FD">
        <w:t xml:space="preserve"> </w:t>
      </w:r>
      <w:r>
        <w:t xml:space="preserve">party use of exchange buildings and values of exchange buildings and related facilities. </w:t>
      </w:r>
    </w:p>
    <w:p w:rsidR="000D2BAA" w:rsidRDefault="000D2BAA" w:rsidP="000D2BAA">
      <w:r>
        <w:t xml:space="preserve">Telstra has proposed a ’general allocator’ approach to allocate </w:t>
      </w:r>
      <w:r w:rsidR="00491660">
        <w:t xml:space="preserve">remaining </w:t>
      </w:r>
      <w:r>
        <w:t xml:space="preserve">costs for </w:t>
      </w:r>
      <w:r w:rsidR="00D92A39">
        <w:t>o</w:t>
      </w:r>
      <w:r w:rsidR="00D92A39" w:rsidRPr="004A196F">
        <w:t xml:space="preserve">ther </w:t>
      </w:r>
      <w:r w:rsidR="00D92A39">
        <w:t>c</w:t>
      </w:r>
      <w:r w:rsidR="00D92A39" w:rsidRPr="004A196F">
        <w:t>ommunications plant and equipment</w:t>
      </w:r>
      <w:r>
        <w:t>. Telstra’s rationale for using a general allocator is that there is no logical, direct causal relationship that can be calculated between</w:t>
      </w:r>
      <w:r w:rsidR="00D727FD">
        <w:t xml:space="preserve"> this asset class </w:t>
      </w:r>
      <w:r>
        <w:t>and the relevant services.</w:t>
      </w:r>
    </w:p>
    <w:p w:rsidR="000D2BAA" w:rsidRDefault="000D2BAA" w:rsidP="000D2BAA">
      <w:r>
        <w:t xml:space="preserve">The methodology used to calculate the general allocator for </w:t>
      </w:r>
      <w:r w:rsidR="009261D1">
        <w:t>o</w:t>
      </w:r>
      <w:r w:rsidR="009261D1" w:rsidRPr="004A196F">
        <w:t xml:space="preserve">ther </w:t>
      </w:r>
      <w:r w:rsidR="009261D1">
        <w:t>c</w:t>
      </w:r>
      <w:r w:rsidR="009261D1" w:rsidRPr="004A196F">
        <w:t>ommunications plant and equipment</w:t>
      </w:r>
      <w:r w:rsidR="009261D1">
        <w:t xml:space="preserve"> </w:t>
      </w:r>
      <w:r>
        <w:t xml:space="preserve">is similar to the revenue share approach adopted in the 2011 FADs as </w:t>
      </w:r>
      <w:r w:rsidRPr="00583116">
        <w:t>described</w:t>
      </w:r>
      <w:r>
        <w:t xml:space="preserve"> </w:t>
      </w:r>
      <w:r w:rsidRPr="00583116">
        <w:t>above</w:t>
      </w:r>
      <w:r>
        <w:t>.</w:t>
      </w:r>
      <w:r w:rsidRPr="00583116">
        <w:t xml:space="preserve"> </w:t>
      </w:r>
      <w:r>
        <w:t>T</w:t>
      </w:r>
      <w:r w:rsidRPr="00583116">
        <w:t xml:space="preserve">he </w:t>
      </w:r>
      <w:r>
        <w:t>two key differences between Telstra’s approach and the 2011 FAD approach are:</w:t>
      </w:r>
    </w:p>
    <w:p w:rsidR="009261D1" w:rsidRDefault="009261D1" w:rsidP="009261D1">
      <w:pPr>
        <w:pStyle w:val="Bulleta"/>
      </w:pPr>
      <w:proofErr w:type="gramStart"/>
      <w:r>
        <w:t>under</w:t>
      </w:r>
      <w:proofErr w:type="gramEnd"/>
      <w:r>
        <w:t xml:space="preserve"> Telstra’s approach, the first six core asset classes and CO12 data equipment are used to calculate the general allocation factor. In the 2011 FAD, data equipment was not used in this calculation (this asset class was only added to the FLSM in 2013).</w:t>
      </w:r>
    </w:p>
    <w:p w:rsidR="009261D1" w:rsidRDefault="009261D1" w:rsidP="009261D1">
      <w:pPr>
        <w:pStyle w:val="Bulleta"/>
      </w:pPr>
      <w:proofErr w:type="gramStart"/>
      <w:r>
        <w:t>under</w:t>
      </w:r>
      <w:proofErr w:type="gramEnd"/>
      <w:r>
        <w:t xml:space="preserve"> Telstra’s approach, the general allocation factor is calculated annually. In the 2011 FADs, it was calculated using the revenue share approach for the first year only, then adjusted in line with changes in demand for declared services. </w:t>
      </w:r>
    </w:p>
    <w:p w:rsidR="00117E22" w:rsidRDefault="00117E22" w:rsidP="00117E22">
      <w:pPr>
        <w:pStyle w:val="HeadingLevel3"/>
        <w:numPr>
          <w:ilvl w:val="0"/>
          <w:numId w:val="0"/>
        </w:numPr>
      </w:pPr>
      <w:r>
        <w:t>Current versus Telstra’s proposed allocation factors</w:t>
      </w:r>
    </w:p>
    <w:p w:rsidR="00117E22" w:rsidRDefault="004A196F" w:rsidP="00117E22">
      <w:r w:rsidRPr="004A196F">
        <w:t>Cost allocation factors for 2013-14 based on the 2011</w:t>
      </w:r>
      <w:r w:rsidR="009B76DF">
        <w:t xml:space="preserve"> and 2013</w:t>
      </w:r>
      <w:r w:rsidRPr="004A196F">
        <w:t xml:space="preserve"> FAD approach and Telstra’s proposed approach are provided in </w:t>
      </w:r>
      <w:r w:rsidR="003B5F08">
        <w:t>Table 3.7.1</w:t>
      </w:r>
      <w:r w:rsidRPr="004A196F">
        <w:t>.</w:t>
      </w:r>
    </w:p>
    <w:p w:rsidR="00117E22" w:rsidRDefault="001E5979" w:rsidP="009261D1">
      <w:pPr>
        <w:pStyle w:val="HeadingLevel8table"/>
        <w:ind w:left="1440" w:hanging="1440"/>
      </w:pPr>
      <w:r w:rsidRPr="001E5979">
        <w:t>Table 3.</w:t>
      </w:r>
      <w:r>
        <w:t>7</w:t>
      </w:r>
      <w:r w:rsidRPr="001E5979">
        <w:t>.1</w:t>
      </w:r>
      <w:r w:rsidRPr="001E5979">
        <w:tab/>
        <w:t>Comparison of 2011</w:t>
      </w:r>
      <w:r w:rsidR="00D727FD">
        <w:t>/2013</w:t>
      </w:r>
      <w:r w:rsidR="001716E7">
        <w:t xml:space="preserve"> </w:t>
      </w:r>
      <w:r w:rsidRPr="001E5979">
        <w:t>FAD</w:t>
      </w:r>
      <w:r w:rsidR="00D727FD">
        <w:t xml:space="preserve"> approach</w:t>
      </w:r>
      <w:r w:rsidRPr="001E5979">
        <w:t xml:space="preserve"> </w:t>
      </w:r>
      <w:proofErr w:type="spellStart"/>
      <w:r w:rsidRPr="001E5979">
        <w:t>vs</w:t>
      </w:r>
      <w:proofErr w:type="spellEnd"/>
      <w:r w:rsidRPr="001E5979">
        <w:t xml:space="preserve"> </w:t>
      </w:r>
      <w:r w:rsidR="009261D1">
        <w:t>Telstra’s</w:t>
      </w:r>
      <w:r w:rsidRPr="001E5979">
        <w:t xml:space="preserve"> proposed approach for CO0</w:t>
      </w:r>
      <w:r>
        <w:t>7</w:t>
      </w:r>
      <w:r w:rsidR="009261D1">
        <w:t xml:space="preserve"> o</w:t>
      </w:r>
      <w:r w:rsidR="009261D1" w:rsidRPr="004A196F">
        <w:t xml:space="preserve">ther </w:t>
      </w:r>
      <w:r w:rsidR="009261D1">
        <w:t>c</w:t>
      </w:r>
      <w:r w:rsidR="009261D1" w:rsidRPr="004A196F">
        <w:t>ommunications plant and equipment</w:t>
      </w:r>
      <w:r w:rsidR="009261D1">
        <w:t xml:space="preserve"> </w:t>
      </w:r>
      <w:r w:rsidR="00D727FD">
        <w:t>for 2013-14</w:t>
      </w:r>
    </w:p>
    <w:tbl>
      <w:tblPr>
        <w:tblStyle w:val="TableGrid"/>
        <w:tblW w:w="0" w:type="auto"/>
        <w:tblLook w:val="04A0" w:firstRow="1" w:lastRow="0" w:firstColumn="1" w:lastColumn="0" w:noHBand="0" w:noVBand="1"/>
      </w:tblPr>
      <w:tblGrid>
        <w:gridCol w:w="1795"/>
        <w:gridCol w:w="1799"/>
        <w:gridCol w:w="1765"/>
        <w:gridCol w:w="1789"/>
        <w:gridCol w:w="1516"/>
      </w:tblGrid>
      <w:tr w:rsidR="003B5F08" w:rsidTr="00AB2E1F">
        <w:trPr>
          <w:trHeight w:val="447"/>
        </w:trPr>
        <w:tc>
          <w:tcPr>
            <w:tcW w:w="1795" w:type="dxa"/>
          </w:tcPr>
          <w:p w:rsidR="003B5F08" w:rsidRDefault="003B5F08" w:rsidP="00350637">
            <w:pPr>
              <w:pStyle w:val="Table2Text"/>
            </w:pPr>
            <w:r>
              <w:t>Declared service</w:t>
            </w:r>
          </w:p>
        </w:tc>
        <w:tc>
          <w:tcPr>
            <w:tcW w:w="1799" w:type="dxa"/>
          </w:tcPr>
          <w:p w:rsidR="003B5F08" w:rsidRDefault="003B5F08" w:rsidP="00AC01B7">
            <w:pPr>
              <w:pStyle w:val="Table2Text"/>
            </w:pPr>
            <w:r>
              <w:t>2011/2013 FAD</w:t>
            </w:r>
            <w:r w:rsidR="00D727FD">
              <w:t xml:space="preserve"> approach</w:t>
            </w:r>
            <w:r>
              <w:t xml:space="preserve"> %</w:t>
            </w:r>
          </w:p>
        </w:tc>
        <w:tc>
          <w:tcPr>
            <w:tcW w:w="1765" w:type="dxa"/>
          </w:tcPr>
          <w:p w:rsidR="003B5F08" w:rsidRDefault="003B5F08" w:rsidP="00AC01B7">
            <w:pPr>
              <w:pStyle w:val="Table2Text"/>
            </w:pPr>
            <w:r>
              <w:t xml:space="preserve">Telstra proposed </w:t>
            </w:r>
            <w:r w:rsidR="00D727FD">
              <w:t xml:space="preserve">approach </w:t>
            </w:r>
            <w:r>
              <w:t>%</w:t>
            </w:r>
          </w:p>
        </w:tc>
        <w:tc>
          <w:tcPr>
            <w:tcW w:w="1789" w:type="dxa"/>
          </w:tcPr>
          <w:p w:rsidR="003B5F08" w:rsidRDefault="003B5F08" w:rsidP="00AC01B7">
            <w:pPr>
              <w:pStyle w:val="Table2Text"/>
            </w:pPr>
            <w:r w:rsidRPr="00AE1213">
              <w:t>% point difference</w:t>
            </w:r>
          </w:p>
        </w:tc>
        <w:tc>
          <w:tcPr>
            <w:tcW w:w="1516" w:type="dxa"/>
          </w:tcPr>
          <w:p w:rsidR="003B5F08" w:rsidRDefault="003B5F08" w:rsidP="00AC01B7">
            <w:pPr>
              <w:pStyle w:val="Table2Text"/>
            </w:pPr>
            <w:r w:rsidRPr="00AE1213">
              <w:t>% change</w:t>
            </w:r>
          </w:p>
        </w:tc>
      </w:tr>
      <w:tr w:rsidR="003B5F08" w:rsidTr="00AB2E1F">
        <w:trPr>
          <w:trHeight w:val="447"/>
        </w:trPr>
        <w:tc>
          <w:tcPr>
            <w:tcW w:w="1795" w:type="dxa"/>
          </w:tcPr>
          <w:p w:rsidR="003B5F08" w:rsidRDefault="003B5F08" w:rsidP="00350637">
            <w:pPr>
              <w:pStyle w:val="Table2Text"/>
            </w:pPr>
            <w:r w:rsidRPr="001A37B5">
              <w:t>WLR</w:t>
            </w:r>
          </w:p>
        </w:tc>
        <w:tc>
          <w:tcPr>
            <w:tcW w:w="1799" w:type="dxa"/>
          </w:tcPr>
          <w:p w:rsidR="003B5F08" w:rsidRDefault="002227F7" w:rsidP="00AC01B7">
            <w:pPr>
              <w:pStyle w:val="Table2Text"/>
            </w:pPr>
            <w:r w:rsidRPr="008A178E">
              <w:t>[c-</w:t>
            </w:r>
            <w:proofErr w:type="spellStart"/>
            <w:r w:rsidRPr="008A178E">
              <w:t>i</w:t>
            </w:r>
            <w:proofErr w:type="spellEnd"/>
            <w:r w:rsidRPr="008A178E">
              <w:t>-c starts]</w:t>
            </w:r>
            <w:r w:rsidR="00552D6F">
              <w:rPr>
                <w:noProof/>
                <w:color w:val="000000"/>
                <w:highlight w:val="black"/>
              </w:rPr>
              <w:t>''''''''</w:t>
            </w:r>
          </w:p>
        </w:tc>
        <w:tc>
          <w:tcPr>
            <w:tcW w:w="1765" w:type="dxa"/>
          </w:tcPr>
          <w:p w:rsidR="003B5F08" w:rsidRPr="00552D6F" w:rsidRDefault="00552D6F" w:rsidP="00AC01B7">
            <w:pPr>
              <w:pStyle w:val="Table2Text"/>
              <w:rPr>
                <w:highlight w:val="black"/>
              </w:rPr>
            </w:pPr>
            <w:r>
              <w:rPr>
                <w:noProof/>
                <w:color w:val="000000"/>
                <w:highlight w:val="black"/>
              </w:rPr>
              <w:t>'''''''</w:t>
            </w:r>
          </w:p>
        </w:tc>
        <w:tc>
          <w:tcPr>
            <w:tcW w:w="1789" w:type="dxa"/>
          </w:tcPr>
          <w:p w:rsidR="003B5F08" w:rsidRPr="00552D6F" w:rsidRDefault="00552D6F" w:rsidP="00AC01B7">
            <w:pPr>
              <w:pStyle w:val="Table2Text"/>
              <w:rPr>
                <w:highlight w:val="black"/>
              </w:rPr>
            </w:pPr>
            <w:r>
              <w:rPr>
                <w:noProof/>
                <w:color w:val="000000"/>
                <w:highlight w:val="black"/>
              </w:rPr>
              <w:t>''''''''''''</w:t>
            </w:r>
          </w:p>
        </w:tc>
        <w:tc>
          <w:tcPr>
            <w:tcW w:w="1516" w:type="dxa"/>
          </w:tcPr>
          <w:p w:rsidR="003B5F08" w:rsidRPr="00552D6F" w:rsidRDefault="00552D6F" w:rsidP="00AC01B7">
            <w:pPr>
              <w:pStyle w:val="Table2Text"/>
              <w:rPr>
                <w:highlight w:val="black"/>
              </w:rPr>
            </w:pPr>
            <w:r>
              <w:rPr>
                <w:noProof/>
                <w:color w:val="000000"/>
                <w:highlight w:val="black"/>
              </w:rPr>
              <w:t>''''''''''</w:t>
            </w:r>
          </w:p>
        </w:tc>
      </w:tr>
      <w:tr w:rsidR="003B5F08" w:rsidTr="00AB2E1F">
        <w:trPr>
          <w:trHeight w:val="447"/>
        </w:trPr>
        <w:tc>
          <w:tcPr>
            <w:tcW w:w="1795" w:type="dxa"/>
          </w:tcPr>
          <w:p w:rsidR="003B5F08" w:rsidRDefault="00976AE7" w:rsidP="00350637">
            <w:pPr>
              <w:pStyle w:val="Table2Text"/>
            </w:pPr>
            <w:r w:rsidRPr="00976AE7">
              <w:t>FOAS/FTAS</w:t>
            </w:r>
          </w:p>
        </w:tc>
        <w:tc>
          <w:tcPr>
            <w:tcW w:w="1799" w:type="dxa"/>
          </w:tcPr>
          <w:p w:rsidR="003B5F08" w:rsidRPr="00552D6F" w:rsidRDefault="00552D6F" w:rsidP="00AC01B7">
            <w:pPr>
              <w:pStyle w:val="Table2Text"/>
              <w:rPr>
                <w:highlight w:val="black"/>
              </w:rPr>
            </w:pPr>
            <w:r>
              <w:rPr>
                <w:noProof/>
                <w:color w:val="000000"/>
                <w:highlight w:val="black"/>
              </w:rPr>
              <w:t>'''''''</w:t>
            </w:r>
          </w:p>
        </w:tc>
        <w:tc>
          <w:tcPr>
            <w:tcW w:w="1765" w:type="dxa"/>
          </w:tcPr>
          <w:p w:rsidR="003B5F08" w:rsidRPr="00552D6F" w:rsidRDefault="00552D6F" w:rsidP="00AC01B7">
            <w:pPr>
              <w:pStyle w:val="Table2Text"/>
              <w:rPr>
                <w:highlight w:val="black"/>
              </w:rPr>
            </w:pPr>
            <w:r>
              <w:rPr>
                <w:noProof/>
                <w:color w:val="000000"/>
                <w:highlight w:val="black"/>
              </w:rPr>
              <w:t>''''''''</w:t>
            </w:r>
          </w:p>
        </w:tc>
        <w:tc>
          <w:tcPr>
            <w:tcW w:w="1789" w:type="dxa"/>
          </w:tcPr>
          <w:p w:rsidR="003B5F08" w:rsidRPr="00552D6F" w:rsidRDefault="00552D6F" w:rsidP="00AC01B7">
            <w:pPr>
              <w:pStyle w:val="Table2Text"/>
              <w:rPr>
                <w:highlight w:val="black"/>
              </w:rPr>
            </w:pPr>
            <w:r>
              <w:rPr>
                <w:noProof/>
                <w:color w:val="000000"/>
                <w:highlight w:val="black"/>
              </w:rPr>
              <w:t>''''''''''</w:t>
            </w:r>
          </w:p>
        </w:tc>
        <w:tc>
          <w:tcPr>
            <w:tcW w:w="1516" w:type="dxa"/>
          </w:tcPr>
          <w:p w:rsidR="003B5F08" w:rsidRPr="00552D6F" w:rsidRDefault="00552D6F" w:rsidP="00AC01B7">
            <w:pPr>
              <w:pStyle w:val="Table2Text"/>
              <w:rPr>
                <w:highlight w:val="black"/>
              </w:rPr>
            </w:pPr>
            <w:r>
              <w:rPr>
                <w:noProof/>
                <w:color w:val="000000"/>
                <w:highlight w:val="black"/>
              </w:rPr>
              <w:t>'''''''''''''</w:t>
            </w:r>
          </w:p>
        </w:tc>
      </w:tr>
      <w:tr w:rsidR="003B5F08" w:rsidTr="00AB2E1F">
        <w:trPr>
          <w:trHeight w:val="447"/>
        </w:trPr>
        <w:tc>
          <w:tcPr>
            <w:tcW w:w="1795" w:type="dxa"/>
          </w:tcPr>
          <w:p w:rsidR="003B5F08" w:rsidRDefault="003B5F08" w:rsidP="00350637">
            <w:pPr>
              <w:pStyle w:val="Table2Text"/>
            </w:pPr>
            <w:r w:rsidRPr="001A37B5">
              <w:t>LCS</w:t>
            </w:r>
          </w:p>
        </w:tc>
        <w:tc>
          <w:tcPr>
            <w:tcW w:w="1799" w:type="dxa"/>
          </w:tcPr>
          <w:p w:rsidR="003B5F08" w:rsidRPr="00552D6F" w:rsidRDefault="00552D6F" w:rsidP="00AC01B7">
            <w:pPr>
              <w:pStyle w:val="Table2Text"/>
              <w:rPr>
                <w:highlight w:val="black"/>
              </w:rPr>
            </w:pPr>
            <w:r>
              <w:rPr>
                <w:noProof/>
                <w:color w:val="000000"/>
                <w:highlight w:val="black"/>
              </w:rPr>
              <w:t>''''''''</w:t>
            </w:r>
          </w:p>
        </w:tc>
        <w:tc>
          <w:tcPr>
            <w:tcW w:w="1765" w:type="dxa"/>
          </w:tcPr>
          <w:p w:rsidR="003B5F08" w:rsidRPr="00552D6F" w:rsidRDefault="00552D6F" w:rsidP="00AC01B7">
            <w:pPr>
              <w:pStyle w:val="Table2Text"/>
              <w:rPr>
                <w:highlight w:val="black"/>
              </w:rPr>
            </w:pPr>
            <w:r>
              <w:rPr>
                <w:noProof/>
                <w:color w:val="000000"/>
                <w:highlight w:val="black"/>
              </w:rPr>
              <w:t>'''''''''</w:t>
            </w:r>
          </w:p>
        </w:tc>
        <w:tc>
          <w:tcPr>
            <w:tcW w:w="1789" w:type="dxa"/>
          </w:tcPr>
          <w:p w:rsidR="003B5F08" w:rsidRPr="00552D6F" w:rsidRDefault="00552D6F" w:rsidP="00AC01B7">
            <w:pPr>
              <w:pStyle w:val="Table2Text"/>
              <w:rPr>
                <w:highlight w:val="black"/>
              </w:rPr>
            </w:pPr>
            <w:r>
              <w:rPr>
                <w:noProof/>
                <w:color w:val="000000"/>
                <w:highlight w:val="black"/>
              </w:rPr>
              <w:t>'''''''''</w:t>
            </w:r>
          </w:p>
        </w:tc>
        <w:tc>
          <w:tcPr>
            <w:tcW w:w="1516" w:type="dxa"/>
          </w:tcPr>
          <w:p w:rsidR="003B5F08" w:rsidRPr="00552D6F" w:rsidRDefault="00552D6F" w:rsidP="00AC01B7">
            <w:pPr>
              <w:pStyle w:val="Table2Text"/>
              <w:rPr>
                <w:highlight w:val="black"/>
              </w:rPr>
            </w:pPr>
            <w:r>
              <w:rPr>
                <w:noProof/>
                <w:color w:val="000000"/>
                <w:highlight w:val="black"/>
              </w:rPr>
              <w:t>''''''''''''</w:t>
            </w:r>
          </w:p>
        </w:tc>
      </w:tr>
      <w:tr w:rsidR="003B5F08" w:rsidTr="00AB2E1F">
        <w:trPr>
          <w:trHeight w:val="447"/>
        </w:trPr>
        <w:tc>
          <w:tcPr>
            <w:tcW w:w="1795" w:type="dxa"/>
          </w:tcPr>
          <w:p w:rsidR="003B5F08" w:rsidRDefault="003B5F08" w:rsidP="00350637">
            <w:pPr>
              <w:pStyle w:val="Table2Text"/>
            </w:pPr>
            <w:r>
              <w:t xml:space="preserve">Wholesale </w:t>
            </w:r>
            <w:r w:rsidRPr="001A37B5">
              <w:t>ADSL</w:t>
            </w:r>
          </w:p>
        </w:tc>
        <w:tc>
          <w:tcPr>
            <w:tcW w:w="1799" w:type="dxa"/>
          </w:tcPr>
          <w:p w:rsidR="003B5F08" w:rsidRPr="00552D6F" w:rsidRDefault="00552D6F" w:rsidP="00AC01B7">
            <w:pPr>
              <w:pStyle w:val="Table2Text"/>
              <w:rPr>
                <w:highlight w:val="black"/>
              </w:rPr>
            </w:pPr>
            <w:r>
              <w:rPr>
                <w:noProof/>
                <w:color w:val="000000"/>
                <w:highlight w:val="black"/>
              </w:rPr>
              <w:t>'''''''</w:t>
            </w:r>
          </w:p>
        </w:tc>
        <w:tc>
          <w:tcPr>
            <w:tcW w:w="1765" w:type="dxa"/>
          </w:tcPr>
          <w:p w:rsidR="003B5F08" w:rsidRPr="00552D6F" w:rsidRDefault="00552D6F" w:rsidP="00AC01B7">
            <w:pPr>
              <w:pStyle w:val="Table2Text"/>
              <w:rPr>
                <w:highlight w:val="black"/>
              </w:rPr>
            </w:pPr>
            <w:r>
              <w:rPr>
                <w:noProof/>
                <w:color w:val="000000"/>
                <w:highlight w:val="black"/>
              </w:rPr>
              <w:t>''''''''</w:t>
            </w:r>
          </w:p>
        </w:tc>
        <w:tc>
          <w:tcPr>
            <w:tcW w:w="1789" w:type="dxa"/>
          </w:tcPr>
          <w:p w:rsidR="003B5F08" w:rsidRPr="00552D6F" w:rsidRDefault="00552D6F" w:rsidP="00AC01B7">
            <w:pPr>
              <w:pStyle w:val="Table2Text"/>
              <w:rPr>
                <w:highlight w:val="black"/>
              </w:rPr>
            </w:pPr>
            <w:r>
              <w:rPr>
                <w:noProof/>
                <w:color w:val="000000"/>
                <w:highlight w:val="black"/>
              </w:rPr>
              <w:t>''''''''''</w:t>
            </w:r>
          </w:p>
        </w:tc>
        <w:tc>
          <w:tcPr>
            <w:tcW w:w="1516" w:type="dxa"/>
          </w:tcPr>
          <w:p w:rsidR="003B5F08" w:rsidRPr="001A37B5" w:rsidRDefault="00552D6F" w:rsidP="00AC01B7">
            <w:pPr>
              <w:pStyle w:val="Table2Text"/>
            </w:pPr>
            <w:r>
              <w:rPr>
                <w:noProof/>
                <w:color w:val="000000"/>
                <w:highlight w:val="black"/>
              </w:rPr>
              <w:t>'''''''''</w:t>
            </w:r>
            <w:r w:rsidR="002227F7">
              <w:t>[c-</w:t>
            </w:r>
            <w:proofErr w:type="spellStart"/>
            <w:r w:rsidR="002227F7">
              <w:t>i</w:t>
            </w:r>
            <w:proofErr w:type="spellEnd"/>
            <w:r w:rsidR="002227F7">
              <w:t>-c ends]</w:t>
            </w:r>
          </w:p>
        </w:tc>
      </w:tr>
    </w:tbl>
    <w:p w:rsidR="00117E22" w:rsidRDefault="00117E22" w:rsidP="00117E22"/>
    <w:p w:rsidR="00117E22" w:rsidRDefault="003B5F08" w:rsidP="00117E22">
      <w:r>
        <w:t>Figure 3.7.2</w:t>
      </w:r>
      <w:r w:rsidR="004A196F" w:rsidRPr="004A196F">
        <w:t xml:space="preserve"> shows Telstra’s assumed share of use of other communications plant and equipment by the various services for 2013-14.</w:t>
      </w:r>
    </w:p>
    <w:p w:rsidR="009E7795" w:rsidRDefault="005065CE" w:rsidP="009E7795">
      <w:pPr>
        <w:pStyle w:val="HeadingLevel8table"/>
        <w:ind w:left="1440" w:hanging="1440"/>
      </w:pPr>
      <w:r w:rsidRPr="005065CE">
        <w:lastRenderedPageBreak/>
        <w:t>Figure 3.</w:t>
      </w:r>
      <w:r>
        <w:t>7</w:t>
      </w:r>
      <w:r w:rsidRPr="005065CE">
        <w:t>.2</w:t>
      </w:r>
      <w:r w:rsidRPr="005065CE">
        <w:tab/>
        <w:t>Telstra’s proposed allocation of CO0</w:t>
      </w:r>
      <w:r>
        <w:t>7</w:t>
      </w:r>
      <w:r w:rsidR="009E7795">
        <w:t xml:space="preserve"> o</w:t>
      </w:r>
      <w:r w:rsidR="009E7795" w:rsidRPr="004A196F">
        <w:t xml:space="preserve">ther </w:t>
      </w:r>
      <w:r w:rsidR="009E7795">
        <w:t>c</w:t>
      </w:r>
      <w:r w:rsidR="009E7795" w:rsidRPr="004A196F">
        <w:t>ommunications, plant and equipment</w:t>
      </w:r>
      <w:r w:rsidR="00D727FD">
        <w:t xml:space="preserve"> for 2013-14</w:t>
      </w:r>
    </w:p>
    <w:p w:rsidR="00A703F9" w:rsidRPr="005871C8" w:rsidRDefault="00A703F9" w:rsidP="00AC5A20">
      <w:r w:rsidRPr="00AC5A20">
        <w:rPr>
          <w:b/>
        </w:rPr>
        <w:t>[</w:t>
      </w:r>
      <w:proofErr w:type="gramStart"/>
      <w:r w:rsidRPr="00AC5A20">
        <w:rPr>
          <w:b/>
        </w:rPr>
        <w:t>c-</w:t>
      </w:r>
      <w:proofErr w:type="spellStart"/>
      <w:r w:rsidRPr="00AC5A20">
        <w:rPr>
          <w:b/>
        </w:rPr>
        <w:t>i</w:t>
      </w:r>
      <w:proofErr w:type="spellEnd"/>
      <w:r w:rsidRPr="00AC5A20">
        <w:rPr>
          <w:b/>
        </w:rPr>
        <w:t>-c</w:t>
      </w:r>
      <w:proofErr w:type="gramEnd"/>
      <w:r w:rsidRPr="00AC5A20">
        <w:rPr>
          <w:b/>
        </w:rPr>
        <w:t xml:space="preserve"> starts]</w:t>
      </w:r>
    </w:p>
    <w:p w:rsidR="00A703F9" w:rsidRPr="00552D6F" w:rsidRDefault="00552D6F" w:rsidP="00AB2E1F">
      <w:pPr>
        <w:pStyle w:val="HeadingLevel8table"/>
        <w:rPr>
          <w:b w:val="0"/>
        </w:rPr>
      </w:pPr>
      <w:r>
        <w:rPr>
          <w:b w:val="0"/>
          <w:noProof/>
          <w:lang w:eastAsia="en-AU"/>
        </w:rPr>
        <w:drawing>
          <wp:inline distT="0" distB="0" distL="0" distR="0">
            <wp:extent cx="3615055" cy="252984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15055" cy="2529840"/>
                    </a:xfrm>
                    <a:prstGeom prst="rect">
                      <a:avLst/>
                    </a:prstGeom>
                  </pic:spPr>
                </pic:pic>
              </a:graphicData>
            </a:graphic>
          </wp:inline>
        </w:drawing>
      </w:r>
    </w:p>
    <w:p w:rsidR="004A196F" w:rsidRDefault="002227F7" w:rsidP="00AB2E1F">
      <w:pPr>
        <w:pStyle w:val="HeadingLevel8table"/>
      </w:pPr>
      <w:r w:rsidRPr="002227F7">
        <w:t>[</w:t>
      </w:r>
      <w:proofErr w:type="gramStart"/>
      <w:r w:rsidRPr="002227F7">
        <w:t>c-</w:t>
      </w:r>
      <w:proofErr w:type="spellStart"/>
      <w:r w:rsidRPr="002227F7">
        <w:t>i</w:t>
      </w:r>
      <w:proofErr w:type="spellEnd"/>
      <w:r w:rsidRPr="002227F7">
        <w:t>-c</w:t>
      </w:r>
      <w:proofErr w:type="gramEnd"/>
      <w:r w:rsidRPr="002227F7">
        <w:t xml:space="preserve"> ends]</w:t>
      </w:r>
    </w:p>
    <w:p w:rsidR="00F82775" w:rsidRDefault="00F82775">
      <w:pPr>
        <w:spacing w:after="200" w:line="276" w:lineRule="auto"/>
        <w:rPr>
          <w:rFonts w:eastAsiaTheme="majorEastAsia" w:cstheme="majorBidi"/>
          <w:b/>
          <w:color w:val="002060"/>
          <w:sz w:val="32"/>
          <w:szCs w:val="28"/>
        </w:rPr>
      </w:pPr>
      <w:r>
        <w:br w:type="page"/>
      </w:r>
    </w:p>
    <w:p w:rsidR="00791D3C" w:rsidRDefault="00791D3C" w:rsidP="00791D3C">
      <w:pPr>
        <w:pStyle w:val="HeadingLevel2"/>
      </w:pPr>
      <w:bookmarkStart w:id="28" w:name="_Toc393375580"/>
      <w:r>
        <w:lastRenderedPageBreak/>
        <w:t>CO08 n</w:t>
      </w:r>
      <w:r w:rsidRPr="00791D3C">
        <w:t>etwork land</w:t>
      </w:r>
      <w:bookmarkEnd w:id="28"/>
    </w:p>
    <w:p w:rsidR="00117E22" w:rsidRDefault="00117E22" w:rsidP="00117E22">
      <w:pPr>
        <w:pStyle w:val="HeadingLevel3"/>
        <w:numPr>
          <w:ilvl w:val="0"/>
          <w:numId w:val="0"/>
        </w:numPr>
      </w:pPr>
      <w:r>
        <w:t>Asset description</w:t>
      </w:r>
    </w:p>
    <w:p w:rsidR="00117E22" w:rsidRDefault="00D330BB" w:rsidP="00117E22">
      <w:r w:rsidRPr="00D330BB">
        <w:t>Network land compris</w:t>
      </w:r>
      <w:r w:rsidR="00295C17">
        <w:t>es</w:t>
      </w:r>
      <w:r w:rsidR="003F73A8">
        <w:t xml:space="preserve"> </w:t>
      </w:r>
      <w:r w:rsidRPr="00D330BB">
        <w:t>freehold network land, structural land improvements, mains power connections, fencing, roads, paths, parking, drainage and landscaping. It excludes the share of network land used for CAN network land asset class</w:t>
      </w:r>
      <w:r w:rsidR="007B42EF">
        <w:t xml:space="preserve"> (this land is included in CA08 network land)</w:t>
      </w:r>
      <w:r w:rsidRPr="00D330BB">
        <w:t>.</w:t>
      </w:r>
    </w:p>
    <w:p w:rsidR="00CD7B82" w:rsidRDefault="00CD7B82" w:rsidP="00CD7B82">
      <w:pPr>
        <w:pStyle w:val="HeadingLevel3"/>
        <w:numPr>
          <w:ilvl w:val="0"/>
          <w:numId w:val="0"/>
        </w:numPr>
      </w:pPr>
      <w:r>
        <w:t xml:space="preserve">Key points </w:t>
      </w:r>
    </w:p>
    <w:p w:rsidR="00790F86" w:rsidRPr="00A93872" w:rsidRDefault="00790F86" w:rsidP="00790F86">
      <w:pPr>
        <w:pStyle w:val="Bulleta"/>
      </w:pPr>
      <w:r>
        <w:t>Network land</w:t>
      </w:r>
      <w:r w:rsidRPr="00CF408B">
        <w:t xml:space="preserve"> </w:t>
      </w:r>
      <w:r>
        <w:t>contributes a material proportion towards the total fixed</w:t>
      </w:r>
      <w:r w:rsidR="000255D7">
        <w:t xml:space="preserve"> </w:t>
      </w:r>
      <w:r>
        <w:t>line revenue requirement (</w:t>
      </w:r>
      <w:r>
        <w:rPr>
          <w:b/>
        </w:rPr>
        <w:t>[c-</w:t>
      </w:r>
      <w:proofErr w:type="spellStart"/>
      <w:r>
        <w:rPr>
          <w:b/>
        </w:rPr>
        <w:t>i</w:t>
      </w:r>
      <w:proofErr w:type="spellEnd"/>
      <w:r>
        <w:rPr>
          <w:b/>
        </w:rPr>
        <w:t>-c starts]</w:t>
      </w:r>
      <w:r w:rsidR="00552D6F">
        <w:rPr>
          <w:noProof/>
          <w:color w:val="000000"/>
          <w:highlight w:val="black"/>
        </w:rPr>
        <w:t>''''''''</w:t>
      </w:r>
      <w:r>
        <w:rPr>
          <w:b/>
        </w:rPr>
        <w:t>[c-</w:t>
      </w:r>
      <w:proofErr w:type="spellStart"/>
      <w:r>
        <w:rPr>
          <w:b/>
        </w:rPr>
        <w:t>i</w:t>
      </w:r>
      <w:proofErr w:type="spellEnd"/>
      <w:r>
        <w:rPr>
          <w:b/>
        </w:rPr>
        <w:t>-c ends]</w:t>
      </w:r>
      <w:r>
        <w:t xml:space="preserve"> per cent</w:t>
      </w:r>
      <w:r w:rsidRPr="00A93872">
        <w:t xml:space="preserve"> in 2013-14</w:t>
      </w:r>
      <w:r>
        <w:t>).</w:t>
      </w:r>
    </w:p>
    <w:p w:rsidR="00F94B78" w:rsidRDefault="00F94B78" w:rsidP="00F94B78">
      <w:pPr>
        <w:pStyle w:val="Bulleta"/>
      </w:pPr>
      <w:r w:rsidRPr="006A3C2D">
        <w:t xml:space="preserve">Telstra’s proposed </w:t>
      </w:r>
      <w:r>
        <w:t xml:space="preserve">‘general allocator’ approach </w:t>
      </w:r>
      <w:r w:rsidRPr="006A3C2D">
        <w:t xml:space="preserve">for </w:t>
      </w:r>
      <w:r>
        <w:t>network land</w:t>
      </w:r>
      <w:r w:rsidRPr="004A196F">
        <w:t xml:space="preserve"> </w:t>
      </w:r>
      <w:r>
        <w:t>is</w:t>
      </w:r>
      <w:r w:rsidRPr="006A3C2D">
        <w:t xml:space="preserve"> </w:t>
      </w:r>
      <w:r>
        <w:t xml:space="preserve">similar to </w:t>
      </w:r>
      <w:r w:rsidRPr="006A3C2D">
        <w:t xml:space="preserve">the </w:t>
      </w:r>
      <w:r>
        <w:t>‘</w:t>
      </w:r>
      <w:r w:rsidRPr="006A3C2D">
        <w:t>revenue share</w:t>
      </w:r>
      <w:r>
        <w:t>’</w:t>
      </w:r>
      <w:r w:rsidRPr="006A3C2D">
        <w:t xml:space="preserve"> </w:t>
      </w:r>
      <w:r>
        <w:t xml:space="preserve">approach adopted for this asset class in </w:t>
      </w:r>
      <w:r w:rsidRPr="006A3C2D">
        <w:t>th</w:t>
      </w:r>
      <w:r>
        <w:t>e 2011 FADs. The key differences are:</w:t>
      </w:r>
    </w:p>
    <w:p w:rsidR="00F94B78" w:rsidRDefault="00F94B78" w:rsidP="00F94B78">
      <w:pPr>
        <w:pStyle w:val="Bulletb"/>
      </w:pPr>
      <w:proofErr w:type="gramStart"/>
      <w:r>
        <w:t>under</w:t>
      </w:r>
      <w:proofErr w:type="gramEnd"/>
      <w:r>
        <w:t xml:space="preserve"> Telstra’s approach, the first six core asset classes and CO12 data equipment are used to calculate the general allocation factor. In the 2011 FAD, data equipment was not used in this calculation (this asset class was only added to the FLSM in 2013).</w:t>
      </w:r>
    </w:p>
    <w:p w:rsidR="00F94B78" w:rsidRDefault="00F94B78" w:rsidP="00F94B78">
      <w:pPr>
        <w:pStyle w:val="Bulletb"/>
      </w:pPr>
      <w:proofErr w:type="gramStart"/>
      <w:r>
        <w:t>under</w:t>
      </w:r>
      <w:proofErr w:type="gramEnd"/>
      <w:r>
        <w:t xml:space="preserve"> Telstra’s approach, the general allocation factor is calculated annually. In the 2011 FADs, it was calculated using the revenue share approach for the first year only, then adjusted in line with changes in demand for declared services. </w:t>
      </w:r>
    </w:p>
    <w:p w:rsidR="00F94B78" w:rsidRDefault="00F94B78" w:rsidP="00F94B78">
      <w:pPr>
        <w:pStyle w:val="Bulleta"/>
      </w:pPr>
      <w:r>
        <w:t>Telstra’s proposed approach to network land also includes an allocation to third</w:t>
      </w:r>
      <w:r w:rsidR="003F73A8">
        <w:t xml:space="preserve"> </w:t>
      </w:r>
      <w:r>
        <w:t>party use to reflect the use of Telstra’s exchange buildings (and associated equipment) by other users, including NBN Co. This allocation was based on internal Telstra information on current use of Telstra facilities by third parties (as opposed to forecast use).</w:t>
      </w:r>
    </w:p>
    <w:p w:rsidR="00117E22" w:rsidRDefault="00117E22" w:rsidP="00117E22">
      <w:pPr>
        <w:pStyle w:val="HeadingLevel3"/>
        <w:numPr>
          <w:ilvl w:val="0"/>
          <w:numId w:val="0"/>
        </w:numPr>
      </w:pPr>
      <w:r>
        <w:t xml:space="preserve">Services using this asset class </w:t>
      </w:r>
    </w:p>
    <w:p w:rsidR="0078204F" w:rsidRDefault="0078204F" w:rsidP="0078204F">
      <w:r>
        <w:t>Network land is used for declared and non-declared fixed</w:t>
      </w:r>
      <w:r w:rsidR="000255D7">
        <w:t xml:space="preserve"> </w:t>
      </w:r>
      <w:r>
        <w:t>line services, as well as a range of other non-fixed-line uses.</w:t>
      </w:r>
    </w:p>
    <w:p w:rsidR="0078204F" w:rsidRDefault="0078204F" w:rsidP="0078204F">
      <w:r>
        <w:t xml:space="preserve">The declared services that require network land are WLR, </w:t>
      </w:r>
      <w:r w:rsidR="005855E2" w:rsidRPr="005855E2">
        <w:t>FOAS and FTAS (formally known as PSTN OA and PSTN TA or collectively as PSTN OTA)</w:t>
      </w:r>
      <w:r>
        <w:t>, LCS and wholesale ADSL services. The non-declared services using this asset class include retail PSTN services, retail ADSL, ISDN and other DSL services.</w:t>
      </w:r>
    </w:p>
    <w:p w:rsidR="0078204F" w:rsidRDefault="0078204F" w:rsidP="0078204F">
      <w:r>
        <w:t>Network land is used to support use of Telstra’s facilities by third parties (including NBN Co or access seekers that install their own equipment). Network land is also assumed support non-fixed-line services such as mobiles and non-ADSL data.</w:t>
      </w:r>
    </w:p>
    <w:p w:rsidR="00117E22" w:rsidRDefault="00117E22" w:rsidP="00117E22">
      <w:pPr>
        <w:pStyle w:val="HeadingLevel3"/>
        <w:numPr>
          <w:ilvl w:val="0"/>
          <w:numId w:val="0"/>
        </w:numPr>
      </w:pPr>
      <w:r>
        <w:t xml:space="preserve">Approach adopted for </w:t>
      </w:r>
      <w:r w:rsidR="003F73A8">
        <w:t xml:space="preserve">the </w:t>
      </w:r>
      <w:r>
        <w:t>2011</w:t>
      </w:r>
      <w:r w:rsidR="009B76DF">
        <w:t xml:space="preserve"> and 2013</w:t>
      </w:r>
      <w:r w:rsidR="00F94B78">
        <w:t xml:space="preserve"> </w:t>
      </w:r>
      <w:r>
        <w:t>FAD</w:t>
      </w:r>
      <w:r w:rsidR="009B76DF">
        <w:t>s</w:t>
      </w:r>
    </w:p>
    <w:p w:rsidR="007F36BF" w:rsidRDefault="007F36BF" w:rsidP="007F36BF">
      <w:r w:rsidRPr="00583116">
        <w:t xml:space="preserve">In the 2011 FAD, the </w:t>
      </w:r>
      <w:r>
        <w:t xml:space="preserve">initial </w:t>
      </w:r>
      <w:r w:rsidRPr="00583116">
        <w:t xml:space="preserve">cost allocation factor for </w:t>
      </w:r>
      <w:r>
        <w:t xml:space="preserve">network land </w:t>
      </w:r>
      <w:r w:rsidRPr="00583116">
        <w:t xml:space="preserve">was based on a </w:t>
      </w:r>
      <w:r>
        <w:t>‘</w:t>
      </w:r>
      <w:r w:rsidRPr="00583116">
        <w:t>revenue share</w:t>
      </w:r>
      <w:r>
        <w:t>’</w:t>
      </w:r>
      <w:r w:rsidRPr="00583116">
        <w:t xml:space="preserve"> approach.</w:t>
      </w:r>
      <w:r>
        <w:t xml:space="preserve"> This involved the following three step process:</w:t>
      </w:r>
    </w:p>
    <w:p w:rsidR="007F36BF" w:rsidRDefault="007F36BF" w:rsidP="007F36BF">
      <w:pPr>
        <w:pStyle w:val="Bulleta"/>
      </w:pPr>
      <w:r w:rsidRPr="00583116">
        <w:t xml:space="preserve">First, </w:t>
      </w:r>
      <w:r>
        <w:t xml:space="preserve">the total annual revenue requirement for </w:t>
      </w:r>
      <w:r w:rsidRPr="00583116">
        <w:t xml:space="preserve">the first </w:t>
      </w:r>
      <w:r>
        <w:t>six core</w:t>
      </w:r>
      <w:r w:rsidRPr="00583116">
        <w:t xml:space="preserve"> asset classes</w:t>
      </w:r>
      <w:r>
        <w:t xml:space="preserve"> was calculated for 2009-10.</w:t>
      </w:r>
    </w:p>
    <w:p w:rsidR="007F36BF" w:rsidRDefault="007F36BF" w:rsidP="007F36BF">
      <w:pPr>
        <w:pStyle w:val="Bulleta"/>
      </w:pPr>
      <w:r>
        <w:lastRenderedPageBreak/>
        <w:t xml:space="preserve">Second, the annual revenue requirement for </w:t>
      </w:r>
      <w:r w:rsidRPr="00583116">
        <w:t xml:space="preserve">the first </w:t>
      </w:r>
      <w:r>
        <w:t>six core</w:t>
      </w:r>
      <w:r w:rsidRPr="00583116">
        <w:t xml:space="preserve"> asset classes</w:t>
      </w:r>
      <w:r>
        <w:t xml:space="preserve"> for each declared service was calculated for 2009-10.</w:t>
      </w:r>
    </w:p>
    <w:p w:rsidR="007F36BF" w:rsidRDefault="007F36BF" w:rsidP="007F36BF">
      <w:pPr>
        <w:pStyle w:val="Bulleta"/>
      </w:pPr>
      <w:r>
        <w:t>Third, the annual revenue requirement for each declared service calculated in the second step is divided by the total annual revenue requirement calculated in the first step to obtain the cost allocation factors for each declared service for 2009-10.</w:t>
      </w:r>
    </w:p>
    <w:p w:rsidR="007F36BF" w:rsidRDefault="007F36BF" w:rsidP="007F36BF">
      <w:r>
        <w:t xml:space="preserve">Once the initial cost allocation factors were determined, they were adjusted each year by the forecast percentage changes in PSTN OTA and LCS </w:t>
      </w:r>
      <w:r w:rsidR="003F73A8">
        <w:t xml:space="preserve">demand </w:t>
      </w:r>
      <w:r>
        <w:t>for that year.</w:t>
      </w:r>
    </w:p>
    <w:p w:rsidR="00117E22" w:rsidRDefault="00117E22" w:rsidP="00117E22">
      <w:pPr>
        <w:pStyle w:val="HeadingLevel3"/>
        <w:numPr>
          <w:ilvl w:val="0"/>
          <w:numId w:val="0"/>
        </w:numPr>
      </w:pPr>
      <w:r>
        <w:t>Telstra’s proposed allocation method</w:t>
      </w:r>
    </w:p>
    <w:p w:rsidR="007F36BF" w:rsidRDefault="007F36BF" w:rsidP="007F36BF">
      <w:r>
        <w:t>Under Telstra’s propose</w:t>
      </w:r>
      <w:r w:rsidR="00DA5721">
        <w:t>d</w:t>
      </w:r>
      <w:r>
        <w:t xml:space="preserve"> approach, a share of network land is first allocated to third party use (such as other access seekers that install their own equipment or NBN Co installing equipment for use in the NBN). This allocation is based on internal Telstra information on third</w:t>
      </w:r>
      <w:r w:rsidR="003F73A8">
        <w:t xml:space="preserve"> </w:t>
      </w:r>
      <w:r>
        <w:t xml:space="preserve">party use of exchange buildings and values of exchange buildings and related facilities. </w:t>
      </w:r>
    </w:p>
    <w:p w:rsidR="007F36BF" w:rsidRDefault="007F36BF" w:rsidP="007F36BF">
      <w:r>
        <w:t xml:space="preserve">Telstra has proposed a ’general allocator’ approach to allocate remaining costs for </w:t>
      </w:r>
      <w:r w:rsidR="0020444A">
        <w:t>network land</w:t>
      </w:r>
      <w:r>
        <w:t xml:space="preserve">. Telstra’s rationale for using a general allocator is that there is no logical, direct causal relationship that can be calculated between </w:t>
      </w:r>
      <w:r w:rsidR="003F73A8">
        <w:t>this asset class</w:t>
      </w:r>
      <w:r>
        <w:t xml:space="preserve"> and the relevant services.</w:t>
      </w:r>
    </w:p>
    <w:p w:rsidR="007F36BF" w:rsidRDefault="007F36BF" w:rsidP="007F36BF">
      <w:r>
        <w:t xml:space="preserve">The methodology used to calculate the general allocator for </w:t>
      </w:r>
      <w:r w:rsidR="009721BF">
        <w:t xml:space="preserve">network land </w:t>
      </w:r>
      <w:r>
        <w:t xml:space="preserve">is similar to the revenue share approach adopted in the 2011 FADs as </w:t>
      </w:r>
      <w:r w:rsidRPr="00583116">
        <w:t>described</w:t>
      </w:r>
      <w:r>
        <w:t xml:space="preserve"> </w:t>
      </w:r>
      <w:r w:rsidRPr="00583116">
        <w:t>above</w:t>
      </w:r>
      <w:r>
        <w:t>.</w:t>
      </w:r>
      <w:r w:rsidRPr="00583116">
        <w:t xml:space="preserve"> </w:t>
      </w:r>
      <w:r>
        <w:t>T</w:t>
      </w:r>
      <w:r w:rsidRPr="00583116">
        <w:t xml:space="preserve">he </w:t>
      </w:r>
      <w:r>
        <w:t>two key differences between Telstra’s approach and the 2011 FAD approach are:</w:t>
      </w:r>
    </w:p>
    <w:p w:rsidR="007F36BF" w:rsidRDefault="007F36BF" w:rsidP="007F36BF">
      <w:pPr>
        <w:pStyle w:val="Bulleta"/>
      </w:pPr>
      <w:proofErr w:type="gramStart"/>
      <w:r>
        <w:t>under</w:t>
      </w:r>
      <w:proofErr w:type="gramEnd"/>
      <w:r>
        <w:t xml:space="preserve"> Telstra’s approach, the first six core asset classes and CO12 data equipment are used to calculate the general allocation factor. In the 2011 FAD, data equipment was not used in this calculation (this asset class was only added to the FLSM in 2013).</w:t>
      </w:r>
    </w:p>
    <w:p w:rsidR="007F36BF" w:rsidRDefault="007F36BF" w:rsidP="007F36BF">
      <w:pPr>
        <w:pStyle w:val="Bulleta"/>
      </w:pPr>
      <w:proofErr w:type="gramStart"/>
      <w:r>
        <w:t>under</w:t>
      </w:r>
      <w:proofErr w:type="gramEnd"/>
      <w:r>
        <w:t xml:space="preserve"> Telstra’s approach, the general allocation factor is calculated annually. In the 2011 FADs, it was calculated using the revenue share approach for the first year only, then adjusted in line with changes in demand for declared services. </w:t>
      </w:r>
    </w:p>
    <w:p w:rsidR="00117E22" w:rsidRDefault="00117E22" w:rsidP="00117E22">
      <w:pPr>
        <w:pStyle w:val="HeadingLevel3"/>
        <w:numPr>
          <w:ilvl w:val="0"/>
          <w:numId w:val="0"/>
        </w:numPr>
      </w:pPr>
      <w:r>
        <w:t>Current versus Telstra’s proposed allocation factors</w:t>
      </w:r>
    </w:p>
    <w:p w:rsidR="00117E22" w:rsidRDefault="009B1C47" w:rsidP="00117E22">
      <w:r w:rsidRPr="009B1C47">
        <w:t>Cost allocation factors for 2013-14 based on the 2011</w:t>
      </w:r>
      <w:r w:rsidR="009B76DF">
        <w:t xml:space="preserve"> and 2013</w:t>
      </w:r>
      <w:r w:rsidRPr="009B1C47">
        <w:t xml:space="preserve"> FAD approach and Telstra’s proposed approach are provided in </w:t>
      </w:r>
      <w:r w:rsidR="002C57D0">
        <w:t>T</w:t>
      </w:r>
      <w:r w:rsidRPr="009B1C47">
        <w:t xml:space="preserve">able </w:t>
      </w:r>
      <w:r w:rsidR="002C57D0">
        <w:t>3.8.1</w:t>
      </w:r>
      <w:r w:rsidRPr="009B1C47">
        <w:t>.</w:t>
      </w:r>
    </w:p>
    <w:p w:rsidR="00117E22" w:rsidRDefault="001E5979" w:rsidP="009A3B25">
      <w:pPr>
        <w:pStyle w:val="HeadingLevel8table"/>
        <w:ind w:left="1440" w:hanging="1440"/>
      </w:pPr>
      <w:r w:rsidRPr="001E5979">
        <w:t>Table 3.</w:t>
      </w:r>
      <w:r>
        <w:t>8</w:t>
      </w:r>
      <w:r w:rsidRPr="001E5979">
        <w:t>.1</w:t>
      </w:r>
      <w:r w:rsidRPr="001E5979">
        <w:tab/>
        <w:t>Comparison of 2011</w:t>
      </w:r>
      <w:r w:rsidR="003F73A8">
        <w:t>/2013</w:t>
      </w:r>
      <w:r w:rsidR="001716E7">
        <w:t xml:space="preserve"> </w:t>
      </w:r>
      <w:r w:rsidRPr="001E5979">
        <w:t>FAD</w:t>
      </w:r>
      <w:r w:rsidR="003F73A8">
        <w:t xml:space="preserve"> approach</w:t>
      </w:r>
      <w:r w:rsidRPr="001E5979">
        <w:t xml:space="preserve"> </w:t>
      </w:r>
      <w:proofErr w:type="spellStart"/>
      <w:r w:rsidRPr="001E5979">
        <w:t>vs</w:t>
      </w:r>
      <w:proofErr w:type="spellEnd"/>
      <w:r w:rsidRPr="001E5979">
        <w:t xml:space="preserve"> </w:t>
      </w:r>
      <w:r w:rsidR="009A3B25">
        <w:t>Telstra’s</w:t>
      </w:r>
      <w:r w:rsidRPr="001E5979">
        <w:t xml:space="preserve"> proposed approach for CO0</w:t>
      </w:r>
      <w:r>
        <w:t>8</w:t>
      </w:r>
      <w:r w:rsidR="009A3B25">
        <w:t xml:space="preserve"> network land</w:t>
      </w:r>
      <w:r w:rsidR="003F73A8">
        <w:t xml:space="preserve"> for 2013-14</w:t>
      </w:r>
    </w:p>
    <w:tbl>
      <w:tblPr>
        <w:tblStyle w:val="TableGrid"/>
        <w:tblW w:w="0" w:type="auto"/>
        <w:tblLook w:val="04A0" w:firstRow="1" w:lastRow="0" w:firstColumn="1" w:lastColumn="0" w:noHBand="0" w:noVBand="1"/>
      </w:tblPr>
      <w:tblGrid>
        <w:gridCol w:w="1785"/>
        <w:gridCol w:w="1790"/>
        <w:gridCol w:w="1755"/>
        <w:gridCol w:w="1827"/>
        <w:gridCol w:w="1507"/>
      </w:tblGrid>
      <w:tr w:rsidR="00592613" w:rsidTr="00AB2E1F">
        <w:trPr>
          <w:trHeight w:val="447"/>
        </w:trPr>
        <w:tc>
          <w:tcPr>
            <w:tcW w:w="1785" w:type="dxa"/>
          </w:tcPr>
          <w:p w:rsidR="00592613" w:rsidRDefault="00592613" w:rsidP="00350637">
            <w:pPr>
              <w:pStyle w:val="Table2Text"/>
            </w:pPr>
            <w:r>
              <w:t>Declared service</w:t>
            </w:r>
          </w:p>
        </w:tc>
        <w:tc>
          <w:tcPr>
            <w:tcW w:w="1790" w:type="dxa"/>
          </w:tcPr>
          <w:p w:rsidR="00592613" w:rsidRDefault="00592613" w:rsidP="00AC01B7">
            <w:pPr>
              <w:pStyle w:val="Table2Text"/>
            </w:pPr>
            <w:r>
              <w:t>2011/2013 FAD</w:t>
            </w:r>
            <w:r w:rsidR="003F73A8">
              <w:t xml:space="preserve"> approach</w:t>
            </w:r>
            <w:r>
              <w:t xml:space="preserve"> %</w:t>
            </w:r>
          </w:p>
        </w:tc>
        <w:tc>
          <w:tcPr>
            <w:tcW w:w="1755" w:type="dxa"/>
          </w:tcPr>
          <w:p w:rsidR="00592613" w:rsidRDefault="00592613" w:rsidP="00AC01B7">
            <w:pPr>
              <w:pStyle w:val="Table2Text"/>
            </w:pPr>
            <w:r>
              <w:t xml:space="preserve">Telstra proposed </w:t>
            </w:r>
            <w:r w:rsidR="003F73A8">
              <w:t xml:space="preserve">approach </w:t>
            </w:r>
            <w:r>
              <w:t>%</w:t>
            </w:r>
          </w:p>
        </w:tc>
        <w:tc>
          <w:tcPr>
            <w:tcW w:w="1827" w:type="dxa"/>
          </w:tcPr>
          <w:p w:rsidR="00592613" w:rsidRDefault="00592613" w:rsidP="00AC01B7">
            <w:pPr>
              <w:pStyle w:val="Table2Text"/>
            </w:pPr>
            <w:r w:rsidRPr="007754D9">
              <w:t>% point difference</w:t>
            </w:r>
          </w:p>
        </w:tc>
        <w:tc>
          <w:tcPr>
            <w:tcW w:w="1507" w:type="dxa"/>
          </w:tcPr>
          <w:p w:rsidR="00592613" w:rsidRDefault="00592613" w:rsidP="00AC01B7">
            <w:pPr>
              <w:pStyle w:val="Table2Text"/>
            </w:pPr>
            <w:r w:rsidRPr="007754D9">
              <w:t>% change</w:t>
            </w:r>
          </w:p>
        </w:tc>
      </w:tr>
      <w:tr w:rsidR="002C57D0" w:rsidTr="00AB2E1F">
        <w:trPr>
          <w:trHeight w:val="447"/>
        </w:trPr>
        <w:tc>
          <w:tcPr>
            <w:tcW w:w="1785" w:type="dxa"/>
          </w:tcPr>
          <w:p w:rsidR="002C57D0" w:rsidRDefault="002C57D0" w:rsidP="00350637">
            <w:pPr>
              <w:pStyle w:val="Table2Text"/>
            </w:pPr>
            <w:r w:rsidRPr="00127148">
              <w:t>WLR</w:t>
            </w:r>
          </w:p>
        </w:tc>
        <w:tc>
          <w:tcPr>
            <w:tcW w:w="1790" w:type="dxa"/>
          </w:tcPr>
          <w:p w:rsidR="002C57D0" w:rsidRDefault="002227F7" w:rsidP="00AC01B7">
            <w:pPr>
              <w:pStyle w:val="Table2Text"/>
            </w:pPr>
            <w:r w:rsidRPr="008A178E">
              <w:t>[c-</w:t>
            </w:r>
            <w:proofErr w:type="spellStart"/>
            <w:r w:rsidRPr="008A178E">
              <w:t>i</w:t>
            </w:r>
            <w:proofErr w:type="spellEnd"/>
            <w:r w:rsidRPr="008A178E">
              <w:t>-c starts]</w:t>
            </w:r>
            <w:r w:rsidR="00552D6F">
              <w:rPr>
                <w:noProof/>
                <w:color w:val="000000"/>
                <w:highlight w:val="black"/>
              </w:rPr>
              <w:t>'''''''</w:t>
            </w:r>
          </w:p>
        </w:tc>
        <w:tc>
          <w:tcPr>
            <w:tcW w:w="1755" w:type="dxa"/>
          </w:tcPr>
          <w:p w:rsidR="002C57D0" w:rsidRPr="00552D6F" w:rsidRDefault="00552D6F" w:rsidP="00AC01B7">
            <w:pPr>
              <w:pStyle w:val="Table2Text"/>
              <w:rPr>
                <w:highlight w:val="black"/>
              </w:rPr>
            </w:pPr>
            <w:r>
              <w:rPr>
                <w:noProof/>
                <w:color w:val="000000"/>
                <w:highlight w:val="black"/>
              </w:rPr>
              <w:t>''''''''</w:t>
            </w:r>
          </w:p>
        </w:tc>
        <w:tc>
          <w:tcPr>
            <w:tcW w:w="1827" w:type="dxa"/>
          </w:tcPr>
          <w:p w:rsidR="002C57D0" w:rsidRPr="00552D6F" w:rsidRDefault="00552D6F" w:rsidP="00AC01B7">
            <w:pPr>
              <w:pStyle w:val="Table2Text"/>
              <w:rPr>
                <w:highlight w:val="black"/>
              </w:rPr>
            </w:pPr>
            <w:r>
              <w:rPr>
                <w:noProof/>
                <w:color w:val="000000"/>
                <w:highlight w:val="black"/>
              </w:rPr>
              <w:t>''''''''''</w:t>
            </w:r>
          </w:p>
        </w:tc>
        <w:tc>
          <w:tcPr>
            <w:tcW w:w="1507" w:type="dxa"/>
          </w:tcPr>
          <w:p w:rsidR="002C57D0" w:rsidRPr="00552D6F" w:rsidRDefault="00552D6F" w:rsidP="00AC01B7">
            <w:pPr>
              <w:pStyle w:val="Table2Text"/>
              <w:rPr>
                <w:highlight w:val="black"/>
              </w:rPr>
            </w:pPr>
            <w:r>
              <w:rPr>
                <w:noProof/>
                <w:color w:val="000000"/>
                <w:highlight w:val="black"/>
              </w:rPr>
              <w:t>'''''''''</w:t>
            </w:r>
          </w:p>
        </w:tc>
      </w:tr>
      <w:tr w:rsidR="002C57D0" w:rsidTr="00AB2E1F">
        <w:trPr>
          <w:trHeight w:val="447"/>
        </w:trPr>
        <w:tc>
          <w:tcPr>
            <w:tcW w:w="1785" w:type="dxa"/>
          </w:tcPr>
          <w:p w:rsidR="002C57D0" w:rsidRDefault="005855E2" w:rsidP="00350637">
            <w:pPr>
              <w:pStyle w:val="Table2Text"/>
            </w:pPr>
            <w:r w:rsidRPr="005855E2">
              <w:t>FOAS/FTAS</w:t>
            </w:r>
          </w:p>
        </w:tc>
        <w:tc>
          <w:tcPr>
            <w:tcW w:w="1790" w:type="dxa"/>
          </w:tcPr>
          <w:p w:rsidR="002C57D0" w:rsidRPr="00552D6F" w:rsidRDefault="00552D6F" w:rsidP="00AC01B7">
            <w:pPr>
              <w:pStyle w:val="Table2Text"/>
              <w:rPr>
                <w:highlight w:val="black"/>
              </w:rPr>
            </w:pPr>
            <w:r>
              <w:rPr>
                <w:noProof/>
                <w:color w:val="000000"/>
                <w:highlight w:val="black"/>
              </w:rPr>
              <w:t>''''''''</w:t>
            </w:r>
          </w:p>
        </w:tc>
        <w:tc>
          <w:tcPr>
            <w:tcW w:w="1755" w:type="dxa"/>
          </w:tcPr>
          <w:p w:rsidR="002C57D0" w:rsidRPr="00552D6F" w:rsidRDefault="00552D6F" w:rsidP="00AC01B7">
            <w:pPr>
              <w:pStyle w:val="Table2Text"/>
              <w:rPr>
                <w:highlight w:val="black"/>
              </w:rPr>
            </w:pPr>
            <w:r>
              <w:rPr>
                <w:noProof/>
                <w:color w:val="000000"/>
                <w:highlight w:val="black"/>
              </w:rPr>
              <w:t>''''''''</w:t>
            </w:r>
          </w:p>
        </w:tc>
        <w:tc>
          <w:tcPr>
            <w:tcW w:w="1827" w:type="dxa"/>
          </w:tcPr>
          <w:p w:rsidR="002C57D0" w:rsidRPr="00552D6F" w:rsidRDefault="00552D6F" w:rsidP="00AC01B7">
            <w:pPr>
              <w:pStyle w:val="Table2Text"/>
              <w:rPr>
                <w:highlight w:val="black"/>
              </w:rPr>
            </w:pPr>
            <w:r>
              <w:rPr>
                <w:noProof/>
                <w:color w:val="000000"/>
                <w:highlight w:val="black"/>
              </w:rPr>
              <w:t>'''''''''</w:t>
            </w:r>
          </w:p>
        </w:tc>
        <w:tc>
          <w:tcPr>
            <w:tcW w:w="1507" w:type="dxa"/>
          </w:tcPr>
          <w:p w:rsidR="002C57D0" w:rsidRPr="00552D6F" w:rsidRDefault="00552D6F" w:rsidP="00AC01B7">
            <w:pPr>
              <w:pStyle w:val="Table2Text"/>
              <w:rPr>
                <w:highlight w:val="black"/>
              </w:rPr>
            </w:pPr>
            <w:r>
              <w:rPr>
                <w:noProof/>
                <w:color w:val="000000"/>
                <w:highlight w:val="black"/>
              </w:rPr>
              <w:t>''''''''''''</w:t>
            </w:r>
          </w:p>
        </w:tc>
      </w:tr>
      <w:tr w:rsidR="002C57D0" w:rsidTr="00AB2E1F">
        <w:trPr>
          <w:trHeight w:val="447"/>
        </w:trPr>
        <w:tc>
          <w:tcPr>
            <w:tcW w:w="1785" w:type="dxa"/>
          </w:tcPr>
          <w:p w:rsidR="002C57D0" w:rsidRDefault="002C57D0" w:rsidP="00350637">
            <w:pPr>
              <w:pStyle w:val="Table2Text"/>
            </w:pPr>
            <w:r w:rsidRPr="00127148">
              <w:t>LCS</w:t>
            </w:r>
          </w:p>
        </w:tc>
        <w:tc>
          <w:tcPr>
            <w:tcW w:w="1790" w:type="dxa"/>
          </w:tcPr>
          <w:p w:rsidR="002C57D0" w:rsidRPr="00552D6F" w:rsidRDefault="00552D6F" w:rsidP="00AC01B7">
            <w:pPr>
              <w:pStyle w:val="Table2Text"/>
              <w:rPr>
                <w:highlight w:val="black"/>
              </w:rPr>
            </w:pPr>
            <w:r>
              <w:rPr>
                <w:noProof/>
                <w:color w:val="000000"/>
                <w:highlight w:val="black"/>
              </w:rPr>
              <w:t>'''''''</w:t>
            </w:r>
          </w:p>
        </w:tc>
        <w:tc>
          <w:tcPr>
            <w:tcW w:w="1755" w:type="dxa"/>
          </w:tcPr>
          <w:p w:rsidR="002C57D0" w:rsidRPr="00552D6F" w:rsidRDefault="00552D6F" w:rsidP="00AC01B7">
            <w:pPr>
              <w:pStyle w:val="Table2Text"/>
              <w:rPr>
                <w:highlight w:val="black"/>
              </w:rPr>
            </w:pPr>
            <w:r>
              <w:rPr>
                <w:noProof/>
                <w:color w:val="000000"/>
                <w:highlight w:val="black"/>
              </w:rPr>
              <w:t>''''''''</w:t>
            </w:r>
          </w:p>
        </w:tc>
        <w:tc>
          <w:tcPr>
            <w:tcW w:w="1827" w:type="dxa"/>
          </w:tcPr>
          <w:p w:rsidR="002C57D0" w:rsidRPr="00552D6F" w:rsidRDefault="00552D6F" w:rsidP="00AC01B7">
            <w:pPr>
              <w:pStyle w:val="Table2Text"/>
              <w:rPr>
                <w:highlight w:val="black"/>
              </w:rPr>
            </w:pPr>
            <w:r>
              <w:rPr>
                <w:noProof/>
                <w:color w:val="000000"/>
                <w:highlight w:val="black"/>
              </w:rPr>
              <w:t>'''''''''</w:t>
            </w:r>
          </w:p>
        </w:tc>
        <w:tc>
          <w:tcPr>
            <w:tcW w:w="1507" w:type="dxa"/>
          </w:tcPr>
          <w:p w:rsidR="002C57D0" w:rsidRPr="00552D6F" w:rsidRDefault="00552D6F" w:rsidP="00AC01B7">
            <w:pPr>
              <w:pStyle w:val="Table2Text"/>
              <w:rPr>
                <w:highlight w:val="black"/>
              </w:rPr>
            </w:pPr>
            <w:r>
              <w:rPr>
                <w:noProof/>
                <w:color w:val="000000"/>
                <w:highlight w:val="black"/>
              </w:rPr>
              <w:t>'''''''''''''</w:t>
            </w:r>
          </w:p>
        </w:tc>
      </w:tr>
      <w:tr w:rsidR="002C57D0" w:rsidTr="00AB2E1F">
        <w:trPr>
          <w:trHeight w:val="447"/>
        </w:trPr>
        <w:tc>
          <w:tcPr>
            <w:tcW w:w="1785" w:type="dxa"/>
          </w:tcPr>
          <w:p w:rsidR="002C57D0" w:rsidRDefault="002C57D0" w:rsidP="00350637">
            <w:pPr>
              <w:pStyle w:val="Table2Text"/>
            </w:pPr>
            <w:r>
              <w:t xml:space="preserve">Wholesale </w:t>
            </w:r>
            <w:r w:rsidRPr="00127148">
              <w:t>ADSL</w:t>
            </w:r>
          </w:p>
        </w:tc>
        <w:tc>
          <w:tcPr>
            <w:tcW w:w="1790" w:type="dxa"/>
          </w:tcPr>
          <w:p w:rsidR="002C57D0" w:rsidRPr="00552D6F" w:rsidRDefault="00552D6F" w:rsidP="00AC01B7">
            <w:pPr>
              <w:pStyle w:val="Table2Text"/>
              <w:rPr>
                <w:highlight w:val="black"/>
              </w:rPr>
            </w:pPr>
            <w:r>
              <w:rPr>
                <w:noProof/>
                <w:color w:val="000000"/>
                <w:highlight w:val="black"/>
              </w:rPr>
              <w:t>'''''''''</w:t>
            </w:r>
          </w:p>
        </w:tc>
        <w:tc>
          <w:tcPr>
            <w:tcW w:w="1755" w:type="dxa"/>
          </w:tcPr>
          <w:p w:rsidR="002C57D0" w:rsidRPr="00552D6F" w:rsidRDefault="00552D6F" w:rsidP="00AC01B7">
            <w:pPr>
              <w:pStyle w:val="Table2Text"/>
              <w:rPr>
                <w:highlight w:val="black"/>
              </w:rPr>
            </w:pPr>
            <w:r>
              <w:rPr>
                <w:noProof/>
                <w:color w:val="000000"/>
                <w:highlight w:val="black"/>
              </w:rPr>
              <w:t>'''''''</w:t>
            </w:r>
          </w:p>
        </w:tc>
        <w:tc>
          <w:tcPr>
            <w:tcW w:w="1827" w:type="dxa"/>
          </w:tcPr>
          <w:p w:rsidR="002C57D0" w:rsidRPr="00552D6F" w:rsidRDefault="00552D6F" w:rsidP="00AC01B7">
            <w:pPr>
              <w:pStyle w:val="Table2Text"/>
              <w:rPr>
                <w:highlight w:val="black"/>
              </w:rPr>
            </w:pPr>
            <w:r>
              <w:rPr>
                <w:noProof/>
                <w:color w:val="000000"/>
                <w:highlight w:val="black"/>
              </w:rPr>
              <w:t>'''''''''</w:t>
            </w:r>
          </w:p>
        </w:tc>
        <w:tc>
          <w:tcPr>
            <w:tcW w:w="1507" w:type="dxa"/>
          </w:tcPr>
          <w:p w:rsidR="002C57D0" w:rsidRPr="00127148" w:rsidRDefault="00552D6F" w:rsidP="00AC01B7">
            <w:pPr>
              <w:pStyle w:val="Table2Text"/>
            </w:pPr>
            <w:r>
              <w:rPr>
                <w:noProof/>
                <w:color w:val="000000"/>
                <w:highlight w:val="black"/>
              </w:rPr>
              <w:t>''''''''''</w:t>
            </w:r>
            <w:r w:rsidR="002227F7">
              <w:t>[c-</w:t>
            </w:r>
            <w:proofErr w:type="spellStart"/>
            <w:r w:rsidR="002227F7">
              <w:t>i</w:t>
            </w:r>
            <w:proofErr w:type="spellEnd"/>
            <w:r w:rsidR="002227F7">
              <w:t>-c ends]</w:t>
            </w:r>
          </w:p>
        </w:tc>
      </w:tr>
    </w:tbl>
    <w:p w:rsidR="00117E22" w:rsidRDefault="00117E22" w:rsidP="00117E22"/>
    <w:p w:rsidR="00117E22" w:rsidRDefault="002C57D0" w:rsidP="00117E22">
      <w:r>
        <w:t>Figure 3.8.2</w:t>
      </w:r>
      <w:r w:rsidR="009B1C47" w:rsidRPr="009B1C47">
        <w:t xml:space="preserve"> shows Telstra’s assumed share of use of other communications plant and equipment by the various services for 2013-14.</w:t>
      </w:r>
    </w:p>
    <w:p w:rsidR="002A0ED3" w:rsidRDefault="005065CE" w:rsidP="00AB2E1F">
      <w:pPr>
        <w:pStyle w:val="HeadingLevel8table"/>
      </w:pPr>
      <w:r w:rsidRPr="005065CE">
        <w:lastRenderedPageBreak/>
        <w:t>Figure 3.</w:t>
      </w:r>
      <w:r>
        <w:t>8</w:t>
      </w:r>
      <w:r w:rsidRPr="005065CE">
        <w:t>.2</w:t>
      </w:r>
      <w:r w:rsidRPr="005065CE">
        <w:tab/>
        <w:t>Telstra’s proposed allocation of CO0</w:t>
      </w:r>
      <w:r>
        <w:t>8</w:t>
      </w:r>
      <w:r w:rsidR="002A0ED3">
        <w:t xml:space="preserve"> network land</w:t>
      </w:r>
      <w:r w:rsidR="003F73A8">
        <w:t xml:space="preserve"> for 2013-14</w:t>
      </w:r>
    </w:p>
    <w:p w:rsidR="00A703F9" w:rsidRPr="005871C8" w:rsidRDefault="00A703F9" w:rsidP="00AC5A20">
      <w:r w:rsidRPr="00AC5A20">
        <w:rPr>
          <w:b/>
        </w:rPr>
        <w:t>[</w:t>
      </w:r>
      <w:proofErr w:type="gramStart"/>
      <w:r w:rsidRPr="00AC5A20">
        <w:rPr>
          <w:b/>
        </w:rPr>
        <w:t>c-</w:t>
      </w:r>
      <w:proofErr w:type="spellStart"/>
      <w:r w:rsidRPr="00AC5A20">
        <w:rPr>
          <w:b/>
        </w:rPr>
        <w:t>i</w:t>
      </w:r>
      <w:proofErr w:type="spellEnd"/>
      <w:r w:rsidRPr="00AC5A20">
        <w:rPr>
          <w:b/>
        </w:rPr>
        <w:t>-c</w:t>
      </w:r>
      <w:proofErr w:type="gramEnd"/>
      <w:r w:rsidRPr="00AC5A20">
        <w:rPr>
          <w:b/>
        </w:rPr>
        <w:t xml:space="preserve"> starts]</w:t>
      </w:r>
    </w:p>
    <w:p w:rsidR="00A703F9" w:rsidRPr="00552D6F" w:rsidRDefault="00552D6F" w:rsidP="00AB2E1F">
      <w:pPr>
        <w:pStyle w:val="HeadingLevel8table"/>
        <w:rPr>
          <w:b w:val="0"/>
        </w:rPr>
      </w:pPr>
      <w:r>
        <w:rPr>
          <w:b w:val="0"/>
          <w:noProof/>
          <w:lang w:eastAsia="en-AU"/>
        </w:rPr>
        <w:drawing>
          <wp:inline distT="0" distB="0" distL="0" distR="0">
            <wp:extent cx="3615055" cy="252984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15055" cy="2529840"/>
                    </a:xfrm>
                    <a:prstGeom prst="rect">
                      <a:avLst/>
                    </a:prstGeom>
                  </pic:spPr>
                </pic:pic>
              </a:graphicData>
            </a:graphic>
          </wp:inline>
        </w:drawing>
      </w:r>
    </w:p>
    <w:p w:rsidR="000B075C" w:rsidRDefault="002227F7" w:rsidP="00AB2E1F">
      <w:pPr>
        <w:pStyle w:val="HeadingLevel8table"/>
      </w:pPr>
      <w:r w:rsidRPr="002227F7">
        <w:t>[</w:t>
      </w:r>
      <w:proofErr w:type="gramStart"/>
      <w:r w:rsidRPr="002227F7">
        <w:t>c-</w:t>
      </w:r>
      <w:proofErr w:type="spellStart"/>
      <w:r w:rsidRPr="002227F7">
        <w:t>i</w:t>
      </w:r>
      <w:proofErr w:type="spellEnd"/>
      <w:r w:rsidRPr="002227F7">
        <w:t>-c</w:t>
      </w:r>
      <w:proofErr w:type="gramEnd"/>
      <w:r w:rsidRPr="002227F7">
        <w:t xml:space="preserve"> ends]</w:t>
      </w:r>
    </w:p>
    <w:p w:rsidR="009B1C47" w:rsidRPr="009B1C47" w:rsidRDefault="009B1C47" w:rsidP="0004761D"/>
    <w:p w:rsidR="008C26CC" w:rsidRDefault="008C26CC" w:rsidP="00AB2E1F">
      <w:r>
        <w:br w:type="page"/>
      </w:r>
    </w:p>
    <w:p w:rsidR="00791D3C" w:rsidRDefault="00791D3C" w:rsidP="00791D3C">
      <w:pPr>
        <w:pStyle w:val="HeadingLevel2"/>
      </w:pPr>
      <w:bookmarkStart w:id="29" w:name="_Toc393375581"/>
      <w:r>
        <w:lastRenderedPageBreak/>
        <w:t>CO09 n</w:t>
      </w:r>
      <w:r w:rsidRPr="00791D3C">
        <w:t>etwork buildings/support</w:t>
      </w:r>
      <w:bookmarkEnd w:id="29"/>
    </w:p>
    <w:p w:rsidR="00117E22" w:rsidRDefault="00117E22" w:rsidP="00117E22">
      <w:pPr>
        <w:pStyle w:val="HeadingLevel3"/>
        <w:numPr>
          <w:ilvl w:val="0"/>
          <w:numId w:val="0"/>
        </w:numPr>
      </w:pPr>
      <w:r>
        <w:t>Asset description</w:t>
      </w:r>
    </w:p>
    <w:p w:rsidR="00117E22" w:rsidRDefault="009B1C47" w:rsidP="00117E22">
      <w:r w:rsidRPr="009B1C47">
        <w:t xml:space="preserve">Network buildings/support </w:t>
      </w:r>
      <w:proofErr w:type="gramStart"/>
      <w:r w:rsidRPr="009B1C47">
        <w:t>are</w:t>
      </w:r>
      <w:proofErr w:type="gramEnd"/>
      <w:r w:rsidRPr="009B1C47">
        <w:t xml:space="preserve"> core assets reflecting the values and associated costs of the customer side of the MDF within Telstra exchange buildings. The share allocated to CAN network buildings/support asset class is excluded from this asset class.</w:t>
      </w:r>
    </w:p>
    <w:p w:rsidR="00CD7B82" w:rsidRDefault="00CD7B82" w:rsidP="00CD7B82">
      <w:pPr>
        <w:pStyle w:val="HeadingLevel3"/>
        <w:numPr>
          <w:ilvl w:val="0"/>
          <w:numId w:val="0"/>
        </w:numPr>
      </w:pPr>
      <w:r>
        <w:t xml:space="preserve">Key points </w:t>
      </w:r>
    </w:p>
    <w:p w:rsidR="006A1281" w:rsidRPr="00A93872" w:rsidRDefault="006A1281" w:rsidP="006A1281">
      <w:pPr>
        <w:pStyle w:val="Bulleta"/>
      </w:pPr>
      <w:r>
        <w:t>Network buildings/support</w:t>
      </w:r>
      <w:r w:rsidRPr="00CF408B">
        <w:t xml:space="preserve"> </w:t>
      </w:r>
      <w:r>
        <w:t>contributes a material proportion towards the total fixed</w:t>
      </w:r>
      <w:r w:rsidR="000255D7">
        <w:t xml:space="preserve"> </w:t>
      </w:r>
      <w:r>
        <w:t>line revenue requirement (</w:t>
      </w:r>
      <w:r>
        <w:rPr>
          <w:b/>
        </w:rPr>
        <w:t>[c-</w:t>
      </w:r>
      <w:proofErr w:type="spellStart"/>
      <w:r>
        <w:rPr>
          <w:b/>
        </w:rPr>
        <w:t>i</w:t>
      </w:r>
      <w:proofErr w:type="spellEnd"/>
      <w:r>
        <w:rPr>
          <w:b/>
        </w:rPr>
        <w:t>-c starts]</w:t>
      </w:r>
      <w:r w:rsidR="00552D6F">
        <w:rPr>
          <w:noProof/>
          <w:color w:val="000000"/>
          <w:highlight w:val="black"/>
        </w:rPr>
        <w:t>''''''''</w:t>
      </w:r>
      <w:r>
        <w:rPr>
          <w:b/>
        </w:rPr>
        <w:t>[c-</w:t>
      </w:r>
      <w:proofErr w:type="spellStart"/>
      <w:r>
        <w:rPr>
          <w:b/>
        </w:rPr>
        <w:t>i</w:t>
      </w:r>
      <w:proofErr w:type="spellEnd"/>
      <w:r>
        <w:rPr>
          <w:b/>
        </w:rPr>
        <w:t>-c ends]</w:t>
      </w:r>
      <w:r>
        <w:t xml:space="preserve"> per cent</w:t>
      </w:r>
      <w:r w:rsidRPr="00A93872">
        <w:t xml:space="preserve"> in 2013-14</w:t>
      </w:r>
      <w:r>
        <w:t>).</w:t>
      </w:r>
    </w:p>
    <w:p w:rsidR="006A1281" w:rsidRDefault="006A1281" w:rsidP="006A1281">
      <w:pPr>
        <w:pStyle w:val="Bulleta"/>
      </w:pPr>
      <w:r w:rsidRPr="006A3C2D">
        <w:t xml:space="preserve">Telstra’s proposed </w:t>
      </w:r>
      <w:r>
        <w:t xml:space="preserve">‘general allocator’ approach </w:t>
      </w:r>
      <w:r w:rsidRPr="006A3C2D">
        <w:t xml:space="preserve">for </w:t>
      </w:r>
      <w:r>
        <w:t xml:space="preserve">network </w:t>
      </w:r>
      <w:r w:rsidR="00AF2A3D" w:rsidRPr="009B1C47">
        <w:t xml:space="preserve">buildings/support </w:t>
      </w:r>
      <w:r>
        <w:t>is</w:t>
      </w:r>
      <w:r w:rsidRPr="006A3C2D">
        <w:t xml:space="preserve"> </w:t>
      </w:r>
      <w:r>
        <w:t xml:space="preserve">similar to </w:t>
      </w:r>
      <w:r w:rsidRPr="006A3C2D">
        <w:t xml:space="preserve">the </w:t>
      </w:r>
      <w:r>
        <w:t>‘</w:t>
      </w:r>
      <w:r w:rsidRPr="006A3C2D">
        <w:t>revenue share</w:t>
      </w:r>
      <w:r>
        <w:t>’</w:t>
      </w:r>
      <w:r w:rsidRPr="006A3C2D">
        <w:t xml:space="preserve"> </w:t>
      </w:r>
      <w:r>
        <w:t xml:space="preserve">approach adopted for this asset class in </w:t>
      </w:r>
      <w:r w:rsidRPr="006A3C2D">
        <w:t>th</w:t>
      </w:r>
      <w:r>
        <w:t>e 2011 FADs. The key differences are:</w:t>
      </w:r>
    </w:p>
    <w:p w:rsidR="006A1281" w:rsidRDefault="006A1281" w:rsidP="006A1281">
      <w:pPr>
        <w:pStyle w:val="Bulletb"/>
      </w:pPr>
      <w:proofErr w:type="gramStart"/>
      <w:r>
        <w:t>under</w:t>
      </w:r>
      <w:proofErr w:type="gramEnd"/>
      <w:r>
        <w:t xml:space="preserve"> Telstra’s approach, the first six core asset classes and CO12 data equipment are used to calculate the general allocation factor. In the 2011 FAD, data equipment was not used in this calculation (this asset class was only added to the FLSM in 2013).</w:t>
      </w:r>
    </w:p>
    <w:p w:rsidR="006A1281" w:rsidRDefault="006A1281" w:rsidP="006A1281">
      <w:pPr>
        <w:pStyle w:val="Bulletb"/>
      </w:pPr>
      <w:proofErr w:type="gramStart"/>
      <w:r>
        <w:t>under</w:t>
      </w:r>
      <w:proofErr w:type="gramEnd"/>
      <w:r>
        <w:t xml:space="preserve"> Telstra’s approach, the general allocation factor is calculated annually. In the 2011 FADs, it was calculated using the revenue share approach for the first year only, then adjusted in line with changes in demand for declared services. </w:t>
      </w:r>
    </w:p>
    <w:p w:rsidR="006A1281" w:rsidRDefault="006A1281" w:rsidP="006A1281">
      <w:pPr>
        <w:pStyle w:val="Bulleta"/>
      </w:pPr>
      <w:r>
        <w:t xml:space="preserve">Telstra’s proposed approach to network </w:t>
      </w:r>
      <w:r w:rsidR="00AF2A3D" w:rsidRPr="009B1C47">
        <w:t xml:space="preserve">buildings/support </w:t>
      </w:r>
      <w:r>
        <w:t>also includes an allocation to third-party use to reflect the use of Telstra’s exchange buildings (and associated equipment) by other users, including NBN Co. This allocation was based on internal Telstra information on current use of Telstra facilities by third parties (as opposed to forecast use).</w:t>
      </w:r>
    </w:p>
    <w:p w:rsidR="00117E22" w:rsidRDefault="00117E22" w:rsidP="00117E22">
      <w:pPr>
        <w:pStyle w:val="HeadingLevel3"/>
        <w:numPr>
          <w:ilvl w:val="0"/>
          <w:numId w:val="0"/>
        </w:numPr>
      </w:pPr>
      <w:r>
        <w:t xml:space="preserve">Services using this asset class </w:t>
      </w:r>
    </w:p>
    <w:p w:rsidR="00DA5721" w:rsidRDefault="00DA5721" w:rsidP="00DA5721">
      <w:r>
        <w:t xml:space="preserve">Network </w:t>
      </w:r>
      <w:r w:rsidRPr="009B1C47">
        <w:t>buildings/support</w:t>
      </w:r>
      <w:r>
        <w:t xml:space="preserve"> is used for declared and non-declared fixed</w:t>
      </w:r>
      <w:r w:rsidR="000255D7">
        <w:t xml:space="preserve"> </w:t>
      </w:r>
      <w:r>
        <w:t>line services, as well as a range of other non-fixed-line uses.</w:t>
      </w:r>
    </w:p>
    <w:p w:rsidR="00DA5721" w:rsidRDefault="00DA5721" w:rsidP="00DA5721">
      <w:r>
        <w:t xml:space="preserve">The declared services that require network </w:t>
      </w:r>
      <w:r w:rsidRPr="009B1C47">
        <w:t xml:space="preserve">buildings/support </w:t>
      </w:r>
      <w:r>
        <w:t xml:space="preserve">are WLR, </w:t>
      </w:r>
      <w:r w:rsidR="005855E2" w:rsidRPr="005855E2">
        <w:t>FOAS and FTAS (formally known as PSTN OA and PSTN TA or collectively as PSTN OTA)</w:t>
      </w:r>
      <w:r>
        <w:t>, LCS and wholesale ADSL services. The non-declared services using this asset class include retail PSTN services, retail ADSL, ISDN and other DSL services.</w:t>
      </w:r>
    </w:p>
    <w:p w:rsidR="00DA5721" w:rsidRDefault="00DA5721" w:rsidP="00DA5721">
      <w:r>
        <w:t xml:space="preserve">Network </w:t>
      </w:r>
      <w:r w:rsidRPr="009B1C47">
        <w:t xml:space="preserve">buildings/support </w:t>
      </w:r>
      <w:r>
        <w:t xml:space="preserve">is used to support use of Telstra’s facilities by third parties (including NBN Co or access seekers that install their own equipment). Network </w:t>
      </w:r>
      <w:r w:rsidRPr="009B1C47">
        <w:t xml:space="preserve">buildings/support </w:t>
      </w:r>
      <w:r>
        <w:t>is also assumed support non-fixed-line services such as mobiles and non-ADSL data.</w:t>
      </w:r>
    </w:p>
    <w:p w:rsidR="00117E22" w:rsidRDefault="00117E22" w:rsidP="00117E22">
      <w:pPr>
        <w:pStyle w:val="HeadingLevel3"/>
        <w:numPr>
          <w:ilvl w:val="0"/>
          <w:numId w:val="0"/>
        </w:numPr>
      </w:pPr>
      <w:r>
        <w:t xml:space="preserve">Approach adopted for </w:t>
      </w:r>
      <w:r w:rsidR="00AF06C9">
        <w:t xml:space="preserve">the </w:t>
      </w:r>
      <w:r>
        <w:t>2011</w:t>
      </w:r>
      <w:r w:rsidR="009B76DF">
        <w:t xml:space="preserve"> and 2013</w:t>
      </w:r>
      <w:r w:rsidR="00676764">
        <w:t xml:space="preserve"> </w:t>
      </w:r>
      <w:r>
        <w:t>FAD</w:t>
      </w:r>
    </w:p>
    <w:p w:rsidR="00DA5721" w:rsidRDefault="00DA5721" w:rsidP="00DA5721">
      <w:r w:rsidRPr="00583116">
        <w:t xml:space="preserve">In the 2011 FAD, the </w:t>
      </w:r>
      <w:r>
        <w:t xml:space="preserve">initial </w:t>
      </w:r>
      <w:r w:rsidRPr="00583116">
        <w:t xml:space="preserve">cost allocation factor for </w:t>
      </w:r>
      <w:r>
        <w:t xml:space="preserve">network </w:t>
      </w:r>
      <w:r w:rsidRPr="009B1C47">
        <w:t xml:space="preserve">buildings/support </w:t>
      </w:r>
      <w:r w:rsidRPr="00583116">
        <w:t xml:space="preserve">was based on a </w:t>
      </w:r>
      <w:r>
        <w:t>‘</w:t>
      </w:r>
      <w:r w:rsidRPr="00583116">
        <w:t>revenue share</w:t>
      </w:r>
      <w:r>
        <w:t>’</w:t>
      </w:r>
      <w:r w:rsidRPr="00583116">
        <w:t xml:space="preserve"> approach.</w:t>
      </w:r>
      <w:r>
        <w:t xml:space="preserve"> This involved the following three step process:</w:t>
      </w:r>
    </w:p>
    <w:p w:rsidR="00DA5721" w:rsidRDefault="00DA5721" w:rsidP="00DA5721">
      <w:pPr>
        <w:pStyle w:val="Bulleta"/>
      </w:pPr>
      <w:r w:rsidRPr="00583116">
        <w:t xml:space="preserve">First, </w:t>
      </w:r>
      <w:r>
        <w:t xml:space="preserve">the total annual revenue requirement for </w:t>
      </w:r>
      <w:r w:rsidRPr="00583116">
        <w:t xml:space="preserve">the first </w:t>
      </w:r>
      <w:r>
        <w:t>six core</w:t>
      </w:r>
      <w:r w:rsidRPr="00583116">
        <w:t xml:space="preserve"> asset classes</w:t>
      </w:r>
      <w:r>
        <w:t xml:space="preserve"> was calculated for 2009-10.</w:t>
      </w:r>
    </w:p>
    <w:p w:rsidR="00DA5721" w:rsidRDefault="00DA5721" w:rsidP="00DA5721">
      <w:pPr>
        <w:pStyle w:val="Bulleta"/>
      </w:pPr>
      <w:r>
        <w:lastRenderedPageBreak/>
        <w:t xml:space="preserve">Second, the annual revenue requirement for </w:t>
      </w:r>
      <w:r w:rsidRPr="00583116">
        <w:t xml:space="preserve">the first </w:t>
      </w:r>
      <w:r>
        <w:t>six core</w:t>
      </w:r>
      <w:r w:rsidRPr="00583116">
        <w:t xml:space="preserve"> asset classes</w:t>
      </w:r>
      <w:r>
        <w:t xml:space="preserve"> for each declared service was calculated for 2009-10.</w:t>
      </w:r>
    </w:p>
    <w:p w:rsidR="00DA5721" w:rsidRDefault="00DA5721" w:rsidP="00DA5721">
      <w:pPr>
        <w:pStyle w:val="Bulleta"/>
      </w:pPr>
      <w:r>
        <w:t>Third, the annual revenue requirement for each declared service calculated in the second step is divided by the total annual revenue requirement calculated in the first step to obtain the cost allocation factors for each declared service for 2009-10.</w:t>
      </w:r>
    </w:p>
    <w:p w:rsidR="00DA5721" w:rsidRDefault="00DA5721" w:rsidP="00DA5721">
      <w:r>
        <w:t>Once the initial cost allocation factors were determined, they were adjusted each year by the forecast percentage changes in PSTN OTA and LCS</w:t>
      </w:r>
      <w:r w:rsidR="00AF06C9">
        <w:t xml:space="preserve"> demand </w:t>
      </w:r>
      <w:r>
        <w:t>for that year.</w:t>
      </w:r>
    </w:p>
    <w:p w:rsidR="00117E22" w:rsidRDefault="00117E22" w:rsidP="00117E22">
      <w:pPr>
        <w:pStyle w:val="HeadingLevel3"/>
        <w:numPr>
          <w:ilvl w:val="0"/>
          <w:numId w:val="0"/>
        </w:numPr>
      </w:pPr>
      <w:r>
        <w:t>Telstra’s proposed allocation method</w:t>
      </w:r>
    </w:p>
    <w:p w:rsidR="00DA5721" w:rsidRDefault="00DA5721" w:rsidP="00DA5721">
      <w:r>
        <w:t xml:space="preserve">Under Telstra’s proposed approach, a share of network </w:t>
      </w:r>
      <w:r w:rsidRPr="009B1C47">
        <w:t xml:space="preserve">buildings/support </w:t>
      </w:r>
      <w:r>
        <w:t>is first allocated to third party use (such as other access seekers that install their own equipment or NBN Co installing equipment for use in the NBN). This allocation is based on internal Telstra information on third</w:t>
      </w:r>
      <w:r w:rsidR="00AF06C9">
        <w:t xml:space="preserve"> </w:t>
      </w:r>
      <w:r>
        <w:t xml:space="preserve">party use of exchange buildings and values of exchange buildings and related facilities. </w:t>
      </w:r>
    </w:p>
    <w:p w:rsidR="00DA5721" w:rsidRDefault="00DA5721" w:rsidP="00DA5721">
      <w:r>
        <w:t xml:space="preserve">Telstra has proposed a ’general allocator’ approach to allocate remaining costs for network </w:t>
      </w:r>
      <w:r w:rsidRPr="009B1C47">
        <w:t>buildings/support</w:t>
      </w:r>
      <w:r>
        <w:t xml:space="preserve">. Telstra’s rationale for using a general allocator is that there is no logical, direct causal relationship that can be calculated between </w:t>
      </w:r>
      <w:r w:rsidR="00AF06C9">
        <w:t>this asset class</w:t>
      </w:r>
      <w:r>
        <w:t xml:space="preserve"> and the relevant services.</w:t>
      </w:r>
    </w:p>
    <w:p w:rsidR="00DA5721" w:rsidRDefault="00DA5721" w:rsidP="00DA5721">
      <w:r>
        <w:t xml:space="preserve">The methodology used to calculate the general allocator for network </w:t>
      </w:r>
      <w:r w:rsidRPr="009B1C47">
        <w:t xml:space="preserve">buildings/support </w:t>
      </w:r>
      <w:r>
        <w:t xml:space="preserve">is similar to the revenue share approach adopted in the 2011 FADs as </w:t>
      </w:r>
      <w:r w:rsidRPr="00583116">
        <w:t>described</w:t>
      </w:r>
      <w:r>
        <w:t xml:space="preserve"> </w:t>
      </w:r>
      <w:r w:rsidRPr="00583116">
        <w:t>above</w:t>
      </w:r>
      <w:r>
        <w:t>.</w:t>
      </w:r>
      <w:r w:rsidRPr="00583116">
        <w:t xml:space="preserve"> </w:t>
      </w:r>
      <w:r>
        <w:t>T</w:t>
      </w:r>
      <w:r w:rsidRPr="00583116">
        <w:t xml:space="preserve">he </w:t>
      </w:r>
      <w:r>
        <w:t>two key differences between Telstra’s approach and the 2011 FAD approach are:</w:t>
      </w:r>
    </w:p>
    <w:p w:rsidR="00DA5721" w:rsidRDefault="00DA5721" w:rsidP="00DA5721">
      <w:pPr>
        <w:pStyle w:val="Bulleta"/>
      </w:pPr>
      <w:proofErr w:type="gramStart"/>
      <w:r>
        <w:t>under</w:t>
      </w:r>
      <w:proofErr w:type="gramEnd"/>
      <w:r>
        <w:t xml:space="preserve"> Telstra’s approach, the first six core asset classes and CO12 data equipment are used to calculate the general allocation factor. In the 2011 FAD, data equipment was not used in this calculation (this asset class was only added to the FLSM in 2013).</w:t>
      </w:r>
    </w:p>
    <w:p w:rsidR="00DA5721" w:rsidRDefault="00DA5721" w:rsidP="00DA5721">
      <w:pPr>
        <w:pStyle w:val="Bulleta"/>
      </w:pPr>
      <w:proofErr w:type="gramStart"/>
      <w:r>
        <w:t>under</w:t>
      </w:r>
      <w:proofErr w:type="gramEnd"/>
      <w:r>
        <w:t xml:space="preserve"> Telstra’s approach, the general allocation factor is calculated annually. In the 2011 FADs, it was calculated using the revenue share approach for the first year only, then adjusted in line with changes in demand for declared services. </w:t>
      </w:r>
    </w:p>
    <w:p w:rsidR="00117E22" w:rsidRDefault="00117E22" w:rsidP="00117E22">
      <w:pPr>
        <w:pStyle w:val="HeadingLevel3"/>
        <w:numPr>
          <w:ilvl w:val="0"/>
          <w:numId w:val="0"/>
        </w:numPr>
      </w:pPr>
      <w:r>
        <w:t>Current versus Telstra’s proposed allocation factors</w:t>
      </w:r>
    </w:p>
    <w:p w:rsidR="00117E22" w:rsidRDefault="009B1C47" w:rsidP="00117E22">
      <w:r w:rsidRPr="009B1C47">
        <w:t>Cost allocation factors for 2013-14 based on the 2011</w:t>
      </w:r>
      <w:r w:rsidR="009B76DF">
        <w:t xml:space="preserve"> and </w:t>
      </w:r>
      <w:r w:rsidR="00AF06C9">
        <w:t>2013</w:t>
      </w:r>
      <w:r w:rsidRPr="009B1C47">
        <w:t xml:space="preserve"> FAD approach and Telstra’s proposed approach are provided in </w:t>
      </w:r>
      <w:r w:rsidR="007E7EF7">
        <w:t>T</w:t>
      </w:r>
      <w:r w:rsidRPr="009B1C47">
        <w:t xml:space="preserve">able </w:t>
      </w:r>
      <w:r w:rsidR="007E7EF7">
        <w:t>3.9.1</w:t>
      </w:r>
      <w:r w:rsidRPr="009B1C47">
        <w:t>.</w:t>
      </w:r>
    </w:p>
    <w:p w:rsidR="00117E22" w:rsidRDefault="001E5979" w:rsidP="00DA5721">
      <w:pPr>
        <w:pStyle w:val="HeadingLevel8table"/>
        <w:ind w:left="1440" w:hanging="1440"/>
      </w:pPr>
      <w:r w:rsidRPr="001E5979">
        <w:t>Table 3.</w:t>
      </w:r>
      <w:r>
        <w:t>9</w:t>
      </w:r>
      <w:r w:rsidRPr="001E5979">
        <w:t>.1</w:t>
      </w:r>
      <w:r w:rsidRPr="001E5979">
        <w:tab/>
        <w:t>Comparison of 2011</w:t>
      </w:r>
      <w:r w:rsidR="00AF06C9">
        <w:t>/2013</w:t>
      </w:r>
      <w:r w:rsidR="001716E7">
        <w:t xml:space="preserve"> </w:t>
      </w:r>
      <w:r w:rsidRPr="001E5979">
        <w:t>FAD</w:t>
      </w:r>
      <w:r w:rsidR="00AF06C9">
        <w:t xml:space="preserve"> approach</w:t>
      </w:r>
      <w:r w:rsidRPr="001E5979">
        <w:t xml:space="preserve"> </w:t>
      </w:r>
      <w:proofErr w:type="spellStart"/>
      <w:r w:rsidRPr="001E5979">
        <w:t>vs</w:t>
      </w:r>
      <w:proofErr w:type="spellEnd"/>
      <w:r w:rsidRPr="001E5979">
        <w:t xml:space="preserve"> </w:t>
      </w:r>
      <w:r w:rsidR="00DA5721">
        <w:t>Telstra’s</w:t>
      </w:r>
      <w:r w:rsidRPr="001E5979">
        <w:t xml:space="preserve"> proposed approach for CO0</w:t>
      </w:r>
      <w:r>
        <w:t>9</w:t>
      </w:r>
      <w:r w:rsidR="00DA5721">
        <w:t xml:space="preserve"> </w:t>
      </w:r>
      <w:r w:rsidR="00DA5721" w:rsidRPr="00DA5721">
        <w:t>network buildings/suppor</w:t>
      </w:r>
      <w:r w:rsidR="00AF06C9">
        <w:t>t for 2013-14</w:t>
      </w:r>
    </w:p>
    <w:tbl>
      <w:tblPr>
        <w:tblStyle w:val="TableGrid"/>
        <w:tblW w:w="0" w:type="auto"/>
        <w:tblLook w:val="04A0" w:firstRow="1" w:lastRow="0" w:firstColumn="1" w:lastColumn="0" w:noHBand="0" w:noVBand="1"/>
      </w:tblPr>
      <w:tblGrid>
        <w:gridCol w:w="1785"/>
        <w:gridCol w:w="1790"/>
        <w:gridCol w:w="1755"/>
        <w:gridCol w:w="1827"/>
        <w:gridCol w:w="1507"/>
      </w:tblGrid>
      <w:tr w:rsidR="007E7EF7" w:rsidTr="00AB2E1F">
        <w:trPr>
          <w:trHeight w:val="447"/>
        </w:trPr>
        <w:tc>
          <w:tcPr>
            <w:tcW w:w="1785" w:type="dxa"/>
          </w:tcPr>
          <w:p w:rsidR="007E7EF7" w:rsidRDefault="007E7EF7" w:rsidP="00350637">
            <w:pPr>
              <w:pStyle w:val="Table2Text"/>
            </w:pPr>
            <w:r>
              <w:t>Declared service</w:t>
            </w:r>
          </w:p>
        </w:tc>
        <w:tc>
          <w:tcPr>
            <w:tcW w:w="1790" w:type="dxa"/>
          </w:tcPr>
          <w:p w:rsidR="007E7EF7" w:rsidRDefault="007E7EF7" w:rsidP="00AC01B7">
            <w:pPr>
              <w:pStyle w:val="Table2Text"/>
            </w:pPr>
            <w:r>
              <w:t>2011/2013 FAD</w:t>
            </w:r>
            <w:r w:rsidR="00AF06C9">
              <w:t xml:space="preserve"> approach</w:t>
            </w:r>
            <w:r>
              <w:t xml:space="preserve"> %</w:t>
            </w:r>
          </w:p>
        </w:tc>
        <w:tc>
          <w:tcPr>
            <w:tcW w:w="1755" w:type="dxa"/>
          </w:tcPr>
          <w:p w:rsidR="007E7EF7" w:rsidRDefault="007E7EF7" w:rsidP="00AC01B7">
            <w:pPr>
              <w:pStyle w:val="Table2Text"/>
            </w:pPr>
            <w:r>
              <w:t xml:space="preserve">Telstra proposed </w:t>
            </w:r>
            <w:r w:rsidR="00AF06C9">
              <w:t xml:space="preserve">approach </w:t>
            </w:r>
            <w:r>
              <w:t>%</w:t>
            </w:r>
          </w:p>
        </w:tc>
        <w:tc>
          <w:tcPr>
            <w:tcW w:w="1827" w:type="dxa"/>
          </w:tcPr>
          <w:p w:rsidR="007E7EF7" w:rsidRDefault="007E7EF7" w:rsidP="00AC01B7">
            <w:pPr>
              <w:pStyle w:val="Table2Text"/>
            </w:pPr>
            <w:r w:rsidRPr="007E2085">
              <w:t>% point difference</w:t>
            </w:r>
          </w:p>
        </w:tc>
        <w:tc>
          <w:tcPr>
            <w:tcW w:w="1507" w:type="dxa"/>
          </w:tcPr>
          <w:p w:rsidR="007E7EF7" w:rsidRDefault="007E7EF7" w:rsidP="00AC01B7">
            <w:pPr>
              <w:pStyle w:val="Table2Text"/>
            </w:pPr>
            <w:r w:rsidRPr="007E2085">
              <w:t>% change</w:t>
            </w:r>
          </w:p>
        </w:tc>
      </w:tr>
      <w:tr w:rsidR="007E7EF7" w:rsidTr="00AB2E1F">
        <w:trPr>
          <w:trHeight w:val="447"/>
        </w:trPr>
        <w:tc>
          <w:tcPr>
            <w:tcW w:w="1785" w:type="dxa"/>
          </w:tcPr>
          <w:p w:rsidR="007E7EF7" w:rsidRDefault="007E7EF7" w:rsidP="00350637">
            <w:pPr>
              <w:pStyle w:val="Table2Text"/>
            </w:pPr>
            <w:r w:rsidRPr="00C46D5B">
              <w:t>WLR</w:t>
            </w:r>
          </w:p>
        </w:tc>
        <w:tc>
          <w:tcPr>
            <w:tcW w:w="1790" w:type="dxa"/>
          </w:tcPr>
          <w:p w:rsidR="007E7EF7" w:rsidRDefault="002227F7" w:rsidP="00AC01B7">
            <w:pPr>
              <w:pStyle w:val="Table2Text"/>
            </w:pPr>
            <w:r w:rsidRPr="008A178E">
              <w:t>[c-</w:t>
            </w:r>
            <w:proofErr w:type="spellStart"/>
            <w:r w:rsidRPr="008A178E">
              <w:t>i</w:t>
            </w:r>
            <w:proofErr w:type="spellEnd"/>
            <w:r w:rsidRPr="008A178E">
              <w:t>-c starts]</w:t>
            </w:r>
            <w:r w:rsidR="00552D6F">
              <w:rPr>
                <w:noProof/>
                <w:color w:val="000000"/>
                <w:highlight w:val="black"/>
              </w:rPr>
              <w:t>'''''''''</w:t>
            </w:r>
          </w:p>
        </w:tc>
        <w:tc>
          <w:tcPr>
            <w:tcW w:w="1755" w:type="dxa"/>
          </w:tcPr>
          <w:p w:rsidR="007E7EF7" w:rsidRPr="00552D6F" w:rsidRDefault="00552D6F" w:rsidP="00AC01B7">
            <w:pPr>
              <w:pStyle w:val="Table2Text"/>
              <w:rPr>
                <w:highlight w:val="black"/>
              </w:rPr>
            </w:pPr>
            <w:r>
              <w:rPr>
                <w:noProof/>
                <w:color w:val="000000"/>
                <w:highlight w:val="black"/>
              </w:rPr>
              <w:t>'''''''</w:t>
            </w:r>
          </w:p>
        </w:tc>
        <w:tc>
          <w:tcPr>
            <w:tcW w:w="1827" w:type="dxa"/>
          </w:tcPr>
          <w:p w:rsidR="007E7EF7" w:rsidRPr="00552D6F" w:rsidRDefault="00552D6F" w:rsidP="00AC01B7">
            <w:pPr>
              <w:pStyle w:val="Table2Text"/>
              <w:rPr>
                <w:highlight w:val="black"/>
              </w:rPr>
            </w:pPr>
            <w:r>
              <w:rPr>
                <w:noProof/>
                <w:color w:val="000000"/>
                <w:highlight w:val="black"/>
              </w:rPr>
              <w:t>''''''''''</w:t>
            </w:r>
          </w:p>
        </w:tc>
        <w:tc>
          <w:tcPr>
            <w:tcW w:w="1507" w:type="dxa"/>
          </w:tcPr>
          <w:p w:rsidR="007E7EF7" w:rsidRPr="00552D6F" w:rsidRDefault="00552D6F" w:rsidP="00AC01B7">
            <w:pPr>
              <w:pStyle w:val="Table2Text"/>
              <w:rPr>
                <w:highlight w:val="black"/>
              </w:rPr>
            </w:pPr>
            <w:r>
              <w:rPr>
                <w:noProof/>
                <w:color w:val="000000"/>
                <w:highlight w:val="black"/>
              </w:rPr>
              <w:t>''''''''''</w:t>
            </w:r>
          </w:p>
        </w:tc>
      </w:tr>
      <w:tr w:rsidR="007E7EF7" w:rsidTr="00AB2E1F">
        <w:trPr>
          <w:trHeight w:val="447"/>
        </w:trPr>
        <w:tc>
          <w:tcPr>
            <w:tcW w:w="1785" w:type="dxa"/>
          </w:tcPr>
          <w:p w:rsidR="007E7EF7" w:rsidRDefault="005855E2" w:rsidP="00350637">
            <w:pPr>
              <w:pStyle w:val="Table2Text"/>
            </w:pPr>
            <w:r w:rsidRPr="005855E2">
              <w:t>FOAS/FTAS</w:t>
            </w:r>
          </w:p>
        </w:tc>
        <w:tc>
          <w:tcPr>
            <w:tcW w:w="1790" w:type="dxa"/>
          </w:tcPr>
          <w:p w:rsidR="007E7EF7" w:rsidRPr="00552D6F" w:rsidRDefault="00552D6F" w:rsidP="00AC01B7">
            <w:pPr>
              <w:pStyle w:val="Table2Text"/>
              <w:rPr>
                <w:highlight w:val="black"/>
              </w:rPr>
            </w:pPr>
            <w:r>
              <w:rPr>
                <w:noProof/>
                <w:color w:val="000000"/>
                <w:highlight w:val="black"/>
              </w:rPr>
              <w:t>''''''''</w:t>
            </w:r>
          </w:p>
        </w:tc>
        <w:tc>
          <w:tcPr>
            <w:tcW w:w="1755" w:type="dxa"/>
          </w:tcPr>
          <w:p w:rsidR="007E7EF7" w:rsidRPr="00552D6F" w:rsidRDefault="00552D6F" w:rsidP="00AC01B7">
            <w:pPr>
              <w:pStyle w:val="Table2Text"/>
              <w:rPr>
                <w:highlight w:val="black"/>
              </w:rPr>
            </w:pPr>
            <w:r>
              <w:rPr>
                <w:noProof/>
                <w:color w:val="000000"/>
                <w:highlight w:val="black"/>
              </w:rPr>
              <w:t>'''''''''</w:t>
            </w:r>
          </w:p>
        </w:tc>
        <w:tc>
          <w:tcPr>
            <w:tcW w:w="1827" w:type="dxa"/>
          </w:tcPr>
          <w:p w:rsidR="007E7EF7" w:rsidRPr="00552D6F" w:rsidRDefault="00552D6F" w:rsidP="00AC01B7">
            <w:pPr>
              <w:pStyle w:val="Table2Text"/>
              <w:rPr>
                <w:highlight w:val="black"/>
              </w:rPr>
            </w:pPr>
            <w:r>
              <w:rPr>
                <w:noProof/>
                <w:color w:val="000000"/>
                <w:highlight w:val="black"/>
              </w:rPr>
              <w:t>'''''''''</w:t>
            </w:r>
          </w:p>
        </w:tc>
        <w:tc>
          <w:tcPr>
            <w:tcW w:w="1507" w:type="dxa"/>
          </w:tcPr>
          <w:p w:rsidR="007E7EF7" w:rsidRPr="00552D6F" w:rsidRDefault="00552D6F" w:rsidP="00AC01B7">
            <w:pPr>
              <w:pStyle w:val="Table2Text"/>
              <w:rPr>
                <w:highlight w:val="black"/>
              </w:rPr>
            </w:pPr>
            <w:r>
              <w:rPr>
                <w:noProof/>
                <w:color w:val="000000"/>
                <w:highlight w:val="black"/>
              </w:rPr>
              <w:t>''''''''''''</w:t>
            </w:r>
          </w:p>
        </w:tc>
      </w:tr>
      <w:tr w:rsidR="007E7EF7" w:rsidTr="00AB2E1F">
        <w:trPr>
          <w:trHeight w:val="447"/>
        </w:trPr>
        <w:tc>
          <w:tcPr>
            <w:tcW w:w="1785" w:type="dxa"/>
          </w:tcPr>
          <w:p w:rsidR="007E7EF7" w:rsidRDefault="007E7EF7" w:rsidP="00350637">
            <w:pPr>
              <w:pStyle w:val="Table2Text"/>
            </w:pPr>
            <w:r w:rsidRPr="00C46D5B">
              <w:t>LCS</w:t>
            </w:r>
          </w:p>
        </w:tc>
        <w:tc>
          <w:tcPr>
            <w:tcW w:w="1790" w:type="dxa"/>
          </w:tcPr>
          <w:p w:rsidR="007E7EF7" w:rsidRPr="00552D6F" w:rsidRDefault="00552D6F" w:rsidP="00AC01B7">
            <w:pPr>
              <w:pStyle w:val="Table2Text"/>
              <w:rPr>
                <w:highlight w:val="black"/>
              </w:rPr>
            </w:pPr>
            <w:r>
              <w:rPr>
                <w:noProof/>
                <w:color w:val="000000"/>
                <w:highlight w:val="black"/>
              </w:rPr>
              <w:t>'''''''</w:t>
            </w:r>
          </w:p>
        </w:tc>
        <w:tc>
          <w:tcPr>
            <w:tcW w:w="1755" w:type="dxa"/>
          </w:tcPr>
          <w:p w:rsidR="007E7EF7" w:rsidRPr="00552D6F" w:rsidRDefault="00552D6F" w:rsidP="00AC01B7">
            <w:pPr>
              <w:pStyle w:val="Table2Text"/>
              <w:rPr>
                <w:highlight w:val="black"/>
              </w:rPr>
            </w:pPr>
            <w:r>
              <w:rPr>
                <w:noProof/>
                <w:color w:val="000000"/>
                <w:highlight w:val="black"/>
              </w:rPr>
              <w:t>''''''''</w:t>
            </w:r>
          </w:p>
        </w:tc>
        <w:tc>
          <w:tcPr>
            <w:tcW w:w="1827" w:type="dxa"/>
          </w:tcPr>
          <w:p w:rsidR="007E7EF7" w:rsidRPr="00552D6F" w:rsidRDefault="00552D6F" w:rsidP="00AC01B7">
            <w:pPr>
              <w:pStyle w:val="Table2Text"/>
              <w:rPr>
                <w:highlight w:val="black"/>
              </w:rPr>
            </w:pPr>
            <w:r>
              <w:rPr>
                <w:noProof/>
                <w:color w:val="000000"/>
                <w:highlight w:val="black"/>
              </w:rPr>
              <w:t>'''''''''''</w:t>
            </w:r>
          </w:p>
        </w:tc>
        <w:tc>
          <w:tcPr>
            <w:tcW w:w="1507" w:type="dxa"/>
          </w:tcPr>
          <w:p w:rsidR="007E7EF7" w:rsidRPr="00552D6F" w:rsidRDefault="00552D6F" w:rsidP="00AC01B7">
            <w:pPr>
              <w:pStyle w:val="Table2Text"/>
              <w:rPr>
                <w:highlight w:val="black"/>
              </w:rPr>
            </w:pPr>
            <w:r>
              <w:rPr>
                <w:noProof/>
                <w:color w:val="000000"/>
                <w:highlight w:val="black"/>
              </w:rPr>
              <w:t>''''''''''''</w:t>
            </w:r>
          </w:p>
        </w:tc>
      </w:tr>
      <w:tr w:rsidR="007E7EF7" w:rsidTr="00AB2E1F">
        <w:trPr>
          <w:trHeight w:val="447"/>
        </w:trPr>
        <w:tc>
          <w:tcPr>
            <w:tcW w:w="1785" w:type="dxa"/>
          </w:tcPr>
          <w:p w:rsidR="007E7EF7" w:rsidRDefault="007E7EF7" w:rsidP="00350637">
            <w:pPr>
              <w:pStyle w:val="Table2Text"/>
            </w:pPr>
            <w:r w:rsidRPr="00C46D5B">
              <w:t>W</w:t>
            </w:r>
            <w:r>
              <w:t xml:space="preserve">holesale </w:t>
            </w:r>
            <w:r w:rsidRPr="00C46D5B">
              <w:t>ADSL</w:t>
            </w:r>
          </w:p>
        </w:tc>
        <w:tc>
          <w:tcPr>
            <w:tcW w:w="1790" w:type="dxa"/>
          </w:tcPr>
          <w:p w:rsidR="007E7EF7" w:rsidRPr="00552D6F" w:rsidRDefault="00552D6F" w:rsidP="00AC01B7">
            <w:pPr>
              <w:pStyle w:val="Table2Text"/>
              <w:rPr>
                <w:highlight w:val="black"/>
              </w:rPr>
            </w:pPr>
            <w:r>
              <w:rPr>
                <w:noProof/>
                <w:color w:val="000000"/>
                <w:highlight w:val="black"/>
              </w:rPr>
              <w:t>'''''''</w:t>
            </w:r>
          </w:p>
        </w:tc>
        <w:tc>
          <w:tcPr>
            <w:tcW w:w="1755" w:type="dxa"/>
          </w:tcPr>
          <w:p w:rsidR="007E7EF7" w:rsidRPr="00552D6F" w:rsidRDefault="00552D6F" w:rsidP="00AC01B7">
            <w:pPr>
              <w:pStyle w:val="Table2Text"/>
              <w:rPr>
                <w:highlight w:val="black"/>
              </w:rPr>
            </w:pPr>
            <w:r>
              <w:rPr>
                <w:noProof/>
                <w:color w:val="000000"/>
                <w:highlight w:val="black"/>
              </w:rPr>
              <w:t>''''''''</w:t>
            </w:r>
          </w:p>
        </w:tc>
        <w:tc>
          <w:tcPr>
            <w:tcW w:w="1827" w:type="dxa"/>
          </w:tcPr>
          <w:p w:rsidR="007E7EF7" w:rsidRPr="00552D6F" w:rsidRDefault="00552D6F" w:rsidP="00AC01B7">
            <w:pPr>
              <w:pStyle w:val="Table2Text"/>
              <w:rPr>
                <w:highlight w:val="black"/>
              </w:rPr>
            </w:pPr>
            <w:r>
              <w:rPr>
                <w:noProof/>
                <w:color w:val="000000"/>
                <w:highlight w:val="black"/>
              </w:rPr>
              <w:t>'''''''''</w:t>
            </w:r>
          </w:p>
        </w:tc>
        <w:tc>
          <w:tcPr>
            <w:tcW w:w="1507" w:type="dxa"/>
          </w:tcPr>
          <w:p w:rsidR="007E7EF7" w:rsidRPr="00C46D5B" w:rsidRDefault="00552D6F" w:rsidP="00AC01B7">
            <w:pPr>
              <w:pStyle w:val="Table2Text"/>
            </w:pPr>
            <w:r>
              <w:rPr>
                <w:noProof/>
                <w:color w:val="000000"/>
                <w:highlight w:val="black"/>
              </w:rPr>
              <w:t>'''''''''</w:t>
            </w:r>
            <w:r w:rsidR="002227F7">
              <w:t>[c-</w:t>
            </w:r>
            <w:proofErr w:type="spellStart"/>
            <w:r w:rsidR="002227F7">
              <w:t>i</w:t>
            </w:r>
            <w:proofErr w:type="spellEnd"/>
            <w:r w:rsidR="002227F7">
              <w:t>-c ends]</w:t>
            </w:r>
          </w:p>
        </w:tc>
      </w:tr>
    </w:tbl>
    <w:p w:rsidR="00117E22" w:rsidRDefault="00117E22" w:rsidP="00117E22"/>
    <w:p w:rsidR="00117E22" w:rsidRDefault="007E7EF7" w:rsidP="00117E22">
      <w:r>
        <w:t>Figure 3.9.2</w:t>
      </w:r>
      <w:r w:rsidR="009B1C47" w:rsidRPr="009B1C47">
        <w:t xml:space="preserve"> shows Telstra’s assumed share of use of other communications plant and equipment by the various services for 2013-14.</w:t>
      </w:r>
    </w:p>
    <w:p w:rsidR="009B1C47" w:rsidRDefault="009B1C47" w:rsidP="00117E22"/>
    <w:p w:rsidR="00A703F9" w:rsidRDefault="005065CE" w:rsidP="00AC5A20">
      <w:pPr>
        <w:pStyle w:val="HeadingLevel8table"/>
        <w:ind w:left="1440" w:hanging="1440"/>
      </w:pPr>
      <w:r w:rsidRPr="005065CE">
        <w:t>Figure 3.</w:t>
      </w:r>
      <w:r>
        <w:t>9</w:t>
      </w:r>
      <w:r w:rsidRPr="005065CE">
        <w:t>.2</w:t>
      </w:r>
      <w:r w:rsidRPr="005065CE">
        <w:tab/>
        <w:t>Telstra’s proposed allocation of CO0</w:t>
      </w:r>
      <w:r>
        <w:t>9</w:t>
      </w:r>
      <w:r w:rsidR="00DA5721">
        <w:t xml:space="preserve"> </w:t>
      </w:r>
      <w:r w:rsidR="00DA5721" w:rsidRPr="00DA5721">
        <w:t>network buildings/support</w:t>
      </w:r>
      <w:r w:rsidR="00AF06C9">
        <w:t xml:space="preserve"> for 2013-14</w:t>
      </w:r>
    </w:p>
    <w:p w:rsidR="00DA5721" w:rsidRDefault="00A703F9" w:rsidP="00AC5A20">
      <w:pPr>
        <w:pStyle w:val="HeadingLevel8table"/>
        <w:ind w:left="1440" w:hanging="1440"/>
      </w:pPr>
      <w:r w:rsidRPr="008A178E">
        <w:t>[</w:t>
      </w:r>
      <w:proofErr w:type="gramStart"/>
      <w:r w:rsidRPr="008A178E">
        <w:t>c-</w:t>
      </w:r>
      <w:proofErr w:type="spellStart"/>
      <w:r w:rsidRPr="008A178E">
        <w:t>i</w:t>
      </w:r>
      <w:proofErr w:type="spellEnd"/>
      <w:r w:rsidRPr="008A178E">
        <w:t>-c</w:t>
      </w:r>
      <w:proofErr w:type="gramEnd"/>
      <w:r w:rsidRPr="008A178E">
        <w:t xml:space="preserve"> starts]</w:t>
      </w:r>
    </w:p>
    <w:p w:rsidR="00A703F9" w:rsidRPr="00552D6F" w:rsidRDefault="00552D6F" w:rsidP="00AB2E1F">
      <w:pPr>
        <w:pStyle w:val="HeadingLevel8table"/>
        <w:rPr>
          <w:b w:val="0"/>
        </w:rPr>
      </w:pPr>
      <w:r>
        <w:rPr>
          <w:b w:val="0"/>
          <w:noProof/>
          <w:lang w:eastAsia="en-AU"/>
        </w:rPr>
        <w:drawing>
          <wp:inline distT="0" distB="0" distL="0" distR="0">
            <wp:extent cx="3615055" cy="252984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15055" cy="2529840"/>
                    </a:xfrm>
                    <a:prstGeom prst="rect">
                      <a:avLst/>
                    </a:prstGeom>
                  </pic:spPr>
                </pic:pic>
              </a:graphicData>
            </a:graphic>
          </wp:inline>
        </w:drawing>
      </w:r>
    </w:p>
    <w:p w:rsidR="009B1C47" w:rsidRDefault="002227F7" w:rsidP="00AB2E1F">
      <w:pPr>
        <w:pStyle w:val="HeadingLevel8table"/>
      </w:pPr>
      <w:r w:rsidRPr="002227F7">
        <w:t>[</w:t>
      </w:r>
      <w:proofErr w:type="gramStart"/>
      <w:r w:rsidRPr="002227F7">
        <w:t>c-</w:t>
      </w:r>
      <w:proofErr w:type="spellStart"/>
      <w:r w:rsidRPr="002227F7">
        <w:t>i</w:t>
      </w:r>
      <w:proofErr w:type="spellEnd"/>
      <w:r w:rsidRPr="002227F7">
        <w:t>-c</w:t>
      </w:r>
      <w:proofErr w:type="gramEnd"/>
      <w:r w:rsidRPr="002227F7">
        <w:t xml:space="preserve"> ends]</w:t>
      </w:r>
    </w:p>
    <w:p w:rsidR="00AB5EE2" w:rsidRPr="009B1C47" w:rsidRDefault="00AB5EE2" w:rsidP="0004761D"/>
    <w:p w:rsidR="0045558E" w:rsidRDefault="0045558E">
      <w:pPr>
        <w:spacing w:after="200" w:line="276" w:lineRule="auto"/>
      </w:pPr>
      <w:r>
        <w:br w:type="page"/>
      </w:r>
    </w:p>
    <w:p w:rsidR="00791D3C" w:rsidRDefault="00791D3C" w:rsidP="004556DF">
      <w:pPr>
        <w:pStyle w:val="HeadingLevel2"/>
      </w:pPr>
      <w:bookmarkStart w:id="30" w:name="_Toc393375582"/>
      <w:r w:rsidRPr="00791D3C">
        <w:lastRenderedPageBreak/>
        <w:t xml:space="preserve">CO10 </w:t>
      </w:r>
      <w:r>
        <w:t>i</w:t>
      </w:r>
      <w:r w:rsidRPr="00791D3C">
        <w:t>ndirect capital assets</w:t>
      </w:r>
      <w:bookmarkEnd w:id="30"/>
    </w:p>
    <w:p w:rsidR="00117E22" w:rsidRDefault="00117E22" w:rsidP="00117E22">
      <w:pPr>
        <w:pStyle w:val="HeadingLevel3"/>
        <w:numPr>
          <w:ilvl w:val="0"/>
          <w:numId w:val="0"/>
        </w:numPr>
      </w:pPr>
      <w:r>
        <w:t>Asset description</w:t>
      </w:r>
    </w:p>
    <w:p w:rsidR="00117E22" w:rsidRDefault="00295C17" w:rsidP="00117E22">
      <w:r>
        <w:t>I</w:t>
      </w:r>
      <w:r w:rsidR="00D37DAB">
        <w:t xml:space="preserve">ndirect capital assets are predominantly </w:t>
      </w:r>
      <w:r w:rsidR="002A5175">
        <w:t>made up of IT software and hardware. It also contains equipment related to motor vehicles and mechanical aids.</w:t>
      </w:r>
    </w:p>
    <w:p w:rsidR="00536398" w:rsidRDefault="00536398" w:rsidP="00536398">
      <w:pPr>
        <w:pStyle w:val="HeadingLevel3"/>
        <w:numPr>
          <w:ilvl w:val="0"/>
          <w:numId w:val="0"/>
        </w:numPr>
      </w:pPr>
      <w:r>
        <w:t xml:space="preserve">Key points </w:t>
      </w:r>
    </w:p>
    <w:p w:rsidR="009A204F" w:rsidRPr="00A93872" w:rsidRDefault="009A204F" w:rsidP="009A204F">
      <w:pPr>
        <w:pStyle w:val="Bulleta"/>
        <w:numPr>
          <w:ilvl w:val="0"/>
          <w:numId w:val="2"/>
        </w:numPr>
      </w:pPr>
      <w:r>
        <w:t>Core indirect capital assets contributes a material proportion towards the total fixed</w:t>
      </w:r>
      <w:r w:rsidR="000255D7">
        <w:t xml:space="preserve"> </w:t>
      </w:r>
      <w:r>
        <w:t>line revenue requirement (</w:t>
      </w:r>
      <w:r>
        <w:rPr>
          <w:b/>
        </w:rPr>
        <w:t>[c-</w:t>
      </w:r>
      <w:proofErr w:type="spellStart"/>
      <w:r>
        <w:rPr>
          <w:b/>
        </w:rPr>
        <w:t>i</w:t>
      </w:r>
      <w:proofErr w:type="spellEnd"/>
      <w:r>
        <w:rPr>
          <w:b/>
        </w:rPr>
        <w:t>-c starts]</w:t>
      </w:r>
      <w:r w:rsidR="00552D6F">
        <w:rPr>
          <w:noProof/>
          <w:color w:val="000000"/>
          <w:highlight w:val="black"/>
        </w:rPr>
        <w:t>'''''''''</w:t>
      </w:r>
      <w:r>
        <w:rPr>
          <w:b/>
        </w:rPr>
        <w:t>[c-</w:t>
      </w:r>
      <w:proofErr w:type="spellStart"/>
      <w:r>
        <w:rPr>
          <w:b/>
        </w:rPr>
        <w:t>i</w:t>
      </w:r>
      <w:proofErr w:type="spellEnd"/>
      <w:r>
        <w:rPr>
          <w:b/>
        </w:rPr>
        <w:t>-c ends]</w:t>
      </w:r>
      <w:r>
        <w:t xml:space="preserve"> per cent</w:t>
      </w:r>
      <w:r w:rsidRPr="00A93872">
        <w:t xml:space="preserve"> in 2013-14</w:t>
      </w:r>
      <w:r>
        <w:t>).</w:t>
      </w:r>
    </w:p>
    <w:p w:rsidR="009A204F" w:rsidRDefault="009A204F" w:rsidP="009A204F">
      <w:pPr>
        <w:pStyle w:val="Bulleta"/>
        <w:numPr>
          <w:ilvl w:val="0"/>
          <w:numId w:val="2"/>
        </w:numPr>
      </w:pPr>
      <w:r w:rsidRPr="006A3C2D">
        <w:t xml:space="preserve">Telstra’s proposed </w:t>
      </w:r>
      <w:r>
        <w:t xml:space="preserve">‘general allocator’ approach </w:t>
      </w:r>
      <w:r w:rsidRPr="006A3C2D">
        <w:t xml:space="preserve">for </w:t>
      </w:r>
      <w:r>
        <w:t>indirect capital assets is</w:t>
      </w:r>
      <w:r w:rsidRPr="006A3C2D">
        <w:t xml:space="preserve"> </w:t>
      </w:r>
      <w:r>
        <w:t xml:space="preserve">similar to </w:t>
      </w:r>
      <w:r w:rsidRPr="006A3C2D">
        <w:t xml:space="preserve">the </w:t>
      </w:r>
      <w:r>
        <w:t>‘</w:t>
      </w:r>
      <w:r w:rsidRPr="006A3C2D">
        <w:t>revenue share</w:t>
      </w:r>
      <w:r>
        <w:t>’</w:t>
      </w:r>
      <w:r w:rsidRPr="006A3C2D">
        <w:t xml:space="preserve"> </w:t>
      </w:r>
      <w:r>
        <w:t xml:space="preserve">approach adopted for this asset class in </w:t>
      </w:r>
      <w:r w:rsidRPr="006A3C2D">
        <w:t>th</w:t>
      </w:r>
      <w:r>
        <w:t>e 2011 FADs. The key differences are:</w:t>
      </w:r>
    </w:p>
    <w:p w:rsidR="009A204F" w:rsidRDefault="009A204F" w:rsidP="009A204F">
      <w:pPr>
        <w:pStyle w:val="Bulletb"/>
        <w:numPr>
          <w:ilvl w:val="1"/>
          <w:numId w:val="2"/>
        </w:numPr>
      </w:pPr>
      <w:proofErr w:type="gramStart"/>
      <w:r>
        <w:t>under</w:t>
      </w:r>
      <w:proofErr w:type="gramEnd"/>
      <w:r>
        <w:t xml:space="preserve"> Telstra’s approach, the first six core asset classes and CO12 data equipment are used to calculate the general allocation factor. In the 2011 FAD, data equipment was not used in this calculation (this asset class was only added to the FLSM in 2013).</w:t>
      </w:r>
    </w:p>
    <w:p w:rsidR="009A204F" w:rsidRDefault="009A204F" w:rsidP="009A204F">
      <w:pPr>
        <w:pStyle w:val="Bulletb"/>
        <w:numPr>
          <w:ilvl w:val="1"/>
          <w:numId w:val="2"/>
        </w:numPr>
      </w:pPr>
      <w:proofErr w:type="gramStart"/>
      <w:r>
        <w:t>under</w:t>
      </w:r>
      <w:proofErr w:type="gramEnd"/>
      <w:r>
        <w:t xml:space="preserve"> Telstra’s approach, the general allocation factor is calculated annually. In the 2011 FADs, it was calculated using the revenue share approach for the first year only, then adjusted in line with changes in demand for declared services. </w:t>
      </w:r>
    </w:p>
    <w:p w:rsidR="00117E22" w:rsidRDefault="00117E22" w:rsidP="00117E22">
      <w:pPr>
        <w:pStyle w:val="HeadingLevel3"/>
        <w:numPr>
          <w:ilvl w:val="0"/>
          <w:numId w:val="0"/>
        </w:numPr>
      </w:pPr>
      <w:r>
        <w:t xml:space="preserve">Services using this asset class </w:t>
      </w:r>
    </w:p>
    <w:p w:rsidR="009A204F" w:rsidRDefault="009A204F" w:rsidP="009A204F">
      <w:r>
        <w:t>Indirect capital assets are used for declared and non-declared fixed</w:t>
      </w:r>
      <w:r w:rsidR="000255D7">
        <w:t xml:space="preserve"> </w:t>
      </w:r>
      <w:r>
        <w:t>line services, as well as a range of other non-fixed-line uses.</w:t>
      </w:r>
    </w:p>
    <w:p w:rsidR="009A204F" w:rsidRDefault="009A204F" w:rsidP="009A204F">
      <w:r>
        <w:t xml:space="preserve">The declared services that require indirect capital assets are WLR, </w:t>
      </w:r>
      <w:r w:rsidR="008437C2" w:rsidRPr="008437C2">
        <w:t>FOAS and FTAS (formally known as PSTN OA and PSTN TA or collectively as PSTN OTA)</w:t>
      </w:r>
      <w:r>
        <w:t>, LCS and wholesale ADSL services. The non-declared services using this asset class include retail PSTN services, retail ADSL, ISDN and other DSL services. Indirect capital assets are also assumed support non-fixed-line services such as mobiles and non-ADSL data.</w:t>
      </w:r>
    </w:p>
    <w:p w:rsidR="00117E22" w:rsidRDefault="00117E22" w:rsidP="00117E22">
      <w:pPr>
        <w:pStyle w:val="HeadingLevel3"/>
        <w:numPr>
          <w:ilvl w:val="0"/>
          <w:numId w:val="0"/>
        </w:numPr>
      </w:pPr>
      <w:r>
        <w:t>Approach adopted for 2011</w:t>
      </w:r>
      <w:r w:rsidR="009B76DF">
        <w:t xml:space="preserve"> and 2013 </w:t>
      </w:r>
      <w:r w:rsidR="009F5A50">
        <w:t>FAD</w:t>
      </w:r>
      <w:r w:rsidR="009B76DF">
        <w:t>s</w:t>
      </w:r>
    </w:p>
    <w:p w:rsidR="009F5A50" w:rsidRDefault="009F5A50" w:rsidP="009F5A50">
      <w:r w:rsidRPr="00583116">
        <w:t xml:space="preserve">In the 2011 FAD, the </w:t>
      </w:r>
      <w:r>
        <w:t xml:space="preserve">initial </w:t>
      </w:r>
      <w:r w:rsidRPr="00583116">
        <w:t xml:space="preserve">cost allocation factor for </w:t>
      </w:r>
      <w:r>
        <w:t xml:space="preserve">indirect capital assets </w:t>
      </w:r>
      <w:r w:rsidRPr="00583116">
        <w:t xml:space="preserve">was based on a </w:t>
      </w:r>
      <w:r>
        <w:t>‘</w:t>
      </w:r>
      <w:r w:rsidRPr="00583116">
        <w:t>revenue share</w:t>
      </w:r>
      <w:r>
        <w:t>’</w:t>
      </w:r>
      <w:r w:rsidRPr="00583116">
        <w:t xml:space="preserve"> approach.</w:t>
      </w:r>
      <w:r>
        <w:t xml:space="preserve"> This involved the following three step process:</w:t>
      </w:r>
    </w:p>
    <w:p w:rsidR="009F5A50" w:rsidRDefault="009F5A50" w:rsidP="009F5A50">
      <w:pPr>
        <w:pStyle w:val="Bulleta"/>
      </w:pPr>
      <w:r w:rsidRPr="00583116">
        <w:t xml:space="preserve">First, </w:t>
      </w:r>
      <w:r>
        <w:t xml:space="preserve">the total annual revenue requirement for </w:t>
      </w:r>
      <w:r w:rsidRPr="00583116">
        <w:t xml:space="preserve">the first </w:t>
      </w:r>
      <w:r>
        <w:t>six core</w:t>
      </w:r>
      <w:r w:rsidRPr="00583116">
        <w:t xml:space="preserve"> asset classes</w:t>
      </w:r>
      <w:r>
        <w:t xml:space="preserve"> was calculated for 2009-10.</w:t>
      </w:r>
    </w:p>
    <w:p w:rsidR="009F5A50" w:rsidRDefault="009F5A50" w:rsidP="009F5A50">
      <w:pPr>
        <w:pStyle w:val="Bulleta"/>
      </w:pPr>
      <w:r>
        <w:t xml:space="preserve">Second, the annual revenue requirement for </w:t>
      </w:r>
      <w:r w:rsidRPr="00583116">
        <w:t xml:space="preserve">the first </w:t>
      </w:r>
      <w:r>
        <w:t>six core</w:t>
      </w:r>
      <w:r w:rsidRPr="00583116">
        <w:t xml:space="preserve"> asset classes</w:t>
      </w:r>
      <w:r>
        <w:t xml:space="preserve"> for each declared service was calculated for 2009-10.</w:t>
      </w:r>
    </w:p>
    <w:p w:rsidR="009F5A50" w:rsidRDefault="009F5A50" w:rsidP="009F5A50">
      <w:pPr>
        <w:pStyle w:val="Bulleta"/>
      </w:pPr>
      <w:r>
        <w:t>Third, the annual revenue requirement for each declared service calculated in the second step is divided by the total annual revenue requirement calculated in the first step to obtain the cost allocation factors for each declared service for 2009-10.</w:t>
      </w:r>
    </w:p>
    <w:p w:rsidR="009F5A50" w:rsidRDefault="009F5A50" w:rsidP="009F5A50">
      <w:r>
        <w:t xml:space="preserve">Once the initial cost allocation factors were determined, they were adjusted each year by the forecast percentage changes in PSTN OTA and LCS </w:t>
      </w:r>
      <w:r w:rsidR="00AF06C9">
        <w:t xml:space="preserve">demand </w:t>
      </w:r>
      <w:r>
        <w:t>for that year.</w:t>
      </w:r>
    </w:p>
    <w:p w:rsidR="00117E22" w:rsidRDefault="00117E22" w:rsidP="00117E22">
      <w:pPr>
        <w:pStyle w:val="HeadingLevel3"/>
        <w:numPr>
          <w:ilvl w:val="0"/>
          <w:numId w:val="0"/>
        </w:numPr>
      </w:pPr>
      <w:r>
        <w:lastRenderedPageBreak/>
        <w:t>Telstra’s proposed allocation method</w:t>
      </w:r>
    </w:p>
    <w:p w:rsidR="00215B1F" w:rsidRDefault="00215B1F" w:rsidP="00215B1F">
      <w:r>
        <w:t>Telstra has proposed a ’general allocator’ approach to allocate all costs associated with indirect capital assets. Telstra’s rationale for using a general allocator is that there is no logical, direct causal relationship that can be calculated between indirect capital asset and the relevant services.</w:t>
      </w:r>
    </w:p>
    <w:p w:rsidR="00215B1F" w:rsidRDefault="00215B1F" w:rsidP="00215B1F">
      <w:r>
        <w:t xml:space="preserve">The methodology used to calculate the general allocator for </w:t>
      </w:r>
      <w:r w:rsidR="007A3D6D">
        <w:t xml:space="preserve">indirect capital assets </w:t>
      </w:r>
      <w:r>
        <w:t xml:space="preserve">is similar to the revenue shares approach adopted in the 2011 FADs as </w:t>
      </w:r>
      <w:r w:rsidRPr="00583116">
        <w:t>described</w:t>
      </w:r>
      <w:r>
        <w:t xml:space="preserve"> </w:t>
      </w:r>
      <w:r w:rsidRPr="00583116">
        <w:t>above</w:t>
      </w:r>
      <w:r>
        <w:t>.</w:t>
      </w:r>
      <w:r w:rsidRPr="00583116">
        <w:t xml:space="preserve"> </w:t>
      </w:r>
      <w:r>
        <w:t>T</w:t>
      </w:r>
      <w:r w:rsidRPr="00583116">
        <w:t xml:space="preserve">he </w:t>
      </w:r>
      <w:r>
        <w:t>two key differences between Telstra’s approach and the 2011 FAD approach are:</w:t>
      </w:r>
    </w:p>
    <w:p w:rsidR="007A3D6D" w:rsidRDefault="00215B1F" w:rsidP="00215B1F">
      <w:pPr>
        <w:pStyle w:val="Bulleta"/>
      </w:pPr>
      <w:proofErr w:type="gramStart"/>
      <w:r>
        <w:t>under</w:t>
      </w:r>
      <w:proofErr w:type="gramEnd"/>
      <w:r>
        <w:t xml:space="preserve"> Telstra’s approach, the first six core asset classes and CO12 data equipment are used to calculate the general allocation factor. In the 2011 FAD, data equipment was not used in this calculation (this asset class was only added to the FLSM in 2013).</w:t>
      </w:r>
    </w:p>
    <w:p w:rsidR="00215B1F" w:rsidRDefault="00215B1F" w:rsidP="00215B1F">
      <w:pPr>
        <w:pStyle w:val="Bulleta"/>
      </w:pPr>
      <w:proofErr w:type="gramStart"/>
      <w:r>
        <w:t>under</w:t>
      </w:r>
      <w:proofErr w:type="gramEnd"/>
      <w:r>
        <w:t xml:space="preserve"> Telstra’s approach, the general allocation factor is calculated annually. In the 2011 FADs, it was calculated using the revenue share approach for the first year only, then adjusted in line with changes in demand for declared services.</w:t>
      </w:r>
    </w:p>
    <w:p w:rsidR="00215B1F" w:rsidRDefault="007A3D6D" w:rsidP="008439E1">
      <w:r>
        <w:t>Telstra’s proposed approach to indirect capital assets is equivalent to the approach adopted for core asset classes CO07-CO09, except that it does not include an allocation to third</w:t>
      </w:r>
      <w:r w:rsidR="00AF06C9">
        <w:t xml:space="preserve"> </w:t>
      </w:r>
      <w:r>
        <w:t xml:space="preserve">party use. </w:t>
      </w:r>
    </w:p>
    <w:p w:rsidR="00117E22" w:rsidRDefault="00117E22" w:rsidP="00117E22">
      <w:pPr>
        <w:pStyle w:val="HeadingLevel3"/>
        <w:numPr>
          <w:ilvl w:val="0"/>
          <w:numId w:val="0"/>
        </w:numPr>
      </w:pPr>
      <w:r>
        <w:t>Current versus Telstra’s proposed allocation factors</w:t>
      </w:r>
    </w:p>
    <w:p w:rsidR="00117E22" w:rsidRDefault="00C52EDC" w:rsidP="00117E22">
      <w:r w:rsidRPr="00C52EDC">
        <w:t>Cost allocation factors for 2013-14 based on the 2011</w:t>
      </w:r>
      <w:r w:rsidR="0011724D">
        <w:t xml:space="preserve"> and 2013</w:t>
      </w:r>
      <w:r w:rsidRPr="00C52EDC">
        <w:t xml:space="preserve"> FAD approach and Telstra’s proposed approach are provided in </w:t>
      </w:r>
      <w:r w:rsidR="009F40E4">
        <w:t>T</w:t>
      </w:r>
      <w:r w:rsidRPr="00C52EDC">
        <w:t xml:space="preserve">able </w:t>
      </w:r>
      <w:r w:rsidR="009F40E4">
        <w:t>3.10.1</w:t>
      </w:r>
      <w:r w:rsidRPr="00C52EDC">
        <w:t>.</w:t>
      </w:r>
    </w:p>
    <w:p w:rsidR="00117E22" w:rsidRDefault="001E5979" w:rsidP="008E4937">
      <w:pPr>
        <w:pStyle w:val="HeadingLevel8table"/>
        <w:ind w:left="1440" w:hanging="1440"/>
      </w:pPr>
      <w:r w:rsidRPr="001E5979">
        <w:t>Table 3.1</w:t>
      </w:r>
      <w:r>
        <w:t>0</w:t>
      </w:r>
      <w:r w:rsidRPr="001E5979">
        <w:t>.1</w:t>
      </w:r>
      <w:r w:rsidRPr="001E5979">
        <w:tab/>
        <w:t>Comparison of 2011</w:t>
      </w:r>
      <w:r w:rsidR="00AF06C9">
        <w:t>/2013</w:t>
      </w:r>
      <w:r w:rsidR="00C34B6B">
        <w:t xml:space="preserve"> </w:t>
      </w:r>
      <w:r w:rsidRPr="001E5979">
        <w:t>FAD</w:t>
      </w:r>
      <w:r w:rsidR="00AF06C9">
        <w:t xml:space="preserve"> approach</w:t>
      </w:r>
      <w:r w:rsidRPr="001E5979">
        <w:t xml:space="preserve"> </w:t>
      </w:r>
      <w:proofErr w:type="spellStart"/>
      <w:r w:rsidRPr="001E5979">
        <w:t>vs</w:t>
      </w:r>
      <w:proofErr w:type="spellEnd"/>
      <w:r w:rsidRPr="001E5979">
        <w:t xml:space="preserve"> </w:t>
      </w:r>
      <w:r w:rsidR="001716E7">
        <w:t>Telstra’s</w:t>
      </w:r>
      <w:r w:rsidRPr="001E5979">
        <w:t xml:space="preserve"> proposed approach for CO1</w:t>
      </w:r>
      <w:r>
        <w:t>0</w:t>
      </w:r>
      <w:r w:rsidR="008E4937">
        <w:t xml:space="preserve"> indirect capital assets</w:t>
      </w:r>
      <w:r w:rsidR="00AF06C9">
        <w:t xml:space="preserve"> for 2013-14</w:t>
      </w:r>
    </w:p>
    <w:tbl>
      <w:tblPr>
        <w:tblStyle w:val="TableGrid"/>
        <w:tblW w:w="0" w:type="auto"/>
        <w:tblLook w:val="04A0" w:firstRow="1" w:lastRow="0" w:firstColumn="1" w:lastColumn="0" w:noHBand="0" w:noVBand="1"/>
      </w:tblPr>
      <w:tblGrid>
        <w:gridCol w:w="1763"/>
        <w:gridCol w:w="1805"/>
        <w:gridCol w:w="1773"/>
        <w:gridCol w:w="1795"/>
        <w:gridCol w:w="1528"/>
      </w:tblGrid>
      <w:tr w:rsidR="00827133" w:rsidTr="00AB2E1F">
        <w:trPr>
          <w:trHeight w:val="447"/>
        </w:trPr>
        <w:tc>
          <w:tcPr>
            <w:tcW w:w="1763" w:type="dxa"/>
          </w:tcPr>
          <w:p w:rsidR="00827133" w:rsidRDefault="00827133" w:rsidP="00350637">
            <w:pPr>
              <w:pStyle w:val="Table2Text"/>
            </w:pPr>
            <w:r>
              <w:t>Declared service</w:t>
            </w:r>
          </w:p>
        </w:tc>
        <w:tc>
          <w:tcPr>
            <w:tcW w:w="1805" w:type="dxa"/>
          </w:tcPr>
          <w:p w:rsidR="00827133" w:rsidRDefault="00827133" w:rsidP="00AC01B7">
            <w:pPr>
              <w:pStyle w:val="Table2Text"/>
            </w:pPr>
            <w:r>
              <w:t>2011/2013 FAD</w:t>
            </w:r>
            <w:r w:rsidR="00AF06C9">
              <w:t xml:space="preserve"> approach</w:t>
            </w:r>
            <w:r>
              <w:t xml:space="preserve"> %</w:t>
            </w:r>
          </w:p>
        </w:tc>
        <w:tc>
          <w:tcPr>
            <w:tcW w:w="1773" w:type="dxa"/>
          </w:tcPr>
          <w:p w:rsidR="00827133" w:rsidRDefault="00827133" w:rsidP="00AC01B7">
            <w:pPr>
              <w:pStyle w:val="Table2Text"/>
            </w:pPr>
            <w:r>
              <w:t xml:space="preserve">Telstra proposed </w:t>
            </w:r>
            <w:r w:rsidR="00AF06C9">
              <w:t xml:space="preserve">approach </w:t>
            </w:r>
            <w:r>
              <w:t>%</w:t>
            </w:r>
          </w:p>
        </w:tc>
        <w:tc>
          <w:tcPr>
            <w:tcW w:w="1795" w:type="dxa"/>
          </w:tcPr>
          <w:p w:rsidR="00827133" w:rsidRDefault="00827133" w:rsidP="00AC01B7">
            <w:pPr>
              <w:pStyle w:val="Table2Text"/>
            </w:pPr>
            <w:r w:rsidRPr="00375371">
              <w:t>% point difference</w:t>
            </w:r>
          </w:p>
        </w:tc>
        <w:tc>
          <w:tcPr>
            <w:tcW w:w="1528" w:type="dxa"/>
          </w:tcPr>
          <w:p w:rsidR="00827133" w:rsidRDefault="00827133" w:rsidP="00AC01B7">
            <w:pPr>
              <w:pStyle w:val="Table2Text"/>
            </w:pPr>
            <w:r w:rsidRPr="00375371">
              <w:t>% change</w:t>
            </w:r>
          </w:p>
        </w:tc>
      </w:tr>
      <w:tr w:rsidR="00827133" w:rsidTr="00AB2E1F">
        <w:trPr>
          <w:trHeight w:val="447"/>
        </w:trPr>
        <w:tc>
          <w:tcPr>
            <w:tcW w:w="1763" w:type="dxa"/>
          </w:tcPr>
          <w:p w:rsidR="00827133" w:rsidRDefault="00827133" w:rsidP="00350637">
            <w:pPr>
              <w:pStyle w:val="Table2Text"/>
            </w:pPr>
            <w:r>
              <w:t>WLR</w:t>
            </w:r>
          </w:p>
        </w:tc>
        <w:tc>
          <w:tcPr>
            <w:tcW w:w="1805" w:type="dxa"/>
          </w:tcPr>
          <w:p w:rsidR="00827133" w:rsidRDefault="002227F7" w:rsidP="00AC01B7">
            <w:pPr>
              <w:pStyle w:val="Table2Text"/>
            </w:pPr>
            <w:r w:rsidRPr="008A178E">
              <w:t>[c-</w:t>
            </w:r>
            <w:proofErr w:type="spellStart"/>
            <w:r w:rsidRPr="008A178E">
              <w:t>i</w:t>
            </w:r>
            <w:proofErr w:type="spellEnd"/>
            <w:r w:rsidRPr="008A178E">
              <w:t>-c starts]</w:t>
            </w:r>
            <w:r w:rsidR="00552D6F">
              <w:rPr>
                <w:noProof/>
                <w:color w:val="000000"/>
                <w:highlight w:val="black"/>
              </w:rPr>
              <w:t>'''''''</w:t>
            </w:r>
          </w:p>
        </w:tc>
        <w:tc>
          <w:tcPr>
            <w:tcW w:w="1773" w:type="dxa"/>
          </w:tcPr>
          <w:p w:rsidR="00827133" w:rsidRPr="00552D6F" w:rsidRDefault="00552D6F" w:rsidP="00AC01B7">
            <w:pPr>
              <w:pStyle w:val="Table2Text"/>
              <w:rPr>
                <w:highlight w:val="black"/>
              </w:rPr>
            </w:pPr>
            <w:r>
              <w:rPr>
                <w:noProof/>
                <w:color w:val="000000"/>
                <w:highlight w:val="black"/>
              </w:rPr>
              <w:t>''''''''</w:t>
            </w:r>
          </w:p>
        </w:tc>
        <w:tc>
          <w:tcPr>
            <w:tcW w:w="1795" w:type="dxa"/>
          </w:tcPr>
          <w:p w:rsidR="00827133" w:rsidRPr="00552D6F" w:rsidRDefault="00552D6F" w:rsidP="00AC01B7">
            <w:pPr>
              <w:pStyle w:val="Table2Text"/>
              <w:rPr>
                <w:highlight w:val="black"/>
              </w:rPr>
            </w:pPr>
            <w:r>
              <w:rPr>
                <w:noProof/>
                <w:color w:val="000000"/>
                <w:highlight w:val="black"/>
              </w:rPr>
              <w:t>''''''''''</w:t>
            </w:r>
          </w:p>
        </w:tc>
        <w:tc>
          <w:tcPr>
            <w:tcW w:w="1528" w:type="dxa"/>
          </w:tcPr>
          <w:p w:rsidR="00827133" w:rsidRPr="00552D6F" w:rsidRDefault="00552D6F" w:rsidP="00AC01B7">
            <w:pPr>
              <w:pStyle w:val="Table2Text"/>
              <w:rPr>
                <w:highlight w:val="black"/>
              </w:rPr>
            </w:pPr>
            <w:r>
              <w:rPr>
                <w:noProof/>
                <w:color w:val="000000"/>
                <w:highlight w:val="black"/>
              </w:rPr>
              <w:t>''''''''''''''''''</w:t>
            </w:r>
          </w:p>
        </w:tc>
      </w:tr>
      <w:tr w:rsidR="00827133" w:rsidTr="00AB2E1F">
        <w:trPr>
          <w:trHeight w:val="447"/>
        </w:trPr>
        <w:tc>
          <w:tcPr>
            <w:tcW w:w="1763" w:type="dxa"/>
          </w:tcPr>
          <w:p w:rsidR="00827133" w:rsidRDefault="008437C2" w:rsidP="00350637">
            <w:pPr>
              <w:pStyle w:val="Table2Text"/>
            </w:pPr>
            <w:r w:rsidRPr="008437C2">
              <w:t>FOAS/FTAS</w:t>
            </w:r>
          </w:p>
        </w:tc>
        <w:tc>
          <w:tcPr>
            <w:tcW w:w="1805" w:type="dxa"/>
          </w:tcPr>
          <w:p w:rsidR="00827133" w:rsidRPr="00552D6F" w:rsidRDefault="00552D6F" w:rsidP="00AC01B7">
            <w:pPr>
              <w:pStyle w:val="Table2Text"/>
              <w:rPr>
                <w:highlight w:val="black"/>
              </w:rPr>
            </w:pPr>
            <w:r>
              <w:rPr>
                <w:noProof/>
                <w:color w:val="000000"/>
                <w:highlight w:val="black"/>
              </w:rPr>
              <w:t>'''''''</w:t>
            </w:r>
          </w:p>
        </w:tc>
        <w:tc>
          <w:tcPr>
            <w:tcW w:w="1773" w:type="dxa"/>
          </w:tcPr>
          <w:p w:rsidR="00827133" w:rsidRPr="00552D6F" w:rsidRDefault="00552D6F" w:rsidP="00AC01B7">
            <w:pPr>
              <w:pStyle w:val="Table2Text"/>
              <w:rPr>
                <w:highlight w:val="black"/>
              </w:rPr>
            </w:pPr>
            <w:r>
              <w:rPr>
                <w:noProof/>
                <w:color w:val="000000"/>
                <w:highlight w:val="black"/>
              </w:rPr>
              <w:t>''''''''</w:t>
            </w:r>
          </w:p>
        </w:tc>
        <w:tc>
          <w:tcPr>
            <w:tcW w:w="1795" w:type="dxa"/>
          </w:tcPr>
          <w:p w:rsidR="00827133" w:rsidRPr="00552D6F" w:rsidRDefault="00552D6F" w:rsidP="00AC01B7">
            <w:pPr>
              <w:pStyle w:val="Table2Text"/>
              <w:rPr>
                <w:highlight w:val="black"/>
              </w:rPr>
            </w:pPr>
            <w:r>
              <w:rPr>
                <w:noProof/>
                <w:color w:val="000000"/>
                <w:highlight w:val="black"/>
              </w:rPr>
              <w:t>'''''''''''</w:t>
            </w:r>
          </w:p>
        </w:tc>
        <w:tc>
          <w:tcPr>
            <w:tcW w:w="1528" w:type="dxa"/>
          </w:tcPr>
          <w:p w:rsidR="00827133" w:rsidRPr="00552D6F" w:rsidRDefault="00552D6F" w:rsidP="00AC01B7">
            <w:pPr>
              <w:pStyle w:val="Table2Text"/>
              <w:rPr>
                <w:highlight w:val="black"/>
              </w:rPr>
            </w:pPr>
            <w:r>
              <w:rPr>
                <w:noProof/>
                <w:color w:val="000000"/>
                <w:highlight w:val="black"/>
              </w:rPr>
              <w:t>''''''''''''</w:t>
            </w:r>
          </w:p>
        </w:tc>
      </w:tr>
      <w:tr w:rsidR="00827133" w:rsidTr="00AB2E1F">
        <w:trPr>
          <w:trHeight w:val="447"/>
        </w:trPr>
        <w:tc>
          <w:tcPr>
            <w:tcW w:w="1763" w:type="dxa"/>
          </w:tcPr>
          <w:p w:rsidR="00827133" w:rsidRDefault="00827133" w:rsidP="00350637">
            <w:pPr>
              <w:pStyle w:val="Table2Text"/>
            </w:pPr>
            <w:r>
              <w:t>LCS</w:t>
            </w:r>
          </w:p>
        </w:tc>
        <w:tc>
          <w:tcPr>
            <w:tcW w:w="1805" w:type="dxa"/>
          </w:tcPr>
          <w:p w:rsidR="00827133" w:rsidRPr="00552D6F" w:rsidRDefault="00552D6F" w:rsidP="00AC01B7">
            <w:pPr>
              <w:pStyle w:val="Table2Text"/>
              <w:rPr>
                <w:highlight w:val="black"/>
              </w:rPr>
            </w:pPr>
            <w:r>
              <w:rPr>
                <w:noProof/>
                <w:color w:val="000000"/>
                <w:highlight w:val="black"/>
              </w:rPr>
              <w:t>'''''''''</w:t>
            </w:r>
          </w:p>
        </w:tc>
        <w:tc>
          <w:tcPr>
            <w:tcW w:w="1773" w:type="dxa"/>
          </w:tcPr>
          <w:p w:rsidR="00827133" w:rsidRPr="00552D6F" w:rsidRDefault="00552D6F" w:rsidP="00AC01B7">
            <w:pPr>
              <w:pStyle w:val="Table2Text"/>
              <w:rPr>
                <w:highlight w:val="black"/>
              </w:rPr>
            </w:pPr>
            <w:r>
              <w:rPr>
                <w:noProof/>
                <w:color w:val="000000"/>
                <w:highlight w:val="black"/>
              </w:rPr>
              <w:t>'''''''''</w:t>
            </w:r>
          </w:p>
        </w:tc>
        <w:tc>
          <w:tcPr>
            <w:tcW w:w="1795" w:type="dxa"/>
          </w:tcPr>
          <w:p w:rsidR="00827133" w:rsidRPr="00552D6F" w:rsidRDefault="00552D6F" w:rsidP="00AC01B7">
            <w:pPr>
              <w:pStyle w:val="Table2Text"/>
              <w:rPr>
                <w:highlight w:val="black"/>
              </w:rPr>
            </w:pPr>
            <w:r>
              <w:rPr>
                <w:noProof/>
                <w:color w:val="000000"/>
                <w:highlight w:val="black"/>
              </w:rPr>
              <w:t>'''''''''</w:t>
            </w:r>
          </w:p>
        </w:tc>
        <w:tc>
          <w:tcPr>
            <w:tcW w:w="1528" w:type="dxa"/>
          </w:tcPr>
          <w:p w:rsidR="00827133" w:rsidRPr="00552D6F" w:rsidRDefault="00552D6F" w:rsidP="00AC01B7">
            <w:pPr>
              <w:pStyle w:val="Table2Text"/>
              <w:rPr>
                <w:highlight w:val="black"/>
              </w:rPr>
            </w:pPr>
            <w:r>
              <w:rPr>
                <w:noProof/>
                <w:color w:val="000000"/>
                <w:highlight w:val="black"/>
              </w:rPr>
              <w:t>''''''''''''</w:t>
            </w:r>
          </w:p>
        </w:tc>
      </w:tr>
      <w:tr w:rsidR="00827133" w:rsidTr="00AB2E1F">
        <w:trPr>
          <w:trHeight w:val="447"/>
        </w:trPr>
        <w:tc>
          <w:tcPr>
            <w:tcW w:w="1763" w:type="dxa"/>
          </w:tcPr>
          <w:p w:rsidR="00827133" w:rsidRDefault="00827133" w:rsidP="00350637">
            <w:pPr>
              <w:pStyle w:val="Table2Text"/>
            </w:pPr>
            <w:r>
              <w:t>WADSL</w:t>
            </w:r>
          </w:p>
        </w:tc>
        <w:tc>
          <w:tcPr>
            <w:tcW w:w="1805" w:type="dxa"/>
          </w:tcPr>
          <w:p w:rsidR="00827133" w:rsidRPr="00552D6F" w:rsidRDefault="00552D6F" w:rsidP="00AC01B7">
            <w:pPr>
              <w:pStyle w:val="Table2Text"/>
              <w:rPr>
                <w:highlight w:val="black"/>
              </w:rPr>
            </w:pPr>
            <w:r>
              <w:rPr>
                <w:noProof/>
                <w:color w:val="000000"/>
                <w:highlight w:val="black"/>
              </w:rPr>
              <w:t>'''''''</w:t>
            </w:r>
          </w:p>
        </w:tc>
        <w:tc>
          <w:tcPr>
            <w:tcW w:w="1773" w:type="dxa"/>
          </w:tcPr>
          <w:p w:rsidR="00827133" w:rsidRPr="00552D6F" w:rsidRDefault="00552D6F" w:rsidP="00AC01B7">
            <w:pPr>
              <w:pStyle w:val="Table2Text"/>
              <w:rPr>
                <w:highlight w:val="black"/>
              </w:rPr>
            </w:pPr>
            <w:r>
              <w:rPr>
                <w:noProof/>
                <w:color w:val="000000"/>
                <w:highlight w:val="black"/>
              </w:rPr>
              <w:t>'''''''''</w:t>
            </w:r>
          </w:p>
        </w:tc>
        <w:tc>
          <w:tcPr>
            <w:tcW w:w="1795" w:type="dxa"/>
          </w:tcPr>
          <w:p w:rsidR="00827133" w:rsidRPr="00552D6F" w:rsidRDefault="00552D6F" w:rsidP="00AC01B7">
            <w:pPr>
              <w:pStyle w:val="Table2Text"/>
              <w:rPr>
                <w:highlight w:val="black"/>
              </w:rPr>
            </w:pPr>
            <w:r>
              <w:rPr>
                <w:noProof/>
                <w:color w:val="000000"/>
                <w:highlight w:val="black"/>
              </w:rPr>
              <w:t>''''''''''''</w:t>
            </w:r>
          </w:p>
        </w:tc>
        <w:tc>
          <w:tcPr>
            <w:tcW w:w="1528" w:type="dxa"/>
          </w:tcPr>
          <w:p w:rsidR="00827133" w:rsidRDefault="00552D6F" w:rsidP="00AC01B7">
            <w:pPr>
              <w:pStyle w:val="Table2Text"/>
            </w:pPr>
            <w:r>
              <w:rPr>
                <w:noProof/>
                <w:color w:val="000000"/>
                <w:highlight w:val="black"/>
              </w:rPr>
              <w:t>''''''''''</w:t>
            </w:r>
            <w:r w:rsidR="002227F7">
              <w:t>[c-</w:t>
            </w:r>
            <w:proofErr w:type="spellStart"/>
            <w:r w:rsidR="002227F7">
              <w:t>i</w:t>
            </w:r>
            <w:proofErr w:type="spellEnd"/>
            <w:r w:rsidR="002227F7">
              <w:t>-c ends]</w:t>
            </w:r>
          </w:p>
        </w:tc>
      </w:tr>
    </w:tbl>
    <w:p w:rsidR="00117E22" w:rsidRDefault="00117E22" w:rsidP="00117E22"/>
    <w:p w:rsidR="00117E22" w:rsidRDefault="009F40E4" w:rsidP="00117E22">
      <w:r>
        <w:t>Figure 3.10.2</w:t>
      </w:r>
      <w:r w:rsidR="003A4A75" w:rsidRPr="003A4A75">
        <w:t xml:space="preserve"> shows Telstra’s assumed share of use of </w:t>
      </w:r>
      <w:r w:rsidR="0065084C">
        <w:t>core indirect capital assets</w:t>
      </w:r>
      <w:r w:rsidR="003A4A75" w:rsidRPr="003A4A75">
        <w:t xml:space="preserve"> by the various services for 2013-14.</w:t>
      </w:r>
    </w:p>
    <w:p w:rsidR="00006134" w:rsidRDefault="005065CE" w:rsidP="00AB2E1F">
      <w:pPr>
        <w:pStyle w:val="HeadingLevel8table"/>
      </w:pPr>
      <w:r w:rsidRPr="005065CE">
        <w:t>Figure 3.1</w:t>
      </w:r>
      <w:r>
        <w:t>0</w:t>
      </w:r>
      <w:r w:rsidRPr="005065CE">
        <w:t>.2</w:t>
      </w:r>
      <w:r w:rsidRPr="005065CE">
        <w:tab/>
        <w:t>Telstra’s proposed allocation of CO1</w:t>
      </w:r>
      <w:r>
        <w:t>0</w:t>
      </w:r>
      <w:r w:rsidR="00006134">
        <w:t xml:space="preserve"> indirect capital assets</w:t>
      </w:r>
      <w:r w:rsidR="00AF06C9">
        <w:t xml:space="preserve"> for 2013-14</w:t>
      </w:r>
    </w:p>
    <w:p w:rsidR="00A703F9" w:rsidRPr="005871C8" w:rsidRDefault="00A703F9" w:rsidP="00AC5A20">
      <w:r w:rsidRPr="00AC5A20">
        <w:rPr>
          <w:b/>
        </w:rPr>
        <w:t>[</w:t>
      </w:r>
      <w:proofErr w:type="gramStart"/>
      <w:r w:rsidRPr="00AC5A20">
        <w:rPr>
          <w:b/>
        </w:rPr>
        <w:t>c-</w:t>
      </w:r>
      <w:proofErr w:type="spellStart"/>
      <w:r w:rsidRPr="00AC5A20">
        <w:rPr>
          <w:b/>
        </w:rPr>
        <w:t>i</w:t>
      </w:r>
      <w:proofErr w:type="spellEnd"/>
      <w:r w:rsidRPr="00AC5A20">
        <w:rPr>
          <w:b/>
        </w:rPr>
        <w:t>-c</w:t>
      </w:r>
      <w:proofErr w:type="gramEnd"/>
      <w:r w:rsidRPr="00AC5A20">
        <w:rPr>
          <w:b/>
        </w:rPr>
        <w:t xml:space="preserve"> starts]</w:t>
      </w:r>
    </w:p>
    <w:p w:rsidR="00A703F9" w:rsidRPr="00552D6F" w:rsidRDefault="00552D6F" w:rsidP="00AB2E1F">
      <w:pPr>
        <w:pStyle w:val="HeadingLevel8table"/>
      </w:pPr>
      <w:r>
        <w:rPr>
          <w:noProof/>
          <w:lang w:eastAsia="en-AU"/>
        </w:rPr>
        <w:lastRenderedPageBreak/>
        <w:drawing>
          <wp:inline distT="0" distB="0" distL="0" distR="0">
            <wp:extent cx="3615055" cy="253619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15055" cy="2536190"/>
                    </a:xfrm>
                    <a:prstGeom prst="rect">
                      <a:avLst/>
                    </a:prstGeom>
                  </pic:spPr>
                </pic:pic>
              </a:graphicData>
            </a:graphic>
          </wp:inline>
        </w:drawing>
      </w:r>
    </w:p>
    <w:p w:rsidR="0065084C" w:rsidRDefault="002227F7" w:rsidP="00AB2E1F">
      <w:pPr>
        <w:pStyle w:val="HeadingLevel8table"/>
      </w:pPr>
      <w:r w:rsidRPr="002227F7">
        <w:t>[</w:t>
      </w:r>
      <w:proofErr w:type="gramStart"/>
      <w:r w:rsidRPr="002227F7">
        <w:t>c-</w:t>
      </w:r>
      <w:proofErr w:type="spellStart"/>
      <w:r w:rsidRPr="002227F7">
        <w:t>i</w:t>
      </w:r>
      <w:proofErr w:type="spellEnd"/>
      <w:r w:rsidRPr="002227F7">
        <w:t>-c</w:t>
      </w:r>
      <w:proofErr w:type="gramEnd"/>
      <w:r w:rsidRPr="002227F7">
        <w:t xml:space="preserve"> ends]</w:t>
      </w:r>
    </w:p>
    <w:p w:rsidR="00AB5EE2" w:rsidRPr="0065084C" w:rsidRDefault="00503A04" w:rsidP="0004761D">
      <w:r w:rsidRPr="00503A04">
        <w:t xml:space="preserve">Note: “Other fixed line” includes all services in the Core asset class (excluding WLR, </w:t>
      </w:r>
      <w:r w:rsidR="00B05226" w:rsidRPr="00B05226">
        <w:t>FOAS/FTAS</w:t>
      </w:r>
      <w:r w:rsidRPr="00503A04">
        <w:t xml:space="preserve">, LCS and WADSL) that use </w:t>
      </w:r>
      <w:r>
        <w:t>indirect capital assets</w:t>
      </w:r>
      <w:r w:rsidRPr="00503A04">
        <w:t>.</w:t>
      </w:r>
    </w:p>
    <w:p w:rsidR="005D7B76" w:rsidRDefault="005D7B76" w:rsidP="00AB2E1F">
      <w:pPr>
        <w:pStyle w:val="Bulleta"/>
        <w:rPr>
          <w:rFonts w:eastAsiaTheme="majorEastAsia" w:cstheme="majorBidi"/>
          <w:b/>
          <w:color w:val="002060"/>
          <w:sz w:val="32"/>
          <w:szCs w:val="28"/>
        </w:rPr>
      </w:pPr>
      <w:r>
        <w:br w:type="page"/>
      </w:r>
    </w:p>
    <w:p w:rsidR="00791D3C" w:rsidRPr="00D32BC7" w:rsidRDefault="00791D3C" w:rsidP="00791D3C">
      <w:pPr>
        <w:pStyle w:val="HeadingLevel2"/>
      </w:pPr>
      <w:bookmarkStart w:id="31" w:name="_Toc393375583"/>
      <w:r w:rsidRPr="00D32BC7">
        <w:lastRenderedPageBreak/>
        <w:t>CO11 LSS equipment</w:t>
      </w:r>
      <w:bookmarkEnd w:id="31"/>
    </w:p>
    <w:p w:rsidR="004B71CF" w:rsidRPr="004B71CF" w:rsidRDefault="004B71CF" w:rsidP="00D32BC7">
      <w:r w:rsidRPr="004B71CF">
        <w:t>The line sharing service (LSS) allows access seekers to share</w:t>
      </w:r>
      <w:r w:rsidR="002F40BE">
        <w:t xml:space="preserve"> </w:t>
      </w:r>
      <w:r w:rsidRPr="004B71CF">
        <w:t xml:space="preserve">the copper line </w:t>
      </w:r>
      <w:r w:rsidR="00D32BC7">
        <w:t>that</w:t>
      </w:r>
      <w:r w:rsidR="00D32BC7" w:rsidRPr="004B71CF">
        <w:t xml:space="preserve"> </w:t>
      </w:r>
      <w:r w:rsidRPr="004B71CF">
        <w:t>connect</w:t>
      </w:r>
      <w:r w:rsidR="00D32BC7">
        <w:t>s</w:t>
      </w:r>
      <w:r w:rsidRPr="004B71CF">
        <w:t xml:space="preserve"> consumers to </w:t>
      </w:r>
      <w:r w:rsidR="00D32BC7">
        <w:t>Telstra’s</w:t>
      </w:r>
      <w:r w:rsidR="00D32BC7" w:rsidRPr="004B71CF">
        <w:t xml:space="preserve"> </w:t>
      </w:r>
      <w:r w:rsidRPr="004B71CF">
        <w:t>exchange</w:t>
      </w:r>
      <w:r w:rsidR="00D32BC7">
        <w:t>s</w:t>
      </w:r>
      <w:r w:rsidRPr="004B71CF">
        <w:t xml:space="preserve">. It allows access seekers to provide fixed internet services using their own equipment while an alternative provider </w:t>
      </w:r>
      <w:r w:rsidR="002F40BE">
        <w:t xml:space="preserve">supplies </w:t>
      </w:r>
      <w:r w:rsidRPr="004B71CF">
        <w:t>the voice service over the same line.</w:t>
      </w:r>
    </w:p>
    <w:p w:rsidR="00D15039" w:rsidRDefault="00D32BC7" w:rsidP="00D32BC7">
      <w:r>
        <w:t>The LSS asset class contains no</w:t>
      </w:r>
      <w:r w:rsidR="002F40BE">
        <w:t xml:space="preserve"> access </w:t>
      </w:r>
      <w:r w:rsidR="004B71CF" w:rsidRPr="004B71CF">
        <w:t>network costs because these costs are recovered through the prices charged for WLR and Telstra’s retail line services.</w:t>
      </w:r>
      <w:r w:rsidR="00535917">
        <w:t xml:space="preserve"> </w:t>
      </w:r>
      <w:r>
        <w:t>T</w:t>
      </w:r>
      <w:r w:rsidR="004B71CF" w:rsidRPr="004B71CF">
        <w:t>he specific assets used to provide the LSS have been fully depreciated and Telstra has made no further capital investments in these assets.</w:t>
      </w:r>
      <w:r>
        <w:t xml:space="preserve"> The cost of LSS is therefore co</w:t>
      </w:r>
      <w:r w:rsidR="00535917">
        <w:t>nfined to operating expenditure (and a share of tax allowance).</w:t>
      </w:r>
    </w:p>
    <w:p w:rsidR="00CF408B" w:rsidRDefault="00F61B24" w:rsidP="00D32BC7">
      <w:r>
        <w:t>All LSS equipment costs relate to the LSS and no other service. The allocation factor for LSS is therefore 1 under both the approach adopted in 2011 FAD and Telstra’s proposed cost allocation framework.</w:t>
      </w:r>
    </w:p>
    <w:p w:rsidR="00535917" w:rsidRPr="00A93872" w:rsidRDefault="00535917" w:rsidP="00535917">
      <w:r>
        <w:t>LSS equipment contributes only a minor proportion towards the total fixed</w:t>
      </w:r>
      <w:r w:rsidR="000255D7">
        <w:t xml:space="preserve"> </w:t>
      </w:r>
      <w:r>
        <w:t>line revenue requirement (</w:t>
      </w:r>
      <w:r>
        <w:rPr>
          <w:b/>
        </w:rPr>
        <w:t>[c-</w:t>
      </w:r>
      <w:proofErr w:type="spellStart"/>
      <w:r>
        <w:rPr>
          <w:b/>
        </w:rPr>
        <w:t>i</w:t>
      </w:r>
      <w:proofErr w:type="spellEnd"/>
      <w:r>
        <w:rPr>
          <w:b/>
        </w:rPr>
        <w:t>-c starts]</w:t>
      </w:r>
      <w:r w:rsidR="00552D6F">
        <w:rPr>
          <w:noProof/>
          <w:color w:val="000000"/>
          <w:highlight w:val="black"/>
        </w:rPr>
        <w:t>''''''''</w:t>
      </w:r>
      <w:r>
        <w:rPr>
          <w:b/>
        </w:rPr>
        <w:t>[c-</w:t>
      </w:r>
      <w:proofErr w:type="spellStart"/>
      <w:r>
        <w:rPr>
          <w:b/>
        </w:rPr>
        <w:t>i</w:t>
      </w:r>
      <w:proofErr w:type="spellEnd"/>
      <w:r>
        <w:rPr>
          <w:b/>
        </w:rPr>
        <w:t>-c ends]</w:t>
      </w:r>
      <w:r>
        <w:t xml:space="preserve"> per cent</w:t>
      </w:r>
      <w:r w:rsidRPr="00A93872">
        <w:t xml:space="preserve"> in 2013-14</w:t>
      </w:r>
      <w:r>
        <w:t>).</w:t>
      </w:r>
    </w:p>
    <w:p w:rsidR="00535917" w:rsidRDefault="00535917" w:rsidP="00D32BC7"/>
    <w:p w:rsidR="005D7B76" w:rsidRDefault="005D7B76">
      <w:pPr>
        <w:spacing w:after="200" w:line="276" w:lineRule="auto"/>
        <w:rPr>
          <w:rFonts w:eastAsiaTheme="majorEastAsia" w:cstheme="majorBidi"/>
          <w:b/>
          <w:color w:val="002060"/>
          <w:sz w:val="32"/>
          <w:szCs w:val="28"/>
        </w:rPr>
      </w:pPr>
      <w:r>
        <w:br w:type="page"/>
      </w:r>
    </w:p>
    <w:p w:rsidR="00791D3C" w:rsidRDefault="00791D3C" w:rsidP="00791D3C">
      <w:pPr>
        <w:pStyle w:val="HeadingLevel2"/>
      </w:pPr>
      <w:bookmarkStart w:id="32" w:name="_Toc393375584"/>
      <w:r>
        <w:lastRenderedPageBreak/>
        <w:t>CO12 data equipment</w:t>
      </w:r>
      <w:bookmarkEnd w:id="32"/>
      <w:r>
        <w:t xml:space="preserve"> </w:t>
      </w:r>
    </w:p>
    <w:p w:rsidR="00791D3C" w:rsidRDefault="00791D3C" w:rsidP="00791D3C">
      <w:pPr>
        <w:pStyle w:val="HeadingLevel3"/>
        <w:numPr>
          <w:ilvl w:val="0"/>
          <w:numId w:val="0"/>
        </w:numPr>
      </w:pPr>
      <w:r>
        <w:t>Asset description</w:t>
      </w:r>
    </w:p>
    <w:p w:rsidR="00536398" w:rsidRDefault="00737BE6" w:rsidP="00791D3C">
      <w:r w:rsidRPr="00737BE6">
        <w:t>This asset class include</w:t>
      </w:r>
      <w:r w:rsidR="002F40BE">
        <w:t>s</w:t>
      </w:r>
      <w:r w:rsidRPr="00737BE6">
        <w:t xml:space="preserve"> equip</w:t>
      </w:r>
      <w:r w:rsidR="00F13596">
        <w:t>ment necessary to provide fixed</w:t>
      </w:r>
      <w:r w:rsidR="000255D7">
        <w:t xml:space="preserve"> </w:t>
      </w:r>
      <w:r w:rsidRPr="00737BE6">
        <w:t xml:space="preserve">line broadband services, specifically the equipment and software required to route and aggregate DSL traffic. </w:t>
      </w:r>
      <w:r w:rsidR="00F13596">
        <w:t>This includes</w:t>
      </w:r>
      <w:r w:rsidRPr="00737BE6">
        <w:t xml:space="preserve"> IP route</w:t>
      </w:r>
      <w:r w:rsidR="00FF6E06">
        <w:t xml:space="preserve">rs and switches, DSLAMs (ISAMs and </w:t>
      </w:r>
      <w:r w:rsidRPr="00737BE6">
        <w:t>ASAMs) and data network software</w:t>
      </w:r>
      <w:r w:rsidR="00536398">
        <w:t>.</w:t>
      </w:r>
    </w:p>
    <w:p w:rsidR="00536398" w:rsidRDefault="00536398" w:rsidP="00C52438">
      <w:pPr>
        <w:pStyle w:val="HeadingLevel3"/>
        <w:numPr>
          <w:ilvl w:val="0"/>
          <w:numId w:val="0"/>
        </w:numPr>
        <w:tabs>
          <w:tab w:val="left" w:pos="2325"/>
        </w:tabs>
      </w:pPr>
      <w:r>
        <w:t xml:space="preserve">Key points </w:t>
      </w:r>
      <w:r w:rsidR="00C52438">
        <w:tab/>
      </w:r>
    </w:p>
    <w:p w:rsidR="00C52438" w:rsidRPr="00A93872" w:rsidRDefault="00C52438" w:rsidP="00C52438">
      <w:pPr>
        <w:pStyle w:val="Bulleta"/>
        <w:numPr>
          <w:ilvl w:val="0"/>
          <w:numId w:val="2"/>
        </w:numPr>
      </w:pPr>
      <w:r>
        <w:t>Data</w:t>
      </w:r>
      <w:r w:rsidRPr="00CF408B">
        <w:t xml:space="preserve"> equipment </w:t>
      </w:r>
      <w:r>
        <w:t xml:space="preserve">contributes a </w:t>
      </w:r>
      <w:r w:rsidRPr="004C63CF">
        <w:t>significant</w:t>
      </w:r>
      <w:r>
        <w:t xml:space="preserve"> proportion towards the total fixed</w:t>
      </w:r>
      <w:r w:rsidR="005B19A5">
        <w:t xml:space="preserve"> </w:t>
      </w:r>
      <w:r>
        <w:t>line revenue requirement (</w:t>
      </w:r>
      <w:r>
        <w:rPr>
          <w:b/>
        </w:rPr>
        <w:t>[c-</w:t>
      </w:r>
      <w:proofErr w:type="spellStart"/>
      <w:r>
        <w:rPr>
          <w:b/>
        </w:rPr>
        <w:t>i</w:t>
      </w:r>
      <w:proofErr w:type="spellEnd"/>
      <w:r>
        <w:rPr>
          <w:b/>
        </w:rPr>
        <w:t>-c starts]</w:t>
      </w:r>
      <w:r w:rsidR="00552D6F">
        <w:rPr>
          <w:noProof/>
          <w:color w:val="000000"/>
          <w:highlight w:val="black"/>
        </w:rPr>
        <w:t>'''''''''''</w:t>
      </w:r>
      <w:r>
        <w:rPr>
          <w:b/>
        </w:rPr>
        <w:t>[c-</w:t>
      </w:r>
      <w:proofErr w:type="spellStart"/>
      <w:r>
        <w:rPr>
          <w:b/>
        </w:rPr>
        <w:t>i</w:t>
      </w:r>
      <w:proofErr w:type="spellEnd"/>
      <w:r>
        <w:rPr>
          <w:b/>
        </w:rPr>
        <w:t>-c ends]</w:t>
      </w:r>
      <w:r w:rsidRPr="00A93872">
        <w:t xml:space="preserve"> </w:t>
      </w:r>
      <w:r>
        <w:t>per cent</w:t>
      </w:r>
      <w:r w:rsidRPr="00A93872">
        <w:t xml:space="preserve"> in 2013-14</w:t>
      </w:r>
      <w:r>
        <w:t>).</w:t>
      </w:r>
    </w:p>
    <w:p w:rsidR="00536398" w:rsidRDefault="00536398" w:rsidP="00536398">
      <w:pPr>
        <w:pStyle w:val="Bulleta"/>
        <w:numPr>
          <w:ilvl w:val="0"/>
          <w:numId w:val="2"/>
        </w:numPr>
      </w:pPr>
      <w:r>
        <w:t>Telstra</w:t>
      </w:r>
      <w:r w:rsidR="0095645E">
        <w:t>’</w:t>
      </w:r>
      <w:r w:rsidR="005075DB">
        <w:t>s</w:t>
      </w:r>
      <w:r>
        <w:t xml:space="preserve"> proposed allocation factors would allocate the costs for the data equipment asset class solely to DSL services. This is a different approach than was used to determine the Analysys model allocation factors</w:t>
      </w:r>
      <w:r w:rsidR="005075DB">
        <w:t xml:space="preserve"> (on which the 2013 wholesale ADSL FAD cost allocation factors are based)</w:t>
      </w:r>
      <w:r>
        <w:t xml:space="preserve">, where data equipment costs were assumed to be also allocated to other services, including ISDN and other platforms (e.g. </w:t>
      </w:r>
      <w:r w:rsidR="00F70FEC">
        <w:t>digital data access services</w:t>
      </w:r>
      <w:r>
        <w:t>).</w:t>
      </w:r>
      <w:r w:rsidR="00F70FEC">
        <w:t xml:space="preserve"> The extent to which data equipment is used for other non-DSL services will be a consideration for this FAD inquiry.</w:t>
      </w:r>
    </w:p>
    <w:p w:rsidR="00791D3C" w:rsidRDefault="00791D3C" w:rsidP="00791D3C">
      <w:pPr>
        <w:pStyle w:val="HeadingLevel3"/>
        <w:numPr>
          <w:ilvl w:val="0"/>
          <w:numId w:val="0"/>
        </w:numPr>
      </w:pPr>
      <w:r>
        <w:t>Services using this asset class</w:t>
      </w:r>
    </w:p>
    <w:p w:rsidR="00F70FEC" w:rsidRDefault="00F70FEC" w:rsidP="00F70FEC">
      <w:r>
        <w:t>The only declared service using data equipment is wholesale ADSL. Under Telstra’s proposal, the other services assumed to use data equipment are retail ADSL services and other DSL services (such as Telstra business DSL and SHDSL services).</w:t>
      </w:r>
    </w:p>
    <w:p w:rsidR="00791D3C" w:rsidRDefault="00A027E0" w:rsidP="00791D3C">
      <w:pPr>
        <w:pStyle w:val="HeadingLevel3"/>
        <w:numPr>
          <w:ilvl w:val="0"/>
          <w:numId w:val="0"/>
        </w:numPr>
      </w:pPr>
      <w:r>
        <w:t>Approach adopted for the 2013</w:t>
      </w:r>
      <w:r w:rsidR="00791D3C">
        <w:t xml:space="preserve"> </w:t>
      </w:r>
      <w:r w:rsidR="005075DB">
        <w:t xml:space="preserve">wholesale ADSL </w:t>
      </w:r>
      <w:r w:rsidR="00791D3C">
        <w:t>FAD</w:t>
      </w:r>
    </w:p>
    <w:p w:rsidR="00737BE6" w:rsidRPr="00737BE6" w:rsidRDefault="00737BE6" w:rsidP="00AB2E1F">
      <w:r w:rsidRPr="00737BE6">
        <w:t>Unlike other asset classes</w:t>
      </w:r>
      <w:r w:rsidR="00902B8D">
        <w:t>,</w:t>
      </w:r>
      <w:r w:rsidRPr="00737BE6">
        <w:t xml:space="preserve"> which were</w:t>
      </w:r>
      <w:r w:rsidR="00775087">
        <w:t xml:space="preserve"> established as part of the 2011 FAD inquiry, </w:t>
      </w:r>
      <w:r w:rsidR="00902B8D">
        <w:t xml:space="preserve">the data equipment </w:t>
      </w:r>
      <w:r w:rsidRPr="00737BE6">
        <w:t xml:space="preserve">asset class was </w:t>
      </w:r>
      <w:r w:rsidR="00902B8D">
        <w:t xml:space="preserve">developed </w:t>
      </w:r>
      <w:r w:rsidRPr="00737BE6">
        <w:t xml:space="preserve">as part of the wholesale ADSL FAD </w:t>
      </w:r>
      <w:r w:rsidR="00902B8D">
        <w:t xml:space="preserve">inquiry </w:t>
      </w:r>
      <w:r w:rsidRPr="00737BE6">
        <w:t>in 2013. During that inquiry, the ACCC requested information from Telstra regarding the assets used to supply wholesale ADSL. Based on this information, the ACCC identified a number of assets that needed to be added to the FLSM to enable the estimation of prices for wholesale ADSL. As a result the ACCC adde</w:t>
      </w:r>
      <w:r w:rsidR="009727E1">
        <w:t>d the data equipment asset</w:t>
      </w:r>
      <w:r w:rsidR="002F40BE">
        <w:t xml:space="preserve"> class</w:t>
      </w:r>
      <w:r w:rsidR="009727E1">
        <w:t xml:space="preserve">, </w:t>
      </w:r>
      <w:r w:rsidRPr="00737BE6">
        <w:t xml:space="preserve">which </w:t>
      </w:r>
      <w:r w:rsidR="009727E1">
        <w:t xml:space="preserve">included </w:t>
      </w:r>
      <w:r w:rsidRPr="00737BE6">
        <w:t>DSLAMs (and associated housing, racks and ADSL line cards), switches, servers, ro</w:t>
      </w:r>
      <w:r>
        <w:t>uters, and associated software.</w:t>
      </w:r>
      <w:r>
        <w:rPr>
          <w:rStyle w:val="FootnoteReference"/>
        </w:rPr>
        <w:footnoteReference w:id="2"/>
      </w:r>
    </w:p>
    <w:p w:rsidR="00791D3C" w:rsidRDefault="00737BE6">
      <w:r w:rsidRPr="00737BE6">
        <w:t xml:space="preserve">The </w:t>
      </w:r>
      <w:r w:rsidR="009727E1">
        <w:t xml:space="preserve">initial </w:t>
      </w:r>
      <w:r w:rsidRPr="00737BE6">
        <w:t xml:space="preserve">cost allocation factor for data equipment </w:t>
      </w:r>
      <w:r w:rsidR="00577804">
        <w:t>(to</w:t>
      </w:r>
      <w:r w:rsidR="009727E1">
        <w:t xml:space="preserve"> wholesale </w:t>
      </w:r>
      <w:r w:rsidRPr="00737BE6">
        <w:t>ADSL</w:t>
      </w:r>
      <w:r w:rsidR="00577804">
        <w:t>)</w:t>
      </w:r>
      <w:r w:rsidRPr="00737BE6">
        <w:t xml:space="preserve"> was</w:t>
      </w:r>
      <w:r w:rsidR="009727E1">
        <w:t xml:space="preserve"> </w:t>
      </w:r>
      <w:r w:rsidRPr="00737BE6">
        <w:t>based on the Analysys model allocation factor for 2008-09.</w:t>
      </w:r>
      <w:r w:rsidR="003D5696">
        <w:t xml:space="preserve"> </w:t>
      </w:r>
      <w:r w:rsidRPr="00737BE6">
        <w:t xml:space="preserve">The cost allocation factor for </w:t>
      </w:r>
      <w:r w:rsidR="003D5696">
        <w:t>subsequent year</w:t>
      </w:r>
      <w:r w:rsidR="002F40BE">
        <w:t xml:space="preserve">s </w:t>
      </w:r>
      <w:r w:rsidRPr="00737BE6">
        <w:t>was based on the cost allocation factor from the previous year and adjusted by the forecast percentage change in wholesale ADSL SIOs for that year.</w:t>
      </w:r>
    </w:p>
    <w:p w:rsidR="00791D3C" w:rsidRDefault="00791D3C" w:rsidP="00791D3C">
      <w:pPr>
        <w:pStyle w:val="HeadingLevel3"/>
        <w:numPr>
          <w:ilvl w:val="0"/>
          <w:numId w:val="0"/>
        </w:numPr>
      </w:pPr>
      <w:r>
        <w:t>Telstra proposed allocation method</w:t>
      </w:r>
    </w:p>
    <w:p w:rsidR="00791D3C" w:rsidRDefault="00791D3C" w:rsidP="00791D3C">
      <w:r>
        <w:t>Under Telstra’s revised model, the costs associated with data equipment are assumed to be driven by the number of fixed line SIOs.</w:t>
      </w:r>
    </w:p>
    <w:p w:rsidR="003E06E0" w:rsidRDefault="003E06E0" w:rsidP="003E06E0">
      <w:r>
        <w:t>The cost allocation factor is derived by calculating the ratio of forecast wholesale ADSL SIOs to the combined SIO forecast for all services using data equipment (wholesale ADSL, retail ADSL and other DSL).</w:t>
      </w:r>
    </w:p>
    <w:p w:rsidR="00791D3C" w:rsidRDefault="00791D3C" w:rsidP="00791D3C">
      <w:pPr>
        <w:pStyle w:val="HeadingLevel3"/>
        <w:numPr>
          <w:ilvl w:val="0"/>
          <w:numId w:val="0"/>
        </w:numPr>
      </w:pPr>
      <w:r>
        <w:lastRenderedPageBreak/>
        <w:t xml:space="preserve">Current versus Telstra’s proposed allocation factors </w:t>
      </w:r>
    </w:p>
    <w:p w:rsidR="00791D3C" w:rsidRDefault="00791D3C" w:rsidP="00791D3C">
      <w:r>
        <w:t>Cost allocation factors for 2013-14 based on the 201</w:t>
      </w:r>
      <w:r w:rsidR="002F40BE">
        <w:t>3</w:t>
      </w:r>
      <w:r>
        <w:t xml:space="preserve"> FAD approach and Telstra’s proposed approach are provided in the table below.</w:t>
      </w:r>
    </w:p>
    <w:p w:rsidR="00791D3C" w:rsidRDefault="001E5979" w:rsidP="009270DF">
      <w:pPr>
        <w:pStyle w:val="HeadingLevel8table"/>
        <w:ind w:left="1440" w:hanging="1440"/>
      </w:pPr>
      <w:r w:rsidRPr="001E5979">
        <w:t>Table 3.1</w:t>
      </w:r>
      <w:r>
        <w:t>2</w:t>
      </w:r>
      <w:r w:rsidRPr="001E5979">
        <w:t>.1</w:t>
      </w:r>
      <w:r w:rsidRPr="001E5979">
        <w:tab/>
        <w:t>Comparison of 201</w:t>
      </w:r>
      <w:r>
        <w:t>3</w:t>
      </w:r>
      <w:r w:rsidRPr="001E5979">
        <w:t xml:space="preserve"> FAD</w:t>
      </w:r>
      <w:r w:rsidR="002F40BE">
        <w:t xml:space="preserve"> approach</w:t>
      </w:r>
      <w:r w:rsidRPr="001E5979">
        <w:t xml:space="preserve"> </w:t>
      </w:r>
      <w:proofErr w:type="spellStart"/>
      <w:r w:rsidRPr="001E5979">
        <w:t>vs</w:t>
      </w:r>
      <w:proofErr w:type="spellEnd"/>
      <w:r w:rsidRPr="001E5979">
        <w:t xml:space="preserve"> </w:t>
      </w:r>
      <w:r w:rsidR="009270DF">
        <w:t xml:space="preserve">Telstra’s </w:t>
      </w:r>
      <w:r w:rsidRPr="001E5979">
        <w:t>proposed approach for CO</w:t>
      </w:r>
      <w:r>
        <w:t>12</w:t>
      </w:r>
      <w:r w:rsidR="009270DF">
        <w:t xml:space="preserve"> data equipment</w:t>
      </w:r>
      <w:r w:rsidR="002F40BE">
        <w:t xml:space="preserve"> for 2013-14</w:t>
      </w:r>
    </w:p>
    <w:tbl>
      <w:tblPr>
        <w:tblStyle w:val="TableGrid"/>
        <w:tblW w:w="0" w:type="auto"/>
        <w:tblLook w:val="04A0" w:firstRow="1" w:lastRow="0" w:firstColumn="1" w:lastColumn="0" w:noHBand="0" w:noVBand="1"/>
      </w:tblPr>
      <w:tblGrid>
        <w:gridCol w:w="1795"/>
        <w:gridCol w:w="1697"/>
        <w:gridCol w:w="1803"/>
        <w:gridCol w:w="1791"/>
        <w:gridCol w:w="1578"/>
      </w:tblGrid>
      <w:tr w:rsidR="0011724D" w:rsidTr="00AB2E1F">
        <w:trPr>
          <w:trHeight w:val="447"/>
        </w:trPr>
        <w:tc>
          <w:tcPr>
            <w:tcW w:w="1795" w:type="dxa"/>
          </w:tcPr>
          <w:p w:rsidR="0011724D" w:rsidRDefault="0011724D" w:rsidP="00350637">
            <w:pPr>
              <w:pStyle w:val="Table2Text"/>
            </w:pPr>
            <w:r>
              <w:t>Declared service</w:t>
            </w:r>
          </w:p>
        </w:tc>
        <w:tc>
          <w:tcPr>
            <w:tcW w:w="1697" w:type="dxa"/>
            <w:vAlign w:val="center"/>
          </w:tcPr>
          <w:p w:rsidR="0011724D" w:rsidRDefault="0011724D" w:rsidP="00AC01B7">
            <w:pPr>
              <w:pStyle w:val="Table2Text"/>
            </w:pPr>
            <w:r>
              <w:t>2013 FAD</w:t>
            </w:r>
            <w:r w:rsidR="002F40BE">
              <w:t xml:space="preserve"> approach</w:t>
            </w:r>
            <w:r>
              <w:t xml:space="preserve"> % </w:t>
            </w:r>
          </w:p>
        </w:tc>
        <w:tc>
          <w:tcPr>
            <w:tcW w:w="1803" w:type="dxa"/>
            <w:vAlign w:val="center"/>
          </w:tcPr>
          <w:p w:rsidR="0011724D" w:rsidRDefault="0011724D" w:rsidP="00AC01B7">
            <w:pPr>
              <w:pStyle w:val="Table2Text"/>
            </w:pPr>
            <w:r>
              <w:t>Telstra proposed</w:t>
            </w:r>
            <w:r w:rsidR="002F40BE">
              <w:t xml:space="preserve"> approach</w:t>
            </w:r>
            <w:r>
              <w:t xml:space="preserve"> %</w:t>
            </w:r>
          </w:p>
        </w:tc>
        <w:tc>
          <w:tcPr>
            <w:tcW w:w="1791" w:type="dxa"/>
          </w:tcPr>
          <w:p w:rsidR="0011724D" w:rsidRDefault="0011724D" w:rsidP="00AC01B7">
            <w:pPr>
              <w:pStyle w:val="Table2Text"/>
            </w:pPr>
            <w:r w:rsidRPr="005564FD">
              <w:t>% point difference</w:t>
            </w:r>
          </w:p>
        </w:tc>
        <w:tc>
          <w:tcPr>
            <w:tcW w:w="1578" w:type="dxa"/>
          </w:tcPr>
          <w:p w:rsidR="0011724D" w:rsidRDefault="0011724D" w:rsidP="00AC01B7">
            <w:pPr>
              <w:pStyle w:val="Table2Text"/>
            </w:pPr>
            <w:r w:rsidRPr="005564FD">
              <w:t>% change</w:t>
            </w:r>
          </w:p>
        </w:tc>
      </w:tr>
      <w:tr w:rsidR="00827133" w:rsidTr="00AB2E1F">
        <w:trPr>
          <w:trHeight w:val="447"/>
        </w:trPr>
        <w:tc>
          <w:tcPr>
            <w:tcW w:w="1795" w:type="dxa"/>
          </w:tcPr>
          <w:p w:rsidR="00827133" w:rsidRDefault="00827133" w:rsidP="00350637">
            <w:pPr>
              <w:pStyle w:val="Table2Text"/>
            </w:pPr>
            <w:r>
              <w:t xml:space="preserve">WADSL </w:t>
            </w:r>
          </w:p>
        </w:tc>
        <w:tc>
          <w:tcPr>
            <w:tcW w:w="1697" w:type="dxa"/>
            <w:vAlign w:val="center"/>
          </w:tcPr>
          <w:p w:rsidR="00827133" w:rsidRDefault="002227F7" w:rsidP="00AC01B7">
            <w:pPr>
              <w:pStyle w:val="Table2Text"/>
            </w:pPr>
            <w:r>
              <w:t>[c-</w:t>
            </w:r>
            <w:proofErr w:type="spellStart"/>
            <w:r>
              <w:t>i</w:t>
            </w:r>
            <w:proofErr w:type="spellEnd"/>
            <w:r>
              <w:t>-c starts]</w:t>
            </w:r>
            <w:r w:rsidR="00552D6F">
              <w:rPr>
                <w:noProof/>
                <w:color w:val="000000"/>
                <w:highlight w:val="black"/>
              </w:rPr>
              <w:t>''''''''''</w:t>
            </w:r>
          </w:p>
        </w:tc>
        <w:tc>
          <w:tcPr>
            <w:tcW w:w="1803" w:type="dxa"/>
            <w:vAlign w:val="center"/>
          </w:tcPr>
          <w:p w:rsidR="00827133" w:rsidRPr="00552D6F" w:rsidRDefault="00552D6F" w:rsidP="00AC01B7">
            <w:pPr>
              <w:pStyle w:val="Table2Text"/>
              <w:rPr>
                <w:highlight w:val="black"/>
              </w:rPr>
            </w:pPr>
            <w:r>
              <w:rPr>
                <w:noProof/>
                <w:color w:val="000000"/>
                <w:highlight w:val="black"/>
              </w:rPr>
              <w:t>'''''''''''</w:t>
            </w:r>
          </w:p>
        </w:tc>
        <w:tc>
          <w:tcPr>
            <w:tcW w:w="1791" w:type="dxa"/>
            <w:vAlign w:val="center"/>
          </w:tcPr>
          <w:p w:rsidR="00827133" w:rsidRPr="00552D6F" w:rsidRDefault="00552D6F" w:rsidP="00AC01B7">
            <w:pPr>
              <w:pStyle w:val="Table2Text"/>
              <w:rPr>
                <w:highlight w:val="black"/>
              </w:rPr>
            </w:pPr>
            <w:r>
              <w:rPr>
                <w:noProof/>
                <w:color w:val="000000"/>
                <w:highlight w:val="black"/>
              </w:rPr>
              <w:t>'''''''''''</w:t>
            </w:r>
          </w:p>
        </w:tc>
        <w:tc>
          <w:tcPr>
            <w:tcW w:w="1578" w:type="dxa"/>
          </w:tcPr>
          <w:p w:rsidR="00827133" w:rsidRDefault="00552D6F" w:rsidP="00AC01B7">
            <w:pPr>
              <w:pStyle w:val="Table2Text"/>
            </w:pPr>
            <w:r>
              <w:rPr>
                <w:noProof/>
                <w:color w:val="000000"/>
                <w:highlight w:val="black"/>
              </w:rPr>
              <w:t>''''''''''''''</w:t>
            </w:r>
            <w:r w:rsidR="002227F7">
              <w:t>[c-</w:t>
            </w:r>
            <w:proofErr w:type="spellStart"/>
            <w:r w:rsidR="002227F7">
              <w:t>i</w:t>
            </w:r>
            <w:proofErr w:type="spellEnd"/>
            <w:r w:rsidR="002227F7">
              <w:t>-c ends]</w:t>
            </w:r>
          </w:p>
        </w:tc>
      </w:tr>
    </w:tbl>
    <w:p w:rsidR="00F8556C" w:rsidRDefault="00F8556C" w:rsidP="00791D3C"/>
    <w:p w:rsidR="00F8556C" w:rsidRDefault="00F8556C" w:rsidP="00791D3C">
      <w:r w:rsidRPr="00F8556C">
        <w:t>The following chart shows Telstra’s assumed share of the data equipment asset class by the various services for 2013-14.</w:t>
      </w:r>
    </w:p>
    <w:p w:rsidR="002F40BE" w:rsidRDefault="005065CE" w:rsidP="00AB2E1F">
      <w:pPr>
        <w:pStyle w:val="HeadingLevel8table"/>
      </w:pPr>
      <w:r w:rsidRPr="005065CE">
        <w:t>Figure 3.1</w:t>
      </w:r>
      <w:r>
        <w:t>2</w:t>
      </w:r>
      <w:r w:rsidRPr="005065CE">
        <w:t>.2</w:t>
      </w:r>
      <w:r w:rsidRPr="005065CE">
        <w:tab/>
        <w:t>Telstra’s proposed allocation of CO1</w:t>
      </w:r>
      <w:r>
        <w:t>2</w:t>
      </w:r>
      <w:r w:rsidR="001535E5">
        <w:t xml:space="preserve"> data equipment</w:t>
      </w:r>
      <w:r w:rsidR="002F40BE">
        <w:t xml:space="preserve"> for 2013-14</w:t>
      </w:r>
    </w:p>
    <w:p w:rsidR="0071159A" w:rsidRDefault="002227F7" w:rsidP="00AB2E1F">
      <w:pPr>
        <w:pStyle w:val="HeadingLevel8table"/>
      </w:pPr>
      <w:r w:rsidRPr="002227F7">
        <w:t>[</w:t>
      </w:r>
      <w:proofErr w:type="gramStart"/>
      <w:r w:rsidRPr="002227F7">
        <w:t>c-</w:t>
      </w:r>
      <w:proofErr w:type="spellStart"/>
      <w:r w:rsidRPr="002227F7">
        <w:t>i</w:t>
      </w:r>
      <w:proofErr w:type="spellEnd"/>
      <w:r w:rsidRPr="002227F7">
        <w:t>-c</w:t>
      </w:r>
      <w:proofErr w:type="gramEnd"/>
      <w:r w:rsidRPr="002227F7">
        <w:t xml:space="preserve"> starts]</w:t>
      </w:r>
    </w:p>
    <w:p w:rsidR="00A703F9" w:rsidRDefault="00552D6F" w:rsidP="00AB2E1F">
      <w:pPr>
        <w:pStyle w:val="HeadingLevel8table"/>
        <w:rPr>
          <w:b w:val="0"/>
        </w:rPr>
      </w:pPr>
      <w:r>
        <w:rPr>
          <w:b w:val="0"/>
          <w:noProof/>
          <w:lang w:eastAsia="en-AU"/>
        </w:rPr>
        <w:drawing>
          <wp:inline distT="0" distB="0" distL="0" distR="0">
            <wp:extent cx="3609340" cy="253619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09340" cy="2536190"/>
                    </a:xfrm>
                    <a:prstGeom prst="rect">
                      <a:avLst/>
                    </a:prstGeom>
                  </pic:spPr>
                </pic:pic>
              </a:graphicData>
            </a:graphic>
          </wp:inline>
        </w:drawing>
      </w:r>
    </w:p>
    <w:p w:rsidR="00791D3C" w:rsidRDefault="002227F7" w:rsidP="00AB2E1F">
      <w:pPr>
        <w:pStyle w:val="HeadingLevel8table"/>
      </w:pPr>
      <w:r w:rsidRPr="002227F7">
        <w:t>[</w:t>
      </w:r>
      <w:proofErr w:type="gramStart"/>
      <w:r w:rsidRPr="002227F7">
        <w:t>c-</w:t>
      </w:r>
      <w:proofErr w:type="spellStart"/>
      <w:r w:rsidRPr="002227F7">
        <w:t>i</w:t>
      </w:r>
      <w:proofErr w:type="spellEnd"/>
      <w:r w:rsidRPr="002227F7">
        <w:t>-c</w:t>
      </w:r>
      <w:proofErr w:type="gramEnd"/>
      <w:r w:rsidRPr="002227F7">
        <w:t xml:space="preserve"> ends]</w:t>
      </w:r>
    </w:p>
    <w:p w:rsidR="00A027E0" w:rsidRPr="00E43F7D" w:rsidRDefault="00A027E0" w:rsidP="00AB2E1F">
      <w:pPr>
        <w:pStyle w:val="Bulleta"/>
        <w:numPr>
          <w:ilvl w:val="0"/>
          <w:numId w:val="0"/>
        </w:numPr>
        <w:ind w:left="720" w:hanging="360"/>
      </w:pPr>
    </w:p>
    <w:sectPr w:rsidR="00A027E0" w:rsidRPr="00E43F7D" w:rsidSect="00E91311">
      <w:footerReference w:type="default" r:id="rId19"/>
      <w:type w:val="continuous"/>
      <w:pgSz w:w="11906" w:h="16838"/>
      <w:pgMar w:top="1440" w:right="1729" w:bottom="1582" w:left="1729"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D6F" w:rsidRDefault="00552D6F" w:rsidP="00F01F5A">
      <w:pPr>
        <w:spacing w:after="0"/>
      </w:pPr>
      <w:r>
        <w:separator/>
      </w:r>
    </w:p>
    <w:p w:rsidR="00552D6F" w:rsidRDefault="00552D6F"/>
  </w:endnote>
  <w:endnote w:type="continuationSeparator" w:id="0">
    <w:p w:rsidR="00552D6F" w:rsidRDefault="00552D6F" w:rsidP="00F01F5A">
      <w:pPr>
        <w:spacing w:after="0"/>
      </w:pPr>
      <w:r>
        <w:continuationSeparator/>
      </w:r>
    </w:p>
    <w:p w:rsidR="00552D6F" w:rsidRDefault="00552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6F" w:rsidRDefault="00552D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4E" w:rsidRDefault="00CF694E" w:rsidP="00BA5AC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6F" w:rsidRDefault="00552D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96859"/>
      <w:docPartObj>
        <w:docPartGallery w:val="Page Numbers (Bottom of Page)"/>
        <w:docPartUnique/>
      </w:docPartObj>
    </w:sdtPr>
    <w:sdtEndPr>
      <w:rPr>
        <w:noProof/>
      </w:rPr>
    </w:sdtEndPr>
    <w:sdtContent>
      <w:p w:rsidR="00CF694E" w:rsidRDefault="00CF694E">
        <w:pPr>
          <w:pStyle w:val="Footer"/>
          <w:jc w:val="center"/>
        </w:pPr>
        <w:r>
          <w:fldChar w:fldCharType="begin"/>
        </w:r>
        <w:r>
          <w:instrText xml:space="preserve"> PAGE   \* MERGEFORMAT </w:instrText>
        </w:r>
        <w:r>
          <w:fldChar w:fldCharType="separate"/>
        </w:r>
        <w:r w:rsidR="00C72DD8">
          <w:rPr>
            <w:noProof/>
          </w:rPr>
          <w:t>58</w:t>
        </w:r>
        <w:r>
          <w:rPr>
            <w:noProof/>
          </w:rPr>
          <w:fldChar w:fldCharType="end"/>
        </w:r>
      </w:p>
    </w:sdtContent>
  </w:sdt>
  <w:p w:rsidR="00CF694E" w:rsidRDefault="00CF694E" w:rsidP="00BA5AC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D6F" w:rsidRDefault="00552D6F" w:rsidP="003A5B4C">
      <w:pPr>
        <w:spacing w:after="0"/>
      </w:pPr>
      <w:r>
        <w:separator/>
      </w:r>
    </w:p>
  </w:footnote>
  <w:footnote w:type="continuationSeparator" w:id="0">
    <w:p w:rsidR="00552D6F" w:rsidRDefault="00552D6F" w:rsidP="00F01F5A">
      <w:pPr>
        <w:spacing w:after="0"/>
      </w:pPr>
      <w:r>
        <w:continuationSeparator/>
      </w:r>
    </w:p>
    <w:p w:rsidR="00552D6F" w:rsidRDefault="00552D6F"/>
  </w:footnote>
  <w:footnote w:id="1">
    <w:p w:rsidR="00CF694E" w:rsidRPr="00320E5D" w:rsidRDefault="00CF694E">
      <w:pPr>
        <w:pStyle w:val="FootnoteText"/>
      </w:pPr>
      <w:r>
        <w:rPr>
          <w:rStyle w:val="FootnoteReference"/>
        </w:rPr>
        <w:footnoteRef/>
      </w:r>
      <w:r>
        <w:t xml:space="preserve"> ACCC, </w:t>
      </w:r>
      <w:r>
        <w:rPr>
          <w:i/>
        </w:rPr>
        <w:t xml:space="preserve">Public inquiry into final access determinations for fixed line services: discussion paper, </w:t>
      </w:r>
      <w:r>
        <w:t>July 2014.</w:t>
      </w:r>
    </w:p>
  </w:footnote>
  <w:footnote w:id="2">
    <w:p w:rsidR="00CF694E" w:rsidRDefault="00CF694E">
      <w:pPr>
        <w:pStyle w:val="FootnoteText"/>
      </w:pPr>
      <w:r>
        <w:rPr>
          <w:rStyle w:val="FootnoteReference"/>
        </w:rPr>
        <w:footnoteRef/>
      </w:r>
      <w:r>
        <w:t xml:space="preserve"> </w:t>
      </w:r>
      <w:r>
        <w:tab/>
      </w:r>
      <w:r w:rsidRPr="00737BE6">
        <w:t xml:space="preserve">ACCC, </w:t>
      </w:r>
      <w:r w:rsidRPr="00CD59C5">
        <w:rPr>
          <w:i/>
        </w:rPr>
        <w:t>Public inquiry to make a final access determination for the Wholesale ADSL service, Final Report, Public Version</w:t>
      </w:r>
      <w:r>
        <w:t>, May 2013, pp. 26-28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6F" w:rsidRDefault="00552D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6F" w:rsidRDefault="00552D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6F" w:rsidRDefault="00552D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F2BA4C"/>
    <w:lvl w:ilvl="0">
      <w:start w:val="1"/>
      <w:numFmt w:val="decimal"/>
      <w:lvlText w:val="%1."/>
      <w:lvlJc w:val="left"/>
      <w:pPr>
        <w:tabs>
          <w:tab w:val="num" w:pos="1492"/>
        </w:tabs>
        <w:ind w:left="1492" w:hanging="360"/>
      </w:pPr>
    </w:lvl>
  </w:abstractNum>
  <w:abstractNum w:abstractNumId="1">
    <w:nsid w:val="FFFFFF7D"/>
    <w:multiLevelType w:val="singleLevel"/>
    <w:tmpl w:val="7C3460AE"/>
    <w:lvl w:ilvl="0">
      <w:start w:val="1"/>
      <w:numFmt w:val="decimal"/>
      <w:lvlText w:val="%1."/>
      <w:lvlJc w:val="left"/>
      <w:pPr>
        <w:tabs>
          <w:tab w:val="num" w:pos="1209"/>
        </w:tabs>
        <w:ind w:left="1209" w:hanging="360"/>
      </w:pPr>
    </w:lvl>
  </w:abstractNum>
  <w:abstractNum w:abstractNumId="2">
    <w:nsid w:val="FFFFFF7E"/>
    <w:multiLevelType w:val="singleLevel"/>
    <w:tmpl w:val="FE1ADEF4"/>
    <w:lvl w:ilvl="0">
      <w:start w:val="1"/>
      <w:numFmt w:val="decimal"/>
      <w:lvlText w:val="%1."/>
      <w:lvlJc w:val="left"/>
      <w:pPr>
        <w:tabs>
          <w:tab w:val="num" w:pos="926"/>
        </w:tabs>
        <w:ind w:left="926" w:hanging="360"/>
      </w:pPr>
    </w:lvl>
  </w:abstractNum>
  <w:abstractNum w:abstractNumId="3">
    <w:nsid w:val="FFFFFF7F"/>
    <w:multiLevelType w:val="singleLevel"/>
    <w:tmpl w:val="B966FDE2"/>
    <w:lvl w:ilvl="0">
      <w:start w:val="1"/>
      <w:numFmt w:val="decimal"/>
      <w:lvlText w:val="%1."/>
      <w:lvlJc w:val="left"/>
      <w:pPr>
        <w:tabs>
          <w:tab w:val="num" w:pos="643"/>
        </w:tabs>
        <w:ind w:left="643" w:hanging="360"/>
      </w:pPr>
    </w:lvl>
  </w:abstractNum>
  <w:abstractNum w:abstractNumId="4">
    <w:nsid w:val="FFFFFF80"/>
    <w:multiLevelType w:val="singleLevel"/>
    <w:tmpl w:val="5D0892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FA96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2E83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88CB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A8B670"/>
    <w:lvl w:ilvl="0">
      <w:start w:val="1"/>
      <w:numFmt w:val="decimal"/>
      <w:lvlText w:val="%1."/>
      <w:lvlJc w:val="left"/>
      <w:pPr>
        <w:tabs>
          <w:tab w:val="num" w:pos="360"/>
        </w:tabs>
        <w:ind w:left="360" w:hanging="360"/>
      </w:pPr>
    </w:lvl>
  </w:abstractNum>
  <w:abstractNum w:abstractNumId="9">
    <w:nsid w:val="FFFFFF89"/>
    <w:multiLevelType w:val="singleLevel"/>
    <w:tmpl w:val="256A9654"/>
    <w:lvl w:ilvl="0">
      <w:start w:val="1"/>
      <w:numFmt w:val="bullet"/>
      <w:lvlText w:val=""/>
      <w:lvlJc w:val="left"/>
      <w:pPr>
        <w:tabs>
          <w:tab w:val="num" w:pos="360"/>
        </w:tabs>
        <w:ind w:left="360" w:hanging="360"/>
      </w:pPr>
      <w:rPr>
        <w:rFonts w:ascii="Symbol" w:hAnsi="Symbol" w:hint="default"/>
      </w:rPr>
    </w:lvl>
  </w:abstractNum>
  <w:abstractNum w:abstractNumId="10">
    <w:nsid w:val="09163B03"/>
    <w:multiLevelType w:val="hybridMultilevel"/>
    <w:tmpl w:val="307EA4F8"/>
    <w:lvl w:ilvl="0" w:tplc="17DEF4D4">
      <w:start w:val="1"/>
      <w:numFmt w:val="bullet"/>
      <w:pStyle w:val="Bulleta"/>
      <w:lvlText w:val=""/>
      <w:lvlJc w:val="left"/>
      <w:pPr>
        <w:ind w:left="720" w:hanging="360"/>
      </w:pPr>
      <w:rPr>
        <w:rFonts w:ascii="Symbol" w:hAnsi="Symbol" w:hint="default"/>
      </w:rPr>
    </w:lvl>
    <w:lvl w:ilvl="1" w:tplc="0C090003">
      <w:start w:val="1"/>
      <w:numFmt w:val="bullet"/>
      <w:pStyle w:val="Bulletb"/>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EB73523"/>
    <w:multiLevelType w:val="hybridMultilevel"/>
    <w:tmpl w:val="961A0CAC"/>
    <w:lvl w:ilvl="0" w:tplc="749E3A5A">
      <w:start w:val="1"/>
      <w:numFmt w:val="bullet"/>
      <w:pStyle w:val="Table3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0721E13"/>
    <w:multiLevelType w:val="hybridMultilevel"/>
    <w:tmpl w:val="7CE85BB8"/>
    <w:lvl w:ilvl="0" w:tplc="A9EEB4E0">
      <w:start w:val="2"/>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158D6DF9"/>
    <w:multiLevelType w:val="multilevel"/>
    <w:tmpl w:val="1168227C"/>
    <w:lvl w:ilvl="0">
      <w:start w:val="1"/>
      <w:numFmt w:val="upperLetter"/>
      <w:pStyle w:val="AppendixLevel1"/>
      <w:lvlText w:val="%1"/>
      <w:lvlJc w:val="left"/>
      <w:pPr>
        <w:tabs>
          <w:tab w:val="num" w:pos="1922"/>
        </w:tabs>
        <w:ind w:left="0" w:hanging="964"/>
      </w:pPr>
      <w:rPr>
        <w:rFonts w:hint="default"/>
      </w:rPr>
    </w:lvl>
    <w:lvl w:ilvl="1">
      <w:start w:val="1"/>
      <w:numFmt w:val="decimal"/>
      <w:pStyle w:val="AppendixLevel2"/>
      <w:lvlText w:val="%1.%2"/>
      <w:lvlJc w:val="left"/>
      <w:pPr>
        <w:tabs>
          <w:tab w:val="num" w:pos="1922"/>
        </w:tabs>
        <w:ind w:left="0" w:hanging="964"/>
      </w:pPr>
      <w:rPr>
        <w:rFonts w:hint="default"/>
      </w:rPr>
    </w:lvl>
    <w:lvl w:ilvl="2">
      <w:start w:val="1"/>
      <w:numFmt w:val="decimal"/>
      <w:pStyle w:val="AppendixLevel3"/>
      <w:lvlText w:val="%1.%2.%3"/>
      <w:lvlJc w:val="left"/>
      <w:pPr>
        <w:tabs>
          <w:tab w:val="num" w:pos="1922"/>
        </w:tabs>
        <w:ind w:left="0" w:hanging="964"/>
      </w:pPr>
      <w:rPr>
        <w:rFonts w:hint="default"/>
      </w:rPr>
    </w:lvl>
    <w:lvl w:ilvl="3">
      <w:start w:val="1"/>
      <w:numFmt w:val="decimal"/>
      <w:pStyle w:val="AppendixLevel4"/>
      <w:lvlText w:val="%1.%2.%3.%4"/>
      <w:lvlJc w:val="left"/>
      <w:pPr>
        <w:tabs>
          <w:tab w:val="num" w:pos="1922"/>
        </w:tabs>
        <w:ind w:left="0" w:hanging="964"/>
      </w:pPr>
      <w:rPr>
        <w:rFonts w:hint="default"/>
      </w:rPr>
    </w:lvl>
    <w:lvl w:ilvl="4">
      <w:start w:val="1"/>
      <w:numFmt w:val="decimal"/>
      <w:lvlRestart w:val="1"/>
      <w:pStyle w:val="AppendixLevel5figure"/>
      <w:lvlText w:val="Figure %1.%5"/>
      <w:lvlJc w:val="left"/>
      <w:pPr>
        <w:ind w:left="964" w:hanging="964"/>
      </w:pPr>
      <w:rPr>
        <w:rFonts w:ascii="Arial" w:hAnsi="Arial" w:hint="default"/>
        <w:b/>
        <w:i w:val="0"/>
        <w:sz w:val="20"/>
      </w:rPr>
    </w:lvl>
    <w:lvl w:ilvl="5">
      <w:start w:val="1"/>
      <w:numFmt w:val="decimal"/>
      <w:pStyle w:val="AppendixLevel6table"/>
      <w:lvlText w:val="Table %1.%6"/>
      <w:lvlJc w:val="left"/>
      <w:pPr>
        <w:ind w:left="964" w:hanging="964"/>
      </w:pPr>
      <w:rPr>
        <w:rFonts w:hint="default"/>
      </w:rPr>
    </w:lvl>
    <w:lvl w:ilvl="6">
      <w:start w:val="1"/>
      <w:numFmt w:val="decimal"/>
      <w:lvlText w:val="%7."/>
      <w:lvlJc w:val="left"/>
      <w:pPr>
        <w:tabs>
          <w:tab w:val="num" w:pos="1922"/>
        </w:tabs>
        <w:ind w:left="0" w:hanging="964"/>
      </w:pPr>
      <w:rPr>
        <w:rFonts w:hint="default"/>
      </w:rPr>
    </w:lvl>
    <w:lvl w:ilvl="7">
      <w:start w:val="1"/>
      <w:numFmt w:val="lowerLetter"/>
      <w:lvlText w:val="%8."/>
      <w:lvlJc w:val="left"/>
      <w:pPr>
        <w:tabs>
          <w:tab w:val="num" w:pos="1922"/>
        </w:tabs>
        <w:ind w:left="0" w:hanging="964"/>
      </w:pPr>
      <w:rPr>
        <w:rFonts w:hint="default"/>
      </w:rPr>
    </w:lvl>
    <w:lvl w:ilvl="8">
      <w:start w:val="1"/>
      <w:numFmt w:val="lowerRoman"/>
      <w:lvlText w:val="%9."/>
      <w:lvlJc w:val="left"/>
      <w:pPr>
        <w:tabs>
          <w:tab w:val="num" w:pos="1922"/>
        </w:tabs>
        <w:ind w:left="0" w:hanging="964"/>
      </w:pPr>
      <w:rPr>
        <w:rFonts w:hint="default"/>
      </w:rPr>
    </w:lvl>
  </w:abstractNum>
  <w:abstractNum w:abstractNumId="14">
    <w:nsid w:val="16F14085"/>
    <w:multiLevelType w:val="hybridMultilevel"/>
    <w:tmpl w:val="62CE109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nsid w:val="1EBA6F64"/>
    <w:multiLevelType w:val="multilevel"/>
    <w:tmpl w:val="3C34E1A6"/>
    <w:lvl w:ilvl="0">
      <w:start w:val="1"/>
      <w:numFmt w:val="decimal"/>
      <w:pStyle w:val="HeadingLevel1"/>
      <w:lvlText w:val="%1"/>
      <w:lvlJc w:val="left"/>
      <w:pPr>
        <w:ind w:left="0" w:hanging="964"/>
      </w:pPr>
      <w:rPr>
        <w:rFonts w:hint="default"/>
      </w:rPr>
    </w:lvl>
    <w:lvl w:ilvl="1">
      <w:start w:val="1"/>
      <w:numFmt w:val="decimal"/>
      <w:pStyle w:val="HeadingLevel2"/>
      <w:lvlText w:val="%1.%2"/>
      <w:lvlJc w:val="left"/>
      <w:pPr>
        <w:ind w:left="0" w:hanging="964"/>
      </w:pPr>
      <w:rPr>
        <w:rFonts w:hint="default"/>
      </w:rPr>
    </w:lvl>
    <w:lvl w:ilvl="2">
      <w:start w:val="1"/>
      <w:numFmt w:val="decimal"/>
      <w:pStyle w:val="HeadingLevel3"/>
      <w:lvlText w:val="%1.%2.%3"/>
      <w:lvlJc w:val="left"/>
      <w:pPr>
        <w:ind w:left="0" w:hanging="964"/>
      </w:pPr>
      <w:rPr>
        <w:rFonts w:hint="default"/>
      </w:rPr>
    </w:lvl>
    <w:lvl w:ilvl="3">
      <w:start w:val="1"/>
      <w:numFmt w:val="decimal"/>
      <w:pStyle w:val="HeadingLevel4"/>
      <w:lvlText w:val="%1.%2.%3.%4"/>
      <w:lvlJc w:val="left"/>
      <w:pPr>
        <w:ind w:left="0" w:hanging="964"/>
      </w:pPr>
      <w:rPr>
        <w:rFonts w:hint="default"/>
      </w:rPr>
    </w:lvl>
    <w:lvl w:ilvl="4">
      <w:start w:val="1"/>
      <w:numFmt w:val="none"/>
      <w:pStyle w:val="HeadingLevel5"/>
      <w:lvlText w:val=""/>
      <w:lvlJc w:val="left"/>
      <w:pPr>
        <w:ind w:left="0" w:hanging="964"/>
      </w:pPr>
      <w:rPr>
        <w:rFonts w:hint="default"/>
      </w:rPr>
    </w:lvl>
    <w:lvl w:ilvl="5">
      <w:start w:val="1"/>
      <w:numFmt w:val="none"/>
      <w:pStyle w:val="HeadingLevel6"/>
      <w:lvlText w:val=""/>
      <w:lvlJc w:val="left"/>
      <w:pPr>
        <w:ind w:left="0" w:hanging="964"/>
      </w:pPr>
      <w:rPr>
        <w:rFonts w:hint="default"/>
      </w:rPr>
    </w:lvl>
    <w:lvl w:ilvl="6">
      <w:start w:val="1"/>
      <w:numFmt w:val="decimal"/>
      <w:pStyle w:val="HeadingLevel7figure"/>
      <w:lvlText w:val="Figure %1.%7"/>
      <w:lvlJc w:val="left"/>
      <w:pPr>
        <w:ind w:left="852" w:firstLine="0"/>
      </w:pPr>
      <w:rPr>
        <w:rFonts w:hint="default"/>
      </w:rPr>
    </w:lvl>
    <w:lvl w:ilvl="7">
      <w:start w:val="1"/>
      <w:numFmt w:val="decimal"/>
      <w:lvlText w:val="Table %1.%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27B333CB"/>
    <w:multiLevelType w:val="multilevel"/>
    <w:tmpl w:val="D12AC26E"/>
    <w:lvl w:ilvl="0">
      <w:start w:val="1"/>
      <w:numFmt w:val="bullet"/>
      <w:lvlText w:val=""/>
      <w:lvlJc w:val="left"/>
      <w:pPr>
        <w:ind w:left="397" w:hanging="397"/>
      </w:pPr>
      <w:rPr>
        <w:rFonts w:ascii="Symbol" w:hAnsi="Symbol" w:hint="default"/>
        <w:color w:val="auto"/>
        <w:sz w:val="24"/>
      </w:rPr>
    </w:lvl>
    <w:lvl w:ilvl="1">
      <w:start w:val="1"/>
      <w:numFmt w:val="bullet"/>
      <w:lvlText w:val=""/>
      <w:lvlJc w:val="left"/>
      <w:pPr>
        <w:ind w:left="794" w:hanging="397"/>
      </w:pPr>
      <w:rPr>
        <w:rFonts w:ascii="Symbol" w:hAnsi="Symbol" w:hint="default"/>
        <w:color w:val="auto"/>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94A2568"/>
    <w:multiLevelType w:val="hybridMultilevel"/>
    <w:tmpl w:val="8B8C1450"/>
    <w:lvl w:ilvl="0" w:tplc="5B0C49DA">
      <w:start w:val="1"/>
      <w:numFmt w:val="decimal"/>
      <w:lvlText w:val="Table %1."/>
      <w:lvlJc w:val="left"/>
      <w:pPr>
        <w:ind w:left="720" w:hanging="360"/>
      </w:pPr>
      <w:rPr>
        <w:rFonts w:ascii="Lucida Fax" w:hAnsi="Lucida Fax" w:hint="default"/>
        <w:sz w:val="20"/>
      </w:r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8">
    <w:nsid w:val="2A621FEE"/>
    <w:multiLevelType w:val="multilevel"/>
    <w:tmpl w:val="6E70285C"/>
    <w:lvl w:ilvl="0">
      <w:start w:val="1"/>
      <w:numFmt w:val="decimal"/>
      <w:lvlText w:val="%1."/>
      <w:lvlJc w:val="left"/>
      <w:pPr>
        <w:ind w:left="360" w:hanging="360"/>
      </w:pPr>
      <w:rPr>
        <w:rFonts w:hint="default"/>
      </w:rPr>
    </w:lvl>
    <w:lvl w:ilvl="1">
      <w:start w:val="1"/>
      <w:numFmt w:val="decimal"/>
      <w:lvlText w:val="Table %1.%2:"/>
      <w:lvlJc w:val="left"/>
      <w:pPr>
        <w:ind w:left="792" w:hanging="432"/>
      </w:pPr>
      <w:rPr>
        <w:rFonts w:ascii="Lucida Fax" w:hAnsi="Lucida Fax"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6231E7"/>
    <w:multiLevelType w:val="hybridMultilevel"/>
    <w:tmpl w:val="68261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CF72049"/>
    <w:multiLevelType w:val="hybridMultilevel"/>
    <w:tmpl w:val="FF76F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742710D"/>
    <w:multiLevelType w:val="multilevel"/>
    <w:tmpl w:val="07246ED6"/>
    <w:lvl w:ilvl="0">
      <w:start w:val="1"/>
      <w:numFmt w:val="decimal"/>
      <w:lvlText w:val="%1"/>
      <w:lvlJc w:val="left"/>
      <w:pPr>
        <w:tabs>
          <w:tab w:val="num" w:pos="958"/>
        </w:tabs>
        <w:ind w:left="958" w:hanging="958"/>
      </w:pPr>
      <w:rPr>
        <w:rFonts w:hint="default"/>
      </w:rPr>
    </w:lvl>
    <w:lvl w:ilvl="1">
      <w:start w:val="1"/>
      <w:numFmt w:val="decimal"/>
      <w:pStyle w:val="Heading2"/>
      <w:lvlText w:val="%1.%2"/>
      <w:lvlJc w:val="left"/>
      <w:pPr>
        <w:tabs>
          <w:tab w:val="num" w:pos="958"/>
        </w:tabs>
        <w:ind w:left="958" w:hanging="958"/>
      </w:pPr>
      <w:rPr>
        <w:rFonts w:hint="default"/>
      </w:rPr>
    </w:lvl>
    <w:lvl w:ilvl="2">
      <w:start w:val="1"/>
      <w:numFmt w:val="decimal"/>
      <w:pStyle w:val="Heading3"/>
      <w:lvlText w:val="%1.%2.%3"/>
      <w:lvlJc w:val="left"/>
      <w:pPr>
        <w:tabs>
          <w:tab w:val="num" w:pos="958"/>
        </w:tabs>
        <w:ind w:left="958" w:hanging="958"/>
      </w:pPr>
      <w:rPr>
        <w:rFonts w:hint="default"/>
      </w:rPr>
    </w:lvl>
    <w:lvl w:ilvl="3">
      <w:start w:val="1"/>
      <w:numFmt w:val="decimal"/>
      <w:lvlText w:val="%1.%2.%3.%4"/>
      <w:lvlJc w:val="left"/>
      <w:pPr>
        <w:tabs>
          <w:tab w:val="num" w:pos="958"/>
        </w:tabs>
        <w:ind w:left="958" w:hanging="958"/>
      </w:pPr>
      <w:rPr>
        <w:rFonts w:hint="default"/>
      </w:rPr>
    </w:lvl>
    <w:lvl w:ilvl="4">
      <w:start w:val="1"/>
      <w:numFmt w:val="decimal"/>
      <w:lvlRestart w:val="1"/>
      <w:lvlText w:val="Table %1.%5:"/>
      <w:lvlJc w:val="left"/>
      <w:pPr>
        <w:tabs>
          <w:tab w:val="num" w:pos="958"/>
        </w:tabs>
        <w:ind w:left="0" w:firstLine="14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9382EF3"/>
    <w:multiLevelType w:val="hybridMultilevel"/>
    <w:tmpl w:val="C82822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855070B"/>
    <w:multiLevelType w:val="multilevel"/>
    <w:tmpl w:val="CB1A3FB2"/>
    <w:lvl w:ilvl="0">
      <w:start w:val="1"/>
      <w:numFmt w:val="decimal"/>
      <w:lvlText w:val="%1"/>
      <w:lvlJc w:val="left"/>
      <w:pPr>
        <w:ind w:left="0" w:hanging="964"/>
      </w:pPr>
      <w:rPr>
        <w:rFonts w:hint="default"/>
      </w:rPr>
    </w:lvl>
    <w:lvl w:ilvl="1">
      <w:start w:val="1"/>
      <w:numFmt w:val="decimal"/>
      <w:lvlText w:val="%1.%2"/>
      <w:lvlJc w:val="left"/>
      <w:pPr>
        <w:ind w:left="0" w:hanging="964"/>
      </w:pPr>
      <w:rPr>
        <w:rFonts w:hint="default"/>
      </w:rPr>
    </w:lvl>
    <w:lvl w:ilvl="2">
      <w:start w:val="1"/>
      <w:numFmt w:val="decimal"/>
      <w:lvlText w:val="%1.%2.%3"/>
      <w:lvlJc w:val="left"/>
      <w:pPr>
        <w:ind w:left="0" w:hanging="964"/>
      </w:pPr>
      <w:rPr>
        <w:rFonts w:hint="default"/>
      </w:rPr>
    </w:lvl>
    <w:lvl w:ilvl="3">
      <w:start w:val="1"/>
      <w:numFmt w:val="decimal"/>
      <w:lvlText w:val="%1.%2.%3.%4"/>
      <w:lvlJc w:val="left"/>
      <w:pPr>
        <w:ind w:left="0" w:hanging="964"/>
      </w:pPr>
      <w:rPr>
        <w:rFonts w:hint="default"/>
      </w:rPr>
    </w:lvl>
    <w:lvl w:ilvl="4">
      <w:start w:val="1"/>
      <w:numFmt w:val="none"/>
      <w:lvlText w:val=""/>
      <w:lvlJc w:val="left"/>
      <w:pPr>
        <w:ind w:left="0" w:hanging="964"/>
      </w:pPr>
      <w:rPr>
        <w:rFonts w:hint="default"/>
      </w:rPr>
    </w:lvl>
    <w:lvl w:ilvl="5">
      <w:start w:val="1"/>
      <w:numFmt w:val="none"/>
      <w:lvlText w:val=""/>
      <w:lvlJc w:val="left"/>
      <w:pPr>
        <w:ind w:left="0" w:hanging="964"/>
      </w:pPr>
      <w:rPr>
        <w:rFonts w:hint="default"/>
      </w:rPr>
    </w:lvl>
    <w:lvl w:ilvl="6">
      <w:start w:val="1"/>
      <w:numFmt w:val="decimal"/>
      <w:lvlText w:val="%1.%2.%3.%4.%5.%6.%7"/>
      <w:lvlJc w:val="left"/>
      <w:pPr>
        <w:ind w:left="0" w:hanging="964"/>
      </w:pPr>
      <w:rPr>
        <w:rFonts w:hint="default"/>
      </w:rPr>
    </w:lvl>
    <w:lvl w:ilvl="7">
      <w:start w:val="1"/>
      <w:numFmt w:val="decimal"/>
      <w:lvlText w:val="%1.%2.%3.%4.%5.%6.%7.%8"/>
      <w:lvlJc w:val="left"/>
      <w:pPr>
        <w:ind w:left="0" w:hanging="964"/>
      </w:pPr>
      <w:rPr>
        <w:rFonts w:hint="default"/>
      </w:rPr>
    </w:lvl>
    <w:lvl w:ilvl="8">
      <w:start w:val="1"/>
      <w:numFmt w:val="decimal"/>
      <w:lvlText w:val="%1.%2.%3.%4.%5.%6.%7.%8.%9"/>
      <w:lvlJc w:val="left"/>
      <w:pPr>
        <w:ind w:left="0" w:hanging="964"/>
      </w:pPr>
      <w:rPr>
        <w:rFonts w:hint="default"/>
      </w:rPr>
    </w:lvl>
  </w:abstractNum>
  <w:abstractNum w:abstractNumId="24">
    <w:nsid w:val="5F417BD8"/>
    <w:multiLevelType w:val="multilevel"/>
    <w:tmpl w:val="2078279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247770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2BE5C7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AA67F02"/>
    <w:multiLevelType w:val="multilevel"/>
    <w:tmpl w:val="D318F09C"/>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28">
    <w:nsid w:val="7E414D07"/>
    <w:multiLevelType w:val="multilevel"/>
    <w:tmpl w:val="F4563DC2"/>
    <w:lvl w:ilvl="0">
      <w:start w:val="1"/>
      <w:numFmt w:val="decimal"/>
      <w:lvlText w:val="%1"/>
      <w:lvlJc w:val="left"/>
      <w:pPr>
        <w:ind w:left="0" w:hanging="964"/>
      </w:pPr>
      <w:rPr>
        <w:rFonts w:hint="default"/>
      </w:rPr>
    </w:lvl>
    <w:lvl w:ilvl="1">
      <w:start w:val="1"/>
      <w:numFmt w:val="decimal"/>
      <w:lvlText w:val="%1.%2"/>
      <w:lvlJc w:val="left"/>
      <w:pPr>
        <w:ind w:left="0" w:hanging="964"/>
      </w:pPr>
      <w:rPr>
        <w:rFonts w:hint="default"/>
      </w:rPr>
    </w:lvl>
    <w:lvl w:ilvl="2">
      <w:start w:val="1"/>
      <w:numFmt w:val="decimal"/>
      <w:lvlText w:val="%1.%2.%3"/>
      <w:lvlJc w:val="left"/>
      <w:pPr>
        <w:ind w:left="0" w:hanging="964"/>
      </w:pPr>
      <w:rPr>
        <w:rFonts w:hint="default"/>
      </w:rPr>
    </w:lvl>
    <w:lvl w:ilvl="3">
      <w:start w:val="1"/>
      <w:numFmt w:val="decimal"/>
      <w:lvlText w:val="%1.%2.%3.%4"/>
      <w:lvlJc w:val="left"/>
      <w:pPr>
        <w:ind w:left="0" w:hanging="964"/>
      </w:pPr>
      <w:rPr>
        <w:rFonts w:hint="default"/>
      </w:rPr>
    </w:lvl>
    <w:lvl w:ilvl="4">
      <w:start w:val="1"/>
      <w:numFmt w:val="none"/>
      <w:lvlText w:val=""/>
      <w:lvlJc w:val="left"/>
      <w:pPr>
        <w:ind w:left="0" w:hanging="964"/>
      </w:pPr>
      <w:rPr>
        <w:rFonts w:hint="default"/>
      </w:rPr>
    </w:lvl>
    <w:lvl w:ilvl="5">
      <w:start w:val="1"/>
      <w:numFmt w:val="none"/>
      <w:lvlText w:val=""/>
      <w:lvlJc w:val="left"/>
      <w:pPr>
        <w:ind w:left="0" w:hanging="964"/>
      </w:pPr>
      <w:rPr>
        <w:rFonts w:hint="default"/>
      </w:rPr>
    </w:lvl>
    <w:lvl w:ilvl="6">
      <w:start w:val="1"/>
      <w:numFmt w:val="decimal"/>
      <w:lvlText w:val="Table %1.%7"/>
      <w:lvlJc w:val="left"/>
      <w:pPr>
        <w:ind w:left="0" w:firstLine="0"/>
      </w:pPr>
      <w:rPr>
        <w:rFonts w:hint="default"/>
      </w:rPr>
    </w:lvl>
    <w:lvl w:ilvl="7">
      <w:start w:val="1"/>
      <w:numFmt w:val="decimal"/>
      <w:lvlText w:val="%1.%2.%3.%4.%5.%6.%7.%8"/>
      <w:lvlJc w:val="left"/>
      <w:pPr>
        <w:ind w:left="0" w:hanging="964"/>
      </w:pPr>
      <w:rPr>
        <w:rFonts w:hint="default"/>
      </w:rPr>
    </w:lvl>
    <w:lvl w:ilvl="8">
      <w:start w:val="1"/>
      <w:numFmt w:val="decimal"/>
      <w:lvlText w:val="%1.%2.%3.%4.%5.%6.%7.%8.%9"/>
      <w:lvlJc w:val="left"/>
      <w:pPr>
        <w:ind w:left="0" w:hanging="964"/>
      </w:pPr>
      <w:rPr>
        <w:rFonts w:hint="default"/>
      </w:rPr>
    </w:lvl>
  </w:abstractNum>
  <w:num w:numId="1">
    <w:abstractNumId w:val="21"/>
  </w:num>
  <w:num w:numId="2">
    <w:abstractNumId w:val="16"/>
  </w:num>
  <w:num w:numId="3">
    <w:abstractNumId w:val="11"/>
  </w:num>
  <w:num w:numId="4">
    <w:abstractNumId w:val="17"/>
  </w:num>
  <w:num w:numId="5">
    <w:abstractNumId w:val="24"/>
  </w:num>
  <w:num w:numId="6">
    <w:abstractNumId w:val="13"/>
  </w:num>
  <w:num w:numId="7">
    <w:abstractNumId w:val="26"/>
  </w:num>
  <w:num w:numId="8">
    <w:abstractNumId w:val="1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3"/>
  </w:num>
  <w:num w:numId="12">
    <w:abstractNumId w:val="13"/>
  </w:num>
  <w:num w:numId="13">
    <w:abstractNumId w:val="13"/>
  </w:num>
  <w:num w:numId="14">
    <w:abstractNumId w:val="27"/>
  </w:num>
  <w:num w:numId="15">
    <w:abstractNumId w:val="25"/>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1"/>
  </w:num>
  <w:num w:numId="2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9"/>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15"/>
    <w:lvlOverride w:ilvl="0">
      <w:lvl w:ilvl="0">
        <w:start w:val="1"/>
        <w:numFmt w:val="decimal"/>
        <w:pStyle w:val="HeadingLevel1"/>
        <w:lvlText w:val="%1"/>
        <w:lvlJc w:val="left"/>
        <w:pPr>
          <w:ind w:left="0" w:hanging="964"/>
        </w:pPr>
        <w:rPr>
          <w:rFonts w:hint="default"/>
        </w:rPr>
      </w:lvl>
    </w:lvlOverride>
    <w:lvlOverride w:ilvl="1">
      <w:lvl w:ilvl="1">
        <w:start w:val="1"/>
        <w:numFmt w:val="decimal"/>
        <w:pStyle w:val="HeadingLevel2"/>
        <w:lvlText w:val="%1.%2"/>
        <w:lvlJc w:val="left"/>
        <w:pPr>
          <w:ind w:left="0" w:hanging="964"/>
        </w:pPr>
        <w:rPr>
          <w:rFonts w:hint="default"/>
        </w:rPr>
      </w:lvl>
    </w:lvlOverride>
    <w:lvlOverride w:ilvl="2">
      <w:lvl w:ilvl="2">
        <w:start w:val="1"/>
        <w:numFmt w:val="decimal"/>
        <w:pStyle w:val="HeadingLevel3"/>
        <w:lvlText w:val="%1.%2.%3"/>
        <w:lvlJc w:val="left"/>
        <w:pPr>
          <w:ind w:left="0" w:hanging="964"/>
        </w:pPr>
        <w:rPr>
          <w:rFonts w:hint="default"/>
        </w:rPr>
      </w:lvl>
    </w:lvlOverride>
    <w:lvlOverride w:ilvl="3">
      <w:lvl w:ilvl="3">
        <w:start w:val="1"/>
        <w:numFmt w:val="decimal"/>
        <w:pStyle w:val="HeadingLevel4"/>
        <w:lvlText w:val="%1.%2.%3.%4"/>
        <w:lvlJc w:val="left"/>
        <w:pPr>
          <w:ind w:left="0" w:hanging="964"/>
        </w:pPr>
        <w:rPr>
          <w:rFonts w:hint="default"/>
        </w:rPr>
      </w:lvl>
    </w:lvlOverride>
    <w:lvlOverride w:ilvl="4">
      <w:lvl w:ilvl="4">
        <w:start w:val="1"/>
        <w:numFmt w:val="none"/>
        <w:pStyle w:val="HeadingLevel5"/>
        <w:lvlText w:val=""/>
        <w:lvlJc w:val="left"/>
        <w:pPr>
          <w:ind w:left="0" w:hanging="964"/>
        </w:pPr>
        <w:rPr>
          <w:rFonts w:hint="default"/>
        </w:rPr>
      </w:lvl>
    </w:lvlOverride>
    <w:lvlOverride w:ilvl="5">
      <w:lvl w:ilvl="5">
        <w:start w:val="1"/>
        <w:numFmt w:val="none"/>
        <w:pStyle w:val="HeadingLevel6"/>
        <w:lvlText w:val=""/>
        <w:lvlJc w:val="left"/>
        <w:pPr>
          <w:ind w:left="0" w:hanging="964"/>
        </w:pPr>
        <w:rPr>
          <w:rFonts w:hint="default"/>
        </w:rPr>
      </w:lvl>
    </w:lvlOverride>
    <w:lvlOverride w:ilvl="6">
      <w:lvl w:ilvl="6">
        <w:start w:val="1"/>
        <w:numFmt w:val="decimal"/>
        <w:pStyle w:val="HeadingLevel7figure"/>
        <w:lvlText w:val="Figure %1.%7"/>
        <w:lvlJc w:val="left"/>
        <w:pPr>
          <w:ind w:left="0" w:firstLine="0"/>
        </w:pPr>
        <w:rPr>
          <w:rFonts w:hint="default"/>
        </w:rPr>
      </w:lvl>
    </w:lvlOverride>
    <w:lvlOverride w:ilvl="7">
      <w:lvl w:ilvl="7">
        <w:start w:val="1"/>
        <w:numFmt w:val="decimal"/>
        <w:lvlText w:val="Table %1.%8"/>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38">
    <w:abstractNumId w:val="20"/>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14"/>
  </w:num>
  <w:num w:numId="42">
    <w:abstractNumId w:val="16"/>
  </w:num>
  <w:num w:numId="43">
    <w:abstractNumId w:val="16"/>
  </w:num>
  <w:num w:numId="44">
    <w:abstractNumId w:val="16"/>
  </w:num>
  <w:num w:numId="45">
    <w:abstractNumId w:val="15"/>
  </w:num>
  <w:num w:numId="46">
    <w:abstractNumId w:val="19"/>
  </w:num>
  <w:num w:numId="47">
    <w:abstractNumId w:val="22"/>
  </w:num>
  <w:num w:numId="48">
    <w:abstractNumId w:val="10"/>
  </w:num>
  <w:num w:numId="49">
    <w:abstractNumId w:val="15"/>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autoFormatOverride/>
  <w:styleLockTheme/>
  <w:styleLockQFSet/>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docVars>
    <w:docVar w:name="currentname" w:val="H:\TRIMDATA\TRIM\TEMP\HPTRIM.7384\D14 98651  APFA-discussion paper - Redacted Cost allocation additional information - July 2014.DOCX"/>
  </w:docVars>
  <w:rsids>
    <w:rsidRoot w:val="00672BBD"/>
    <w:rsid w:val="000013EF"/>
    <w:rsid w:val="000024D4"/>
    <w:rsid w:val="00003446"/>
    <w:rsid w:val="00004E67"/>
    <w:rsid w:val="000058BC"/>
    <w:rsid w:val="00006134"/>
    <w:rsid w:val="00006141"/>
    <w:rsid w:val="00006BB9"/>
    <w:rsid w:val="00007557"/>
    <w:rsid w:val="00007CCC"/>
    <w:rsid w:val="00007D9C"/>
    <w:rsid w:val="0001027F"/>
    <w:rsid w:val="0001243A"/>
    <w:rsid w:val="00013415"/>
    <w:rsid w:val="00013497"/>
    <w:rsid w:val="00013D9C"/>
    <w:rsid w:val="000152E4"/>
    <w:rsid w:val="000157D5"/>
    <w:rsid w:val="00016447"/>
    <w:rsid w:val="00016B19"/>
    <w:rsid w:val="000204B2"/>
    <w:rsid w:val="000205FB"/>
    <w:rsid w:val="00023CF6"/>
    <w:rsid w:val="000255D7"/>
    <w:rsid w:val="00026C0E"/>
    <w:rsid w:val="00026F3E"/>
    <w:rsid w:val="000277AA"/>
    <w:rsid w:val="00027E53"/>
    <w:rsid w:val="00033B1F"/>
    <w:rsid w:val="00033E7F"/>
    <w:rsid w:val="0003624A"/>
    <w:rsid w:val="00041706"/>
    <w:rsid w:val="00042B43"/>
    <w:rsid w:val="00042E0A"/>
    <w:rsid w:val="000431CE"/>
    <w:rsid w:val="00043C97"/>
    <w:rsid w:val="000443D5"/>
    <w:rsid w:val="00044707"/>
    <w:rsid w:val="000452A7"/>
    <w:rsid w:val="00045957"/>
    <w:rsid w:val="00046D67"/>
    <w:rsid w:val="0004761D"/>
    <w:rsid w:val="00050E16"/>
    <w:rsid w:val="00051266"/>
    <w:rsid w:val="000518CB"/>
    <w:rsid w:val="0005262F"/>
    <w:rsid w:val="00053958"/>
    <w:rsid w:val="0005481F"/>
    <w:rsid w:val="00055045"/>
    <w:rsid w:val="00057A05"/>
    <w:rsid w:val="00057F65"/>
    <w:rsid w:val="000635FF"/>
    <w:rsid w:val="00063A52"/>
    <w:rsid w:val="00063E2C"/>
    <w:rsid w:val="0006549C"/>
    <w:rsid w:val="00065B11"/>
    <w:rsid w:val="00067793"/>
    <w:rsid w:val="00067C23"/>
    <w:rsid w:val="00070623"/>
    <w:rsid w:val="00071885"/>
    <w:rsid w:val="000736DA"/>
    <w:rsid w:val="00073D85"/>
    <w:rsid w:val="000743B2"/>
    <w:rsid w:val="00074BB8"/>
    <w:rsid w:val="00074D2A"/>
    <w:rsid w:val="00076BB2"/>
    <w:rsid w:val="00076F6F"/>
    <w:rsid w:val="00081280"/>
    <w:rsid w:val="0008204C"/>
    <w:rsid w:val="00082A2C"/>
    <w:rsid w:val="0008331F"/>
    <w:rsid w:val="00084805"/>
    <w:rsid w:val="0008515D"/>
    <w:rsid w:val="00085A72"/>
    <w:rsid w:val="00086032"/>
    <w:rsid w:val="00086185"/>
    <w:rsid w:val="00086847"/>
    <w:rsid w:val="00086FCA"/>
    <w:rsid w:val="000903E6"/>
    <w:rsid w:val="00091318"/>
    <w:rsid w:val="00091600"/>
    <w:rsid w:val="00091FD6"/>
    <w:rsid w:val="0009248F"/>
    <w:rsid w:val="000932BD"/>
    <w:rsid w:val="00093B20"/>
    <w:rsid w:val="000941D6"/>
    <w:rsid w:val="00094AEE"/>
    <w:rsid w:val="00094B8C"/>
    <w:rsid w:val="00095D2F"/>
    <w:rsid w:val="00096290"/>
    <w:rsid w:val="000964F6"/>
    <w:rsid w:val="0009665B"/>
    <w:rsid w:val="0009776A"/>
    <w:rsid w:val="00097951"/>
    <w:rsid w:val="000A0008"/>
    <w:rsid w:val="000A02B2"/>
    <w:rsid w:val="000A0D2C"/>
    <w:rsid w:val="000A16AB"/>
    <w:rsid w:val="000A176B"/>
    <w:rsid w:val="000A29A2"/>
    <w:rsid w:val="000A2B7F"/>
    <w:rsid w:val="000A39F4"/>
    <w:rsid w:val="000A3C76"/>
    <w:rsid w:val="000A49A0"/>
    <w:rsid w:val="000A4F3A"/>
    <w:rsid w:val="000A52D3"/>
    <w:rsid w:val="000A57F4"/>
    <w:rsid w:val="000A5B4D"/>
    <w:rsid w:val="000A6587"/>
    <w:rsid w:val="000A7C8C"/>
    <w:rsid w:val="000B05BF"/>
    <w:rsid w:val="000B075C"/>
    <w:rsid w:val="000B087F"/>
    <w:rsid w:val="000B16FB"/>
    <w:rsid w:val="000B2D00"/>
    <w:rsid w:val="000B3766"/>
    <w:rsid w:val="000B4885"/>
    <w:rsid w:val="000B4C22"/>
    <w:rsid w:val="000B4E2F"/>
    <w:rsid w:val="000B5376"/>
    <w:rsid w:val="000B580D"/>
    <w:rsid w:val="000B6921"/>
    <w:rsid w:val="000B79BA"/>
    <w:rsid w:val="000B7DBB"/>
    <w:rsid w:val="000C0448"/>
    <w:rsid w:val="000C535C"/>
    <w:rsid w:val="000C5FD9"/>
    <w:rsid w:val="000C69DE"/>
    <w:rsid w:val="000D0421"/>
    <w:rsid w:val="000D1832"/>
    <w:rsid w:val="000D23EC"/>
    <w:rsid w:val="000D2BAA"/>
    <w:rsid w:val="000D42BA"/>
    <w:rsid w:val="000D5D03"/>
    <w:rsid w:val="000D66F2"/>
    <w:rsid w:val="000E0231"/>
    <w:rsid w:val="000E053B"/>
    <w:rsid w:val="000E0877"/>
    <w:rsid w:val="000E3553"/>
    <w:rsid w:val="000E3E71"/>
    <w:rsid w:val="000E46FB"/>
    <w:rsid w:val="000E4D82"/>
    <w:rsid w:val="000E569E"/>
    <w:rsid w:val="000E56A9"/>
    <w:rsid w:val="000E6030"/>
    <w:rsid w:val="000E65A2"/>
    <w:rsid w:val="000E74D5"/>
    <w:rsid w:val="000E7547"/>
    <w:rsid w:val="000F0100"/>
    <w:rsid w:val="000F0165"/>
    <w:rsid w:val="000F09F9"/>
    <w:rsid w:val="000F1B5A"/>
    <w:rsid w:val="000F3088"/>
    <w:rsid w:val="000F3447"/>
    <w:rsid w:val="000F3B9D"/>
    <w:rsid w:val="000F42CC"/>
    <w:rsid w:val="000F435A"/>
    <w:rsid w:val="000F5A5E"/>
    <w:rsid w:val="000F62EE"/>
    <w:rsid w:val="000F78EA"/>
    <w:rsid w:val="000F7FB0"/>
    <w:rsid w:val="001003EA"/>
    <w:rsid w:val="00101419"/>
    <w:rsid w:val="00101AD7"/>
    <w:rsid w:val="001023D1"/>
    <w:rsid w:val="00104A9F"/>
    <w:rsid w:val="00106BB8"/>
    <w:rsid w:val="00107019"/>
    <w:rsid w:val="00107AB0"/>
    <w:rsid w:val="00110374"/>
    <w:rsid w:val="00110949"/>
    <w:rsid w:val="00111A0D"/>
    <w:rsid w:val="0011262D"/>
    <w:rsid w:val="00112902"/>
    <w:rsid w:val="00112941"/>
    <w:rsid w:val="00112DA4"/>
    <w:rsid w:val="001130A6"/>
    <w:rsid w:val="00113A3F"/>
    <w:rsid w:val="00113C70"/>
    <w:rsid w:val="00115036"/>
    <w:rsid w:val="0011724D"/>
    <w:rsid w:val="00117BC8"/>
    <w:rsid w:val="00117E22"/>
    <w:rsid w:val="001209CE"/>
    <w:rsid w:val="0012128F"/>
    <w:rsid w:val="00121E08"/>
    <w:rsid w:val="00124025"/>
    <w:rsid w:val="00126B31"/>
    <w:rsid w:val="00127915"/>
    <w:rsid w:val="00133612"/>
    <w:rsid w:val="00135B05"/>
    <w:rsid w:val="00136CA1"/>
    <w:rsid w:val="001400AF"/>
    <w:rsid w:val="001400BA"/>
    <w:rsid w:val="00141C82"/>
    <w:rsid w:val="00142FEC"/>
    <w:rsid w:val="00144E1A"/>
    <w:rsid w:val="001465E4"/>
    <w:rsid w:val="00146A10"/>
    <w:rsid w:val="00146DD0"/>
    <w:rsid w:val="00147056"/>
    <w:rsid w:val="00147B38"/>
    <w:rsid w:val="001507B6"/>
    <w:rsid w:val="00150A1E"/>
    <w:rsid w:val="00151E07"/>
    <w:rsid w:val="00151F43"/>
    <w:rsid w:val="001535E5"/>
    <w:rsid w:val="00153FB0"/>
    <w:rsid w:val="00154DDC"/>
    <w:rsid w:val="00155557"/>
    <w:rsid w:val="00155F87"/>
    <w:rsid w:val="001563CE"/>
    <w:rsid w:val="00156F6A"/>
    <w:rsid w:val="001571D7"/>
    <w:rsid w:val="00157A13"/>
    <w:rsid w:val="00160A23"/>
    <w:rsid w:val="001628C3"/>
    <w:rsid w:val="00165EFB"/>
    <w:rsid w:val="00166256"/>
    <w:rsid w:val="00166E3E"/>
    <w:rsid w:val="0017035C"/>
    <w:rsid w:val="001712A5"/>
    <w:rsid w:val="0017143E"/>
    <w:rsid w:val="001716E7"/>
    <w:rsid w:val="001717B2"/>
    <w:rsid w:val="001717E8"/>
    <w:rsid w:val="00172E62"/>
    <w:rsid w:val="001731BA"/>
    <w:rsid w:val="001731D7"/>
    <w:rsid w:val="00173361"/>
    <w:rsid w:val="00174A88"/>
    <w:rsid w:val="0017723C"/>
    <w:rsid w:val="00177310"/>
    <w:rsid w:val="0017787C"/>
    <w:rsid w:val="00177EAA"/>
    <w:rsid w:val="001811BD"/>
    <w:rsid w:val="00182B96"/>
    <w:rsid w:val="00183A61"/>
    <w:rsid w:val="00183FCE"/>
    <w:rsid w:val="00184748"/>
    <w:rsid w:val="00193BBF"/>
    <w:rsid w:val="00194DD0"/>
    <w:rsid w:val="00196D01"/>
    <w:rsid w:val="00196E49"/>
    <w:rsid w:val="001A00E8"/>
    <w:rsid w:val="001A0A92"/>
    <w:rsid w:val="001A0E87"/>
    <w:rsid w:val="001A1D14"/>
    <w:rsid w:val="001A52A1"/>
    <w:rsid w:val="001A5E9E"/>
    <w:rsid w:val="001A7A44"/>
    <w:rsid w:val="001B02B6"/>
    <w:rsid w:val="001B3195"/>
    <w:rsid w:val="001B3E00"/>
    <w:rsid w:val="001B41EB"/>
    <w:rsid w:val="001B4500"/>
    <w:rsid w:val="001B4C98"/>
    <w:rsid w:val="001B5190"/>
    <w:rsid w:val="001B5E68"/>
    <w:rsid w:val="001B7967"/>
    <w:rsid w:val="001C08F6"/>
    <w:rsid w:val="001C1AE9"/>
    <w:rsid w:val="001C1BCB"/>
    <w:rsid w:val="001C288B"/>
    <w:rsid w:val="001C2974"/>
    <w:rsid w:val="001C3C1C"/>
    <w:rsid w:val="001C437C"/>
    <w:rsid w:val="001C46F8"/>
    <w:rsid w:val="001C4A34"/>
    <w:rsid w:val="001C614F"/>
    <w:rsid w:val="001C7B1F"/>
    <w:rsid w:val="001D0EB8"/>
    <w:rsid w:val="001D1453"/>
    <w:rsid w:val="001D366C"/>
    <w:rsid w:val="001D5C06"/>
    <w:rsid w:val="001D680E"/>
    <w:rsid w:val="001D7188"/>
    <w:rsid w:val="001D77AF"/>
    <w:rsid w:val="001E1447"/>
    <w:rsid w:val="001E215A"/>
    <w:rsid w:val="001E2264"/>
    <w:rsid w:val="001E3BAF"/>
    <w:rsid w:val="001E3DA0"/>
    <w:rsid w:val="001E3F40"/>
    <w:rsid w:val="001E49E9"/>
    <w:rsid w:val="001E4C58"/>
    <w:rsid w:val="001E5979"/>
    <w:rsid w:val="001E5D1F"/>
    <w:rsid w:val="001E7404"/>
    <w:rsid w:val="001E779B"/>
    <w:rsid w:val="001F0E6B"/>
    <w:rsid w:val="001F4306"/>
    <w:rsid w:val="001F4338"/>
    <w:rsid w:val="001F46CF"/>
    <w:rsid w:val="001F4AC5"/>
    <w:rsid w:val="001F4C4D"/>
    <w:rsid w:val="001F6C8E"/>
    <w:rsid w:val="001F743A"/>
    <w:rsid w:val="001F7458"/>
    <w:rsid w:val="001F77AF"/>
    <w:rsid w:val="002006E6"/>
    <w:rsid w:val="00200833"/>
    <w:rsid w:val="00203265"/>
    <w:rsid w:val="0020444A"/>
    <w:rsid w:val="00205C49"/>
    <w:rsid w:val="00205F2C"/>
    <w:rsid w:val="00206231"/>
    <w:rsid w:val="002064A5"/>
    <w:rsid w:val="00206AEC"/>
    <w:rsid w:val="00207065"/>
    <w:rsid w:val="00210CA6"/>
    <w:rsid w:val="002134F6"/>
    <w:rsid w:val="00213936"/>
    <w:rsid w:val="00213E37"/>
    <w:rsid w:val="00215516"/>
    <w:rsid w:val="00215683"/>
    <w:rsid w:val="00215B1F"/>
    <w:rsid w:val="00216227"/>
    <w:rsid w:val="002164DF"/>
    <w:rsid w:val="00216630"/>
    <w:rsid w:val="002179B1"/>
    <w:rsid w:val="002203B2"/>
    <w:rsid w:val="00220F05"/>
    <w:rsid w:val="00221745"/>
    <w:rsid w:val="002227F7"/>
    <w:rsid w:val="00223A8F"/>
    <w:rsid w:val="00223B6A"/>
    <w:rsid w:val="002240CB"/>
    <w:rsid w:val="00224500"/>
    <w:rsid w:val="00225020"/>
    <w:rsid w:val="002250AA"/>
    <w:rsid w:val="002276F1"/>
    <w:rsid w:val="00227781"/>
    <w:rsid w:val="002318FC"/>
    <w:rsid w:val="00231945"/>
    <w:rsid w:val="002323A8"/>
    <w:rsid w:val="00232757"/>
    <w:rsid w:val="00232FE4"/>
    <w:rsid w:val="00233D17"/>
    <w:rsid w:val="00234B92"/>
    <w:rsid w:val="00234D48"/>
    <w:rsid w:val="00235A2C"/>
    <w:rsid w:val="00235D71"/>
    <w:rsid w:val="00236156"/>
    <w:rsid w:val="0024244D"/>
    <w:rsid w:val="00242C77"/>
    <w:rsid w:val="00242E2E"/>
    <w:rsid w:val="00245204"/>
    <w:rsid w:val="0024615A"/>
    <w:rsid w:val="00246367"/>
    <w:rsid w:val="00246E87"/>
    <w:rsid w:val="002504A7"/>
    <w:rsid w:val="00250890"/>
    <w:rsid w:val="002514FA"/>
    <w:rsid w:val="002529ED"/>
    <w:rsid w:val="00252A2F"/>
    <w:rsid w:val="00252CAB"/>
    <w:rsid w:val="00253256"/>
    <w:rsid w:val="0025356E"/>
    <w:rsid w:val="002545CB"/>
    <w:rsid w:val="002555BB"/>
    <w:rsid w:val="00257E42"/>
    <w:rsid w:val="002649AE"/>
    <w:rsid w:val="00265138"/>
    <w:rsid w:val="002651EE"/>
    <w:rsid w:val="00265B59"/>
    <w:rsid w:val="002676B0"/>
    <w:rsid w:val="00267C6D"/>
    <w:rsid w:val="00271A24"/>
    <w:rsid w:val="00272FB6"/>
    <w:rsid w:val="00273013"/>
    <w:rsid w:val="002747C7"/>
    <w:rsid w:val="00275AB5"/>
    <w:rsid w:val="00275FA1"/>
    <w:rsid w:val="002804AF"/>
    <w:rsid w:val="00280E94"/>
    <w:rsid w:val="00281ADF"/>
    <w:rsid w:val="002821A5"/>
    <w:rsid w:val="00282B57"/>
    <w:rsid w:val="00282D26"/>
    <w:rsid w:val="00285BAA"/>
    <w:rsid w:val="0028664E"/>
    <w:rsid w:val="00286BA8"/>
    <w:rsid w:val="00290A36"/>
    <w:rsid w:val="00290F49"/>
    <w:rsid w:val="00292438"/>
    <w:rsid w:val="0029484F"/>
    <w:rsid w:val="00294F4F"/>
    <w:rsid w:val="00295C17"/>
    <w:rsid w:val="00295F18"/>
    <w:rsid w:val="002962CC"/>
    <w:rsid w:val="0029636C"/>
    <w:rsid w:val="00297340"/>
    <w:rsid w:val="002A0ED3"/>
    <w:rsid w:val="002A0F8B"/>
    <w:rsid w:val="002A335B"/>
    <w:rsid w:val="002A49D3"/>
    <w:rsid w:val="002A4B7A"/>
    <w:rsid w:val="002A5175"/>
    <w:rsid w:val="002A5536"/>
    <w:rsid w:val="002A65A1"/>
    <w:rsid w:val="002B0990"/>
    <w:rsid w:val="002B120E"/>
    <w:rsid w:val="002B4E80"/>
    <w:rsid w:val="002B56EE"/>
    <w:rsid w:val="002B5F4B"/>
    <w:rsid w:val="002B735B"/>
    <w:rsid w:val="002B7389"/>
    <w:rsid w:val="002B76BF"/>
    <w:rsid w:val="002C0F27"/>
    <w:rsid w:val="002C1767"/>
    <w:rsid w:val="002C1795"/>
    <w:rsid w:val="002C2433"/>
    <w:rsid w:val="002C57D0"/>
    <w:rsid w:val="002C6B3F"/>
    <w:rsid w:val="002D0DB8"/>
    <w:rsid w:val="002D4448"/>
    <w:rsid w:val="002D4464"/>
    <w:rsid w:val="002D4678"/>
    <w:rsid w:val="002D581A"/>
    <w:rsid w:val="002D58FD"/>
    <w:rsid w:val="002D6F2D"/>
    <w:rsid w:val="002D7534"/>
    <w:rsid w:val="002D7BE5"/>
    <w:rsid w:val="002E0504"/>
    <w:rsid w:val="002E0AEF"/>
    <w:rsid w:val="002E18EA"/>
    <w:rsid w:val="002E1B78"/>
    <w:rsid w:val="002E2131"/>
    <w:rsid w:val="002E234A"/>
    <w:rsid w:val="002E2457"/>
    <w:rsid w:val="002E2CCF"/>
    <w:rsid w:val="002E4DB4"/>
    <w:rsid w:val="002E6761"/>
    <w:rsid w:val="002E74DB"/>
    <w:rsid w:val="002F0748"/>
    <w:rsid w:val="002F1D22"/>
    <w:rsid w:val="002F2C8D"/>
    <w:rsid w:val="002F3AD2"/>
    <w:rsid w:val="002F40BE"/>
    <w:rsid w:val="002F464E"/>
    <w:rsid w:val="002F6284"/>
    <w:rsid w:val="002F7836"/>
    <w:rsid w:val="00300E56"/>
    <w:rsid w:val="003028C8"/>
    <w:rsid w:val="00303B13"/>
    <w:rsid w:val="003048FF"/>
    <w:rsid w:val="003055C1"/>
    <w:rsid w:val="00306179"/>
    <w:rsid w:val="00306DBD"/>
    <w:rsid w:val="00307299"/>
    <w:rsid w:val="00307674"/>
    <w:rsid w:val="003126CE"/>
    <w:rsid w:val="00312A53"/>
    <w:rsid w:val="003152A2"/>
    <w:rsid w:val="00316AF2"/>
    <w:rsid w:val="00317D0D"/>
    <w:rsid w:val="00320B69"/>
    <w:rsid w:val="00320E5D"/>
    <w:rsid w:val="00321B0F"/>
    <w:rsid w:val="0032245D"/>
    <w:rsid w:val="00322E6F"/>
    <w:rsid w:val="003250E1"/>
    <w:rsid w:val="00325718"/>
    <w:rsid w:val="0032607D"/>
    <w:rsid w:val="003273B5"/>
    <w:rsid w:val="00327E89"/>
    <w:rsid w:val="00330060"/>
    <w:rsid w:val="0033117A"/>
    <w:rsid w:val="00332032"/>
    <w:rsid w:val="00332520"/>
    <w:rsid w:val="003337FA"/>
    <w:rsid w:val="0033520D"/>
    <w:rsid w:val="00335E01"/>
    <w:rsid w:val="0033619F"/>
    <w:rsid w:val="00336FAC"/>
    <w:rsid w:val="0033710F"/>
    <w:rsid w:val="00337AA3"/>
    <w:rsid w:val="00340276"/>
    <w:rsid w:val="003406F8"/>
    <w:rsid w:val="003414D2"/>
    <w:rsid w:val="0034195B"/>
    <w:rsid w:val="003419E1"/>
    <w:rsid w:val="003442CD"/>
    <w:rsid w:val="00345E04"/>
    <w:rsid w:val="00345E0A"/>
    <w:rsid w:val="003474D0"/>
    <w:rsid w:val="00350637"/>
    <w:rsid w:val="003507AB"/>
    <w:rsid w:val="003510B4"/>
    <w:rsid w:val="00351CBE"/>
    <w:rsid w:val="00355A98"/>
    <w:rsid w:val="00356620"/>
    <w:rsid w:val="003568E7"/>
    <w:rsid w:val="003603EF"/>
    <w:rsid w:val="00360FBE"/>
    <w:rsid w:val="00361274"/>
    <w:rsid w:val="003636E0"/>
    <w:rsid w:val="00364A86"/>
    <w:rsid w:val="0036799E"/>
    <w:rsid w:val="003714F7"/>
    <w:rsid w:val="003724A7"/>
    <w:rsid w:val="00372D5E"/>
    <w:rsid w:val="003736D4"/>
    <w:rsid w:val="0037468F"/>
    <w:rsid w:val="00374711"/>
    <w:rsid w:val="003777ED"/>
    <w:rsid w:val="003807FB"/>
    <w:rsid w:val="00383E4B"/>
    <w:rsid w:val="00386168"/>
    <w:rsid w:val="0039028D"/>
    <w:rsid w:val="00390AB6"/>
    <w:rsid w:val="00392B22"/>
    <w:rsid w:val="00393D24"/>
    <w:rsid w:val="00393EBF"/>
    <w:rsid w:val="0039594D"/>
    <w:rsid w:val="00396784"/>
    <w:rsid w:val="00396D07"/>
    <w:rsid w:val="00397B25"/>
    <w:rsid w:val="003A0D86"/>
    <w:rsid w:val="003A1D23"/>
    <w:rsid w:val="003A2045"/>
    <w:rsid w:val="003A25C3"/>
    <w:rsid w:val="003A2B42"/>
    <w:rsid w:val="003A3A43"/>
    <w:rsid w:val="003A4010"/>
    <w:rsid w:val="003A4832"/>
    <w:rsid w:val="003A4A75"/>
    <w:rsid w:val="003A5B4C"/>
    <w:rsid w:val="003A695A"/>
    <w:rsid w:val="003A709D"/>
    <w:rsid w:val="003A770E"/>
    <w:rsid w:val="003A7A7B"/>
    <w:rsid w:val="003A7E4C"/>
    <w:rsid w:val="003B10F9"/>
    <w:rsid w:val="003B1301"/>
    <w:rsid w:val="003B2E04"/>
    <w:rsid w:val="003B2F48"/>
    <w:rsid w:val="003B304D"/>
    <w:rsid w:val="003B31E6"/>
    <w:rsid w:val="003B365F"/>
    <w:rsid w:val="003B3E17"/>
    <w:rsid w:val="003B547F"/>
    <w:rsid w:val="003B5F08"/>
    <w:rsid w:val="003B6E53"/>
    <w:rsid w:val="003B74F8"/>
    <w:rsid w:val="003B7A7B"/>
    <w:rsid w:val="003C0589"/>
    <w:rsid w:val="003C1DCE"/>
    <w:rsid w:val="003C204A"/>
    <w:rsid w:val="003C2F39"/>
    <w:rsid w:val="003C402A"/>
    <w:rsid w:val="003C42D8"/>
    <w:rsid w:val="003C51B3"/>
    <w:rsid w:val="003C5515"/>
    <w:rsid w:val="003C5DC3"/>
    <w:rsid w:val="003C6609"/>
    <w:rsid w:val="003C69F2"/>
    <w:rsid w:val="003C6E29"/>
    <w:rsid w:val="003D1B29"/>
    <w:rsid w:val="003D1F46"/>
    <w:rsid w:val="003D40F4"/>
    <w:rsid w:val="003D5696"/>
    <w:rsid w:val="003D6D52"/>
    <w:rsid w:val="003D71ED"/>
    <w:rsid w:val="003D72D0"/>
    <w:rsid w:val="003E05A9"/>
    <w:rsid w:val="003E06E0"/>
    <w:rsid w:val="003E0864"/>
    <w:rsid w:val="003E3E50"/>
    <w:rsid w:val="003E4E2C"/>
    <w:rsid w:val="003E5D3D"/>
    <w:rsid w:val="003E72F6"/>
    <w:rsid w:val="003E7502"/>
    <w:rsid w:val="003E798A"/>
    <w:rsid w:val="003E7A5F"/>
    <w:rsid w:val="003F02A6"/>
    <w:rsid w:val="003F05C0"/>
    <w:rsid w:val="003F0CB5"/>
    <w:rsid w:val="003F366C"/>
    <w:rsid w:val="003F3B18"/>
    <w:rsid w:val="003F4866"/>
    <w:rsid w:val="003F5610"/>
    <w:rsid w:val="003F5B24"/>
    <w:rsid w:val="003F6E7B"/>
    <w:rsid w:val="003F73A8"/>
    <w:rsid w:val="003F7A15"/>
    <w:rsid w:val="003F7F00"/>
    <w:rsid w:val="00401DE7"/>
    <w:rsid w:val="00402866"/>
    <w:rsid w:val="0040298A"/>
    <w:rsid w:val="00402ABF"/>
    <w:rsid w:val="0040520C"/>
    <w:rsid w:val="004067DC"/>
    <w:rsid w:val="00406FB9"/>
    <w:rsid w:val="00407D7D"/>
    <w:rsid w:val="00410400"/>
    <w:rsid w:val="00412CE3"/>
    <w:rsid w:val="004138B1"/>
    <w:rsid w:val="004163C3"/>
    <w:rsid w:val="004172AE"/>
    <w:rsid w:val="004205D8"/>
    <w:rsid w:val="004209E1"/>
    <w:rsid w:val="0042298B"/>
    <w:rsid w:val="00422CF2"/>
    <w:rsid w:val="00426D4F"/>
    <w:rsid w:val="00431176"/>
    <w:rsid w:val="004313B3"/>
    <w:rsid w:val="00432104"/>
    <w:rsid w:val="00432325"/>
    <w:rsid w:val="0043487A"/>
    <w:rsid w:val="00435463"/>
    <w:rsid w:val="004355FD"/>
    <w:rsid w:val="00435BDD"/>
    <w:rsid w:val="00436531"/>
    <w:rsid w:val="0044006E"/>
    <w:rsid w:val="004400CA"/>
    <w:rsid w:val="004423D6"/>
    <w:rsid w:val="0044295E"/>
    <w:rsid w:val="00443D2F"/>
    <w:rsid w:val="00443DE1"/>
    <w:rsid w:val="004443DB"/>
    <w:rsid w:val="0044468C"/>
    <w:rsid w:val="00445F34"/>
    <w:rsid w:val="00445F59"/>
    <w:rsid w:val="004503C3"/>
    <w:rsid w:val="00453E4D"/>
    <w:rsid w:val="004544B0"/>
    <w:rsid w:val="0045558E"/>
    <w:rsid w:val="004556DF"/>
    <w:rsid w:val="00455EF3"/>
    <w:rsid w:val="00456F83"/>
    <w:rsid w:val="00461C50"/>
    <w:rsid w:val="004634ED"/>
    <w:rsid w:val="0046351B"/>
    <w:rsid w:val="00463AD4"/>
    <w:rsid w:val="0046484C"/>
    <w:rsid w:val="00465B1A"/>
    <w:rsid w:val="00465DB1"/>
    <w:rsid w:val="004666D5"/>
    <w:rsid w:val="00466950"/>
    <w:rsid w:val="00470903"/>
    <w:rsid w:val="00470E25"/>
    <w:rsid w:val="00471135"/>
    <w:rsid w:val="00471C64"/>
    <w:rsid w:val="00472282"/>
    <w:rsid w:val="00474608"/>
    <w:rsid w:val="00475B4E"/>
    <w:rsid w:val="0047613D"/>
    <w:rsid w:val="004763FB"/>
    <w:rsid w:val="00480789"/>
    <w:rsid w:val="004810DD"/>
    <w:rsid w:val="0048184D"/>
    <w:rsid w:val="004819E8"/>
    <w:rsid w:val="00483A39"/>
    <w:rsid w:val="00483A49"/>
    <w:rsid w:val="00484133"/>
    <w:rsid w:val="00484DA8"/>
    <w:rsid w:val="00485403"/>
    <w:rsid w:val="00487EA9"/>
    <w:rsid w:val="0049030A"/>
    <w:rsid w:val="00490EEF"/>
    <w:rsid w:val="0049115B"/>
    <w:rsid w:val="00491660"/>
    <w:rsid w:val="0049167C"/>
    <w:rsid w:val="00491684"/>
    <w:rsid w:val="00491C67"/>
    <w:rsid w:val="0049274C"/>
    <w:rsid w:val="00493589"/>
    <w:rsid w:val="00493766"/>
    <w:rsid w:val="00493C13"/>
    <w:rsid w:val="00494E89"/>
    <w:rsid w:val="00495109"/>
    <w:rsid w:val="004977B2"/>
    <w:rsid w:val="004A0D60"/>
    <w:rsid w:val="004A196F"/>
    <w:rsid w:val="004A1EB4"/>
    <w:rsid w:val="004A2BC9"/>
    <w:rsid w:val="004A30B8"/>
    <w:rsid w:val="004A4AF4"/>
    <w:rsid w:val="004A4F62"/>
    <w:rsid w:val="004A4FF2"/>
    <w:rsid w:val="004A5860"/>
    <w:rsid w:val="004B0637"/>
    <w:rsid w:val="004B2143"/>
    <w:rsid w:val="004B2E8D"/>
    <w:rsid w:val="004B3370"/>
    <w:rsid w:val="004B4A33"/>
    <w:rsid w:val="004B71CF"/>
    <w:rsid w:val="004B725D"/>
    <w:rsid w:val="004B72C5"/>
    <w:rsid w:val="004B791C"/>
    <w:rsid w:val="004B7DF1"/>
    <w:rsid w:val="004B7F92"/>
    <w:rsid w:val="004C07D5"/>
    <w:rsid w:val="004C0AAA"/>
    <w:rsid w:val="004C1D7D"/>
    <w:rsid w:val="004C2695"/>
    <w:rsid w:val="004C44FB"/>
    <w:rsid w:val="004C48CF"/>
    <w:rsid w:val="004C492F"/>
    <w:rsid w:val="004C4EEB"/>
    <w:rsid w:val="004C524A"/>
    <w:rsid w:val="004C63CF"/>
    <w:rsid w:val="004C6DE0"/>
    <w:rsid w:val="004D0471"/>
    <w:rsid w:val="004D2235"/>
    <w:rsid w:val="004D296B"/>
    <w:rsid w:val="004D43C9"/>
    <w:rsid w:val="004D4F70"/>
    <w:rsid w:val="004D510C"/>
    <w:rsid w:val="004D58BB"/>
    <w:rsid w:val="004D6FF4"/>
    <w:rsid w:val="004D733B"/>
    <w:rsid w:val="004D76D9"/>
    <w:rsid w:val="004D79D8"/>
    <w:rsid w:val="004E0CDC"/>
    <w:rsid w:val="004E0E49"/>
    <w:rsid w:val="004E22AA"/>
    <w:rsid w:val="004E2EC1"/>
    <w:rsid w:val="004E3EC8"/>
    <w:rsid w:val="004E421E"/>
    <w:rsid w:val="004E4459"/>
    <w:rsid w:val="004E50E9"/>
    <w:rsid w:val="004E5513"/>
    <w:rsid w:val="004E5D34"/>
    <w:rsid w:val="004E5E50"/>
    <w:rsid w:val="004E633C"/>
    <w:rsid w:val="004E684F"/>
    <w:rsid w:val="004E7884"/>
    <w:rsid w:val="004E7E32"/>
    <w:rsid w:val="004F162F"/>
    <w:rsid w:val="004F1C5D"/>
    <w:rsid w:val="004F2D73"/>
    <w:rsid w:val="004F6AFE"/>
    <w:rsid w:val="004F7351"/>
    <w:rsid w:val="005000E5"/>
    <w:rsid w:val="00500775"/>
    <w:rsid w:val="00501436"/>
    <w:rsid w:val="005029FB"/>
    <w:rsid w:val="00502F0F"/>
    <w:rsid w:val="00503A04"/>
    <w:rsid w:val="00503F63"/>
    <w:rsid w:val="005044F0"/>
    <w:rsid w:val="005065CE"/>
    <w:rsid w:val="005075A7"/>
    <w:rsid w:val="005075DB"/>
    <w:rsid w:val="00510202"/>
    <w:rsid w:val="00510735"/>
    <w:rsid w:val="00513631"/>
    <w:rsid w:val="00515308"/>
    <w:rsid w:val="00515C18"/>
    <w:rsid w:val="0051696E"/>
    <w:rsid w:val="00516A4F"/>
    <w:rsid w:val="00521967"/>
    <w:rsid w:val="005242D7"/>
    <w:rsid w:val="005249B4"/>
    <w:rsid w:val="005252A2"/>
    <w:rsid w:val="00526452"/>
    <w:rsid w:val="00530530"/>
    <w:rsid w:val="0053345D"/>
    <w:rsid w:val="005334D1"/>
    <w:rsid w:val="0053526A"/>
    <w:rsid w:val="00535917"/>
    <w:rsid w:val="00536398"/>
    <w:rsid w:val="005406A2"/>
    <w:rsid w:val="005411B5"/>
    <w:rsid w:val="00542ACF"/>
    <w:rsid w:val="00542F1C"/>
    <w:rsid w:val="005433AD"/>
    <w:rsid w:val="005435E8"/>
    <w:rsid w:val="00544053"/>
    <w:rsid w:val="005448D5"/>
    <w:rsid w:val="0054685C"/>
    <w:rsid w:val="00547A08"/>
    <w:rsid w:val="00551023"/>
    <w:rsid w:val="00552CF2"/>
    <w:rsid w:val="00552D6F"/>
    <w:rsid w:val="00554306"/>
    <w:rsid w:val="00554B3F"/>
    <w:rsid w:val="00554BED"/>
    <w:rsid w:val="005550A2"/>
    <w:rsid w:val="0055536A"/>
    <w:rsid w:val="00555F26"/>
    <w:rsid w:val="005560EA"/>
    <w:rsid w:val="00556455"/>
    <w:rsid w:val="005574FA"/>
    <w:rsid w:val="00561F44"/>
    <w:rsid w:val="005621F7"/>
    <w:rsid w:val="0056266F"/>
    <w:rsid w:val="0056367D"/>
    <w:rsid w:val="00564247"/>
    <w:rsid w:val="00564487"/>
    <w:rsid w:val="0056580A"/>
    <w:rsid w:val="00570CC4"/>
    <w:rsid w:val="00572ED2"/>
    <w:rsid w:val="005768BA"/>
    <w:rsid w:val="00577804"/>
    <w:rsid w:val="00577F04"/>
    <w:rsid w:val="00580202"/>
    <w:rsid w:val="00582B24"/>
    <w:rsid w:val="00583116"/>
    <w:rsid w:val="00584092"/>
    <w:rsid w:val="0058486E"/>
    <w:rsid w:val="00584A9D"/>
    <w:rsid w:val="005855E2"/>
    <w:rsid w:val="00586293"/>
    <w:rsid w:val="00586572"/>
    <w:rsid w:val="005871C8"/>
    <w:rsid w:val="00587780"/>
    <w:rsid w:val="00590174"/>
    <w:rsid w:val="005911DC"/>
    <w:rsid w:val="00592613"/>
    <w:rsid w:val="00592C23"/>
    <w:rsid w:val="0059394D"/>
    <w:rsid w:val="0059400B"/>
    <w:rsid w:val="00594612"/>
    <w:rsid w:val="005951F0"/>
    <w:rsid w:val="00596090"/>
    <w:rsid w:val="00596731"/>
    <w:rsid w:val="005979E2"/>
    <w:rsid w:val="005A0887"/>
    <w:rsid w:val="005A1154"/>
    <w:rsid w:val="005A1937"/>
    <w:rsid w:val="005A2113"/>
    <w:rsid w:val="005A3AF6"/>
    <w:rsid w:val="005A54B9"/>
    <w:rsid w:val="005A5B9B"/>
    <w:rsid w:val="005A5F93"/>
    <w:rsid w:val="005A62E7"/>
    <w:rsid w:val="005A7221"/>
    <w:rsid w:val="005B09BE"/>
    <w:rsid w:val="005B1471"/>
    <w:rsid w:val="005B1604"/>
    <w:rsid w:val="005B19A5"/>
    <w:rsid w:val="005B2A7D"/>
    <w:rsid w:val="005B4DC7"/>
    <w:rsid w:val="005B52BC"/>
    <w:rsid w:val="005B631F"/>
    <w:rsid w:val="005C3196"/>
    <w:rsid w:val="005C40FC"/>
    <w:rsid w:val="005C42B3"/>
    <w:rsid w:val="005C4C28"/>
    <w:rsid w:val="005C5644"/>
    <w:rsid w:val="005C61D3"/>
    <w:rsid w:val="005C6B0B"/>
    <w:rsid w:val="005C6C9E"/>
    <w:rsid w:val="005D0778"/>
    <w:rsid w:val="005D4040"/>
    <w:rsid w:val="005D4973"/>
    <w:rsid w:val="005D540C"/>
    <w:rsid w:val="005D6D13"/>
    <w:rsid w:val="005D7B23"/>
    <w:rsid w:val="005D7B76"/>
    <w:rsid w:val="005D7D6D"/>
    <w:rsid w:val="005E0322"/>
    <w:rsid w:val="005E0CEE"/>
    <w:rsid w:val="005E28AC"/>
    <w:rsid w:val="005E2989"/>
    <w:rsid w:val="005E4265"/>
    <w:rsid w:val="005E4CA5"/>
    <w:rsid w:val="005E6CFE"/>
    <w:rsid w:val="005F008F"/>
    <w:rsid w:val="005F0991"/>
    <w:rsid w:val="005F0F99"/>
    <w:rsid w:val="005F16CE"/>
    <w:rsid w:val="005F27E2"/>
    <w:rsid w:val="005F2B25"/>
    <w:rsid w:val="005F3007"/>
    <w:rsid w:val="005F3269"/>
    <w:rsid w:val="005F366A"/>
    <w:rsid w:val="005F3968"/>
    <w:rsid w:val="005F4D0E"/>
    <w:rsid w:val="005F5A19"/>
    <w:rsid w:val="005F7FA1"/>
    <w:rsid w:val="006002AD"/>
    <w:rsid w:val="00600340"/>
    <w:rsid w:val="006011F6"/>
    <w:rsid w:val="00601ACA"/>
    <w:rsid w:val="006022D6"/>
    <w:rsid w:val="00603FDC"/>
    <w:rsid w:val="0060482A"/>
    <w:rsid w:val="00604AEF"/>
    <w:rsid w:val="00604FD2"/>
    <w:rsid w:val="006057B0"/>
    <w:rsid w:val="0060621C"/>
    <w:rsid w:val="006101A0"/>
    <w:rsid w:val="006101AB"/>
    <w:rsid w:val="00610AFF"/>
    <w:rsid w:val="006112DB"/>
    <w:rsid w:val="00611C5C"/>
    <w:rsid w:val="00614F7C"/>
    <w:rsid w:val="00615123"/>
    <w:rsid w:val="00615A79"/>
    <w:rsid w:val="00616916"/>
    <w:rsid w:val="00620B8C"/>
    <w:rsid w:val="006219CA"/>
    <w:rsid w:val="00622B65"/>
    <w:rsid w:val="00623E55"/>
    <w:rsid w:val="0062412C"/>
    <w:rsid w:val="00624307"/>
    <w:rsid w:val="00624C7B"/>
    <w:rsid w:val="00625CD5"/>
    <w:rsid w:val="00626180"/>
    <w:rsid w:val="006264E0"/>
    <w:rsid w:val="0062676F"/>
    <w:rsid w:val="00626A9A"/>
    <w:rsid w:val="00630593"/>
    <w:rsid w:val="0063109F"/>
    <w:rsid w:val="006312D7"/>
    <w:rsid w:val="00631A10"/>
    <w:rsid w:val="00631C90"/>
    <w:rsid w:val="00632DC8"/>
    <w:rsid w:val="00634FF9"/>
    <w:rsid w:val="006355F9"/>
    <w:rsid w:val="00635B90"/>
    <w:rsid w:val="00637CE4"/>
    <w:rsid w:val="006402CA"/>
    <w:rsid w:val="00641019"/>
    <w:rsid w:val="00641A3D"/>
    <w:rsid w:val="006428AB"/>
    <w:rsid w:val="00642E4A"/>
    <w:rsid w:val="00643711"/>
    <w:rsid w:val="00643722"/>
    <w:rsid w:val="0064400F"/>
    <w:rsid w:val="00645FF8"/>
    <w:rsid w:val="0064726D"/>
    <w:rsid w:val="0065084C"/>
    <w:rsid w:val="00650892"/>
    <w:rsid w:val="00650D3E"/>
    <w:rsid w:val="00652823"/>
    <w:rsid w:val="0065342B"/>
    <w:rsid w:val="006541FD"/>
    <w:rsid w:val="00654897"/>
    <w:rsid w:val="00654D79"/>
    <w:rsid w:val="006561CE"/>
    <w:rsid w:val="006566C1"/>
    <w:rsid w:val="00656CFC"/>
    <w:rsid w:val="00657480"/>
    <w:rsid w:val="00657FF9"/>
    <w:rsid w:val="00660E68"/>
    <w:rsid w:val="0066145E"/>
    <w:rsid w:val="006616A1"/>
    <w:rsid w:val="006638AB"/>
    <w:rsid w:val="00664A41"/>
    <w:rsid w:val="00665F40"/>
    <w:rsid w:val="006662D2"/>
    <w:rsid w:val="006713FD"/>
    <w:rsid w:val="00672488"/>
    <w:rsid w:val="00672BBD"/>
    <w:rsid w:val="00673553"/>
    <w:rsid w:val="00674559"/>
    <w:rsid w:val="006757C0"/>
    <w:rsid w:val="0067580A"/>
    <w:rsid w:val="006758C5"/>
    <w:rsid w:val="00676764"/>
    <w:rsid w:val="00676801"/>
    <w:rsid w:val="00680EF0"/>
    <w:rsid w:val="0068334F"/>
    <w:rsid w:val="00685E65"/>
    <w:rsid w:val="00690FB1"/>
    <w:rsid w:val="0069143E"/>
    <w:rsid w:val="00692055"/>
    <w:rsid w:val="00692141"/>
    <w:rsid w:val="00692947"/>
    <w:rsid w:val="00693266"/>
    <w:rsid w:val="00695034"/>
    <w:rsid w:val="00695D40"/>
    <w:rsid w:val="00696C40"/>
    <w:rsid w:val="00696F7F"/>
    <w:rsid w:val="00697431"/>
    <w:rsid w:val="0069761C"/>
    <w:rsid w:val="006A0150"/>
    <w:rsid w:val="006A0FF7"/>
    <w:rsid w:val="006A1281"/>
    <w:rsid w:val="006A2463"/>
    <w:rsid w:val="006A2C95"/>
    <w:rsid w:val="006A336A"/>
    <w:rsid w:val="006A3C2D"/>
    <w:rsid w:val="006A4A52"/>
    <w:rsid w:val="006A4ADA"/>
    <w:rsid w:val="006A5B80"/>
    <w:rsid w:val="006B06CD"/>
    <w:rsid w:val="006B07AD"/>
    <w:rsid w:val="006B0B3C"/>
    <w:rsid w:val="006B0C8C"/>
    <w:rsid w:val="006B10C7"/>
    <w:rsid w:val="006B30D9"/>
    <w:rsid w:val="006B31AC"/>
    <w:rsid w:val="006B3356"/>
    <w:rsid w:val="006B3A19"/>
    <w:rsid w:val="006B4914"/>
    <w:rsid w:val="006B4F4B"/>
    <w:rsid w:val="006B5D80"/>
    <w:rsid w:val="006B7259"/>
    <w:rsid w:val="006C034F"/>
    <w:rsid w:val="006C03E7"/>
    <w:rsid w:val="006C5A26"/>
    <w:rsid w:val="006C5C18"/>
    <w:rsid w:val="006C6007"/>
    <w:rsid w:val="006C65CA"/>
    <w:rsid w:val="006C6748"/>
    <w:rsid w:val="006C6A2C"/>
    <w:rsid w:val="006D1B00"/>
    <w:rsid w:val="006D2678"/>
    <w:rsid w:val="006D2FBE"/>
    <w:rsid w:val="006D323B"/>
    <w:rsid w:val="006D33D5"/>
    <w:rsid w:val="006E0A3D"/>
    <w:rsid w:val="006E1047"/>
    <w:rsid w:val="006E122C"/>
    <w:rsid w:val="006E2382"/>
    <w:rsid w:val="006E2984"/>
    <w:rsid w:val="006E5BA7"/>
    <w:rsid w:val="006E6F61"/>
    <w:rsid w:val="006E7F42"/>
    <w:rsid w:val="006F1103"/>
    <w:rsid w:val="006F1331"/>
    <w:rsid w:val="006F15BD"/>
    <w:rsid w:val="006F1DA3"/>
    <w:rsid w:val="006F2C7E"/>
    <w:rsid w:val="006F2DCF"/>
    <w:rsid w:val="006F35CA"/>
    <w:rsid w:val="006F66D0"/>
    <w:rsid w:val="006F7270"/>
    <w:rsid w:val="006F760C"/>
    <w:rsid w:val="00700B51"/>
    <w:rsid w:val="00701BFA"/>
    <w:rsid w:val="00702276"/>
    <w:rsid w:val="0070256A"/>
    <w:rsid w:val="00702A6C"/>
    <w:rsid w:val="00703136"/>
    <w:rsid w:val="0070354D"/>
    <w:rsid w:val="00704583"/>
    <w:rsid w:val="00704BE4"/>
    <w:rsid w:val="00705233"/>
    <w:rsid w:val="00705963"/>
    <w:rsid w:val="00705DF1"/>
    <w:rsid w:val="0070634F"/>
    <w:rsid w:val="007064BD"/>
    <w:rsid w:val="007074F1"/>
    <w:rsid w:val="0071159A"/>
    <w:rsid w:val="007115BA"/>
    <w:rsid w:val="007120FA"/>
    <w:rsid w:val="0071251B"/>
    <w:rsid w:val="007125A5"/>
    <w:rsid w:val="00713B3F"/>
    <w:rsid w:val="00713FBA"/>
    <w:rsid w:val="007142E9"/>
    <w:rsid w:val="0071615D"/>
    <w:rsid w:val="00716312"/>
    <w:rsid w:val="007164EE"/>
    <w:rsid w:val="00716676"/>
    <w:rsid w:val="00716F0F"/>
    <w:rsid w:val="00717238"/>
    <w:rsid w:val="007204DC"/>
    <w:rsid w:val="0072173C"/>
    <w:rsid w:val="0072190F"/>
    <w:rsid w:val="00721A1E"/>
    <w:rsid w:val="00722314"/>
    <w:rsid w:val="007242D4"/>
    <w:rsid w:val="007244D2"/>
    <w:rsid w:val="00725792"/>
    <w:rsid w:val="00726F8D"/>
    <w:rsid w:val="00734870"/>
    <w:rsid w:val="00734FEE"/>
    <w:rsid w:val="00735937"/>
    <w:rsid w:val="00735FDB"/>
    <w:rsid w:val="00736425"/>
    <w:rsid w:val="00736602"/>
    <w:rsid w:val="007373ED"/>
    <w:rsid w:val="00737BE6"/>
    <w:rsid w:val="00742639"/>
    <w:rsid w:val="00742FC8"/>
    <w:rsid w:val="00743893"/>
    <w:rsid w:val="007439BA"/>
    <w:rsid w:val="00743FE7"/>
    <w:rsid w:val="00744937"/>
    <w:rsid w:val="00746E84"/>
    <w:rsid w:val="00747338"/>
    <w:rsid w:val="007477D1"/>
    <w:rsid w:val="00747AB9"/>
    <w:rsid w:val="00754716"/>
    <w:rsid w:val="00754DE0"/>
    <w:rsid w:val="00761ED0"/>
    <w:rsid w:val="007626B4"/>
    <w:rsid w:val="007638EA"/>
    <w:rsid w:val="0076560D"/>
    <w:rsid w:val="0076571C"/>
    <w:rsid w:val="00765AFB"/>
    <w:rsid w:val="00770204"/>
    <w:rsid w:val="00770979"/>
    <w:rsid w:val="007724B6"/>
    <w:rsid w:val="007738C7"/>
    <w:rsid w:val="0077410E"/>
    <w:rsid w:val="007746CE"/>
    <w:rsid w:val="00775087"/>
    <w:rsid w:val="007758D9"/>
    <w:rsid w:val="00781AB2"/>
    <w:rsid w:val="0078204F"/>
    <w:rsid w:val="00782D5A"/>
    <w:rsid w:val="00782E54"/>
    <w:rsid w:val="00783EDE"/>
    <w:rsid w:val="00785401"/>
    <w:rsid w:val="007860D9"/>
    <w:rsid w:val="0079044C"/>
    <w:rsid w:val="00790F86"/>
    <w:rsid w:val="00791181"/>
    <w:rsid w:val="00791873"/>
    <w:rsid w:val="00791D3C"/>
    <w:rsid w:val="00792608"/>
    <w:rsid w:val="0079286B"/>
    <w:rsid w:val="00792887"/>
    <w:rsid w:val="00792F2A"/>
    <w:rsid w:val="0079345E"/>
    <w:rsid w:val="00795B2E"/>
    <w:rsid w:val="00795E1A"/>
    <w:rsid w:val="00796014"/>
    <w:rsid w:val="00796A75"/>
    <w:rsid w:val="007A036A"/>
    <w:rsid w:val="007A13DB"/>
    <w:rsid w:val="007A1728"/>
    <w:rsid w:val="007A2281"/>
    <w:rsid w:val="007A2872"/>
    <w:rsid w:val="007A3AE2"/>
    <w:rsid w:val="007A3C89"/>
    <w:rsid w:val="007A3D6D"/>
    <w:rsid w:val="007A3F64"/>
    <w:rsid w:val="007A5108"/>
    <w:rsid w:val="007A56A4"/>
    <w:rsid w:val="007A5FCA"/>
    <w:rsid w:val="007A61DB"/>
    <w:rsid w:val="007A7145"/>
    <w:rsid w:val="007A719B"/>
    <w:rsid w:val="007A7AF4"/>
    <w:rsid w:val="007B24A4"/>
    <w:rsid w:val="007B28D8"/>
    <w:rsid w:val="007B3503"/>
    <w:rsid w:val="007B3943"/>
    <w:rsid w:val="007B42EF"/>
    <w:rsid w:val="007B47AE"/>
    <w:rsid w:val="007B50FD"/>
    <w:rsid w:val="007B584F"/>
    <w:rsid w:val="007B64B4"/>
    <w:rsid w:val="007B6C99"/>
    <w:rsid w:val="007B7101"/>
    <w:rsid w:val="007C071E"/>
    <w:rsid w:val="007C289C"/>
    <w:rsid w:val="007C3194"/>
    <w:rsid w:val="007C31DA"/>
    <w:rsid w:val="007C3F97"/>
    <w:rsid w:val="007C65D8"/>
    <w:rsid w:val="007C7791"/>
    <w:rsid w:val="007D01FD"/>
    <w:rsid w:val="007D2BC0"/>
    <w:rsid w:val="007D36C9"/>
    <w:rsid w:val="007D3DBE"/>
    <w:rsid w:val="007D590D"/>
    <w:rsid w:val="007E1336"/>
    <w:rsid w:val="007E2307"/>
    <w:rsid w:val="007E2734"/>
    <w:rsid w:val="007E2927"/>
    <w:rsid w:val="007E2E37"/>
    <w:rsid w:val="007E435E"/>
    <w:rsid w:val="007E61A7"/>
    <w:rsid w:val="007E6FBC"/>
    <w:rsid w:val="007E7EF7"/>
    <w:rsid w:val="007F0099"/>
    <w:rsid w:val="007F1A3C"/>
    <w:rsid w:val="007F21F2"/>
    <w:rsid w:val="007F2AC1"/>
    <w:rsid w:val="007F3311"/>
    <w:rsid w:val="007F35C9"/>
    <w:rsid w:val="007F36BF"/>
    <w:rsid w:val="007F3816"/>
    <w:rsid w:val="007F3C4A"/>
    <w:rsid w:val="007F3E69"/>
    <w:rsid w:val="007F4903"/>
    <w:rsid w:val="007F4B49"/>
    <w:rsid w:val="007F6188"/>
    <w:rsid w:val="007F618C"/>
    <w:rsid w:val="007F766A"/>
    <w:rsid w:val="0080039D"/>
    <w:rsid w:val="00801638"/>
    <w:rsid w:val="0080200B"/>
    <w:rsid w:val="00803C90"/>
    <w:rsid w:val="00803CA5"/>
    <w:rsid w:val="00805B0F"/>
    <w:rsid w:val="0080686E"/>
    <w:rsid w:val="00806BA2"/>
    <w:rsid w:val="008107BC"/>
    <w:rsid w:val="0081256A"/>
    <w:rsid w:val="00812BB5"/>
    <w:rsid w:val="00814053"/>
    <w:rsid w:val="008143E5"/>
    <w:rsid w:val="00814408"/>
    <w:rsid w:val="00815C42"/>
    <w:rsid w:val="0081666A"/>
    <w:rsid w:val="0081688F"/>
    <w:rsid w:val="00816DB1"/>
    <w:rsid w:val="00817A4E"/>
    <w:rsid w:val="008207C0"/>
    <w:rsid w:val="008209AA"/>
    <w:rsid w:val="00821365"/>
    <w:rsid w:val="008228FC"/>
    <w:rsid w:val="00823292"/>
    <w:rsid w:val="00824642"/>
    <w:rsid w:val="00824BD6"/>
    <w:rsid w:val="00825BB7"/>
    <w:rsid w:val="00826146"/>
    <w:rsid w:val="00826B64"/>
    <w:rsid w:val="00826D01"/>
    <w:rsid w:val="00827133"/>
    <w:rsid w:val="00827620"/>
    <w:rsid w:val="00827DEB"/>
    <w:rsid w:val="00827F27"/>
    <w:rsid w:val="00830455"/>
    <w:rsid w:val="00831F19"/>
    <w:rsid w:val="0083288A"/>
    <w:rsid w:val="00833616"/>
    <w:rsid w:val="00833D0C"/>
    <w:rsid w:val="00837A98"/>
    <w:rsid w:val="0084245E"/>
    <w:rsid w:val="00842AD4"/>
    <w:rsid w:val="008437C2"/>
    <w:rsid w:val="008439E1"/>
    <w:rsid w:val="00843D3A"/>
    <w:rsid w:val="00845736"/>
    <w:rsid w:val="00847022"/>
    <w:rsid w:val="008524D1"/>
    <w:rsid w:val="00852C3A"/>
    <w:rsid w:val="0085363C"/>
    <w:rsid w:val="0085421F"/>
    <w:rsid w:val="0085786F"/>
    <w:rsid w:val="0085790D"/>
    <w:rsid w:val="00857A59"/>
    <w:rsid w:val="008601C2"/>
    <w:rsid w:val="008619DF"/>
    <w:rsid w:val="008623BD"/>
    <w:rsid w:val="008629E0"/>
    <w:rsid w:val="00862EA5"/>
    <w:rsid w:val="00862FE5"/>
    <w:rsid w:val="00863563"/>
    <w:rsid w:val="0086390F"/>
    <w:rsid w:val="00864BBC"/>
    <w:rsid w:val="00865414"/>
    <w:rsid w:val="00866AB4"/>
    <w:rsid w:val="00870281"/>
    <w:rsid w:val="0087125C"/>
    <w:rsid w:val="008720E7"/>
    <w:rsid w:val="00873681"/>
    <w:rsid w:val="00873CCD"/>
    <w:rsid w:val="0087490D"/>
    <w:rsid w:val="008769CE"/>
    <w:rsid w:val="00877651"/>
    <w:rsid w:val="00877BED"/>
    <w:rsid w:val="00877DA3"/>
    <w:rsid w:val="00877F40"/>
    <w:rsid w:val="00880209"/>
    <w:rsid w:val="008849D1"/>
    <w:rsid w:val="008870B4"/>
    <w:rsid w:val="0088764C"/>
    <w:rsid w:val="00887E94"/>
    <w:rsid w:val="008918F7"/>
    <w:rsid w:val="00891C12"/>
    <w:rsid w:val="00895053"/>
    <w:rsid w:val="00895BB1"/>
    <w:rsid w:val="008961E9"/>
    <w:rsid w:val="00896C8A"/>
    <w:rsid w:val="00897D9C"/>
    <w:rsid w:val="008A0537"/>
    <w:rsid w:val="008A0764"/>
    <w:rsid w:val="008A104D"/>
    <w:rsid w:val="008A178E"/>
    <w:rsid w:val="008A3A72"/>
    <w:rsid w:val="008A50DF"/>
    <w:rsid w:val="008A5EFF"/>
    <w:rsid w:val="008A7E4A"/>
    <w:rsid w:val="008B0234"/>
    <w:rsid w:val="008B184E"/>
    <w:rsid w:val="008B185C"/>
    <w:rsid w:val="008B19DA"/>
    <w:rsid w:val="008B3285"/>
    <w:rsid w:val="008B4094"/>
    <w:rsid w:val="008B41A6"/>
    <w:rsid w:val="008B43B5"/>
    <w:rsid w:val="008B5A33"/>
    <w:rsid w:val="008B6E46"/>
    <w:rsid w:val="008C0801"/>
    <w:rsid w:val="008C0A4E"/>
    <w:rsid w:val="008C12B3"/>
    <w:rsid w:val="008C26CC"/>
    <w:rsid w:val="008C2C6B"/>
    <w:rsid w:val="008C4553"/>
    <w:rsid w:val="008D059A"/>
    <w:rsid w:val="008D07A8"/>
    <w:rsid w:val="008D1008"/>
    <w:rsid w:val="008D1CAA"/>
    <w:rsid w:val="008D2658"/>
    <w:rsid w:val="008D2701"/>
    <w:rsid w:val="008D3247"/>
    <w:rsid w:val="008D4368"/>
    <w:rsid w:val="008D696C"/>
    <w:rsid w:val="008D78CC"/>
    <w:rsid w:val="008E0F1A"/>
    <w:rsid w:val="008E313E"/>
    <w:rsid w:val="008E4937"/>
    <w:rsid w:val="008E576E"/>
    <w:rsid w:val="008E60EF"/>
    <w:rsid w:val="008E6C5D"/>
    <w:rsid w:val="008E6C76"/>
    <w:rsid w:val="008E73C1"/>
    <w:rsid w:val="008E7DBC"/>
    <w:rsid w:val="008F2140"/>
    <w:rsid w:val="008F2610"/>
    <w:rsid w:val="008F2C83"/>
    <w:rsid w:val="008F35E8"/>
    <w:rsid w:val="008F5711"/>
    <w:rsid w:val="008F5D39"/>
    <w:rsid w:val="008F75AE"/>
    <w:rsid w:val="008F7D91"/>
    <w:rsid w:val="008F7F5D"/>
    <w:rsid w:val="00900D27"/>
    <w:rsid w:val="00902B8D"/>
    <w:rsid w:val="00902C87"/>
    <w:rsid w:val="009031CA"/>
    <w:rsid w:val="00903C78"/>
    <w:rsid w:val="00904834"/>
    <w:rsid w:val="00905329"/>
    <w:rsid w:val="009054D1"/>
    <w:rsid w:val="0090586F"/>
    <w:rsid w:val="00905E7A"/>
    <w:rsid w:val="00907742"/>
    <w:rsid w:val="00912694"/>
    <w:rsid w:val="00912D9A"/>
    <w:rsid w:val="00912FC3"/>
    <w:rsid w:val="00913014"/>
    <w:rsid w:val="00913A90"/>
    <w:rsid w:val="00914AF1"/>
    <w:rsid w:val="00916466"/>
    <w:rsid w:val="00916D93"/>
    <w:rsid w:val="00917C10"/>
    <w:rsid w:val="00922399"/>
    <w:rsid w:val="00922ABF"/>
    <w:rsid w:val="009245BE"/>
    <w:rsid w:val="00925698"/>
    <w:rsid w:val="00925C73"/>
    <w:rsid w:val="009261D1"/>
    <w:rsid w:val="00926B90"/>
    <w:rsid w:val="00926E8B"/>
    <w:rsid w:val="009270DF"/>
    <w:rsid w:val="00927F64"/>
    <w:rsid w:val="009325EE"/>
    <w:rsid w:val="009327FC"/>
    <w:rsid w:val="0093379C"/>
    <w:rsid w:val="00934627"/>
    <w:rsid w:val="009353F5"/>
    <w:rsid w:val="00936140"/>
    <w:rsid w:val="009409EF"/>
    <w:rsid w:val="00940B7E"/>
    <w:rsid w:val="0094202B"/>
    <w:rsid w:val="00942A7E"/>
    <w:rsid w:val="00942E54"/>
    <w:rsid w:val="009450BA"/>
    <w:rsid w:val="00946381"/>
    <w:rsid w:val="009507C6"/>
    <w:rsid w:val="00950895"/>
    <w:rsid w:val="0095258B"/>
    <w:rsid w:val="00952B93"/>
    <w:rsid w:val="00955887"/>
    <w:rsid w:val="00956262"/>
    <w:rsid w:val="0095645E"/>
    <w:rsid w:val="00957E30"/>
    <w:rsid w:val="009606DC"/>
    <w:rsid w:val="0096097E"/>
    <w:rsid w:val="0096145F"/>
    <w:rsid w:val="0096386D"/>
    <w:rsid w:val="00964A8D"/>
    <w:rsid w:val="00964E50"/>
    <w:rsid w:val="00965137"/>
    <w:rsid w:val="00965C58"/>
    <w:rsid w:val="00970277"/>
    <w:rsid w:val="00970446"/>
    <w:rsid w:val="009711CF"/>
    <w:rsid w:val="009721BF"/>
    <w:rsid w:val="0097235E"/>
    <w:rsid w:val="009727E1"/>
    <w:rsid w:val="00974382"/>
    <w:rsid w:val="00976AE7"/>
    <w:rsid w:val="00982F09"/>
    <w:rsid w:val="00983FE2"/>
    <w:rsid w:val="009850CE"/>
    <w:rsid w:val="00985A4C"/>
    <w:rsid w:val="00985EF3"/>
    <w:rsid w:val="009865F9"/>
    <w:rsid w:val="009878E0"/>
    <w:rsid w:val="0099207B"/>
    <w:rsid w:val="00992813"/>
    <w:rsid w:val="00993C3F"/>
    <w:rsid w:val="00994D72"/>
    <w:rsid w:val="009957C2"/>
    <w:rsid w:val="00995B8B"/>
    <w:rsid w:val="00997B29"/>
    <w:rsid w:val="009A0675"/>
    <w:rsid w:val="009A204F"/>
    <w:rsid w:val="009A2335"/>
    <w:rsid w:val="009A308E"/>
    <w:rsid w:val="009A3B25"/>
    <w:rsid w:val="009A4929"/>
    <w:rsid w:val="009A4D61"/>
    <w:rsid w:val="009A55F8"/>
    <w:rsid w:val="009A6E9A"/>
    <w:rsid w:val="009A73DE"/>
    <w:rsid w:val="009B0B38"/>
    <w:rsid w:val="009B0F14"/>
    <w:rsid w:val="009B0F6E"/>
    <w:rsid w:val="009B14EE"/>
    <w:rsid w:val="009B1540"/>
    <w:rsid w:val="009B1B8C"/>
    <w:rsid w:val="009B1C47"/>
    <w:rsid w:val="009B3116"/>
    <w:rsid w:val="009B54F3"/>
    <w:rsid w:val="009B5AE6"/>
    <w:rsid w:val="009B76DF"/>
    <w:rsid w:val="009B7A01"/>
    <w:rsid w:val="009C07C8"/>
    <w:rsid w:val="009C1820"/>
    <w:rsid w:val="009C1C13"/>
    <w:rsid w:val="009C1DF8"/>
    <w:rsid w:val="009C29A5"/>
    <w:rsid w:val="009C41B8"/>
    <w:rsid w:val="009C4C6D"/>
    <w:rsid w:val="009C50E4"/>
    <w:rsid w:val="009C51EC"/>
    <w:rsid w:val="009C55E3"/>
    <w:rsid w:val="009C63E6"/>
    <w:rsid w:val="009C64D9"/>
    <w:rsid w:val="009C6914"/>
    <w:rsid w:val="009C7564"/>
    <w:rsid w:val="009C7D14"/>
    <w:rsid w:val="009D00AA"/>
    <w:rsid w:val="009D0193"/>
    <w:rsid w:val="009D1B8C"/>
    <w:rsid w:val="009D2948"/>
    <w:rsid w:val="009D3613"/>
    <w:rsid w:val="009D4135"/>
    <w:rsid w:val="009D4398"/>
    <w:rsid w:val="009D4477"/>
    <w:rsid w:val="009D584F"/>
    <w:rsid w:val="009D6F94"/>
    <w:rsid w:val="009D799C"/>
    <w:rsid w:val="009E0BD3"/>
    <w:rsid w:val="009E1AE3"/>
    <w:rsid w:val="009E233F"/>
    <w:rsid w:val="009E2D16"/>
    <w:rsid w:val="009E3666"/>
    <w:rsid w:val="009E430C"/>
    <w:rsid w:val="009E4400"/>
    <w:rsid w:val="009E6A5E"/>
    <w:rsid w:val="009E7795"/>
    <w:rsid w:val="009E7831"/>
    <w:rsid w:val="009F0F14"/>
    <w:rsid w:val="009F1B81"/>
    <w:rsid w:val="009F2548"/>
    <w:rsid w:val="009F2C6E"/>
    <w:rsid w:val="009F40E4"/>
    <w:rsid w:val="009F52EC"/>
    <w:rsid w:val="009F5A50"/>
    <w:rsid w:val="009F6AEF"/>
    <w:rsid w:val="009F6C92"/>
    <w:rsid w:val="009F7F26"/>
    <w:rsid w:val="00A006A9"/>
    <w:rsid w:val="00A01B70"/>
    <w:rsid w:val="00A027E0"/>
    <w:rsid w:val="00A0283E"/>
    <w:rsid w:val="00A02EC9"/>
    <w:rsid w:val="00A06B2B"/>
    <w:rsid w:val="00A07AFD"/>
    <w:rsid w:val="00A07B7B"/>
    <w:rsid w:val="00A07DC6"/>
    <w:rsid w:val="00A103F5"/>
    <w:rsid w:val="00A11031"/>
    <w:rsid w:val="00A11A12"/>
    <w:rsid w:val="00A1265F"/>
    <w:rsid w:val="00A127AB"/>
    <w:rsid w:val="00A12C08"/>
    <w:rsid w:val="00A147B2"/>
    <w:rsid w:val="00A1521B"/>
    <w:rsid w:val="00A201EC"/>
    <w:rsid w:val="00A20E5A"/>
    <w:rsid w:val="00A22DB6"/>
    <w:rsid w:val="00A2345C"/>
    <w:rsid w:val="00A23A49"/>
    <w:rsid w:val="00A24CCB"/>
    <w:rsid w:val="00A25FFB"/>
    <w:rsid w:val="00A27ECD"/>
    <w:rsid w:val="00A30553"/>
    <w:rsid w:val="00A30A46"/>
    <w:rsid w:val="00A312F2"/>
    <w:rsid w:val="00A313BD"/>
    <w:rsid w:val="00A33551"/>
    <w:rsid w:val="00A34EE9"/>
    <w:rsid w:val="00A36AD2"/>
    <w:rsid w:val="00A375D8"/>
    <w:rsid w:val="00A42265"/>
    <w:rsid w:val="00A44A54"/>
    <w:rsid w:val="00A45FF0"/>
    <w:rsid w:val="00A46855"/>
    <w:rsid w:val="00A508C4"/>
    <w:rsid w:val="00A51018"/>
    <w:rsid w:val="00A51131"/>
    <w:rsid w:val="00A52A7D"/>
    <w:rsid w:val="00A53045"/>
    <w:rsid w:val="00A5313A"/>
    <w:rsid w:val="00A5390D"/>
    <w:rsid w:val="00A53F57"/>
    <w:rsid w:val="00A5498A"/>
    <w:rsid w:val="00A55C83"/>
    <w:rsid w:val="00A55F66"/>
    <w:rsid w:val="00A56E26"/>
    <w:rsid w:val="00A5747F"/>
    <w:rsid w:val="00A57AAD"/>
    <w:rsid w:val="00A60A2B"/>
    <w:rsid w:val="00A60FDE"/>
    <w:rsid w:val="00A63600"/>
    <w:rsid w:val="00A64852"/>
    <w:rsid w:val="00A659B8"/>
    <w:rsid w:val="00A65AC9"/>
    <w:rsid w:val="00A668E5"/>
    <w:rsid w:val="00A66A44"/>
    <w:rsid w:val="00A672D8"/>
    <w:rsid w:val="00A703F9"/>
    <w:rsid w:val="00A70975"/>
    <w:rsid w:val="00A70A39"/>
    <w:rsid w:val="00A714A0"/>
    <w:rsid w:val="00A71E3A"/>
    <w:rsid w:val="00A71F39"/>
    <w:rsid w:val="00A7271D"/>
    <w:rsid w:val="00A730A3"/>
    <w:rsid w:val="00A73172"/>
    <w:rsid w:val="00A743AB"/>
    <w:rsid w:val="00A74A49"/>
    <w:rsid w:val="00A75576"/>
    <w:rsid w:val="00A75FA5"/>
    <w:rsid w:val="00A75FD0"/>
    <w:rsid w:val="00A8048C"/>
    <w:rsid w:val="00A80FB0"/>
    <w:rsid w:val="00A818AA"/>
    <w:rsid w:val="00A818C5"/>
    <w:rsid w:val="00A81BF5"/>
    <w:rsid w:val="00A81C5C"/>
    <w:rsid w:val="00A81ED4"/>
    <w:rsid w:val="00A8340F"/>
    <w:rsid w:val="00A8452B"/>
    <w:rsid w:val="00A85CF8"/>
    <w:rsid w:val="00A86D5C"/>
    <w:rsid w:val="00A86FCA"/>
    <w:rsid w:val="00A87AB5"/>
    <w:rsid w:val="00A87C48"/>
    <w:rsid w:val="00A90D82"/>
    <w:rsid w:val="00A91864"/>
    <w:rsid w:val="00A91B93"/>
    <w:rsid w:val="00A92B1F"/>
    <w:rsid w:val="00A93872"/>
    <w:rsid w:val="00A93F30"/>
    <w:rsid w:val="00A95868"/>
    <w:rsid w:val="00A95B34"/>
    <w:rsid w:val="00A96518"/>
    <w:rsid w:val="00A96F2F"/>
    <w:rsid w:val="00A979D6"/>
    <w:rsid w:val="00AA090C"/>
    <w:rsid w:val="00AA0D38"/>
    <w:rsid w:val="00AA35A7"/>
    <w:rsid w:val="00AA3F24"/>
    <w:rsid w:val="00AA4666"/>
    <w:rsid w:val="00AA4EAB"/>
    <w:rsid w:val="00AA5158"/>
    <w:rsid w:val="00AA6E71"/>
    <w:rsid w:val="00AB1A99"/>
    <w:rsid w:val="00AB2653"/>
    <w:rsid w:val="00AB2695"/>
    <w:rsid w:val="00AB2E1F"/>
    <w:rsid w:val="00AB5EE2"/>
    <w:rsid w:val="00AB6372"/>
    <w:rsid w:val="00AB6E14"/>
    <w:rsid w:val="00AB6E75"/>
    <w:rsid w:val="00AC01B7"/>
    <w:rsid w:val="00AC0C78"/>
    <w:rsid w:val="00AC0CB6"/>
    <w:rsid w:val="00AC1A3B"/>
    <w:rsid w:val="00AC21F8"/>
    <w:rsid w:val="00AC30F3"/>
    <w:rsid w:val="00AC3B0D"/>
    <w:rsid w:val="00AC499A"/>
    <w:rsid w:val="00AC4BF1"/>
    <w:rsid w:val="00AC5A20"/>
    <w:rsid w:val="00AD00F8"/>
    <w:rsid w:val="00AD03B3"/>
    <w:rsid w:val="00AD0BB2"/>
    <w:rsid w:val="00AD0BF7"/>
    <w:rsid w:val="00AD29DD"/>
    <w:rsid w:val="00AD4906"/>
    <w:rsid w:val="00AD500F"/>
    <w:rsid w:val="00AD5DEE"/>
    <w:rsid w:val="00AD7657"/>
    <w:rsid w:val="00AD7E69"/>
    <w:rsid w:val="00AD7FEB"/>
    <w:rsid w:val="00AE0C22"/>
    <w:rsid w:val="00AE2F42"/>
    <w:rsid w:val="00AE401C"/>
    <w:rsid w:val="00AE555A"/>
    <w:rsid w:val="00AE5998"/>
    <w:rsid w:val="00AE60B6"/>
    <w:rsid w:val="00AE75DC"/>
    <w:rsid w:val="00AE7955"/>
    <w:rsid w:val="00AE7CDB"/>
    <w:rsid w:val="00AF06C9"/>
    <w:rsid w:val="00AF2A3D"/>
    <w:rsid w:val="00AF2FE2"/>
    <w:rsid w:val="00AF4852"/>
    <w:rsid w:val="00AF5E17"/>
    <w:rsid w:val="00AF63F5"/>
    <w:rsid w:val="00AF64B0"/>
    <w:rsid w:val="00AF74FA"/>
    <w:rsid w:val="00B00CCB"/>
    <w:rsid w:val="00B02E4F"/>
    <w:rsid w:val="00B036FC"/>
    <w:rsid w:val="00B037C5"/>
    <w:rsid w:val="00B045AB"/>
    <w:rsid w:val="00B04A74"/>
    <w:rsid w:val="00B05226"/>
    <w:rsid w:val="00B0677E"/>
    <w:rsid w:val="00B074DB"/>
    <w:rsid w:val="00B13BB2"/>
    <w:rsid w:val="00B16BEA"/>
    <w:rsid w:val="00B20D30"/>
    <w:rsid w:val="00B21048"/>
    <w:rsid w:val="00B221C2"/>
    <w:rsid w:val="00B22D27"/>
    <w:rsid w:val="00B243E1"/>
    <w:rsid w:val="00B2448E"/>
    <w:rsid w:val="00B2455D"/>
    <w:rsid w:val="00B24B33"/>
    <w:rsid w:val="00B24F19"/>
    <w:rsid w:val="00B270AD"/>
    <w:rsid w:val="00B27524"/>
    <w:rsid w:val="00B32435"/>
    <w:rsid w:val="00B325B8"/>
    <w:rsid w:val="00B34215"/>
    <w:rsid w:val="00B35D8E"/>
    <w:rsid w:val="00B37C8B"/>
    <w:rsid w:val="00B40143"/>
    <w:rsid w:val="00B401E2"/>
    <w:rsid w:val="00B42826"/>
    <w:rsid w:val="00B42EFF"/>
    <w:rsid w:val="00B43B36"/>
    <w:rsid w:val="00B44837"/>
    <w:rsid w:val="00B44C60"/>
    <w:rsid w:val="00B4545E"/>
    <w:rsid w:val="00B475FA"/>
    <w:rsid w:val="00B513D7"/>
    <w:rsid w:val="00B51EF3"/>
    <w:rsid w:val="00B52350"/>
    <w:rsid w:val="00B53F79"/>
    <w:rsid w:val="00B544E6"/>
    <w:rsid w:val="00B559BB"/>
    <w:rsid w:val="00B5634C"/>
    <w:rsid w:val="00B56E5F"/>
    <w:rsid w:val="00B60B32"/>
    <w:rsid w:val="00B611D3"/>
    <w:rsid w:val="00B61B81"/>
    <w:rsid w:val="00B626DC"/>
    <w:rsid w:val="00B62E93"/>
    <w:rsid w:val="00B648C3"/>
    <w:rsid w:val="00B65020"/>
    <w:rsid w:val="00B654D5"/>
    <w:rsid w:val="00B65B98"/>
    <w:rsid w:val="00B668C8"/>
    <w:rsid w:val="00B66C0E"/>
    <w:rsid w:val="00B672CF"/>
    <w:rsid w:val="00B67EF1"/>
    <w:rsid w:val="00B71BF8"/>
    <w:rsid w:val="00B7239C"/>
    <w:rsid w:val="00B72594"/>
    <w:rsid w:val="00B72D26"/>
    <w:rsid w:val="00B74A39"/>
    <w:rsid w:val="00B7543A"/>
    <w:rsid w:val="00B75C6A"/>
    <w:rsid w:val="00B75FDB"/>
    <w:rsid w:val="00B76DA1"/>
    <w:rsid w:val="00B801A1"/>
    <w:rsid w:val="00B80F47"/>
    <w:rsid w:val="00B8235D"/>
    <w:rsid w:val="00B8528A"/>
    <w:rsid w:val="00B853D2"/>
    <w:rsid w:val="00B870CC"/>
    <w:rsid w:val="00B870DF"/>
    <w:rsid w:val="00B87270"/>
    <w:rsid w:val="00B8759A"/>
    <w:rsid w:val="00B92B66"/>
    <w:rsid w:val="00B92FED"/>
    <w:rsid w:val="00B931AE"/>
    <w:rsid w:val="00B9343A"/>
    <w:rsid w:val="00B95045"/>
    <w:rsid w:val="00B95BC9"/>
    <w:rsid w:val="00B9633B"/>
    <w:rsid w:val="00BA149D"/>
    <w:rsid w:val="00BA1D02"/>
    <w:rsid w:val="00BA2D1B"/>
    <w:rsid w:val="00BA4E7E"/>
    <w:rsid w:val="00BA5ACB"/>
    <w:rsid w:val="00BA7F79"/>
    <w:rsid w:val="00BB08A5"/>
    <w:rsid w:val="00BB0FC3"/>
    <w:rsid w:val="00BB1B97"/>
    <w:rsid w:val="00BB2D22"/>
    <w:rsid w:val="00BB2EBC"/>
    <w:rsid w:val="00BB5157"/>
    <w:rsid w:val="00BB57E9"/>
    <w:rsid w:val="00BB5B2E"/>
    <w:rsid w:val="00BB63A6"/>
    <w:rsid w:val="00BB7E27"/>
    <w:rsid w:val="00BC0864"/>
    <w:rsid w:val="00BC1148"/>
    <w:rsid w:val="00BC1C04"/>
    <w:rsid w:val="00BC394C"/>
    <w:rsid w:val="00BC4A52"/>
    <w:rsid w:val="00BC5CBF"/>
    <w:rsid w:val="00BC5EC0"/>
    <w:rsid w:val="00BC7DEF"/>
    <w:rsid w:val="00BD01A4"/>
    <w:rsid w:val="00BD0216"/>
    <w:rsid w:val="00BD2218"/>
    <w:rsid w:val="00BD26BC"/>
    <w:rsid w:val="00BD29A2"/>
    <w:rsid w:val="00BD4213"/>
    <w:rsid w:val="00BD6B4E"/>
    <w:rsid w:val="00BD6DF3"/>
    <w:rsid w:val="00BD7149"/>
    <w:rsid w:val="00BD742E"/>
    <w:rsid w:val="00BE144D"/>
    <w:rsid w:val="00BE1D5D"/>
    <w:rsid w:val="00BE2930"/>
    <w:rsid w:val="00BE2F84"/>
    <w:rsid w:val="00BE45B3"/>
    <w:rsid w:val="00BE46D7"/>
    <w:rsid w:val="00BE4AD6"/>
    <w:rsid w:val="00BE6299"/>
    <w:rsid w:val="00BF0F32"/>
    <w:rsid w:val="00BF1355"/>
    <w:rsid w:val="00BF1F85"/>
    <w:rsid w:val="00BF2D83"/>
    <w:rsid w:val="00BF3650"/>
    <w:rsid w:val="00BF379C"/>
    <w:rsid w:val="00BF3B6A"/>
    <w:rsid w:val="00BF4313"/>
    <w:rsid w:val="00BF48F9"/>
    <w:rsid w:val="00BF505E"/>
    <w:rsid w:val="00BF64B3"/>
    <w:rsid w:val="00BF6C49"/>
    <w:rsid w:val="00C00DCB"/>
    <w:rsid w:val="00C02979"/>
    <w:rsid w:val="00C02CD9"/>
    <w:rsid w:val="00C03043"/>
    <w:rsid w:val="00C03149"/>
    <w:rsid w:val="00C03445"/>
    <w:rsid w:val="00C04B4D"/>
    <w:rsid w:val="00C10254"/>
    <w:rsid w:val="00C10F77"/>
    <w:rsid w:val="00C12216"/>
    <w:rsid w:val="00C12A07"/>
    <w:rsid w:val="00C138A3"/>
    <w:rsid w:val="00C14F36"/>
    <w:rsid w:val="00C14FDD"/>
    <w:rsid w:val="00C15043"/>
    <w:rsid w:val="00C175E4"/>
    <w:rsid w:val="00C213D7"/>
    <w:rsid w:val="00C2190D"/>
    <w:rsid w:val="00C21FD2"/>
    <w:rsid w:val="00C2417E"/>
    <w:rsid w:val="00C2432F"/>
    <w:rsid w:val="00C24783"/>
    <w:rsid w:val="00C24808"/>
    <w:rsid w:val="00C259D8"/>
    <w:rsid w:val="00C266E4"/>
    <w:rsid w:val="00C26B26"/>
    <w:rsid w:val="00C26D92"/>
    <w:rsid w:val="00C278D5"/>
    <w:rsid w:val="00C30AA1"/>
    <w:rsid w:val="00C30FEE"/>
    <w:rsid w:val="00C31AED"/>
    <w:rsid w:val="00C32261"/>
    <w:rsid w:val="00C3452E"/>
    <w:rsid w:val="00C34B6B"/>
    <w:rsid w:val="00C34C71"/>
    <w:rsid w:val="00C36377"/>
    <w:rsid w:val="00C40073"/>
    <w:rsid w:val="00C402CF"/>
    <w:rsid w:val="00C40BAC"/>
    <w:rsid w:val="00C413CC"/>
    <w:rsid w:val="00C414A0"/>
    <w:rsid w:val="00C42300"/>
    <w:rsid w:val="00C4350F"/>
    <w:rsid w:val="00C43906"/>
    <w:rsid w:val="00C44197"/>
    <w:rsid w:val="00C4529A"/>
    <w:rsid w:val="00C4626D"/>
    <w:rsid w:val="00C50A19"/>
    <w:rsid w:val="00C52438"/>
    <w:rsid w:val="00C52C87"/>
    <w:rsid w:val="00C52EDC"/>
    <w:rsid w:val="00C53C2E"/>
    <w:rsid w:val="00C541D5"/>
    <w:rsid w:val="00C55919"/>
    <w:rsid w:val="00C56561"/>
    <w:rsid w:val="00C56DCD"/>
    <w:rsid w:val="00C56E4D"/>
    <w:rsid w:val="00C57A09"/>
    <w:rsid w:val="00C602F0"/>
    <w:rsid w:val="00C60765"/>
    <w:rsid w:val="00C625ED"/>
    <w:rsid w:val="00C633C8"/>
    <w:rsid w:val="00C66037"/>
    <w:rsid w:val="00C6719A"/>
    <w:rsid w:val="00C6724A"/>
    <w:rsid w:val="00C7033C"/>
    <w:rsid w:val="00C7231D"/>
    <w:rsid w:val="00C72DD8"/>
    <w:rsid w:val="00C75496"/>
    <w:rsid w:val="00C7561C"/>
    <w:rsid w:val="00C77014"/>
    <w:rsid w:val="00C80806"/>
    <w:rsid w:val="00C80BC6"/>
    <w:rsid w:val="00C8272F"/>
    <w:rsid w:val="00C828E5"/>
    <w:rsid w:val="00C83D28"/>
    <w:rsid w:val="00C8422B"/>
    <w:rsid w:val="00C847F7"/>
    <w:rsid w:val="00C86181"/>
    <w:rsid w:val="00C86FDC"/>
    <w:rsid w:val="00C870F0"/>
    <w:rsid w:val="00C87A98"/>
    <w:rsid w:val="00C90758"/>
    <w:rsid w:val="00C9149D"/>
    <w:rsid w:val="00C918C7"/>
    <w:rsid w:val="00C93B5F"/>
    <w:rsid w:val="00C93C37"/>
    <w:rsid w:val="00C93E5C"/>
    <w:rsid w:val="00C94866"/>
    <w:rsid w:val="00C95C46"/>
    <w:rsid w:val="00C964FC"/>
    <w:rsid w:val="00C96F10"/>
    <w:rsid w:val="00C970A8"/>
    <w:rsid w:val="00CA0A56"/>
    <w:rsid w:val="00CA0E67"/>
    <w:rsid w:val="00CA137F"/>
    <w:rsid w:val="00CA2EC4"/>
    <w:rsid w:val="00CA3A58"/>
    <w:rsid w:val="00CA3AF5"/>
    <w:rsid w:val="00CA4B4A"/>
    <w:rsid w:val="00CA5B21"/>
    <w:rsid w:val="00CA5BAF"/>
    <w:rsid w:val="00CA5CB9"/>
    <w:rsid w:val="00CA7D9B"/>
    <w:rsid w:val="00CB1806"/>
    <w:rsid w:val="00CB312B"/>
    <w:rsid w:val="00CB40AB"/>
    <w:rsid w:val="00CB5F04"/>
    <w:rsid w:val="00CB6ECB"/>
    <w:rsid w:val="00CC0646"/>
    <w:rsid w:val="00CC0E04"/>
    <w:rsid w:val="00CC10C2"/>
    <w:rsid w:val="00CC1915"/>
    <w:rsid w:val="00CC1B15"/>
    <w:rsid w:val="00CC4FF6"/>
    <w:rsid w:val="00CD0133"/>
    <w:rsid w:val="00CD019D"/>
    <w:rsid w:val="00CD26D9"/>
    <w:rsid w:val="00CD2851"/>
    <w:rsid w:val="00CD4375"/>
    <w:rsid w:val="00CD4613"/>
    <w:rsid w:val="00CD463D"/>
    <w:rsid w:val="00CD4E1D"/>
    <w:rsid w:val="00CD59C5"/>
    <w:rsid w:val="00CD6439"/>
    <w:rsid w:val="00CD7449"/>
    <w:rsid w:val="00CD76D2"/>
    <w:rsid w:val="00CD7B82"/>
    <w:rsid w:val="00CD7EE8"/>
    <w:rsid w:val="00CE31CE"/>
    <w:rsid w:val="00CE3E9B"/>
    <w:rsid w:val="00CE4549"/>
    <w:rsid w:val="00CE5494"/>
    <w:rsid w:val="00CF0B4B"/>
    <w:rsid w:val="00CF20A3"/>
    <w:rsid w:val="00CF2208"/>
    <w:rsid w:val="00CF2FA5"/>
    <w:rsid w:val="00CF3AF6"/>
    <w:rsid w:val="00CF408B"/>
    <w:rsid w:val="00CF4166"/>
    <w:rsid w:val="00CF4FAB"/>
    <w:rsid w:val="00CF5CED"/>
    <w:rsid w:val="00CF636A"/>
    <w:rsid w:val="00CF669F"/>
    <w:rsid w:val="00CF694E"/>
    <w:rsid w:val="00CF7DB7"/>
    <w:rsid w:val="00D007BB"/>
    <w:rsid w:val="00D00D30"/>
    <w:rsid w:val="00D00FE6"/>
    <w:rsid w:val="00D0125B"/>
    <w:rsid w:val="00D02815"/>
    <w:rsid w:val="00D02C77"/>
    <w:rsid w:val="00D0414C"/>
    <w:rsid w:val="00D0458F"/>
    <w:rsid w:val="00D05B33"/>
    <w:rsid w:val="00D064A5"/>
    <w:rsid w:val="00D06591"/>
    <w:rsid w:val="00D06BDC"/>
    <w:rsid w:val="00D06CF5"/>
    <w:rsid w:val="00D1025A"/>
    <w:rsid w:val="00D1054F"/>
    <w:rsid w:val="00D11678"/>
    <w:rsid w:val="00D12435"/>
    <w:rsid w:val="00D13D6C"/>
    <w:rsid w:val="00D15039"/>
    <w:rsid w:val="00D157BE"/>
    <w:rsid w:val="00D15E3D"/>
    <w:rsid w:val="00D17870"/>
    <w:rsid w:val="00D205BD"/>
    <w:rsid w:val="00D20687"/>
    <w:rsid w:val="00D21421"/>
    <w:rsid w:val="00D24C4F"/>
    <w:rsid w:val="00D27669"/>
    <w:rsid w:val="00D279D7"/>
    <w:rsid w:val="00D27A01"/>
    <w:rsid w:val="00D304BD"/>
    <w:rsid w:val="00D319F5"/>
    <w:rsid w:val="00D32BC7"/>
    <w:rsid w:val="00D330BB"/>
    <w:rsid w:val="00D334A6"/>
    <w:rsid w:val="00D34BD3"/>
    <w:rsid w:val="00D37DAB"/>
    <w:rsid w:val="00D400DA"/>
    <w:rsid w:val="00D4158D"/>
    <w:rsid w:val="00D452E5"/>
    <w:rsid w:val="00D4647E"/>
    <w:rsid w:val="00D46B1D"/>
    <w:rsid w:val="00D47CFA"/>
    <w:rsid w:val="00D516D4"/>
    <w:rsid w:val="00D51DA9"/>
    <w:rsid w:val="00D52285"/>
    <w:rsid w:val="00D54578"/>
    <w:rsid w:val="00D55844"/>
    <w:rsid w:val="00D55930"/>
    <w:rsid w:val="00D56432"/>
    <w:rsid w:val="00D57002"/>
    <w:rsid w:val="00D574DC"/>
    <w:rsid w:val="00D61AFE"/>
    <w:rsid w:val="00D63A24"/>
    <w:rsid w:val="00D658FB"/>
    <w:rsid w:val="00D66624"/>
    <w:rsid w:val="00D70C9B"/>
    <w:rsid w:val="00D727FD"/>
    <w:rsid w:val="00D72EA6"/>
    <w:rsid w:val="00D7380D"/>
    <w:rsid w:val="00D752CF"/>
    <w:rsid w:val="00D7591C"/>
    <w:rsid w:val="00D76A79"/>
    <w:rsid w:val="00D77AC7"/>
    <w:rsid w:val="00D80A3E"/>
    <w:rsid w:val="00D80BF4"/>
    <w:rsid w:val="00D82433"/>
    <w:rsid w:val="00D82ECA"/>
    <w:rsid w:val="00D855E7"/>
    <w:rsid w:val="00D8591E"/>
    <w:rsid w:val="00D86454"/>
    <w:rsid w:val="00D8769B"/>
    <w:rsid w:val="00D90104"/>
    <w:rsid w:val="00D90754"/>
    <w:rsid w:val="00D912CA"/>
    <w:rsid w:val="00D92A39"/>
    <w:rsid w:val="00D9488F"/>
    <w:rsid w:val="00D95511"/>
    <w:rsid w:val="00D96D8F"/>
    <w:rsid w:val="00D97931"/>
    <w:rsid w:val="00DA02FE"/>
    <w:rsid w:val="00DA19DB"/>
    <w:rsid w:val="00DA1EDD"/>
    <w:rsid w:val="00DA291C"/>
    <w:rsid w:val="00DA30AF"/>
    <w:rsid w:val="00DA390A"/>
    <w:rsid w:val="00DA3E15"/>
    <w:rsid w:val="00DA5688"/>
    <w:rsid w:val="00DA5721"/>
    <w:rsid w:val="00DA67BB"/>
    <w:rsid w:val="00DA6BA3"/>
    <w:rsid w:val="00DA71C6"/>
    <w:rsid w:val="00DA7429"/>
    <w:rsid w:val="00DB130C"/>
    <w:rsid w:val="00DB3B10"/>
    <w:rsid w:val="00DB3F08"/>
    <w:rsid w:val="00DB4E73"/>
    <w:rsid w:val="00DB5696"/>
    <w:rsid w:val="00DB577F"/>
    <w:rsid w:val="00DB6160"/>
    <w:rsid w:val="00DB674E"/>
    <w:rsid w:val="00DB68F6"/>
    <w:rsid w:val="00DB72D4"/>
    <w:rsid w:val="00DC0E92"/>
    <w:rsid w:val="00DC14F9"/>
    <w:rsid w:val="00DC1BAD"/>
    <w:rsid w:val="00DC21C6"/>
    <w:rsid w:val="00DC36A9"/>
    <w:rsid w:val="00DC36F2"/>
    <w:rsid w:val="00DC47AA"/>
    <w:rsid w:val="00DC59DD"/>
    <w:rsid w:val="00DC5FB4"/>
    <w:rsid w:val="00DC7331"/>
    <w:rsid w:val="00DC7499"/>
    <w:rsid w:val="00DD0AA4"/>
    <w:rsid w:val="00DD18E8"/>
    <w:rsid w:val="00DD3E5D"/>
    <w:rsid w:val="00DD68F9"/>
    <w:rsid w:val="00DD79E0"/>
    <w:rsid w:val="00DE167E"/>
    <w:rsid w:val="00DE1AB5"/>
    <w:rsid w:val="00DE3907"/>
    <w:rsid w:val="00DE3A6A"/>
    <w:rsid w:val="00DE429A"/>
    <w:rsid w:val="00DE4468"/>
    <w:rsid w:val="00DE478E"/>
    <w:rsid w:val="00DE6594"/>
    <w:rsid w:val="00DE713B"/>
    <w:rsid w:val="00DE7C27"/>
    <w:rsid w:val="00DF0AE2"/>
    <w:rsid w:val="00DF1679"/>
    <w:rsid w:val="00DF3B14"/>
    <w:rsid w:val="00DF52A7"/>
    <w:rsid w:val="00DF5E8F"/>
    <w:rsid w:val="00DF6B5B"/>
    <w:rsid w:val="00DF6CF4"/>
    <w:rsid w:val="00E00A18"/>
    <w:rsid w:val="00E01F33"/>
    <w:rsid w:val="00E021EA"/>
    <w:rsid w:val="00E0461B"/>
    <w:rsid w:val="00E05EB4"/>
    <w:rsid w:val="00E06033"/>
    <w:rsid w:val="00E07A12"/>
    <w:rsid w:val="00E11355"/>
    <w:rsid w:val="00E141E7"/>
    <w:rsid w:val="00E14946"/>
    <w:rsid w:val="00E158DB"/>
    <w:rsid w:val="00E177AB"/>
    <w:rsid w:val="00E210F6"/>
    <w:rsid w:val="00E21956"/>
    <w:rsid w:val="00E2229E"/>
    <w:rsid w:val="00E22BD8"/>
    <w:rsid w:val="00E26A90"/>
    <w:rsid w:val="00E26BC8"/>
    <w:rsid w:val="00E313E8"/>
    <w:rsid w:val="00E31600"/>
    <w:rsid w:val="00E326E2"/>
    <w:rsid w:val="00E3708E"/>
    <w:rsid w:val="00E3795E"/>
    <w:rsid w:val="00E40224"/>
    <w:rsid w:val="00E40292"/>
    <w:rsid w:val="00E40667"/>
    <w:rsid w:val="00E40C46"/>
    <w:rsid w:val="00E41EC4"/>
    <w:rsid w:val="00E436B2"/>
    <w:rsid w:val="00E43F7D"/>
    <w:rsid w:val="00E4501D"/>
    <w:rsid w:val="00E46EAE"/>
    <w:rsid w:val="00E47916"/>
    <w:rsid w:val="00E5005D"/>
    <w:rsid w:val="00E522F4"/>
    <w:rsid w:val="00E533E8"/>
    <w:rsid w:val="00E53620"/>
    <w:rsid w:val="00E541E7"/>
    <w:rsid w:val="00E56225"/>
    <w:rsid w:val="00E56BCA"/>
    <w:rsid w:val="00E57A74"/>
    <w:rsid w:val="00E605C6"/>
    <w:rsid w:val="00E6063E"/>
    <w:rsid w:val="00E60B1E"/>
    <w:rsid w:val="00E62FAF"/>
    <w:rsid w:val="00E637B0"/>
    <w:rsid w:val="00E6659F"/>
    <w:rsid w:val="00E66D95"/>
    <w:rsid w:val="00E67540"/>
    <w:rsid w:val="00E6788A"/>
    <w:rsid w:val="00E70948"/>
    <w:rsid w:val="00E709BF"/>
    <w:rsid w:val="00E70D82"/>
    <w:rsid w:val="00E733AD"/>
    <w:rsid w:val="00E73B5E"/>
    <w:rsid w:val="00E73F17"/>
    <w:rsid w:val="00E73FC7"/>
    <w:rsid w:val="00E741E2"/>
    <w:rsid w:val="00E744D4"/>
    <w:rsid w:val="00E75AC1"/>
    <w:rsid w:val="00E80589"/>
    <w:rsid w:val="00E80990"/>
    <w:rsid w:val="00E81081"/>
    <w:rsid w:val="00E81178"/>
    <w:rsid w:val="00E8190C"/>
    <w:rsid w:val="00E82122"/>
    <w:rsid w:val="00E8241F"/>
    <w:rsid w:val="00E83CCA"/>
    <w:rsid w:val="00E8499A"/>
    <w:rsid w:val="00E84EC5"/>
    <w:rsid w:val="00E86398"/>
    <w:rsid w:val="00E91311"/>
    <w:rsid w:val="00E916C3"/>
    <w:rsid w:val="00E9222C"/>
    <w:rsid w:val="00E9358C"/>
    <w:rsid w:val="00E93CA1"/>
    <w:rsid w:val="00E93D85"/>
    <w:rsid w:val="00E93E65"/>
    <w:rsid w:val="00E9532F"/>
    <w:rsid w:val="00E95B3C"/>
    <w:rsid w:val="00E96036"/>
    <w:rsid w:val="00E97339"/>
    <w:rsid w:val="00EA07E8"/>
    <w:rsid w:val="00EA11B0"/>
    <w:rsid w:val="00EA218E"/>
    <w:rsid w:val="00EA41FC"/>
    <w:rsid w:val="00EA45C1"/>
    <w:rsid w:val="00EA56FA"/>
    <w:rsid w:val="00EA662B"/>
    <w:rsid w:val="00EA774F"/>
    <w:rsid w:val="00EA7AD7"/>
    <w:rsid w:val="00EB0013"/>
    <w:rsid w:val="00EB07D9"/>
    <w:rsid w:val="00EB11F1"/>
    <w:rsid w:val="00EB20EA"/>
    <w:rsid w:val="00EB2899"/>
    <w:rsid w:val="00EB2BD3"/>
    <w:rsid w:val="00EB3CCA"/>
    <w:rsid w:val="00EB3D67"/>
    <w:rsid w:val="00EB5347"/>
    <w:rsid w:val="00EB59E7"/>
    <w:rsid w:val="00EB5C25"/>
    <w:rsid w:val="00EC13D3"/>
    <w:rsid w:val="00EC1B99"/>
    <w:rsid w:val="00EC2770"/>
    <w:rsid w:val="00EC2806"/>
    <w:rsid w:val="00EC6C1F"/>
    <w:rsid w:val="00EC6CE3"/>
    <w:rsid w:val="00EC757E"/>
    <w:rsid w:val="00ED00EA"/>
    <w:rsid w:val="00ED0EB8"/>
    <w:rsid w:val="00ED14CE"/>
    <w:rsid w:val="00ED2947"/>
    <w:rsid w:val="00ED2971"/>
    <w:rsid w:val="00ED337F"/>
    <w:rsid w:val="00ED4276"/>
    <w:rsid w:val="00ED4385"/>
    <w:rsid w:val="00ED4633"/>
    <w:rsid w:val="00ED4C7C"/>
    <w:rsid w:val="00ED6B67"/>
    <w:rsid w:val="00ED729A"/>
    <w:rsid w:val="00ED7DAB"/>
    <w:rsid w:val="00ED7E06"/>
    <w:rsid w:val="00EE1DFF"/>
    <w:rsid w:val="00EE31AF"/>
    <w:rsid w:val="00EE33D2"/>
    <w:rsid w:val="00EE389D"/>
    <w:rsid w:val="00EE3CBE"/>
    <w:rsid w:val="00EE5714"/>
    <w:rsid w:val="00EE5DAE"/>
    <w:rsid w:val="00EE6043"/>
    <w:rsid w:val="00EF3FBB"/>
    <w:rsid w:val="00EF7C3B"/>
    <w:rsid w:val="00F01902"/>
    <w:rsid w:val="00F01F5A"/>
    <w:rsid w:val="00F02425"/>
    <w:rsid w:val="00F0327A"/>
    <w:rsid w:val="00F03EAF"/>
    <w:rsid w:val="00F0443D"/>
    <w:rsid w:val="00F05A4E"/>
    <w:rsid w:val="00F05EFC"/>
    <w:rsid w:val="00F06E54"/>
    <w:rsid w:val="00F075F2"/>
    <w:rsid w:val="00F078BF"/>
    <w:rsid w:val="00F10514"/>
    <w:rsid w:val="00F1063E"/>
    <w:rsid w:val="00F1170D"/>
    <w:rsid w:val="00F13596"/>
    <w:rsid w:val="00F13AB6"/>
    <w:rsid w:val="00F14300"/>
    <w:rsid w:val="00F14C27"/>
    <w:rsid w:val="00F155FE"/>
    <w:rsid w:val="00F17D10"/>
    <w:rsid w:val="00F201B8"/>
    <w:rsid w:val="00F21153"/>
    <w:rsid w:val="00F22A5D"/>
    <w:rsid w:val="00F230C7"/>
    <w:rsid w:val="00F24108"/>
    <w:rsid w:val="00F24CE4"/>
    <w:rsid w:val="00F25347"/>
    <w:rsid w:val="00F26007"/>
    <w:rsid w:val="00F265C4"/>
    <w:rsid w:val="00F2797E"/>
    <w:rsid w:val="00F279EF"/>
    <w:rsid w:val="00F27A79"/>
    <w:rsid w:val="00F30CC5"/>
    <w:rsid w:val="00F31335"/>
    <w:rsid w:val="00F3142C"/>
    <w:rsid w:val="00F3264A"/>
    <w:rsid w:val="00F3272A"/>
    <w:rsid w:val="00F329F0"/>
    <w:rsid w:val="00F33CB7"/>
    <w:rsid w:val="00F379FB"/>
    <w:rsid w:val="00F37EB7"/>
    <w:rsid w:val="00F40254"/>
    <w:rsid w:val="00F40DB3"/>
    <w:rsid w:val="00F41767"/>
    <w:rsid w:val="00F4221B"/>
    <w:rsid w:val="00F42C97"/>
    <w:rsid w:val="00F43866"/>
    <w:rsid w:val="00F46BBD"/>
    <w:rsid w:val="00F46EBC"/>
    <w:rsid w:val="00F473B7"/>
    <w:rsid w:val="00F47535"/>
    <w:rsid w:val="00F478A8"/>
    <w:rsid w:val="00F47A9D"/>
    <w:rsid w:val="00F50689"/>
    <w:rsid w:val="00F50A12"/>
    <w:rsid w:val="00F50C81"/>
    <w:rsid w:val="00F55710"/>
    <w:rsid w:val="00F56F61"/>
    <w:rsid w:val="00F57203"/>
    <w:rsid w:val="00F61043"/>
    <w:rsid w:val="00F613A5"/>
    <w:rsid w:val="00F61B24"/>
    <w:rsid w:val="00F64D0F"/>
    <w:rsid w:val="00F6517E"/>
    <w:rsid w:val="00F6751E"/>
    <w:rsid w:val="00F67974"/>
    <w:rsid w:val="00F70FEC"/>
    <w:rsid w:val="00F71334"/>
    <w:rsid w:val="00F71E07"/>
    <w:rsid w:val="00F71FB5"/>
    <w:rsid w:val="00F7372B"/>
    <w:rsid w:val="00F746CE"/>
    <w:rsid w:val="00F748C6"/>
    <w:rsid w:val="00F755E7"/>
    <w:rsid w:val="00F7614D"/>
    <w:rsid w:val="00F76946"/>
    <w:rsid w:val="00F76DE2"/>
    <w:rsid w:val="00F76DEE"/>
    <w:rsid w:val="00F771B8"/>
    <w:rsid w:val="00F80841"/>
    <w:rsid w:val="00F80B3E"/>
    <w:rsid w:val="00F81A9B"/>
    <w:rsid w:val="00F8210C"/>
    <w:rsid w:val="00F82775"/>
    <w:rsid w:val="00F84BA1"/>
    <w:rsid w:val="00F8556C"/>
    <w:rsid w:val="00F85AC5"/>
    <w:rsid w:val="00F85E2B"/>
    <w:rsid w:val="00F869B5"/>
    <w:rsid w:val="00F86A88"/>
    <w:rsid w:val="00F87E76"/>
    <w:rsid w:val="00F90641"/>
    <w:rsid w:val="00F9178E"/>
    <w:rsid w:val="00F922C4"/>
    <w:rsid w:val="00F92781"/>
    <w:rsid w:val="00F94B78"/>
    <w:rsid w:val="00F977DB"/>
    <w:rsid w:val="00FA0722"/>
    <w:rsid w:val="00FA0FDD"/>
    <w:rsid w:val="00FA3B3A"/>
    <w:rsid w:val="00FA41A0"/>
    <w:rsid w:val="00FA56DD"/>
    <w:rsid w:val="00FA65FA"/>
    <w:rsid w:val="00FA69E9"/>
    <w:rsid w:val="00FB01E8"/>
    <w:rsid w:val="00FB309D"/>
    <w:rsid w:val="00FB4B1A"/>
    <w:rsid w:val="00FB4BB7"/>
    <w:rsid w:val="00FB4C8E"/>
    <w:rsid w:val="00FB54FD"/>
    <w:rsid w:val="00FB58DE"/>
    <w:rsid w:val="00FB5EAC"/>
    <w:rsid w:val="00FB745A"/>
    <w:rsid w:val="00FC0ABE"/>
    <w:rsid w:val="00FC0BA0"/>
    <w:rsid w:val="00FC1DD9"/>
    <w:rsid w:val="00FC243C"/>
    <w:rsid w:val="00FC2471"/>
    <w:rsid w:val="00FC2A3D"/>
    <w:rsid w:val="00FC2E60"/>
    <w:rsid w:val="00FC367C"/>
    <w:rsid w:val="00FC5730"/>
    <w:rsid w:val="00FC6043"/>
    <w:rsid w:val="00FC6138"/>
    <w:rsid w:val="00FC64B3"/>
    <w:rsid w:val="00FC6637"/>
    <w:rsid w:val="00FD1493"/>
    <w:rsid w:val="00FD318B"/>
    <w:rsid w:val="00FD39FD"/>
    <w:rsid w:val="00FD5BB8"/>
    <w:rsid w:val="00FD61A7"/>
    <w:rsid w:val="00FD6A96"/>
    <w:rsid w:val="00FD702D"/>
    <w:rsid w:val="00FD76F7"/>
    <w:rsid w:val="00FE228D"/>
    <w:rsid w:val="00FE351D"/>
    <w:rsid w:val="00FE4DFB"/>
    <w:rsid w:val="00FE5E4D"/>
    <w:rsid w:val="00FE707E"/>
    <w:rsid w:val="00FE7573"/>
    <w:rsid w:val="00FE7A4D"/>
    <w:rsid w:val="00FE7B09"/>
    <w:rsid w:val="00FF0834"/>
    <w:rsid w:val="00FF1AE3"/>
    <w:rsid w:val="00FF256A"/>
    <w:rsid w:val="00FF34D8"/>
    <w:rsid w:val="00FF3EAF"/>
    <w:rsid w:val="00FF4085"/>
    <w:rsid w:val="00FF49F0"/>
    <w:rsid w:val="00FF4E44"/>
    <w:rsid w:val="00FF6190"/>
    <w:rsid w:val="00FF6E06"/>
    <w:rsid w:val="00FF7175"/>
    <w:rsid w:val="00FF73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0" w:defQFormat="0" w:count="267">
    <w:lsdException w:name="Normal" w:locked="0"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lsdException w:name="header" w:unhideWhenUsed="1"/>
    <w:lsdException w:name="footer" w:unhideWhenUsed="1"/>
    <w:lsdException w:name="caption" w:uiPriority="35" w:qFormat="1"/>
    <w:lsdException w:name="footnote reference" w:unhideWhenUsed="1"/>
    <w:lsdException w:name="toa heading" w:unhideWhenUsed="1"/>
    <w:lsdException w:name="Title" w:uiPriority="10" w:unhideWhenUsed="1"/>
    <w:lsdException w:name="Default Paragraph Font" w:locked="0" w:uiPriority="1" w:unhideWhenUsed="1"/>
    <w:lsdException w:name="Subtitle" w:uiPriority="11" w:unhideWhenUsed="1"/>
    <w:lsdException w:name="Hyperlink" w:unhideWhenUsed="1" w:qFormat="1"/>
    <w:lsdException w:name="Strong" w:uiPriority="22" w:unhideWhenUsed="1"/>
    <w:lsdException w:name="Emphasis" w:uiPriority="20" w:unhideWhenUsed="1"/>
    <w:lsdException w:name="HTML Top of Form" w:locked="0" w:unhideWhenUsed="1"/>
    <w:lsdException w:name="HTML Bottom of Form" w:locked="0" w:unhideWhenUsed="1"/>
    <w:lsdException w:name="Normal Table" w:locked="0"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semiHidden="0" w:uiPriority="34"/>
    <w:lsdException w:name="Quote" w:semiHidden="0" w:uiPriority="29" w:qFormat="1"/>
    <w:lsdException w:name="Intense Quote" w:uiPriority="30"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unhideWhenUsed="1"/>
    <w:lsdException w:name="Intense Emphasis" w:uiPriority="21" w:unhideWhenUsed="1"/>
    <w:lsdException w:name="Subtle Reference" w:uiPriority="31" w:unhideWhenUsed="1"/>
    <w:lsdException w:name="Intense Reference" w:uiPriority="32" w:unhideWhenUsed="1"/>
    <w:lsdException w:name="Book Title" w:uiPriority="33"/>
    <w:lsdException w:name="Bibliography" w:uiPriority="37"/>
    <w:lsdException w:name="TOC Heading" w:uiPriority="39" w:unhideWhenUsed="1" w:qFormat="1"/>
  </w:latentStyles>
  <w:style w:type="paragraph" w:default="1" w:styleId="Normal">
    <w:name w:val="Normal"/>
    <w:qFormat/>
    <w:rsid w:val="00307299"/>
    <w:pPr>
      <w:spacing w:after="240" w:line="240" w:lineRule="auto"/>
    </w:pPr>
    <w:rPr>
      <w:rFonts w:ascii="Arial" w:hAnsi="Arial"/>
      <w:sz w:val="20"/>
    </w:rPr>
  </w:style>
  <w:style w:type="paragraph" w:styleId="Heading1">
    <w:name w:val="heading 1"/>
    <w:basedOn w:val="HeadingLevel1"/>
    <w:next w:val="Normal"/>
    <w:link w:val="Heading1Char"/>
    <w:uiPriority w:val="9"/>
    <w:semiHidden/>
    <w:locked/>
    <w:rsid w:val="005F008F"/>
  </w:style>
  <w:style w:type="paragraph" w:styleId="Heading2">
    <w:name w:val="heading 2"/>
    <w:basedOn w:val="HeadingLevel2"/>
    <w:next w:val="Normal"/>
    <w:link w:val="Heading2Char"/>
    <w:uiPriority w:val="9"/>
    <w:semiHidden/>
    <w:locked/>
    <w:rsid w:val="005F008F"/>
    <w:pPr>
      <w:numPr>
        <w:numId w:val="19"/>
      </w:numPr>
    </w:pPr>
  </w:style>
  <w:style w:type="paragraph" w:styleId="Heading3">
    <w:name w:val="heading 3"/>
    <w:basedOn w:val="HeadingLevel3"/>
    <w:next w:val="Normal"/>
    <w:link w:val="Heading3Char"/>
    <w:uiPriority w:val="9"/>
    <w:semiHidden/>
    <w:qFormat/>
    <w:locked/>
    <w:rsid w:val="005F008F"/>
    <w:pPr>
      <w:numPr>
        <w:numId w:val="19"/>
      </w:numPr>
    </w:pPr>
  </w:style>
  <w:style w:type="paragraph" w:styleId="Heading4">
    <w:name w:val="heading 4"/>
    <w:basedOn w:val="Normal"/>
    <w:next w:val="Normal"/>
    <w:link w:val="Heading4Char"/>
    <w:uiPriority w:val="9"/>
    <w:semiHidden/>
    <w:qFormat/>
    <w:locked/>
    <w:rsid w:val="007142E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qFormat/>
    <w:locked/>
    <w:rsid w:val="007142E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locked/>
    <w:rsid w:val="007142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locked/>
    <w:rsid w:val="007142E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locked/>
    <w:rsid w:val="007142E9"/>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locked/>
    <w:rsid w:val="007142E9"/>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1">
    <w:name w:val="Heading Level 1"/>
    <w:next w:val="Normal"/>
    <w:autoRedefine/>
    <w:uiPriority w:val="1"/>
    <w:qFormat/>
    <w:locked/>
    <w:rsid w:val="00DA7429"/>
    <w:pPr>
      <w:pageBreakBefore/>
      <w:numPr>
        <w:numId w:val="16"/>
      </w:numPr>
      <w:spacing w:before="360" w:after="360" w:line="240" w:lineRule="auto"/>
      <w:outlineLvl w:val="0"/>
    </w:pPr>
    <w:rPr>
      <w:rFonts w:ascii="Arial" w:eastAsiaTheme="majorEastAsia" w:hAnsi="Arial" w:cstheme="majorBidi"/>
      <w:b/>
      <w:bCs/>
      <w:color w:val="002060"/>
      <w:sz w:val="36"/>
      <w:szCs w:val="28"/>
    </w:rPr>
  </w:style>
  <w:style w:type="character" w:customStyle="1" w:styleId="Heading1Char">
    <w:name w:val="Heading 1 Char"/>
    <w:basedOn w:val="DefaultParagraphFont"/>
    <w:link w:val="Heading1"/>
    <w:uiPriority w:val="9"/>
    <w:semiHidden/>
    <w:rsid w:val="00692055"/>
    <w:rPr>
      <w:rFonts w:ascii="Arial" w:eastAsiaTheme="majorEastAsia" w:hAnsi="Arial" w:cstheme="majorBidi"/>
      <w:b/>
      <w:bCs/>
      <w:color w:val="002060"/>
      <w:sz w:val="36"/>
      <w:szCs w:val="28"/>
    </w:rPr>
  </w:style>
  <w:style w:type="paragraph" w:customStyle="1" w:styleId="HeadingLevel2">
    <w:name w:val="Heading Level 2"/>
    <w:basedOn w:val="HeadingLevel1"/>
    <w:next w:val="Normal"/>
    <w:autoRedefine/>
    <w:uiPriority w:val="1"/>
    <w:qFormat/>
    <w:locked/>
    <w:rsid w:val="007E6FBC"/>
    <w:pPr>
      <w:keepNext/>
      <w:pageBreakBefore w:val="0"/>
      <w:numPr>
        <w:ilvl w:val="1"/>
      </w:numPr>
      <w:spacing w:before="240" w:after="240"/>
      <w:outlineLvl w:val="1"/>
    </w:pPr>
    <w:rPr>
      <w:bCs w:val="0"/>
      <w:sz w:val="32"/>
    </w:rPr>
  </w:style>
  <w:style w:type="character" w:customStyle="1" w:styleId="Heading2Char">
    <w:name w:val="Heading 2 Char"/>
    <w:basedOn w:val="DefaultParagraphFont"/>
    <w:link w:val="Heading2"/>
    <w:uiPriority w:val="9"/>
    <w:semiHidden/>
    <w:rsid w:val="00692055"/>
    <w:rPr>
      <w:rFonts w:ascii="Arial" w:eastAsiaTheme="majorEastAsia" w:hAnsi="Arial" w:cstheme="majorBidi"/>
      <w:b/>
      <w:color w:val="002060"/>
      <w:sz w:val="32"/>
      <w:szCs w:val="28"/>
    </w:rPr>
  </w:style>
  <w:style w:type="paragraph" w:customStyle="1" w:styleId="HeadingLevel3">
    <w:name w:val="Heading Level 3"/>
    <w:basedOn w:val="HeadingLevel2"/>
    <w:next w:val="Normal"/>
    <w:autoRedefine/>
    <w:uiPriority w:val="1"/>
    <w:qFormat/>
    <w:locked/>
    <w:rsid w:val="007D590D"/>
    <w:pPr>
      <w:numPr>
        <w:ilvl w:val="2"/>
      </w:numPr>
      <w:spacing w:before="0"/>
      <w:outlineLvl w:val="2"/>
    </w:pPr>
    <w:rPr>
      <w:bCs/>
      <w:sz w:val="28"/>
    </w:rPr>
  </w:style>
  <w:style w:type="character" w:customStyle="1" w:styleId="Heading3Char">
    <w:name w:val="Heading 3 Char"/>
    <w:basedOn w:val="DefaultParagraphFont"/>
    <w:link w:val="Heading3"/>
    <w:uiPriority w:val="9"/>
    <w:semiHidden/>
    <w:rsid w:val="00692055"/>
    <w:rPr>
      <w:rFonts w:ascii="Arial" w:eastAsiaTheme="majorEastAsia" w:hAnsi="Arial" w:cstheme="majorBidi"/>
      <w:b/>
      <w:bCs/>
      <w:color w:val="002060"/>
      <w:sz w:val="28"/>
      <w:szCs w:val="28"/>
    </w:rPr>
  </w:style>
  <w:style w:type="paragraph" w:customStyle="1" w:styleId="ACCCreporttitle1">
    <w:name w:val="ACCC report title 1"/>
    <w:autoRedefine/>
    <w:uiPriority w:val="11"/>
    <w:semiHidden/>
    <w:locked/>
    <w:rsid w:val="002F1D22"/>
    <w:pPr>
      <w:spacing w:before="4200" w:after="240" w:line="240" w:lineRule="auto"/>
      <w:contextualSpacing/>
      <w:jc w:val="center"/>
    </w:pPr>
    <w:rPr>
      <w:rFonts w:ascii="Arial" w:eastAsia="Times New Roman" w:hAnsi="Arial" w:cs="Times New Roman"/>
      <w:b/>
      <w:bCs/>
      <w:sz w:val="44"/>
      <w:szCs w:val="20"/>
      <w:lang w:eastAsia="en-AU"/>
    </w:rPr>
  </w:style>
  <w:style w:type="paragraph" w:customStyle="1" w:styleId="ACCCreportdate">
    <w:name w:val="ACCC report date"/>
    <w:basedOn w:val="ACCCreporttitle1"/>
    <w:autoRedefine/>
    <w:uiPriority w:val="11"/>
    <w:semiHidden/>
    <w:locked/>
    <w:rsid w:val="001B5190"/>
    <w:rPr>
      <w:b w:val="0"/>
      <w:sz w:val="30"/>
    </w:rPr>
  </w:style>
  <w:style w:type="paragraph" w:customStyle="1" w:styleId="ACCCreporttitle2">
    <w:name w:val="ACCC report title 2"/>
    <w:basedOn w:val="ACCCreporttitle1"/>
    <w:autoRedefine/>
    <w:uiPriority w:val="11"/>
    <w:semiHidden/>
    <w:locked/>
    <w:rsid w:val="00E40C46"/>
    <w:pPr>
      <w:spacing w:before="720"/>
    </w:pPr>
    <w:rPr>
      <w:b w:val="0"/>
    </w:rPr>
  </w:style>
  <w:style w:type="paragraph" w:customStyle="1" w:styleId="ACCCcopyrighttext">
    <w:name w:val="ACCC copyright text"/>
    <w:basedOn w:val="Normal"/>
    <w:autoRedefine/>
    <w:uiPriority w:val="11"/>
    <w:semiHidden/>
    <w:locked/>
    <w:rsid w:val="00E40C46"/>
    <w:pPr>
      <w:spacing w:after="0"/>
    </w:pPr>
  </w:style>
  <w:style w:type="paragraph" w:styleId="BalloonText">
    <w:name w:val="Balloon Text"/>
    <w:basedOn w:val="Normal"/>
    <w:link w:val="BalloonTextChar"/>
    <w:uiPriority w:val="99"/>
    <w:semiHidden/>
    <w:locked/>
    <w:rsid w:val="00E40C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055"/>
    <w:rPr>
      <w:rFonts w:ascii="Tahoma" w:hAnsi="Tahoma" w:cs="Tahoma"/>
      <w:sz w:val="16"/>
      <w:szCs w:val="16"/>
    </w:rPr>
  </w:style>
  <w:style w:type="paragraph" w:customStyle="1" w:styleId="HeadingLevel4">
    <w:name w:val="Heading Level 4"/>
    <w:basedOn w:val="HeadingLevel3"/>
    <w:next w:val="Normal"/>
    <w:autoRedefine/>
    <w:uiPriority w:val="1"/>
    <w:qFormat/>
    <w:locked/>
    <w:rsid w:val="00823292"/>
    <w:pPr>
      <w:numPr>
        <w:ilvl w:val="3"/>
      </w:numPr>
      <w:outlineLvl w:val="3"/>
    </w:pPr>
    <w:rPr>
      <w:bCs w:val="0"/>
      <w:sz w:val="24"/>
    </w:rPr>
  </w:style>
  <w:style w:type="paragraph" w:customStyle="1" w:styleId="Bulleta">
    <w:name w:val="Bullet a"/>
    <w:basedOn w:val="Normal"/>
    <w:autoRedefine/>
    <w:uiPriority w:val="3"/>
    <w:unhideWhenUsed/>
    <w:qFormat/>
    <w:locked/>
    <w:rsid w:val="00E43F7D"/>
    <w:pPr>
      <w:numPr>
        <w:numId w:val="48"/>
      </w:numPr>
      <w:spacing w:before="120"/>
    </w:pPr>
  </w:style>
  <w:style w:type="paragraph" w:customStyle="1" w:styleId="Bulletb">
    <w:name w:val="Bullet b"/>
    <w:basedOn w:val="Bulleta"/>
    <w:autoRedefine/>
    <w:uiPriority w:val="3"/>
    <w:unhideWhenUsed/>
    <w:qFormat/>
    <w:locked/>
    <w:rsid w:val="002F2C8D"/>
    <w:pPr>
      <w:numPr>
        <w:ilvl w:val="1"/>
      </w:numPr>
    </w:pPr>
  </w:style>
  <w:style w:type="table" w:styleId="TableGrid">
    <w:name w:val="Table Grid"/>
    <w:basedOn w:val="TableNormal"/>
    <w:uiPriority w:val="59"/>
    <w:locked/>
    <w:rsid w:val="008A5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Figure4source">
    <w:name w:val="Table/Figure 4 source"/>
    <w:basedOn w:val="Table2Text"/>
    <w:uiPriority w:val="5"/>
    <w:qFormat/>
    <w:locked/>
    <w:rsid w:val="009450BA"/>
    <w:pPr>
      <w:spacing w:before="240" w:after="240"/>
      <w:ind w:left="567"/>
    </w:pPr>
  </w:style>
  <w:style w:type="paragraph" w:customStyle="1" w:styleId="Table2Text">
    <w:name w:val="Table 2 Text"/>
    <w:basedOn w:val="Normal"/>
    <w:next w:val="Normal"/>
    <w:autoRedefine/>
    <w:uiPriority w:val="5"/>
    <w:qFormat/>
    <w:locked/>
    <w:rsid w:val="00350637"/>
    <w:pPr>
      <w:spacing w:before="120" w:after="120"/>
    </w:pPr>
    <w:rPr>
      <w:sz w:val="18"/>
    </w:rPr>
  </w:style>
  <w:style w:type="paragraph" w:customStyle="1" w:styleId="Table1Boldedtext">
    <w:name w:val="Table 1 Bolded text"/>
    <w:basedOn w:val="Normal"/>
    <w:autoRedefine/>
    <w:uiPriority w:val="5"/>
    <w:qFormat/>
    <w:locked/>
    <w:rsid w:val="00C14FDD"/>
    <w:pPr>
      <w:spacing w:before="120" w:after="120"/>
    </w:pPr>
    <w:rPr>
      <w:b/>
      <w:sz w:val="18"/>
    </w:rPr>
  </w:style>
  <w:style w:type="paragraph" w:customStyle="1" w:styleId="Table3bullet">
    <w:name w:val="Table 3 bullet"/>
    <w:basedOn w:val="Normal"/>
    <w:autoRedefine/>
    <w:uiPriority w:val="5"/>
    <w:qFormat/>
    <w:locked/>
    <w:rsid w:val="00C14FDD"/>
    <w:pPr>
      <w:numPr>
        <w:numId w:val="3"/>
      </w:numPr>
      <w:spacing w:before="120" w:after="120"/>
      <w:ind w:left="357" w:hanging="357"/>
    </w:pPr>
    <w:rPr>
      <w:sz w:val="18"/>
    </w:rPr>
  </w:style>
  <w:style w:type="paragraph" w:styleId="Quote">
    <w:name w:val="Quote"/>
    <w:basedOn w:val="Normal"/>
    <w:next w:val="Normal"/>
    <w:link w:val="QuoteChar"/>
    <w:autoRedefine/>
    <w:uiPriority w:val="2"/>
    <w:unhideWhenUsed/>
    <w:qFormat/>
    <w:locked/>
    <w:rsid w:val="00880209"/>
    <w:pPr>
      <w:ind w:left="720"/>
    </w:pPr>
    <w:rPr>
      <w:iCs/>
      <w:color w:val="000000" w:themeColor="text1"/>
      <w:sz w:val="17"/>
    </w:rPr>
  </w:style>
  <w:style w:type="character" w:customStyle="1" w:styleId="QuoteChar">
    <w:name w:val="Quote Char"/>
    <w:basedOn w:val="DefaultParagraphFont"/>
    <w:link w:val="Quote"/>
    <w:uiPriority w:val="2"/>
    <w:rsid w:val="00692055"/>
    <w:rPr>
      <w:rFonts w:ascii="Arial" w:hAnsi="Arial"/>
      <w:iCs/>
      <w:color w:val="000000" w:themeColor="text1"/>
      <w:sz w:val="17"/>
    </w:rPr>
  </w:style>
  <w:style w:type="paragraph" w:styleId="FootnoteText">
    <w:name w:val="footnote text"/>
    <w:basedOn w:val="Normal"/>
    <w:link w:val="FootnoteTextChar"/>
    <w:uiPriority w:val="99"/>
    <w:semiHidden/>
    <w:locked/>
    <w:rsid w:val="00F01F5A"/>
    <w:pPr>
      <w:spacing w:after="0"/>
      <w:ind w:left="357" w:hanging="357"/>
    </w:pPr>
    <w:rPr>
      <w:sz w:val="17"/>
      <w:szCs w:val="20"/>
    </w:rPr>
  </w:style>
  <w:style w:type="character" w:customStyle="1" w:styleId="FootnoteTextChar">
    <w:name w:val="Footnote Text Char"/>
    <w:basedOn w:val="DefaultParagraphFont"/>
    <w:link w:val="FootnoteText"/>
    <w:uiPriority w:val="99"/>
    <w:semiHidden/>
    <w:rsid w:val="00692055"/>
    <w:rPr>
      <w:rFonts w:ascii="Arial" w:hAnsi="Arial"/>
      <w:sz w:val="17"/>
      <w:szCs w:val="20"/>
    </w:rPr>
  </w:style>
  <w:style w:type="character" w:styleId="FootnoteReference">
    <w:name w:val="footnote reference"/>
    <w:basedOn w:val="DefaultParagraphFont"/>
    <w:uiPriority w:val="99"/>
    <w:semiHidden/>
    <w:locked/>
    <w:rsid w:val="00F01F5A"/>
    <w:rPr>
      <w:sz w:val="20"/>
      <w:vertAlign w:val="superscript"/>
    </w:rPr>
  </w:style>
  <w:style w:type="paragraph" w:customStyle="1" w:styleId="Footnote">
    <w:name w:val="Footnote"/>
    <w:basedOn w:val="FootnoteText"/>
    <w:uiPriority w:val="4"/>
    <w:unhideWhenUsed/>
    <w:qFormat/>
    <w:locked/>
    <w:rsid w:val="00412CE3"/>
    <w:rPr>
      <w:sz w:val="18"/>
      <w:szCs w:val="17"/>
    </w:rPr>
  </w:style>
  <w:style w:type="paragraph" w:customStyle="1" w:styleId="Heading7APP1">
    <w:name w:val="Heading. 7 (APP 1)"/>
    <w:basedOn w:val="HeadingLevel1"/>
    <w:next w:val="Normal"/>
    <w:autoRedefine/>
    <w:semiHidden/>
    <w:locked/>
    <w:rsid w:val="00A66A44"/>
    <w:pPr>
      <w:numPr>
        <w:numId w:val="0"/>
      </w:numPr>
      <w:tabs>
        <w:tab w:val="num" w:pos="958"/>
      </w:tabs>
      <w:ind w:left="958" w:hanging="958"/>
    </w:pPr>
  </w:style>
  <w:style w:type="paragraph" w:styleId="TOC1">
    <w:name w:val="toc 1"/>
    <w:basedOn w:val="Normal"/>
    <w:next w:val="Normal"/>
    <w:autoRedefine/>
    <w:uiPriority w:val="39"/>
    <w:locked/>
    <w:rsid w:val="00E91311"/>
    <w:pPr>
      <w:tabs>
        <w:tab w:val="left" w:pos="426"/>
        <w:tab w:val="right" w:leader="dot" w:pos="8438"/>
      </w:tabs>
      <w:spacing w:before="240"/>
    </w:pPr>
    <w:rPr>
      <w:b/>
      <w:noProof/>
    </w:rPr>
  </w:style>
  <w:style w:type="paragraph" w:styleId="TOC2">
    <w:name w:val="toc 2"/>
    <w:basedOn w:val="Normal"/>
    <w:next w:val="Normal"/>
    <w:autoRedefine/>
    <w:uiPriority w:val="39"/>
    <w:locked/>
    <w:rsid w:val="00A20E5A"/>
    <w:pPr>
      <w:tabs>
        <w:tab w:val="left" w:pos="880"/>
        <w:tab w:val="right" w:leader="dot" w:pos="8438"/>
      </w:tabs>
      <w:spacing w:after="100"/>
      <w:ind w:left="426"/>
    </w:pPr>
    <w:rPr>
      <w:noProof/>
    </w:rPr>
  </w:style>
  <w:style w:type="character" w:styleId="Hyperlink">
    <w:name w:val="Hyperlink"/>
    <w:basedOn w:val="DefaultParagraphFont"/>
    <w:uiPriority w:val="99"/>
    <w:qFormat/>
    <w:locked/>
    <w:rsid w:val="00A20E5A"/>
    <w:rPr>
      <w:color w:val="0000FF" w:themeColor="hyperlink"/>
      <w:u w:val="single"/>
    </w:rPr>
  </w:style>
  <w:style w:type="paragraph" w:styleId="ListParagraph">
    <w:name w:val="List Paragraph"/>
    <w:basedOn w:val="Normal"/>
    <w:uiPriority w:val="34"/>
    <w:locked/>
    <w:rsid w:val="00FC6637"/>
    <w:pPr>
      <w:ind w:left="720"/>
      <w:contextualSpacing/>
    </w:pPr>
  </w:style>
  <w:style w:type="paragraph" w:customStyle="1" w:styleId="HeadingLevel8table">
    <w:name w:val="Heading Level 8 (table)"/>
    <w:basedOn w:val="HeadingLevel6"/>
    <w:next w:val="Normal"/>
    <w:autoRedefine/>
    <w:uiPriority w:val="1"/>
    <w:qFormat/>
    <w:locked/>
    <w:rsid w:val="00C138A3"/>
    <w:pPr>
      <w:numPr>
        <w:ilvl w:val="0"/>
        <w:numId w:val="0"/>
      </w:numPr>
      <w:outlineLvl w:val="9"/>
    </w:pPr>
    <w:rPr>
      <w:b/>
      <w:bCs w:val="0"/>
      <w:i w:val="0"/>
      <w:sz w:val="20"/>
    </w:rPr>
  </w:style>
  <w:style w:type="paragraph" w:customStyle="1" w:styleId="Non-numberedtabletitle">
    <w:name w:val="Non-numbered table title"/>
    <w:basedOn w:val="HeadingLevel8table"/>
    <w:next w:val="Normal"/>
    <w:uiPriority w:val="3"/>
    <w:semiHidden/>
    <w:locked/>
    <w:rsid w:val="00FC6637"/>
  </w:style>
  <w:style w:type="paragraph" w:customStyle="1" w:styleId="AppendixLevel5figure">
    <w:name w:val="Appendix Level 5 (figure)"/>
    <w:basedOn w:val="AppendixLevel4"/>
    <w:next w:val="Normal"/>
    <w:uiPriority w:val="6"/>
    <w:unhideWhenUsed/>
    <w:qFormat/>
    <w:locked/>
    <w:rsid w:val="00823292"/>
    <w:pPr>
      <w:numPr>
        <w:ilvl w:val="4"/>
      </w:numPr>
      <w:ind w:left="0" w:firstLine="0"/>
      <w:outlineLvl w:val="9"/>
    </w:pPr>
    <w:rPr>
      <w:sz w:val="20"/>
    </w:rPr>
  </w:style>
  <w:style w:type="paragraph" w:customStyle="1" w:styleId="HeadingLevel5">
    <w:name w:val="Heading Level 5"/>
    <w:basedOn w:val="HeadingLevel4"/>
    <w:next w:val="Normal"/>
    <w:uiPriority w:val="1"/>
    <w:qFormat/>
    <w:locked/>
    <w:rsid w:val="00412CE3"/>
    <w:pPr>
      <w:numPr>
        <w:ilvl w:val="4"/>
      </w:numPr>
      <w:outlineLvl w:val="4"/>
    </w:pPr>
    <w:rPr>
      <w:bCs/>
      <w:i/>
    </w:rPr>
  </w:style>
  <w:style w:type="paragraph" w:customStyle="1" w:styleId="HeadingLevel6">
    <w:name w:val="Heading Level 6"/>
    <w:basedOn w:val="HeadingLevel5"/>
    <w:next w:val="Normal"/>
    <w:uiPriority w:val="1"/>
    <w:qFormat/>
    <w:locked/>
    <w:rsid w:val="00093B20"/>
    <w:pPr>
      <w:numPr>
        <w:ilvl w:val="5"/>
      </w:numPr>
      <w:outlineLvl w:val="5"/>
    </w:pPr>
    <w:rPr>
      <w:b w:val="0"/>
    </w:rPr>
  </w:style>
  <w:style w:type="paragraph" w:styleId="TOCHeading">
    <w:name w:val="TOC Heading"/>
    <w:basedOn w:val="Heading1"/>
    <w:next w:val="Normal"/>
    <w:uiPriority w:val="39"/>
    <w:semiHidden/>
    <w:qFormat/>
    <w:locked/>
    <w:rsid w:val="00FA0722"/>
    <w:pPr>
      <w:keepNext/>
      <w:keepLines/>
      <w:pageBreakBefore w:val="0"/>
      <w:numPr>
        <w:numId w:val="0"/>
      </w:numPr>
      <w:spacing w:before="480" w:after="0" w:line="276" w:lineRule="auto"/>
      <w:outlineLvl w:val="9"/>
    </w:pPr>
    <w:rPr>
      <w:rFonts w:asciiTheme="majorHAnsi" w:hAnsiTheme="majorHAnsi"/>
      <w:color w:val="365F91" w:themeColor="accent1" w:themeShade="BF"/>
      <w:sz w:val="28"/>
      <w:lang w:val="en-US" w:eastAsia="ja-JP"/>
    </w:rPr>
  </w:style>
  <w:style w:type="paragraph" w:styleId="TOC3">
    <w:name w:val="toc 3"/>
    <w:basedOn w:val="Normal"/>
    <w:next w:val="Normal"/>
    <w:autoRedefine/>
    <w:uiPriority w:val="39"/>
    <w:semiHidden/>
    <w:locked/>
    <w:rsid w:val="00FA0722"/>
    <w:pPr>
      <w:spacing w:after="100"/>
      <w:ind w:left="400"/>
    </w:pPr>
  </w:style>
  <w:style w:type="paragraph" w:customStyle="1" w:styleId="AppendixLevel1">
    <w:name w:val="Appendix Level 1"/>
    <w:basedOn w:val="Normal"/>
    <w:next w:val="Normal"/>
    <w:autoRedefine/>
    <w:uiPriority w:val="6"/>
    <w:unhideWhenUsed/>
    <w:qFormat/>
    <w:locked/>
    <w:rsid w:val="00220F05"/>
    <w:pPr>
      <w:pageBreakBefore/>
      <w:numPr>
        <w:numId w:val="23"/>
      </w:numPr>
      <w:spacing w:before="360" w:after="360"/>
      <w:outlineLvl w:val="0"/>
    </w:pPr>
    <w:rPr>
      <w:rFonts w:eastAsiaTheme="majorEastAsia" w:cstheme="majorBidi"/>
      <w:b/>
      <w:bCs/>
      <w:color w:val="002060"/>
      <w:sz w:val="36"/>
      <w:szCs w:val="28"/>
    </w:rPr>
  </w:style>
  <w:style w:type="paragraph" w:customStyle="1" w:styleId="AppendixLevel2">
    <w:name w:val="Appendix Level 2"/>
    <w:basedOn w:val="AppendixLevel1"/>
    <w:next w:val="Normal"/>
    <w:autoRedefine/>
    <w:uiPriority w:val="6"/>
    <w:unhideWhenUsed/>
    <w:qFormat/>
    <w:locked/>
    <w:rsid w:val="00E06033"/>
    <w:pPr>
      <w:pageBreakBefore w:val="0"/>
      <w:numPr>
        <w:ilvl w:val="1"/>
      </w:numPr>
      <w:spacing w:before="240" w:after="240"/>
      <w:outlineLvl w:val="1"/>
    </w:pPr>
    <w:rPr>
      <w:bCs w:val="0"/>
      <w:sz w:val="32"/>
    </w:rPr>
  </w:style>
  <w:style w:type="paragraph" w:customStyle="1" w:styleId="AppendixLevel3">
    <w:name w:val="Appendix Level 3"/>
    <w:basedOn w:val="AppendixLevel2"/>
    <w:next w:val="Normal"/>
    <w:autoRedefine/>
    <w:uiPriority w:val="6"/>
    <w:unhideWhenUsed/>
    <w:qFormat/>
    <w:locked/>
    <w:rsid w:val="00E06033"/>
    <w:pPr>
      <w:keepNext/>
      <w:numPr>
        <w:ilvl w:val="2"/>
      </w:numPr>
      <w:spacing w:before="0"/>
      <w:outlineLvl w:val="2"/>
    </w:pPr>
    <w:rPr>
      <w:bCs/>
      <w:sz w:val="28"/>
    </w:rPr>
  </w:style>
  <w:style w:type="paragraph" w:customStyle="1" w:styleId="AppendixLevel4">
    <w:name w:val="Appendix Level 4"/>
    <w:basedOn w:val="AppendixLevel3"/>
    <w:next w:val="Normal"/>
    <w:autoRedefine/>
    <w:uiPriority w:val="6"/>
    <w:unhideWhenUsed/>
    <w:qFormat/>
    <w:locked/>
    <w:rsid w:val="003A770E"/>
    <w:pPr>
      <w:numPr>
        <w:ilvl w:val="3"/>
      </w:numPr>
      <w:outlineLvl w:val="3"/>
    </w:pPr>
    <w:rPr>
      <w:bCs w:val="0"/>
      <w:sz w:val="24"/>
    </w:rPr>
  </w:style>
  <w:style w:type="character" w:customStyle="1" w:styleId="Heading4Char">
    <w:name w:val="Heading 4 Char"/>
    <w:basedOn w:val="DefaultParagraphFont"/>
    <w:link w:val="Heading4"/>
    <w:uiPriority w:val="9"/>
    <w:semiHidden/>
    <w:rsid w:val="00692055"/>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692055"/>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692055"/>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692055"/>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69205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9205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locked/>
    <w:rsid w:val="00823292"/>
    <w:pPr>
      <w:tabs>
        <w:tab w:val="center" w:pos="4513"/>
        <w:tab w:val="right" w:pos="9026"/>
      </w:tabs>
      <w:spacing w:after="0"/>
    </w:pPr>
  </w:style>
  <w:style w:type="character" w:customStyle="1" w:styleId="HeaderChar">
    <w:name w:val="Header Char"/>
    <w:basedOn w:val="DefaultParagraphFont"/>
    <w:link w:val="Header"/>
    <w:uiPriority w:val="99"/>
    <w:semiHidden/>
    <w:rsid w:val="00692055"/>
    <w:rPr>
      <w:rFonts w:ascii="Arial" w:hAnsi="Arial"/>
      <w:sz w:val="20"/>
    </w:rPr>
  </w:style>
  <w:style w:type="paragraph" w:styleId="Footer">
    <w:name w:val="footer"/>
    <w:basedOn w:val="Normal"/>
    <w:link w:val="FooterChar"/>
    <w:uiPriority w:val="99"/>
    <w:semiHidden/>
    <w:locked/>
    <w:rsid w:val="00823292"/>
    <w:pPr>
      <w:tabs>
        <w:tab w:val="center" w:pos="4513"/>
        <w:tab w:val="right" w:pos="9026"/>
      </w:tabs>
      <w:spacing w:after="0"/>
    </w:pPr>
  </w:style>
  <w:style w:type="character" w:customStyle="1" w:styleId="FooterChar">
    <w:name w:val="Footer Char"/>
    <w:basedOn w:val="DefaultParagraphFont"/>
    <w:link w:val="Footer"/>
    <w:uiPriority w:val="99"/>
    <w:semiHidden/>
    <w:rsid w:val="00DA3E15"/>
    <w:rPr>
      <w:rFonts w:ascii="Arial" w:hAnsi="Arial"/>
      <w:sz w:val="20"/>
    </w:rPr>
  </w:style>
  <w:style w:type="paragraph" w:styleId="ListBullet">
    <w:name w:val="List Bullet"/>
    <w:basedOn w:val="Bulleta"/>
    <w:uiPriority w:val="99"/>
    <w:semiHidden/>
    <w:locked/>
    <w:rsid w:val="009C55E3"/>
  </w:style>
  <w:style w:type="table" w:customStyle="1" w:styleId="TableGrid1">
    <w:name w:val="Table Grid1"/>
    <w:basedOn w:val="TableNormal"/>
    <w:next w:val="TableGrid"/>
    <w:uiPriority w:val="59"/>
    <w:locked/>
    <w:rsid w:val="003352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Level7figure">
    <w:name w:val="Heading Level 7 (figure)"/>
    <w:basedOn w:val="HeadingLevel8table"/>
    <w:next w:val="Normal"/>
    <w:uiPriority w:val="1"/>
    <w:qFormat/>
    <w:locked/>
    <w:rsid w:val="00325718"/>
    <w:pPr>
      <w:numPr>
        <w:ilvl w:val="6"/>
        <w:numId w:val="16"/>
      </w:numPr>
    </w:pPr>
  </w:style>
  <w:style w:type="paragraph" w:customStyle="1" w:styleId="AppendixLevel6table">
    <w:name w:val="Appendix Level 6 (table)"/>
    <w:basedOn w:val="AppendixLevel5figure"/>
    <w:next w:val="Normal"/>
    <w:uiPriority w:val="6"/>
    <w:qFormat/>
    <w:locked/>
    <w:rsid w:val="005F7FA1"/>
    <w:pPr>
      <w:numPr>
        <w:ilvl w:val="5"/>
      </w:numPr>
      <w:ind w:left="0" w:firstLine="0"/>
    </w:pPr>
  </w:style>
  <w:style w:type="paragraph" w:customStyle="1" w:styleId="Non-NumberedStyle">
    <w:name w:val="Non-Numbered Style"/>
    <w:basedOn w:val="HeadingLevel1"/>
    <w:next w:val="Normal"/>
    <w:semiHidden/>
    <w:qFormat/>
    <w:rsid w:val="00E91311"/>
    <w:pPr>
      <w:numPr>
        <w:numId w:val="0"/>
      </w:numPr>
      <w:outlineLvl w:val="9"/>
    </w:pPr>
  </w:style>
  <w:style w:type="paragraph" w:customStyle="1" w:styleId="HeadingLevel9NONnumbered">
    <w:name w:val="Heading Level 9 (NON numbered)"/>
    <w:basedOn w:val="Normal"/>
    <w:next w:val="Normal"/>
    <w:uiPriority w:val="1"/>
    <w:qFormat/>
    <w:rsid w:val="0077410E"/>
    <w:pPr>
      <w:numPr>
        <w:ilvl w:val="8"/>
      </w:numPr>
    </w:pPr>
    <w:rPr>
      <w:rFonts w:eastAsiaTheme="majorEastAsia" w:cstheme="majorBidi"/>
      <w:b/>
      <w:bCs/>
      <w:i/>
      <w:color w:val="002060"/>
      <w:sz w:val="24"/>
      <w:szCs w:val="28"/>
    </w:rPr>
  </w:style>
  <w:style w:type="character" w:styleId="CommentReference">
    <w:name w:val="annotation reference"/>
    <w:basedOn w:val="DefaultParagraphFont"/>
    <w:uiPriority w:val="99"/>
    <w:semiHidden/>
    <w:locked/>
    <w:rsid w:val="000E0877"/>
    <w:rPr>
      <w:sz w:val="16"/>
      <w:szCs w:val="16"/>
    </w:rPr>
  </w:style>
  <w:style w:type="paragraph" w:styleId="CommentText">
    <w:name w:val="annotation text"/>
    <w:basedOn w:val="Normal"/>
    <w:link w:val="CommentTextChar"/>
    <w:uiPriority w:val="99"/>
    <w:semiHidden/>
    <w:locked/>
    <w:rsid w:val="000E0877"/>
    <w:rPr>
      <w:szCs w:val="20"/>
    </w:rPr>
  </w:style>
  <w:style w:type="character" w:customStyle="1" w:styleId="CommentTextChar">
    <w:name w:val="Comment Text Char"/>
    <w:basedOn w:val="DefaultParagraphFont"/>
    <w:link w:val="CommentText"/>
    <w:uiPriority w:val="99"/>
    <w:semiHidden/>
    <w:rsid w:val="000E0877"/>
    <w:rPr>
      <w:rFonts w:ascii="Arial" w:hAnsi="Arial"/>
      <w:sz w:val="20"/>
      <w:szCs w:val="20"/>
    </w:rPr>
  </w:style>
  <w:style w:type="paragraph" w:styleId="CommentSubject">
    <w:name w:val="annotation subject"/>
    <w:basedOn w:val="CommentText"/>
    <w:next w:val="CommentText"/>
    <w:link w:val="CommentSubjectChar"/>
    <w:uiPriority w:val="99"/>
    <w:semiHidden/>
    <w:locked/>
    <w:rsid w:val="000E0877"/>
    <w:rPr>
      <w:b/>
      <w:bCs/>
    </w:rPr>
  </w:style>
  <w:style w:type="character" w:customStyle="1" w:styleId="CommentSubjectChar">
    <w:name w:val="Comment Subject Char"/>
    <w:basedOn w:val="CommentTextChar"/>
    <w:link w:val="CommentSubject"/>
    <w:uiPriority w:val="99"/>
    <w:semiHidden/>
    <w:rsid w:val="000E0877"/>
    <w:rPr>
      <w:rFonts w:ascii="Arial" w:hAnsi="Arial"/>
      <w:b/>
      <w:bCs/>
      <w:sz w:val="20"/>
      <w:szCs w:val="20"/>
    </w:rPr>
  </w:style>
  <w:style w:type="paragraph" w:styleId="Revision">
    <w:name w:val="Revision"/>
    <w:hidden/>
    <w:uiPriority w:val="99"/>
    <w:semiHidden/>
    <w:rsid w:val="00685E65"/>
    <w:pPr>
      <w:spacing w:after="0" w:line="240" w:lineRule="auto"/>
    </w:pPr>
    <w:rPr>
      <w:rFonts w:ascii="Arial" w:hAnsi="Arial"/>
      <w:sz w:val="20"/>
    </w:rPr>
  </w:style>
  <w:style w:type="paragraph" w:styleId="Caption">
    <w:name w:val="caption"/>
    <w:basedOn w:val="Normal"/>
    <w:next w:val="Normal"/>
    <w:uiPriority w:val="35"/>
    <w:semiHidden/>
    <w:qFormat/>
    <w:locked/>
    <w:rsid w:val="000E3553"/>
    <w:pPr>
      <w:spacing w:after="200"/>
    </w:pPr>
    <w:rPr>
      <w:b/>
      <w:bCs/>
      <w:color w:val="4F81BD" w:themeColor="accent1"/>
      <w:sz w:val="18"/>
      <w:szCs w:val="18"/>
    </w:rPr>
  </w:style>
  <w:style w:type="paragraph" w:customStyle="1" w:styleId="Default">
    <w:name w:val="Default"/>
    <w:rsid w:val="009E233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0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3.tmp"/><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cc.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ublishing.unit@accc.gov.a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A2503959.dotm</Template>
  <TotalTime>0</TotalTime>
  <Pages>61</Pages>
  <Words>14716</Words>
  <Characters>83883</Characters>
  <Application>Microsoft Office Word</Application>
  <DocSecurity>4</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2014-07-24T01:18:00Z</dcterms:created>
  <dcterms:modified xsi:type="dcterms:W3CDTF">2014-07-24T01:18:00Z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file">
    <vt:lpwstr>H:\TRIMDATA\TRIM\TEMP\HPTRIM.7384\D14 98651  APFA-discussion paper - Redacted Cost allocation additional information - July 2014.DOCX</vt:lpwstr>
  </property>
</Properties>
</file>