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5165415"/>
        <w:docPartObj>
          <w:docPartGallery w:val="Cover Pages"/>
          <w:docPartUnique/>
        </w:docPartObj>
      </w:sdtPr>
      <w:sdtContent>
        <w:p w:rsidR="001D2542" w:rsidRDefault="001D2542" w:rsidP="00EC2F07">
          <w:r>
            <w:rPr>
              <w:noProof/>
              <w:lang w:eastAsia="en-AU"/>
            </w:rPr>
            <mc:AlternateContent>
              <mc:Choice Requires="wps">
                <w:drawing>
                  <wp:anchor distT="0" distB="0" distL="114300" distR="114300" simplePos="0" relativeHeight="251659264" behindDoc="1" locked="0" layoutInCell="1" allowOverlap="1" wp14:anchorId="675B52E3" wp14:editId="3587B544">
                    <wp:simplePos x="0" y="0"/>
                    <wp:positionH relativeFrom="column">
                      <wp:posOffset>-657225</wp:posOffset>
                    </wp:positionH>
                    <wp:positionV relativeFrom="paragraph">
                      <wp:posOffset>-559435</wp:posOffset>
                    </wp:positionV>
                    <wp:extent cx="7058025" cy="10163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" fillcolor="#d5d6d2 [3214]" stroked="f" strokeweight="2pt"/>
                </w:pict>
              </mc:Fallback>
            </mc:AlternateContent>
          </w:r>
          <w:r>
            <w:rPr>
              <w:noProof/>
              <w:lang w:eastAsia="en-AU"/>
            </w:rPr>
            <w:drawing>
              <wp:inline distT="0" distB="0" distL="0" distR="0" wp14:anchorId="3241D3A3" wp14:editId="2260D734">
                <wp:extent cx="2725235" cy="609600"/>
                <wp:effectExtent l="0" t="0" r="0" b="0"/>
                <wp:docPr id="2" name="Picture 2"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1D2542" w:rsidRPr="005E6C0E" w:rsidRDefault="001D2542" w:rsidP="00EC2F07"/>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1D2542" w:rsidRPr="00C755AD" w:rsidTr="00EC2F07">
            <w:trPr>
              <w:trHeight w:val="3135"/>
            </w:trPr>
            <w:tc>
              <w:tcPr>
                <w:tcW w:w="9242" w:type="dxa"/>
              </w:tcPr>
              <w:p w:rsidR="001D2542" w:rsidRPr="00C755AD" w:rsidRDefault="001D2542" w:rsidP="00EC2F07">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1D2542" w:rsidRPr="00C755AD" w:rsidTr="00EC2F07">
            <w:tc>
              <w:tcPr>
                <w:tcW w:w="9242" w:type="dxa"/>
              </w:tcPr>
              <w:p w:rsidR="001D2542" w:rsidRPr="00C755AD" w:rsidRDefault="001D2542" w:rsidP="00EC2F07">
                <w:pPr>
                  <w:pStyle w:val="Title"/>
                </w:pPr>
                <w:bookmarkStart w:id="0" w:name="_Toc409084892"/>
                <w:bookmarkStart w:id="1" w:name="_Toc409702751"/>
                <w:bookmarkStart w:id="2" w:name="_Toc409703039"/>
                <w:bookmarkStart w:id="3" w:name="_Toc409705271"/>
                <w:bookmarkStart w:id="4" w:name="_Toc417041182"/>
                <w:bookmarkStart w:id="5" w:name="_Toc417460212"/>
                <w:bookmarkStart w:id="6" w:name="_Toc421871412"/>
                <w:bookmarkStart w:id="7" w:name="_Toc422479408"/>
                <w:bookmarkStart w:id="8" w:name="_Toc423008311"/>
                <w:bookmarkStart w:id="9" w:name="_Toc423076688"/>
                <w:bookmarkStart w:id="10" w:name="_Toc423618785"/>
                <w:bookmarkStart w:id="11" w:name="_Toc423689012"/>
                <w:bookmarkStart w:id="12" w:name="_Toc424558697"/>
                <w:bookmarkStart w:id="13" w:name="_Toc425321961"/>
                <w:bookmarkStart w:id="14" w:name="_Toc425348693"/>
                <w:r w:rsidRPr="00FA3F97">
                  <w:rPr>
                    <w:sz w:val="52"/>
                    <w:szCs w:val="72"/>
                  </w:rPr>
                  <w:t>Report to the Minister pursuant to s 60J of the Competition and Consumer Act 2010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c>
          </w:tr>
          <w:tr w:rsidR="001D2542" w:rsidRPr="00C755AD" w:rsidTr="00EC2F07">
            <w:tc>
              <w:tcPr>
                <w:tcW w:w="9242" w:type="dxa"/>
              </w:tcPr>
              <w:p w:rsidR="001D2542" w:rsidRPr="00C755AD" w:rsidRDefault="001D2542" w:rsidP="001D2542">
                <w:pPr>
                  <w:pStyle w:val="Subtitle"/>
                </w:pPr>
                <w:r w:rsidRPr="00FA3F97">
                  <w:rPr>
                    <w:sz w:val="36"/>
                    <w:szCs w:val="36"/>
                  </w:rPr>
                  <w:t xml:space="preserve">Information about the ACCC’s operations during the </w:t>
                </w:r>
                <w:r>
                  <w:rPr>
                    <w:sz w:val="36"/>
                    <w:szCs w:val="36"/>
                  </w:rPr>
                  <w:t>June</w:t>
                </w:r>
                <w:r w:rsidRPr="00FA3F97">
                  <w:rPr>
                    <w:sz w:val="36"/>
                    <w:szCs w:val="36"/>
                  </w:rPr>
                  <w:t xml:space="preserve"> 2015 quarter relating to the carbon tax price reduction obligation</w:t>
                </w:r>
              </w:p>
            </w:tc>
          </w:tr>
          <w:tr w:rsidR="001D2542" w:rsidRPr="00C755AD" w:rsidTr="00EC2F07">
            <w:tc>
              <w:tcPr>
                <w:tcW w:w="9242" w:type="dxa"/>
              </w:tcPr>
              <w:p w:rsidR="001D2542" w:rsidRPr="00C755AD" w:rsidRDefault="001D2542" w:rsidP="00EC2F07"/>
              <w:p w:rsidR="001D2542" w:rsidRPr="00627C4D" w:rsidRDefault="001D2542" w:rsidP="00EC2F07">
                <w:pPr>
                  <w:pStyle w:val="CoverDate"/>
                  <w:rPr>
                    <w:b/>
                  </w:rPr>
                </w:pPr>
                <w:r w:rsidRPr="00627C4D">
                  <w:rPr>
                    <w:b/>
                  </w:rPr>
                  <w:t>July 2015</w:t>
                </w:r>
              </w:p>
            </w:tc>
          </w:tr>
        </w:tbl>
        <w:p w:rsidR="001D2542" w:rsidRPr="003B5A70" w:rsidRDefault="001D2542" w:rsidP="00EC2F07">
          <w:pPr>
            <w:tabs>
              <w:tab w:val="left" w:pos="340"/>
              <w:tab w:val="left" w:pos="680"/>
              <w:tab w:val="left" w:pos="1021"/>
              <w:tab w:val="left" w:pos="1361"/>
            </w:tabs>
          </w:pPr>
        </w:p>
        <w:p w:rsidR="001D2542" w:rsidRDefault="001D2542">
          <w:r>
            <w:br w:type="page"/>
          </w:r>
        </w:p>
        <w:p w:rsidR="004B009B" w:rsidRDefault="004B009B" w:rsidP="004B009B">
          <w:pPr>
            <w:pStyle w:val="Heading1"/>
          </w:pPr>
          <w:bookmarkStart w:id="15" w:name="_Toc421871413"/>
          <w:bookmarkStart w:id="16" w:name="_Toc422479409"/>
          <w:bookmarkStart w:id="17" w:name="_Toc423008312"/>
          <w:bookmarkStart w:id="18" w:name="_Toc423076689"/>
          <w:bookmarkStart w:id="19" w:name="_Toc423618786"/>
          <w:bookmarkStart w:id="20" w:name="_Toc423689013"/>
          <w:bookmarkStart w:id="21" w:name="_Toc424558698"/>
          <w:bookmarkStart w:id="22" w:name="_Toc425321962"/>
          <w:bookmarkStart w:id="23" w:name="_Toc425348694"/>
          <w:r>
            <w:lastRenderedPageBreak/>
            <w:t>Table of Contents</w:t>
          </w:r>
          <w:bookmarkEnd w:id="15"/>
          <w:bookmarkEnd w:id="16"/>
          <w:bookmarkEnd w:id="17"/>
          <w:bookmarkEnd w:id="18"/>
          <w:bookmarkEnd w:id="19"/>
          <w:bookmarkEnd w:id="20"/>
          <w:bookmarkEnd w:id="21"/>
          <w:bookmarkEnd w:id="22"/>
          <w:bookmarkEnd w:id="23"/>
          <w:r w:rsidRPr="004B009B">
            <w:t xml:space="preserve"> </w:t>
          </w:r>
        </w:p>
        <w:sdt>
          <w:sdtPr>
            <w:rPr>
              <w:noProof w:val="0"/>
              <w:lang w:val="en-AU" w:eastAsia="en-US"/>
            </w:rPr>
            <w:id w:val="2050868729"/>
            <w:docPartObj>
              <w:docPartGallery w:val="Table of Contents"/>
              <w:docPartUnique/>
            </w:docPartObj>
          </w:sdtPr>
          <w:sdtContent>
            <w:p w:rsidR="00395132" w:rsidRDefault="004B009B">
              <w:pPr>
                <w:pStyle w:val="TOC1"/>
                <w:rPr>
                  <w:rFonts w:asciiTheme="minorHAnsi" w:eastAsiaTheme="minorEastAsia" w:hAnsiTheme="minorHAnsi"/>
                  <w:lang w:val="en-AU" w:eastAsia="en-AU"/>
                </w:rPr>
              </w:pPr>
              <w:r>
                <w:fldChar w:fldCharType="begin"/>
              </w:r>
              <w:r>
                <w:instrText xml:space="preserve"> TOC \o \h \z \u </w:instrText>
              </w:r>
              <w:r>
                <w:fldChar w:fldCharType="separate"/>
              </w:r>
              <w:hyperlink w:anchor="_Toc425348695" w:history="1">
                <w:r w:rsidR="00395132" w:rsidRPr="00DD4C2B">
                  <w:rPr>
                    <w:rStyle w:val="Hyperlink"/>
                  </w:rPr>
                  <w:t>Executive Summary</w:t>
                </w:r>
                <w:r w:rsidR="00395132">
                  <w:rPr>
                    <w:webHidden/>
                  </w:rPr>
                  <w:tab/>
                </w:r>
                <w:r w:rsidR="00395132">
                  <w:rPr>
                    <w:webHidden/>
                  </w:rPr>
                  <w:fldChar w:fldCharType="begin"/>
                </w:r>
                <w:r w:rsidR="00395132">
                  <w:rPr>
                    <w:webHidden/>
                  </w:rPr>
                  <w:instrText xml:space="preserve"> PAGEREF _Toc425348695 \h </w:instrText>
                </w:r>
                <w:r w:rsidR="00395132">
                  <w:rPr>
                    <w:webHidden/>
                  </w:rPr>
                </w:r>
                <w:r w:rsidR="00395132">
                  <w:rPr>
                    <w:webHidden/>
                  </w:rPr>
                  <w:fldChar w:fldCharType="separate"/>
                </w:r>
                <w:r w:rsidR="00395132">
                  <w:rPr>
                    <w:webHidden/>
                  </w:rPr>
                  <w:t>1</w:t>
                </w:r>
                <w:r w:rsidR="00395132">
                  <w:rPr>
                    <w:webHidden/>
                  </w:rPr>
                  <w:fldChar w:fldCharType="end"/>
                </w:r>
              </w:hyperlink>
            </w:p>
            <w:p w:rsidR="00395132" w:rsidRDefault="00395132">
              <w:pPr>
                <w:pStyle w:val="TOC1"/>
                <w:rPr>
                  <w:rFonts w:asciiTheme="minorHAnsi" w:eastAsiaTheme="minorEastAsia" w:hAnsiTheme="minorHAnsi"/>
                  <w:lang w:val="en-AU" w:eastAsia="en-AU"/>
                </w:rPr>
              </w:pPr>
              <w:hyperlink w:anchor="_Toc425348696" w:history="1">
                <w:r w:rsidRPr="00DD4C2B">
                  <w:rPr>
                    <w:rStyle w:val="Hyperlink"/>
                  </w:rPr>
                  <w:t>Household cost savings</w:t>
                </w:r>
                <w:r>
                  <w:rPr>
                    <w:webHidden/>
                  </w:rPr>
                  <w:tab/>
                </w:r>
                <w:r>
                  <w:rPr>
                    <w:webHidden/>
                  </w:rPr>
                  <w:fldChar w:fldCharType="begin"/>
                </w:r>
                <w:r>
                  <w:rPr>
                    <w:webHidden/>
                  </w:rPr>
                  <w:instrText xml:space="preserve"> PAGEREF _Toc425348696 \h </w:instrText>
                </w:r>
                <w:r>
                  <w:rPr>
                    <w:webHidden/>
                  </w:rPr>
                </w:r>
                <w:r>
                  <w:rPr>
                    <w:webHidden/>
                  </w:rPr>
                  <w:fldChar w:fldCharType="separate"/>
                </w:r>
                <w:r>
                  <w:rPr>
                    <w:webHidden/>
                  </w:rPr>
                  <w:t>3</w:t>
                </w:r>
                <w:r>
                  <w:rPr>
                    <w:webHidden/>
                  </w:rPr>
                  <w:fldChar w:fldCharType="end"/>
                </w:r>
              </w:hyperlink>
            </w:p>
            <w:p w:rsidR="00395132" w:rsidRDefault="00395132">
              <w:pPr>
                <w:pStyle w:val="TOC2"/>
                <w:rPr>
                  <w:rFonts w:asciiTheme="minorHAnsi" w:eastAsiaTheme="minorEastAsia" w:hAnsiTheme="minorHAnsi"/>
                  <w:lang w:eastAsia="en-AU"/>
                </w:rPr>
              </w:pPr>
              <w:hyperlink w:anchor="_Toc425348697" w:history="1">
                <w:r w:rsidRPr="00DD4C2B">
                  <w:rPr>
                    <w:rStyle w:val="Hyperlink"/>
                  </w:rPr>
                  <w:t>Electricity and natural gas</w:t>
                </w:r>
                <w:r>
                  <w:rPr>
                    <w:webHidden/>
                  </w:rPr>
                  <w:tab/>
                </w:r>
                <w:r>
                  <w:rPr>
                    <w:webHidden/>
                  </w:rPr>
                  <w:fldChar w:fldCharType="begin"/>
                </w:r>
                <w:r>
                  <w:rPr>
                    <w:webHidden/>
                  </w:rPr>
                  <w:instrText xml:space="preserve"> PAGEREF _Toc425348697 \h </w:instrText>
                </w:r>
                <w:r>
                  <w:rPr>
                    <w:webHidden/>
                  </w:rPr>
                </w:r>
                <w:r>
                  <w:rPr>
                    <w:webHidden/>
                  </w:rPr>
                  <w:fldChar w:fldCharType="separate"/>
                </w:r>
                <w:r>
                  <w:rPr>
                    <w:webHidden/>
                  </w:rPr>
                  <w:t>3</w:t>
                </w:r>
                <w:r>
                  <w:rPr>
                    <w:webHidden/>
                  </w:rPr>
                  <w:fldChar w:fldCharType="end"/>
                </w:r>
              </w:hyperlink>
            </w:p>
            <w:p w:rsidR="00395132" w:rsidRDefault="00395132">
              <w:pPr>
                <w:pStyle w:val="TOC2"/>
                <w:rPr>
                  <w:rFonts w:asciiTheme="minorHAnsi" w:eastAsiaTheme="minorEastAsia" w:hAnsiTheme="minorHAnsi"/>
                  <w:lang w:eastAsia="en-AU"/>
                </w:rPr>
              </w:pPr>
              <w:hyperlink w:anchor="_Toc425348698" w:history="1">
                <w:r w:rsidRPr="00DD4C2B">
                  <w:rPr>
                    <w:rStyle w:val="Hyperlink"/>
                  </w:rPr>
                  <w:t>Synthetic greenhouse gas</w:t>
                </w:r>
                <w:r>
                  <w:rPr>
                    <w:webHidden/>
                  </w:rPr>
                  <w:tab/>
                </w:r>
                <w:r>
                  <w:rPr>
                    <w:webHidden/>
                  </w:rPr>
                  <w:fldChar w:fldCharType="begin"/>
                </w:r>
                <w:r>
                  <w:rPr>
                    <w:webHidden/>
                  </w:rPr>
                  <w:instrText xml:space="preserve"> PAGEREF _Toc425348698 \h </w:instrText>
                </w:r>
                <w:r>
                  <w:rPr>
                    <w:webHidden/>
                  </w:rPr>
                </w:r>
                <w:r>
                  <w:rPr>
                    <w:webHidden/>
                  </w:rPr>
                  <w:fldChar w:fldCharType="separate"/>
                </w:r>
                <w:r>
                  <w:rPr>
                    <w:webHidden/>
                  </w:rPr>
                  <w:t>4</w:t>
                </w:r>
                <w:r>
                  <w:rPr>
                    <w:webHidden/>
                  </w:rPr>
                  <w:fldChar w:fldCharType="end"/>
                </w:r>
              </w:hyperlink>
            </w:p>
            <w:p w:rsidR="00395132" w:rsidRDefault="00395132">
              <w:pPr>
                <w:pStyle w:val="TOC2"/>
                <w:rPr>
                  <w:rFonts w:asciiTheme="minorHAnsi" w:eastAsiaTheme="minorEastAsia" w:hAnsiTheme="minorHAnsi"/>
                  <w:lang w:eastAsia="en-AU"/>
                </w:rPr>
              </w:pPr>
              <w:hyperlink w:anchor="_Toc425348699" w:history="1">
                <w:r w:rsidRPr="00DD4C2B">
                  <w:rPr>
                    <w:rStyle w:val="Hyperlink"/>
                  </w:rPr>
                  <w:t>Other examples of household savings</w:t>
                </w:r>
                <w:r>
                  <w:rPr>
                    <w:webHidden/>
                  </w:rPr>
                  <w:tab/>
                </w:r>
                <w:r>
                  <w:rPr>
                    <w:webHidden/>
                  </w:rPr>
                  <w:fldChar w:fldCharType="begin"/>
                </w:r>
                <w:r>
                  <w:rPr>
                    <w:webHidden/>
                  </w:rPr>
                  <w:instrText xml:space="preserve"> PAGEREF _Toc425348699 \h </w:instrText>
                </w:r>
                <w:r>
                  <w:rPr>
                    <w:webHidden/>
                  </w:rPr>
                </w:r>
                <w:r>
                  <w:rPr>
                    <w:webHidden/>
                  </w:rPr>
                  <w:fldChar w:fldCharType="separate"/>
                </w:r>
                <w:r>
                  <w:rPr>
                    <w:webHidden/>
                  </w:rPr>
                  <w:t>4</w:t>
                </w:r>
                <w:r>
                  <w:rPr>
                    <w:webHidden/>
                  </w:rPr>
                  <w:fldChar w:fldCharType="end"/>
                </w:r>
              </w:hyperlink>
            </w:p>
            <w:p w:rsidR="00395132" w:rsidRDefault="00395132">
              <w:pPr>
                <w:pStyle w:val="TOC3"/>
                <w:rPr>
                  <w:rFonts w:asciiTheme="minorHAnsi" w:eastAsiaTheme="minorEastAsia" w:hAnsiTheme="minorHAnsi"/>
                  <w:lang w:eastAsia="en-AU"/>
                </w:rPr>
              </w:pPr>
              <w:hyperlink w:anchor="_Toc425348700" w:history="1">
                <w:r w:rsidRPr="00DD4C2B">
                  <w:rPr>
                    <w:rStyle w:val="Hyperlink"/>
                  </w:rPr>
                  <w:t>Rates and waste management charges</w:t>
                </w:r>
                <w:r>
                  <w:rPr>
                    <w:webHidden/>
                  </w:rPr>
                  <w:tab/>
                </w:r>
                <w:r>
                  <w:rPr>
                    <w:webHidden/>
                  </w:rPr>
                  <w:fldChar w:fldCharType="begin"/>
                </w:r>
                <w:r>
                  <w:rPr>
                    <w:webHidden/>
                  </w:rPr>
                  <w:instrText xml:space="preserve"> PAGEREF _Toc425348700 \h </w:instrText>
                </w:r>
                <w:r>
                  <w:rPr>
                    <w:webHidden/>
                  </w:rPr>
                </w:r>
                <w:r>
                  <w:rPr>
                    <w:webHidden/>
                  </w:rPr>
                  <w:fldChar w:fldCharType="separate"/>
                </w:r>
                <w:r>
                  <w:rPr>
                    <w:webHidden/>
                  </w:rPr>
                  <w:t>4</w:t>
                </w:r>
                <w:r>
                  <w:rPr>
                    <w:webHidden/>
                  </w:rPr>
                  <w:fldChar w:fldCharType="end"/>
                </w:r>
              </w:hyperlink>
            </w:p>
            <w:p w:rsidR="00395132" w:rsidRDefault="00395132">
              <w:pPr>
                <w:pStyle w:val="TOC3"/>
                <w:rPr>
                  <w:rFonts w:asciiTheme="minorHAnsi" w:eastAsiaTheme="minorEastAsia" w:hAnsiTheme="minorHAnsi"/>
                  <w:lang w:eastAsia="en-AU"/>
                </w:rPr>
              </w:pPr>
              <w:hyperlink w:anchor="_Toc425348701" w:history="1">
                <w:r w:rsidRPr="00DD4C2B">
                  <w:rPr>
                    <w:rStyle w:val="Hyperlink"/>
                  </w:rPr>
                  <w:t>Non-transport liquid petroleum gas</w:t>
                </w:r>
                <w:r>
                  <w:rPr>
                    <w:webHidden/>
                  </w:rPr>
                  <w:tab/>
                </w:r>
                <w:r>
                  <w:rPr>
                    <w:webHidden/>
                  </w:rPr>
                  <w:fldChar w:fldCharType="begin"/>
                </w:r>
                <w:r>
                  <w:rPr>
                    <w:webHidden/>
                  </w:rPr>
                  <w:instrText xml:space="preserve"> PAGEREF _Toc425348701 \h </w:instrText>
                </w:r>
                <w:r>
                  <w:rPr>
                    <w:webHidden/>
                  </w:rPr>
                </w:r>
                <w:r>
                  <w:rPr>
                    <w:webHidden/>
                  </w:rPr>
                  <w:fldChar w:fldCharType="separate"/>
                </w:r>
                <w:r>
                  <w:rPr>
                    <w:webHidden/>
                  </w:rPr>
                  <w:t>4</w:t>
                </w:r>
                <w:r>
                  <w:rPr>
                    <w:webHidden/>
                  </w:rPr>
                  <w:fldChar w:fldCharType="end"/>
                </w:r>
              </w:hyperlink>
            </w:p>
            <w:p w:rsidR="00395132" w:rsidRDefault="00395132">
              <w:pPr>
                <w:pStyle w:val="TOC3"/>
                <w:rPr>
                  <w:rFonts w:asciiTheme="minorHAnsi" w:eastAsiaTheme="minorEastAsia" w:hAnsiTheme="minorHAnsi"/>
                  <w:lang w:eastAsia="en-AU"/>
                </w:rPr>
              </w:pPr>
              <w:hyperlink w:anchor="_Toc425348702" w:history="1">
                <w:r w:rsidRPr="00DD4C2B">
                  <w:rPr>
                    <w:rStyle w:val="Hyperlink"/>
                  </w:rPr>
                  <w:t>Transport</w:t>
                </w:r>
                <w:r>
                  <w:rPr>
                    <w:webHidden/>
                  </w:rPr>
                  <w:tab/>
                </w:r>
                <w:r>
                  <w:rPr>
                    <w:webHidden/>
                  </w:rPr>
                  <w:fldChar w:fldCharType="begin"/>
                </w:r>
                <w:r>
                  <w:rPr>
                    <w:webHidden/>
                  </w:rPr>
                  <w:instrText xml:space="preserve"> PAGEREF _Toc425348702 \h </w:instrText>
                </w:r>
                <w:r>
                  <w:rPr>
                    <w:webHidden/>
                  </w:rPr>
                </w:r>
                <w:r>
                  <w:rPr>
                    <w:webHidden/>
                  </w:rPr>
                  <w:fldChar w:fldCharType="separate"/>
                </w:r>
                <w:r>
                  <w:rPr>
                    <w:webHidden/>
                  </w:rPr>
                  <w:t>5</w:t>
                </w:r>
                <w:r>
                  <w:rPr>
                    <w:webHidden/>
                  </w:rPr>
                  <w:fldChar w:fldCharType="end"/>
                </w:r>
              </w:hyperlink>
            </w:p>
            <w:p w:rsidR="00395132" w:rsidRDefault="00395132">
              <w:pPr>
                <w:pStyle w:val="TOC3"/>
                <w:rPr>
                  <w:rFonts w:asciiTheme="minorHAnsi" w:eastAsiaTheme="minorEastAsia" w:hAnsiTheme="minorHAnsi"/>
                  <w:lang w:eastAsia="en-AU"/>
                </w:rPr>
              </w:pPr>
              <w:hyperlink w:anchor="_Toc425348703" w:history="1">
                <w:r w:rsidRPr="00DD4C2B">
                  <w:rPr>
                    <w:rStyle w:val="Hyperlink"/>
                  </w:rPr>
                  <w:t>Water</w:t>
                </w:r>
                <w:r>
                  <w:rPr>
                    <w:webHidden/>
                  </w:rPr>
                  <w:tab/>
                </w:r>
                <w:r w:rsidR="00926334">
                  <w:rPr>
                    <w:webHidden/>
                  </w:rPr>
                  <w:tab/>
                </w:r>
                <w:r>
                  <w:rPr>
                    <w:webHidden/>
                  </w:rPr>
                  <w:fldChar w:fldCharType="begin"/>
                </w:r>
                <w:r>
                  <w:rPr>
                    <w:webHidden/>
                  </w:rPr>
                  <w:instrText xml:space="preserve"> PAGEREF _Toc425348703 \h </w:instrText>
                </w:r>
                <w:r>
                  <w:rPr>
                    <w:webHidden/>
                  </w:rPr>
                </w:r>
                <w:r>
                  <w:rPr>
                    <w:webHidden/>
                  </w:rPr>
                  <w:fldChar w:fldCharType="separate"/>
                </w:r>
                <w:r>
                  <w:rPr>
                    <w:webHidden/>
                  </w:rPr>
                  <w:t>5</w:t>
                </w:r>
                <w:r>
                  <w:rPr>
                    <w:webHidden/>
                  </w:rPr>
                  <w:fldChar w:fldCharType="end"/>
                </w:r>
              </w:hyperlink>
            </w:p>
            <w:p w:rsidR="00395132" w:rsidRDefault="00395132">
              <w:pPr>
                <w:pStyle w:val="TOC1"/>
                <w:rPr>
                  <w:rFonts w:asciiTheme="minorHAnsi" w:eastAsiaTheme="minorEastAsia" w:hAnsiTheme="minorHAnsi"/>
                  <w:lang w:val="en-AU" w:eastAsia="en-AU"/>
                </w:rPr>
              </w:pPr>
              <w:hyperlink w:anchor="_Toc425348704" w:history="1">
                <w:r w:rsidRPr="00DD4C2B">
                  <w:rPr>
                    <w:rStyle w:val="Hyperlink"/>
                  </w:rPr>
                  <w:t>Key findings of the ACCC’s monitoring activities</w:t>
                </w:r>
                <w:r>
                  <w:rPr>
                    <w:webHidden/>
                  </w:rPr>
                  <w:tab/>
                </w:r>
                <w:r>
                  <w:rPr>
                    <w:webHidden/>
                  </w:rPr>
                  <w:fldChar w:fldCharType="begin"/>
                </w:r>
                <w:r>
                  <w:rPr>
                    <w:webHidden/>
                  </w:rPr>
                  <w:instrText xml:space="preserve"> PAGEREF _Toc425348704 \h </w:instrText>
                </w:r>
                <w:r>
                  <w:rPr>
                    <w:webHidden/>
                  </w:rPr>
                </w:r>
                <w:r>
                  <w:rPr>
                    <w:webHidden/>
                  </w:rPr>
                  <w:fldChar w:fldCharType="separate"/>
                </w:r>
                <w:r>
                  <w:rPr>
                    <w:webHidden/>
                  </w:rPr>
                  <w:t>6</w:t>
                </w:r>
                <w:r>
                  <w:rPr>
                    <w:webHidden/>
                  </w:rPr>
                  <w:fldChar w:fldCharType="end"/>
                </w:r>
              </w:hyperlink>
            </w:p>
            <w:p w:rsidR="00395132" w:rsidRDefault="00395132">
              <w:pPr>
                <w:pStyle w:val="TOC2"/>
                <w:rPr>
                  <w:rFonts w:asciiTheme="minorHAnsi" w:eastAsiaTheme="minorEastAsia" w:hAnsiTheme="minorHAnsi"/>
                  <w:lang w:eastAsia="en-AU"/>
                </w:rPr>
              </w:pPr>
              <w:hyperlink w:anchor="_Toc425348705" w:history="1">
                <w:r w:rsidRPr="00DD4C2B">
                  <w:rPr>
                    <w:rStyle w:val="Hyperlink"/>
                  </w:rPr>
                  <w:t>Electricity and natural gas</w:t>
                </w:r>
                <w:r>
                  <w:rPr>
                    <w:webHidden/>
                  </w:rPr>
                  <w:tab/>
                </w:r>
                <w:r>
                  <w:rPr>
                    <w:webHidden/>
                  </w:rPr>
                  <w:fldChar w:fldCharType="begin"/>
                </w:r>
                <w:r>
                  <w:rPr>
                    <w:webHidden/>
                  </w:rPr>
                  <w:instrText xml:space="preserve"> PAGEREF _Toc425348705 \h </w:instrText>
                </w:r>
                <w:r>
                  <w:rPr>
                    <w:webHidden/>
                  </w:rPr>
                </w:r>
                <w:r>
                  <w:rPr>
                    <w:webHidden/>
                  </w:rPr>
                  <w:fldChar w:fldCharType="separate"/>
                </w:r>
                <w:r>
                  <w:rPr>
                    <w:webHidden/>
                  </w:rPr>
                  <w:t>6</w:t>
                </w:r>
                <w:r>
                  <w:rPr>
                    <w:webHidden/>
                  </w:rPr>
                  <w:fldChar w:fldCharType="end"/>
                </w:r>
              </w:hyperlink>
            </w:p>
            <w:p w:rsidR="00395132" w:rsidRDefault="00395132">
              <w:pPr>
                <w:pStyle w:val="TOC3"/>
                <w:rPr>
                  <w:rFonts w:asciiTheme="minorHAnsi" w:eastAsiaTheme="minorEastAsia" w:hAnsiTheme="minorHAnsi"/>
                  <w:lang w:eastAsia="en-AU"/>
                </w:rPr>
              </w:pPr>
              <w:hyperlink w:anchor="_Toc425348706" w:history="1">
                <w:r w:rsidRPr="00DD4C2B">
                  <w:rPr>
                    <w:rStyle w:val="Hyperlink"/>
                  </w:rPr>
                  <w:t>Monitoring activities in the June 2015 quarter</w:t>
                </w:r>
                <w:r>
                  <w:rPr>
                    <w:webHidden/>
                  </w:rPr>
                  <w:tab/>
                </w:r>
                <w:r>
                  <w:rPr>
                    <w:webHidden/>
                  </w:rPr>
                  <w:fldChar w:fldCharType="begin"/>
                </w:r>
                <w:r>
                  <w:rPr>
                    <w:webHidden/>
                  </w:rPr>
                  <w:instrText xml:space="preserve"> PAGEREF _Toc425348706 \h </w:instrText>
                </w:r>
                <w:r>
                  <w:rPr>
                    <w:webHidden/>
                  </w:rPr>
                </w:r>
                <w:r>
                  <w:rPr>
                    <w:webHidden/>
                  </w:rPr>
                  <w:fldChar w:fldCharType="separate"/>
                </w:r>
                <w:r>
                  <w:rPr>
                    <w:webHidden/>
                  </w:rPr>
                  <w:t>6</w:t>
                </w:r>
                <w:r>
                  <w:rPr>
                    <w:webHidden/>
                  </w:rPr>
                  <w:fldChar w:fldCharType="end"/>
                </w:r>
              </w:hyperlink>
            </w:p>
            <w:p w:rsidR="00395132" w:rsidRDefault="00395132">
              <w:pPr>
                <w:pStyle w:val="TOC3"/>
                <w:rPr>
                  <w:rFonts w:asciiTheme="minorHAnsi" w:eastAsiaTheme="minorEastAsia" w:hAnsiTheme="minorHAnsi"/>
                  <w:lang w:eastAsia="en-AU"/>
                </w:rPr>
              </w:pPr>
              <w:hyperlink w:anchor="_Toc425348707" w:history="1">
                <w:r w:rsidRPr="00DD4C2B">
                  <w:rPr>
                    <w:rStyle w:val="Hyperlink"/>
                  </w:rPr>
                  <w:t>Key findings</w:t>
                </w:r>
                <w:r>
                  <w:rPr>
                    <w:webHidden/>
                  </w:rPr>
                  <w:tab/>
                </w:r>
                <w:r>
                  <w:rPr>
                    <w:webHidden/>
                  </w:rPr>
                  <w:fldChar w:fldCharType="begin"/>
                </w:r>
                <w:r>
                  <w:rPr>
                    <w:webHidden/>
                  </w:rPr>
                  <w:instrText xml:space="preserve"> PAGEREF _Toc425348707 \h </w:instrText>
                </w:r>
                <w:r>
                  <w:rPr>
                    <w:webHidden/>
                  </w:rPr>
                </w:r>
                <w:r>
                  <w:rPr>
                    <w:webHidden/>
                  </w:rPr>
                  <w:fldChar w:fldCharType="separate"/>
                </w:r>
                <w:r>
                  <w:rPr>
                    <w:webHidden/>
                  </w:rPr>
                  <w:t>6</w:t>
                </w:r>
                <w:r>
                  <w:rPr>
                    <w:webHidden/>
                  </w:rPr>
                  <w:fldChar w:fldCharType="end"/>
                </w:r>
              </w:hyperlink>
            </w:p>
            <w:p w:rsidR="00395132" w:rsidRDefault="00395132">
              <w:pPr>
                <w:pStyle w:val="TOC3"/>
                <w:rPr>
                  <w:rFonts w:asciiTheme="minorHAnsi" w:eastAsiaTheme="minorEastAsia" w:hAnsiTheme="minorHAnsi"/>
                  <w:lang w:eastAsia="en-AU"/>
                </w:rPr>
              </w:pPr>
              <w:hyperlink w:anchor="_Toc425348708" w:history="1">
                <w:r w:rsidRPr="00DD4C2B">
                  <w:rPr>
                    <w:rStyle w:val="Hyperlink"/>
                  </w:rPr>
                  <w:t>Household cost savings</w:t>
                </w:r>
                <w:r>
                  <w:rPr>
                    <w:webHidden/>
                  </w:rPr>
                  <w:tab/>
                </w:r>
                <w:r>
                  <w:rPr>
                    <w:webHidden/>
                  </w:rPr>
                  <w:fldChar w:fldCharType="begin"/>
                </w:r>
                <w:r>
                  <w:rPr>
                    <w:webHidden/>
                  </w:rPr>
                  <w:instrText xml:space="preserve"> PAGEREF _Toc425348708 \h </w:instrText>
                </w:r>
                <w:r>
                  <w:rPr>
                    <w:webHidden/>
                  </w:rPr>
                </w:r>
                <w:r>
                  <w:rPr>
                    <w:webHidden/>
                  </w:rPr>
                  <w:fldChar w:fldCharType="separate"/>
                </w:r>
                <w:r>
                  <w:rPr>
                    <w:webHidden/>
                  </w:rPr>
                  <w:t>7</w:t>
                </w:r>
                <w:r>
                  <w:rPr>
                    <w:webHidden/>
                  </w:rPr>
                  <w:fldChar w:fldCharType="end"/>
                </w:r>
              </w:hyperlink>
            </w:p>
            <w:p w:rsidR="00395132" w:rsidRDefault="00395132">
              <w:pPr>
                <w:pStyle w:val="TOC2"/>
                <w:rPr>
                  <w:rFonts w:asciiTheme="minorHAnsi" w:eastAsiaTheme="minorEastAsia" w:hAnsiTheme="minorHAnsi"/>
                  <w:lang w:eastAsia="en-AU"/>
                </w:rPr>
              </w:pPr>
              <w:hyperlink w:anchor="_Toc425348709" w:history="1">
                <w:r w:rsidRPr="00DD4C2B">
                  <w:rPr>
                    <w:rStyle w:val="Hyperlink"/>
                  </w:rPr>
                  <w:t>Synthetic greenhouse gas</w:t>
                </w:r>
                <w:r>
                  <w:rPr>
                    <w:webHidden/>
                  </w:rPr>
                  <w:tab/>
                </w:r>
                <w:r>
                  <w:rPr>
                    <w:webHidden/>
                  </w:rPr>
                  <w:fldChar w:fldCharType="begin"/>
                </w:r>
                <w:r>
                  <w:rPr>
                    <w:webHidden/>
                  </w:rPr>
                  <w:instrText xml:space="preserve"> PAGEREF _Toc425348709 \h </w:instrText>
                </w:r>
                <w:r>
                  <w:rPr>
                    <w:webHidden/>
                  </w:rPr>
                </w:r>
                <w:r>
                  <w:rPr>
                    <w:webHidden/>
                  </w:rPr>
                  <w:fldChar w:fldCharType="separate"/>
                </w:r>
                <w:r>
                  <w:rPr>
                    <w:webHidden/>
                  </w:rPr>
                  <w:t>9</w:t>
                </w:r>
                <w:r>
                  <w:rPr>
                    <w:webHidden/>
                  </w:rPr>
                  <w:fldChar w:fldCharType="end"/>
                </w:r>
              </w:hyperlink>
            </w:p>
            <w:p w:rsidR="00395132" w:rsidRDefault="00395132">
              <w:pPr>
                <w:pStyle w:val="TOC3"/>
                <w:rPr>
                  <w:rFonts w:asciiTheme="minorHAnsi" w:eastAsiaTheme="minorEastAsia" w:hAnsiTheme="minorHAnsi"/>
                  <w:lang w:eastAsia="en-AU"/>
                </w:rPr>
              </w:pPr>
              <w:hyperlink w:anchor="_Toc425348710" w:history="1">
                <w:r w:rsidRPr="00DD4C2B">
                  <w:rPr>
                    <w:rStyle w:val="Hyperlink"/>
                  </w:rPr>
                  <w:t>Monitoring activities in the June 2015 quarter</w:t>
                </w:r>
                <w:r>
                  <w:rPr>
                    <w:webHidden/>
                  </w:rPr>
                  <w:tab/>
                </w:r>
                <w:r>
                  <w:rPr>
                    <w:webHidden/>
                  </w:rPr>
                  <w:fldChar w:fldCharType="begin"/>
                </w:r>
                <w:r>
                  <w:rPr>
                    <w:webHidden/>
                  </w:rPr>
                  <w:instrText xml:space="preserve"> PAGEREF _Toc425348710 \h </w:instrText>
                </w:r>
                <w:r>
                  <w:rPr>
                    <w:webHidden/>
                  </w:rPr>
                </w:r>
                <w:r>
                  <w:rPr>
                    <w:webHidden/>
                  </w:rPr>
                  <w:fldChar w:fldCharType="separate"/>
                </w:r>
                <w:r>
                  <w:rPr>
                    <w:webHidden/>
                  </w:rPr>
                  <w:t>9</w:t>
                </w:r>
                <w:r>
                  <w:rPr>
                    <w:webHidden/>
                  </w:rPr>
                  <w:fldChar w:fldCharType="end"/>
                </w:r>
              </w:hyperlink>
            </w:p>
            <w:p w:rsidR="00395132" w:rsidRDefault="00395132">
              <w:pPr>
                <w:pStyle w:val="TOC3"/>
                <w:rPr>
                  <w:rFonts w:asciiTheme="minorHAnsi" w:eastAsiaTheme="minorEastAsia" w:hAnsiTheme="minorHAnsi"/>
                  <w:lang w:eastAsia="en-AU"/>
                </w:rPr>
              </w:pPr>
              <w:hyperlink w:anchor="_Toc425348711" w:history="1">
                <w:r w:rsidRPr="00DD4C2B">
                  <w:rPr>
                    <w:rStyle w:val="Hyperlink"/>
                  </w:rPr>
                  <w:t>Key findings</w:t>
                </w:r>
                <w:r>
                  <w:rPr>
                    <w:webHidden/>
                  </w:rPr>
                  <w:tab/>
                </w:r>
                <w:r>
                  <w:rPr>
                    <w:webHidden/>
                  </w:rPr>
                  <w:fldChar w:fldCharType="begin"/>
                </w:r>
                <w:r>
                  <w:rPr>
                    <w:webHidden/>
                  </w:rPr>
                  <w:instrText xml:space="preserve"> PAGEREF _Toc425348711 \h </w:instrText>
                </w:r>
                <w:r>
                  <w:rPr>
                    <w:webHidden/>
                  </w:rPr>
                </w:r>
                <w:r>
                  <w:rPr>
                    <w:webHidden/>
                  </w:rPr>
                  <w:fldChar w:fldCharType="separate"/>
                </w:r>
                <w:r>
                  <w:rPr>
                    <w:webHidden/>
                  </w:rPr>
                  <w:t>10</w:t>
                </w:r>
                <w:r>
                  <w:rPr>
                    <w:webHidden/>
                  </w:rPr>
                  <w:fldChar w:fldCharType="end"/>
                </w:r>
              </w:hyperlink>
            </w:p>
            <w:p w:rsidR="00395132" w:rsidRDefault="00395132">
              <w:pPr>
                <w:pStyle w:val="TOC3"/>
                <w:rPr>
                  <w:rFonts w:asciiTheme="minorHAnsi" w:eastAsiaTheme="minorEastAsia" w:hAnsiTheme="minorHAnsi"/>
                  <w:lang w:eastAsia="en-AU"/>
                </w:rPr>
              </w:pPr>
              <w:hyperlink w:anchor="_Toc425348712" w:history="1">
                <w:r w:rsidRPr="00DD4C2B">
                  <w:rPr>
                    <w:rStyle w:val="Hyperlink"/>
                  </w:rPr>
                  <w:t>Background</w:t>
                </w:r>
                <w:r>
                  <w:rPr>
                    <w:webHidden/>
                  </w:rPr>
                  <w:tab/>
                </w:r>
                <w:r>
                  <w:rPr>
                    <w:webHidden/>
                  </w:rPr>
                  <w:fldChar w:fldCharType="begin"/>
                </w:r>
                <w:r>
                  <w:rPr>
                    <w:webHidden/>
                  </w:rPr>
                  <w:instrText xml:space="preserve"> PAGEREF _Toc425348712 \h </w:instrText>
                </w:r>
                <w:r>
                  <w:rPr>
                    <w:webHidden/>
                  </w:rPr>
                </w:r>
                <w:r>
                  <w:rPr>
                    <w:webHidden/>
                  </w:rPr>
                  <w:fldChar w:fldCharType="separate"/>
                </w:r>
                <w:r>
                  <w:rPr>
                    <w:webHidden/>
                  </w:rPr>
                  <w:t>11</w:t>
                </w:r>
                <w:r>
                  <w:rPr>
                    <w:webHidden/>
                  </w:rPr>
                  <w:fldChar w:fldCharType="end"/>
                </w:r>
              </w:hyperlink>
            </w:p>
            <w:p w:rsidR="00395132" w:rsidRDefault="00395132">
              <w:pPr>
                <w:pStyle w:val="TOC4"/>
                <w:rPr>
                  <w:rFonts w:asciiTheme="minorHAnsi" w:eastAsiaTheme="minorEastAsia" w:hAnsiTheme="minorHAnsi"/>
                  <w:lang w:eastAsia="en-AU"/>
                </w:rPr>
              </w:pPr>
              <w:hyperlink w:anchor="_Toc425348713" w:history="1">
                <w:r w:rsidRPr="00DD4C2B">
                  <w:rPr>
                    <w:rStyle w:val="Hyperlink"/>
                  </w:rPr>
                  <w:t>Bulk importers/wholesalers</w:t>
                </w:r>
                <w:r>
                  <w:rPr>
                    <w:webHidden/>
                  </w:rPr>
                  <w:tab/>
                </w:r>
                <w:r>
                  <w:rPr>
                    <w:webHidden/>
                  </w:rPr>
                  <w:fldChar w:fldCharType="begin"/>
                </w:r>
                <w:r>
                  <w:rPr>
                    <w:webHidden/>
                  </w:rPr>
                  <w:instrText xml:space="preserve"> PAGEREF _Toc425348713 \h </w:instrText>
                </w:r>
                <w:r>
                  <w:rPr>
                    <w:webHidden/>
                  </w:rPr>
                </w:r>
                <w:r>
                  <w:rPr>
                    <w:webHidden/>
                  </w:rPr>
                  <w:fldChar w:fldCharType="separate"/>
                </w:r>
                <w:r>
                  <w:rPr>
                    <w:webHidden/>
                  </w:rPr>
                  <w:t>11</w:t>
                </w:r>
                <w:r>
                  <w:rPr>
                    <w:webHidden/>
                  </w:rPr>
                  <w:fldChar w:fldCharType="end"/>
                </w:r>
              </w:hyperlink>
            </w:p>
            <w:p w:rsidR="00395132" w:rsidRDefault="00395132">
              <w:pPr>
                <w:pStyle w:val="TOC4"/>
                <w:rPr>
                  <w:rFonts w:asciiTheme="minorHAnsi" w:eastAsiaTheme="minorEastAsia" w:hAnsiTheme="minorHAnsi"/>
                  <w:lang w:eastAsia="en-AU"/>
                </w:rPr>
              </w:pPr>
              <w:hyperlink w:anchor="_Toc425348714" w:history="1">
                <w:r w:rsidRPr="00DD4C2B">
                  <w:rPr>
                    <w:rStyle w:val="Hyperlink"/>
                  </w:rPr>
                  <w:t>Synthetic greenhouse gas equipment</w:t>
                </w:r>
                <w:r>
                  <w:rPr>
                    <w:webHidden/>
                  </w:rPr>
                  <w:tab/>
                </w:r>
                <w:r>
                  <w:rPr>
                    <w:webHidden/>
                  </w:rPr>
                  <w:fldChar w:fldCharType="begin"/>
                </w:r>
                <w:r>
                  <w:rPr>
                    <w:webHidden/>
                  </w:rPr>
                  <w:instrText xml:space="preserve"> PAGEREF _Toc425348714 \h </w:instrText>
                </w:r>
                <w:r>
                  <w:rPr>
                    <w:webHidden/>
                  </w:rPr>
                </w:r>
                <w:r>
                  <w:rPr>
                    <w:webHidden/>
                  </w:rPr>
                  <w:fldChar w:fldCharType="separate"/>
                </w:r>
                <w:r>
                  <w:rPr>
                    <w:webHidden/>
                  </w:rPr>
                  <w:t>11</w:t>
                </w:r>
                <w:r>
                  <w:rPr>
                    <w:webHidden/>
                  </w:rPr>
                  <w:fldChar w:fldCharType="end"/>
                </w:r>
              </w:hyperlink>
            </w:p>
            <w:p w:rsidR="00395132" w:rsidRDefault="00395132">
              <w:pPr>
                <w:pStyle w:val="TOC2"/>
                <w:rPr>
                  <w:rFonts w:asciiTheme="minorHAnsi" w:eastAsiaTheme="minorEastAsia" w:hAnsiTheme="minorHAnsi"/>
                  <w:lang w:eastAsia="en-AU"/>
                </w:rPr>
              </w:pPr>
              <w:hyperlink w:anchor="_Toc425348715" w:history="1">
                <w:r w:rsidRPr="00DD4C2B">
                  <w:rPr>
                    <w:rStyle w:val="Hyperlink"/>
                  </w:rPr>
                  <w:t>Landfill facility operation</w:t>
                </w:r>
                <w:r>
                  <w:rPr>
                    <w:webHidden/>
                  </w:rPr>
                  <w:tab/>
                </w:r>
                <w:r>
                  <w:rPr>
                    <w:webHidden/>
                  </w:rPr>
                  <w:fldChar w:fldCharType="begin"/>
                </w:r>
                <w:r>
                  <w:rPr>
                    <w:webHidden/>
                  </w:rPr>
                  <w:instrText xml:space="preserve"> PAGEREF _Toc425348715 \h </w:instrText>
                </w:r>
                <w:r>
                  <w:rPr>
                    <w:webHidden/>
                  </w:rPr>
                </w:r>
                <w:r>
                  <w:rPr>
                    <w:webHidden/>
                  </w:rPr>
                  <w:fldChar w:fldCharType="separate"/>
                </w:r>
                <w:r>
                  <w:rPr>
                    <w:webHidden/>
                  </w:rPr>
                  <w:t>12</w:t>
                </w:r>
                <w:r>
                  <w:rPr>
                    <w:webHidden/>
                  </w:rPr>
                  <w:fldChar w:fldCharType="end"/>
                </w:r>
              </w:hyperlink>
            </w:p>
            <w:p w:rsidR="00395132" w:rsidRDefault="00395132">
              <w:pPr>
                <w:pStyle w:val="TOC3"/>
                <w:rPr>
                  <w:rFonts w:asciiTheme="minorHAnsi" w:eastAsiaTheme="minorEastAsia" w:hAnsiTheme="minorHAnsi"/>
                  <w:lang w:eastAsia="en-AU"/>
                </w:rPr>
              </w:pPr>
              <w:hyperlink w:anchor="_Toc425348716" w:history="1">
                <w:r w:rsidRPr="00DD4C2B">
                  <w:rPr>
                    <w:rStyle w:val="Hyperlink"/>
                  </w:rPr>
                  <w:t>Monitoring activities in the June 2015 quarter</w:t>
                </w:r>
                <w:r>
                  <w:rPr>
                    <w:webHidden/>
                  </w:rPr>
                  <w:tab/>
                </w:r>
                <w:r>
                  <w:rPr>
                    <w:webHidden/>
                  </w:rPr>
                  <w:fldChar w:fldCharType="begin"/>
                </w:r>
                <w:r>
                  <w:rPr>
                    <w:webHidden/>
                  </w:rPr>
                  <w:instrText xml:space="preserve"> PAGEREF _Toc425348716 \h </w:instrText>
                </w:r>
                <w:r>
                  <w:rPr>
                    <w:webHidden/>
                  </w:rPr>
                </w:r>
                <w:r>
                  <w:rPr>
                    <w:webHidden/>
                  </w:rPr>
                  <w:fldChar w:fldCharType="separate"/>
                </w:r>
                <w:r>
                  <w:rPr>
                    <w:webHidden/>
                  </w:rPr>
                  <w:t>12</w:t>
                </w:r>
                <w:r>
                  <w:rPr>
                    <w:webHidden/>
                  </w:rPr>
                  <w:fldChar w:fldCharType="end"/>
                </w:r>
              </w:hyperlink>
            </w:p>
            <w:p w:rsidR="00395132" w:rsidRDefault="00395132">
              <w:pPr>
                <w:pStyle w:val="TOC3"/>
                <w:rPr>
                  <w:rFonts w:asciiTheme="minorHAnsi" w:eastAsiaTheme="minorEastAsia" w:hAnsiTheme="minorHAnsi"/>
                  <w:lang w:eastAsia="en-AU"/>
                </w:rPr>
              </w:pPr>
              <w:hyperlink w:anchor="_Toc425348717" w:history="1">
                <w:r w:rsidRPr="00DD4C2B">
                  <w:rPr>
                    <w:rStyle w:val="Hyperlink"/>
                  </w:rPr>
                  <w:t>Key findings</w:t>
                </w:r>
                <w:r>
                  <w:rPr>
                    <w:webHidden/>
                  </w:rPr>
                  <w:tab/>
                </w:r>
                <w:r>
                  <w:rPr>
                    <w:webHidden/>
                  </w:rPr>
                  <w:fldChar w:fldCharType="begin"/>
                </w:r>
                <w:r>
                  <w:rPr>
                    <w:webHidden/>
                  </w:rPr>
                  <w:instrText xml:space="preserve"> PAGEREF _Toc425348717 \h </w:instrText>
                </w:r>
                <w:r>
                  <w:rPr>
                    <w:webHidden/>
                  </w:rPr>
                </w:r>
                <w:r>
                  <w:rPr>
                    <w:webHidden/>
                  </w:rPr>
                  <w:fldChar w:fldCharType="separate"/>
                </w:r>
                <w:r>
                  <w:rPr>
                    <w:webHidden/>
                  </w:rPr>
                  <w:t>12</w:t>
                </w:r>
                <w:r>
                  <w:rPr>
                    <w:webHidden/>
                  </w:rPr>
                  <w:fldChar w:fldCharType="end"/>
                </w:r>
              </w:hyperlink>
            </w:p>
            <w:p w:rsidR="00395132" w:rsidRDefault="00395132">
              <w:pPr>
                <w:pStyle w:val="TOC4"/>
                <w:rPr>
                  <w:rFonts w:asciiTheme="minorHAnsi" w:eastAsiaTheme="minorEastAsia" w:hAnsiTheme="minorHAnsi"/>
                  <w:lang w:eastAsia="en-AU"/>
                </w:rPr>
              </w:pPr>
              <w:hyperlink w:anchor="_Toc425348718" w:history="1">
                <w:r w:rsidRPr="00DD4C2B">
                  <w:rPr>
                    <w:rStyle w:val="Hyperlink"/>
                  </w:rPr>
                  <w:t>Removal of carbon tax cost components from landfill facility gate fees</w:t>
                </w:r>
                <w:r>
                  <w:rPr>
                    <w:webHidden/>
                  </w:rPr>
                  <w:tab/>
                </w:r>
                <w:r>
                  <w:rPr>
                    <w:webHidden/>
                  </w:rPr>
                  <w:fldChar w:fldCharType="begin"/>
                </w:r>
                <w:r>
                  <w:rPr>
                    <w:webHidden/>
                  </w:rPr>
                  <w:instrText xml:space="preserve"> PAGEREF _Toc425348718 \h </w:instrText>
                </w:r>
                <w:r>
                  <w:rPr>
                    <w:webHidden/>
                  </w:rPr>
                </w:r>
                <w:r>
                  <w:rPr>
                    <w:webHidden/>
                  </w:rPr>
                  <w:fldChar w:fldCharType="separate"/>
                </w:r>
                <w:r>
                  <w:rPr>
                    <w:webHidden/>
                  </w:rPr>
                  <w:t>12</w:t>
                </w:r>
                <w:r>
                  <w:rPr>
                    <w:webHidden/>
                  </w:rPr>
                  <w:fldChar w:fldCharType="end"/>
                </w:r>
              </w:hyperlink>
            </w:p>
            <w:p w:rsidR="00395132" w:rsidRDefault="00395132">
              <w:pPr>
                <w:pStyle w:val="TOC4"/>
                <w:rPr>
                  <w:rFonts w:asciiTheme="minorHAnsi" w:eastAsiaTheme="minorEastAsia" w:hAnsiTheme="minorHAnsi"/>
                  <w:lang w:eastAsia="en-AU"/>
                </w:rPr>
              </w:pPr>
              <w:hyperlink w:anchor="_Toc425348719" w:history="1">
                <w:r w:rsidRPr="00DD4C2B">
                  <w:rPr>
                    <w:rStyle w:val="Hyperlink"/>
                  </w:rPr>
                  <w:t>Refunds of carbon tax components paid in gate fees during the refund period</w:t>
                </w:r>
                <w:r>
                  <w:rPr>
                    <w:webHidden/>
                  </w:rPr>
                  <w:tab/>
                </w:r>
                <w:r>
                  <w:rPr>
                    <w:webHidden/>
                  </w:rPr>
                  <w:fldChar w:fldCharType="begin"/>
                </w:r>
                <w:r>
                  <w:rPr>
                    <w:webHidden/>
                  </w:rPr>
                  <w:instrText xml:space="preserve"> PAGEREF _Toc425348719 \h </w:instrText>
                </w:r>
                <w:r>
                  <w:rPr>
                    <w:webHidden/>
                  </w:rPr>
                </w:r>
                <w:r>
                  <w:rPr>
                    <w:webHidden/>
                  </w:rPr>
                  <w:fldChar w:fldCharType="separate"/>
                </w:r>
                <w:r>
                  <w:rPr>
                    <w:webHidden/>
                  </w:rPr>
                  <w:t>12</w:t>
                </w:r>
                <w:r>
                  <w:rPr>
                    <w:webHidden/>
                  </w:rPr>
                  <w:fldChar w:fldCharType="end"/>
                </w:r>
              </w:hyperlink>
            </w:p>
            <w:p w:rsidR="00395132" w:rsidRDefault="00395132">
              <w:pPr>
                <w:pStyle w:val="TOC4"/>
                <w:rPr>
                  <w:rFonts w:asciiTheme="minorHAnsi" w:eastAsiaTheme="minorEastAsia" w:hAnsiTheme="minorHAnsi"/>
                  <w:lang w:eastAsia="en-AU"/>
                </w:rPr>
              </w:pPr>
              <w:hyperlink w:anchor="_Toc425348720" w:history="1">
                <w:r w:rsidRPr="00DD4C2B">
                  <w:rPr>
                    <w:rStyle w:val="Hyperlink"/>
                  </w:rPr>
                  <w:t>Money collected for future carbon tax liabilities that will no longer eventuate</w:t>
                </w:r>
                <w:r>
                  <w:rPr>
                    <w:webHidden/>
                  </w:rPr>
                  <w:tab/>
                </w:r>
                <w:r>
                  <w:rPr>
                    <w:webHidden/>
                  </w:rPr>
                  <w:fldChar w:fldCharType="begin"/>
                </w:r>
                <w:r>
                  <w:rPr>
                    <w:webHidden/>
                  </w:rPr>
                  <w:instrText xml:space="preserve"> PAGEREF _Toc425348720 \h </w:instrText>
                </w:r>
                <w:r>
                  <w:rPr>
                    <w:webHidden/>
                  </w:rPr>
                </w:r>
                <w:r>
                  <w:rPr>
                    <w:webHidden/>
                  </w:rPr>
                  <w:fldChar w:fldCharType="separate"/>
                </w:r>
                <w:r>
                  <w:rPr>
                    <w:webHidden/>
                  </w:rPr>
                  <w:t>13</w:t>
                </w:r>
                <w:r>
                  <w:rPr>
                    <w:webHidden/>
                  </w:rPr>
                  <w:fldChar w:fldCharType="end"/>
                </w:r>
              </w:hyperlink>
            </w:p>
            <w:p w:rsidR="00395132" w:rsidRDefault="00395132">
              <w:pPr>
                <w:pStyle w:val="TOC2"/>
                <w:rPr>
                  <w:rFonts w:asciiTheme="minorHAnsi" w:eastAsiaTheme="minorEastAsia" w:hAnsiTheme="minorHAnsi"/>
                  <w:lang w:eastAsia="en-AU"/>
                </w:rPr>
              </w:pPr>
              <w:hyperlink w:anchor="_Toc425348721" w:history="1">
                <w:r w:rsidRPr="00DD4C2B">
                  <w:rPr>
                    <w:rStyle w:val="Hyperlink"/>
                  </w:rPr>
                  <w:t>Local councils–general rates and waste management charges</w:t>
                </w:r>
                <w:r>
                  <w:rPr>
                    <w:webHidden/>
                  </w:rPr>
                  <w:tab/>
                </w:r>
                <w:r>
                  <w:rPr>
                    <w:webHidden/>
                  </w:rPr>
                  <w:fldChar w:fldCharType="begin"/>
                </w:r>
                <w:r>
                  <w:rPr>
                    <w:webHidden/>
                  </w:rPr>
                  <w:instrText xml:space="preserve"> PAGEREF _Toc425348721 \h </w:instrText>
                </w:r>
                <w:r>
                  <w:rPr>
                    <w:webHidden/>
                  </w:rPr>
                </w:r>
                <w:r>
                  <w:rPr>
                    <w:webHidden/>
                  </w:rPr>
                  <w:fldChar w:fldCharType="separate"/>
                </w:r>
                <w:r>
                  <w:rPr>
                    <w:webHidden/>
                  </w:rPr>
                  <w:t>14</w:t>
                </w:r>
                <w:r>
                  <w:rPr>
                    <w:webHidden/>
                  </w:rPr>
                  <w:fldChar w:fldCharType="end"/>
                </w:r>
              </w:hyperlink>
            </w:p>
            <w:p w:rsidR="00395132" w:rsidRDefault="00395132">
              <w:pPr>
                <w:pStyle w:val="TOC3"/>
                <w:rPr>
                  <w:rFonts w:asciiTheme="minorHAnsi" w:eastAsiaTheme="minorEastAsia" w:hAnsiTheme="minorHAnsi"/>
                  <w:lang w:eastAsia="en-AU"/>
                </w:rPr>
              </w:pPr>
              <w:hyperlink w:anchor="_Toc425348722" w:history="1">
                <w:r w:rsidRPr="00DD4C2B">
                  <w:rPr>
                    <w:rStyle w:val="Hyperlink"/>
                  </w:rPr>
                  <w:t>IPART rate peg determination in NSW</w:t>
                </w:r>
                <w:r>
                  <w:rPr>
                    <w:webHidden/>
                  </w:rPr>
                  <w:tab/>
                </w:r>
                <w:r>
                  <w:rPr>
                    <w:webHidden/>
                  </w:rPr>
                  <w:fldChar w:fldCharType="begin"/>
                </w:r>
                <w:r>
                  <w:rPr>
                    <w:webHidden/>
                  </w:rPr>
                  <w:instrText xml:space="preserve"> PAGEREF _Toc425348722 \h </w:instrText>
                </w:r>
                <w:r>
                  <w:rPr>
                    <w:webHidden/>
                  </w:rPr>
                </w:r>
                <w:r>
                  <w:rPr>
                    <w:webHidden/>
                  </w:rPr>
                  <w:fldChar w:fldCharType="separate"/>
                </w:r>
                <w:r>
                  <w:rPr>
                    <w:webHidden/>
                  </w:rPr>
                  <w:t>14</w:t>
                </w:r>
                <w:r>
                  <w:rPr>
                    <w:webHidden/>
                  </w:rPr>
                  <w:fldChar w:fldCharType="end"/>
                </w:r>
              </w:hyperlink>
            </w:p>
            <w:p w:rsidR="00395132" w:rsidRDefault="00395132">
              <w:pPr>
                <w:pStyle w:val="TOC2"/>
                <w:rPr>
                  <w:rFonts w:asciiTheme="minorHAnsi" w:eastAsiaTheme="minorEastAsia" w:hAnsiTheme="minorHAnsi"/>
                  <w:lang w:eastAsia="en-AU"/>
                </w:rPr>
              </w:pPr>
              <w:hyperlink w:anchor="_Toc425348723" w:history="1">
                <w:r w:rsidRPr="00DD4C2B">
                  <w:rPr>
                    <w:rStyle w:val="Hyperlink"/>
                  </w:rPr>
                  <w:t>Paper, glass and plastic</w:t>
                </w:r>
                <w:r>
                  <w:rPr>
                    <w:webHidden/>
                  </w:rPr>
                  <w:tab/>
                </w:r>
                <w:r>
                  <w:rPr>
                    <w:webHidden/>
                  </w:rPr>
                  <w:fldChar w:fldCharType="begin"/>
                </w:r>
                <w:r>
                  <w:rPr>
                    <w:webHidden/>
                  </w:rPr>
                  <w:instrText xml:space="preserve"> PAGEREF _Toc425348723 \h </w:instrText>
                </w:r>
                <w:r>
                  <w:rPr>
                    <w:webHidden/>
                  </w:rPr>
                </w:r>
                <w:r>
                  <w:rPr>
                    <w:webHidden/>
                  </w:rPr>
                  <w:fldChar w:fldCharType="separate"/>
                </w:r>
                <w:r>
                  <w:rPr>
                    <w:webHidden/>
                  </w:rPr>
                  <w:t>15</w:t>
                </w:r>
                <w:r>
                  <w:rPr>
                    <w:webHidden/>
                  </w:rPr>
                  <w:fldChar w:fldCharType="end"/>
                </w:r>
              </w:hyperlink>
            </w:p>
            <w:p w:rsidR="00395132" w:rsidRDefault="00395132">
              <w:pPr>
                <w:pStyle w:val="TOC2"/>
                <w:rPr>
                  <w:rFonts w:asciiTheme="minorHAnsi" w:eastAsiaTheme="minorEastAsia" w:hAnsiTheme="minorHAnsi"/>
                  <w:lang w:eastAsia="en-AU"/>
                </w:rPr>
              </w:pPr>
              <w:hyperlink w:anchor="_Toc425348724" w:history="1">
                <w:r w:rsidRPr="00DD4C2B">
                  <w:rPr>
                    <w:rStyle w:val="Hyperlink"/>
                  </w:rPr>
                  <w:t>Food–dairy and ingredients</w:t>
                </w:r>
                <w:r>
                  <w:rPr>
                    <w:webHidden/>
                  </w:rPr>
                  <w:tab/>
                </w:r>
                <w:r>
                  <w:rPr>
                    <w:webHidden/>
                  </w:rPr>
                  <w:fldChar w:fldCharType="begin"/>
                </w:r>
                <w:r>
                  <w:rPr>
                    <w:webHidden/>
                  </w:rPr>
                  <w:instrText xml:space="preserve"> PAGEREF _Toc425348724 \h </w:instrText>
                </w:r>
                <w:r>
                  <w:rPr>
                    <w:webHidden/>
                  </w:rPr>
                </w:r>
                <w:r>
                  <w:rPr>
                    <w:webHidden/>
                  </w:rPr>
                  <w:fldChar w:fldCharType="separate"/>
                </w:r>
                <w:r>
                  <w:rPr>
                    <w:webHidden/>
                  </w:rPr>
                  <w:t>15</w:t>
                </w:r>
                <w:r>
                  <w:rPr>
                    <w:webHidden/>
                  </w:rPr>
                  <w:fldChar w:fldCharType="end"/>
                </w:r>
              </w:hyperlink>
            </w:p>
            <w:p w:rsidR="00395132" w:rsidRDefault="00395132">
              <w:pPr>
                <w:pStyle w:val="TOC2"/>
                <w:rPr>
                  <w:rFonts w:asciiTheme="minorHAnsi" w:eastAsiaTheme="minorEastAsia" w:hAnsiTheme="minorHAnsi"/>
                  <w:lang w:eastAsia="en-AU"/>
                </w:rPr>
              </w:pPr>
              <w:hyperlink w:anchor="_Toc425348725" w:history="1">
                <w:r w:rsidRPr="00DD4C2B">
                  <w:rPr>
                    <w:rStyle w:val="Hyperlink"/>
                  </w:rPr>
                  <w:t>Explosives</w:t>
                </w:r>
                <w:r>
                  <w:rPr>
                    <w:webHidden/>
                  </w:rPr>
                  <w:tab/>
                </w:r>
                <w:r>
                  <w:rPr>
                    <w:webHidden/>
                  </w:rPr>
                  <w:fldChar w:fldCharType="begin"/>
                </w:r>
                <w:r>
                  <w:rPr>
                    <w:webHidden/>
                  </w:rPr>
                  <w:instrText xml:space="preserve"> PAGEREF _Toc425348725 \h </w:instrText>
                </w:r>
                <w:r>
                  <w:rPr>
                    <w:webHidden/>
                  </w:rPr>
                </w:r>
                <w:r>
                  <w:rPr>
                    <w:webHidden/>
                  </w:rPr>
                  <w:fldChar w:fldCharType="separate"/>
                </w:r>
                <w:r>
                  <w:rPr>
                    <w:webHidden/>
                  </w:rPr>
                  <w:t>15</w:t>
                </w:r>
                <w:r>
                  <w:rPr>
                    <w:webHidden/>
                  </w:rPr>
                  <w:fldChar w:fldCharType="end"/>
                </w:r>
              </w:hyperlink>
            </w:p>
            <w:p w:rsidR="00395132" w:rsidRDefault="00395132">
              <w:pPr>
                <w:pStyle w:val="TOC2"/>
                <w:rPr>
                  <w:rFonts w:asciiTheme="minorHAnsi" w:eastAsiaTheme="minorEastAsia" w:hAnsiTheme="minorHAnsi"/>
                  <w:lang w:eastAsia="en-AU"/>
                </w:rPr>
              </w:pPr>
              <w:hyperlink w:anchor="_Toc425348726" w:history="1">
                <w:r w:rsidRPr="00DD4C2B">
                  <w:rPr>
                    <w:rStyle w:val="Hyperlink"/>
                  </w:rPr>
                  <w:t>Construction materials</w:t>
                </w:r>
                <w:r>
                  <w:rPr>
                    <w:webHidden/>
                  </w:rPr>
                  <w:tab/>
                </w:r>
                <w:r>
                  <w:rPr>
                    <w:webHidden/>
                  </w:rPr>
                  <w:fldChar w:fldCharType="begin"/>
                </w:r>
                <w:r>
                  <w:rPr>
                    <w:webHidden/>
                  </w:rPr>
                  <w:instrText xml:space="preserve"> PAGEREF _Toc425348726 \h </w:instrText>
                </w:r>
                <w:r>
                  <w:rPr>
                    <w:webHidden/>
                  </w:rPr>
                </w:r>
                <w:r>
                  <w:rPr>
                    <w:webHidden/>
                  </w:rPr>
                  <w:fldChar w:fldCharType="separate"/>
                </w:r>
                <w:r>
                  <w:rPr>
                    <w:webHidden/>
                  </w:rPr>
                  <w:t>16</w:t>
                </w:r>
                <w:r>
                  <w:rPr>
                    <w:webHidden/>
                  </w:rPr>
                  <w:fldChar w:fldCharType="end"/>
                </w:r>
              </w:hyperlink>
            </w:p>
            <w:p w:rsidR="00395132" w:rsidRDefault="00395132">
              <w:pPr>
                <w:pStyle w:val="TOC2"/>
                <w:rPr>
                  <w:rFonts w:asciiTheme="minorHAnsi" w:eastAsiaTheme="minorEastAsia" w:hAnsiTheme="minorHAnsi"/>
                  <w:lang w:eastAsia="en-AU"/>
                </w:rPr>
              </w:pPr>
              <w:hyperlink w:anchor="_Toc425348727" w:history="1">
                <w:r w:rsidRPr="00DD4C2B">
                  <w:rPr>
                    <w:rStyle w:val="Hyperlink"/>
                  </w:rPr>
                  <w:t>Liquid and gaseous fuels</w:t>
                </w:r>
                <w:r>
                  <w:rPr>
                    <w:webHidden/>
                  </w:rPr>
                  <w:tab/>
                </w:r>
                <w:r>
                  <w:rPr>
                    <w:webHidden/>
                  </w:rPr>
                  <w:fldChar w:fldCharType="begin"/>
                </w:r>
                <w:r>
                  <w:rPr>
                    <w:webHidden/>
                  </w:rPr>
                  <w:instrText xml:space="preserve"> PAGEREF _Toc425348727 \h </w:instrText>
                </w:r>
                <w:r>
                  <w:rPr>
                    <w:webHidden/>
                  </w:rPr>
                </w:r>
                <w:r>
                  <w:rPr>
                    <w:webHidden/>
                  </w:rPr>
                  <w:fldChar w:fldCharType="separate"/>
                </w:r>
                <w:r>
                  <w:rPr>
                    <w:webHidden/>
                  </w:rPr>
                  <w:t>16</w:t>
                </w:r>
                <w:r>
                  <w:rPr>
                    <w:webHidden/>
                  </w:rPr>
                  <w:fldChar w:fldCharType="end"/>
                </w:r>
              </w:hyperlink>
            </w:p>
            <w:p w:rsidR="00395132" w:rsidRDefault="00395132">
              <w:pPr>
                <w:pStyle w:val="TOC2"/>
                <w:rPr>
                  <w:rFonts w:asciiTheme="minorHAnsi" w:eastAsiaTheme="minorEastAsia" w:hAnsiTheme="minorHAnsi"/>
                  <w:lang w:eastAsia="en-AU"/>
                </w:rPr>
              </w:pPr>
              <w:hyperlink w:anchor="_Toc425348728" w:history="1">
                <w:r w:rsidRPr="00DD4C2B">
                  <w:rPr>
                    <w:rStyle w:val="Hyperlink"/>
                  </w:rPr>
                  <w:t>High technology, meat and meat by-products, metal, fertiliser, and prepared food manufacturing industries</w:t>
                </w:r>
                <w:r>
                  <w:rPr>
                    <w:webHidden/>
                  </w:rPr>
                  <w:tab/>
                </w:r>
                <w:r>
                  <w:rPr>
                    <w:webHidden/>
                  </w:rPr>
                  <w:fldChar w:fldCharType="begin"/>
                </w:r>
                <w:r>
                  <w:rPr>
                    <w:webHidden/>
                  </w:rPr>
                  <w:instrText xml:space="preserve"> PAGEREF _Toc425348728 \h </w:instrText>
                </w:r>
                <w:r>
                  <w:rPr>
                    <w:webHidden/>
                  </w:rPr>
                </w:r>
                <w:r>
                  <w:rPr>
                    <w:webHidden/>
                  </w:rPr>
                  <w:fldChar w:fldCharType="separate"/>
                </w:r>
                <w:r>
                  <w:rPr>
                    <w:webHidden/>
                  </w:rPr>
                  <w:t>16</w:t>
                </w:r>
                <w:r>
                  <w:rPr>
                    <w:webHidden/>
                  </w:rPr>
                  <w:fldChar w:fldCharType="end"/>
                </w:r>
              </w:hyperlink>
            </w:p>
            <w:p w:rsidR="00395132" w:rsidRDefault="00395132">
              <w:pPr>
                <w:pStyle w:val="TOC2"/>
                <w:rPr>
                  <w:rFonts w:asciiTheme="minorHAnsi" w:eastAsiaTheme="minorEastAsia" w:hAnsiTheme="minorHAnsi"/>
                  <w:lang w:eastAsia="en-AU"/>
                </w:rPr>
              </w:pPr>
              <w:hyperlink w:anchor="_Toc425348729" w:history="1">
                <w:r w:rsidRPr="00DD4C2B">
                  <w:rPr>
                    <w:rStyle w:val="Hyperlink"/>
                  </w:rPr>
                  <w:t>Transport</w:t>
                </w:r>
                <w:r>
                  <w:rPr>
                    <w:webHidden/>
                  </w:rPr>
                  <w:tab/>
                </w:r>
                <w:r>
                  <w:rPr>
                    <w:webHidden/>
                  </w:rPr>
                  <w:fldChar w:fldCharType="begin"/>
                </w:r>
                <w:r>
                  <w:rPr>
                    <w:webHidden/>
                  </w:rPr>
                  <w:instrText xml:space="preserve"> PAGEREF _Toc425348729 \h </w:instrText>
                </w:r>
                <w:r>
                  <w:rPr>
                    <w:webHidden/>
                  </w:rPr>
                </w:r>
                <w:r>
                  <w:rPr>
                    <w:webHidden/>
                  </w:rPr>
                  <w:fldChar w:fldCharType="separate"/>
                </w:r>
                <w:r>
                  <w:rPr>
                    <w:webHidden/>
                  </w:rPr>
                  <w:t>17</w:t>
                </w:r>
                <w:r>
                  <w:rPr>
                    <w:webHidden/>
                  </w:rPr>
                  <w:fldChar w:fldCharType="end"/>
                </w:r>
              </w:hyperlink>
            </w:p>
            <w:p w:rsidR="00395132" w:rsidRDefault="00395132">
              <w:pPr>
                <w:pStyle w:val="TOC2"/>
                <w:rPr>
                  <w:rFonts w:asciiTheme="minorHAnsi" w:eastAsiaTheme="minorEastAsia" w:hAnsiTheme="minorHAnsi"/>
                  <w:lang w:eastAsia="en-AU"/>
                </w:rPr>
              </w:pPr>
              <w:hyperlink w:anchor="_Toc425348730" w:history="1">
                <w:r w:rsidRPr="00DD4C2B">
                  <w:rPr>
                    <w:rStyle w:val="Hyperlink"/>
                  </w:rPr>
                  <w:t>Domestic passenger air transport services</w:t>
                </w:r>
                <w:r>
                  <w:rPr>
                    <w:webHidden/>
                  </w:rPr>
                  <w:tab/>
                </w:r>
                <w:r>
                  <w:rPr>
                    <w:webHidden/>
                  </w:rPr>
                  <w:fldChar w:fldCharType="begin"/>
                </w:r>
                <w:r>
                  <w:rPr>
                    <w:webHidden/>
                  </w:rPr>
                  <w:instrText xml:space="preserve"> PAGEREF _Toc425348730 \h </w:instrText>
                </w:r>
                <w:r>
                  <w:rPr>
                    <w:webHidden/>
                  </w:rPr>
                </w:r>
                <w:r>
                  <w:rPr>
                    <w:webHidden/>
                  </w:rPr>
                  <w:fldChar w:fldCharType="separate"/>
                </w:r>
                <w:r>
                  <w:rPr>
                    <w:webHidden/>
                  </w:rPr>
                  <w:t>17</w:t>
                </w:r>
                <w:r>
                  <w:rPr>
                    <w:webHidden/>
                  </w:rPr>
                  <w:fldChar w:fldCharType="end"/>
                </w:r>
              </w:hyperlink>
            </w:p>
            <w:p w:rsidR="00395132" w:rsidRDefault="00395132">
              <w:pPr>
                <w:pStyle w:val="TOC2"/>
                <w:rPr>
                  <w:rFonts w:asciiTheme="minorHAnsi" w:eastAsiaTheme="minorEastAsia" w:hAnsiTheme="minorHAnsi"/>
                  <w:lang w:eastAsia="en-AU"/>
                </w:rPr>
              </w:pPr>
              <w:hyperlink w:anchor="_Toc425348731" w:history="1">
                <w:r w:rsidRPr="00DD4C2B">
                  <w:rPr>
                    <w:rStyle w:val="Hyperlink"/>
                  </w:rPr>
                  <w:t>Manufacturing tolling services</w:t>
                </w:r>
                <w:r>
                  <w:rPr>
                    <w:webHidden/>
                  </w:rPr>
                  <w:tab/>
                </w:r>
                <w:r>
                  <w:rPr>
                    <w:webHidden/>
                  </w:rPr>
                  <w:fldChar w:fldCharType="begin"/>
                </w:r>
                <w:r>
                  <w:rPr>
                    <w:webHidden/>
                  </w:rPr>
                  <w:instrText xml:space="preserve"> PAGEREF _Toc425348731 \h </w:instrText>
                </w:r>
                <w:r>
                  <w:rPr>
                    <w:webHidden/>
                  </w:rPr>
                </w:r>
                <w:r>
                  <w:rPr>
                    <w:webHidden/>
                  </w:rPr>
                  <w:fldChar w:fldCharType="separate"/>
                </w:r>
                <w:r>
                  <w:rPr>
                    <w:webHidden/>
                  </w:rPr>
                  <w:t>17</w:t>
                </w:r>
                <w:r>
                  <w:rPr>
                    <w:webHidden/>
                  </w:rPr>
                  <w:fldChar w:fldCharType="end"/>
                </w:r>
              </w:hyperlink>
            </w:p>
            <w:p w:rsidR="00395132" w:rsidRDefault="00395132">
              <w:pPr>
                <w:pStyle w:val="TOC2"/>
                <w:rPr>
                  <w:rFonts w:asciiTheme="minorHAnsi" w:eastAsiaTheme="minorEastAsia" w:hAnsiTheme="minorHAnsi"/>
                  <w:lang w:eastAsia="en-AU"/>
                </w:rPr>
              </w:pPr>
              <w:hyperlink w:anchor="_Toc425348732" w:history="1">
                <w:r w:rsidRPr="00DD4C2B">
                  <w:rPr>
                    <w:rStyle w:val="Hyperlink"/>
                  </w:rPr>
                  <w:t>Water and sewerage services</w:t>
                </w:r>
                <w:r>
                  <w:rPr>
                    <w:webHidden/>
                  </w:rPr>
                  <w:tab/>
                </w:r>
                <w:r>
                  <w:rPr>
                    <w:webHidden/>
                  </w:rPr>
                  <w:fldChar w:fldCharType="begin"/>
                </w:r>
                <w:r>
                  <w:rPr>
                    <w:webHidden/>
                  </w:rPr>
                  <w:instrText xml:space="preserve"> PAGEREF _Toc425348732 \h </w:instrText>
                </w:r>
                <w:r>
                  <w:rPr>
                    <w:webHidden/>
                  </w:rPr>
                </w:r>
                <w:r>
                  <w:rPr>
                    <w:webHidden/>
                  </w:rPr>
                  <w:fldChar w:fldCharType="separate"/>
                </w:r>
                <w:r>
                  <w:rPr>
                    <w:webHidden/>
                  </w:rPr>
                  <w:t>18</w:t>
                </w:r>
                <w:r>
                  <w:rPr>
                    <w:webHidden/>
                  </w:rPr>
                  <w:fldChar w:fldCharType="end"/>
                </w:r>
              </w:hyperlink>
            </w:p>
            <w:p w:rsidR="00395132" w:rsidRDefault="00395132">
              <w:pPr>
                <w:pStyle w:val="TOC2"/>
                <w:rPr>
                  <w:rFonts w:asciiTheme="minorHAnsi" w:eastAsiaTheme="minorEastAsia" w:hAnsiTheme="minorHAnsi"/>
                  <w:lang w:eastAsia="en-AU"/>
                </w:rPr>
              </w:pPr>
              <w:hyperlink w:anchor="_Toc425348733" w:history="1">
                <w:r w:rsidRPr="00DD4C2B">
                  <w:rPr>
                    <w:rStyle w:val="Hyperlink"/>
                  </w:rPr>
                  <w:t>Vehicle parking services and retail property</w:t>
                </w:r>
                <w:r>
                  <w:rPr>
                    <w:webHidden/>
                  </w:rPr>
                  <w:tab/>
                </w:r>
                <w:r>
                  <w:rPr>
                    <w:webHidden/>
                  </w:rPr>
                  <w:fldChar w:fldCharType="begin"/>
                </w:r>
                <w:r>
                  <w:rPr>
                    <w:webHidden/>
                  </w:rPr>
                  <w:instrText xml:space="preserve"> PAGEREF _Toc425348733 \h </w:instrText>
                </w:r>
                <w:r>
                  <w:rPr>
                    <w:webHidden/>
                  </w:rPr>
                </w:r>
                <w:r>
                  <w:rPr>
                    <w:webHidden/>
                  </w:rPr>
                  <w:fldChar w:fldCharType="separate"/>
                </w:r>
                <w:r>
                  <w:rPr>
                    <w:webHidden/>
                  </w:rPr>
                  <w:t>18</w:t>
                </w:r>
                <w:r>
                  <w:rPr>
                    <w:webHidden/>
                  </w:rPr>
                  <w:fldChar w:fldCharType="end"/>
                </w:r>
              </w:hyperlink>
            </w:p>
            <w:p w:rsidR="00395132" w:rsidRDefault="00395132">
              <w:pPr>
                <w:pStyle w:val="TOC1"/>
                <w:rPr>
                  <w:rFonts w:asciiTheme="minorHAnsi" w:eastAsiaTheme="minorEastAsia" w:hAnsiTheme="minorHAnsi"/>
                  <w:lang w:val="en-AU" w:eastAsia="en-AU"/>
                </w:rPr>
              </w:pPr>
              <w:hyperlink w:anchor="_Toc425348734" w:history="1">
                <w:r w:rsidRPr="00DD4C2B">
                  <w:rPr>
                    <w:rStyle w:val="Hyperlink"/>
                  </w:rPr>
                  <w:t>Compliance</w:t>
                </w:r>
                <w:r>
                  <w:rPr>
                    <w:webHidden/>
                  </w:rPr>
                  <w:tab/>
                </w:r>
                <w:r>
                  <w:rPr>
                    <w:webHidden/>
                  </w:rPr>
                  <w:fldChar w:fldCharType="begin"/>
                </w:r>
                <w:r>
                  <w:rPr>
                    <w:webHidden/>
                  </w:rPr>
                  <w:instrText xml:space="preserve"> PAGEREF _Toc425348734 \h </w:instrText>
                </w:r>
                <w:r>
                  <w:rPr>
                    <w:webHidden/>
                  </w:rPr>
                </w:r>
                <w:r>
                  <w:rPr>
                    <w:webHidden/>
                  </w:rPr>
                  <w:fldChar w:fldCharType="separate"/>
                </w:r>
                <w:r>
                  <w:rPr>
                    <w:webHidden/>
                  </w:rPr>
                  <w:t>19</w:t>
                </w:r>
                <w:r>
                  <w:rPr>
                    <w:webHidden/>
                  </w:rPr>
                  <w:fldChar w:fldCharType="end"/>
                </w:r>
              </w:hyperlink>
            </w:p>
            <w:p w:rsidR="00395132" w:rsidRDefault="00395132">
              <w:pPr>
                <w:pStyle w:val="TOC2"/>
                <w:rPr>
                  <w:rFonts w:asciiTheme="minorHAnsi" w:eastAsiaTheme="minorEastAsia" w:hAnsiTheme="minorHAnsi"/>
                  <w:lang w:eastAsia="en-AU"/>
                </w:rPr>
              </w:pPr>
              <w:hyperlink w:anchor="_Toc425348735" w:history="1">
                <w:r w:rsidRPr="00DD4C2B">
                  <w:rPr>
                    <w:rStyle w:val="Hyperlink"/>
                  </w:rPr>
                  <w:t>Summary of compliance activities–monitoring period</w:t>
                </w:r>
                <w:r>
                  <w:rPr>
                    <w:webHidden/>
                  </w:rPr>
                  <w:tab/>
                </w:r>
                <w:r>
                  <w:rPr>
                    <w:webHidden/>
                  </w:rPr>
                  <w:fldChar w:fldCharType="begin"/>
                </w:r>
                <w:r>
                  <w:rPr>
                    <w:webHidden/>
                  </w:rPr>
                  <w:instrText xml:space="preserve"> PAGEREF _Toc425348735 \h </w:instrText>
                </w:r>
                <w:r>
                  <w:rPr>
                    <w:webHidden/>
                  </w:rPr>
                </w:r>
                <w:r>
                  <w:rPr>
                    <w:webHidden/>
                  </w:rPr>
                  <w:fldChar w:fldCharType="separate"/>
                </w:r>
                <w:r>
                  <w:rPr>
                    <w:webHidden/>
                  </w:rPr>
                  <w:t>19</w:t>
                </w:r>
                <w:r>
                  <w:rPr>
                    <w:webHidden/>
                  </w:rPr>
                  <w:fldChar w:fldCharType="end"/>
                </w:r>
              </w:hyperlink>
            </w:p>
            <w:p w:rsidR="00395132" w:rsidRDefault="00395132">
              <w:pPr>
                <w:pStyle w:val="TOC2"/>
                <w:rPr>
                  <w:rFonts w:asciiTheme="minorHAnsi" w:eastAsiaTheme="minorEastAsia" w:hAnsiTheme="minorHAnsi"/>
                  <w:lang w:eastAsia="en-AU"/>
                </w:rPr>
              </w:pPr>
              <w:hyperlink w:anchor="_Toc425348736" w:history="1">
                <w:r w:rsidRPr="00DD4C2B">
                  <w:rPr>
                    <w:rStyle w:val="Hyperlink"/>
                  </w:rPr>
                  <w:t>Complaints summary–June 2015 quarter</w:t>
                </w:r>
                <w:r>
                  <w:rPr>
                    <w:webHidden/>
                  </w:rPr>
                  <w:tab/>
                </w:r>
                <w:r>
                  <w:rPr>
                    <w:webHidden/>
                  </w:rPr>
                  <w:fldChar w:fldCharType="begin"/>
                </w:r>
                <w:r>
                  <w:rPr>
                    <w:webHidden/>
                  </w:rPr>
                  <w:instrText xml:space="preserve"> PAGEREF _Toc425348736 \h </w:instrText>
                </w:r>
                <w:r>
                  <w:rPr>
                    <w:webHidden/>
                  </w:rPr>
                </w:r>
                <w:r>
                  <w:rPr>
                    <w:webHidden/>
                  </w:rPr>
                  <w:fldChar w:fldCharType="separate"/>
                </w:r>
                <w:r>
                  <w:rPr>
                    <w:webHidden/>
                  </w:rPr>
                  <w:t>19</w:t>
                </w:r>
                <w:r>
                  <w:rPr>
                    <w:webHidden/>
                  </w:rPr>
                  <w:fldChar w:fldCharType="end"/>
                </w:r>
              </w:hyperlink>
            </w:p>
            <w:p w:rsidR="00395132" w:rsidRDefault="00395132">
              <w:pPr>
                <w:pStyle w:val="TOC2"/>
                <w:rPr>
                  <w:rFonts w:asciiTheme="minorHAnsi" w:eastAsiaTheme="minorEastAsia" w:hAnsiTheme="minorHAnsi"/>
                  <w:lang w:eastAsia="en-AU"/>
                </w:rPr>
              </w:pPr>
              <w:hyperlink w:anchor="_Toc425348737" w:history="1">
                <w:r w:rsidRPr="00DD4C2B">
                  <w:rPr>
                    <w:rStyle w:val="Hyperlink"/>
                  </w:rPr>
                  <w:t>Complaints summary – carbon tax repeal</w:t>
                </w:r>
                <w:r>
                  <w:rPr>
                    <w:webHidden/>
                  </w:rPr>
                  <w:tab/>
                </w:r>
                <w:r>
                  <w:rPr>
                    <w:webHidden/>
                  </w:rPr>
                  <w:fldChar w:fldCharType="begin"/>
                </w:r>
                <w:r>
                  <w:rPr>
                    <w:webHidden/>
                  </w:rPr>
                  <w:instrText xml:space="preserve"> PAGEREF _Toc425348737 \h </w:instrText>
                </w:r>
                <w:r>
                  <w:rPr>
                    <w:webHidden/>
                  </w:rPr>
                </w:r>
                <w:r>
                  <w:rPr>
                    <w:webHidden/>
                  </w:rPr>
                  <w:fldChar w:fldCharType="separate"/>
                </w:r>
                <w:r>
                  <w:rPr>
                    <w:webHidden/>
                  </w:rPr>
                  <w:t>20</w:t>
                </w:r>
                <w:r>
                  <w:rPr>
                    <w:webHidden/>
                  </w:rPr>
                  <w:fldChar w:fldCharType="end"/>
                </w:r>
              </w:hyperlink>
            </w:p>
            <w:p w:rsidR="00395132" w:rsidRDefault="00395132">
              <w:pPr>
                <w:pStyle w:val="TOC1"/>
                <w:rPr>
                  <w:rFonts w:asciiTheme="minorHAnsi" w:eastAsiaTheme="minorEastAsia" w:hAnsiTheme="minorHAnsi"/>
                  <w:lang w:val="en-AU" w:eastAsia="en-AU"/>
                </w:rPr>
              </w:pPr>
              <w:hyperlink w:anchor="_Toc425348738" w:history="1">
                <w:r w:rsidRPr="00DD4C2B">
                  <w:rPr>
                    <w:rStyle w:val="Hyperlink"/>
                  </w:rPr>
                  <w:t>Enforcement</w:t>
                </w:r>
                <w:r>
                  <w:rPr>
                    <w:webHidden/>
                  </w:rPr>
                  <w:tab/>
                </w:r>
                <w:r>
                  <w:rPr>
                    <w:webHidden/>
                  </w:rPr>
                  <w:fldChar w:fldCharType="begin"/>
                </w:r>
                <w:r>
                  <w:rPr>
                    <w:webHidden/>
                  </w:rPr>
                  <w:instrText xml:space="preserve"> PAGEREF _Toc425348738 \h </w:instrText>
                </w:r>
                <w:r>
                  <w:rPr>
                    <w:webHidden/>
                  </w:rPr>
                </w:r>
                <w:r>
                  <w:rPr>
                    <w:webHidden/>
                  </w:rPr>
                  <w:fldChar w:fldCharType="separate"/>
                </w:r>
                <w:r>
                  <w:rPr>
                    <w:webHidden/>
                  </w:rPr>
                  <w:t>21</w:t>
                </w:r>
                <w:r>
                  <w:rPr>
                    <w:webHidden/>
                  </w:rPr>
                  <w:fldChar w:fldCharType="end"/>
                </w:r>
              </w:hyperlink>
            </w:p>
            <w:p w:rsidR="00395132" w:rsidRDefault="00395132">
              <w:pPr>
                <w:pStyle w:val="TOC2"/>
                <w:rPr>
                  <w:rFonts w:asciiTheme="minorHAnsi" w:eastAsiaTheme="minorEastAsia" w:hAnsiTheme="minorHAnsi"/>
                  <w:lang w:eastAsia="en-AU"/>
                </w:rPr>
              </w:pPr>
              <w:hyperlink w:anchor="_Toc425348739" w:history="1">
                <w:r w:rsidRPr="00DD4C2B">
                  <w:rPr>
                    <w:rStyle w:val="Hyperlink"/>
                  </w:rPr>
                  <w:t>Summary of information gathering activities related to the carbon tax repeal</w:t>
                </w:r>
                <w:r>
                  <w:rPr>
                    <w:webHidden/>
                  </w:rPr>
                  <w:tab/>
                </w:r>
                <w:r>
                  <w:rPr>
                    <w:webHidden/>
                  </w:rPr>
                  <w:fldChar w:fldCharType="begin"/>
                </w:r>
                <w:r>
                  <w:rPr>
                    <w:webHidden/>
                  </w:rPr>
                  <w:instrText xml:space="preserve"> PAGEREF _Toc425348739 \h </w:instrText>
                </w:r>
                <w:r>
                  <w:rPr>
                    <w:webHidden/>
                  </w:rPr>
                </w:r>
                <w:r>
                  <w:rPr>
                    <w:webHidden/>
                  </w:rPr>
                  <w:fldChar w:fldCharType="separate"/>
                </w:r>
                <w:r>
                  <w:rPr>
                    <w:webHidden/>
                  </w:rPr>
                  <w:t>21</w:t>
                </w:r>
                <w:r>
                  <w:rPr>
                    <w:webHidden/>
                  </w:rPr>
                  <w:fldChar w:fldCharType="end"/>
                </w:r>
              </w:hyperlink>
            </w:p>
            <w:p w:rsidR="00395132" w:rsidRDefault="00395132">
              <w:pPr>
                <w:pStyle w:val="TOC1"/>
                <w:rPr>
                  <w:rFonts w:asciiTheme="minorHAnsi" w:eastAsiaTheme="minorEastAsia" w:hAnsiTheme="minorHAnsi"/>
                  <w:lang w:val="en-AU" w:eastAsia="en-AU"/>
                </w:rPr>
              </w:pPr>
              <w:hyperlink w:anchor="_Toc425348740" w:history="1">
                <w:r w:rsidRPr="00DD4C2B">
                  <w:rPr>
                    <w:rStyle w:val="Hyperlink"/>
                  </w:rPr>
                  <w:t>Annexure 1: Local Councils</w:t>
                </w:r>
                <w:r>
                  <w:rPr>
                    <w:webHidden/>
                  </w:rPr>
                  <w:tab/>
                </w:r>
                <w:r>
                  <w:rPr>
                    <w:webHidden/>
                  </w:rPr>
                  <w:fldChar w:fldCharType="begin"/>
                </w:r>
                <w:r>
                  <w:rPr>
                    <w:webHidden/>
                  </w:rPr>
                  <w:instrText xml:space="preserve"> PAGEREF _Toc425348740 \h </w:instrText>
                </w:r>
                <w:r>
                  <w:rPr>
                    <w:webHidden/>
                  </w:rPr>
                </w:r>
                <w:r>
                  <w:rPr>
                    <w:webHidden/>
                  </w:rPr>
                  <w:fldChar w:fldCharType="separate"/>
                </w:r>
                <w:r>
                  <w:rPr>
                    <w:webHidden/>
                  </w:rPr>
                  <w:t>22</w:t>
                </w:r>
                <w:r>
                  <w:rPr>
                    <w:webHidden/>
                  </w:rPr>
                  <w:fldChar w:fldCharType="end"/>
                </w:r>
              </w:hyperlink>
            </w:p>
            <w:p w:rsidR="00395132" w:rsidRDefault="00395132">
              <w:pPr>
                <w:pStyle w:val="TOC1"/>
                <w:rPr>
                  <w:rFonts w:asciiTheme="minorHAnsi" w:eastAsiaTheme="minorEastAsia" w:hAnsiTheme="minorHAnsi"/>
                  <w:lang w:val="en-AU" w:eastAsia="en-AU"/>
                </w:rPr>
              </w:pPr>
              <w:hyperlink w:anchor="_Toc425348741" w:history="1">
                <w:r w:rsidRPr="00DD4C2B">
                  <w:rPr>
                    <w:rStyle w:val="Hyperlink"/>
                  </w:rPr>
                  <w:t>Annexure 2: Glossary</w:t>
                </w:r>
                <w:r>
                  <w:rPr>
                    <w:webHidden/>
                  </w:rPr>
                  <w:tab/>
                </w:r>
                <w:r>
                  <w:rPr>
                    <w:webHidden/>
                  </w:rPr>
                  <w:fldChar w:fldCharType="begin"/>
                </w:r>
                <w:r>
                  <w:rPr>
                    <w:webHidden/>
                  </w:rPr>
                  <w:instrText xml:space="preserve"> PAGEREF _Toc425348741 \h </w:instrText>
                </w:r>
                <w:r>
                  <w:rPr>
                    <w:webHidden/>
                  </w:rPr>
                </w:r>
                <w:r>
                  <w:rPr>
                    <w:webHidden/>
                  </w:rPr>
                  <w:fldChar w:fldCharType="separate"/>
                </w:r>
                <w:r>
                  <w:rPr>
                    <w:webHidden/>
                  </w:rPr>
                  <w:t>25</w:t>
                </w:r>
                <w:r>
                  <w:rPr>
                    <w:webHidden/>
                  </w:rPr>
                  <w:fldChar w:fldCharType="end"/>
                </w:r>
              </w:hyperlink>
            </w:p>
            <w:p w:rsidR="004B009B" w:rsidRDefault="004B009B" w:rsidP="004B009B">
              <w:r>
                <w:fldChar w:fldCharType="end"/>
              </w:r>
            </w:p>
          </w:sdtContent>
        </w:sdt>
        <w:p w:rsidR="001D2542" w:rsidRPr="004B009B" w:rsidRDefault="004B009B" w:rsidP="004B009B">
          <w:pPr>
            <w:rPr>
              <w:rFonts w:ascii="Lucida Fax" w:eastAsiaTheme="majorEastAsia" w:hAnsi="Lucida Fax" w:cstheme="majorBidi"/>
              <w:bCs/>
              <w:color w:val="51626F"/>
              <w:sz w:val="32"/>
              <w:szCs w:val="28"/>
            </w:rPr>
          </w:pPr>
          <w:r>
            <w:t xml:space="preserve"> </w:t>
          </w:r>
          <w:r w:rsidR="001D2542">
            <w:br w:type="page"/>
          </w:r>
        </w:p>
      </w:sdtContent>
    </w:sdt>
    <w:p w:rsidR="004B009B" w:rsidRDefault="004B009B" w:rsidP="00F178A8">
      <w:pPr>
        <w:pStyle w:val="Chaptertitle"/>
        <w:sectPr w:rsidR="004B009B" w:rsidSect="001D2542">
          <w:footerReference w:type="default" r:id="rId11"/>
          <w:footerReference w:type="first" r:id="rId12"/>
          <w:pgSz w:w="11906" w:h="16838"/>
          <w:pgMar w:top="1440" w:right="1440" w:bottom="1440" w:left="1440" w:header="708" w:footer="708" w:gutter="0"/>
          <w:pgNumType w:start="0"/>
          <w:cols w:space="708"/>
          <w:titlePg/>
          <w:docGrid w:linePitch="360"/>
        </w:sectPr>
      </w:pPr>
    </w:p>
    <w:p w:rsidR="009D6B46" w:rsidRDefault="00E47280" w:rsidP="001D2542">
      <w:pPr>
        <w:pStyle w:val="Heading1"/>
      </w:pPr>
      <w:bookmarkStart w:id="24" w:name="_Toc425348695"/>
      <w:r>
        <w:lastRenderedPageBreak/>
        <w:t>Executive Summary</w:t>
      </w:r>
      <w:bookmarkEnd w:id="24"/>
      <w:r>
        <w:t xml:space="preserve"> </w:t>
      </w:r>
    </w:p>
    <w:p w:rsidR="00907A7E" w:rsidRDefault="00907A7E" w:rsidP="00907A7E">
      <w:r>
        <w:t xml:space="preserve">This is the ACCC’s final report to the Minister pursuant to s 60J of the </w:t>
      </w:r>
      <w:r w:rsidRPr="005C768C">
        <w:rPr>
          <w:i/>
        </w:rPr>
        <w:t>Competition and Consumer Act 2010</w:t>
      </w:r>
      <w:r>
        <w:t xml:space="preserve"> (CCA). </w:t>
      </w:r>
      <w:r w:rsidR="004B3DF2">
        <w:t>Over the course of its monitoring role, t</w:t>
      </w:r>
      <w:r>
        <w:t>he ACCC</w:t>
      </w:r>
      <w:r w:rsidR="004B3DF2">
        <w:t xml:space="preserve"> has </w:t>
      </w:r>
      <w:r w:rsidR="00B744AF">
        <w:t xml:space="preserve">calculated </w:t>
      </w:r>
      <w:r w:rsidR="002F2EE9">
        <w:t xml:space="preserve">direct </w:t>
      </w:r>
      <w:r w:rsidR="00AC5C1B">
        <w:t xml:space="preserve">cost </w:t>
      </w:r>
      <w:r w:rsidR="004B3DF2">
        <w:t>savings ranging from $153 to $269 for ele</w:t>
      </w:r>
      <w:r w:rsidR="00E23F0E">
        <w:t xml:space="preserve">ctricity and natural gas </w:t>
      </w:r>
      <w:r w:rsidR="004B3DF2">
        <w:t xml:space="preserve">following the carbon tax repeal. Identifiable </w:t>
      </w:r>
      <w:r w:rsidR="00AC5C1B">
        <w:t xml:space="preserve">cost </w:t>
      </w:r>
      <w:r w:rsidR="004B3DF2">
        <w:t xml:space="preserve">savings have also occurred in the synthetic greenhouse gas (SGG) sector, as well as </w:t>
      </w:r>
      <w:r w:rsidR="00C015C3">
        <w:t>in</w:t>
      </w:r>
      <w:r w:rsidR="00F42048">
        <w:t xml:space="preserve"> sectors</w:t>
      </w:r>
      <w:r w:rsidR="004B3DF2">
        <w:t xml:space="preserve"> including</w:t>
      </w:r>
      <w:r w:rsidR="00424232">
        <w:t xml:space="preserve"> landfill,</w:t>
      </w:r>
      <w:r w:rsidR="00FD7F87">
        <w:t xml:space="preserve"> </w:t>
      </w:r>
      <w:r w:rsidR="00FD7F87" w:rsidRPr="00FD7F87">
        <w:t>council rates and charges</w:t>
      </w:r>
      <w:r w:rsidR="00FD7F87">
        <w:t>,</w:t>
      </w:r>
      <w:r w:rsidR="004B3DF2">
        <w:t xml:space="preserve"> </w:t>
      </w:r>
      <w:r w:rsidR="00F6797A">
        <w:t xml:space="preserve">food manufacturing, water charges </w:t>
      </w:r>
      <w:r w:rsidR="004B3DF2">
        <w:t>and transport.</w:t>
      </w:r>
    </w:p>
    <w:p w:rsidR="004B3DF2" w:rsidRDefault="006D27E8" w:rsidP="00907A7E">
      <w:r>
        <w:t>D</w:t>
      </w:r>
      <w:r w:rsidR="00E23F0E">
        <w:t>uring the June 2015 quarter</w:t>
      </w:r>
      <w:r>
        <w:t>,</w:t>
      </w:r>
      <w:r w:rsidR="004B3DF2">
        <w:t xml:space="preserve"> the ACCC </w:t>
      </w:r>
      <w:r w:rsidR="004B3DF2" w:rsidRPr="00E1572A">
        <w:t>focused on</w:t>
      </w:r>
      <w:r w:rsidR="004B3DF2">
        <w:t xml:space="preserve"> finalising its monitoring activities in anticipation of the end of its formal monitoring role on 30 June 2015. The ACCC has </w:t>
      </w:r>
      <w:r w:rsidR="008F7E23">
        <w:t xml:space="preserve">received </w:t>
      </w:r>
      <w:r w:rsidR="004B3DF2" w:rsidRPr="00E1572A">
        <w:t>confirmation from one small electricity retailer and several SGG entities about the pass through of carbon tax repeal cost savings</w:t>
      </w:r>
      <w:r w:rsidR="004B3DF2">
        <w:t>,</w:t>
      </w:r>
      <w:r w:rsidR="004B3DF2" w:rsidRPr="00E1572A">
        <w:t xml:space="preserve"> and monitor</w:t>
      </w:r>
      <w:r w:rsidR="004B3DF2">
        <w:t>ed</w:t>
      </w:r>
      <w:r w:rsidR="004B3DF2" w:rsidRPr="00E1572A">
        <w:t xml:space="preserve"> price movements to determine the impact of the repeal on those entities’ prices. The ACCC has also </w:t>
      </w:r>
      <w:r w:rsidR="004B3DF2">
        <w:t>engaged</w:t>
      </w:r>
      <w:r w:rsidR="004B3DF2" w:rsidRPr="00E1572A">
        <w:t xml:space="preserve"> with </w:t>
      </w:r>
      <w:r w:rsidR="004B3DF2">
        <w:t>many landfill operators to confirm their decisions regarding the use of excess carbon tax revenue.</w:t>
      </w:r>
      <w:r w:rsidR="00483DCF">
        <w:t xml:space="preserve"> As a result, the ACCC:</w:t>
      </w:r>
    </w:p>
    <w:p w:rsidR="00483DCF" w:rsidRPr="004C209F" w:rsidRDefault="00483DCF" w:rsidP="00483DCF">
      <w:pPr>
        <w:numPr>
          <w:ilvl w:val="0"/>
          <w:numId w:val="17"/>
        </w:numPr>
      </w:pPr>
      <w:proofErr w:type="gramStart"/>
      <w:r w:rsidRPr="004C209F">
        <w:t>is</w:t>
      </w:r>
      <w:proofErr w:type="gramEnd"/>
      <w:r w:rsidRPr="004C209F">
        <w:t xml:space="preserve"> now satisfied that all electricity and natural gas retailers have passed on to customers the cost savings from the carbon tax repeal</w:t>
      </w:r>
      <w:r w:rsidR="00695CAD" w:rsidRPr="004C209F">
        <w:t>.</w:t>
      </w:r>
    </w:p>
    <w:p w:rsidR="00105F7E" w:rsidRPr="004C209F" w:rsidRDefault="00483DCF" w:rsidP="00021C05">
      <w:pPr>
        <w:numPr>
          <w:ilvl w:val="0"/>
          <w:numId w:val="17"/>
        </w:numPr>
      </w:pPr>
      <w:r w:rsidRPr="004C209F">
        <w:t xml:space="preserve">has found that </w:t>
      </w:r>
      <w:r w:rsidR="004C209F" w:rsidRPr="008C458C">
        <w:t xml:space="preserve">at the bulk import, wholesale and equipment supply levels </w:t>
      </w:r>
      <w:r w:rsidRPr="004C209F">
        <w:t xml:space="preserve">prices of </w:t>
      </w:r>
      <w:r w:rsidR="004C209F">
        <w:t xml:space="preserve">the common </w:t>
      </w:r>
      <w:r w:rsidRPr="004C209F">
        <w:t>SGGs have reduced to approximately the same levels as</w:t>
      </w:r>
      <w:r w:rsidR="00015205" w:rsidRPr="00395132">
        <w:t>,</w:t>
      </w:r>
      <w:r w:rsidRPr="004C209F">
        <w:t xml:space="preserve"> </w:t>
      </w:r>
      <w:r w:rsidR="00015205" w:rsidRPr="00395132">
        <w:t xml:space="preserve">or lower than, </w:t>
      </w:r>
      <w:r w:rsidRPr="004C209F">
        <w:t xml:space="preserve">those before the introduction of the carbon tax. </w:t>
      </w:r>
      <w:r w:rsidR="00F40F94" w:rsidRPr="004C209F">
        <w:t>Average prices post</w:t>
      </w:r>
      <w:r w:rsidR="000B3867">
        <w:t>-</w:t>
      </w:r>
      <w:r w:rsidR="00F40F94" w:rsidRPr="004C209F">
        <w:t>carbon tax repeal, depending on the SGG type, range from approximately $8/kg to $34/kg</w:t>
      </w:r>
      <w:r w:rsidR="00127E0F" w:rsidRPr="004C209F">
        <w:t xml:space="preserve"> at the bulk import level</w:t>
      </w:r>
      <w:r w:rsidR="00F6797A">
        <w:t xml:space="preserve">, compared to </w:t>
      </w:r>
      <w:r w:rsidR="00F6797A" w:rsidRPr="00F6797A">
        <w:t>average prices of $38/kg to $109/kg during the carbon tax period</w:t>
      </w:r>
      <w:r w:rsidR="00F40F94" w:rsidRPr="00F6797A">
        <w:t>.</w:t>
      </w:r>
      <w:r w:rsidR="00F40F94" w:rsidRPr="004C209F">
        <w:t xml:space="preserve"> </w:t>
      </w:r>
      <w:r w:rsidR="00127E0F" w:rsidRPr="004C209F">
        <w:t>At the wholesale level</w:t>
      </w:r>
      <w:r w:rsidR="001A330F" w:rsidRPr="00395132">
        <w:t>,</w:t>
      </w:r>
      <w:r w:rsidR="00127E0F" w:rsidRPr="004C209F">
        <w:t xml:space="preserve"> average </w:t>
      </w:r>
      <w:r w:rsidR="000663ED" w:rsidRPr="004C209F">
        <w:t xml:space="preserve">prices </w:t>
      </w:r>
      <w:r w:rsidR="00396D4D" w:rsidRPr="00395132">
        <w:t xml:space="preserve">post-carbon tax repeal </w:t>
      </w:r>
      <w:r w:rsidR="000663ED" w:rsidRPr="004C209F">
        <w:t>range from $14</w:t>
      </w:r>
      <w:r w:rsidR="00127E0F" w:rsidRPr="004C209F">
        <w:t>/</w:t>
      </w:r>
      <w:r w:rsidR="000663ED" w:rsidRPr="004C209F">
        <w:t>kg to $33</w:t>
      </w:r>
      <w:r w:rsidR="00127E0F" w:rsidRPr="004C209F">
        <w:t>/kg</w:t>
      </w:r>
      <w:r w:rsidR="00F6797A">
        <w:t>,</w:t>
      </w:r>
      <w:r w:rsidR="00127E0F" w:rsidRPr="004C209F">
        <w:t xml:space="preserve"> depending on SGG type</w:t>
      </w:r>
      <w:r w:rsidR="00F6797A">
        <w:t xml:space="preserve">, </w:t>
      </w:r>
      <w:r w:rsidR="00F6797A" w:rsidRPr="00F6797A">
        <w:t>compared to average prices of $47/kg to $182/kg during the carbon tax period</w:t>
      </w:r>
      <w:r w:rsidR="00127E0F" w:rsidRPr="004C209F">
        <w:t xml:space="preserve">. </w:t>
      </w:r>
      <w:r w:rsidR="00F40F94" w:rsidRPr="004C209F">
        <w:t>While th</w:t>
      </w:r>
      <w:r w:rsidR="004C209F">
        <w:t>ese price reductions</w:t>
      </w:r>
      <w:r w:rsidR="00F40F94" w:rsidRPr="004C209F">
        <w:t xml:space="preserve"> may not be due solely to the carbon tax repeal, the ACCC is satisfied that any identifiable cost savings resulting from the repeal have been passed on.</w:t>
      </w:r>
    </w:p>
    <w:p w:rsidR="00105F7E" w:rsidRDefault="00753DF2" w:rsidP="00021C05">
      <w:pPr>
        <w:numPr>
          <w:ilvl w:val="0"/>
          <w:numId w:val="17"/>
        </w:numPr>
      </w:pPr>
      <w:proofErr w:type="gramStart"/>
      <w:r w:rsidRPr="004C209F">
        <w:t>has</w:t>
      </w:r>
      <w:proofErr w:type="gramEnd"/>
      <w:r w:rsidRPr="004C209F">
        <w:t xml:space="preserve"> found that </w:t>
      </w:r>
      <w:r w:rsidR="00105F7E" w:rsidRPr="004C209F">
        <w:t xml:space="preserve">all liable entities </w:t>
      </w:r>
      <w:r w:rsidR="00695CAD" w:rsidRPr="004C209F">
        <w:t xml:space="preserve">in the landfill </w:t>
      </w:r>
      <w:r w:rsidR="001A31B2">
        <w:t>sector</w:t>
      </w:r>
      <w:r w:rsidR="00695CAD">
        <w:t xml:space="preserve"> </w:t>
      </w:r>
      <w:r w:rsidR="00105F7E">
        <w:t>that passed through carbon tax costs have responded to the repeal by removing the</w:t>
      </w:r>
      <w:r w:rsidR="00950799">
        <w:t>se</w:t>
      </w:r>
      <w:r w:rsidR="00105F7E">
        <w:t xml:space="preserve"> components from their prices, thereby passing through cost savings. Of the liable entities that hold excess carbon tax revenue, some have already decided that they will utilise the revenue in ways such as providing refunds, funding emissions abatement projects or lower</w:t>
      </w:r>
      <w:r w:rsidR="00033A85">
        <w:t>ing</w:t>
      </w:r>
      <w:r w:rsidR="00105F7E">
        <w:t xml:space="preserve"> future prices. However, many entities are waiting for the Government to announce a voluntary framework on </w:t>
      </w:r>
      <w:r w:rsidR="00695CAD">
        <w:t xml:space="preserve">the </w:t>
      </w:r>
      <w:r w:rsidR="00105F7E">
        <w:t>use</w:t>
      </w:r>
      <w:r w:rsidR="00695CAD">
        <w:t xml:space="preserve"> of excess carbon tax revenue</w:t>
      </w:r>
      <w:r w:rsidR="00105F7E">
        <w:t>.</w:t>
      </w:r>
    </w:p>
    <w:p w:rsidR="00680173" w:rsidRDefault="00680173" w:rsidP="00680173">
      <w:r w:rsidRPr="00404D91">
        <w:t xml:space="preserve">Over the monitoring </w:t>
      </w:r>
      <w:r>
        <w:t>period</w:t>
      </w:r>
      <w:r w:rsidR="00946FC2">
        <w:t xml:space="preserve"> from </w:t>
      </w:r>
      <w:r w:rsidR="00B46EF4">
        <w:t>1 March</w:t>
      </w:r>
      <w:r w:rsidR="00946FC2">
        <w:t xml:space="preserve"> 2014 to 30 June 2015</w:t>
      </w:r>
      <w:r>
        <w:t xml:space="preserve">, the ACCC </w:t>
      </w:r>
      <w:r w:rsidRPr="00404D91">
        <w:t xml:space="preserve">has focused on </w:t>
      </w:r>
      <w:r w:rsidR="0039328A">
        <w:t>entities in the regulated sectors (electricity, natural gas and SGG) pass</w:t>
      </w:r>
      <w:r w:rsidR="00E42B68">
        <w:t>ing</w:t>
      </w:r>
      <w:r w:rsidR="0039328A">
        <w:t xml:space="preserve"> through their</w:t>
      </w:r>
      <w:r w:rsidRPr="00404D91">
        <w:t xml:space="preserve"> </w:t>
      </w:r>
      <w:r w:rsidR="0039328A">
        <w:t xml:space="preserve">cost </w:t>
      </w:r>
      <w:r w:rsidRPr="00404D91">
        <w:t>savings to customers and that representations made about prices following the carbon tax repeal did not mislead consumers. The low level of complaints received by the ACCC</w:t>
      </w:r>
      <w:r w:rsidR="008F7E23">
        <w:t xml:space="preserve"> confirms</w:t>
      </w:r>
      <w:r w:rsidRPr="00404D91">
        <w:t xml:space="preserve"> that there were no widespread concerns about compliance with the obligations imposed on businesses by the </w:t>
      </w:r>
      <w:r w:rsidRPr="00E55382">
        <w:t xml:space="preserve">price </w:t>
      </w:r>
      <w:r w:rsidRPr="00404D91">
        <w:t>reduction obligation legislation.</w:t>
      </w:r>
      <w:r w:rsidR="0090013A">
        <w:t xml:space="preserve"> </w:t>
      </w:r>
    </w:p>
    <w:p w:rsidR="00680173" w:rsidRDefault="004B3DF2" w:rsidP="00FB47E3">
      <w:r>
        <w:t xml:space="preserve">The legislation focused on regulated goods, being the sectors most heavily affected by the carbon tax. </w:t>
      </w:r>
      <w:r w:rsidR="00680173">
        <w:t xml:space="preserve">In addition to </w:t>
      </w:r>
      <w:r w:rsidR="00AC5C1B">
        <w:t xml:space="preserve">cost </w:t>
      </w:r>
      <w:r w:rsidR="00680173">
        <w:t>savings in the regulated sectors, the ACCC has also seen cost savings across a number of sectors such as</w:t>
      </w:r>
      <w:r w:rsidR="00424232">
        <w:t xml:space="preserve"> landfill,</w:t>
      </w:r>
      <w:r w:rsidR="00680173">
        <w:t xml:space="preserve"> </w:t>
      </w:r>
      <w:r w:rsidR="00FD7F87" w:rsidRPr="00FD7F87">
        <w:t>council rates and charges</w:t>
      </w:r>
      <w:r w:rsidR="00FD7F87">
        <w:t>,</w:t>
      </w:r>
      <w:r w:rsidR="00680173">
        <w:t xml:space="preserve"> </w:t>
      </w:r>
      <w:r w:rsidR="00395132">
        <w:t xml:space="preserve">food manufacturing, water charges </w:t>
      </w:r>
      <w:r w:rsidR="00680173">
        <w:t xml:space="preserve">and transport. The ACCC </w:t>
      </w:r>
      <w:r w:rsidR="00105F7E" w:rsidRPr="00775130">
        <w:t>expects that these savings will flow down the supply chain throughout the economy</w:t>
      </w:r>
      <w:r w:rsidR="00695CAD">
        <w:t xml:space="preserve"> over time</w:t>
      </w:r>
      <w:r w:rsidR="00105F7E" w:rsidRPr="00775130">
        <w:t xml:space="preserve"> and be passed through to </w:t>
      </w:r>
      <w:r w:rsidR="00105F7E">
        <w:t>customers</w:t>
      </w:r>
      <w:r w:rsidR="00105F7E" w:rsidRPr="00775130">
        <w:t xml:space="preserve"> as part of the normal </w:t>
      </w:r>
      <w:r w:rsidR="00105F7E">
        <w:t>market</w:t>
      </w:r>
      <w:r w:rsidR="00105F7E" w:rsidRPr="00775130">
        <w:t xml:space="preserve"> process.</w:t>
      </w:r>
      <w:r w:rsidR="00680173">
        <w:t xml:space="preserve"> As such, the ACCC </w:t>
      </w:r>
      <w:r w:rsidR="00695CAD">
        <w:t>believes</w:t>
      </w:r>
      <w:r w:rsidR="00680173">
        <w:t xml:space="preserve"> that</w:t>
      </w:r>
      <w:r w:rsidR="00695CAD">
        <w:t>,</w:t>
      </w:r>
      <w:r w:rsidR="00680173">
        <w:t xml:space="preserve"> </w:t>
      </w:r>
      <w:r w:rsidR="00695CAD">
        <w:t xml:space="preserve">given all the available information, </w:t>
      </w:r>
      <w:r w:rsidR="00747E2E" w:rsidRPr="00775130">
        <w:t>the</w:t>
      </w:r>
      <w:r w:rsidR="00747E2E">
        <w:t xml:space="preserve"> Commonwealth Treasury’s </w:t>
      </w:r>
      <w:r w:rsidR="00365324">
        <w:t>estimated</w:t>
      </w:r>
      <w:r w:rsidR="00680173">
        <w:t xml:space="preserve"> $550</w:t>
      </w:r>
      <w:r w:rsidR="008C338F">
        <w:t xml:space="preserve"> cost</w:t>
      </w:r>
      <w:r w:rsidR="00365324">
        <w:t xml:space="preserve"> </w:t>
      </w:r>
      <w:r w:rsidR="00680173">
        <w:t>saving</w:t>
      </w:r>
      <w:r w:rsidR="00B66143">
        <w:t xml:space="preserve"> to households is reasonable.</w:t>
      </w:r>
    </w:p>
    <w:p w:rsidR="004E328E" w:rsidRDefault="00E87BAC" w:rsidP="00D4405E">
      <w:pPr>
        <w:autoSpaceDE w:val="0"/>
        <w:autoSpaceDN w:val="0"/>
        <w:adjustRightInd w:val="0"/>
        <w:spacing w:before="240"/>
      </w:pPr>
      <w:r>
        <w:lastRenderedPageBreak/>
        <w:t>The ACCC has been pleased with the high levels of</w:t>
      </w:r>
      <w:r w:rsidR="00963E3C">
        <w:t xml:space="preserve"> compliance with the </w:t>
      </w:r>
      <w:r>
        <w:t xml:space="preserve">price reduction obligation and consequently, has not </w:t>
      </w:r>
      <w:r w:rsidR="006D27E8">
        <w:t>needed to undertake</w:t>
      </w:r>
      <w:r>
        <w:t xml:space="preserve"> any enforcement activities relating to the price reduction legislation since the start of its monitoring role on </w:t>
      </w:r>
      <w:r w:rsidR="00B46EF4">
        <w:t>1 March</w:t>
      </w:r>
      <w:r>
        <w:t xml:space="preserve"> 2014. </w:t>
      </w:r>
      <w:r w:rsidR="00A82DD1">
        <w:t>In particular, the ACCC is satisfied that all of the relevant entities subject to price exploitation provisions (electricity and natural gas suppliers</w:t>
      </w:r>
      <w:r w:rsidR="006531E5">
        <w:t>,</w:t>
      </w:r>
      <w:r w:rsidR="00A82DD1">
        <w:t xml:space="preserve"> and bulk SGG importers) have passed through all cost savings attributable to the carbon tax repeal. </w:t>
      </w:r>
    </w:p>
    <w:p w:rsidR="00AC5C1B" w:rsidRDefault="00AC5C1B" w:rsidP="00D4405E">
      <w:pPr>
        <w:autoSpaceDE w:val="0"/>
        <w:autoSpaceDN w:val="0"/>
        <w:adjustRightInd w:val="0"/>
        <w:spacing w:before="0"/>
      </w:pPr>
    </w:p>
    <w:p w:rsidR="00680173" w:rsidRDefault="00696AE0" w:rsidP="00D4405E">
      <w:pPr>
        <w:autoSpaceDE w:val="0"/>
        <w:autoSpaceDN w:val="0"/>
        <w:adjustRightInd w:val="0"/>
        <w:spacing w:before="0"/>
      </w:pPr>
      <w:r>
        <w:t>T</w:t>
      </w:r>
      <w:r w:rsidRPr="00404D91">
        <w:t>h</w:t>
      </w:r>
      <w:r>
        <w:t>e price reduction legislation’s focus on the regulated sectors and transparency requirements to substant</w:t>
      </w:r>
      <w:r w:rsidR="009D591C">
        <w:t xml:space="preserve">iate </w:t>
      </w:r>
      <w:r w:rsidR="00AC5C1B">
        <w:t xml:space="preserve">cost </w:t>
      </w:r>
      <w:r>
        <w:t xml:space="preserve">savings and provide statements to customers </w:t>
      </w:r>
      <w:r w:rsidRPr="00D4405E">
        <w:t>led to the level of compliance observed within these sectors.</w:t>
      </w:r>
      <w:r>
        <w:t xml:space="preserve"> </w:t>
      </w:r>
      <w:r w:rsidR="00680173">
        <w:t>This</w:t>
      </w:r>
      <w:r w:rsidR="00D37C0A">
        <w:t>,</w:t>
      </w:r>
      <w:r w:rsidR="00680173">
        <w:t xml:space="preserve"> combined with</w:t>
      </w:r>
      <w:r w:rsidR="00D9437C">
        <w:t xml:space="preserve"> entities’</w:t>
      </w:r>
      <w:r w:rsidR="001A188F">
        <w:t xml:space="preserve"> </w:t>
      </w:r>
      <w:r w:rsidR="008C338F">
        <w:t>coop</w:t>
      </w:r>
      <w:r w:rsidR="00D9437C">
        <w:t>erative approach</w:t>
      </w:r>
      <w:r w:rsidR="008C338F">
        <w:t xml:space="preserve">, </w:t>
      </w:r>
      <w:r w:rsidR="00D37C0A">
        <w:t xml:space="preserve">proactive industry engagement and assistance from a variety of agencies, </w:t>
      </w:r>
      <w:r w:rsidR="00371D4A">
        <w:t xml:space="preserve">contributed to </w:t>
      </w:r>
      <w:r w:rsidR="00D37C0A">
        <w:t>a successful transition of the carbon tax repeal.</w:t>
      </w:r>
    </w:p>
    <w:p w:rsidR="00A82DD1" w:rsidRDefault="00A82DD1" w:rsidP="00FB47E3"/>
    <w:p w:rsidR="00C43A40" w:rsidRDefault="00B33531">
      <w:pPr>
        <w:pStyle w:val="Heading1"/>
      </w:pPr>
      <w:r>
        <w:br w:type="page"/>
      </w:r>
      <w:bookmarkStart w:id="25" w:name="_Toc425348696"/>
      <w:r w:rsidR="00A00E92">
        <w:lastRenderedPageBreak/>
        <w:t>H</w:t>
      </w:r>
      <w:r w:rsidR="00B81093">
        <w:t>ousehold</w:t>
      </w:r>
      <w:r w:rsidR="006633D9">
        <w:t xml:space="preserve"> cost</w:t>
      </w:r>
      <w:r w:rsidR="00B81093">
        <w:t xml:space="preserve"> </w:t>
      </w:r>
      <w:r w:rsidR="00775130">
        <w:t>savings</w:t>
      </w:r>
      <w:bookmarkEnd w:id="25"/>
    </w:p>
    <w:p w:rsidR="00B33531" w:rsidRPr="00FA08BB" w:rsidRDefault="006D27E8">
      <w:r>
        <w:t>T</w:t>
      </w:r>
      <w:r w:rsidR="00F61054">
        <w:t xml:space="preserve">he ACCC </w:t>
      </w:r>
      <w:r w:rsidR="00E03A8A">
        <w:t>is satisfied that</w:t>
      </w:r>
      <w:r w:rsidR="00B33531" w:rsidRPr="00FA08BB">
        <w:t xml:space="preserve"> </w:t>
      </w:r>
      <w:r w:rsidR="00993F3D">
        <w:t>cost</w:t>
      </w:r>
      <w:r w:rsidR="00B33531" w:rsidRPr="00FA08BB">
        <w:t xml:space="preserve"> s</w:t>
      </w:r>
      <w:r w:rsidR="00EC2F07">
        <w:t>avings</w:t>
      </w:r>
      <w:r w:rsidR="00993F3D">
        <w:t xml:space="preserve"> attributable to the carbon tax repeal</w:t>
      </w:r>
      <w:r w:rsidR="00EC2F07">
        <w:t xml:space="preserve"> </w:t>
      </w:r>
      <w:r w:rsidR="00E03A8A">
        <w:t xml:space="preserve">have been </w:t>
      </w:r>
      <w:r w:rsidR="00EC2F07">
        <w:t>passed through in the energy and SGG</w:t>
      </w:r>
      <w:r w:rsidR="00B33531" w:rsidRPr="00FA08BB">
        <w:t xml:space="preserve"> sectors</w:t>
      </w:r>
      <w:r w:rsidR="00EC2F07">
        <w:t xml:space="preserve">. </w:t>
      </w:r>
      <w:r w:rsidR="001E4C1B">
        <w:t>In its monitoring role</w:t>
      </w:r>
      <w:r w:rsidR="000338FF">
        <w:t>, a</w:t>
      </w:r>
      <w:r w:rsidR="00B33531" w:rsidRPr="00630E73">
        <w:t xml:space="preserve"> key focus for the ACCC has been to ensure that energy suppliers passed on </w:t>
      </w:r>
      <w:r w:rsidR="006633D9">
        <w:t xml:space="preserve">cost </w:t>
      </w:r>
      <w:r w:rsidR="00B33531" w:rsidRPr="00630E73">
        <w:t xml:space="preserve">savings from the </w:t>
      </w:r>
      <w:r w:rsidR="00EC2F07">
        <w:t>carbon tax repeal</w:t>
      </w:r>
      <w:r w:rsidR="00B33531" w:rsidRPr="00630E73">
        <w:t>, as energy prices had by far the greatest contribution to the carbon tax impact on prices in the economy generally.</w:t>
      </w:r>
    </w:p>
    <w:p w:rsidR="00B33531" w:rsidRPr="00775130" w:rsidRDefault="007E72F8" w:rsidP="00B33531">
      <w:r>
        <w:t>T</w:t>
      </w:r>
      <w:r w:rsidR="00B33531">
        <w:t xml:space="preserve">he ACCC notes the predicted </w:t>
      </w:r>
      <w:r w:rsidR="006633D9">
        <w:t xml:space="preserve">cost </w:t>
      </w:r>
      <w:r w:rsidR="00B33531" w:rsidRPr="00775130">
        <w:t xml:space="preserve">savings </w:t>
      </w:r>
      <w:r w:rsidR="00B81093">
        <w:t xml:space="preserve">per </w:t>
      </w:r>
      <w:r w:rsidR="00B81093" w:rsidRPr="00775130">
        <w:t xml:space="preserve">household </w:t>
      </w:r>
      <w:r w:rsidR="00B33531" w:rsidRPr="00775130">
        <w:t>following the carbon tax repeal were estimated to be $550 according to the Commonwealth Treasury modelling.</w:t>
      </w:r>
      <w:r w:rsidR="00B33531" w:rsidRPr="00775130">
        <w:rPr>
          <w:rStyle w:val="FootnoteReference"/>
        </w:rPr>
        <w:footnoteReference w:id="1"/>
      </w:r>
      <w:r w:rsidR="00B33531" w:rsidRPr="00775130">
        <w:t xml:space="preserve"> The Commonwealth Treasury modelling estimated average costs of the carbon tax across a broad range of </w:t>
      </w:r>
      <w:r w:rsidR="007A7971">
        <w:t>household expenditures</w:t>
      </w:r>
      <w:r w:rsidR="00B33531" w:rsidRPr="00775130">
        <w:t>, most of which are neither regulated goods nor supplied by liable entities. Further, as</w:t>
      </w:r>
      <w:r w:rsidR="00B33531">
        <w:t xml:space="preserve"> noted in the July 2014 Carbon R</w:t>
      </w:r>
      <w:r w:rsidR="00B33531" w:rsidRPr="00775130">
        <w:t xml:space="preserve">eport, </w:t>
      </w:r>
      <w:r w:rsidR="00B33531">
        <w:t xml:space="preserve">some </w:t>
      </w:r>
      <w:r w:rsidR="00B33531" w:rsidRPr="00775130">
        <w:t xml:space="preserve">entities in industries </w:t>
      </w:r>
      <w:r w:rsidR="00B33531">
        <w:t xml:space="preserve">such as construction materials, </w:t>
      </w:r>
      <w:r w:rsidR="00B33531" w:rsidRPr="00775130">
        <w:t xml:space="preserve">metals and meat </w:t>
      </w:r>
      <w:r w:rsidR="00943446">
        <w:t xml:space="preserve">advised the ACCC that they </w:t>
      </w:r>
      <w:r w:rsidR="00B33531" w:rsidRPr="00775130">
        <w:t>absorbed</w:t>
      </w:r>
      <w:r w:rsidR="00943446">
        <w:t xml:space="preserve"> their</w:t>
      </w:r>
      <w:r w:rsidR="00B33531" w:rsidRPr="00775130">
        <w:t xml:space="preserve"> carbon tax costs. For these reasons, it is difficult to determine the exact costs of the carbon tax, and hence the</w:t>
      </w:r>
      <w:r w:rsidR="00E96927">
        <w:t xml:space="preserve"> exact</w:t>
      </w:r>
      <w:r w:rsidR="006633D9">
        <w:t xml:space="preserve"> cost</w:t>
      </w:r>
      <w:r w:rsidR="00B33531" w:rsidRPr="00775130">
        <w:t xml:space="preserve"> savings </w:t>
      </w:r>
      <w:r w:rsidR="00B33531">
        <w:t>resulting from</w:t>
      </w:r>
      <w:r w:rsidR="00B33531" w:rsidRPr="00775130">
        <w:t xml:space="preserve"> </w:t>
      </w:r>
      <w:r w:rsidR="00650CE6">
        <w:t>its</w:t>
      </w:r>
      <w:r w:rsidR="00B33531" w:rsidRPr="00775130">
        <w:t xml:space="preserve"> repeal. However, the ACCC has identified </w:t>
      </w:r>
      <w:r w:rsidR="003D131D">
        <w:t>direct</w:t>
      </w:r>
      <w:r w:rsidR="006633D9">
        <w:t xml:space="preserve"> cost</w:t>
      </w:r>
      <w:r w:rsidR="003D131D" w:rsidRPr="00775130">
        <w:t xml:space="preserve"> </w:t>
      </w:r>
      <w:r w:rsidR="00B33531" w:rsidRPr="00775130">
        <w:t xml:space="preserve">savings in the energy sector and expects that these savings will flow down the supply chain throughout the economy </w:t>
      </w:r>
      <w:r w:rsidR="00890EB5">
        <w:t xml:space="preserve">over time </w:t>
      </w:r>
      <w:r w:rsidR="00B33531" w:rsidRPr="00775130">
        <w:t xml:space="preserve">and be passed through to </w:t>
      </w:r>
      <w:r w:rsidR="00B81093">
        <w:t>customers</w:t>
      </w:r>
      <w:r w:rsidR="00B81093" w:rsidRPr="00775130">
        <w:t xml:space="preserve"> </w:t>
      </w:r>
      <w:r w:rsidR="00B33531" w:rsidRPr="00775130">
        <w:t xml:space="preserve">as part of the normal </w:t>
      </w:r>
      <w:r w:rsidR="00D13F42">
        <w:t>market</w:t>
      </w:r>
      <w:r w:rsidR="00D13F42" w:rsidRPr="00775130">
        <w:t xml:space="preserve"> </w:t>
      </w:r>
      <w:r w:rsidR="00B33531" w:rsidRPr="00775130">
        <w:t>process.</w:t>
      </w:r>
      <w:r w:rsidR="00636836">
        <w:t xml:space="preserve"> The ACCC has also identified </w:t>
      </w:r>
      <w:r w:rsidR="00E96927">
        <w:t xml:space="preserve">a number of </w:t>
      </w:r>
      <w:r w:rsidR="00636836">
        <w:t>specific examples of price reductions in other sectors, as detailed below.</w:t>
      </w:r>
    </w:p>
    <w:p w:rsidR="00B33531" w:rsidRDefault="00B33531" w:rsidP="00FB47E3">
      <w:pPr>
        <w:pStyle w:val="Heading2"/>
      </w:pPr>
      <w:bookmarkStart w:id="26" w:name="_Toc425348697"/>
      <w:r w:rsidRPr="00775130">
        <w:t xml:space="preserve">Electricity and </w:t>
      </w:r>
      <w:r w:rsidR="002D6BC4">
        <w:t>n</w:t>
      </w:r>
      <w:r w:rsidRPr="00775130">
        <w:t xml:space="preserve">atural </w:t>
      </w:r>
      <w:r w:rsidR="002D6BC4">
        <w:t>g</w:t>
      </w:r>
      <w:r w:rsidRPr="00775130">
        <w:t>as</w:t>
      </w:r>
      <w:bookmarkEnd w:id="26"/>
    </w:p>
    <w:p w:rsidR="00B33531" w:rsidRPr="005F3A37" w:rsidRDefault="00D614B8" w:rsidP="00B33531">
      <w:pPr>
        <w:rPr>
          <w:b/>
        </w:rPr>
      </w:pPr>
      <w:r>
        <w:t>T</w:t>
      </w:r>
      <w:r w:rsidR="00B33531">
        <w:t xml:space="preserve">he ACCC has </w:t>
      </w:r>
      <w:r w:rsidR="00E03A8A">
        <w:t xml:space="preserve">calculated </w:t>
      </w:r>
      <w:r w:rsidR="003D131D">
        <w:t>direct</w:t>
      </w:r>
      <w:r w:rsidR="006633D9">
        <w:t xml:space="preserve"> cost</w:t>
      </w:r>
      <w:r w:rsidR="00B33531">
        <w:t xml:space="preserve"> savings, ranging from $153 to $269,</w:t>
      </w:r>
      <w:r w:rsidR="00B33531">
        <w:rPr>
          <w:rStyle w:val="FootnoteReference"/>
        </w:rPr>
        <w:footnoteReference w:id="2"/>
      </w:r>
      <w:r w:rsidR="00B33531">
        <w:t xml:space="preserve"> that have been passed through to </w:t>
      </w:r>
      <w:r w:rsidR="00B81093">
        <w:t xml:space="preserve">customers </w:t>
      </w:r>
      <w:r w:rsidR="00B33531">
        <w:t xml:space="preserve">by electricity and natural gas retailers following the </w:t>
      </w:r>
      <w:r w:rsidR="00EC2F07">
        <w:t>carbon tax repeal</w:t>
      </w:r>
      <w:r w:rsidR="000338FF">
        <w:t xml:space="preserve">, as </w:t>
      </w:r>
      <w:r w:rsidR="002D6BC4">
        <w:t>set out</w:t>
      </w:r>
      <w:r w:rsidR="000338FF">
        <w:t xml:space="preserve"> in t</w:t>
      </w:r>
      <w:r w:rsidR="00B33531" w:rsidRPr="005F3A37">
        <w:t>he following table.</w:t>
      </w:r>
    </w:p>
    <w:p w:rsidR="00C84236" w:rsidRPr="009315F7" w:rsidRDefault="00775130" w:rsidP="00105F7E">
      <w:pPr>
        <w:spacing w:after="120"/>
        <w:rPr>
          <w:b/>
        </w:rPr>
      </w:pPr>
      <w:r w:rsidRPr="009315F7">
        <w:rPr>
          <w:b/>
          <w:bCs/>
        </w:rPr>
        <w:t xml:space="preserve">Table </w:t>
      </w:r>
      <w:r w:rsidR="00F709B1" w:rsidRPr="009315F7">
        <w:rPr>
          <w:b/>
          <w:bCs/>
        </w:rPr>
        <w:t>1</w:t>
      </w:r>
      <w:r w:rsidR="00C84236" w:rsidRPr="009315F7">
        <w:rPr>
          <w:b/>
          <w:bCs/>
        </w:rPr>
        <w:t xml:space="preserve">: Estimated average </w:t>
      </w:r>
      <w:r w:rsidR="00170E31" w:rsidRPr="00F369B8">
        <w:rPr>
          <w:b/>
          <w:bCs/>
        </w:rPr>
        <w:t xml:space="preserve">annual </w:t>
      </w:r>
      <w:r w:rsidR="00C84236" w:rsidRPr="009315F7">
        <w:rPr>
          <w:b/>
          <w:bCs/>
        </w:rPr>
        <w:t>carbon tax repeal cost savings</w:t>
      </w:r>
      <w:r w:rsidR="00C108EC" w:rsidRPr="009315F7">
        <w:rPr>
          <w:b/>
          <w:bCs/>
        </w:rPr>
        <w:t xml:space="preserve"> for electricity and natural gas</w:t>
      </w:r>
    </w:p>
    <w:tbl>
      <w:tblPr>
        <w:tblStyle w:val="LightShading-Accent1"/>
        <w:tblW w:w="9240" w:type="dxa"/>
        <w:jc w:val="center"/>
        <w:tblLook w:val="04A0" w:firstRow="1" w:lastRow="0" w:firstColumn="1" w:lastColumn="0" w:noHBand="0" w:noVBand="1"/>
      </w:tblPr>
      <w:tblGrid>
        <w:gridCol w:w="1668"/>
        <w:gridCol w:w="946"/>
        <w:gridCol w:w="947"/>
        <w:gridCol w:w="800"/>
        <w:gridCol w:w="1093"/>
        <w:gridCol w:w="946"/>
        <w:gridCol w:w="947"/>
        <w:gridCol w:w="946"/>
        <w:gridCol w:w="947"/>
      </w:tblGrid>
      <w:tr w:rsidR="007F7190" w:rsidTr="009315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C84236" w:rsidRPr="009315F7" w:rsidRDefault="00C84236" w:rsidP="009315F7">
            <w:pPr>
              <w:keepNext/>
              <w:spacing w:before="120" w:after="120"/>
              <w:jc w:val="center"/>
              <w:rPr>
                <w:rFonts w:cs="Arial"/>
                <w:b w:val="0"/>
                <w:bCs w:val="0"/>
                <w:color w:val="000000" w:themeColor="text1"/>
                <w:sz w:val="20"/>
                <w:szCs w:val="20"/>
              </w:rPr>
            </w:pPr>
            <w:r w:rsidRPr="009315F7">
              <w:rPr>
                <w:rFonts w:cs="Arial"/>
                <w:color w:val="000000" w:themeColor="text1"/>
                <w:sz w:val="20"/>
                <w:szCs w:val="20"/>
              </w:rPr>
              <w:t>State</w:t>
            </w:r>
          </w:p>
        </w:tc>
        <w:tc>
          <w:tcPr>
            <w:tcW w:w="946"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NSW</w:t>
            </w:r>
          </w:p>
        </w:tc>
        <w:tc>
          <w:tcPr>
            <w:tcW w:w="947"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VIC</w:t>
            </w:r>
          </w:p>
        </w:tc>
        <w:tc>
          <w:tcPr>
            <w:tcW w:w="800"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SA</w:t>
            </w:r>
          </w:p>
        </w:tc>
        <w:tc>
          <w:tcPr>
            <w:tcW w:w="1093"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QLD</w:t>
            </w:r>
          </w:p>
        </w:tc>
        <w:tc>
          <w:tcPr>
            <w:tcW w:w="946"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ACT</w:t>
            </w:r>
          </w:p>
        </w:tc>
        <w:tc>
          <w:tcPr>
            <w:tcW w:w="947"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TAS</w:t>
            </w:r>
          </w:p>
        </w:tc>
        <w:tc>
          <w:tcPr>
            <w:tcW w:w="946"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WA</w:t>
            </w:r>
          </w:p>
        </w:tc>
        <w:tc>
          <w:tcPr>
            <w:tcW w:w="947" w:type="dxa"/>
            <w:hideMark/>
          </w:tcPr>
          <w:p w:rsidR="00C84236" w:rsidRPr="009315F7" w:rsidRDefault="00C84236" w:rsidP="009315F7">
            <w:pPr>
              <w:keepNext/>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9315F7">
              <w:rPr>
                <w:rFonts w:cs="Arial"/>
                <w:color w:val="000000" w:themeColor="text1"/>
                <w:sz w:val="20"/>
                <w:szCs w:val="20"/>
              </w:rPr>
              <w:t>NT</w:t>
            </w:r>
          </w:p>
        </w:tc>
      </w:tr>
      <w:tr w:rsidR="007F7190"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C84236" w:rsidRPr="009315F7" w:rsidRDefault="00C84236" w:rsidP="009315F7">
            <w:pPr>
              <w:keepNext/>
              <w:spacing w:before="120" w:after="120"/>
              <w:jc w:val="center"/>
              <w:rPr>
                <w:rFonts w:cs="Arial"/>
                <w:b w:val="0"/>
                <w:bCs w:val="0"/>
                <w:color w:val="000000" w:themeColor="text1"/>
                <w:sz w:val="20"/>
                <w:szCs w:val="20"/>
              </w:rPr>
            </w:pPr>
            <w:r w:rsidRPr="009315F7">
              <w:rPr>
                <w:color w:val="000000" w:themeColor="text1"/>
                <w:sz w:val="20"/>
                <w:szCs w:val="20"/>
              </w:rPr>
              <w:t xml:space="preserve">Average electricity </w:t>
            </w:r>
            <w:r w:rsidR="009C2FA5" w:rsidRPr="009315F7">
              <w:rPr>
                <w:color w:val="000000" w:themeColor="text1"/>
                <w:sz w:val="20"/>
                <w:szCs w:val="20"/>
              </w:rPr>
              <w:t xml:space="preserve">cost </w:t>
            </w:r>
            <w:r w:rsidRPr="009315F7">
              <w:rPr>
                <w:color w:val="000000" w:themeColor="text1"/>
                <w:sz w:val="20"/>
                <w:szCs w:val="20"/>
              </w:rPr>
              <w:t>savings ($)</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129</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112</w:t>
            </w:r>
          </w:p>
        </w:tc>
        <w:tc>
          <w:tcPr>
            <w:tcW w:w="800"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140</w:t>
            </w:r>
          </w:p>
        </w:tc>
        <w:tc>
          <w:tcPr>
            <w:tcW w:w="1093"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150</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185</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198</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135</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103</w:t>
            </w:r>
          </w:p>
        </w:tc>
      </w:tr>
      <w:tr w:rsidR="007F7190" w:rsidTr="009315F7">
        <w:trPr>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C84236" w:rsidRPr="009315F7" w:rsidRDefault="00C84236" w:rsidP="009315F7">
            <w:pPr>
              <w:keepNext/>
              <w:spacing w:before="120" w:after="120"/>
              <w:jc w:val="center"/>
              <w:rPr>
                <w:rFonts w:cs="Arial"/>
                <w:b w:val="0"/>
                <w:bCs w:val="0"/>
                <w:color w:val="000000" w:themeColor="text1"/>
                <w:sz w:val="20"/>
                <w:szCs w:val="20"/>
              </w:rPr>
            </w:pPr>
            <w:r w:rsidRPr="009315F7">
              <w:rPr>
                <w:color w:val="000000" w:themeColor="text1"/>
                <w:sz w:val="20"/>
                <w:szCs w:val="20"/>
              </w:rPr>
              <w:t xml:space="preserve">Average gas </w:t>
            </w:r>
            <w:r w:rsidR="009C2FA5" w:rsidRPr="009315F7">
              <w:rPr>
                <w:color w:val="000000" w:themeColor="text1"/>
                <w:sz w:val="20"/>
                <w:szCs w:val="20"/>
              </w:rPr>
              <w:t xml:space="preserve">cost </w:t>
            </w:r>
            <w:r w:rsidRPr="009315F7">
              <w:rPr>
                <w:color w:val="000000" w:themeColor="text1"/>
                <w:sz w:val="20"/>
                <w:szCs w:val="20"/>
              </w:rPr>
              <w:t>savings</w:t>
            </w:r>
            <w:r w:rsidR="00C33372" w:rsidRPr="009315F7">
              <w:rPr>
                <w:rStyle w:val="FootnoteReference"/>
                <w:color w:val="000000" w:themeColor="text1"/>
                <w:sz w:val="20"/>
                <w:szCs w:val="20"/>
              </w:rPr>
              <w:footnoteReference w:id="3"/>
            </w:r>
            <w:r w:rsidRPr="009315F7">
              <w:rPr>
                <w:color w:val="000000" w:themeColor="text1"/>
                <w:sz w:val="20"/>
                <w:szCs w:val="20"/>
              </w:rPr>
              <w:t xml:space="preserve"> ($)</w:t>
            </w:r>
          </w:p>
        </w:tc>
        <w:tc>
          <w:tcPr>
            <w:tcW w:w="946"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39</w:t>
            </w:r>
          </w:p>
        </w:tc>
        <w:tc>
          <w:tcPr>
            <w:tcW w:w="947"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98</w:t>
            </w:r>
          </w:p>
        </w:tc>
        <w:tc>
          <w:tcPr>
            <w:tcW w:w="800"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50</w:t>
            </w:r>
          </w:p>
        </w:tc>
        <w:tc>
          <w:tcPr>
            <w:tcW w:w="1093"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27</w:t>
            </w:r>
          </w:p>
        </w:tc>
        <w:tc>
          <w:tcPr>
            <w:tcW w:w="946"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84</w:t>
            </w:r>
          </w:p>
        </w:tc>
        <w:tc>
          <w:tcPr>
            <w:tcW w:w="947"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66</w:t>
            </w:r>
          </w:p>
        </w:tc>
        <w:tc>
          <w:tcPr>
            <w:tcW w:w="946"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18</w:t>
            </w:r>
          </w:p>
        </w:tc>
        <w:tc>
          <w:tcPr>
            <w:tcW w:w="947" w:type="dxa"/>
            <w:hideMark/>
          </w:tcPr>
          <w:p w:rsidR="00C84236" w:rsidRPr="009315F7" w:rsidRDefault="00C84236" w:rsidP="009315F7">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9315F7">
              <w:rPr>
                <w:color w:val="000000" w:themeColor="text1"/>
                <w:sz w:val="20"/>
                <w:szCs w:val="20"/>
              </w:rPr>
              <w:t>N/A</w:t>
            </w:r>
          </w:p>
        </w:tc>
      </w:tr>
      <w:tr w:rsidR="007F7190"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C84236" w:rsidRPr="009315F7" w:rsidRDefault="00C84236" w:rsidP="009315F7">
            <w:pPr>
              <w:keepNext/>
              <w:spacing w:before="120" w:after="120"/>
              <w:jc w:val="center"/>
              <w:rPr>
                <w:rFonts w:cs="Arial"/>
                <w:b w:val="0"/>
                <w:bCs w:val="0"/>
                <w:color w:val="000000" w:themeColor="text1"/>
                <w:sz w:val="20"/>
                <w:szCs w:val="20"/>
              </w:rPr>
            </w:pPr>
            <w:r w:rsidRPr="009315F7">
              <w:rPr>
                <w:color w:val="000000" w:themeColor="text1"/>
                <w:sz w:val="20"/>
                <w:szCs w:val="20"/>
              </w:rPr>
              <w:t>Electricity and gas</w:t>
            </w:r>
            <w:r w:rsidR="009C2FA5" w:rsidRPr="009315F7">
              <w:rPr>
                <w:color w:val="000000" w:themeColor="text1"/>
                <w:sz w:val="20"/>
                <w:szCs w:val="20"/>
              </w:rPr>
              <w:t xml:space="preserve"> cost</w:t>
            </w:r>
            <w:r w:rsidRPr="009315F7">
              <w:rPr>
                <w:color w:val="000000" w:themeColor="text1"/>
                <w:sz w:val="20"/>
                <w:szCs w:val="20"/>
              </w:rPr>
              <w:t xml:space="preserve"> savings ($)</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168</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210</w:t>
            </w:r>
          </w:p>
        </w:tc>
        <w:tc>
          <w:tcPr>
            <w:tcW w:w="800"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190</w:t>
            </w:r>
          </w:p>
        </w:tc>
        <w:tc>
          <w:tcPr>
            <w:tcW w:w="1093"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177</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269</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264</w:t>
            </w:r>
          </w:p>
        </w:tc>
        <w:tc>
          <w:tcPr>
            <w:tcW w:w="946"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153</w:t>
            </w:r>
          </w:p>
        </w:tc>
        <w:tc>
          <w:tcPr>
            <w:tcW w:w="947" w:type="dxa"/>
            <w:hideMark/>
          </w:tcPr>
          <w:p w:rsidR="00C84236" w:rsidRPr="009315F7" w:rsidRDefault="00C84236" w:rsidP="009315F7">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315F7">
              <w:rPr>
                <w:color w:val="000000" w:themeColor="text1"/>
                <w:sz w:val="20"/>
                <w:szCs w:val="20"/>
              </w:rPr>
              <w:t>N/A</w:t>
            </w:r>
          </w:p>
        </w:tc>
      </w:tr>
    </w:tbl>
    <w:p w:rsidR="009C2FA5" w:rsidRPr="00CB6F7D" w:rsidRDefault="009C2FA5" w:rsidP="009315F7"/>
    <w:p w:rsidR="00C835C7" w:rsidRPr="009C2FA5" w:rsidRDefault="009C2FA5" w:rsidP="007B6144">
      <w:pPr>
        <w:pStyle w:val="Heading2"/>
      </w:pPr>
      <w:r>
        <w:br w:type="page"/>
      </w:r>
      <w:bookmarkStart w:id="27" w:name="_Toc425348698"/>
      <w:r w:rsidR="00C835C7" w:rsidRPr="00C108EC">
        <w:lastRenderedPageBreak/>
        <w:t>S</w:t>
      </w:r>
      <w:r w:rsidR="00775130" w:rsidRPr="00C108EC">
        <w:t>ynthetic greenhouse g</w:t>
      </w:r>
      <w:r w:rsidR="00C835C7" w:rsidRPr="00C108EC">
        <w:t>as</w:t>
      </w:r>
      <w:bookmarkEnd w:id="27"/>
    </w:p>
    <w:p w:rsidR="00C835C7" w:rsidRDefault="00EF55E5" w:rsidP="007B6144">
      <w:pPr>
        <w:autoSpaceDE w:val="0"/>
        <w:autoSpaceDN w:val="0"/>
        <w:spacing w:before="120"/>
      </w:pPr>
      <w:r>
        <w:t xml:space="preserve">The ACCC has found </w:t>
      </w:r>
      <w:r w:rsidRPr="004C209F">
        <w:t>that</w:t>
      </w:r>
      <w:r w:rsidR="00F3676E">
        <w:t>,</w:t>
      </w:r>
      <w:r w:rsidRPr="004C209F">
        <w:t xml:space="preserve"> </w:t>
      </w:r>
      <w:r w:rsidR="00ED135E" w:rsidRPr="004C209F">
        <w:t>where applicable</w:t>
      </w:r>
      <w:r w:rsidR="00F3676E">
        <w:t>,</w:t>
      </w:r>
      <w:r w:rsidR="00ED135E" w:rsidRPr="004C209F">
        <w:t xml:space="preserve"> </w:t>
      </w:r>
      <w:r w:rsidR="00E37377" w:rsidRPr="004C209F">
        <w:t xml:space="preserve">at the bulk import, wholesale and equipment supply levels, </w:t>
      </w:r>
      <w:r w:rsidRPr="004C209F">
        <w:t xml:space="preserve">prices of </w:t>
      </w:r>
      <w:r w:rsidR="00E37377" w:rsidRPr="004C209F">
        <w:t xml:space="preserve">the most common </w:t>
      </w:r>
      <w:r w:rsidRPr="004C209F">
        <w:t>SGGs</w:t>
      </w:r>
      <w:r w:rsidR="00E37377" w:rsidRPr="004C209F">
        <w:rPr>
          <w:rStyle w:val="FootnoteReference"/>
        </w:rPr>
        <w:footnoteReference w:id="4"/>
      </w:r>
      <w:r w:rsidR="00E37377" w:rsidRPr="004C209F">
        <w:t xml:space="preserve"> that attracted the equivalent carbon price levy</w:t>
      </w:r>
      <w:r w:rsidRPr="004C209F">
        <w:t xml:space="preserve"> have reduced to approximately the same levels as</w:t>
      </w:r>
      <w:r w:rsidR="00F9572E" w:rsidRPr="004C209F">
        <w:t>, or lower than,</w:t>
      </w:r>
      <w:r w:rsidRPr="004C209F">
        <w:t xml:space="preserve"> those before the introduction of the carbon tax. </w:t>
      </w:r>
      <w:r w:rsidR="00F6797A" w:rsidRPr="004C209F">
        <w:t>Average prices post</w:t>
      </w:r>
      <w:r w:rsidR="00F6797A">
        <w:t>-</w:t>
      </w:r>
      <w:r w:rsidR="00F6797A" w:rsidRPr="004C209F">
        <w:t>carbon tax repeal, depending on the SGG type, range from approximately $8/kg to $34/kg at the bulk import level</w:t>
      </w:r>
      <w:r w:rsidR="00F6797A">
        <w:t xml:space="preserve">, compared to </w:t>
      </w:r>
      <w:r w:rsidR="00F6797A" w:rsidRPr="00F6797A">
        <w:t>average prices of $38/kg to $109/kg during the carbon tax period.</w:t>
      </w:r>
      <w:r w:rsidR="00F6797A" w:rsidRPr="004C209F">
        <w:t xml:space="preserve"> At the wholesale level</w:t>
      </w:r>
      <w:r w:rsidR="00F6797A" w:rsidRPr="00395132">
        <w:t>,</w:t>
      </w:r>
      <w:r w:rsidR="00F6797A" w:rsidRPr="004C209F">
        <w:t xml:space="preserve"> average prices </w:t>
      </w:r>
      <w:r w:rsidR="00F6797A" w:rsidRPr="00395132">
        <w:t xml:space="preserve">post-carbon tax repeal </w:t>
      </w:r>
      <w:r w:rsidR="00F6797A" w:rsidRPr="004C209F">
        <w:t>range from $14/kg to $33/kg</w:t>
      </w:r>
      <w:r w:rsidR="00F6797A">
        <w:t>,</w:t>
      </w:r>
      <w:r w:rsidR="00F6797A" w:rsidRPr="004C209F">
        <w:t xml:space="preserve"> depending on SGG type</w:t>
      </w:r>
      <w:r w:rsidR="00F6797A">
        <w:t xml:space="preserve">, </w:t>
      </w:r>
      <w:r w:rsidR="00F6797A" w:rsidRPr="00F6797A">
        <w:t>compared to average prices of $47/kg to $182/kg during the carbon tax period</w:t>
      </w:r>
      <w:r w:rsidR="00F6797A" w:rsidRPr="004C209F">
        <w:t>.</w:t>
      </w:r>
      <w:r w:rsidR="001A330F" w:rsidRPr="00395132">
        <w:t xml:space="preserve"> </w:t>
      </w:r>
      <w:r w:rsidR="00C015C3" w:rsidRPr="004C209F">
        <w:t>While this may not be due solely to the carbon tax repeal, the ACCC is satisfied that any identifiable</w:t>
      </w:r>
      <w:r w:rsidR="009C2FA5" w:rsidRPr="004C209F">
        <w:t xml:space="preserve"> cost</w:t>
      </w:r>
      <w:r w:rsidR="00C015C3" w:rsidRPr="004C209F">
        <w:t xml:space="preserve"> savings resulting from the repeal have been passed on. </w:t>
      </w:r>
      <w:r w:rsidR="0013607E" w:rsidRPr="004C209F">
        <w:t>T</w:t>
      </w:r>
      <w:r w:rsidR="00C835C7" w:rsidRPr="004C209F">
        <w:t>he</w:t>
      </w:r>
      <w:r w:rsidR="00BB2ED0" w:rsidRPr="004C209F">
        <w:t xml:space="preserve"> common</w:t>
      </w:r>
      <w:r w:rsidR="00C835C7" w:rsidRPr="004C209F">
        <w:t xml:space="preserve"> SGGs</w:t>
      </w:r>
      <w:r w:rsidR="00C835C7">
        <w:t xml:space="preserve"> are used in household appliances such as refrigeration systems, and vehicle and domestic air-conditioning systems</w:t>
      </w:r>
      <w:r w:rsidR="0013607E">
        <w:t>. As such,</w:t>
      </w:r>
      <w:r w:rsidR="00C835C7">
        <w:t xml:space="preserve"> t</w:t>
      </w:r>
      <w:r w:rsidR="00C835C7" w:rsidRPr="001614C2">
        <w:t xml:space="preserve">he ACCC expects that </w:t>
      </w:r>
      <w:r w:rsidR="00F54D76">
        <w:t>where the carbon tax was passed through</w:t>
      </w:r>
      <w:r w:rsidR="00F22DE6">
        <w:t>,</w:t>
      </w:r>
      <w:r w:rsidR="00F54D76">
        <w:t xml:space="preserve"> </w:t>
      </w:r>
      <w:r w:rsidR="00C835C7" w:rsidRPr="001614C2">
        <w:t>market forces will see the lower prices flow through to all o</w:t>
      </w:r>
      <w:r w:rsidR="00C835C7">
        <w:t>ther levels of the supply chain</w:t>
      </w:r>
      <w:r w:rsidR="0013607E">
        <w:t xml:space="preserve"> over time</w:t>
      </w:r>
      <w:r w:rsidR="00C835C7">
        <w:t xml:space="preserve">, including to households.  </w:t>
      </w:r>
    </w:p>
    <w:p w:rsidR="00C108EC" w:rsidRDefault="003246EF" w:rsidP="00FB47E3">
      <w:pPr>
        <w:pStyle w:val="Heading2"/>
      </w:pPr>
      <w:bookmarkStart w:id="28" w:name="_Toc425348699"/>
      <w:r>
        <w:t>Other e</w:t>
      </w:r>
      <w:r w:rsidR="00FD3B0A">
        <w:t xml:space="preserve">xamples of </w:t>
      </w:r>
      <w:r w:rsidR="00A1495C">
        <w:t xml:space="preserve">household </w:t>
      </w:r>
      <w:r w:rsidR="00FD3B0A">
        <w:t>savings</w:t>
      </w:r>
      <w:bookmarkEnd w:id="28"/>
    </w:p>
    <w:p w:rsidR="00695CAD" w:rsidRDefault="00C84236" w:rsidP="00695CAD">
      <w:r>
        <w:t xml:space="preserve">The ACCC </w:t>
      </w:r>
      <w:r w:rsidR="001A330F">
        <w:t xml:space="preserve">considers </w:t>
      </w:r>
      <w:r w:rsidR="00412651">
        <w:t xml:space="preserve">that it is not possible </w:t>
      </w:r>
      <w:r>
        <w:t xml:space="preserve">to quantify those </w:t>
      </w:r>
      <w:r w:rsidR="009C2FA5">
        <w:t xml:space="preserve">cost </w:t>
      </w:r>
      <w:r>
        <w:t xml:space="preserve">savings arising from indirect carbon tax costs. However, the ACCC expects </w:t>
      </w:r>
      <w:r w:rsidRPr="007A7971">
        <w:t xml:space="preserve">competition to play an important role in ensuring that </w:t>
      </w:r>
      <w:r w:rsidR="000B24C2">
        <w:t xml:space="preserve">carbon tax </w:t>
      </w:r>
      <w:r w:rsidR="00164BF5">
        <w:t xml:space="preserve">repeal </w:t>
      </w:r>
      <w:r w:rsidRPr="007A7971">
        <w:t xml:space="preserve">cost </w:t>
      </w:r>
      <w:r w:rsidR="00C835C7" w:rsidRPr="007A7971">
        <w:t xml:space="preserve">savings </w:t>
      </w:r>
      <w:r w:rsidR="00253ADF" w:rsidRPr="007A7971">
        <w:t>are</w:t>
      </w:r>
      <w:r w:rsidRPr="007A7971">
        <w:t xml:space="preserve"> passed through to c</w:t>
      </w:r>
      <w:r w:rsidR="00A1495C">
        <w:t>ustomers</w:t>
      </w:r>
      <w:r w:rsidR="00253ADF" w:rsidRPr="007A7971">
        <w:t xml:space="preserve">. </w:t>
      </w:r>
      <w:r w:rsidR="00253ADF" w:rsidRPr="00442B20">
        <w:t>Th</w:t>
      </w:r>
      <w:r w:rsidR="00444807">
        <w:t>ese</w:t>
      </w:r>
      <w:r w:rsidR="00253ADF" w:rsidRPr="00442B20">
        <w:t xml:space="preserve"> may be </w:t>
      </w:r>
      <w:r w:rsidRPr="00442B20">
        <w:t>less noticeable and often as less</w:t>
      </w:r>
      <w:r w:rsidR="003C788C">
        <w:t>er</w:t>
      </w:r>
      <w:r w:rsidRPr="00442B20">
        <w:t xml:space="preserve"> amounts than the </w:t>
      </w:r>
      <w:r w:rsidR="00253ADF" w:rsidRPr="00442B20">
        <w:t xml:space="preserve">cost savings experienced in the </w:t>
      </w:r>
      <w:r w:rsidR="00F709B1">
        <w:t>energy</w:t>
      </w:r>
      <w:r w:rsidR="00253ADF" w:rsidRPr="00442B20">
        <w:t xml:space="preserve"> sectors</w:t>
      </w:r>
      <w:r w:rsidR="00105082">
        <w:t>. These cost savings may also be in the form of</w:t>
      </w:r>
      <w:r w:rsidR="007B58FE" w:rsidRPr="00442B20">
        <w:t xml:space="preserve"> price increases that were not as high as they otherwise would have been.</w:t>
      </w:r>
      <w:r w:rsidR="00253ADF" w:rsidRPr="007A7971">
        <w:t xml:space="preserve"> </w:t>
      </w:r>
      <w:r w:rsidRPr="007A7971">
        <w:t>In particular, the ACCC has identified the following examples of carbon tax cost savings.</w:t>
      </w:r>
      <w:r w:rsidR="00371D4A">
        <w:t xml:space="preserve"> The ACCC notes that they</w:t>
      </w:r>
      <w:r w:rsidR="00E55808">
        <w:t xml:space="preserve"> are not exhaustive </w:t>
      </w:r>
      <w:r w:rsidR="0090013A">
        <w:t xml:space="preserve">examples of cost savings but are indicative of wider household savings. </w:t>
      </w:r>
      <w:r w:rsidR="00695CAD">
        <w:t>In addition to these savings, the ACCC expects that households will continue to see ongoing</w:t>
      </w:r>
      <w:r w:rsidR="009C2FA5">
        <w:t xml:space="preserve"> cost</w:t>
      </w:r>
      <w:r w:rsidR="00695CAD">
        <w:t xml:space="preserve"> savings as a result of the carbon tax repeal</w:t>
      </w:r>
      <w:r w:rsidR="003F24E7">
        <w:t xml:space="preserve"> as they are passed through over time</w:t>
      </w:r>
      <w:r w:rsidR="00695CAD">
        <w:t>.</w:t>
      </w:r>
    </w:p>
    <w:p w:rsidR="00C84236" w:rsidRPr="00156F8D" w:rsidRDefault="00775130" w:rsidP="00FB47E3">
      <w:pPr>
        <w:pStyle w:val="Heading3"/>
      </w:pPr>
      <w:bookmarkStart w:id="29" w:name="_Toc425348700"/>
      <w:r w:rsidRPr="007A7971">
        <w:t>Rates and waste management charges</w:t>
      </w:r>
      <w:bookmarkEnd w:id="29"/>
    </w:p>
    <w:p w:rsidR="008F20BC" w:rsidRDefault="000916CB" w:rsidP="00FB47E3">
      <w:r w:rsidRPr="006C2380">
        <w:t xml:space="preserve">The ACCC is aware that at least </w:t>
      </w:r>
      <w:r w:rsidR="00695CAD">
        <w:t>30</w:t>
      </w:r>
      <w:r w:rsidRPr="00B627D9">
        <w:rPr>
          <w:rStyle w:val="FootnoteReference"/>
        </w:rPr>
        <w:footnoteReference w:id="5"/>
      </w:r>
      <w:r w:rsidRPr="006C2380">
        <w:t xml:space="preserve"> local councils have made public statements about the removal of carbon tax costs from their </w:t>
      </w:r>
      <w:r>
        <w:t xml:space="preserve">general </w:t>
      </w:r>
      <w:r w:rsidRPr="006C2380">
        <w:t xml:space="preserve">rates and </w:t>
      </w:r>
      <w:r>
        <w:t xml:space="preserve">waste management </w:t>
      </w:r>
      <w:r w:rsidRPr="006C2380">
        <w:t>charges, with ratepayer</w:t>
      </w:r>
      <w:r>
        <w:t xml:space="preserve">s seeing </w:t>
      </w:r>
      <w:r w:rsidR="009C2FA5">
        <w:t xml:space="preserve">cost </w:t>
      </w:r>
      <w:r>
        <w:t xml:space="preserve">savings ranging from </w:t>
      </w:r>
      <w:r w:rsidRPr="00F01E96">
        <w:t>$7.00 to $45.00</w:t>
      </w:r>
      <w:r>
        <w:t xml:space="preserve"> in the rates and charges levied for the</w:t>
      </w:r>
      <w:r w:rsidRPr="00F01E96">
        <w:t xml:space="preserve"> 2014</w:t>
      </w:r>
      <w:r w:rsidR="008218CF">
        <w:t>-</w:t>
      </w:r>
      <w:r w:rsidRPr="00F01E96">
        <w:t xml:space="preserve">15 </w:t>
      </w:r>
      <w:r>
        <w:t>financial year.</w:t>
      </w:r>
      <w:r>
        <w:rPr>
          <w:rStyle w:val="FootnoteReference"/>
        </w:rPr>
        <w:footnoteReference w:id="6"/>
      </w:r>
      <w:r>
        <w:t xml:space="preserve"> Many other local </w:t>
      </w:r>
      <w:proofErr w:type="gramStart"/>
      <w:r>
        <w:t>councils</w:t>
      </w:r>
      <w:proofErr w:type="gramEnd"/>
      <w:r>
        <w:t xml:space="preserve"> may have removed </w:t>
      </w:r>
      <w:r w:rsidRPr="007968B6">
        <w:t>carbon tax costs from their general rates and waste management charges</w:t>
      </w:r>
      <w:r>
        <w:t xml:space="preserve"> without</w:t>
      </w:r>
      <w:r w:rsidR="00C1187D">
        <w:t xml:space="preserve"> these actions being publicised—</w:t>
      </w:r>
      <w:r>
        <w:t xml:space="preserve">such local councils are not included in these figures, nor in </w:t>
      </w:r>
      <w:r w:rsidR="00C1187D" w:rsidRPr="00C3554E">
        <w:t xml:space="preserve">Annexure </w:t>
      </w:r>
      <w:r w:rsidR="000A01D2" w:rsidRPr="00C3554E">
        <w:t xml:space="preserve">1 </w:t>
      </w:r>
      <w:r w:rsidR="00C1187D" w:rsidRPr="00C3554E">
        <w:t>on</w:t>
      </w:r>
      <w:r w:rsidRPr="00C3554E">
        <w:t xml:space="preserve"> page </w:t>
      </w:r>
      <w:r w:rsidR="00F709B1" w:rsidRPr="00C3554E">
        <w:t>22</w:t>
      </w:r>
      <w:r w:rsidRPr="00C3554E">
        <w:t xml:space="preserve"> of this Report</w:t>
      </w:r>
      <w:r w:rsidR="00C84236">
        <w:t>.</w:t>
      </w:r>
    </w:p>
    <w:p w:rsidR="008F20BC" w:rsidRPr="000A2E82" w:rsidRDefault="008F20BC" w:rsidP="00FB47E3">
      <w:pPr>
        <w:pStyle w:val="Heading3"/>
      </w:pPr>
      <w:bookmarkStart w:id="30" w:name="_Toc425348701"/>
      <w:r w:rsidRPr="000A2E82">
        <w:t xml:space="preserve">Non-transport </w:t>
      </w:r>
      <w:r w:rsidR="00C805E9">
        <w:t>liquid petroleum gas</w:t>
      </w:r>
      <w:bookmarkEnd w:id="30"/>
    </w:p>
    <w:p w:rsidR="00442B20" w:rsidRPr="00FB47E3" w:rsidRDefault="008F20BC">
      <w:r>
        <w:t>The repeal of the carbon tax meant that prices for</w:t>
      </w:r>
      <w:r w:rsidR="00C805E9">
        <w:t xml:space="preserve"> liquid petroleum gas</w:t>
      </w:r>
      <w:r>
        <w:t xml:space="preserve"> </w:t>
      </w:r>
      <w:r w:rsidR="00C805E9">
        <w:t>(</w:t>
      </w:r>
      <w:r>
        <w:t>LPG</w:t>
      </w:r>
      <w:r w:rsidR="00C805E9">
        <w:t>)</w:t>
      </w:r>
      <w:r>
        <w:t xml:space="preserve"> did not rise by as much as they otherwise would have as retail prices increased to account for the high international prices in 2013-14. LPG for non-transport use was subject to an embodied emissions charge of 3.8 cents per litre in 2013-14. This charge had typically been passed on as a separate line item which was removed when the carbon tax was repealed. Typical household supply of LPG is delivered in 45kg cylinders. These cylinders hold approximately </w:t>
      </w:r>
      <w:r>
        <w:lastRenderedPageBreak/>
        <w:t>88 litres and the removal of the carbon tax resulted in a price reduction of $3.35 per cylinder. However, as LPG retail prices track movements in the international benchmark price, the unusually high international prices during the 12 months leading up to the carbon tax repeal resulted in increases in LPG prices</w:t>
      </w:r>
      <w:r w:rsidR="000A01D2">
        <w:t>. These price increases</w:t>
      </w:r>
      <w:r>
        <w:t xml:space="preserve"> were not as high as they otherwise would have been without the repeal.  </w:t>
      </w:r>
    </w:p>
    <w:p w:rsidR="00C84236" w:rsidRPr="00FD3B0A" w:rsidRDefault="00C84236" w:rsidP="00FB47E3">
      <w:pPr>
        <w:pStyle w:val="Heading3"/>
      </w:pPr>
      <w:bookmarkStart w:id="31" w:name="_Toc425348702"/>
      <w:r w:rsidRPr="00156F8D">
        <w:t>Transport</w:t>
      </w:r>
      <w:bookmarkEnd w:id="31"/>
      <w:r w:rsidRPr="00FD3B0A">
        <w:t xml:space="preserve"> </w:t>
      </w:r>
    </w:p>
    <w:p w:rsidR="00C84236" w:rsidRPr="002870E7" w:rsidRDefault="00C84236" w:rsidP="001635C9">
      <w:r w:rsidRPr="002870E7">
        <w:t xml:space="preserve">In July 2014, </w:t>
      </w:r>
      <w:r w:rsidRPr="00427D9A">
        <w:t>TT-Line Company</w:t>
      </w:r>
      <w:r w:rsidRPr="002870E7">
        <w:t xml:space="preserve"> announced that the cost of travel o</w:t>
      </w:r>
      <w:r w:rsidR="0090013A">
        <w:t>n</w:t>
      </w:r>
      <w:r w:rsidRPr="002870E7">
        <w:t xml:space="preserve"> the Spirit of Tasmania would decrease $3 per passenger and $6 per passenger vehicle.</w:t>
      </w:r>
      <w:r w:rsidRPr="002870E7">
        <w:rPr>
          <w:vertAlign w:val="superscript"/>
        </w:rPr>
        <w:footnoteReference w:id="7"/>
      </w:r>
    </w:p>
    <w:p w:rsidR="00C84236" w:rsidRPr="002870E7" w:rsidRDefault="00943446" w:rsidP="001635C9">
      <w:r>
        <w:t xml:space="preserve">The Queensland </w:t>
      </w:r>
      <w:r w:rsidR="00A1495C">
        <w:t>G</w:t>
      </w:r>
      <w:r>
        <w:t xml:space="preserve">overnment announced that the </w:t>
      </w:r>
      <w:r w:rsidR="00EC2F07">
        <w:t>carbon tax repeal</w:t>
      </w:r>
      <w:r>
        <w:t xml:space="preserve"> had resulted in savings of approximately $30 million in the budget. Residents saw a reduction in public transport fees from 3 November 2014 and rates froze</w:t>
      </w:r>
      <w:r w:rsidR="00E96927">
        <w:t>n</w:t>
      </w:r>
      <w:r>
        <w:t xml:space="preserve"> in 2015</w:t>
      </w:r>
      <w:r w:rsidRPr="002870E7">
        <w:t>.</w:t>
      </w:r>
      <w:r w:rsidR="00C84236" w:rsidRPr="002870E7">
        <w:rPr>
          <w:vertAlign w:val="superscript"/>
        </w:rPr>
        <w:footnoteReference w:id="8"/>
      </w:r>
    </w:p>
    <w:p w:rsidR="00C84236" w:rsidRPr="002870E7" w:rsidRDefault="00FD3B0A" w:rsidP="001C6027">
      <w:pPr>
        <w:pStyle w:val="TOC1"/>
      </w:pPr>
      <w:r>
        <w:t>Perth c</w:t>
      </w:r>
      <w:r w:rsidR="00C84236" w:rsidRPr="002870E7">
        <w:t xml:space="preserve">ommuters received a </w:t>
      </w:r>
      <w:r w:rsidR="00A1495C">
        <w:t>fare-</w:t>
      </w:r>
      <w:r w:rsidR="00C84236" w:rsidRPr="002870E7">
        <w:t>free day on 3 Nove</w:t>
      </w:r>
      <w:r w:rsidR="001C6027">
        <w:t xml:space="preserve">mber 2014 for trains, buses and </w:t>
      </w:r>
      <w:r w:rsidR="00C84236" w:rsidRPr="002870E7">
        <w:t>ferries. The fare</w:t>
      </w:r>
      <w:r w:rsidR="00F709B1">
        <w:t>-</w:t>
      </w:r>
      <w:r w:rsidR="00C84236" w:rsidRPr="002870E7">
        <w:t xml:space="preserve">free day was organised as compensation for the 1.5 per cent fare increases charged </w:t>
      </w:r>
      <w:r>
        <w:t xml:space="preserve">between </w:t>
      </w:r>
      <w:r w:rsidR="00C84236" w:rsidRPr="002870E7">
        <w:t>1 July</w:t>
      </w:r>
      <w:r>
        <w:t xml:space="preserve"> and 31 October</w:t>
      </w:r>
      <w:r w:rsidR="00C84236" w:rsidRPr="002870E7">
        <w:t xml:space="preserve"> </w:t>
      </w:r>
      <w:r>
        <w:t xml:space="preserve">2014 </w:t>
      </w:r>
      <w:r w:rsidR="00C84236" w:rsidRPr="002870E7">
        <w:t>for the carbon tax.</w:t>
      </w:r>
      <w:r w:rsidR="00C84236" w:rsidRPr="002870E7">
        <w:rPr>
          <w:vertAlign w:val="superscript"/>
        </w:rPr>
        <w:footnoteReference w:id="9"/>
      </w:r>
      <w:r w:rsidR="00C84236" w:rsidRPr="002870E7">
        <w:t xml:space="preserve"> </w:t>
      </w:r>
    </w:p>
    <w:p w:rsidR="00E55808" w:rsidRDefault="00E55808" w:rsidP="00BB7209">
      <w:pPr>
        <w:pStyle w:val="Heading3"/>
      </w:pPr>
      <w:bookmarkStart w:id="32" w:name="_Toc425348703"/>
      <w:r>
        <w:t>Water</w:t>
      </w:r>
      <w:bookmarkEnd w:id="32"/>
    </w:p>
    <w:p w:rsidR="00C84236" w:rsidRPr="002870E7" w:rsidRDefault="00C84236" w:rsidP="001635C9">
      <w:pPr>
        <w:rPr>
          <w:i/>
          <w:iCs/>
        </w:rPr>
      </w:pPr>
      <w:r w:rsidRPr="002870E7">
        <w:t xml:space="preserve">In September 2014, Sydney Water advised that </w:t>
      </w:r>
      <w:r w:rsidR="00FD3B0A">
        <w:t>its</w:t>
      </w:r>
      <w:r w:rsidRPr="002870E7">
        <w:t xml:space="preserve"> prices from 1 July 2014 had included a carbon tax component</w:t>
      </w:r>
      <w:r w:rsidR="00FD3B0A">
        <w:t>. H</w:t>
      </w:r>
      <w:r w:rsidRPr="002870E7">
        <w:t>owever</w:t>
      </w:r>
      <w:r w:rsidR="00FD3B0A">
        <w:t>,</w:t>
      </w:r>
      <w:r w:rsidRPr="002870E7">
        <w:t xml:space="preserve"> the company was in consultation with the Independent Pricing and Regulatory Tribunal</w:t>
      </w:r>
      <w:r w:rsidR="00B15957">
        <w:t xml:space="preserve"> (IPART)</w:t>
      </w:r>
      <w:r w:rsidRPr="002870E7">
        <w:t xml:space="preserve"> on how to refund the costs associated with the </w:t>
      </w:r>
      <w:r w:rsidR="00EC2F07">
        <w:t>carbon tax</w:t>
      </w:r>
      <w:r w:rsidRPr="002870E7">
        <w:t xml:space="preserve">. In October 2014, Sydney Water announced that there would be a </w:t>
      </w:r>
      <w:r w:rsidR="00524C1B" w:rsidRPr="002870E7">
        <w:t>carbon</w:t>
      </w:r>
      <w:r w:rsidRPr="002870E7">
        <w:t xml:space="preserve"> tax rebate of approximately $10 to customers in the January 2015 Quarter Billing cycle.</w:t>
      </w:r>
      <w:r w:rsidRPr="002870E7">
        <w:rPr>
          <w:vertAlign w:val="superscript"/>
        </w:rPr>
        <w:footnoteReference w:id="10"/>
      </w:r>
      <w:r w:rsidRPr="002870E7">
        <w:t xml:space="preserve">  </w:t>
      </w:r>
    </w:p>
    <w:p w:rsidR="00C84236" w:rsidRPr="002870E7" w:rsidRDefault="00C84236" w:rsidP="001635C9">
      <w:r w:rsidRPr="002870E7">
        <w:rPr>
          <w:iCs/>
        </w:rPr>
        <w:t>Hunter Water</w:t>
      </w:r>
      <w:r w:rsidR="00620A16">
        <w:rPr>
          <w:iCs/>
        </w:rPr>
        <w:t xml:space="preserve"> announced that it would refund customers the costs of the carbon tax for the two years </w:t>
      </w:r>
      <w:r w:rsidR="005C20AC">
        <w:rPr>
          <w:iCs/>
        </w:rPr>
        <w:t xml:space="preserve">after </w:t>
      </w:r>
      <w:r w:rsidR="00620A16">
        <w:rPr>
          <w:iCs/>
        </w:rPr>
        <w:t>its repeal. For 2014-15, t</w:t>
      </w:r>
      <w:r w:rsidRPr="002870E7">
        <w:rPr>
          <w:iCs/>
        </w:rPr>
        <w:t>he refund was $13.23 and paid to customers on 1</w:t>
      </w:r>
      <w:r w:rsidR="000B3867">
        <w:rPr>
          <w:iCs/>
        </w:rPr>
        <w:t> </w:t>
      </w:r>
      <w:r w:rsidRPr="002870E7">
        <w:rPr>
          <w:iCs/>
        </w:rPr>
        <w:t>November</w:t>
      </w:r>
      <w:r w:rsidR="00FD3B0A">
        <w:rPr>
          <w:iCs/>
        </w:rPr>
        <w:t xml:space="preserve"> 2014</w:t>
      </w:r>
      <w:r w:rsidRPr="002870E7">
        <w:rPr>
          <w:iCs/>
        </w:rPr>
        <w:t xml:space="preserve">. </w:t>
      </w:r>
      <w:r w:rsidR="00620A16">
        <w:rPr>
          <w:iCs/>
        </w:rPr>
        <w:t>In July 2015, customers w</w:t>
      </w:r>
      <w:r w:rsidRPr="002870E7">
        <w:rPr>
          <w:iCs/>
        </w:rPr>
        <w:t xml:space="preserve">ill </w:t>
      </w:r>
      <w:r w:rsidR="00620A16">
        <w:rPr>
          <w:iCs/>
        </w:rPr>
        <w:t xml:space="preserve">also receive a refund of </w:t>
      </w:r>
      <w:r w:rsidRPr="002870E7">
        <w:rPr>
          <w:iCs/>
        </w:rPr>
        <w:t>$13.</w:t>
      </w:r>
      <w:r w:rsidR="00EC4D33">
        <w:rPr>
          <w:iCs/>
        </w:rPr>
        <w:t>41</w:t>
      </w:r>
      <w:r w:rsidRPr="002870E7">
        <w:rPr>
          <w:iCs/>
        </w:rPr>
        <w:t xml:space="preserve"> </w:t>
      </w:r>
      <w:r w:rsidR="00620A16">
        <w:rPr>
          <w:iCs/>
        </w:rPr>
        <w:t>for water prices for 2015-16</w:t>
      </w:r>
      <w:r w:rsidRPr="002870E7">
        <w:rPr>
          <w:iCs/>
        </w:rPr>
        <w:t>.</w:t>
      </w:r>
      <w:r w:rsidRPr="002870E7">
        <w:rPr>
          <w:iCs/>
          <w:vertAlign w:val="superscript"/>
        </w:rPr>
        <w:footnoteReference w:id="11"/>
      </w:r>
      <w:r w:rsidRPr="002870E7">
        <w:t xml:space="preserve"> </w:t>
      </w:r>
    </w:p>
    <w:p w:rsidR="00F54D76" w:rsidRDefault="00F54D76">
      <w:pPr>
        <w:rPr>
          <w:rFonts w:ascii="Lucida Fax" w:eastAsiaTheme="majorEastAsia" w:hAnsi="Lucida Fax" w:cstheme="majorBidi"/>
          <w:bCs/>
          <w:color w:val="51626F"/>
          <w:sz w:val="32"/>
          <w:szCs w:val="28"/>
        </w:rPr>
      </w:pPr>
      <w:r>
        <w:br w:type="page"/>
      </w:r>
    </w:p>
    <w:p w:rsidR="00C43A40" w:rsidRDefault="007D0883" w:rsidP="003B7F6E">
      <w:pPr>
        <w:pStyle w:val="Heading1"/>
      </w:pPr>
      <w:bookmarkStart w:id="33" w:name="_Toc425348704"/>
      <w:r>
        <w:lastRenderedPageBreak/>
        <w:t xml:space="preserve">Key findings </w:t>
      </w:r>
      <w:r w:rsidR="008D4923">
        <w:t xml:space="preserve">of the ACCC’s monitoring </w:t>
      </w:r>
      <w:r w:rsidR="009C2572">
        <w:t>activities</w:t>
      </w:r>
      <w:bookmarkEnd w:id="33"/>
    </w:p>
    <w:p w:rsidR="0047781B" w:rsidRDefault="007D0883" w:rsidP="000A35D7">
      <w:pPr>
        <w:pStyle w:val="Heading2"/>
      </w:pPr>
      <w:bookmarkStart w:id="34" w:name="_Toc425348705"/>
      <w:r>
        <w:t>Electricity</w:t>
      </w:r>
      <w:r w:rsidR="001E3078">
        <w:t xml:space="preserve"> and </w:t>
      </w:r>
      <w:r w:rsidR="002D6BC4">
        <w:t>n</w:t>
      </w:r>
      <w:r w:rsidR="001E3078">
        <w:t xml:space="preserve">atural </w:t>
      </w:r>
      <w:r w:rsidR="002D6BC4">
        <w:t>g</w:t>
      </w:r>
      <w:r w:rsidR="001E3078">
        <w:t>as</w:t>
      </w:r>
      <w:bookmarkEnd w:id="34"/>
    </w:p>
    <w:p w:rsidR="002E6A39" w:rsidRPr="0082164F" w:rsidRDefault="009C2572" w:rsidP="0082164F">
      <w:pPr>
        <w:pStyle w:val="Heading3"/>
      </w:pPr>
      <w:bookmarkStart w:id="35" w:name="_Toc425348706"/>
      <w:r>
        <w:t>Monitoring activities in the June 2015 quarter</w:t>
      </w:r>
      <w:bookmarkEnd w:id="35"/>
    </w:p>
    <w:p w:rsidR="002E6A39" w:rsidRDefault="002E6A39" w:rsidP="002E6A39">
      <w:r>
        <w:t xml:space="preserve">The ACCC indicated in its April 2015 Carbon Report that it was investigating a small </w:t>
      </w:r>
      <w:r w:rsidR="001C6027">
        <w:t xml:space="preserve">electricity </w:t>
      </w:r>
      <w:r>
        <w:t xml:space="preserve">retailer to ascertain whether that retailer had passed through to customers its carbon tax repeal cost savings. </w:t>
      </w:r>
    </w:p>
    <w:p w:rsidR="002E6A39" w:rsidRDefault="002E6A39" w:rsidP="002E6A39">
      <w:r>
        <w:t>The ACCC has now completed its investigation and is satisfied that the remaining small retailer has passed through to customers its carbon tax repeal cost savings. The ACCC is satisfied that the carbon tax component has been removed from the retailer’s prices and credits were provided to customers for amount</w:t>
      </w:r>
      <w:r w:rsidR="00636836">
        <w:t>s</w:t>
      </w:r>
      <w:r>
        <w:t xml:space="preserve"> already collected on account of the carbon tax after 1 July 2014.</w:t>
      </w:r>
    </w:p>
    <w:p w:rsidR="002E6A39" w:rsidRPr="0082164F" w:rsidRDefault="002E6A39" w:rsidP="0082164F">
      <w:pPr>
        <w:pStyle w:val="Heading3"/>
      </w:pPr>
      <w:bookmarkStart w:id="36" w:name="_Toc425348707"/>
      <w:r w:rsidRPr="0082164F">
        <w:t>Key findings</w:t>
      </w:r>
      <w:bookmarkEnd w:id="36"/>
    </w:p>
    <w:p w:rsidR="002E6A39" w:rsidRDefault="002E6A39" w:rsidP="002E6A39">
      <w:r>
        <w:t>T</w:t>
      </w:r>
      <w:r w:rsidRPr="00561A2B">
        <w:t>he ACCC is</w:t>
      </w:r>
      <w:r>
        <w:t xml:space="preserve"> </w:t>
      </w:r>
      <w:r w:rsidRPr="00561A2B">
        <w:t>satisfied</w:t>
      </w:r>
      <w:r>
        <w:t xml:space="preserve"> that all electricity and natural gas retailers have passed </w:t>
      </w:r>
      <w:r w:rsidR="006A3702">
        <w:t xml:space="preserve">the </w:t>
      </w:r>
      <w:r w:rsidR="00BE5DEC">
        <w:t xml:space="preserve">carbon tax repeal </w:t>
      </w:r>
      <w:r w:rsidR="006A3702">
        <w:t xml:space="preserve">cost savings </w:t>
      </w:r>
      <w:r>
        <w:t>on to customers</w:t>
      </w:r>
      <w:r w:rsidR="00D614B8">
        <w:t xml:space="preserve"> and complied with the price reduction obligations.</w:t>
      </w:r>
    </w:p>
    <w:p w:rsidR="002E6A39" w:rsidRPr="00F16B1D" w:rsidRDefault="002E6A39" w:rsidP="002E6A39">
      <w:r w:rsidRPr="00423C2E">
        <w:t xml:space="preserve">Tables </w:t>
      </w:r>
      <w:r w:rsidR="00A629F1" w:rsidRPr="00395132">
        <w:t>2</w:t>
      </w:r>
      <w:r w:rsidRPr="00395132">
        <w:t xml:space="preserve"> and </w:t>
      </w:r>
      <w:r w:rsidR="00A629F1" w:rsidRPr="00395132">
        <w:t>3</w:t>
      </w:r>
      <w:r w:rsidRPr="0005736D">
        <w:t xml:space="preserve"> below provide an overview of the carbon tax repeal cost savings passed through to customers by elect</w:t>
      </w:r>
      <w:r w:rsidRPr="00F16B1D">
        <w:t>ricity and natural gas retailers.</w:t>
      </w:r>
    </w:p>
    <w:p w:rsidR="002E6A39" w:rsidRDefault="002E6A39" w:rsidP="002E6A39">
      <w:pPr>
        <w:pStyle w:val="Tabletitle"/>
      </w:pPr>
      <w:r w:rsidRPr="009315F7">
        <w:t xml:space="preserve">Table </w:t>
      </w:r>
      <w:r w:rsidR="00A629F1" w:rsidRPr="009315F7">
        <w:t>2</w:t>
      </w:r>
      <w:r w:rsidRPr="009315F7">
        <w:t>:</w:t>
      </w:r>
      <w:r w:rsidRPr="009A1F2C">
        <w:t xml:space="preserve"> </w:t>
      </w:r>
      <w:r>
        <w:t>C</w:t>
      </w:r>
      <w:r w:rsidRPr="009A1F2C">
        <w:t>arbon</w:t>
      </w:r>
      <w:r>
        <w:t xml:space="preserve"> tax repeal</w:t>
      </w:r>
      <w:r w:rsidRPr="009A1F2C">
        <w:t xml:space="preserve"> cost savings</w:t>
      </w:r>
      <w:r w:rsidR="00EF55E5">
        <w:t xml:space="preserve"> (GST exclusive)</w:t>
      </w:r>
      <w:r w:rsidRPr="009A1F2C">
        <w:t xml:space="preserve"> pass</w:t>
      </w:r>
      <w:r>
        <w:t>ed</w:t>
      </w:r>
      <w:r w:rsidRPr="009A1F2C">
        <w:t xml:space="preserve"> </w:t>
      </w:r>
      <w:r>
        <w:t>through</w:t>
      </w:r>
      <w:r w:rsidRPr="009A1F2C">
        <w:t xml:space="preserve"> to </w:t>
      </w:r>
      <w:r w:rsidR="00636836">
        <w:t xml:space="preserve">residential </w:t>
      </w:r>
      <w:r w:rsidR="00AE1FB2">
        <w:t xml:space="preserve">electricity </w:t>
      </w:r>
      <w:r w:rsidRPr="009A1F2C">
        <w:t>customers</w:t>
      </w:r>
      <w:r>
        <w:rPr>
          <w:rStyle w:val="FootnoteReference"/>
        </w:rPr>
        <w:footnoteReference w:id="12"/>
      </w:r>
    </w:p>
    <w:tbl>
      <w:tblPr>
        <w:tblStyle w:val="LightShading-Accent1"/>
        <w:tblW w:w="0" w:type="auto"/>
        <w:jc w:val="center"/>
        <w:tblLook w:val="04A0" w:firstRow="1" w:lastRow="0" w:firstColumn="1" w:lastColumn="0" w:noHBand="0" w:noVBand="1"/>
      </w:tblPr>
      <w:tblGrid>
        <w:gridCol w:w="1817"/>
        <w:gridCol w:w="2268"/>
        <w:gridCol w:w="2268"/>
      </w:tblGrid>
      <w:tr w:rsidR="002E6A39" w:rsidTr="009315F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b w:val="0"/>
                <w:color w:val="000000" w:themeColor="text1"/>
                <w:sz w:val="20"/>
                <w:szCs w:val="20"/>
                <w:lang w:eastAsia="en-AU"/>
              </w:rPr>
            </w:pPr>
            <w:r w:rsidRPr="009315F7">
              <w:rPr>
                <w:color w:val="000000" w:themeColor="text1"/>
                <w:sz w:val="20"/>
                <w:szCs w:val="20"/>
                <w:lang w:eastAsia="en-AU"/>
              </w:rPr>
              <w:t>State</w:t>
            </w:r>
          </w:p>
        </w:tc>
        <w:tc>
          <w:tcPr>
            <w:tcW w:w="2268" w:type="dxa"/>
            <w:vAlign w:val="center"/>
            <w:hideMark/>
          </w:tcPr>
          <w:p w:rsidR="002E6A39" w:rsidRPr="009315F7" w:rsidRDefault="002E6A39">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315F7">
              <w:rPr>
                <w:color w:val="000000" w:themeColor="text1"/>
                <w:sz w:val="20"/>
                <w:szCs w:val="20"/>
              </w:rPr>
              <w:t>Range (c/kWh)</w:t>
            </w:r>
          </w:p>
        </w:tc>
        <w:tc>
          <w:tcPr>
            <w:tcW w:w="2268" w:type="dxa"/>
            <w:vAlign w:val="center"/>
            <w:hideMark/>
          </w:tcPr>
          <w:p w:rsidR="002E6A39" w:rsidRPr="009315F7" w:rsidRDefault="002E6A39">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9315F7">
              <w:rPr>
                <w:color w:val="000000" w:themeColor="text1"/>
                <w:sz w:val="20"/>
                <w:szCs w:val="20"/>
              </w:rPr>
              <w:t>Average (c/kWh)</w:t>
            </w:r>
          </w:p>
        </w:tc>
      </w:tr>
      <w:tr w:rsidR="002E6A39" w:rsidRPr="000E13EB"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rPr>
            </w:pPr>
            <w:r w:rsidRPr="009315F7">
              <w:rPr>
                <w:color w:val="000000" w:themeColor="text1"/>
                <w:sz w:val="20"/>
                <w:szCs w:val="20"/>
              </w:rPr>
              <w:t>NSW</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lang w:eastAsia="en-AU"/>
              </w:rPr>
              <w:t>1.50 - 2.60</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2.23</w:t>
            </w:r>
          </w:p>
        </w:tc>
      </w:tr>
      <w:tr w:rsidR="002E6A39" w:rsidRPr="000E13EB"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VIC</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lang w:eastAsia="en-AU"/>
              </w:rPr>
              <w:t>1.87 - 3.37</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2.50</w:t>
            </w:r>
          </w:p>
        </w:tc>
      </w:tr>
      <w:tr w:rsidR="002E6A39" w:rsidRPr="000E13EB"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SA</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lang w:eastAsia="en-AU"/>
              </w:rPr>
              <w:t>1.50 - 2.50</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2.12</w:t>
            </w:r>
          </w:p>
        </w:tc>
      </w:tr>
      <w:tr w:rsidR="002E6A39" w:rsidRPr="000E13EB"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QLD</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lang w:eastAsia="en-AU"/>
              </w:rPr>
              <w:t>1.87 - 2.64</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2.47</w:t>
            </w:r>
          </w:p>
        </w:tc>
      </w:tr>
      <w:tr w:rsidR="002E6A39" w:rsidRPr="000E13EB"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ACT</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lang w:eastAsia="en-AU"/>
              </w:rPr>
              <w:t>2.40 - 2.53</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2.49</w:t>
            </w:r>
          </w:p>
        </w:tc>
      </w:tr>
      <w:tr w:rsidR="002E6A39" w:rsidRPr="000E13EB"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TAS</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2.23</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2.23</w:t>
            </w:r>
          </w:p>
        </w:tc>
      </w:tr>
      <w:tr w:rsidR="002E6A39" w:rsidRPr="000E13EB"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WA</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2.19</w:t>
            </w:r>
          </w:p>
        </w:tc>
        <w:tc>
          <w:tcPr>
            <w:tcW w:w="2268" w:type="dxa"/>
            <w:vAlign w:val="center"/>
            <w:hideMark/>
          </w:tcPr>
          <w:p w:rsidR="002E6A39" w:rsidRPr="009315F7" w:rsidRDefault="002E6A39">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2.19</w:t>
            </w:r>
          </w:p>
        </w:tc>
      </w:tr>
      <w:tr w:rsidR="002E6A39" w:rsidRPr="000E13EB"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2E6A39" w:rsidRPr="009315F7" w:rsidRDefault="002E6A39">
            <w:pPr>
              <w:jc w:val="center"/>
              <w:rPr>
                <w:color w:val="000000" w:themeColor="text1"/>
                <w:sz w:val="20"/>
                <w:szCs w:val="20"/>
                <w:lang w:eastAsia="en-AU"/>
              </w:rPr>
            </w:pPr>
            <w:r w:rsidRPr="009315F7">
              <w:rPr>
                <w:color w:val="000000" w:themeColor="text1"/>
                <w:sz w:val="20"/>
                <w:szCs w:val="20"/>
                <w:lang w:eastAsia="en-AU"/>
              </w:rPr>
              <w:t>NT</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1.39</w:t>
            </w:r>
          </w:p>
        </w:tc>
        <w:tc>
          <w:tcPr>
            <w:tcW w:w="2268" w:type="dxa"/>
            <w:vAlign w:val="center"/>
            <w:hideMark/>
          </w:tcPr>
          <w:p w:rsidR="002E6A39" w:rsidRPr="009315F7" w:rsidRDefault="002E6A39">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1.39</w:t>
            </w:r>
          </w:p>
        </w:tc>
      </w:tr>
    </w:tbl>
    <w:p w:rsidR="002E6A39" w:rsidRPr="005731FB" w:rsidRDefault="002E6A39" w:rsidP="002E6A39">
      <w:pPr>
        <w:keepNext/>
        <w:keepLines/>
        <w:spacing w:before="240" w:after="120"/>
        <w:rPr>
          <w:rStyle w:val="Strong"/>
        </w:rPr>
      </w:pPr>
      <w:r w:rsidRPr="009315F7">
        <w:rPr>
          <w:rStyle w:val="TabletitleChar"/>
        </w:rPr>
        <w:lastRenderedPageBreak/>
        <w:t xml:space="preserve">Table </w:t>
      </w:r>
      <w:r w:rsidR="00A629F1" w:rsidRPr="009315F7">
        <w:rPr>
          <w:rStyle w:val="TabletitleChar"/>
        </w:rPr>
        <w:t>3</w:t>
      </w:r>
      <w:r w:rsidRPr="009315F7">
        <w:rPr>
          <w:rStyle w:val="TabletitleChar"/>
        </w:rPr>
        <w:t>:</w:t>
      </w:r>
      <w:r w:rsidRPr="005731FB">
        <w:rPr>
          <w:rStyle w:val="TabletitleChar"/>
        </w:rPr>
        <w:t xml:space="preserve"> Carbon tax repeal cost savings </w:t>
      </w:r>
      <w:r w:rsidR="00EF55E5" w:rsidRPr="00FB47E3">
        <w:rPr>
          <w:b/>
        </w:rPr>
        <w:t>(GST exclusive)</w:t>
      </w:r>
      <w:r w:rsidR="00EF55E5" w:rsidRPr="009A1F2C">
        <w:t xml:space="preserve"> </w:t>
      </w:r>
      <w:r w:rsidRPr="005731FB">
        <w:rPr>
          <w:rStyle w:val="TabletitleChar"/>
        </w:rPr>
        <w:t xml:space="preserve">passed </w:t>
      </w:r>
      <w:r>
        <w:rPr>
          <w:rStyle w:val="TabletitleChar"/>
        </w:rPr>
        <w:t>through</w:t>
      </w:r>
      <w:r w:rsidRPr="005731FB">
        <w:rPr>
          <w:rStyle w:val="TabletitleChar"/>
        </w:rPr>
        <w:t xml:space="preserve"> to natural gas customers</w:t>
      </w:r>
    </w:p>
    <w:tbl>
      <w:tblPr>
        <w:tblStyle w:val="LightShading-Accent1"/>
        <w:tblW w:w="6596" w:type="dxa"/>
        <w:jc w:val="center"/>
        <w:tblLook w:val="04A0" w:firstRow="1" w:lastRow="0" w:firstColumn="1" w:lastColumn="0" w:noHBand="0" w:noVBand="1"/>
      </w:tblPr>
      <w:tblGrid>
        <w:gridCol w:w="1526"/>
        <w:gridCol w:w="2535"/>
        <w:gridCol w:w="2535"/>
      </w:tblGrid>
      <w:tr w:rsidR="00E03A8A" w:rsidRPr="00E03A8A" w:rsidTr="009315F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b w:val="0"/>
                <w:color w:val="000000" w:themeColor="text1"/>
                <w:sz w:val="20"/>
                <w:szCs w:val="20"/>
                <w:lang w:eastAsia="en-AU"/>
              </w:rPr>
            </w:pPr>
            <w:r w:rsidRPr="009315F7">
              <w:rPr>
                <w:color w:val="000000" w:themeColor="text1"/>
                <w:sz w:val="20"/>
                <w:szCs w:val="20"/>
                <w:lang w:eastAsia="en-AU"/>
              </w:rPr>
              <w:t>State</w:t>
            </w:r>
          </w:p>
        </w:tc>
        <w:tc>
          <w:tcPr>
            <w:tcW w:w="2535" w:type="dxa"/>
            <w:vAlign w:val="center"/>
          </w:tcPr>
          <w:p w:rsidR="002E6A39" w:rsidRPr="009315F7" w:rsidRDefault="002E6A39">
            <w:pPr>
              <w:keepNext/>
              <w:keepLines/>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lang w:eastAsia="en-AU"/>
              </w:rPr>
            </w:pPr>
            <w:r w:rsidRPr="009315F7">
              <w:rPr>
                <w:color w:val="000000" w:themeColor="text1"/>
                <w:sz w:val="20"/>
                <w:szCs w:val="20"/>
                <w:lang w:eastAsia="en-AU"/>
              </w:rPr>
              <w:t>Range (c/MJ)</w:t>
            </w:r>
          </w:p>
        </w:tc>
        <w:tc>
          <w:tcPr>
            <w:tcW w:w="2535" w:type="dxa"/>
            <w:vAlign w:val="center"/>
          </w:tcPr>
          <w:p w:rsidR="002E6A39" w:rsidRPr="009315F7" w:rsidRDefault="002E6A39">
            <w:pPr>
              <w:keepNext/>
              <w:keepLines/>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lang w:eastAsia="en-AU"/>
              </w:rPr>
            </w:pPr>
            <w:r w:rsidRPr="009315F7">
              <w:rPr>
                <w:color w:val="000000" w:themeColor="text1"/>
                <w:sz w:val="20"/>
                <w:szCs w:val="20"/>
                <w:lang w:eastAsia="en-AU"/>
              </w:rPr>
              <w:t>Average (c/MJ)</w:t>
            </w:r>
          </w:p>
        </w:tc>
      </w:tr>
      <w:tr w:rsidR="00E03A8A" w:rsidRPr="00E03A8A"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NSW</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0.143 - 0.197</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0.179</w:t>
            </w:r>
          </w:p>
        </w:tc>
      </w:tr>
      <w:tr w:rsidR="00E03A8A" w:rsidRPr="00E03A8A"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VIC</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0.130 – 0.161</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0.147</w:t>
            </w:r>
          </w:p>
        </w:tc>
      </w:tr>
      <w:tr w:rsidR="00E03A8A" w:rsidRPr="00E03A8A"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SA</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0.142 – 0.212</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0.165</w:t>
            </w:r>
          </w:p>
        </w:tc>
      </w:tr>
      <w:tr w:rsidR="00E03A8A" w:rsidRPr="00E03A8A"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QLD</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0.149 – 0.163</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0.156</w:t>
            </w:r>
          </w:p>
        </w:tc>
      </w:tr>
      <w:tr w:rsidR="00E03A8A" w:rsidRPr="00E03A8A"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ACT</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0.188 – 0.199</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0.192</w:t>
            </w:r>
          </w:p>
        </w:tc>
      </w:tr>
      <w:tr w:rsidR="00E03A8A" w:rsidRPr="00E03A8A" w:rsidTr="009315F7">
        <w:trPr>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TAS</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0.142 – 0.158</w:t>
            </w:r>
          </w:p>
        </w:tc>
        <w:tc>
          <w:tcPr>
            <w:tcW w:w="2535" w:type="dxa"/>
            <w:vAlign w:val="center"/>
          </w:tcPr>
          <w:p w:rsidR="002E6A39" w:rsidRPr="009315F7" w:rsidRDefault="002E6A39">
            <w:pPr>
              <w:keepNext/>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315F7">
              <w:rPr>
                <w:color w:val="000000" w:themeColor="text1"/>
                <w:sz w:val="20"/>
                <w:szCs w:val="20"/>
              </w:rPr>
              <w:t>0.150</w:t>
            </w:r>
          </w:p>
        </w:tc>
      </w:tr>
      <w:tr w:rsidR="00E03A8A" w:rsidRPr="00E03A8A"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E6A39" w:rsidRPr="009315F7" w:rsidRDefault="002E6A39">
            <w:pPr>
              <w:keepNext/>
              <w:keepLines/>
              <w:jc w:val="center"/>
              <w:rPr>
                <w:color w:val="000000" w:themeColor="text1"/>
                <w:sz w:val="20"/>
                <w:szCs w:val="20"/>
              </w:rPr>
            </w:pPr>
            <w:r w:rsidRPr="009315F7">
              <w:rPr>
                <w:color w:val="000000" w:themeColor="text1"/>
                <w:sz w:val="20"/>
                <w:szCs w:val="20"/>
              </w:rPr>
              <w:t>WA</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0.158 – 0.170</w:t>
            </w:r>
          </w:p>
        </w:tc>
        <w:tc>
          <w:tcPr>
            <w:tcW w:w="2535"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315F7">
              <w:rPr>
                <w:color w:val="000000" w:themeColor="text1"/>
                <w:sz w:val="20"/>
                <w:szCs w:val="20"/>
              </w:rPr>
              <w:t>0.164</w:t>
            </w:r>
          </w:p>
        </w:tc>
      </w:tr>
    </w:tbl>
    <w:p w:rsidR="002E6A39" w:rsidRDefault="005C50CB" w:rsidP="0082164F">
      <w:pPr>
        <w:pStyle w:val="Heading3"/>
      </w:pPr>
      <w:bookmarkStart w:id="37" w:name="_Toc425348708"/>
      <w:r>
        <w:t>Household</w:t>
      </w:r>
      <w:r w:rsidR="00417A7F">
        <w:t xml:space="preserve"> cost</w:t>
      </w:r>
      <w:r>
        <w:t xml:space="preserve"> </w:t>
      </w:r>
      <w:r w:rsidR="002E6A39">
        <w:t>savings</w:t>
      </w:r>
      <w:bookmarkEnd w:id="37"/>
    </w:p>
    <w:p w:rsidR="002E6A39" w:rsidRDefault="002E6A39" w:rsidP="002E6A39">
      <w:r>
        <w:t xml:space="preserve">To illustrate the impact of the carbon tax repeal cost savings on electricity and natural gas customers, the ACCC has calculated estimated average annual cost </w:t>
      </w:r>
      <w:r w:rsidR="00A629F1">
        <w:t xml:space="preserve">and percentage </w:t>
      </w:r>
      <w:r>
        <w:t>savings based on the retailers’ standing offers</w:t>
      </w:r>
      <w:r>
        <w:rPr>
          <w:rStyle w:val="FootnoteReference"/>
        </w:rPr>
        <w:footnoteReference w:id="13"/>
      </w:r>
      <w:r>
        <w:t xml:space="preserve"> and consumption levels typical for the metropolitan area in each state and territory. It is important to note that i</w:t>
      </w:r>
      <w:r w:rsidRPr="00E54A2B">
        <w:t>ndividual customers’ experience will vary between retailers</w:t>
      </w:r>
      <w:r>
        <w:t>, distribution areas and actual consumption level</w:t>
      </w:r>
      <w:r w:rsidR="008D4923">
        <w:t>s</w:t>
      </w:r>
      <w:r>
        <w:t>.</w:t>
      </w:r>
    </w:p>
    <w:p w:rsidR="002E6A39" w:rsidRDefault="002E6A39" w:rsidP="002E6A39">
      <w:r>
        <w:t xml:space="preserve">The consumption levels used for electricity and natural gas are set out in </w:t>
      </w:r>
      <w:r w:rsidRPr="009315F7">
        <w:t xml:space="preserve">Tables </w:t>
      </w:r>
      <w:r w:rsidR="00A629F1" w:rsidRPr="009315F7">
        <w:t>4</w:t>
      </w:r>
      <w:r w:rsidRPr="009315F7">
        <w:t xml:space="preserve"> and </w:t>
      </w:r>
      <w:r w:rsidR="00A629F1" w:rsidRPr="009315F7">
        <w:t>5</w:t>
      </w:r>
      <w:r>
        <w:t xml:space="preserve"> below.</w:t>
      </w:r>
    </w:p>
    <w:p w:rsidR="002E6A39" w:rsidRDefault="002E6A39" w:rsidP="002E6A39">
      <w:pPr>
        <w:pStyle w:val="Tabletitle"/>
        <w:keepNext/>
        <w:keepLines/>
        <w:jc w:val="center"/>
      </w:pPr>
      <w:r w:rsidRPr="009315F7">
        <w:t xml:space="preserve">Table </w:t>
      </w:r>
      <w:r w:rsidR="00A629F1" w:rsidRPr="009315F7">
        <w:t>4</w:t>
      </w:r>
      <w:r w:rsidRPr="009315F7">
        <w:t>:</w:t>
      </w:r>
      <w:r>
        <w:t xml:space="preserve"> Typical annual electricity consumption (kWh)</w:t>
      </w:r>
      <w:r>
        <w:rPr>
          <w:rStyle w:val="FootnoteReference"/>
        </w:rPr>
        <w:footnoteReference w:id="14"/>
      </w:r>
    </w:p>
    <w:tbl>
      <w:tblPr>
        <w:tblStyle w:val="LightShading-Accent1"/>
        <w:tblW w:w="0" w:type="auto"/>
        <w:jc w:val="center"/>
        <w:tblLook w:val="04A0" w:firstRow="1" w:lastRow="0" w:firstColumn="1" w:lastColumn="0" w:noHBand="0" w:noVBand="1"/>
      </w:tblPr>
      <w:tblGrid>
        <w:gridCol w:w="924"/>
        <w:gridCol w:w="924"/>
        <w:gridCol w:w="924"/>
        <w:gridCol w:w="924"/>
        <w:gridCol w:w="924"/>
        <w:gridCol w:w="924"/>
        <w:gridCol w:w="924"/>
        <w:gridCol w:w="924"/>
      </w:tblGrid>
      <w:tr w:rsidR="002E6A39" w:rsidTr="009315F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2E6A39" w:rsidRPr="009315F7" w:rsidRDefault="002E6A39">
            <w:pPr>
              <w:pStyle w:val="TableHeading"/>
              <w:keepNext/>
              <w:keepLines/>
              <w:jc w:val="center"/>
              <w:rPr>
                <w:b/>
                <w:color w:val="000000" w:themeColor="text1"/>
                <w:sz w:val="20"/>
                <w:szCs w:val="20"/>
              </w:rPr>
            </w:pPr>
            <w:r w:rsidRPr="009315F7">
              <w:rPr>
                <w:b/>
                <w:color w:val="000000" w:themeColor="text1"/>
                <w:sz w:val="20"/>
                <w:szCs w:val="20"/>
              </w:rPr>
              <w:t>TAS</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NT</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ACT</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SA</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WA</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QLD</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NSW</w:t>
            </w:r>
          </w:p>
        </w:tc>
        <w:tc>
          <w:tcPr>
            <w:tcW w:w="924"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VIC</w:t>
            </w:r>
          </w:p>
        </w:tc>
      </w:tr>
      <w:tr w:rsidR="002E6A39"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2E6A39" w:rsidRPr="009315F7" w:rsidRDefault="002E6A39">
            <w:pPr>
              <w:keepNext/>
              <w:keepLines/>
              <w:jc w:val="center"/>
              <w:rPr>
                <w:b w:val="0"/>
                <w:color w:val="000000" w:themeColor="text1"/>
                <w:szCs w:val="20"/>
              </w:rPr>
            </w:pPr>
            <w:r w:rsidRPr="009315F7">
              <w:rPr>
                <w:b w:val="0"/>
                <w:color w:val="000000" w:themeColor="text1"/>
                <w:szCs w:val="20"/>
              </w:rPr>
              <w:t>8,080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6,750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6,730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5,980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5,600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5,400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5,310</w:t>
            </w:r>
          </w:p>
        </w:tc>
        <w:tc>
          <w:tcPr>
            <w:tcW w:w="924" w:type="dxa"/>
            <w:vAlign w:val="center"/>
          </w:tcPr>
          <w:p w:rsidR="002E6A39" w:rsidRPr="009315F7" w:rsidRDefault="002E6A39">
            <w:pPr>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4,050</w:t>
            </w:r>
          </w:p>
        </w:tc>
      </w:tr>
    </w:tbl>
    <w:p w:rsidR="002E6A39" w:rsidRPr="00F368BA" w:rsidRDefault="002E6A39" w:rsidP="002E6A39">
      <w:pPr>
        <w:keepNext/>
        <w:keepLines/>
        <w:jc w:val="center"/>
        <w:rPr>
          <w:sz w:val="16"/>
          <w:szCs w:val="16"/>
        </w:rPr>
      </w:pPr>
      <w:r w:rsidRPr="007B1D7D">
        <w:rPr>
          <w:sz w:val="16"/>
        </w:rPr>
        <w:t xml:space="preserve">Source: </w:t>
      </w:r>
      <w:proofErr w:type="spellStart"/>
      <w:r w:rsidRPr="007B1D7D">
        <w:rPr>
          <w:sz w:val="16"/>
          <w:szCs w:val="16"/>
        </w:rPr>
        <w:t>Alviss</w:t>
      </w:r>
      <w:proofErr w:type="spellEnd"/>
      <w:r w:rsidRPr="007B1D7D">
        <w:rPr>
          <w:sz w:val="16"/>
          <w:szCs w:val="16"/>
        </w:rPr>
        <w:t xml:space="preserve"> </w:t>
      </w:r>
      <w:r w:rsidRPr="00F368BA">
        <w:rPr>
          <w:sz w:val="16"/>
          <w:szCs w:val="16"/>
        </w:rPr>
        <w:t xml:space="preserve">Consulting, </w:t>
      </w:r>
      <w:r>
        <w:rPr>
          <w:sz w:val="16"/>
          <w:szCs w:val="16"/>
        </w:rPr>
        <w:t xml:space="preserve">Report to the ACCC, </w:t>
      </w:r>
      <w:r w:rsidRPr="00F368BA">
        <w:rPr>
          <w:sz w:val="16"/>
          <w:szCs w:val="16"/>
        </w:rPr>
        <w:t>March</w:t>
      </w:r>
      <w:r w:rsidRPr="00F368BA">
        <w:rPr>
          <w:sz w:val="8"/>
          <w:szCs w:val="16"/>
        </w:rPr>
        <w:t xml:space="preserve"> </w:t>
      </w:r>
      <w:r w:rsidRPr="007B1D7D">
        <w:rPr>
          <w:sz w:val="16"/>
          <w:szCs w:val="16"/>
        </w:rPr>
        <w:t>2015</w:t>
      </w:r>
    </w:p>
    <w:p w:rsidR="002E6A39" w:rsidRPr="007D1F3E" w:rsidRDefault="002E6A39" w:rsidP="002E6A39">
      <w:pPr>
        <w:pStyle w:val="Tabletitle"/>
        <w:keepNext/>
        <w:keepLines/>
        <w:jc w:val="center"/>
      </w:pPr>
      <w:r w:rsidRPr="009315F7">
        <w:t xml:space="preserve">Table </w:t>
      </w:r>
      <w:r w:rsidR="00A629F1" w:rsidRPr="009315F7">
        <w:t>5</w:t>
      </w:r>
      <w:r w:rsidRPr="009315F7">
        <w:t>:</w:t>
      </w:r>
      <w:r w:rsidRPr="007D1F3E">
        <w:t xml:space="preserve"> Typical annual gas consumption per household (GJ)</w:t>
      </w:r>
    </w:p>
    <w:tbl>
      <w:tblPr>
        <w:tblStyle w:val="LightShading-Accent1"/>
        <w:tblW w:w="0" w:type="auto"/>
        <w:jc w:val="center"/>
        <w:tblLook w:val="04A0" w:firstRow="1" w:lastRow="0" w:firstColumn="1" w:lastColumn="0" w:noHBand="0" w:noVBand="1"/>
      </w:tblPr>
      <w:tblGrid>
        <w:gridCol w:w="1027"/>
        <w:gridCol w:w="1027"/>
        <w:gridCol w:w="1027"/>
        <w:gridCol w:w="1027"/>
        <w:gridCol w:w="1027"/>
        <w:gridCol w:w="1027"/>
      </w:tblGrid>
      <w:tr w:rsidR="002E6A39" w:rsidRPr="008572D6" w:rsidTr="009315F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27" w:type="dxa"/>
            <w:vAlign w:val="center"/>
          </w:tcPr>
          <w:p w:rsidR="002E6A39" w:rsidRPr="009315F7" w:rsidRDefault="002E6A39">
            <w:pPr>
              <w:pStyle w:val="TableHeading"/>
              <w:keepNext/>
              <w:keepLines/>
              <w:jc w:val="center"/>
              <w:rPr>
                <w:b/>
                <w:color w:val="000000" w:themeColor="text1"/>
                <w:sz w:val="20"/>
                <w:szCs w:val="20"/>
              </w:rPr>
            </w:pPr>
            <w:r w:rsidRPr="009315F7">
              <w:rPr>
                <w:b/>
                <w:color w:val="000000" w:themeColor="text1"/>
                <w:sz w:val="20"/>
                <w:szCs w:val="20"/>
              </w:rPr>
              <w:t>QLD</w:t>
            </w:r>
          </w:p>
        </w:tc>
        <w:tc>
          <w:tcPr>
            <w:tcW w:w="1027"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NSW</w:t>
            </w:r>
          </w:p>
        </w:tc>
        <w:tc>
          <w:tcPr>
            <w:tcW w:w="1027"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SA</w:t>
            </w:r>
          </w:p>
        </w:tc>
        <w:tc>
          <w:tcPr>
            <w:tcW w:w="1027"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ACT</w:t>
            </w:r>
          </w:p>
        </w:tc>
        <w:tc>
          <w:tcPr>
            <w:tcW w:w="1027"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TAS</w:t>
            </w:r>
          </w:p>
        </w:tc>
        <w:tc>
          <w:tcPr>
            <w:tcW w:w="1027" w:type="dxa"/>
            <w:vAlign w:val="center"/>
          </w:tcPr>
          <w:p w:rsidR="002E6A39" w:rsidRPr="009315F7" w:rsidRDefault="002E6A39">
            <w:pPr>
              <w:pStyle w:val="TableHeading"/>
              <w:keepNext/>
              <w:keepLines/>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VIC</w:t>
            </w:r>
          </w:p>
        </w:tc>
      </w:tr>
      <w:tr w:rsidR="002E6A39" w:rsidTr="009315F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27" w:type="dxa"/>
            <w:vAlign w:val="center"/>
          </w:tcPr>
          <w:p w:rsidR="002E6A39" w:rsidRPr="009315F7" w:rsidRDefault="002E6A39">
            <w:pPr>
              <w:pStyle w:val="Tabletext"/>
              <w:keepNext/>
              <w:keepLines/>
              <w:jc w:val="center"/>
              <w:rPr>
                <w:b w:val="0"/>
                <w:color w:val="000000" w:themeColor="text1"/>
                <w:szCs w:val="20"/>
              </w:rPr>
            </w:pPr>
            <w:r w:rsidRPr="009315F7">
              <w:rPr>
                <w:b w:val="0"/>
                <w:color w:val="000000" w:themeColor="text1"/>
                <w:szCs w:val="20"/>
              </w:rPr>
              <w:t>10</w:t>
            </w:r>
          </w:p>
        </w:tc>
        <w:tc>
          <w:tcPr>
            <w:tcW w:w="1027" w:type="dxa"/>
            <w:vAlign w:val="center"/>
          </w:tcPr>
          <w:p w:rsidR="002E6A39" w:rsidRPr="009315F7" w:rsidRDefault="002E6A39">
            <w:pPr>
              <w:pStyle w:val="Tabletext"/>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20</w:t>
            </w:r>
          </w:p>
        </w:tc>
        <w:tc>
          <w:tcPr>
            <w:tcW w:w="1027" w:type="dxa"/>
            <w:vAlign w:val="center"/>
          </w:tcPr>
          <w:p w:rsidR="002E6A39" w:rsidRPr="009315F7" w:rsidRDefault="002E6A39">
            <w:pPr>
              <w:pStyle w:val="Tabletext"/>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20</w:t>
            </w:r>
          </w:p>
        </w:tc>
        <w:tc>
          <w:tcPr>
            <w:tcW w:w="1027" w:type="dxa"/>
            <w:vAlign w:val="center"/>
          </w:tcPr>
          <w:p w:rsidR="002E6A39" w:rsidRPr="009315F7" w:rsidRDefault="002E6A39">
            <w:pPr>
              <w:pStyle w:val="Tabletext"/>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40</w:t>
            </w:r>
          </w:p>
        </w:tc>
        <w:tc>
          <w:tcPr>
            <w:tcW w:w="1027" w:type="dxa"/>
            <w:vAlign w:val="center"/>
          </w:tcPr>
          <w:p w:rsidR="002E6A39" w:rsidRPr="009315F7" w:rsidRDefault="002E6A39">
            <w:pPr>
              <w:pStyle w:val="Tabletext"/>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40</w:t>
            </w:r>
          </w:p>
        </w:tc>
        <w:tc>
          <w:tcPr>
            <w:tcW w:w="1027" w:type="dxa"/>
            <w:vAlign w:val="center"/>
          </w:tcPr>
          <w:p w:rsidR="002E6A39" w:rsidRPr="009315F7" w:rsidRDefault="002E6A39">
            <w:pPr>
              <w:pStyle w:val="Tabletext"/>
              <w:keepNext/>
              <w:keepLines/>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60</w:t>
            </w:r>
          </w:p>
        </w:tc>
      </w:tr>
    </w:tbl>
    <w:p w:rsidR="002E6A39" w:rsidRPr="00426EFE" w:rsidRDefault="002E6A39" w:rsidP="002E6A39">
      <w:pPr>
        <w:keepNext/>
        <w:keepLines/>
        <w:spacing w:before="60" w:after="60"/>
        <w:jc w:val="center"/>
        <w:rPr>
          <w:sz w:val="16"/>
          <w:szCs w:val="16"/>
        </w:rPr>
      </w:pPr>
      <w:r w:rsidRPr="00426EFE">
        <w:rPr>
          <w:sz w:val="16"/>
          <w:szCs w:val="16"/>
        </w:rPr>
        <w:t xml:space="preserve">Source: </w:t>
      </w:r>
      <w:proofErr w:type="spellStart"/>
      <w:r w:rsidRPr="00426EFE">
        <w:rPr>
          <w:sz w:val="16"/>
          <w:szCs w:val="16"/>
        </w:rPr>
        <w:t>Alviss</w:t>
      </w:r>
      <w:proofErr w:type="spellEnd"/>
      <w:r w:rsidRPr="00426EFE">
        <w:rPr>
          <w:sz w:val="16"/>
          <w:szCs w:val="16"/>
        </w:rPr>
        <w:t xml:space="preserve"> Consulting,</w:t>
      </w:r>
      <w:r w:rsidR="00B83F5F" w:rsidRPr="00B83F5F">
        <w:rPr>
          <w:sz w:val="16"/>
          <w:szCs w:val="16"/>
        </w:rPr>
        <w:t xml:space="preserve"> </w:t>
      </w:r>
      <w:r w:rsidR="00B83F5F">
        <w:rPr>
          <w:sz w:val="16"/>
          <w:szCs w:val="16"/>
        </w:rPr>
        <w:t>Report to the ACCC,</w:t>
      </w:r>
      <w:r w:rsidRPr="00426EFE">
        <w:rPr>
          <w:sz w:val="16"/>
          <w:szCs w:val="16"/>
        </w:rPr>
        <w:t xml:space="preserve"> March</w:t>
      </w:r>
      <w:r w:rsidRPr="00426EFE">
        <w:rPr>
          <w:sz w:val="8"/>
          <w:szCs w:val="16"/>
        </w:rPr>
        <w:t xml:space="preserve"> </w:t>
      </w:r>
      <w:r w:rsidRPr="00426EFE">
        <w:rPr>
          <w:sz w:val="16"/>
          <w:szCs w:val="16"/>
        </w:rPr>
        <w:t>2015</w:t>
      </w:r>
    </w:p>
    <w:p w:rsidR="002E6A39" w:rsidRDefault="002E6A39" w:rsidP="002E6A39">
      <w:r>
        <w:t xml:space="preserve">The estimated average annual carbon </w:t>
      </w:r>
      <w:proofErr w:type="gramStart"/>
      <w:r>
        <w:t>tax repeal</w:t>
      </w:r>
      <w:proofErr w:type="gramEnd"/>
      <w:r>
        <w:t xml:space="preserve"> cost </w:t>
      </w:r>
      <w:r w:rsidR="0040191D">
        <w:t xml:space="preserve">and percentage </w:t>
      </w:r>
      <w:r>
        <w:t xml:space="preserve">savings </w:t>
      </w:r>
      <w:r w:rsidR="00760016">
        <w:t xml:space="preserve">based on </w:t>
      </w:r>
      <w:r>
        <w:t xml:space="preserve">electricity </w:t>
      </w:r>
      <w:r w:rsidR="00760016">
        <w:t xml:space="preserve">and natural gas </w:t>
      </w:r>
      <w:r>
        <w:t xml:space="preserve">retailers’ standing offers are set out </w:t>
      </w:r>
      <w:r w:rsidRPr="003751CA">
        <w:t xml:space="preserve">in Graphs </w:t>
      </w:r>
      <w:r w:rsidR="00A629F1" w:rsidRPr="00395132">
        <w:t>1</w:t>
      </w:r>
      <w:r w:rsidRPr="00395132">
        <w:t xml:space="preserve"> and </w:t>
      </w:r>
      <w:r w:rsidR="00A629F1" w:rsidRPr="00395132">
        <w:t>2</w:t>
      </w:r>
      <w:r w:rsidRPr="00395132">
        <w:rPr>
          <w:b/>
        </w:rPr>
        <w:t xml:space="preserve"> </w:t>
      </w:r>
      <w:r>
        <w:t xml:space="preserve">below. </w:t>
      </w:r>
    </w:p>
    <w:p w:rsidR="004B35C7" w:rsidRDefault="004B35C7">
      <w:pPr>
        <w:rPr>
          <w:b/>
          <w:highlight w:val="yellow"/>
        </w:rPr>
      </w:pPr>
      <w:r>
        <w:rPr>
          <w:b/>
          <w:highlight w:val="yellow"/>
        </w:rPr>
        <w:br w:type="page"/>
      </w:r>
    </w:p>
    <w:p w:rsidR="00760016" w:rsidRDefault="00760016" w:rsidP="00760016">
      <w:pPr>
        <w:rPr>
          <w:b/>
        </w:rPr>
      </w:pPr>
      <w:r w:rsidRPr="00395132">
        <w:rPr>
          <w:b/>
        </w:rPr>
        <w:lastRenderedPageBreak/>
        <w:t xml:space="preserve">Graph </w:t>
      </w:r>
      <w:r w:rsidR="00A629F1" w:rsidRPr="00395132">
        <w:rPr>
          <w:b/>
        </w:rPr>
        <w:t>1</w:t>
      </w:r>
      <w:r w:rsidRPr="00395132">
        <w:rPr>
          <w:b/>
        </w:rPr>
        <w:t>:</w:t>
      </w:r>
      <w:r w:rsidRPr="007E71A8">
        <w:rPr>
          <w:b/>
        </w:rPr>
        <w:t xml:space="preserve"> Estimated average annual carbon tax </w:t>
      </w:r>
      <w:r>
        <w:rPr>
          <w:b/>
        </w:rPr>
        <w:t xml:space="preserve">repeal </w:t>
      </w:r>
      <w:r w:rsidRPr="007E71A8">
        <w:rPr>
          <w:b/>
        </w:rPr>
        <w:t xml:space="preserve">cost savings for </w:t>
      </w:r>
      <w:r>
        <w:rPr>
          <w:b/>
        </w:rPr>
        <w:t>residential customers</w:t>
      </w:r>
      <w:r>
        <w:rPr>
          <w:rStyle w:val="FootnoteReference"/>
          <w:b/>
        </w:rPr>
        <w:footnoteReference w:id="15"/>
      </w:r>
    </w:p>
    <w:p w:rsidR="00E60D7E" w:rsidRDefault="00760016" w:rsidP="00E60D7E">
      <w:pPr>
        <w:rPr>
          <w:b/>
        </w:rPr>
      </w:pPr>
      <w:r>
        <w:rPr>
          <w:noProof/>
          <w:lang w:eastAsia="en-AU"/>
        </w:rPr>
        <w:drawing>
          <wp:inline distT="0" distB="0" distL="0" distR="0" wp14:anchorId="5471A1E4" wp14:editId="265C7FB9">
            <wp:extent cx="5486400" cy="2751826"/>
            <wp:effectExtent l="0" t="0" r="1905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016" w:rsidRPr="007E71A8" w:rsidRDefault="00760016" w:rsidP="00E60D7E">
      <w:pPr>
        <w:spacing w:before="240" w:after="120"/>
        <w:rPr>
          <w:b/>
        </w:rPr>
      </w:pPr>
      <w:r w:rsidRPr="00395132">
        <w:rPr>
          <w:b/>
        </w:rPr>
        <w:t xml:space="preserve">Graph </w:t>
      </w:r>
      <w:r w:rsidR="00A629F1" w:rsidRPr="00395132">
        <w:rPr>
          <w:b/>
        </w:rPr>
        <w:t>2</w:t>
      </w:r>
      <w:r w:rsidRPr="00395132">
        <w:rPr>
          <w:b/>
        </w:rPr>
        <w:t>:</w:t>
      </w:r>
      <w:r w:rsidRPr="007E71A8">
        <w:rPr>
          <w:b/>
        </w:rPr>
        <w:t xml:space="preserve"> Estimated </w:t>
      </w:r>
      <w:r>
        <w:rPr>
          <w:b/>
        </w:rPr>
        <w:t>percentage</w:t>
      </w:r>
      <w:r w:rsidRPr="007E71A8">
        <w:rPr>
          <w:b/>
        </w:rPr>
        <w:t xml:space="preserve"> carbon tax </w:t>
      </w:r>
      <w:r>
        <w:rPr>
          <w:b/>
        </w:rPr>
        <w:t xml:space="preserve">repeal </w:t>
      </w:r>
      <w:r w:rsidRPr="007E71A8">
        <w:rPr>
          <w:b/>
        </w:rPr>
        <w:t xml:space="preserve">cost savings for </w:t>
      </w:r>
      <w:r>
        <w:rPr>
          <w:b/>
        </w:rPr>
        <w:t>residential customers</w:t>
      </w:r>
      <w:r>
        <w:rPr>
          <w:rStyle w:val="FootnoteReference"/>
          <w:b/>
        </w:rPr>
        <w:footnoteReference w:id="16"/>
      </w:r>
    </w:p>
    <w:p w:rsidR="00760016" w:rsidRDefault="00760016" w:rsidP="00760016">
      <w:pPr>
        <w:keepNext/>
        <w:keepLines/>
      </w:pPr>
      <w:r>
        <w:rPr>
          <w:noProof/>
          <w:lang w:eastAsia="en-AU"/>
        </w:rPr>
        <w:drawing>
          <wp:inline distT="0" distB="0" distL="0" distR="0" wp14:anchorId="1AFFE11C" wp14:editId="656BBD52">
            <wp:extent cx="5461000" cy="319405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0016" w:rsidRDefault="00760016" w:rsidP="00760016"/>
    <w:p w:rsidR="00760016" w:rsidRDefault="00760016" w:rsidP="00760016">
      <w:r>
        <w:lastRenderedPageBreak/>
        <w:t xml:space="preserve">AGL, Origin and </w:t>
      </w:r>
      <w:proofErr w:type="spellStart"/>
      <w:r>
        <w:t>EnergyAustralia</w:t>
      </w:r>
      <w:proofErr w:type="spellEnd"/>
      <w:r>
        <w:t xml:space="preserve"> remain the leading electricity retailers in eastern and southern Australia. The three </w:t>
      </w:r>
      <w:r w:rsidR="00640555">
        <w:t xml:space="preserve">retailers </w:t>
      </w:r>
      <w:r>
        <w:t>jointly supplied over 70 per cent of small electricity customers and over 80 per cent of small natural gas customers at 30 June 2014.</w:t>
      </w:r>
      <w:r>
        <w:rPr>
          <w:rStyle w:val="FootnoteReference"/>
        </w:rPr>
        <w:footnoteReference w:id="17"/>
      </w:r>
      <w:r>
        <w:t xml:space="preserve"> For this reason</w:t>
      </w:r>
      <w:r w:rsidR="00D25D4F">
        <w:t>,</w:t>
      </w:r>
      <w:r>
        <w:t xml:space="preserve"> the ACCC has calculated separate estimates of average annual cost savings for the three larger retailers in New South Wales, Victoria, South Australia and Queensland. </w:t>
      </w:r>
    </w:p>
    <w:p w:rsidR="00760016" w:rsidRDefault="00760016" w:rsidP="00760016">
      <w:r>
        <w:t xml:space="preserve">The estimated average annual carbon tax repeal cost savings for electricity and natural gas customers of the three largest retailers are set out in </w:t>
      </w:r>
      <w:r w:rsidRPr="00395132">
        <w:t xml:space="preserve">Graph </w:t>
      </w:r>
      <w:r w:rsidR="00A629F1" w:rsidRPr="00395132">
        <w:t>3</w:t>
      </w:r>
      <w:r>
        <w:t xml:space="preserve"> below.</w:t>
      </w:r>
    </w:p>
    <w:p w:rsidR="00760016" w:rsidRPr="00C04FE9" w:rsidRDefault="00760016" w:rsidP="00760016">
      <w:pPr>
        <w:keepNext/>
        <w:keepLines/>
        <w:rPr>
          <w:b/>
        </w:rPr>
      </w:pPr>
      <w:r w:rsidRPr="00C04FE9">
        <w:rPr>
          <w:b/>
        </w:rPr>
        <w:t xml:space="preserve">Graph </w:t>
      </w:r>
      <w:r w:rsidR="00A629F1">
        <w:rPr>
          <w:b/>
        </w:rPr>
        <w:t>3</w:t>
      </w:r>
      <w:r w:rsidRPr="00C04FE9">
        <w:rPr>
          <w:b/>
        </w:rPr>
        <w:t xml:space="preserve">: Estimated average annual carbon tax repeal cost savings for </w:t>
      </w:r>
      <w:r>
        <w:rPr>
          <w:b/>
        </w:rPr>
        <w:t xml:space="preserve">residential </w:t>
      </w:r>
      <w:r w:rsidRPr="00C04FE9">
        <w:rPr>
          <w:b/>
        </w:rPr>
        <w:t xml:space="preserve">customers of the three </w:t>
      </w:r>
      <w:r>
        <w:rPr>
          <w:b/>
        </w:rPr>
        <w:t>largest</w:t>
      </w:r>
      <w:r w:rsidRPr="00C04FE9">
        <w:rPr>
          <w:b/>
        </w:rPr>
        <w:t xml:space="preserve"> retailers</w:t>
      </w:r>
      <w:r w:rsidR="00B83F5F">
        <w:rPr>
          <w:rStyle w:val="FootnoteReference"/>
          <w:b/>
        </w:rPr>
        <w:footnoteReference w:id="18"/>
      </w:r>
    </w:p>
    <w:p w:rsidR="00760016" w:rsidRDefault="00760016" w:rsidP="00760016">
      <w:pPr>
        <w:keepNext/>
        <w:keepLines/>
      </w:pPr>
      <w:r>
        <w:rPr>
          <w:noProof/>
          <w:lang w:eastAsia="en-AU"/>
        </w:rPr>
        <w:drawing>
          <wp:inline distT="0" distB="0" distL="0" distR="0" wp14:anchorId="1A7A6FED" wp14:editId="6624924A">
            <wp:extent cx="5538158" cy="3347049"/>
            <wp:effectExtent l="0" t="0" r="24765"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8B5" w:rsidRDefault="00D25D4F" w:rsidP="00182AEA">
      <w:pPr>
        <w:pStyle w:val="Heading2"/>
        <w:spacing w:before="240"/>
      </w:pPr>
      <w:bookmarkStart w:id="38" w:name="_Toc425348709"/>
      <w:r>
        <w:t>Synthetic greenhouse gas</w:t>
      </w:r>
      <w:bookmarkEnd w:id="38"/>
    </w:p>
    <w:p w:rsidR="009C2572" w:rsidRPr="0082164F" w:rsidRDefault="009C2572" w:rsidP="009C2572">
      <w:pPr>
        <w:pStyle w:val="Heading3"/>
      </w:pPr>
      <w:bookmarkStart w:id="39" w:name="_Toc425348710"/>
      <w:r>
        <w:t>Monitoring activities in the June 2015 quarter</w:t>
      </w:r>
      <w:bookmarkEnd w:id="39"/>
    </w:p>
    <w:p w:rsidR="00074380" w:rsidRDefault="006A3702" w:rsidP="00074380">
      <w:pPr>
        <w:rPr>
          <w:rFonts w:eastAsiaTheme="majorEastAsia" w:cstheme="majorBidi"/>
          <w:b/>
          <w:bCs/>
          <w:color w:val="000000" w:themeColor="text1" w:themeShade="BF"/>
          <w:sz w:val="24"/>
        </w:rPr>
      </w:pPr>
      <w:r>
        <w:t xml:space="preserve">In </w:t>
      </w:r>
      <w:r w:rsidR="00074380">
        <w:t>the June 2015 quarter, several SGG entities confirm</w:t>
      </w:r>
      <w:r w:rsidR="00A311D6">
        <w:t>ed</w:t>
      </w:r>
      <w:r w:rsidR="00074380">
        <w:t xml:space="preserve"> the effect of the carbon tax repeal on the price of SGGs. T</w:t>
      </w:r>
      <w:r w:rsidR="00074380" w:rsidRPr="00556559">
        <w:t>he AC</w:t>
      </w:r>
      <w:r w:rsidR="00074380">
        <w:t>CC received responses from a bulk SGG importer, non-importer SGG wholesalers and an SGG equipment supplier that were</w:t>
      </w:r>
      <w:r w:rsidR="00074380" w:rsidRPr="00556559">
        <w:t xml:space="preserve"> issued compulsory information notices pursuant to s 60H of the CCA</w:t>
      </w:r>
      <w:r w:rsidR="00074380">
        <w:t>. The ACCC issued notices to these entities because they</w:t>
      </w:r>
      <w:r w:rsidR="00074380" w:rsidRPr="00556559">
        <w:t xml:space="preserve"> did not respond to the ACCC’s </w:t>
      </w:r>
      <w:r w:rsidR="00074380">
        <w:t xml:space="preserve">requests for voluntary information </w:t>
      </w:r>
      <w:r w:rsidR="00074380" w:rsidRPr="00556559">
        <w:t>in a timely manner</w:t>
      </w:r>
      <w:r w:rsidR="00074380">
        <w:t>.</w:t>
      </w:r>
      <w:r w:rsidR="00074380" w:rsidRPr="00A8253F">
        <w:t xml:space="preserve"> </w:t>
      </w:r>
      <w:r w:rsidR="00074380">
        <w:t xml:space="preserve">The ACCC has now </w:t>
      </w:r>
      <w:r w:rsidR="00074380" w:rsidRPr="009C2572">
        <w:t xml:space="preserve">concluded its price monitoring activities of the SGG </w:t>
      </w:r>
      <w:r w:rsidR="005A0BA2">
        <w:t xml:space="preserve">sector </w:t>
      </w:r>
      <w:r w:rsidR="00074380">
        <w:t xml:space="preserve">and is satisfied that the remaining SGG entities have passed through to customers </w:t>
      </w:r>
      <w:r w:rsidR="00E16EBA">
        <w:t>their</w:t>
      </w:r>
      <w:r w:rsidR="00074380">
        <w:t xml:space="preserve"> carbon tax repeal cost savings. </w:t>
      </w:r>
    </w:p>
    <w:p w:rsidR="00AB3BCB" w:rsidRDefault="00AB3BCB">
      <w:pPr>
        <w:rPr>
          <w:rFonts w:eastAsiaTheme="majorEastAsia" w:cstheme="majorBidi"/>
          <w:b/>
          <w:bCs/>
          <w:color w:val="000000" w:themeColor="text1" w:themeShade="BF"/>
          <w:sz w:val="24"/>
        </w:rPr>
      </w:pPr>
      <w:r>
        <w:br w:type="page"/>
      </w:r>
    </w:p>
    <w:p w:rsidR="00074380" w:rsidRDefault="00074380" w:rsidP="00074380">
      <w:pPr>
        <w:pStyle w:val="Heading3"/>
      </w:pPr>
      <w:bookmarkStart w:id="40" w:name="_Toc425348711"/>
      <w:r>
        <w:lastRenderedPageBreak/>
        <w:t>Key findings</w:t>
      </w:r>
      <w:bookmarkEnd w:id="40"/>
    </w:p>
    <w:p w:rsidR="00074380" w:rsidRDefault="00074380" w:rsidP="00074380">
      <w:r>
        <w:t xml:space="preserve">Responses from SGG entities have confirmed the ACCC’s observations noted in the April 2015 Carbon </w:t>
      </w:r>
      <w:r w:rsidRPr="00423C2E">
        <w:t>Report that</w:t>
      </w:r>
      <w:r w:rsidR="008C1ADA" w:rsidRPr="00423C2E">
        <w:t>,</w:t>
      </w:r>
      <w:r w:rsidR="00A40129" w:rsidRPr="00423C2E">
        <w:t xml:space="preserve"> where applicable</w:t>
      </w:r>
      <w:r w:rsidR="008C1ADA" w:rsidRPr="00423C2E">
        <w:t>,</w:t>
      </w:r>
      <w:r w:rsidR="00A40129" w:rsidRPr="00423C2E">
        <w:t xml:space="preserve"> </w:t>
      </w:r>
      <w:r w:rsidR="00BB2ED0" w:rsidRPr="00423C2E">
        <w:t>at</w:t>
      </w:r>
      <w:r w:rsidR="00BB2ED0">
        <w:t xml:space="preserve"> the bulk import, wholesale and equipment supply levels, prices of the most common SGGs that attracted the equivalent carbon price </w:t>
      </w:r>
      <w:r w:rsidR="00BB2ED0" w:rsidRPr="00223D91">
        <w:t xml:space="preserve">levy </w:t>
      </w:r>
      <w:r w:rsidR="00BA16A4" w:rsidRPr="00223D91">
        <w:t xml:space="preserve">(the levy) </w:t>
      </w:r>
      <w:r w:rsidRPr="00223D91">
        <w:t>have reduced to approximately the same levels</w:t>
      </w:r>
      <w:r w:rsidR="00223D91" w:rsidRPr="00395132">
        <w:t xml:space="preserve"> as,</w:t>
      </w:r>
      <w:r w:rsidRPr="00223D91">
        <w:t xml:space="preserve"> </w:t>
      </w:r>
      <w:r w:rsidR="00A40129" w:rsidRPr="00223D91">
        <w:t xml:space="preserve">or lower </w:t>
      </w:r>
      <w:r w:rsidR="00223D91" w:rsidRPr="00223D91">
        <w:t>than,</w:t>
      </w:r>
      <w:r w:rsidRPr="00223D91">
        <w:t xml:space="preserve"> those before the </w:t>
      </w:r>
      <w:r w:rsidR="00A40129" w:rsidRPr="00223D91">
        <w:t xml:space="preserve">introduction of the </w:t>
      </w:r>
      <w:r w:rsidRPr="00223D91">
        <w:t>carbon tax</w:t>
      </w:r>
      <w:r w:rsidR="00BB2ED0" w:rsidRPr="00223D91">
        <w:t>. I</w:t>
      </w:r>
      <w:r w:rsidRPr="00223D91">
        <w:t>dentifiable</w:t>
      </w:r>
      <w:r w:rsidRPr="004744BB">
        <w:t xml:space="preserve"> </w:t>
      </w:r>
      <w:r w:rsidR="009C2FA5">
        <w:t xml:space="preserve">cost </w:t>
      </w:r>
      <w:r w:rsidRPr="004744BB">
        <w:t>savings have</w:t>
      </w:r>
      <w:r w:rsidR="00BB2ED0">
        <w:t xml:space="preserve"> </w:t>
      </w:r>
      <w:r w:rsidRPr="004744BB">
        <w:t xml:space="preserve">been passed on following </w:t>
      </w:r>
      <w:r>
        <w:t>its</w:t>
      </w:r>
      <w:r w:rsidRPr="004744BB">
        <w:t xml:space="preserve"> repeal</w:t>
      </w:r>
      <w:r>
        <w:t xml:space="preserve">. While the price increases at the introduction of the carbon tax may not have </w:t>
      </w:r>
      <w:r w:rsidR="00BA16A4">
        <w:t xml:space="preserve">all </w:t>
      </w:r>
      <w:r>
        <w:t>been directly due to increased carbon tax costs,</w:t>
      </w:r>
      <w:r w:rsidR="009C2FA5">
        <w:t xml:space="preserve"> cost</w:t>
      </w:r>
      <w:r>
        <w:t xml:space="preserve"> savings were neverthe</w:t>
      </w:r>
      <w:r w:rsidR="00E16EBA">
        <w:t>less reported upon repeal as</w:t>
      </w:r>
      <w:r>
        <w:t xml:space="preserve"> imports without the carbon tax</w:t>
      </w:r>
      <w:r w:rsidR="00BA16A4">
        <w:t xml:space="preserve"> impost</w:t>
      </w:r>
      <w:r>
        <w:t xml:space="preserve"> re-emerged</w:t>
      </w:r>
      <w:r w:rsidR="00B83F5F">
        <w:t>, putting downward pressure on prices.</w:t>
      </w:r>
    </w:p>
    <w:p w:rsidR="00BA16A4" w:rsidRPr="005731FB" w:rsidRDefault="00955219" w:rsidP="00BA16A4">
      <w:pPr>
        <w:keepNext/>
        <w:keepLines/>
        <w:spacing w:before="240" w:after="120"/>
        <w:rPr>
          <w:rStyle w:val="Strong"/>
        </w:rPr>
      </w:pPr>
      <w:r>
        <w:rPr>
          <w:rStyle w:val="TabletitleChar"/>
          <w:b w:val="0"/>
        </w:rPr>
        <w:t>Table 6 below</w:t>
      </w:r>
      <w:r w:rsidR="00BA16A4" w:rsidRPr="00395132">
        <w:rPr>
          <w:rStyle w:val="TabletitleChar"/>
          <w:b w:val="0"/>
        </w:rPr>
        <w:t xml:space="preserve"> demonstrates average price movements due to the carbon tax that some bulk SGG importers provided.</w:t>
      </w:r>
      <w:r w:rsidR="00A67F8D">
        <w:rPr>
          <w:rStyle w:val="FootnoteReference"/>
          <w:szCs w:val="20"/>
        </w:rPr>
        <w:footnoteReference w:id="19"/>
      </w:r>
      <w:r w:rsidR="00BA16A4" w:rsidRPr="00395132">
        <w:rPr>
          <w:rStyle w:val="TabletitleChar"/>
          <w:b w:val="0"/>
        </w:rPr>
        <w:t xml:space="preserve"> </w:t>
      </w:r>
    </w:p>
    <w:p w:rsidR="00BA16A4" w:rsidRPr="009315F7" w:rsidRDefault="00BA16A4" w:rsidP="009315F7">
      <w:pPr>
        <w:keepNext/>
        <w:keepLines/>
        <w:spacing w:before="240" w:after="120"/>
        <w:rPr>
          <w:color w:val="000000" w:themeColor="text1"/>
        </w:rPr>
      </w:pPr>
      <w:r w:rsidRPr="009315F7">
        <w:rPr>
          <w:rStyle w:val="TabletitleChar"/>
          <w:color w:val="000000" w:themeColor="text1"/>
        </w:rPr>
        <w:t>Table 6: Price ranges for average SGG prices at the bulk SGG import level</w:t>
      </w:r>
    </w:p>
    <w:tbl>
      <w:tblPr>
        <w:tblStyle w:val="LightShading-Accent1"/>
        <w:tblW w:w="0" w:type="auto"/>
        <w:tblInd w:w="108" w:type="dxa"/>
        <w:tblLook w:val="04A0" w:firstRow="1" w:lastRow="0" w:firstColumn="1" w:lastColumn="0" w:noHBand="0" w:noVBand="1"/>
      </w:tblPr>
      <w:tblGrid>
        <w:gridCol w:w="1507"/>
        <w:gridCol w:w="1964"/>
        <w:gridCol w:w="2108"/>
        <w:gridCol w:w="2830"/>
      </w:tblGrid>
      <w:tr w:rsidR="0027258E" w:rsidRPr="0005736D" w:rsidTr="009315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7" w:type="dxa"/>
            <w:hideMark/>
          </w:tcPr>
          <w:p w:rsidR="00BA16A4" w:rsidRPr="009315F7" w:rsidRDefault="00BA16A4">
            <w:pPr>
              <w:spacing w:before="120"/>
              <w:jc w:val="center"/>
              <w:rPr>
                <w:rFonts w:eastAsia="Calibri" w:cs="Arial"/>
                <w:b w:val="0"/>
                <w:bCs w:val="0"/>
                <w:color w:val="000000" w:themeColor="text1"/>
                <w:sz w:val="20"/>
                <w:szCs w:val="20"/>
                <w:lang w:eastAsia="en-AU"/>
              </w:rPr>
            </w:pPr>
            <w:r w:rsidRPr="009315F7">
              <w:rPr>
                <w:rFonts w:eastAsia="Calibri" w:cs="Arial"/>
                <w:color w:val="000000" w:themeColor="text1"/>
                <w:sz w:val="20"/>
                <w:szCs w:val="20"/>
                <w:lang w:eastAsia="en-AU"/>
              </w:rPr>
              <w:t>SGG</w:t>
            </w:r>
          </w:p>
        </w:tc>
        <w:tc>
          <w:tcPr>
            <w:tcW w:w="1964" w:type="dxa"/>
            <w:hideMark/>
          </w:tcPr>
          <w:p w:rsidR="00BA16A4" w:rsidRPr="009315F7" w:rsidRDefault="00BA16A4">
            <w:pPr>
              <w:spacing w:before="12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000000" w:themeColor="text1"/>
                <w:sz w:val="20"/>
                <w:szCs w:val="20"/>
              </w:rPr>
            </w:pPr>
            <w:r w:rsidRPr="009315F7">
              <w:rPr>
                <w:rFonts w:eastAsia="Calibri" w:cs="Arial"/>
                <w:color w:val="000000" w:themeColor="text1"/>
                <w:sz w:val="20"/>
                <w:szCs w:val="20"/>
              </w:rPr>
              <w:t>Pre</w:t>
            </w:r>
            <w:r w:rsidR="005C20AC" w:rsidRPr="002B711E">
              <w:rPr>
                <w:rFonts w:eastAsia="Calibri" w:cs="Arial"/>
                <w:color w:val="000000" w:themeColor="text1"/>
                <w:sz w:val="20"/>
                <w:szCs w:val="20"/>
              </w:rPr>
              <w:t>-</w:t>
            </w:r>
            <w:r w:rsidR="00910A33" w:rsidRPr="002B711E">
              <w:rPr>
                <w:rFonts w:eastAsia="Calibri" w:cs="Arial"/>
                <w:color w:val="000000" w:themeColor="text1"/>
                <w:sz w:val="20"/>
                <w:szCs w:val="20"/>
              </w:rPr>
              <w:t>carbon t</w:t>
            </w:r>
            <w:r w:rsidRPr="009315F7">
              <w:rPr>
                <w:rFonts w:eastAsia="Calibri" w:cs="Arial"/>
                <w:color w:val="000000" w:themeColor="text1"/>
                <w:sz w:val="20"/>
                <w:szCs w:val="20"/>
              </w:rPr>
              <w:t>ax</w:t>
            </w:r>
            <w:r w:rsidR="00A40129" w:rsidRPr="009315F7">
              <w:rPr>
                <w:rStyle w:val="FootnoteReference"/>
                <w:rFonts w:eastAsia="Calibri" w:cs="Arial"/>
                <w:color w:val="000000" w:themeColor="text1"/>
                <w:sz w:val="20"/>
                <w:szCs w:val="20"/>
              </w:rPr>
              <w:footnoteReference w:id="20"/>
            </w:r>
          </w:p>
        </w:tc>
        <w:tc>
          <w:tcPr>
            <w:tcW w:w="2108" w:type="dxa"/>
            <w:hideMark/>
          </w:tcPr>
          <w:p w:rsidR="00BA16A4" w:rsidRPr="009315F7" w:rsidRDefault="00BA16A4" w:rsidP="000B3867">
            <w:pPr>
              <w:spacing w:before="12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000000" w:themeColor="text1"/>
                <w:sz w:val="20"/>
                <w:szCs w:val="20"/>
              </w:rPr>
            </w:pPr>
            <w:r w:rsidRPr="009315F7">
              <w:rPr>
                <w:rFonts w:eastAsia="Calibri" w:cs="Arial"/>
                <w:color w:val="000000" w:themeColor="text1"/>
                <w:sz w:val="20"/>
                <w:szCs w:val="20"/>
              </w:rPr>
              <w:t xml:space="preserve">Carbon </w:t>
            </w:r>
            <w:r w:rsidR="00910A33" w:rsidRPr="002B711E">
              <w:rPr>
                <w:rFonts w:eastAsia="Calibri" w:cs="Arial"/>
                <w:color w:val="000000" w:themeColor="text1"/>
                <w:sz w:val="20"/>
                <w:szCs w:val="20"/>
              </w:rPr>
              <w:t>t</w:t>
            </w:r>
            <w:r w:rsidRPr="009315F7">
              <w:rPr>
                <w:rFonts w:eastAsia="Calibri" w:cs="Arial"/>
                <w:color w:val="000000" w:themeColor="text1"/>
                <w:sz w:val="20"/>
                <w:szCs w:val="20"/>
              </w:rPr>
              <w:t xml:space="preserve">ax </w:t>
            </w:r>
            <w:r w:rsidR="00910A33" w:rsidRPr="002B711E">
              <w:rPr>
                <w:rFonts w:eastAsia="Calibri" w:cs="Arial"/>
                <w:color w:val="000000" w:themeColor="text1"/>
                <w:sz w:val="20"/>
                <w:szCs w:val="20"/>
              </w:rPr>
              <w:t>p</w:t>
            </w:r>
            <w:r w:rsidRPr="009315F7">
              <w:rPr>
                <w:rFonts w:eastAsia="Calibri" w:cs="Arial"/>
                <w:color w:val="000000" w:themeColor="text1"/>
                <w:sz w:val="20"/>
                <w:szCs w:val="20"/>
              </w:rPr>
              <w:t>eriod</w:t>
            </w:r>
            <w:r w:rsidR="00DB11DD" w:rsidRPr="009315F7">
              <w:rPr>
                <w:rStyle w:val="FootnoteReference"/>
                <w:rFonts w:eastAsia="Calibri" w:cs="Arial"/>
                <w:color w:val="000000" w:themeColor="text1"/>
                <w:sz w:val="20"/>
                <w:szCs w:val="20"/>
              </w:rPr>
              <w:footnoteReference w:id="21"/>
            </w:r>
          </w:p>
        </w:tc>
        <w:tc>
          <w:tcPr>
            <w:tcW w:w="2830" w:type="dxa"/>
            <w:hideMark/>
          </w:tcPr>
          <w:p w:rsidR="00BA16A4" w:rsidRPr="009315F7" w:rsidRDefault="00BA16A4">
            <w:pPr>
              <w:spacing w:before="12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000000" w:themeColor="text1"/>
                <w:sz w:val="20"/>
                <w:szCs w:val="20"/>
              </w:rPr>
            </w:pPr>
            <w:r w:rsidRPr="009315F7">
              <w:rPr>
                <w:rFonts w:eastAsia="Calibri" w:cs="Arial"/>
                <w:color w:val="000000" w:themeColor="text1"/>
                <w:sz w:val="20"/>
                <w:szCs w:val="20"/>
              </w:rPr>
              <w:t>P</w:t>
            </w:r>
            <w:r w:rsidR="00910A33" w:rsidRPr="002B711E">
              <w:rPr>
                <w:rFonts w:eastAsia="Calibri" w:cs="Arial"/>
                <w:color w:val="000000" w:themeColor="text1"/>
                <w:sz w:val="20"/>
                <w:szCs w:val="20"/>
              </w:rPr>
              <w:t>ost</w:t>
            </w:r>
            <w:r w:rsidR="005C20AC" w:rsidRPr="002B711E">
              <w:rPr>
                <w:rFonts w:eastAsia="Calibri" w:cs="Arial"/>
                <w:color w:val="000000" w:themeColor="text1"/>
                <w:sz w:val="20"/>
                <w:szCs w:val="20"/>
              </w:rPr>
              <w:t>-</w:t>
            </w:r>
            <w:r w:rsidR="00910A33" w:rsidRPr="002B711E">
              <w:rPr>
                <w:rFonts w:eastAsia="Calibri" w:cs="Arial"/>
                <w:color w:val="000000" w:themeColor="text1"/>
                <w:sz w:val="20"/>
                <w:szCs w:val="20"/>
              </w:rPr>
              <w:t>c</w:t>
            </w:r>
            <w:r w:rsidRPr="009315F7">
              <w:rPr>
                <w:rFonts w:eastAsia="Calibri" w:cs="Arial"/>
                <w:color w:val="000000" w:themeColor="text1"/>
                <w:sz w:val="20"/>
                <w:szCs w:val="20"/>
              </w:rPr>
              <w:t>ar</w:t>
            </w:r>
            <w:r w:rsidR="00910A33" w:rsidRPr="002B711E">
              <w:rPr>
                <w:rFonts w:eastAsia="Calibri" w:cs="Arial"/>
                <w:color w:val="000000" w:themeColor="text1"/>
                <w:sz w:val="20"/>
                <w:szCs w:val="20"/>
              </w:rPr>
              <w:t>bon tax r</w:t>
            </w:r>
            <w:r w:rsidRPr="009315F7">
              <w:rPr>
                <w:rFonts w:eastAsia="Calibri" w:cs="Arial"/>
                <w:color w:val="000000" w:themeColor="text1"/>
                <w:sz w:val="20"/>
                <w:szCs w:val="20"/>
              </w:rPr>
              <w:t>epeal</w:t>
            </w:r>
            <w:r w:rsidR="00DB11DD" w:rsidRPr="009315F7">
              <w:rPr>
                <w:rStyle w:val="FootnoteReference"/>
                <w:rFonts w:eastAsia="Calibri" w:cs="Arial"/>
                <w:color w:val="000000" w:themeColor="text1"/>
                <w:sz w:val="20"/>
                <w:szCs w:val="20"/>
              </w:rPr>
              <w:footnoteReference w:id="22"/>
            </w:r>
          </w:p>
        </w:tc>
      </w:tr>
      <w:tr w:rsidR="0027258E" w:rsidRPr="0005736D"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7" w:type="dxa"/>
            <w:hideMark/>
          </w:tcPr>
          <w:p w:rsidR="00BA16A4" w:rsidRPr="009315F7" w:rsidRDefault="008E7BF8">
            <w:pPr>
              <w:spacing w:before="120"/>
              <w:jc w:val="center"/>
              <w:rPr>
                <w:rFonts w:eastAsia="Calibri" w:cs="Arial"/>
                <w:b w:val="0"/>
                <w:bCs w:val="0"/>
                <w:color w:val="000000" w:themeColor="text1"/>
                <w:sz w:val="20"/>
                <w:szCs w:val="20"/>
              </w:rPr>
            </w:pPr>
            <w:r w:rsidRPr="009315F7">
              <w:rPr>
                <w:rFonts w:eastAsia="Calibri" w:cs="Arial"/>
                <w:color w:val="000000" w:themeColor="text1"/>
                <w:sz w:val="20"/>
                <w:szCs w:val="20"/>
              </w:rPr>
              <w:t>R-134a</w:t>
            </w:r>
          </w:p>
        </w:tc>
        <w:tc>
          <w:tcPr>
            <w:tcW w:w="1964"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$20/kg</w:t>
            </w:r>
          </w:p>
        </w:tc>
        <w:tc>
          <w:tcPr>
            <w:tcW w:w="210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lang w:eastAsia="en-AU"/>
              </w:rPr>
              <w:t>$40/kg to $59/kg</w:t>
            </w:r>
          </w:p>
        </w:tc>
        <w:tc>
          <w:tcPr>
            <w:tcW w:w="2830"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$9/kg to $18/kg</w:t>
            </w:r>
          </w:p>
        </w:tc>
      </w:tr>
      <w:tr w:rsidR="0027258E" w:rsidRPr="0005736D" w:rsidTr="009315F7">
        <w:trPr>
          <w:trHeight w:val="397"/>
        </w:trPr>
        <w:tc>
          <w:tcPr>
            <w:cnfStyle w:val="001000000000" w:firstRow="0" w:lastRow="0" w:firstColumn="1" w:lastColumn="0" w:oddVBand="0" w:evenVBand="0" w:oddHBand="0" w:evenHBand="0" w:firstRowFirstColumn="0" w:firstRowLastColumn="0" w:lastRowFirstColumn="0" w:lastRowLastColumn="0"/>
            <w:tcW w:w="1507" w:type="dxa"/>
            <w:hideMark/>
          </w:tcPr>
          <w:p w:rsidR="00BA16A4" w:rsidRPr="009315F7" w:rsidRDefault="008E7BF8">
            <w:pPr>
              <w:spacing w:before="120"/>
              <w:jc w:val="center"/>
              <w:rPr>
                <w:rFonts w:eastAsia="Calibri" w:cs="Arial"/>
                <w:b w:val="0"/>
                <w:bCs w:val="0"/>
                <w:color w:val="000000" w:themeColor="text1"/>
                <w:sz w:val="20"/>
                <w:szCs w:val="20"/>
                <w:lang w:eastAsia="en-AU"/>
              </w:rPr>
            </w:pPr>
            <w:r w:rsidRPr="009315F7">
              <w:rPr>
                <w:rFonts w:eastAsia="Calibri" w:cs="Arial"/>
                <w:color w:val="000000" w:themeColor="text1"/>
                <w:sz w:val="20"/>
                <w:szCs w:val="20"/>
                <w:lang w:eastAsia="en-AU"/>
              </w:rPr>
              <w:t>R-410A</w:t>
            </w:r>
          </w:p>
        </w:tc>
        <w:tc>
          <w:tcPr>
            <w:tcW w:w="1964"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$30/kg</w:t>
            </w:r>
          </w:p>
        </w:tc>
        <w:tc>
          <w:tcPr>
            <w:tcW w:w="2108"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lang w:eastAsia="en-AU"/>
              </w:rPr>
              <w:t>$38/kg to $80/kg</w:t>
            </w:r>
          </w:p>
        </w:tc>
        <w:tc>
          <w:tcPr>
            <w:tcW w:w="2830"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$10/kg to $34/kg</w:t>
            </w:r>
          </w:p>
        </w:tc>
      </w:tr>
      <w:tr w:rsidR="0027258E" w:rsidRPr="0005736D"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7" w:type="dxa"/>
            <w:hideMark/>
          </w:tcPr>
          <w:p w:rsidR="00BA16A4" w:rsidRPr="009315F7" w:rsidRDefault="008E7BF8">
            <w:pPr>
              <w:spacing w:before="120"/>
              <w:jc w:val="center"/>
              <w:rPr>
                <w:rFonts w:eastAsia="Calibri" w:cs="Arial"/>
                <w:b w:val="0"/>
                <w:bCs w:val="0"/>
                <w:color w:val="000000" w:themeColor="text1"/>
                <w:sz w:val="20"/>
                <w:szCs w:val="20"/>
                <w:lang w:eastAsia="en-AU"/>
              </w:rPr>
            </w:pPr>
            <w:r w:rsidRPr="009315F7">
              <w:rPr>
                <w:rFonts w:eastAsia="Calibri" w:cs="Arial"/>
                <w:color w:val="000000" w:themeColor="text1"/>
                <w:sz w:val="20"/>
                <w:szCs w:val="20"/>
                <w:lang w:eastAsia="en-AU"/>
              </w:rPr>
              <w:t>R-404A</w:t>
            </w:r>
          </w:p>
        </w:tc>
        <w:tc>
          <w:tcPr>
            <w:tcW w:w="1964"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$23/kg</w:t>
            </w:r>
          </w:p>
        </w:tc>
        <w:tc>
          <w:tcPr>
            <w:tcW w:w="210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lang w:eastAsia="en-AU"/>
              </w:rPr>
              <w:t>$75/kg to $109/kg</w:t>
            </w:r>
          </w:p>
        </w:tc>
        <w:tc>
          <w:tcPr>
            <w:tcW w:w="2830"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$8/kg to $31/kg</w:t>
            </w:r>
          </w:p>
        </w:tc>
      </w:tr>
    </w:tbl>
    <w:p w:rsidR="00BA16A4" w:rsidRDefault="00BA16A4" w:rsidP="00BA16A4">
      <w:pPr>
        <w:keepNext/>
        <w:keepLines/>
        <w:tabs>
          <w:tab w:val="left" w:pos="0"/>
        </w:tabs>
        <w:spacing w:before="0"/>
        <w:rPr>
          <w:rStyle w:val="TabletitleChar"/>
          <w:b w:val="0"/>
          <w:highlight w:val="yellow"/>
        </w:rPr>
      </w:pPr>
    </w:p>
    <w:p w:rsidR="00BA16A4" w:rsidRPr="00BA16A4" w:rsidRDefault="00955219" w:rsidP="00BA16A4">
      <w:pPr>
        <w:keepNext/>
        <w:keepLines/>
        <w:tabs>
          <w:tab w:val="left" w:pos="0"/>
        </w:tabs>
        <w:spacing w:before="0"/>
        <w:rPr>
          <w:rFonts w:eastAsia="SimSun" w:cs="Arial"/>
        </w:rPr>
      </w:pPr>
      <w:r>
        <w:rPr>
          <w:rStyle w:val="TabletitleChar"/>
          <w:b w:val="0"/>
        </w:rPr>
        <w:t>Table 7</w:t>
      </w:r>
      <w:r w:rsidR="00BA16A4" w:rsidRPr="00395132">
        <w:rPr>
          <w:rStyle w:val="TabletitleChar"/>
          <w:b w:val="0"/>
        </w:rPr>
        <w:t xml:space="preserve"> below contains average price ranges provided by several SGG wholesalers. </w:t>
      </w:r>
      <w:r w:rsidR="00BA16A4">
        <w:rPr>
          <w:rFonts w:eastAsia="SimSun" w:cs="Arial"/>
        </w:rPr>
        <w:t xml:space="preserve">Average </w:t>
      </w:r>
      <w:r w:rsidR="00BA16A4" w:rsidRPr="00975C28">
        <w:rPr>
          <w:rFonts w:eastAsia="SimSun" w:cs="Arial"/>
        </w:rPr>
        <w:t xml:space="preserve">SGG wholesaler prices were </w:t>
      </w:r>
      <w:r w:rsidR="00BA16A4" w:rsidRPr="00395132">
        <w:rPr>
          <w:rFonts w:eastAsia="SimSun" w:cs="Arial"/>
        </w:rPr>
        <w:t xml:space="preserve">dependent on a number of factors including </w:t>
      </w:r>
      <w:r w:rsidR="00A40129" w:rsidRPr="003751CA">
        <w:rPr>
          <w:rFonts w:eastAsia="SimSun" w:cs="Arial"/>
        </w:rPr>
        <w:t xml:space="preserve">SGG type, </w:t>
      </w:r>
      <w:r w:rsidR="00BA16A4" w:rsidRPr="00395132">
        <w:rPr>
          <w:rFonts w:eastAsia="SimSun" w:cs="Arial"/>
        </w:rPr>
        <w:t>volume sold and contractual arrangements, for example those regarding the use and service of gas cylinders.</w:t>
      </w:r>
      <w:r w:rsidR="00C172B7" w:rsidRPr="003751CA">
        <w:rPr>
          <w:rFonts w:eastAsia="SimSun" w:cs="Arial"/>
        </w:rPr>
        <w:t xml:space="preserve"> Prices are also dependent on import prices and relevant supply</w:t>
      </w:r>
      <w:r w:rsidR="00C172B7">
        <w:rPr>
          <w:rFonts w:eastAsia="SimSun" w:cs="Arial"/>
        </w:rPr>
        <w:t xml:space="preserve"> arrangements.</w:t>
      </w:r>
    </w:p>
    <w:p w:rsidR="00BA16A4" w:rsidRPr="009315F7" w:rsidRDefault="009315F7" w:rsidP="009315F7">
      <w:pPr>
        <w:keepNext/>
        <w:keepLines/>
        <w:spacing w:before="240" w:after="120"/>
        <w:rPr>
          <w:b/>
          <w:color w:val="000000" w:themeColor="text1"/>
          <w:szCs w:val="20"/>
        </w:rPr>
      </w:pPr>
      <w:r>
        <w:rPr>
          <w:rStyle w:val="TabletitleChar"/>
          <w:color w:val="000000" w:themeColor="text1"/>
        </w:rPr>
        <w:t xml:space="preserve">  </w:t>
      </w:r>
      <w:r w:rsidR="00BA16A4" w:rsidRPr="009315F7">
        <w:rPr>
          <w:rStyle w:val="TabletitleChar"/>
          <w:color w:val="000000" w:themeColor="text1"/>
        </w:rPr>
        <w:t>Table 7: Price ranges for average SGG prices at the wholesale level</w:t>
      </w:r>
    </w:p>
    <w:tbl>
      <w:tblPr>
        <w:tblStyle w:val="LightShading-Accent1"/>
        <w:tblW w:w="0" w:type="auto"/>
        <w:jc w:val="center"/>
        <w:tblLook w:val="04A0" w:firstRow="1" w:lastRow="0" w:firstColumn="1" w:lastColumn="0" w:noHBand="0" w:noVBand="1"/>
      </w:tblPr>
      <w:tblGrid>
        <w:gridCol w:w="1817"/>
        <w:gridCol w:w="2268"/>
        <w:gridCol w:w="2268"/>
        <w:gridCol w:w="2268"/>
        <w:gridCol w:w="108"/>
      </w:tblGrid>
      <w:tr w:rsidR="0005736D" w:rsidRPr="0005736D" w:rsidTr="009A72AF">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BA16A4" w:rsidRPr="009315F7" w:rsidRDefault="00BA16A4">
            <w:pPr>
              <w:spacing w:before="120"/>
              <w:jc w:val="center"/>
              <w:rPr>
                <w:rFonts w:eastAsia="Calibri" w:cs="Arial"/>
                <w:bCs w:val="0"/>
                <w:color w:val="000000" w:themeColor="text1"/>
                <w:sz w:val="20"/>
                <w:szCs w:val="20"/>
                <w:lang w:eastAsia="en-AU"/>
              </w:rPr>
            </w:pPr>
            <w:r w:rsidRPr="009315F7">
              <w:rPr>
                <w:rFonts w:eastAsia="Calibri" w:cs="Arial"/>
                <w:color w:val="000000" w:themeColor="text1"/>
                <w:sz w:val="20"/>
                <w:szCs w:val="20"/>
                <w:lang w:eastAsia="en-AU"/>
              </w:rPr>
              <w:t>SGG</w:t>
            </w:r>
          </w:p>
        </w:tc>
        <w:tc>
          <w:tcPr>
            <w:tcW w:w="2268" w:type="dxa"/>
            <w:vAlign w:val="center"/>
            <w:hideMark/>
          </w:tcPr>
          <w:p w:rsidR="00BA16A4" w:rsidRPr="009315F7" w:rsidRDefault="00910A33" w:rsidP="00F6797A">
            <w:pPr>
              <w:spacing w:before="120"/>
              <w:ind w:left="-372" w:firstLine="372"/>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 w:val="20"/>
                <w:szCs w:val="20"/>
              </w:rPr>
            </w:pPr>
            <w:r w:rsidRPr="009315F7">
              <w:rPr>
                <w:rFonts w:eastAsia="Calibri" w:cs="Arial"/>
                <w:color w:val="000000" w:themeColor="text1"/>
                <w:sz w:val="20"/>
                <w:szCs w:val="20"/>
              </w:rPr>
              <w:t>Pre</w:t>
            </w:r>
            <w:r w:rsidR="005C20AC" w:rsidRPr="009315F7">
              <w:rPr>
                <w:rFonts w:eastAsia="Calibri" w:cs="Arial"/>
                <w:color w:val="000000" w:themeColor="text1"/>
                <w:sz w:val="20"/>
                <w:szCs w:val="20"/>
              </w:rPr>
              <w:t>-</w:t>
            </w:r>
            <w:r w:rsidRPr="009315F7">
              <w:rPr>
                <w:rFonts w:eastAsia="Calibri" w:cs="Arial"/>
                <w:color w:val="000000" w:themeColor="text1"/>
                <w:sz w:val="20"/>
                <w:szCs w:val="20"/>
              </w:rPr>
              <w:t>c</w:t>
            </w:r>
            <w:r w:rsidR="00BA16A4" w:rsidRPr="009315F7">
              <w:rPr>
                <w:rFonts w:eastAsia="Calibri" w:cs="Arial"/>
                <w:color w:val="000000" w:themeColor="text1"/>
                <w:sz w:val="20"/>
                <w:szCs w:val="20"/>
              </w:rPr>
              <w:t xml:space="preserve">arbon </w:t>
            </w:r>
            <w:r w:rsidRPr="009315F7">
              <w:rPr>
                <w:rFonts w:eastAsia="Calibri" w:cs="Arial"/>
                <w:color w:val="000000" w:themeColor="text1"/>
                <w:sz w:val="20"/>
                <w:szCs w:val="20"/>
              </w:rPr>
              <w:t>t</w:t>
            </w:r>
            <w:r w:rsidR="00BA16A4" w:rsidRPr="009315F7">
              <w:rPr>
                <w:rFonts w:eastAsia="Calibri" w:cs="Arial"/>
                <w:color w:val="000000" w:themeColor="text1"/>
                <w:sz w:val="20"/>
                <w:szCs w:val="20"/>
              </w:rPr>
              <w:t xml:space="preserve">ax </w:t>
            </w:r>
          </w:p>
        </w:tc>
        <w:tc>
          <w:tcPr>
            <w:tcW w:w="2268" w:type="dxa"/>
            <w:vAlign w:val="center"/>
            <w:hideMark/>
          </w:tcPr>
          <w:p w:rsidR="00BA16A4" w:rsidRPr="009315F7" w:rsidRDefault="00BA16A4" w:rsidP="000B3867">
            <w:pPr>
              <w:spacing w:before="12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 w:val="20"/>
                <w:szCs w:val="20"/>
              </w:rPr>
            </w:pPr>
            <w:r w:rsidRPr="009315F7">
              <w:rPr>
                <w:rFonts w:eastAsia="Calibri" w:cs="Arial"/>
                <w:color w:val="000000" w:themeColor="text1"/>
                <w:sz w:val="20"/>
                <w:szCs w:val="20"/>
              </w:rPr>
              <w:t xml:space="preserve">Carbon </w:t>
            </w:r>
            <w:r w:rsidR="00910A33" w:rsidRPr="009315F7">
              <w:rPr>
                <w:rFonts w:eastAsia="Calibri" w:cs="Arial"/>
                <w:color w:val="000000" w:themeColor="text1"/>
                <w:sz w:val="20"/>
                <w:szCs w:val="20"/>
              </w:rPr>
              <w:t>tax p</w:t>
            </w:r>
            <w:r w:rsidRPr="009315F7">
              <w:rPr>
                <w:rFonts w:eastAsia="Calibri" w:cs="Arial"/>
                <w:color w:val="000000" w:themeColor="text1"/>
                <w:sz w:val="20"/>
                <w:szCs w:val="20"/>
              </w:rPr>
              <w:t>eriod</w:t>
            </w:r>
          </w:p>
        </w:tc>
        <w:tc>
          <w:tcPr>
            <w:tcW w:w="2268" w:type="dxa"/>
            <w:gridSpan w:val="2"/>
            <w:vAlign w:val="center"/>
            <w:hideMark/>
          </w:tcPr>
          <w:p w:rsidR="00BA16A4" w:rsidRPr="009315F7" w:rsidRDefault="00BA16A4">
            <w:pPr>
              <w:spacing w:before="12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 w:val="20"/>
                <w:szCs w:val="20"/>
              </w:rPr>
            </w:pPr>
            <w:r w:rsidRPr="009315F7">
              <w:rPr>
                <w:rFonts w:eastAsia="Calibri" w:cs="Arial"/>
                <w:color w:val="000000" w:themeColor="text1"/>
                <w:sz w:val="20"/>
                <w:szCs w:val="20"/>
              </w:rPr>
              <w:t>Post</w:t>
            </w:r>
            <w:r w:rsidR="005C20AC" w:rsidRPr="009315F7">
              <w:rPr>
                <w:rFonts w:eastAsia="Calibri" w:cs="Arial"/>
                <w:color w:val="000000" w:themeColor="text1"/>
                <w:sz w:val="20"/>
                <w:szCs w:val="20"/>
              </w:rPr>
              <w:t>-</w:t>
            </w:r>
            <w:r w:rsidR="00910A33" w:rsidRPr="009315F7">
              <w:rPr>
                <w:rFonts w:eastAsia="Calibri" w:cs="Arial"/>
                <w:color w:val="000000" w:themeColor="text1"/>
                <w:sz w:val="20"/>
                <w:szCs w:val="20"/>
              </w:rPr>
              <w:t>carbon t</w:t>
            </w:r>
            <w:r w:rsidRPr="009315F7">
              <w:rPr>
                <w:rFonts w:eastAsia="Calibri" w:cs="Arial"/>
                <w:color w:val="000000" w:themeColor="text1"/>
                <w:sz w:val="20"/>
                <w:szCs w:val="20"/>
              </w:rPr>
              <w:t xml:space="preserve">ax </w:t>
            </w:r>
            <w:r w:rsidR="00910A33" w:rsidRPr="009315F7">
              <w:rPr>
                <w:rFonts w:eastAsia="Calibri" w:cs="Arial"/>
                <w:color w:val="000000" w:themeColor="text1"/>
                <w:sz w:val="20"/>
                <w:szCs w:val="20"/>
              </w:rPr>
              <w:t>r</w:t>
            </w:r>
            <w:r w:rsidRPr="009315F7">
              <w:rPr>
                <w:rFonts w:eastAsia="Calibri" w:cs="Arial"/>
                <w:color w:val="000000" w:themeColor="text1"/>
                <w:sz w:val="20"/>
                <w:szCs w:val="20"/>
              </w:rPr>
              <w:t xml:space="preserve">epeal </w:t>
            </w:r>
          </w:p>
        </w:tc>
      </w:tr>
      <w:tr w:rsidR="0005736D" w:rsidRPr="0005736D" w:rsidTr="007F719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hideMark/>
          </w:tcPr>
          <w:p w:rsidR="00BA16A4" w:rsidRPr="009315F7" w:rsidRDefault="00BA16A4">
            <w:pPr>
              <w:spacing w:before="120"/>
              <w:jc w:val="center"/>
              <w:rPr>
                <w:rFonts w:eastAsia="Calibri" w:cs="Arial"/>
                <w:b w:val="0"/>
                <w:bCs w:val="0"/>
                <w:color w:val="000000" w:themeColor="text1"/>
                <w:sz w:val="20"/>
                <w:szCs w:val="20"/>
              </w:rPr>
            </w:pPr>
            <w:r w:rsidRPr="009315F7">
              <w:rPr>
                <w:rFonts w:eastAsia="Calibri" w:cs="Arial"/>
                <w:color w:val="000000" w:themeColor="text1"/>
                <w:sz w:val="20"/>
                <w:szCs w:val="20"/>
              </w:rPr>
              <w:t>R-134a</w:t>
            </w:r>
          </w:p>
        </w:tc>
        <w:tc>
          <w:tcPr>
            <w:tcW w:w="226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$13/kg to $20/kg</w:t>
            </w:r>
          </w:p>
        </w:tc>
        <w:tc>
          <w:tcPr>
            <w:tcW w:w="226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$47/kg to $94/kg</w:t>
            </w:r>
          </w:p>
        </w:tc>
        <w:tc>
          <w:tcPr>
            <w:tcW w:w="2268" w:type="dxa"/>
            <w:gridSpan w:val="2"/>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$14/kg to $30/kg</w:t>
            </w:r>
          </w:p>
        </w:tc>
      </w:tr>
      <w:tr w:rsidR="0005736D" w:rsidRPr="002B711E" w:rsidTr="007F7190">
        <w:trPr>
          <w:gridAfter w:val="1"/>
          <w:wAfter w:w="108" w:type="dxa"/>
          <w:trHeight w:val="397"/>
          <w:jc w:val="center"/>
        </w:trPr>
        <w:tc>
          <w:tcPr>
            <w:cnfStyle w:val="001000000000" w:firstRow="0" w:lastRow="0" w:firstColumn="1" w:lastColumn="0" w:oddVBand="0" w:evenVBand="0" w:oddHBand="0" w:evenHBand="0" w:firstRowFirstColumn="0" w:firstRowLastColumn="0" w:lastRowFirstColumn="0" w:lastRowLastColumn="0"/>
            <w:tcW w:w="1817" w:type="dxa"/>
            <w:hideMark/>
          </w:tcPr>
          <w:p w:rsidR="00BA16A4" w:rsidRPr="009315F7" w:rsidRDefault="00BA16A4">
            <w:pPr>
              <w:spacing w:before="120"/>
              <w:jc w:val="center"/>
              <w:rPr>
                <w:rFonts w:eastAsia="Calibri" w:cs="Arial"/>
                <w:b w:val="0"/>
                <w:bCs w:val="0"/>
                <w:color w:val="000000" w:themeColor="text1"/>
                <w:sz w:val="20"/>
                <w:szCs w:val="20"/>
                <w:lang w:eastAsia="en-AU"/>
              </w:rPr>
            </w:pPr>
            <w:r w:rsidRPr="009315F7">
              <w:rPr>
                <w:rFonts w:eastAsia="Calibri" w:cs="Arial"/>
                <w:color w:val="000000" w:themeColor="text1"/>
                <w:sz w:val="20"/>
                <w:szCs w:val="20"/>
                <w:lang w:eastAsia="en-AU"/>
              </w:rPr>
              <w:t>R-410A</w:t>
            </w:r>
          </w:p>
        </w:tc>
        <w:tc>
          <w:tcPr>
            <w:tcW w:w="2268"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$23/kg to $39/kg</w:t>
            </w:r>
          </w:p>
        </w:tc>
        <w:tc>
          <w:tcPr>
            <w:tcW w:w="2268"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$68/kg to $167/kg</w:t>
            </w:r>
          </w:p>
        </w:tc>
        <w:tc>
          <w:tcPr>
            <w:tcW w:w="2268" w:type="dxa"/>
            <w:hideMark/>
          </w:tcPr>
          <w:p w:rsidR="00BA16A4" w:rsidRPr="009315F7" w:rsidRDefault="00BA16A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$22/kg to $32/kg</w:t>
            </w:r>
          </w:p>
        </w:tc>
      </w:tr>
      <w:tr w:rsidR="0005736D" w:rsidRPr="0005736D" w:rsidTr="007F719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17" w:type="dxa"/>
            <w:hideMark/>
          </w:tcPr>
          <w:p w:rsidR="00BA16A4" w:rsidRPr="009315F7" w:rsidRDefault="00BA16A4">
            <w:pPr>
              <w:spacing w:before="120"/>
              <w:jc w:val="center"/>
              <w:rPr>
                <w:rFonts w:eastAsia="Calibri" w:cs="Arial"/>
                <w:b w:val="0"/>
                <w:bCs w:val="0"/>
                <w:color w:val="000000" w:themeColor="text1"/>
                <w:sz w:val="20"/>
                <w:szCs w:val="20"/>
                <w:lang w:eastAsia="en-AU"/>
              </w:rPr>
            </w:pPr>
            <w:r w:rsidRPr="009315F7">
              <w:rPr>
                <w:rFonts w:eastAsia="Calibri" w:cs="Arial"/>
                <w:color w:val="000000" w:themeColor="text1"/>
                <w:sz w:val="20"/>
                <w:szCs w:val="20"/>
                <w:lang w:eastAsia="en-AU"/>
              </w:rPr>
              <w:t>R-404A</w:t>
            </w:r>
          </w:p>
        </w:tc>
        <w:tc>
          <w:tcPr>
            <w:tcW w:w="226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$17/kg to $45kg</w:t>
            </w:r>
          </w:p>
        </w:tc>
        <w:tc>
          <w:tcPr>
            <w:tcW w:w="2268" w:type="dxa"/>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$100/kg to $182/kg</w:t>
            </w:r>
          </w:p>
        </w:tc>
        <w:tc>
          <w:tcPr>
            <w:tcW w:w="2268" w:type="dxa"/>
            <w:gridSpan w:val="2"/>
            <w:hideMark/>
          </w:tcPr>
          <w:p w:rsidR="00BA16A4" w:rsidRPr="009315F7" w:rsidRDefault="00BA16A4">
            <w:pPr>
              <w:spacing w:before="120"/>
              <w:jc w:val="center"/>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9315F7">
              <w:rPr>
                <w:rFonts w:eastAsia="Calibri" w:cs="Arial"/>
                <w:color w:val="000000" w:themeColor="text1"/>
                <w:sz w:val="20"/>
                <w:szCs w:val="20"/>
              </w:rPr>
              <w:t>$17/kg to $33/kg</w:t>
            </w:r>
          </w:p>
        </w:tc>
      </w:tr>
    </w:tbl>
    <w:p w:rsidR="003751CA" w:rsidRPr="006D27E8" w:rsidRDefault="003751CA" w:rsidP="009315F7"/>
    <w:p w:rsidR="003751CA" w:rsidRDefault="003751CA">
      <w:pPr>
        <w:rPr>
          <w:rFonts w:eastAsiaTheme="majorEastAsia" w:cstheme="majorBidi"/>
          <w:b/>
          <w:bCs/>
          <w:color w:val="000000" w:themeColor="text1" w:themeShade="BF"/>
          <w:sz w:val="24"/>
        </w:rPr>
      </w:pPr>
      <w:r>
        <w:br w:type="page"/>
      </w:r>
    </w:p>
    <w:p w:rsidR="00074380" w:rsidRDefault="00074380" w:rsidP="00074380">
      <w:pPr>
        <w:pStyle w:val="Heading3"/>
      </w:pPr>
      <w:bookmarkStart w:id="41" w:name="_Toc425348712"/>
      <w:r w:rsidRPr="00BA16A4">
        <w:lastRenderedPageBreak/>
        <w:t>Background</w:t>
      </w:r>
      <w:bookmarkEnd w:id="41"/>
    </w:p>
    <w:p w:rsidR="00074380" w:rsidRDefault="00074380" w:rsidP="00074380">
      <w:r>
        <w:t xml:space="preserve">Certain SGGs attracted the levy, applied through the </w:t>
      </w:r>
      <w:r>
        <w:rPr>
          <w:i/>
        </w:rPr>
        <w:t>Ozone Protection and Synthetic Greenhouse Gas Management Act 1989</w:t>
      </w:r>
      <w:r>
        <w:t>.</w:t>
      </w:r>
      <w:r w:rsidRPr="006A6D00">
        <w:rPr>
          <w:rStyle w:val="FootnoteReference"/>
        </w:rPr>
        <w:footnoteReference w:id="23"/>
      </w:r>
      <w:r w:rsidRPr="006A6D00">
        <w:t xml:space="preserve"> </w:t>
      </w:r>
      <w:r>
        <w:t>The ACCC notes that the levy did not apply to some commonly used refrigerant</w:t>
      </w:r>
      <w:r w:rsidR="00E16EBA">
        <w:t xml:space="preserve"> gases</w:t>
      </w:r>
      <w:r>
        <w:t xml:space="preserve"> such as R22. Th</w:t>
      </w:r>
      <w:r w:rsidRPr="008E5B38">
        <w:t>r</w:t>
      </w:r>
      <w:r>
        <w:t xml:space="preserve">oughout the monitoring period, the ACCC sought relevant information from bulk </w:t>
      </w:r>
      <w:r w:rsidR="005A0BA2">
        <w:t xml:space="preserve">SGG </w:t>
      </w:r>
      <w:r>
        <w:t>importer</w:t>
      </w:r>
      <w:r w:rsidR="005A0BA2">
        <w:t>s</w:t>
      </w:r>
      <w:r>
        <w:t>/wholesalers, non-importer SGG wholesalers and SGG equipment suppliers. The information requests and the ACCC’s monitoring activities in the SGG sector focused on the most commonly imported refrigerant gases</w:t>
      </w:r>
      <w:r w:rsidR="00E16EBA">
        <w:t>, to which the levy applied,</w:t>
      </w:r>
      <w:r>
        <w:t xml:space="preserve"> which are </w:t>
      </w:r>
      <w:r w:rsidR="008E7BF8">
        <w:t>R-134a</w:t>
      </w:r>
      <w:r>
        <w:t xml:space="preserve">, </w:t>
      </w:r>
      <w:r w:rsidR="008E7BF8">
        <w:t>R-410A</w:t>
      </w:r>
      <w:r>
        <w:t xml:space="preserve"> and</w:t>
      </w:r>
      <w:r w:rsidR="004C209F">
        <w:t xml:space="preserve"> </w:t>
      </w:r>
      <w:r w:rsidR="008E7BF8">
        <w:t>R-404A</w:t>
      </w:r>
      <w:r>
        <w:t xml:space="preserve">. </w:t>
      </w:r>
    </w:p>
    <w:p w:rsidR="00074380" w:rsidRDefault="00074380" w:rsidP="00074380">
      <w:pPr>
        <w:pStyle w:val="Heading4"/>
      </w:pPr>
      <w:bookmarkStart w:id="42" w:name="_Toc425348713"/>
      <w:r>
        <w:t>Bulk importers/wholesalers</w:t>
      </w:r>
      <w:bookmarkEnd w:id="42"/>
    </w:p>
    <w:p w:rsidR="00074380" w:rsidRPr="0047372B" w:rsidRDefault="005A0BA2" w:rsidP="00074380">
      <w:pPr>
        <w:rPr>
          <w:rFonts w:eastAsia="Calibri" w:cs="Times New Roman"/>
          <w:color w:val="0000FF"/>
          <w:u w:val="single"/>
        </w:rPr>
      </w:pPr>
      <w:r>
        <w:t>T</w:t>
      </w:r>
      <w:r w:rsidR="00074380">
        <w:t xml:space="preserve">he ACCC found that several SGG importers stockpiled large quantities of </w:t>
      </w:r>
      <w:r w:rsidR="008E7BF8">
        <w:t>R-134a</w:t>
      </w:r>
      <w:r w:rsidR="00074380">
        <w:t xml:space="preserve">, R410-A and </w:t>
      </w:r>
      <w:r w:rsidR="008E7BF8">
        <w:t>R-404A</w:t>
      </w:r>
      <w:r w:rsidR="009A0DB7">
        <w:t xml:space="preserve"> before the introduction of the levy</w:t>
      </w:r>
      <w:r w:rsidR="00074380">
        <w:t xml:space="preserve">. </w:t>
      </w:r>
      <w:r w:rsidR="00DB5385">
        <w:t>T</w:t>
      </w:r>
      <w:r w:rsidR="00074380">
        <w:t xml:space="preserve">here was a significant decrease in imports after the </w:t>
      </w:r>
      <w:r w:rsidR="009A0DB7">
        <w:t xml:space="preserve">levy </w:t>
      </w:r>
      <w:r w:rsidR="00074380">
        <w:t xml:space="preserve">introduction and a small rise in imports following </w:t>
      </w:r>
      <w:r w:rsidR="009A0DB7">
        <w:t>the carbon tax</w:t>
      </w:r>
      <w:r w:rsidR="00074380">
        <w:t xml:space="preserve"> repeal</w:t>
      </w:r>
      <w:r w:rsidR="00074380" w:rsidRPr="00F4689B">
        <w:rPr>
          <w:rFonts w:eastAsia="Calibri" w:cs="Times New Roman"/>
        </w:rPr>
        <w:t xml:space="preserve">. </w:t>
      </w:r>
      <w:r w:rsidR="00074380" w:rsidRPr="00F4689B">
        <w:rPr>
          <w:rStyle w:val="Hyperlink"/>
          <w:rFonts w:eastAsia="Calibri" w:cs="Times New Roman"/>
        </w:rPr>
        <w:t xml:space="preserve">  </w:t>
      </w:r>
    </w:p>
    <w:p w:rsidR="00074380" w:rsidRDefault="00074380" w:rsidP="00074380">
      <w:pPr>
        <w:spacing w:before="0"/>
      </w:pPr>
    </w:p>
    <w:p w:rsidR="009F7A69" w:rsidRDefault="00074380" w:rsidP="00074380">
      <w:pPr>
        <w:spacing w:before="0"/>
      </w:pPr>
      <w:r>
        <w:t xml:space="preserve">The ACCC found that SGG wholesale prices increased significantly around the time of the introduction of the carbon tax. </w:t>
      </w:r>
      <w:r w:rsidR="00417EFB">
        <w:t>I</w:t>
      </w:r>
      <w:r>
        <w:t>mport parity pricing</w:t>
      </w:r>
      <w:r w:rsidR="00417EFB">
        <w:t xml:space="preserve"> appeared to be a significant factor that drove the initial SGG price increase after the levy was introduced</w:t>
      </w:r>
      <w:r>
        <w:t>.</w:t>
      </w:r>
      <w:r w:rsidRPr="00E038E0">
        <w:rPr>
          <w:rStyle w:val="FootnoteReference"/>
          <w:vertAlign w:val="baseline"/>
        </w:rPr>
        <w:t xml:space="preserve"> </w:t>
      </w:r>
      <w:r>
        <w:t>Stockpiling meant that bulk SGG importers were able to avoid paying the levy on nearly all of the SGGs they supplied during the carbon tax period. L</w:t>
      </w:r>
      <w:r w:rsidRPr="004F7A96">
        <w:t>imited competition at</w:t>
      </w:r>
      <w:r>
        <w:t xml:space="preserve"> </w:t>
      </w:r>
      <w:r w:rsidRPr="004F7A96">
        <w:t>the import level enabled importers to sustain prices at levels that reflected the inclusion of a</w:t>
      </w:r>
      <w:r>
        <w:t xml:space="preserve"> </w:t>
      </w:r>
      <w:r w:rsidRPr="004F7A96">
        <w:t>levy component even though there was not a carbon tax cost component on stockpiled</w:t>
      </w:r>
      <w:r>
        <w:t xml:space="preserve"> </w:t>
      </w:r>
      <w:r w:rsidRPr="004F7A96">
        <w:t>SGGs.</w:t>
      </w:r>
      <w:r>
        <w:t xml:space="preserve"> In addition to import parity pricing, bulk SGG importers and non-importer SGG wholesalers indicated that price increases were also due to indirect carbon tax costs, such as increased insurance, finance</w:t>
      </w:r>
      <w:r w:rsidR="00907A7E">
        <w:t xml:space="preserve">, </w:t>
      </w:r>
      <w:r>
        <w:t>administrative and compliance costs</w:t>
      </w:r>
      <w:r w:rsidR="00907A7E">
        <w:t>, and additional infrastructure requirements</w:t>
      </w:r>
      <w:r>
        <w:t xml:space="preserve">. </w:t>
      </w:r>
    </w:p>
    <w:p w:rsidR="00074380" w:rsidRDefault="00074380" w:rsidP="00074380">
      <w:pPr>
        <w:spacing w:before="0"/>
      </w:pPr>
    </w:p>
    <w:p w:rsidR="00074380" w:rsidRDefault="00074380" w:rsidP="00074380">
      <w:pPr>
        <w:spacing w:before="0"/>
      </w:pPr>
      <w:r>
        <w:t xml:space="preserve">Responses the ACCC received from SGG entities in the June 2015 quarter confirmed that, following the repeal, average prices at the bulk </w:t>
      </w:r>
      <w:r w:rsidRPr="00C922AB">
        <w:t xml:space="preserve">import, </w:t>
      </w:r>
      <w:r w:rsidRPr="00EA4F78">
        <w:t>wholesale and equipment supply levels</w:t>
      </w:r>
      <w:r w:rsidRPr="00C922AB">
        <w:t xml:space="preserve"> for most</w:t>
      </w:r>
      <w:r>
        <w:t xml:space="preserve"> common SGGs have reduced to approximately the </w:t>
      </w:r>
      <w:r w:rsidRPr="004C209F">
        <w:t>same levels</w:t>
      </w:r>
      <w:r w:rsidR="00CB6F7D" w:rsidRPr="00395132">
        <w:t xml:space="preserve"> as,</w:t>
      </w:r>
      <w:r w:rsidRPr="004C209F">
        <w:t xml:space="preserve"> </w:t>
      </w:r>
      <w:r w:rsidR="005250EA" w:rsidRPr="004C209F">
        <w:t xml:space="preserve">or lower </w:t>
      </w:r>
      <w:r w:rsidR="00CB6F7D" w:rsidRPr="00395132">
        <w:t>than,</w:t>
      </w:r>
      <w:r w:rsidRPr="004C209F">
        <w:t xml:space="preserve"> before the carbon tax commencement. </w:t>
      </w:r>
      <w:r w:rsidR="005439AD" w:rsidRPr="004C209F">
        <w:t>The ACCC notes this may not be due solely to</w:t>
      </w:r>
      <w:r w:rsidR="005439AD" w:rsidRPr="00FB47E3">
        <w:t xml:space="preserve"> the carbon tax repeal</w:t>
      </w:r>
      <w:r w:rsidR="005439AD">
        <w:t xml:space="preserve">. </w:t>
      </w:r>
      <w:r>
        <w:t>In the June 2015 quarter, the ACCC also observed that prices for gases from SGG wholesalers continue</w:t>
      </w:r>
      <w:r w:rsidR="0043528A">
        <w:t>d</w:t>
      </w:r>
      <w:r>
        <w:t xml:space="preserve"> to decrease. </w:t>
      </w:r>
    </w:p>
    <w:p w:rsidR="00074380" w:rsidRDefault="00DF1197" w:rsidP="00074380">
      <w:r w:rsidRPr="005250EA">
        <w:t>Following the repeal, t</w:t>
      </w:r>
      <w:r w:rsidR="00E16EBA" w:rsidRPr="005250EA">
        <w:t xml:space="preserve">he removal of the levy </w:t>
      </w:r>
      <w:r w:rsidR="009E2E99" w:rsidRPr="005250EA">
        <w:t xml:space="preserve">appeared to have the effect of reversing </w:t>
      </w:r>
      <w:r w:rsidR="00E16EBA" w:rsidRPr="005250EA">
        <w:t>the pricing considerations</w:t>
      </w:r>
      <w:r w:rsidR="00074380" w:rsidRPr="005250EA">
        <w:t xml:space="preserve"> at the carbon tax </w:t>
      </w:r>
      <w:r w:rsidR="00E16EBA" w:rsidRPr="005250EA">
        <w:t>introduction</w:t>
      </w:r>
      <w:r w:rsidR="00074380" w:rsidRPr="005250EA">
        <w:t>. The import parity price has fallen substantially as wholesalers ha</w:t>
      </w:r>
      <w:r w:rsidRPr="005250EA">
        <w:t>d</w:t>
      </w:r>
      <w:r w:rsidR="00074380" w:rsidRPr="005250EA">
        <w:t xml:space="preserve"> viable countervailing power to import stock without paying the levy. This was assisted further by the removal, in the interim, of intellectual property protections leading to additional global sources of supply and lower international market pricing.</w:t>
      </w:r>
      <w:r w:rsidR="00074380">
        <w:t xml:space="preserve"> </w:t>
      </w:r>
    </w:p>
    <w:p w:rsidR="00074380" w:rsidRPr="002073C9" w:rsidRDefault="00074380" w:rsidP="00074380">
      <w:pPr>
        <w:pStyle w:val="Heading4"/>
      </w:pPr>
      <w:bookmarkStart w:id="43" w:name="_Toc425348714"/>
      <w:r>
        <w:t>Synthetic greenhouse gas e</w:t>
      </w:r>
      <w:r w:rsidRPr="002073C9">
        <w:t>quipment</w:t>
      </w:r>
      <w:bookmarkEnd w:id="43"/>
      <w:r w:rsidRPr="002073C9">
        <w:t xml:space="preserve">  </w:t>
      </w:r>
    </w:p>
    <w:p w:rsidR="00074380" w:rsidRDefault="009E2E99" w:rsidP="00074380">
      <w:r>
        <w:t>T</w:t>
      </w:r>
      <w:r w:rsidR="00074380">
        <w:t xml:space="preserve">he ACCC has confirmed that the impact of the carbon </w:t>
      </w:r>
      <w:r w:rsidR="006A3702">
        <w:t xml:space="preserve">tax </w:t>
      </w:r>
      <w:r w:rsidR="00074380">
        <w:t xml:space="preserve">on the cost of equipment suppliers’ products was minimal. SGG equipment suppliers’ responses indicated that the cost of carbon tax was so insignificant that it was </w:t>
      </w:r>
      <w:r w:rsidR="0043528A">
        <w:t xml:space="preserve">generally </w:t>
      </w:r>
      <w:r w:rsidR="00074380">
        <w:t xml:space="preserve">not factored into consideration of the overall pricing of SGG equipment suppliers’ products. </w:t>
      </w:r>
    </w:p>
    <w:p w:rsidR="00F81B60" w:rsidRDefault="00074380" w:rsidP="00074380">
      <w:r>
        <w:t>The ACCC has also confirmed that most wholesale prices for SGG equipment were generally set with reference to the market price. As noted in the April 2015 Carbon Report, the wholesale price of SGG equipment is mostly reflective of the particular features and functions of the equipment.</w:t>
      </w:r>
      <w:r w:rsidR="00F81B60">
        <w:t xml:space="preserve"> </w:t>
      </w:r>
    </w:p>
    <w:p w:rsidR="00533303" w:rsidRDefault="00533303" w:rsidP="00533303">
      <w:pPr>
        <w:pStyle w:val="Heading2"/>
        <w:spacing w:before="240"/>
      </w:pPr>
      <w:bookmarkStart w:id="44" w:name="_Toc425348715"/>
      <w:r>
        <w:lastRenderedPageBreak/>
        <w:t>Landfill facility operation</w:t>
      </w:r>
      <w:bookmarkEnd w:id="44"/>
    </w:p>
    <w:p w:rsidR="00533303" w:rsidRDefault="00533303" w:rsidP="00533303">
      <w:pPr>
        <w:rPr>
          <w:bCs/>
        </w:rPr>
      </w:pPr>
      <w:r w:rsidRPr="00A728A5">
        <w:rPr>
          <w:bCs/>
        </w:rPr>
        <w:t>Landfill facility operators are not suppliers of regulated goods so the carbon tax price reduction obligations of the CCA do not apply to them.</w:t>
      </w:r>
      <w:r>
        <w:rPr>
          <w:bCs/>
        </w:rPr>
        <w:t xml:space="preserve"> </w:t>
      </w:r>
      <w:r w:rsidRPr="00224243">
        <w:rPr>
          <w:bCs/>
        </w:rPr>
        <w:t xml:space="preserve">Landfill facilities are generally operated by private companies or local councils. </w:t>
      </w:r>
      <w:r>
        <w:rPr>
          <w:bCs/>
        </w:rPr>
        <w:t xml:space="preserve">Some landfill operators were liable entities because they exceeded the relevant </w:t>
      </w:r>
      <w:r w:rsidRPr="00224243">
        <w:rPr>
          <w:bCs/>
        </w:rPr>
        <w:t>emissions threshold</w:t>
      </w:r>
      <w:r>
        <w:rPr>
          <w:bCs/>
        </w:rPr>
        <w:t>, but many were not liable entities</w:t>
      </w:r>
      <w:r w:rsidRPr="00224243">
        <w:rPr>
          <w:bCs/>
        </w:rPr>
        <w:t>.</w:t>
      </w:r>
    </w:p>
    <w:p w:rsidR="00533303" w:rsidRDefault="00533303" w:rsidP="00533303">
      <w:pPr>
        <w:pStyle w:val="Heading3"/>
      </w:pPr>
      <w:bookmarkStart w:id="45" w:name="_Toc423076706"/>
      <w:bookmarkStart w:id="46" w:name="_Toc425348716"/>
      <w:r w:rsidRPr="009255A6">
        <w:t>Monitoring activities in the June 2015 quarter</w:t>
      </w:r>
      <w:bookmarkEnd w:id="45"/>
      <w:bookmarkEnd w:id="46"/>
    </w:p>
    <w:p w:rsidR="00533303" w:rsidRPr="009255A6" w:rsidRDefault="00533303" w:rsidP="00533303">
      <w:r w:rsidRPr="009255A6">
        <w:t>In the June 2015 quarter, the ACCC engaged with</w:t>
      </w:r>
      <w:r>
        <w:t xml:space="preserve"> many landfill facility operators to ascertain what they had done or intended to do with funds they held that had been</w:t>
      </w:r>
      <w:r w:rsidRPr="006350AE">
        <w:t xml:space="preserve"> collected for future carbon tax liabilities that will no longer eventuate</w:t>
      </w:r>
      <w:r>
        <w:t xml:space="preserve">. </w:t>
      </w:r>
    </w:p>
    <w:p w:rsidR="00533303" w:rsidRPr="009255A6" w:rsidRDefault="00533303" w:rsidP="00533303">
      <w:pPr>
        <w:pStyle w:val="Heading3"/>
      </w:pPr>
      <w:bookmarkStart w:id="47" w:name="_Toc423076707"/>
      <w:bookmarkStart w:id="48" w:name="_Toc425348717"/>
      <w:r w:rsidRPr="009255A6">
        <w:t>Key findings</w:t>
      </w:r>
      <w:bookmarkEnd w:id="47"/>
      <w:bookmarkEnd w:id="48"/>
    </w:p>
    <w:p w:rsidR="00533303" w:rsidRDefault="00533303" w:rsidP="00533303">
      <w:pPr>
        <w:pStyle w:val="Heading4"/>
      </w:pPr>
      <w:bookmarkStart w:id="49" w:name="_Toc425348718"/>
      <w:r>
        <w:t>Removal of carbon tax cost components from landfill facility gate fees</w:t>
      </w:r>
      <w:bookmarkEnd w:id="49"/>
    </w:p>
    <w:p w:rsidR="00533303" w:rsidRPr="00B1264F" w:rsidRDefault="00533303" w:rsidP="00533303">
      <w:r w:rsidRPr="00B1264F">
        <w:t xml:space="preserve">Of the landfill facility operators that </w:t>
      </w:r>
      <w:r>
        <w:t>we</w:t>
      </w:r>
      <w:r w:rsidRPr="00B1264F">
        <w:t xml:space="preserve">re liable entities: </w:t>
      </w:r>
    </w:p>
    <w:p w:rsidR="00533303" w:rsidRPr="00B1264F" w:rsidRDefault="00533303" w:rsidP="00533303">
      <w:pPr>
        <w:pStyle w:val="Bulletpoint"/>
        <w:ind w:left="357" w:hanging="357"/>
      </w:pPr>
      <w:r>
        <w:t>Some</w:t>
      </w:r>
      <w:r w:rsidRPr="00B1264F">
        <w:t xml:space="preserve"> never passed through any carbon tax costs in their landfill facilities’ gate fees and consequently, took no action in relation to their gate fees after the carbon tax repeal. </w:t>
      </w:r>
    </w:p>
    <w:p w:rsidR="00533303" w:rsidRDefault="00533303" w:rsidP="00533303">
      <w:pPr>
        <w:pStyle w:val="Bulletpoint"/>
        <w:ind w:left="357" w:hanging="357"/>
      </w:pPr>
      <w:r>
        <w:t>Some</w:t>
      </w:r>
      <w:r w:rsidRPr="00B1264F">
        <w:t xml:space="preserve"> </w:t>
      </w:r>
      <w:r>
        <w:t>removed the</w:t>
      </w:r>
      <w:r w:rsidRPr="00B1264F">
        <w:t xml:space="preserve"> carbon tax cost components </w:t>
      </w:r>
      <w:r>
        <w:t>from</w:t>
      </w:r>
      <w:r w:rsidRPr="00B1264F">
        <w:t xml:space="preserve"> their </w:t>
      </w:r>
      <w:r>
        <w:t>2014-</w:t>
      </w:r>
      <w:r w:rsidRPr="00E876D3">
        <w:t xml:space="preserve">15 financial year </w:t>
      </w:r>
      <w:r w:rsidRPr="00B1264F">
        <w:t xml:space="preserve">gate fees </w:t>
      </w:r>
      <w:r>
        <w:t>on</w:t>
      </w:r>
      <w:r w:rsidRPr="00B1264F">
        <w:t xml:space="preserve"> 1 July 2014 in anticipation of the carbon tax being repealed during 2014</w:t>
      </w:r>
      <w:r>
        <w:t>-</w:t>
      </w:r>
      <w:r w:rsidRPr="00B1264F">
        <w:t xml:space="preserve">15. </w:t>
      </w:r>
    </w:p>
    <w:p w:rsidR="00533303" w:rsidRPr="00B1264F" w:rsidRDefault="00533303" w:rsidP="00533303">
      <w:pPr>
        <w:pStyle w:val="Bulletpoint"/>
        <w:ind w:left="357" w:hanging="357"/>
      </w:pPr>
      <w:r>
        <w:t xml:space="preserve">The majority </w:t>
      </w:r>
      <w:r w:rsidRPr="00B1264F">
        <w:t xml:space="preserve">included a carbon tax cost component in the </w:t>
      </w:r>
      <w:r>
        <w:t>gate fees they set for 2014-</w:t>
      </w:r>
      <w:r w:rsidRPr="00B1264F">
        <w:t>15</w:t>
      </w:r>
      <w:bookmarkStart w:id="50" w:name="_GoBack"/>
      <w:bookmarkEnd w:id="50"/>
      <w:r w:rsidRPr="00B1264F">
        <w:t xml:space="preserve"> and subsequently removed the carbon tax cost components after the carbon tax repeal</w:t>
      </w:r>
      <w:r>
        <w:t>.</w:t>
      </w:r>
    </w:p>
    <w:p w:rsidR="00533303" w:rsidRDefault="00533303" w:rsidP="00533303">
      <w:pPr>
        <w:pStyle w:val="Bulletpoint"/>
        <w:numPr>
          <w:ilvl w:val="0"/>
          <w:numId w:val="0"/>
        </w:numPr>
      </w:pPr>
      <w:r>
        <w:t xml:space="preserve">Of the liable entities in the last category above that engaged with the ACCC, </w:t>
      </w:r>
      <w:r w:rsidRPr="009E4764">
        <w:t>the</w:t>
      </w:r>
      <w:r>
        <w:t>ir</w:t>
      </w:r>
      <w:r w:rsidRPr="009E4764">
        <w:t xml:space="preserve"> reductions in gate fees ranged from $5.00 to $38.50 per tonne, with an average reduction of $17.12 per tonne.</w:t>
      </w:r>
    </w:p>
    <w:p w:rsidR="00533303" w:rsidRPr="00B1264F" w:rsidRDefault="00533303" w:rsidP="00533303">
      <w:pPr>
        <w:pStyle w:val="Heading4"/>
      </w:pPr>
      <w:bookmarkStart w:id="51" w:name="_Toc425348719"/>
      <w:r>
        <w:t xml:space="preserve">Refunds of </w:t>
      </w:r>
      <w:r w:rsidRPr="009E4764">
        <w:t xml:space="preserve">carbon tax components paid </w:t>
      </w:r>
      <w:r>
        <w:t xml:space="preserve">in gate fees </w:t>
      </w:r>
      <w:r w:rsidRPr="009E4764">
        <w:t>during the refund period</w:t>
      </w:r>
      <w:bookmarkEnd w:id="51"/>
    </w:p>
    <w:p w:rsidR="00533303" w:rsidRPr="00D36222" w:rsidRDefault="00533303" w:rsidP="00533303">
      <w:r w:rsidRPr="00D36222">
        <w:t>Of those entities that included a carbon t</w:t>
      </w:r>
      <w:r w:rsidR="00021C05">
        <w:t>ax cost component in their 2014-</w:t>
      </w:r>
      <w:r w:rsidRPr="00D36222">
        <w:t>15 gate fees and subsequently removed the</w:t>
      </w:r>
      <w:r w:rsidR="00FB1990">
        <w:t>se</w:t>
      </w:r>
      <w:r w:rsidRPr="00D36222">
        <w:t xml:space="preserve"> components after repeal, some undertook to refund customers for the components they</w:t>
      </w:r>
      <w:r>
        <w:t xml:space="preserve"> paid during the refund period. </w:t>
      </w:r>
    </w:p>
    <w:p w:rsidR="00533303" w:rsidRPr="00D36222" w:rsidRDefault="00533303" w:rsidP="00533303">
      <w:r w:rsidRPr="00D36222">
        <w:t>Across all entities that chose to provide such refunds, the average refund amount</w:t>
      </w:r>
      <w:r>
        <w:t xml:space="preserve"> for</w:t>
      </w:r>
      <w:r w:rsidRPr="00E876D3">
        <w:t xml:space="preserve"> each customer type</w:t>
      </w:r>
      <w:r w:rsidRPr="00D36222">
        <w:t xml:space="preserve">, and </w:t>
      </w:r>
      <w:r>
        <w:t xml:space="preserve">the </w:t>
      </w:r>
      <w:r w:rsidRPr="00D36222">
        <w:t>total</w:t>
      </w:r>
      <w:r>
        <w:t xml:space="preserve">s of all </w:t>
      </w:r>
      <w:r w:rsidRPr="00D36222">
        <w:t>refund amounts</w:t>
      </w:r>
      <w:r>
        <w:t xml:space="preserve"> for each customer type</w:t>
      </w:r>
      <w:r w:rsidRPr="00D36222">
        <w:t>, is as follows:</w:t>
      </w:r>
    </w:p>
    <w:p w:rsidR="00533303" w:rsidRPr="004B195F" w:rsidRDefault="00533303" w:rsidP="009315F7">
      <w:pPr>
        <w:spacing w:after="120"/>
      </w:pPr>
      <w:r w:rsidRPr="009315F7">
        <w:rPr>
          <w:b/>
        </w:rPr>
        <w:t xml:space="preserve">Table </w:t>
      </w:r>
      <w:r w:rsidR="00EF7BC6" w:rsidRPr="009315F7">
        <w:rPr>
          <w:b/>
        </w:rPr>
        <w:t>8</w:t>
      </w:r>
      <w:r w:rsidRPr="009315F7">
        <w:rPr>
          <w:b/>
        </w:rPr>
        <w:t>: Refunds provided due to retrospective application of the carbon tax repeal legislation for carbon tax components paid during the refund period</w:t>
      </w:r>
    </w:p>
    <w:tbl>
      <w:tblPr>
        <w:tblStyle w:val="LightShading-Accent1"/>
        <w:tblW w:w="0" w:type="auto"/>
        <w:jc w:val="center"/>
        <w:tblLook w:val="04A0" w:firstRow="1" w:lastRow="0" w:firstColumn="1" w:lastColumn="0" w:noHBand="0" w:noVBand="1"/>
      </w:tblPr>
      <w:tblGrid>
        <w:gridCol w:w="3292"/>
        <w:gridCol w:w="3159"/>
        <w:gridCol w:w="2791"/>
      </w:tblGrid>
      <w:tr w:rsidR="00533303" w:rsidRPr="00D36222" w:rsidTr="009315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Heading"/>
              <w:rPr>
                <w:b/>
                <w:color w:val="000000" w:themeColor="text1"/>
                <w:sz w:val="20"/>
                <w:szCs w:val="20"/>
              </w:rPr>
            </w:pPr>
            <w:r w:rsidRPr="009315F7">
              <w:rPr>
                <w:b/>
                <w:color w:val="000000" w:themeColor="text1"/>
                <w:sz w:val="20"/>
                <w:szCs w:val="20"/>
              </w:rPr>
              <w:t>Customer Type</w:t>
            </w:r>
          </w:p>
        </w:tc>
        <w:tc>
          <w:tcPr>
            <w:tcW w:w="3159" w:type="dxa"/>
          </w:tcPr>
          <w:p w:rsidR="00533303" w:rsidRPr="009315F7" w:rsidRDefault="00533303" w:rsidP="009315F7">
            <w:pPr>
              <w:pStyle w:val="TableHeading"/>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Average refund provided</w:t>
            </w:r>
          </w:p>
        </w:tc>
        <w:tc>
          <w:tcPr>
            <w:tcW w:w="2791" w:type="dxa"/>
          </w:tcPr>
          <w:p w:rsidR="00533303" w:rsidRPr="009315F7" w:rsidRDefault="00533303" w:rsidP="009315F7">
            <w:pPr>
              <w:pStyle w:val="TableHeading"/>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Total refunds provided</w:t>
            </w:r>
          </w:p>
        </w:tc>
      </w:tr>
      <w:tr w:rsidR="00533303" w:rsidRPr="00244AE9"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text"/>
              <w:rPr>
                <w:b w:val="0"/>
                <w:color w:val="000000" w:themeColor="text1"/>
              </w:rPr>
            </w:pPr>
            <w:r w:rsidRPr="009315F7">
              <w:rPr>
                <w:color w:val="000000" w:themeColor="text1"/>
              </w:rPr>
              <w:t>Customers on contracts</w:t>
            </w:r>
          </w:p>
        </w:tc>
        <w:tc>
          <w:tcPr>
            <w:tcW w:w="3159" w:type="dxa"/>
          </w:tcPr>
          <w:p w:rsidR="00533303" w:rsidRPr="009315F7" w:rsidRDefault="00533303">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315F7">
              <w:rPr>
                <w:color w:val="000000" w:themeColor="text1"/>
              </w:rPr>
              <w:t>$18,823.73</w:t>
            </w:r>
          </w:p>
        </w:tc>
        <w:tc>
          <w:tcPr>
            <w:tcW w:w="2791" w:type="dxa"/>
          </w:tcPr>
          <w:p w:rsidR="00533303" w:rsidRPr="009315F7" w:rsidRDefault="00533303">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315F7">
              <w:rPr>
                <w:color w:val="000000" w:themeColor="text1"/>
              </w:rPr>
              <w:t>$127,759.99</w:t>
            </w:r>
          </w:p>
        </w:tc>
      </w:tr>
      <w:tr w:rsidR="00244AE9" w:rsidRPr="00244AE9" w:rsidTr="009315F7">
        <w:trPr>
          <w:jc w:val="center"/>
        </w:trPr>
        <w:tc>
          <w:tcPr>
            <w:cnfStyle w:val="001000000000" w:firstRow="0" w:lastRow="0" w:firstColumn="1" w:lastColumn="0" w:oddVBand="0" w:evenVBand="0" w:oddHBand="0" w:evenHBand="0" w:firstRowFirstColumn="0" w:firstRowLastColumn="0" w:lastRowFirstColumn="0" w:lastRowLastColumn="0"/>
            <w:tcW w:w="3292" w:type="dxa"/>
          </w:tcPr>
          <w:p w:rsidR="00244AE9" w:rsidRPr="009315F7" w:rsidRDefault="00244AE9">
            <w:pPr>
              <w:pStyle w:val="Tabletext"/>
              <w:rPr>
                <w:b w:val="0"/>
                <w:color w:val="000000" w:themeColor="text1"/>
              </w:rPr>
            </w:pPr>
            <w:r w:rsidRPr="009315F7">
              <w:rPr>
                <w:color w:val="000000" w:themeColor="text1"/>
              </w:rPr>
              <w:t>Account customers</w:t>
            </w:r>
          </w:p>
        </w:tc>
        <w:tc>
          <w:tcPr>
            <w:tcW w:w="3159" w:type="dxa"/>
          </w:tcPr>
          <w:p w:rsidR="00244AE9" w:rsidRPr="009315F7" w:rsidRDefault="00244AE9">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15F7">
              <w:rPr>
                <w:color w:val="000000" w:themeColor="text1"/>
              </w:rPr>
              <w:t>$864.84</w:t>
            </w:r>
          </w:p>
        </w:tc>
        <w:tc>
          <w:tcPr>
            <w:tcW w:w="2791" w:type="dxa"/>
          </w:tcPr>
          <w:p w:rsidR="00244AE9" w:rsidRPr="009315F7" w:rsidRDefault="00244AE9">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15F7">
              <w:rPr>
                <w:color w:val="000000" w:themeColor="text1"/>
              </w:rPr>
              <w:t>$990,782.95</w:t>
            </w:r>
          </w:p>
        </w:tc>
      </w:tr>
      <w:tr w:rsidR="00533303" w:rsidRPr="00244AE9"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text"/>
              <w:rPr>
                <w:b w:val="0"/>
                <w:color w:val="000000" w:themeColor="text1"/>
              </w:rPr>
            </w:pPr>
            <w:r w:rsidRPr="009315F7">
              <w:rPr>
                <w:color w:val="000000" w:themeColor="text1"/>
              </w:rPr>
              <w:t>Identifiable cash customers</w:t>
            </w:r>
            <w:r w:rsidRPr="009315F7">
              <w:rPr>
                <w:color w:val="000000" w:themeColor="text1"/>
                <w:vertAlign w:val="superscript"/>
              </w:rPr>
              <w:footnoteReference w:id="24"/>
            </w:r>
          </w:p>
        </w:tc>
        <w:tc>
          <w:tcPr>
            <w:tcW w:w="3159" w:type="dxa"/>
          </w:tcPr>
          <w:p w:rsidR="00533303" w:rsidRPr="009315F7" w:rsidRDefault="00533303">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315F7">
              <w:rPr>
                <w:color w:val="000000" w:themeColor="text1"/>
              </w:rPr>
              <w:t>$165.50</w:t>
            </w:r>
          </w:p>
        </w:tc>
        <w:tc>
          <w:tcPr>
            <w:tcW w:w="2791" w:type="dxa"/>
          </w:tcPr>
          <w:p w:rsidR="00533303" w:rsidRPr="009315F7" w:rsidRDefault="00533303">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315F7">
              <w:rPr>
                <w:color w:val="000000" w:themeColor="text1"/>
              </w:rPr>
              <w:t>$5,461.47</w:t>
            </w:r>
          </w:p>
        </w:tc>
      </w:tr>
      <w:tr w:rsidR="00244AE9" w:rsidRPr="00244AE9" w:rsidTr="009315F7">
        <w:trPr>
          <w:jc w:val="center"/>
        </w:trPr>
        <w:tc>
          <w:tcPr>
            <w:cnfStyle w:val="001000000000" w:firstRow="0" w:lastRow="0" w:firstColumn="1" w:lastColumn="0" w:oddVBand="0" w:evenVBand="0" w:oddHBand="0" w:evenHBand="0" w:firstRowFirstColumn="0" w:firstRowLastColumn="0" w:lastRowFirstColumn="0" w:lastRowLastColumn="0"/>
            <w:tcW w:w="3292" w:type="dxa"/>
          </w:tcPr>
          <w:p w:rsidR="00244AE9" w:rsidRPr="009315F7" w:rsidRDefault="00244AE9">
            <w:pPr>
              <w:pStyle w:val="Tabletext"/>
              <w:rPr>
                <w:b w:val="0"/>
                <w:color w:val="000000" w:themeColor="text1"/>
              </w:rPr>
            </w:pPr>
            <w:r w:rsidRPr="009315F7">
              <w:rPr>
                <w:color w:val="000000" w:themeColor="text1"/>
              </w:rPr>
              <w:t>Unidentifiable cash customers</w:t>
            </w:r>
            <w:r w:rsidRPr="009315F7">
              <w:rPr>
                <w:color w:val="000000" w:themeColor="text1"/>
                <w:vertAlign w:val="superscript"/>
              </w:rPr>
              <w:footnoteReference w:id="25"/>
            </w:r>
          </w:p>
        </w:tc>
        <w:tc>
          <w:tcPr>
            <w:tcW w:w="3159" w:type="dxa"/>
          </w:tcPr>
          <w:p w:rsidR="00244AE9" w:rsidRPr="009315F7" w:rsidRDefault="00244AE9">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15F7">
              <w:rPr>
                <w:color w:val="000000" w:themeColor="text1"/>
              </w:rPr>
              <w:t>$134.68</w:t>
            </w:r>
          </w:p>
        </w:tc>
        <w:tc>
          <w:tcPr>
            <w:tcW w:w="2791" w:type="dxa"/>
          </w:tcPr>
          <w:p w:rsidR="00244AE9" w:rsidRPr="009315F7" w:rsidRDefault="00244AE9">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315F7">
              <w:rPr>
                <w:color w:val="000000" w:themeColor="text1"/>
              </w:rPr>
              <w:t>$10,265.07</w:t>
            </w:r>
          </w:p>
        </w:tc>
      </w:tr>
    </w:tbl>
    <w:p w:rsidR="00533303" w:rsidRDefault="00533303" w:rsidP="00533303">
      <w:r w:rsidRPr="00244AE9">
        <w:lastRenderedPageBreak/>
        <w:t xml:space="preserve">Those entities </w:t>
      </w:r>
      <w:r w:rsidR="0043528A">
        <w:t>that</w:t>
      </w:r>
      <w:r w:rsidRPr="00244AE9">
        <w:t xml:space="preserve"> did not refund customers for the carbon tax cost components paid during</w:t>
      </w:r>
      <w:r w:rsidRPr="00D36222">
        <w:t xml:space="preserve"> the refund period instead decided to utilise the money in </w:t>
      </w:r>
      <w:r>
        <w:t xml:space="preserve">a variety of </w:t>
      </w:r>
      <w:r w:rsidRPr="00D36222">
        <w:t>ways such as</w:t>
      </w:r>
      <w:r>
        <w:t>:</w:t>
      </w:r>
    </w:p>
    <w:p w:rsidR="00533303" w:rsidRDefault="00533303" w:rsidP="00533303">
      <w:pPr>
        <w:pStyle w:val="ListParagraph"/>
        <w:numPr>
          <w:ilvl w:val="0"/>
          <w:numId w:val="44"/>
        </w:numPr>
      </w:pPr>
      <w:r w:rsidRPr="00D36222">
        <w:t>funding improvements or redevelopments to their landfill facilit</w:t>
      </w:r>
      <w:r w:rsidR="00234818">
        <w:t>ies</w:t>
      </w:r>
    </w:p>
    <w:p w:rsidR="00533303" w:rsidRDefault="00533303" w:rsidP="00533303">
      <w:pPr>
        <w:pStyle w:val="ListParagraph"/>
        <w:numPr>
          <w:ilvl w:val="0"/>
          <w:numId w:val="44"/>
        </w:numPr>
      </w:pPr>
      <w:r w:rsidRPr="00D36222">
        <w:t xml:space="preserve">funding the installation and operation of emissions abatement measures, or </w:t>
      </w:r>
    </w:p>
    <w:p w:rsidR="00533303" w:rsidRPr="00D36222" w:rsidRDefault="00533303" w:rsidP="00533303">
      <w:pPr>
        <w:pStyle w:val="ListParagraph"/>
        <w:numPr>
          <w:ilvl w:val="0"/>
          <w:numId w:val="44"/>
        </w:numPr>
      </w:pPr>
      <w:proofErr w:type="gramStart"/>
      <w:r>
        <w:t>setting</w:t>
      </w:r>
      <w:proofErr w:type="gramEnd"/>
      <w:r w:rsidRPr="00D36222">
        <w:t xml:space="preserve"> gate fees for 2015</w:t>
      </w:r>
      <w:r>
        <w:t>-</w:t>
      </w:r>
      <w:r w:rsidRPr="00D36222">
        <w:t>16 lower than they otherwise would have been.</w:t>
      </w:r>
    </w:p>
    <w:p w:rsidR="00533303" w:rsidRPr="00CB6F7D" w:rsidRDefault="00533303">
      <w:pPr>
        <w:pStyle w:val="Heading4"/>
      </w:pPr>
      <w:bookmarkStart w:id="52" w:name="_Toc425348720"/>
      <w:r w:rsidRPr="006350AE">
        <w:t>Money collected for future carbon tax liabilities that will no longer eventuate</w:t>
      </w:r>
      <w:bookmarkEnd w:id="52"/>
    </w:p>
    <w:p w:rsidR="00533303" w:rsidRDefault="00533303" w:rsidP="00533303">
      <w:pPr>
        <w:rPr>
          <w:bCs/>
        </w:rPr>
      </w:pPr>
      <w:r>
        <w:rPr>
          <w:bCs/>
        </w:rPr>
        <w:t>Many</w:t>
      </w:r>
      <w:r w:rsidRPr="007324A2">
        <w:rPr>
          <w:bCs/>
        </w:rPr>
        <w:t xml:space="preserve"> liable entities charged</w:t>
      </w:r>
      <w:r>
        <w:rPr>
          <w:bCs/>
        </w:rPr>
        <w:t xml:space="preserve"> carbon tax cost components</w:t>
      </w:r>
      <w:r w:rsidRPr="007324A2">
        <w:rPr>
          <w:bCs/>
        </w:rPr>
        <w:t xml:space="preserve"> to a customer or ratepayer</w:t>
      </w:r>
      <w:r>
        <w:rPr>
          <w:bCs/>
        </w:rPr>
        <w:t xml:space="preserve"> that</w:t>
      </w:r>
      <w:r w:rsidRPr="007324A2">
        <w:rPr>
          <w:bCs/>
        </w:rPr>
        <w:t xml:space="preserve"> </w:t>
      </w:r>
      <w:r>
        <w:rPr>
          <w:bCs/>
        </w:rPr>
        <w:t>factored in</w:t>
      </w:r>
      <w:r w:rsidRPr="007324A2">
        <w:rPr>
          <w:bCs/>
        </w:rPr>
        <w:t xml:space="preserve"> the entity’s liability for the waste deposited by that customer or ratepayer for as long as that waste will continue to produce liable emissions.</w:t>
      </w:r>
      <w:r w:rsidRPr="007324A2">
        <w:rPr>
          <w:bCs/>
          <w:vertAlign w:val="superscript"/>
        </w:rPr>
        <w:footnoteReference w:id="26"/>
      </w:r>
      <w:r w:rsidRPr="007324A2">
        <w:rPr>
          <w:bCs/>
        </w:rPr>
        <w:t xml:space="preserve"> Accordingly</w:t>
      </w:r>
      <w:r>
        <w:rPr>
          <w:bCs/>
        </w:rPr>
        <w:t>,</w:t>
      </w:r>
      <w:r w:rsidRPr="007324A2">
        <w:rPr>
          <w:bCs/>
        </w:rPr>
        <w:t xml:space="preserve"> now that the carbon tax has been repealed, these entities have collected monies for future carbon tax liabilities that will no longer eventuate. </w:t>
      </w:r>
    </w:p>
    <w:p w:rsidR="00533303" w:rsidRDefault="00533303" w:rsidP="00533303">
      <w:pPr>
        <w:rPr>
          <w:bCs/>
        </w:rPr>
      </w:pPr>
      <w:r>
        <w:rPr>
          <w:bCs/>
        </w:rPr>
        <w:t>Seeking to address this issue,</w:t>
      </w:r>
      <w:r w:rsidRPr="004208A4">
        <w:rPr>
          <w:bCs/>
        </w:rPr>
        <w:t xml:space="preserve"> </w:t>
      </w:r>
      <w:r>
        <w:rPr>
          <w:bCs/>
        </w:rPr>
        <w:t>o</w:t>
      </w:r>
      <w:r w:rsidRPr="005555B6">
        <w:rPr>
          <w:bCs/>
        </w:rPr>
        <w:t xml:space="preserve">n 22 December 2014 the Department of the Environment </w:t>
      </w:r>
      <w:r>
        <w:rPr>
          <w:bCs/>
        </w:rPr>
        <w:t xml:space="preserve">(DoE) </w:t>
      </w:r>
      <w:r w:rsidRPr="005555B6">
        <w:rPr>
          <w:bCs/>
        </w:rPr>
        <w:t>released a</w:t>
      </w:r>
      <w:r>
        <w:rPr>
          <w:bCs/>
        </w:rPr>
        <w:t xml:space="preserve"> </w:t>
      </w:r>
      <w:r w:rsidRPr="005555B6">
        <w:rPr>
          <w:bCs/>
        </w:rPr>
        <w:t>consultation paper entitled “Handling of Early Collected Carbon Tax Charges held by</w:t>
      </w:r>
      <w:r>
        <w:rPr>
          <w:bCs/>
        </w:rPr>
        <w:t xml:space="preserve"> </w:t>
      </w:r>
      <w:r w:rsidRPr="005555B6">
        <w:rPr>
          <w:bCs/>
        </w:rPr>
        <w:t>Landfill Oper</w:t>
      </w:r>
      <w:r>
        <w:rPr>
          <w:bCs/>
        </w:rPr>
        <w:t xml:space="preserve">ators” (the consultation paper). The consultation paper sought input from industry stakeholders on the terms of a proposed voluntary framework for the use of money collected for future carbon tax liabilities that will no longer eventuate. A number of landfill operators that were liable entities made submissions on the consultation paper. </w:t>
      </w:r>
      <w:r w:rsidR="0043528A">
        <w:rPr>
          <w:bCs/>
        </w:rPr>
        <w:t xml:space="preserve">The ACCC supports the proposed voluntary framework, as noted in its </w:t>
      </w:r>
      <w:r>
        <w:rPr>
          <w:bCs/>
        </w:rPr>
        <w:t>January and April 2015 Carbon Reports.</w:t>
      </w:r>
    </w:p>
    <w:p w:rsidR="00533303" w:rsidRDefault="00533303" w:rsidP="00533303">
      <w:pPr>
        <w:rPr>
          <w:bCs/>
        </w:rPr>
      </w:pPr>
      <w:r w:rsidRPr="00E26122">
        <w:rPr>
          <w:bCs/>
        </w:rPr>
        <w:t>Entities holding excess carbon tax revenue reported a variety of approaches to this issue</w:t>
      </w:r>
      <w:r>
        <w:rPr>
          <w:bCs/>
        </w:rPr>
        <w:t>, with some taking action to utilise their excess carbon tax revenue irrespective of the outcome of the DoE’s consultation paper.</w:t>
      </w:r>
      <w:r w:rsidRPr="00E26122">
        <w:rPr>
          <w:bCs/>
        </w:rPr>
        <w:t xml:space="preserve"> </w:t>
      </w:r>
    </w:p>
    <w:p w:rsidR="00533303" w:rsidRPr="00244AE9" w:rsidRDefault="00533303" w:rsidP="00533303">
      <w:pPr>
        <w:rPr>
          <w:bCs/>
        </w:rPr>
      </w:pPr>
      <w:r w:rsidRPr="00244AE9">
        <w:rPr>
          <w:bCs/>
        </w:rPr>
        <w:t>Two entities that are local councils have chosen to redistribute all of their excess carbon tax revenue to their ratepayers via credits in their rates notices.</w:t>
      </w:r>
    </w:p>
    <w:p w:rsidR="00533303" w:rsidRPr="007016BB" w:rsidRDefault="00533303" w:rsidP="00533303">
      <w:pPr>
        <w:rPr>
          <w:bCs/>
        </w:rPr>
      </w:pPr>
      <w:r w:rsidRPr="00244AE9">
        <w:rPr>
          <w:bCs/>
        </w:rPr>
        <w:t>At present, six entities have provided refunds from this money to landfill customers. From the information provided, the average and</w:t>
      </w:r>
      <w:r w:rsidRPr="007016BB">
        <w:rPr>
          <w:bCs/>
        </w:rPr>
        <w:t xml:space="preserve"> </w:t>
      </w:r>
      <w:r>
        <w:rPr>
          <w:bCs/>
        </w:rPr>
        <w:t xml:space="preserve">total value of </w:t>
      </w:r>
      <w:r w:rsidRPr="007016BB">
        <w:rPr>
          <w:bCs/>
        </w:rPr>
        <w:t>refunds</w:t>
      </w:r>
      <w:r>
        <w:rPr>
          <w:bCs/>
        </w:rPr>
        <w:t xml:space="preserve"> </w:t>
      </w:r>
      <w:r w:rsidRPr="007016BB">
        <w:rPr>
          <w:bCs/>
        </w:rPr>
        <w:t xml:space="preserve">provided </w:t>
      </w:r>
      <w:r>
        <w:rPr>
          <w:bCs/>
        </w:rPr>
        <w:t xml:space="preserve">thus far </w:t>
      </w:r>
      <w:r w:rsidRPr="007016BB">
        <w:rPr>
          <w:bCs/>
        </w:rPr>
        <w:t>are as follows:</w:t>
      </w:r>
    </w:p>
    <w:p w:rsidR="00533303" w:rsidRPr="009315F7" w:rsidRDefault="00533303" w:rsidP="009315F7">
      <w:pPr>
        <w:spacing w:after="120"/>
        <w:rPr>
          <w:bCs/>
          <w:color w:val="000000" w:themeColor="text1"/>
        </w:rPr>
      </w:pPr>
      <w:r w:rsidRPr="009315F7">
        <w:rPr>
          <w:b/>
          <w:color w:val="000000" w:themeColor="text1"/>
        </w:rPr>
        <w:t xml:space="preserve">Table </w:t>
      </w:r>
      <w:r w:rsidR="00EF7BC6" w:rsidRPr="009315F7">
        <w:rPr>
          <w:b/>
          <w:bCs/>
          <w:color w:val="000000" w:themeColor="text1"/>
        </w:rPr>
        <w:t>9</w:t>
      </w:r>
      <w:r w:rsidRPr="009315F7">
        <w:rPr>
          <w:b/>
          <w:bCs/>
          <w:color w:val="000000" w:themeColor="text1"/>
        </w:rPr>
        <w:t>:</w:t>
      </w:r>
      <w:r w:rsidRPr="009315F7">
        <w:rPr>
          <w:b/>
          <w:color w:val="000000" w:themeColor="text1"/>
        </w:rPr>
        <w:t xml:space="preserve"> Refunds provided to landfill customers from money collected for future carbon tax liabilities that will not eventuate</w:t>
      </w:r>
    </w:p>
    <w:tbl>
      <w:tblPr>
        <w:tblStyle w:val="LightShading-Accent1"/>
        <w:tblW w:w="0" w:type="auto"/>
        <w:jc w:val="center"/>
        <w:tblLook w:val="04A0" w:firstRow="1" w:lastRow="0" w:firstColumn="1" w:lastColumn="0" w:noHBand="0" w:noVBand="1"/>
      </w:tblPr>
      <w:tblGrid>
        <w:gridCol w:w="3292"/>
        <w:gridCol w:w="3159"/>
        <w:gridCol w:w="2791"/>
      </w:tblGrid>
      <w:tr w:rsidR="00533303" w:rsidRPr="00B65F2F" w:rsidTr="009315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Heading"/>
              <w:rPr>
                <w:b/>
                <w:color w:val="000000" w:themeColor="text1"/>
                <w:sz w:val="20"/>
                <w:szCs w:val="20"/>
              </w:rPr>
            </w:pPr>
            <w:r w:rsidRPr="009315F7">
              <w:rPr>
                <w:b/>
                <w:color w:val="000000" w:themeColor="text1"/>
                <w:sz w:val="20"/>
                <w:szCs w:val="20"/>
              </w:rPr>
              <w:t>Customer Type</w:t>
            </w:r>
          </w:p>
        </w:tc>
        <w:tc>
          <w:tcPr>
            <w:tcW w:w="3159" w:type="dxa"/>
          </w:tcPr>
          <w:p w:rsidR="00533303" w:rsidRPr="009315F7" w:rsidRDefault="00533303" w:rsidP="009315F7">
            <w:pPr>
              <w:pStyle w:val="TableHeading"/>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Average refund provided</w:t>
            </w:r>
          </w:p>
        </w:tc>
        <w:tc>
          <w:tcPr>
            <w:tcW w:w="2791" w:type="dxa"/>
          </w:tcPr>
          <w:p w:rsidR="00533303" w:rsidRPr="009315F7" w:rsidRDefault="00533303" w:rsidP="009315F7">
            <w:pPr>
              <w:pStyle w:val="TableHeading"/>
              <w:jc w:val="center"/>
              <w:cnfStyle w:val="100000000000" w:firstRow="1" w:lastRow="0" w:firstColumn="0" w:lastColumn="0" w:oddVBand="0" w:evenVBand="0" w:oddHBand="0" w:evenHBand="0" w:firstRowFirstColumn="0" w:firstRowLastColumn="0" w:lastRowFirstColumn="0" w:lastRowLastColumn="0"/>
              <w:rPr>
                <w:b/>
                <w:color w:val="000000" w:themeColor="text1"/>
                <w:sz w:val="20"/>
                <w:szCs w:val="20"/>
              </w:rPr>
            </w:pPr>
            <w:r w:rsidRPr="009315F7">
              <w:rPr>
                <w:b/>
                <w:color w:val="000000" w:themeColor="text1"/>
                <w:sz w:val="20"/>
                <w:szCs w:val="20"/>
              </w:rPr>
              <w:t>Total refund</w:t>
            </w:r>
            <w:r w:rsidR="004F2A03" w:rsidRPr="009315F7">
              <w:rPr>
                <w:b/>
                <w:color w:val="000000" w:themeColor="text1"/>
                <w:sz w:val="20"/>
                <w:szCs w:val="20"/>
              </w:rPr>
              <w:t>s</w:t>
            </w:r>
            <w:r w:rsidRPr="009315F7">
              <w:rPr>
                <w:b/>
                <w:color w:val="000000" w:themeColor="text1"/>
                <w:sz w:val="20"/>
                <w:szCs w:val="20"/>
              </w:rPr>
              <w:t xml:space="preserve"> provided</w:t>
            </w:r>
          </w:p>
        </w:tc>
      </w:tr>
      <w:tr w:rsidR="00533303" w:rsidRPr="00B65F2F"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text"/>
              <w:rPr>
                <w:color w:val="000000" w:themeColor="text1"/>
                <w:szCs w:val="20"/>
              </w:rPr>
            </w:pPr>
            <w:r w:rsidRPr="009315F7">
              <w:rPr>
                <w:color w:val="000000" w:themeColor="text1"/>
                <w:szCs w:val="20"/>
              </w:rPr>
              <w:t>Local Council customers</w:t>
            </w:r>
          </w:p>
        </w:tc>
        <w:tc>
          <w:tcPr>
            <w:tcW w:w="3159" w:type="dxa"/>
          </w:tcPr>
          <w:p w:rsidR="00533303" w:rsidRPr="009315F7" w:rsidRDefault="00533303" w:rsidP="005844D1">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$2,070,580.38</w:t>
            </w:r>
          </w:p>
        </w:tc>
        <w:tc>
          <w:tcPr>
            <w:tcW w:w="2791" w:type="dxa"/>
          </w:tcPr>
          <w:p w:rsidR="00533303" w:rsidRPr="009315F7" w:rsidRDefault="00533303" w:rsidP="005844D1">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$5,283,424.86</w:t>
            </w:r>
          </w:p>
        </w:tc>
      </w:tr>
      <w:tr w:rsidR="00533303" w:rsidRPr="00B65F2F" w:rsidTr="009315F7">
        <w:trPr>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text"/>
              <w:rPr>
                <w:color w:val="000000" w:themeColor="text1"/>
                <w:szCs w:val="20"/>
              </w:rPr>
            </w:pPr>
            <w:r w:rsidRPr="009315F7">
              <w:rPr>
                <w:color w:val="000000" w:themeColor="text1"/>
                <w:szCs w:val="20"/>
              </w:rPr>
              <w:t>Other customers on contracts</w:t>
            </w:r>
          </w:p>
        </w:tc>
        <w:tc>
          <w:tcPr>
            <w:tcW w:w="3159" w:type="dxa"/>
          </w:tcPr>
          <w:p w:rsidR="00533303" w:rsidRPr="009315F7" w:rsidRDefault="00533303" w:rsidP="005844D1">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315F7">
              <w:rPr>
                <w:color w:val="000000" w:themeColor="text1"/>
                <w:szCs w:val="20"/>
              </w:rPr>
              <w:t>$152,337.15</w:t>
            </w:r>
          </w:p>
        </w:tc>
        <w:tc>
          <w:tcPr>
            <w:tcW w:w="2791" w:type="dxa"/>
          </w:tcPr>
          <w:p w:rsidR="00533303" w:rsidRPr="009315F7" w:rsidRDefault="00533303" w:rsidP="005844D1">
            <w:pPr>
              <w:pStyle w:val="Tabletext"/>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9315F7">
              <w:rPr>
                <w:color w:val="000000" w:themeColor="text1"/>
                <w:szCs w:val="20"/>
              </w:rPr>
              <w:t>$2,149,196.15</w:t>
            </w:r>
          </w:p>
        </w:tc>
      </w:tr>
      <w:tr w:rsidR="00533303" w:rsidRPr="00B65F2F" w:rsidTr="00931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2" w:type="dxa"/>
          </w:tcPr>
          <w:p w:rsidR="00533303" w:rsidRPr="009315F7" w:rsidRDefault="00533303">
            <w:pPr>
              <w:pStyle w:val="Tabletext"/>
              <w:rPr>
                <w:color w:val="000000" w:themeColor="text1"/>
                <w:szCs w:val="20"/>
              </w:rPr>
            </w:pPr>
            <w:r w:rsidRPr="009315F7">
              <w:rPr>
                <w:color w:val="000000" w:themeColor="text1"/>
                <w:szCs w:val="20"/>
              </w:rPr>
              <w:t>Account customers</w:t>
            </w:r>
          </w:p>
        </w:tc>
        <w:tc>
          <w:tcPr>
            <w:tcW w:w="3159" w:type="dxa"/>
          </w:tcPr>
          <w:p w:rsidR="00533303" w:rsidRPr="009315F7" w:rsidRDefault="00533303" w:rsidP="005844D1">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$10,790.08</w:t>
            </w:r>
          </w:p>
        </w:tc>
        <w:tc>
          <w:tcPr>
            <w:tcW w:w="2791" w:type="dxa"/>
          </w:tcPr>
          <w:p w:rsidR="00533303" w:rsidRPr="009315F7" w:rsidRDefault="00533303" w:rsidP="005844D1">
            <w:pPr>
              <w:pStyle w:val="Tabletext"/>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9315F7">
              <w:rPr>
                <w:color w:val="000000" w:themeColor="text1"/>
                <w:szCs w:val="20"/>
              </w:rPr>
              <w:t>$679,775.04</w:t>
            </w:r>
          </w:p>
        </w:tc>
      </w:tr>
    </w:tbl>
    <w:p w:rsidR="00533303" w:rsidRDefault="00533303" w:rsidP="00533303">
      <w:pPr>
        <w:rPr>
          <w:bCs/>
        </w:rPr>
      </w:pPr>
      <w:proofErr w:type="gramStart"/>
      <w:r>
        <w:rPr>
          <w:bCs/>
        </w:rPr>
        <w:t xml:space="preserve">However, as these refunds have only been provided to customers that hold contracts and/or accounts with landfill owners, these </w:t>
      </w:r>
      <w:r w:rsidR="004F2A03">
        <w:rPr>
          <w:bCs/>
        </w:rPr>
        <w:t>six</w:t>
      </w:r>
      <w:r>
        <w:rPr>
          <w:bCs/>
        </w:rPr>
        <w:t xml:space="preserve"> entities still hold some excess carbon tax revenue.</w:t>
      </w:r>
      <w:proofErr w:type="gramEnd"/>
    </w:p>
    <w:p w:rsidR="00533303" w:rsidRDefault="00533303" w:rsidP="00533303">
      <w:pPr>
        <w:rPr>
          <w:bCs/>
        </w:rPr>
      </w:pPr>
      <w:r>
        <w:rPr>
          <w:bCs/>
        </w:rPr>
        <w:t>Additional approaches to the excess carbon tax revenue issue reported by entities are:</w:t>
      </w:r>
    </w:p>
    <w:p w:rsidR="00533303" w:rsidRPr="00244AE9" w:rsidRDefault="00BC2F9E" w:rsidP="00533303">
      <w:pPr>
        <w:pStyle w:val="Bulletpoint"/>
        <w:ind w:left="357" w:hanging="357"/>
      </w:pPr>
      <w:r>
        <w:t>N</w:t>
      </w:r>
      <w:r w:rsidR="00244AE9">
        <w:t xml:space="preserve">ine </w:t>
      </w:r>
      <w:r w:rsidR="00533303" w:rsidRPr="00244AE9">
        <w:t xml:space="preserve">entities advised that, in principle, they will use their </w:t>
      </w:r>
      <w:r w:rsidR="00533303" w:rsidRPr="00244AE9">
        <w:rPr>
          <w:bCs/>
        </w:rPr>
        <w:t>excess carbon tax revenue</w:t>
      </w:r>
      <w:r w:rsidR="00533303" w:rsidRPr="00244AE9">
        <w:t xml:space="preserve"> in accordance with a voluntary framework of the type proposed in the consultation paper</w:t>
      </w:r>
      <w:r>
        <w:t>.</w:t>
      </w:r>
    </w:p>
    <w:p w:rsidR="00533303" w:rsidRPr="00244AE9" w:rsidRDefault="00BC2F9E" w:rsidP="00533303">
      <w:pPr>
        <w:pStyle w:val="Bulletpoint"/>
        <w:ind w:left="357" w:hanging="357"/>
      </w:pPr>
      <w:r>
        <w:lastRenderedPageBreak/>
        <w:t>E</w:t>
      </w:r>
      <w:r w:rsidR="00533303" w:rsidRPr="00244AE9">
        <w:t>ight entities advised they will make a decision regarding their intention for these funds once the Government announces a final voluntary framework for the use of such funds</w:t>
      </w:r>
      <w:r>
        <w:t>.</w:t>
      </w:r>
    </w:p>
    <w:p w:rsidR="00533303" w:rsidRPr="00244AE9" w:rsidRDefault="001A0811" w:rsidP="00533303">
      <w:pPr>
        <w:pStyle w:val="Bulletpoint"/>
        <w:ind w:left="357" w:hanging="357"/>
      </w:pPr>
      <w:r>
        <w:t>F</w:t>
      </w:r>
      <w:r w:rsidR="00533303" w:rsidRPr="00244AE9">
        <w:t xml:space="preserve">our entities advised that their </w:t>
      </w:r>
      <w:r w:rsidR="00533303" w:rsidRPr="00244AE9">
        <w:rPr>
          <w:bCs/>
        </w:rPr>
        <w:t>excess carbon tax revenue</w:t>
      </w:r>
      <w:r w:rsidR="00533303" w:rsidRPr="00244AE9">
        <w:t xml:space="preserve"> will be used to fund emissions reduction projects</w:t>
      </w:r>
      <w:r>
        <w:t>.</w:t>
      </w:r>
      <w:r w:rsidR="00533303" w:rsidRPr="00244AE9">
        <w:t xml:space="preserve"> </w:t>
      </w:r>
    </w:p>
    <w:p w:rsidR="00533303" w:rsidRPr="00244AE9" w:rsidRDefault="001A0811" w:rsidP="00533303">
      <w:pPr>
        <w:pStyle w:val="Bulletpoint"/>
        <w:ind w:left="357" w:hanging="357"/>
      </w:pPr>
      <w:r>
        <w:t>F</w:t>
      </w:r>
      <w:r w:rsidR="00533303" w:rsidRPr="00244AE9">
        <w:t xml:space="preserve">ive entities advised that their </w:t>
      </w:r>
      <w:r w:rsidR="00533303" w:rsidRPr="00244AE9">
        <w:rPr>
          <w:bCs/>
        </w:rPr>
        <w:t>excess carbon tax revenue</w:t>
      </w:r>
      <w:r w:rsidR="00533303" w:rsidRPr="00244AE9">
        <w:t xml:space="preserve"> will be used to fund capital works at their landfills</w:t>
      </w:r>
      <w:r>
        <w:t>.</w:t>
      </w:r>
      <w:r w:rsidR="00533303" w:rsidRPr="00244AE9">
        <w:t xml:space="preserve"> </w:t>
      </w:r>
    </w:p>
    <w:p w:rsidR="00533303" w:rsidRPr="00244AE9" w:rsidRDefault="001A0811" w:rsidP="00533303">
      <w:pPr>
        <w:pStyle w:val="Bulletpoint"/>
        <w:ind w:left="357" w:hanging="357"/>
      </w:pPr>
      <w:r>
        <w:t>F</w:t>
      </w:r>
      <w:r w:rsidR="00533303" w:rsidRPr="00244AE9">
        <w:t xml:space="preserve">our entities that are local councils advised that their </w:t>
      </w:r>
      <w:r w:rsidR="00533303" w:rsidRPr="00244AE9">
        <w:rPr>
          <w:bCs/>
        </w:rPr>
        <w:t>excess carbon tax revenue</w:t>
      </w:r>
      <w:r w:rsidR="00533303" w:rsidRPr="00244AE9">
        <w:t xml:space="preserve"> will be used to fund </w:t>
      </w:r>
      <w:r w:rsidR="00CC2439">
        <w:t>c</w:t>
      </w:r>
      <w:r w:rsidR="00533303" w:rsidRPr="00244AE9">
        <w:t>ouncil projects unrelated to emissions reduction or landfill capital works</w:t>
      </w:r>
      <w:r>
        <w:t>.</w:t>
      </w:r>
    </w:p>
    <w:p w:rsidR="00533303" w:rsidRPr="00244AE9" w:rsidRDefault="001A0811" w:rsidP="00533303">
      <w:pPr>
        <w:pStyle w:val="Bulletpoint"/>
        <w:ind w:left="357" w:hanging="357"/>
      </w:pPr>
      <w:r>
        <w:t>T</w:t>
      </w:r>
      <w:r w:rsidR="00533303" w:rsidRPr="00244AE9">
        <w:t xml:space="preserve">hree entities that are local councils advised that their </w:t>
      </w:r>
      <w:r w:rsidR="00533303" w:rsidRPr="00244AE9">
        <w:rPr>
          <w:bCs/>
        </w:rPr>
        <w:t>excess carbon tax revenue</w:t>
      </w:r>
      <w:r w:rsidR="00533303" w:rsidRPr="00244AE9">
        <w:t xml:space="preserve"> will be absorbed into their budgets and used to either lower future rates, fees and charges, or offset council debt</w:t>
      </w:r>
      <w:r>
        <w:t>.</w:t>
      </w:r>
    </w:p>
    <w:p w:rsidR="00533303" w:rsidRDefault="001A0811" w:rsidP="00533303">
      <w:pPr>
        <w:pStyle w:val="Bulletpoint"/>
        <w:ind w:left="357" w:hanging="357"/>
      </w:pPr>
      <w:r>
        <w:t>T</w:t>
      </w:r>
      <w:r w:rsidR="00533303" w:rsidRPr="00244AE9">
        <w:t>wo entities have advised that they</w:t>
      </w:r>
      <w:r w:rsidR="00533303" w:rsidRPr="00E26122">
        <w:t xml:space="preserve"> have not yet made a decision regarding the money.</w:t>
      </w:r>
    </w:p>
    <w:p w:rsidR="00533303" w:rsidRDefault="00533303" w:rsidP="00533303">
      <w:pPr>
        <w:pStyle w:val="Bulletpoint"/>
        <w:numPr>
          <w:ilvl w:val="0"/>
          <w:numId w:val="0"/>
        </w:numPr>
      </w:pPr>
      <w:r w:rsidRPr="00395132">
        <w:t xml:space="preserve">The ACCC is aware that further discussions are occurring between the Government and the industry on a proposed voluntary framework for the use of </w:t>
      </w:r>
      <w:r w:rsidRPr="00395132">
        <w:rPr>
          <w:bCs/>
        </w:rPr>
        <w:t>excess carbon tax revenue</w:t>
      </w:r>
      <w:r w:rsidRPr="00395132">
        <w:t xml:space="preserve">. The ACCC supports </w:t>
      </w:r>
      <w:r w:rsidR="00244AE9" w:rsidRPr="00395132">
        <w:t>the industry working collaboratively with the Government</w:t>
      </w:r>
      <w:r w:rsidRPr="00395132">
        <w:t xml:space="preserve"> to create a framework for the use of such funds</w:t>
      </w:r>
      <w:r w:rsidR="00244AE9" w:rsidRPr="00A311D6">
        <w:t>. The ACCC</w:t>
      </w:r>
      <w:r w:rsidR="00244AE9">
        <w:t xml:space="preserve"> </w:t>
      </w:r>
      <w:r>
        <w:t>encourages currently undecid</w:t>
      </w:r>
      <w:r w:rsidR="00C53D20">
        <w:t>ed landfill operators to use</w:t>
      </w:r>
      <w:r>
        <w:t xml:space="preserve"> their funds in accordance with the framework to be announced by the Government. </w:t>
      </w:r>
      <w:r w:rsidRPr="00DF741B">
        <w:t xml:space="preserve">Although the price exploitation provisions of the CCA do not apply to the landfill industry, </w:t>
      </w:r>
      <w:r>
        <w:t>t</w:t>
      </w:r>
      <w:r w:rsidRPr="0058655B">
        <w:t xml:space="preserve">he ACCC expects landfill operators to be transparent with customers and ratepayers about how they will deal with </w:t>
      </w:r>
      <w:r>
        <w:t>their excess carbon tax revenue.</w:t>
      </w:r>
    </w:p>
    <w:p w:rsidR="002A28B5" w:rsidRDefault="00710BD6" w:rsidP="000A35D7">
      <w:pPr>
        <w:pStyle w:val="Heading2"/>
      </w:pPr>
      <w:bookmarkStart w:id="53" w:name="_Toc425348721"/>
      <w:r w:rsidRPr="00021C05">
        <w:t>Local councils–general rates and waste management charges</w:t>
      </w:r>
      <w:bookmarkEnd w:id="53"/>
    </w:p>
    <w:p w:rsidR="00710BD6" w:rsidRDefault="00AE1FB2" w:rsidP="00710BD6">
      <w:r w:rsidRPr="006C2380">
        <w:rPr>
          <w:bCs/>
        </w:rPr>
        <w:t>The ACCC’s price monitoring role</w:t>
      </w:r>
      <w:r w:rsidR="009E2E99">
        <w:rPr>
          <w:bCs/>
        </w:rPr>
        <w:t xml:space="preserve"> focused on local councils that were liable entities and</w:t>
      </w:r>
      <w:r w:rsidRPr="006C2380">
        <w:rPr>
          <w:bCs/>
        </w:rPr>
        <w:t xml:space="preserve"> has not covered the impact of the carbon tax, and its repeal, on local councils that were not liable entities. </w:t>
      </w:r>
      <w:r w:rsidR="00710BD6" w:rsidRPr="00710BD6">
        <w:rPr>
          <w:bCs/>
        </w:rPr>
        <w:t xml:space="preserve">The majority of Australian local councils were not liable entities. </w:t>
      </w:r>
      <w:r w:rsidRPr="006C2380">
        <w:rPr>
          <w:bCs/>
        </w:rPr>
        <w:t>However given the public interest in the</w:t>
      </w:r>
      <w:r w:rsidR="00F61054">
        <w:rPr>
          <w:bCs/>
        </w:rPr>
        <w:t xml:space="preserve"> local councils’</w:t>
      </w:r>
      <w:r w:rsidRPr="006C2380">
        <w:rPr>
          <w:bCs/>
        </w:rPr>
        <w:t xml:space="preserve"> response to the carbon tax scheme and its repeal, the ACCC provided information on </w:t>
      </w:r>
      <w:r>
        <w:rPr>
          <w:bCs/>
        </w:rPr>
        <w:t>local councils</w:t>
      </w:r>
      <w:r w:rsidRPr="006C2380">
        <w:rPr>
          <w:bCs/>
        </w:rPr>
        <w:t xml:space="preserve"> in the October 2014 </w:t>
      </w:r>
      <w:r>
        <w:rPr>
          <w:bCs/>
        </w:rPr>
        <w:t>and January 2015 Carbon Reports</w:t>
      </w:r>
      <w:r w:rsidRPr="006C2380">
        <w:rPr>
          <w:bCs/>
        </w:rPr>
        <w:t>.</w:t>
      </w:r>
      <w:r w:rsidR="00710BD6">
        <w:rPr>
          <w:bCs/>
        </w:rPr>
        <w:t xml:space="preserve"> </w:t>
      </w:r>
      <w:r w:rsidR="00710BD6" w:rsidRPr="006C2380">
        <w:t xml:space="preserve">The conduct of local councils concerning the setting of their rates is not subject to </w:t>
      </w:r>
      <w:r w:rsidR="00710BD6">
        <w:t>Part V of the CCA,</w:t>
      </w:r>
      <w:r w:rsidR="00710BD6" w:rsidRPr="006C2380">
        <w:t xml:space="preserve"> </w:t>
      </w:r>
      <w:r w:rsidR="00710BD6">
        <w:t>n</w:t>
      </w:r>
      <w:r w:rsidR="00710BD6" w:rsidRPr="006C2380">
        <w:t xml:space="preserve">or </w:t>
      </w:r>
      <w:r w:rsidR="00710BD6">
        <w:t xml:space="preserve">any </w:t>
      </w:r>
      <w:r w:rsidR="00710BD6" w:rsidRPr="006C2380">
        <w:t xml:space="preserve">other provisions in the CCA. </w:t>
      </w:r>
      <w:r w:rsidR="00710BD6" w:rsidRPr="00710BD6">
        <w:t>Local councils are, however, ultimately accountable to their ratepayers.</w:t>
      </w:r>
    </w:p>
    <w:p w:rsidR="00710BD6" w:rsidRDefault="00710BD6" w:rsidP="00710BD6">
      <w:r>
        <w:t>The carbon tax likely affe</w:t>
      </w:r>
      <w:r w:rsidR="00F61054">
        <w:t>cted most local councils’ rates due to</w:t>
      </w:r>
      <w:r>
        <w:t xml:space="preserve"> </w:t>
      </w:r>
      <w:r w:rsidR="00F61054">
        <w:t xml:space="preserve">their suppliers’ </w:t>
      </w:r>
      <w:r>
        <w:t xml:space="preserve">pass through of carbon tax costs. </w:t>
      </w:r>
      <w:r w:rsidR="009E2E99">
        <w:t>T</w:t>
      </w:r>
      <w:r>
        <w:t xml:space="preserve">he ACCC is aware that many local </w:t>
      </w:r>
      <w:proofErr w:type="gramStart"/>
      <w:r>
        <w:t>councils</w:t>
      </w:r>
      <w:proofErr w:type="gramEnd"/>
      <w:r>
        <w:t xml:space="preserve"> have made public statements about the removal of the carbon tax costs from their general rates and waste management charges. </w:t>
      </w:r>
      <w:r w:rsidR="009D4FD0">
        <w:t xml:space="preserve">A list of these councils </w:t>
      </w:r>
      <w:r w:rsidR="009D4FD0" w:rsidRPr="00A311D6">
        <w:t xml:space="preserve">is at Annexure </w:t>
      </w:r>
      <w:r w:rsidR="004F2A03" w:rsidRPr="00395132">
        <w:t>1</w:t>
      </w:r>
      <w:r w:rsidR="009D4FD0" w:rsidRPr="00A311D6">
        <w:t xml:space="preserve"> of this report.</w:t>
      </w:r>
      <w:r w:rsidR="009D4FD0">
        <w:t xml:space="preserve"> </w:t>
      </w:r>
    </w:p>
    <w:p w:rsidR="00B8614C" w:rsidRDefault="00B8614C" w:rsidP="004576DA">
      <w:pPr>
        <w:pStyle w:val="Heading3"/>
      </w:pPr>
      <w:bookmarkStart w:id="54" w:name="_Toc425348722"/>
      <w:r w:rsidRPr="006C2380">
        <w:t>IPART rate peg determination in NSW</w:t>
      </w:r>
      <w:bookmarkEnd w:id="54"/>
    </w:p>
    <w:p w:rsidR="00710BD6" w:rsidRDefault="0035061B" w:rsidP="00710BD6">
      <w:r w:rsidRPr="006C2380">
        <w:t xml:space="preserve">IPART </w:t>
      </w:r>
      <w:r>
        <w:t>regulates g</w:t>
      </w:r>
      <w:r w:rsidR="00B8614C" w:rsidRPr="006C2380">
        <w:t xml:space="preserve">eneral rates </w:t>
      </w:r>
      <w:r>
        <w:t xml:space="preserve">in NSW. It </w:t>
      </w:r>
      <w:r w:rsidR="00B8614C" w:rsidRPr="006C2380">
        <w:t xml:space="preserve">sets a rate peg each financial year which determines the maximum allowable percentage increase in general income (mainly rates income) for NSW’s 152 local councils. </w:t>
      </w:r>
      <w:r w:rsidR="00710BD6">
        <w:t>Generally, NSW local councils had a carbon tax cost component included in their 2012</w:t>
      </w:r>
      <w:r w:rsidR="00EF2B1B">
        <w:t>-</w:t>
      </w:r>
      <w:r w:rsidR="00710BD6">
        <w:t>13</w:t>
      </w:r>
      <w:r w:rsidR="00EF2B1B">
        <w:t xml:space="preserve"> </w:t>
      </w:r>
      <w:r w:rsidR="00710BD6">
        <w:t>rates due to IPART’s December 2011 rate peg determination</w:t>
      </w:r>
      <w:r w:rsidR="00710BD6" w:rsidRPr="00710BD6">
        <w:t xml:space="preserve"> including a specific carbon price related advance of 0.4</w:t>
      </w:r>
      <w:r w:rsidR="006A3702">
        <w:t xml:space="preserve"> per cent</w:t>
      </w:r>
      <w:r w:rsidR="00710BD6">
        <w:t xml:space="preserve">. </w:t>
      </w:r>
      <w:r w:rsidR="00710BD6" w:rsidRPr="00710BD6">
        <w:t>IPART then reversed this rate peg over two years by removing 0.1</w:t>
      </w:r>
      <w:r w:rsidR="006A3702">
        <w:t xml:space="preserve"> per cent</w:t>
      </w:r>
      <w:r w:rsidR="00710BD6" w:rsidRPr="00710BD6">
        <w:t xml:space="preserve"> from the 2013</w:t>
      </w:r>
      <w:r w:rsidR="00577FA3">
        <w:t>-</w:t>
      </w:r>
      <w:r w:rsidR="00710BD6" w:rsidRPr="00710BD6">
        <w:t>14 rate peg, and 0.3</w:t>
      </w:r>
      <w:r w:rsidR="006A3702">
        <w:t xml:space="preserve"> per cent</w:t>
      </w:r>
      <w:r w:rsidR="00710BD6" w:rsidRPr="00710BD6">
        <w:t xml:space="preserve"> from the 2014</w:t>
      </w:r>
      <w:r w:rsidR="00577FA3">
        <w:t>-</w:t>
      </w:r>
      <w:r w:rsidR="00710BD6" w:rsidRPr="00710BD6">
        <w:t>15 rate peg.</w:t>
      </w:r>
      <w:r w:rsidR="00710BD6">
        <w:rPr>
          <w:color w:val="FF0000"/>
        </w:rPr>
        <w:t xml:space="preserve"> </w:t>
      </w:r>
      <w:r w:rsidR="00710BD6">
        <w:t xml:space="preserve">As noted in the </w:t>
      </w:r>
      <w:r w:rsidR="00CC2439">
        <w:t xml:space="preserve">ACCC’s </w:t>
      </w:r>
      <w:r w:rsidR="00710BD6">
        <w:t>January 2015 Carbon Report, in its rate peg determination for 2015</w:t>
      </w:r>
      <w:r w:rsidR="00577FA3">
        <w:t>-</w:t>
      </w:r>
      <w:r w:rsidR="00710BD6">
        <w:t>16, IPART explains that it did not include any specific allowance in relation to the carbon tax repeal.</w:t>
      </w:r>
      <w:r w:rsidR="001B11A8">
        <w:rPr>
          <w:rStyle w:val="FootnoteReference"/>
        </w:rPr>
        <w:footnoteReference w:id="27"/>
      </w:r>
    </w:p>
    <w:p w:rsidR="00E31538" w:rsidRDefault="0090484A" w:rsidP="009F7A69">
      <w:pPr>
        <w:pStyle w:val="Heading2"/>
      </w:pPr>
      <w:bookmarkStart w:id="55" w:name="_Toc425348723"/>
      <w:r>
        <w:lastRenderedPageBreak/>
        <w:t>Paper, glass and plastic</w:t>
      </w:r>
      <w:bookmarkEnd w:id="55"/>
    </w:p>
    <w:p w:rsidR="009449B2" w:rsidRDefault="00F74056" w:rsidP="002E6A39">
      <w:r>
        <w:t xml:space="preserve">The ACCC </w:t>
      </w:r>
      <w:r w:rsidR="002E6A39">
        <w:t xml:space="preserve">determined that </w:t>
      </w:r>
      <w:r w:rsidR="002E6A39" w:rsidRPr="00626AE5">
        <w:t>the degree of pass through of carbon tax costs</w:t>
      </w:r>
      <w:r w:rsidR="002E6A39">
        <w:t xml:space="preserve"> varied across liable entities in these industries</w:t>
      </w:r>
      <w:r w:rsidR="009449B2">
        <w:t>:</w:t>
      </w:r>
    </w:p>
    <w:p w:rsidR="009449B2" w:rsidRDefault="002E6A39" w:rsidP="009449B2">
      <w:pPr>
        <w:pStyle w:val="ListParagraph"/>
        <w:numPr>
          <w:ilvl w:val="0"/>
          <w:numId w:val="36"/>
        </w:numPr>
      </w:pPr>
      <w:r>
        <w:t>Some were able to pass through all their carbon tax costs</w:t>
      </w:r>
      <w:r w:rsidR="007565C9">
        <w:t>.</w:t>
      </w:r>
    </w:p>
    <w:p w:rsidR="009449B2" w:rsidRDefault="009449B2" w:rsidP="009449B2">
      <w:pPr>
        <w:pStyle w:val="ListParagraph"/>
        <w:numPr>
          <w:ilvl w:val="0"/>
          <w:numId w:val="36"/>
        </w:numPr>
      </w:pPr>
      <w:r>
        <w:t>O</w:t>
      </w:r>
      <w:r w:rsidR="002E6A39">
        <w:t xml:space="preserve">thers were only able to pass through a portion of their carbon tax costs. </w:t>
      </w:r>
    </w:p>
    <w:p w:rsidR="002E6A39" w:rsidRPr="009B3925" w:rsidRDefault="002E6A39" w:rsidP="009449B2">
      <w:pPr>
        <w:pStyle w:val="ListParagraph"/>
        <w:numPr>
          <w:ilvl w:val="0"/>
          <w:numId w:val="36"/>
        </w:numPr>
      </w:pPr>
      <w:r>
        <w:t xml:space="preserve">Some paper manufacturing entities were not able to pass through any carbon tax costs because they operate in </w:t>
      </w:r>
      <w:r w:rsidR="009449B2">
        <w:t>global markets and in any case h</w:t>
      </w:r>
      <w:r>
        <w:t xml:space="preserve">ad no net carbon tax costs to pass through because of assistance received under the </w:t>
      </w:r>
      <w:r w:rsidRPr="00A761FA">
        <w:t>Jobs and Competitiveness Program</w:t>
      </w:r>
      <w:r w:rsidR="00B15957">
        <w:t xml:space="preserve"> (JCP)</w:t>
      </w:r>
      <w:r>
        <w:t>.</w:t>
      </w:r>
    </w:p>
    <w:p w:rsidR="002E6A39" w:rsidRDefault="002E6A39" w:rsidP="002E6A39">
      <w:r>
        <w:t>Where carbon tax costs had been passed through, p</w:t>
      </w:r>
      <w:r w:rsidRPr="009B3925">
        <w:t xml:space="preserve">aper, glass and plastic manufacturers </w:t>
      </w:r>
      <w:r>
        <w:t xml:space="preserve">had generally </w:t>
      </w:r>
      <w:r w:rsidRPr="009B3925">
        <w:t xml:space="preserve">removed </w:t>
      </w:r>
      <w:r>
        <w:t>those</w:t>
      </w:r>
      <w:r w:rsidRPr="009B3925">
        <w:t xml:space="preserve"> costs from </w:t>
      </w:r>
      <w:r>
        <w:t xml:space="preserve">their </w:t>
      </w:r>
      <w:r w:rsidRPr="009B3925">
        <w:t xml:space="preserve">prices </w:t>
      </w:r>
      <w:r>
        <w:t xml:space="preserve">after repeal, </w:t>
      </w:r>
      <w:r w:rsidRPr="009B3925">
        <w:t xml:space="preserve">except where entities had stock on hand purchased </w:t>
      </w:r>
      <w:r w:rsidR="009449B2">
        <w:t>before</w:t>
      </w:r>
      <w:r w:rsidRPr="009B3925">
        <w:t xml:space="preserve"> the repeal that legitimately contained a carbon tax cost component. </w:t>
      </w:r>
      <w:r>
        <w:t xml:space="preserve">In those cases, </w:t>
      </w:r>
      <w:r w:rsidR="009C2FA5">
        <w:t xml:space="preserve">cost </w:t>
      </w:r>
      <w:r>
        <w:t>s</w:t>
      </w:r>
      <w:r w:rsidR="009449B2">
        <w:t xml:space="preserve">avings due to the </w:t>
      </w:r>
      <w:r w:rsidRPr="009B3925">
        <w:t xml:space="preserve">carbon tax </w:t>
      </w:r>
      <w:r w:rsidR="009449B2">
        <w:t xml:space="preserve">repeal </w:t>
      </w:r>
      <w:r w:rsidRPr="009B3925">
        <w:t>were passed on once carbon tax inclusive stock depleted. All of these carbon tax costs were removed from prices by 1 September 2014.</w:t>
      </w:r>
    </w:p>
    <w:p w:rsidR="007D0883" w:rsidRPr="007D0883" w:rsidRDefault="002E6A39" w:rsidP="007D0883">
      <w:r>
        <w:t>Some entities, however, had no elec</w:t>
      </w:r>
      <w:r w:rsidR="00C108EC">
        <w:t>tricity</w:t>
      </w:r>
      <w:r w:rsidR="00062D79">
        <w:t>-</w:t>
      </w:r>
      <w:r w:rsidR="00C108EC">
        <w:t>related carbon tax cost</w:t>
      </w:r>
      <w:r>
        <w:t xml:space="preserve"> savings to pass through after repeal because their electricity supply was pursuant to carbon inclusive contracts.</w:t>
      </w:r>
      <w:r w:rsidR="009F7A69" w:rsidRPr="009F7A69">
        <w:t xml:space="preserve"> </w:t>
      </w:r>
      <w:r w:rsidR="009F7A69">
        <w:t>As mentioned in the January</w:t>
      </w:r>
      <w:r w:rsidR="009D4FD0">
        <w:t xml:space="preserve"> 2015 Carbon</w:t>
      </w:r>
      <w:r w:rsidR="009F7A69">
        <w:t xml:space="preserve"> Report, </w:t>
      </w:r>
      <w:r w:rsidR="009D4FD0">
        <w:t>entities</w:t>
      </w:r>
      <w:r w:rsidR="009F7A69">
        <w:t xml:space="preserve"> who had carbon inclusive </w:t>
      </w:r>
      <w:r w:rsidR="009D4FD0">
        <w:t>electricity</w:t>
      </w:r>
      <w:r w:rsidR="009F7A69">
        <w:t xml:space="preserve"> contract</w:t>
      </w:r>
      <w:r w:rsidR="009D4FD0">
        <w:t>s</w:t>
      </w:r>
      <w:r w:rsidR="009F7A69">
        <w:t xml:space="preserve"> generally obtained prices which were calculated using forward looking factors including the repeal of the carbon tax. The ACCC expects any carbon tax cost savings from the repeal will be realised once these energy contracts are re-negotiated.</w:t>
      </w:r>
    </w:p>
    <w:p w:rsidR="0090484A" w:rsidRDefault="0090484A" w:rsidP="000A35D7">
      <w:pPr>
        <w:pStyle w:val="Heading2"/>
      </w:pPr>
      <w:bookmarkStart w:id="56" w:name="_Toc425348724"/>
      <w:r>
        <w:t>Food</w:t>
      </w:r>
      <w:r w:rsidR="00E06C77">
        <w:t>–</w:t>
      </w:r>
      <w:r>
        <w:t>dairy and ingredients</w:t>
      </w:r>
      <w:bookmarkEnd w:id="56"/>
    </w:p>
    <w:p w:rsidR="007D0883" w:rsidRPr="007D0883" w:rsidRDefault="00A23B0D" w:rsidP="007D0883">
      <w:r w:rsidRPr="00FC34A7">
        <w:t xml:space="preserve">The ACCC is satisfied that </w:t>
      </w:r>
      <w:r w:rsidR="005844D1">
        <w:t xml:space="preserve">all </w:t>
      </w:r>
      <w:r w:rsidRPr="00FC34A7">
        <w:t>entities in this industry</w:t>
      </w:r>
      <w:r>
        <w:t xml:space="preserve"> </w:t>
      </w:r>
      <w:r w:rsidRPr="00FC34A7">
        <w:t>have removed any carbon tax components from their prices</w:t>
      </w:r>
      <w:r w:rsidR="005844D1">
        <w:t>, with one exception</w:t>
      </w:r>
      <w:r w:rsidRPr="00FC34A7">
        <w:t>.</w:t>
      </w:r>
      <w:r w:rsidR="004F2A03">
        <w:rPr>
          <w:rStyle w:val="FootnoteReference"/>
        </w:rPr>
        <w:footnoteReference w:id="28"/>
      </w:r>
      <w:r w:rsidR="001E1891">
        <w:t xml:space="preserve"> Although </w:t>
      </w:r>
      <w:r w:rsidR="002E6A39">
        <w:t>t</w:t>
      </w:r>
      <w:r w:rsidR="002E6A39" w:rsidRPr="00FC34A7">
        <w:t xml:space="preserve">he </w:t>
      </w:r>
      <w:r w:rsidR="002E6A39">
        <w:t>industry</w:t>
      </w:r>
      <w:r w:rsidR="002E6A39" w:rsidRPr="00FC34A7">
        <w:t xml:space="preserve"> faced significant challenges in passing through its net carbon tax costs, all </w:t>
      </w:r>
      <w:r w:rsidR="002E6A39">
        <w:t xml:space="preserve">liable </w:t>
      </w:r>
      <w:r w:rsidR="002E6A39" w:rsidRPr="00FC34A7">
        <w:t>entities were able to achieve some pass through of their carbon tax costs</w:t>
      </w:r>
      <w:r w:rsidR="002E6A39">
        <w:t xml:space="preserve"> on some of their products</w:t>
      </w:r>
      <w:r w:rsidR="002E6A39" w:rsidRPr="00FC34A7">
        <w:t>. Th</w:t>
      </w:r>
      <w:r w:rsidR="002E6A39">
        <w:t xml:space="preserve">e extent of the pass through of their carbon tax costs </w:t>
      </w:r>
      <w:r w:rsidR="002E6A39" w:rsidRPr="00FC34A7">
        <w:t xml:space="preserve">depended on the exposure of each product to international trade, and the ability of their downstream customers to resist price rises. All entities </w:t>
      </w:r>
      <w:r w:rsidR="00697F68">
        <w:t xml:space="preserve">contacted </w:t>
      </w:r>
      <w:r w:rsidR="00DB5385">
        <w:t xml:space="preserve">by the ACCC </w:t>
      </w:r>
      <w:r w:rsidR="00697F68">
        <w:t xml:space="preserve">either </w:t>
      </w:r>
      <w:r w:rsidR="002E6A39" w:rsidRPr="00FC34A7">
        <w:t>have provided</w:t>
      </w:r>
      <w:r w:rsidR="00697F68">
        <w:t>, or are in the process of providing,</w:t>
      </w:r>
      <w:r w:rsidR="002E6A39" w:rsidRPr="00FC34A7">
        <w:t xml:space="preserve"> refunds of the carbon tax component of their prices during the refund period. </w:t>
      </w:r>
    </w:p>
    <w:p w:rsidR="0090484A" w:rsidRDefault="0090484A" w:rsidP="000A35D7">
      <w:pPr>
        <w:pStyle w:val="Heading2"/>
      </w:pPr>
      <w:bookmarkStart w:id="57" w:name="_Toc425348725"/>
      <w:r>
        <w:t>Explosives</w:t>
      </w:r>
      <w:bookmarkEnd w:id="57"/>
      <w:r>
        <w:t xml:space="preserve"> </w:t>
      </w:r>
    </w:p>
    <w:p w:rsidR="009B7F74" w:rsidRPr="00062D79" w:rsidRDefault="009B7F74" w:rsidP="009B7F74">
      <w:r w:rsidRPr="00062D79">
        <w:t>The ACCC note</w:t>
      </w:r>
      <w:r>
        <w:t>s</w:t>
      </w:r>
      <w:r w:rsidRPr="00062D79">
        <w:t xml:space="preserve"> that where liable entities in this sector passed through carbon tax costs, they did not pass through all of their carbon tax costs. </w:t>
      </w:r>
      <w:r w:rsidR="009F7A69">
        <w:t>Th</w:t>
      </w:r>
      <w:r w:rsidR="00AC0069">
        <w:t>is</w:t>
      </w:r>
      <w:r w:rsidR="009F7A69">
        <w:t xml:space="preserve"> was largely due to the fact that the commodity is heavily exposed to international prices, or where the manufacturing process was undertaken by related bodies and costs were passed through as a matter of internal accounting. </w:t>
      </w:r>
      <w:r w:rsidRPr="00062D79">
        <w:t>The ACCC is satisfied that where any carbon tax costs were passed through in this sector, such amounts were removed from liable entities’ prices after repeal.</w:t>
      </w:r>
    </w:p>
    <w:p w:rsidR="002E6A39" w:rsidRPr="00A761FA" w:rsidRDefault="002E6A39" w:rsidP="002E6A39">
      <w:r w:rsidRPr="00A761FA">
        <w:t>In some cases</w:t>
      </w:r>
      <w:r w:rsidR="00497D5E">
        <w:t>,</w:t>
      </w:r>
      <w:r w:rsidRPr="00A761FA">
        <w:t xml:space="preserve"> the pass through of carbon tax costs was done via a one-off administration fee, while in others it occurred via a contractual mechanism through which, at regular intervals, prices were raised automatically as input costs increased. For some entities the impact of the carbon tax was partially offset by assistance provided under the </w:t>
      </w:r>
      <w:r w:rsidR="00A23B0D">
        <w:t>JCP</w:t>
      </w:r>
      <w:r w:rsidRPr="00A761FA">
        <w:t xml:space="preserve"> </w:t>
      </w:r>
      <w:r w:rsidR="0035061B">
        <w:t>and</w:t>
      </w:r>
      <w:r w:rsidRPr="00A761FA">
        <w:t xml:space="preserve"> </w:t>
      </w:r>
      <w:r w:rsidRPr="00A761FA">
        <w:lastRenderedPageBreak/>
        <w:t>abatement measures</w:t>
      </w:r>
      <w:r w:rsidR="00A23B0D">
        <w:t>.</w:t>
      </w:r>
      <w:r w:rsidR="005C49EE">
        <w:t xml:space="preserve"> Given this industry’s significant exposure to changes in gas prices, sharp gas price increases offset some of the cost savings from the carbon tax repeal.</w:t>
      </w:r>
    </w:p>
    <w:p w:rsidR="0090484A" w:rsidRDefault="0090484A" w:rsidP="000A35D7">
      <w:pPr>
        <w:pStyle w:val="Heading2"/>
      </w:pPr>
      <w:bookmarkStart w:id="58" w:name="_Toc425348726"/>
      <w:r>
        <w:t>Construction materials</w:t>
      </w:r>
      <w:bookmarkEnd w:id="58"/>
    </w:p>
    <w:p w:rsidR="00016780" w:rsidRPr="007D0883" w:rsidRDefault="00016780" w:rsidP="00016780">
      <w:r w:rsidRPr="00AC1297">
        <w:t>T</w:t>
      </w:r>
      <w:r>
        <w:t>h</w:t>
      </w:r>
      <w:r w:rsidRPr="00AC1297">
        <w:t xml:space="preserve">e ACCC </w:t>
      </w:r>
      <w:r w:rsidR="00062D79">
        <w:t xml:space="preserve">is satisfied that, where </w:t>
      </w:r>
      <w:r w:rsidRPr="00AC1297">
        <w:t>price increases</w:t>
      </w:r>
      <w:r w:rsidR="00062D79">
        <w:t xml:space="preserve"> related to the carbon tax</w:t>
      </w:r>
      <w:r w:rsidRPr="00AC1297">
        <w:t xml:space="preserve"> were made, there is no information available to indicate that any liable entities in the construction material manufacturing sector are continuing to charge prices that include any carbon tax components. The ACCC</w:t>
      </w:r>
      <w:r w:rsidR="00B5263B">
        <w:t xml:space="preserve"> assessed the representations </w:t>
      </w:r>
      <w:r w:rsidR="0090013A">
        <w:t>and</w:t>
      </w:r>
      <w:r w:rsidR="00B5263B">
        <w:t xml:space="preserve"> conduct of Boral</w:t>
      </w:r>
      <w:r w:rsidR="008F2DE2">
        <w:t xml:space="preserve"> Limited</w:t>
      </w:r>
      <w:r w:rsidR="00B5263B">
        <w:t xml:space="preserve"> and Brickworks</w:t>
      </w:r>
      <w:r w:rsidR="008F2DE2">
        <w:t xml:space="preserve"> Ltd regarding the prices of bricks and related products,</w:t>
      </w:r>
      <w:r w:rsidR="00B5263B">
        <w:t xml:space="preserve"> and did </w:t>
      </w:r>
      <w:r w:rsidRPr="00AC1297">
        <w:t xml:space="preserve">not consider that any of </w:t>
      </w:r>
      <w:r w:rsidR="008F2DE2">
        <w:t>their</w:t>
      </w:r>
      <w:r w:rsidRPr="00AC1297">
        <w:t xml:space="preserve"> representations or conduct could be held to be misleading.</w:t>
      </w:r>
    </w:p>
    <w:p w:rsidR="002E6A39" w:rsidRPr="00AC1297" w:rsidRDefault="00F74056" w:rsidP="002E6A39">
      <w:r>
        <w:t>The ACCC</w:t>
      </w:r>
      <w:r w:rsidR="002E6A39" w:rsidRPr="00AC1297">
        <w:t xml:space="preserve"> determined that the degree of pass through of carbon tax costs varied across </w:t>
      </w:r>
      <w:r w:rsidR="002E6A39">
        <w:t>different products</w:t>
      </w:r>
      <w:r w:rsidR="002E6A39" w:rsidRPr="00AC1297">
        <w:t xml:space="preserve"> in these industries</w:t>
      </w:r>
      <w:r w:rsidR="002E6A39">
        <w:t xml:space="preserve">. </w:t>
      </w:r>
      <w:r w:rsidR="002E6A39" w:rsidRPr="00AC1297">
        <w:t xml:space="preserve">Some entities were able to raise their prices </w:t>
      </w:r>
      <w:r w:rsidR="002E6A39">
        <w:t xml:space="preserve">for some products </w:t>
      </w:r>
      <w:r w:rsidR="002E6A39" w:rsidRPr="00AC1297">
        <w:t>to pass through their carbon tax costs, while others were unsuccessful or did not attempt to do so. Intense price competition</w:t>
      </w:r>
      <w:r w:rsidR="006D240B">
        <w:t xml:space="preserve"> from entities that did not incur direct carbon tax costs</w:t>
      </w:r>
      <w:r w:rsidR="002E6A39" w:rsidRPr="00AC1297">
        <w:t>, including in some cases from imports, and countervailing customer bargaining power</w:t>
      </w:r>
      <w:r w:rsidR="002E6A39">
        <w:t>,</w:t>
      </w:r>
      <w:r w:rsidR="002E6A39" w:rsidRPr="00AC1297">
        <w:t xml:space="preserve"> were the main reasons identified for not passing through carbon tax costs</w:t>
      </w:r>
      <w:r w:rsidR="002E6A39">
        <w:t xml:space="preserve">. Others had no net carbon tax costs to pass through due to assistance received under the </w:t>
      </w:r>
      <w:r w:rsidR="00016780">
        <w:t>JCP</w:t>
      </w:r>
      <w:r w:rsidR="002E6A39">
        <w:t>.</w:t>
      </w:r>
    </w:p>
    <w:p w:rsidR="002E6A39" w:rsidRPr="00AC1297" w:rsidRDefault="009F7A69" w:rsidP="002E6A39">
      <w:r>
        <w:t>E</w:t>
      </w:r>
      <w:r w:rsidR="002E6A39">
        <w:t>ntities</w:t>
      </w:r>
      <w:r w:rsidR="00497D5E">
        <w:t>,</w:t>
      </w:r>
      <w:r w:rsidR="002E6A39">
        <w:t xml:space="preserve"> wh</w:t>
      </w:r>
      <w:r w:rsidR="005C49EE">
        <w:t>ich</w:t>
      </w:r>
      <w:r w:rsidR="002E6A39">
        <w:t xml:space="preserve"> had passed through their carbon tax costs</w:t>
      </w:r>
      <w:r w:rsidR="00497D5E">
        <w:t>,</w:t>
      </w:r>
      <w:r w:rsidR="002E6A39">
        <w:t xml:space="preserve"> removed any carbon tax cost components from their prices after the repeal. However, d</w:t>
      </w:r>
      <w:r w:rsidR="002E6A39" w:rsidRPr="00AC1297">
        <w:t xml:space="preserve">espite </w:t>
      </w:r>
      <w:r w:rsidR="000230DB">
        <w:t xml:space="preserve">removing </w:t>
      </w:r>
      <w:r w:rsidR="002E6A39" w:rsidRPr="00AC1297">
        <w:t xml:space="preserve">the carbon tax cost component from their prices, some entities increased their </w:t>
      </w:r>
      <w:r w:rsidR="00016780">
        <w:t xml:space="preserve">overall </w:t>
      </w:r>
      <w:r w:rsidR="002E6A39" w:rsidRPr="00AC1297">
        <w:t xml:space="preserve">prices </w:t>
      </w:r>
      <w:r w:rsidR="00016780">
        <w:t xml:space="preserve">as increased </w:t>
      </w:r>
      <w:r w:rsidR="002E6A39" w:rsidRPr="00AC1297">
        <w:t xml:space="preserve">input costs </w:t>
      </w:r>
      <w:r w:rsidR="00016780">
        <w:t>and d</w:t>
      </w:r>
      <w:r w:rsidR="002E6A39" w:rsidRPr="00AC1297">
        <w:t xml:space="preserve">emand </w:t>
      </w:r>
      <w:r w:rsidR="000230DB">
        <w:t>for some construction materials</w:t>
      </w:r>
      <w:r w:rsidR="00016780">
        <w:t xml:space="preserve"> offset </w:t>
      </w:r>
      <w:r w:rsidR="002E6A39" w:rsidRPr="00AC1297">
        <w:t xml:space="preserve">the impact of </w:t>
      </w:r>
      <w:r w:rsidR="000230DB">
        <w:t>the</w:t>
      </w:r>
      <w:r w:rsidR="002E6A39" w:rsidRPr="00AC1297">
        <w:t xml:space="preserve"> repeal. Many products saw no change in prices directly due to the</w:t>
      </w:r>
      <w:r w:rsidR="000230DB">
        <w:t xml:space="preserve"> carbon tax</w:t>
      </w:r>
      <w:r w:rsidR="002E6A39" w:rsidRPr="00AC1297">
        <w:t xml:space="preserve"> </w:t>
      </w:r>
      <w:r w:rsidR="00193158">
        <w:t xml:space="preserve">repeal </w:t>
      </w:r>
      <w:r w:rsidR="002E6A39" w:rsidRPr="00AC1297">
        <w:t xml:space="preserve">because </w:t>
      </w:r>
      <w:r w:rsidR="00193158">
        <w:t xml:space="preserve">these prices did not include </w:t>
      </w:r>
      <w:r w:rsidR="002E6A39" w:rsidRPr="00AC1297">
        <w:t>a carbon tax cost component.</w:t>
      </w:r>
    </w:p>
    <w:p w:rsidR="0090484A" w:rsidRDefault="0090484A" w:rsidP="000A35D7">
      <w:pPr>
        <w:pStyle w:val="Heading2"/>
      </w:pPr>
      <w:bookmarkStart w:id="59" w:name="_Toc425348727"/>
      <w:r>
        <w:t>Liquid and gaseous fuels</w:t>
      </w:r>
      <w:bookmarkEnd w:id="59"/>
    </w:p>
    <w:p w:rsidR="002E6A39" w:rsidRDefault="00016780" w:rsidP="002E6A39">
      <w:r>
        <w:t>T</w:t>
      </w:r>
      <w:r w:rsidRPr="00190487">
        <w:t>he ACCC is satisfied that carbon tax costs have been removed from liable entities’ prices in this sector</w:t>
      </w:r>
      <w:r>
        <w:t xml:space="preserve"> following the carbon tax repeal, and notes that in relation to LPG, price increases after the repeal</w:t>
      </w:r>
      <w:r w:rsidRPr="00190487">
        <w:t xml:space="preserve"> </w:t>
      </w:r>
      <w:r>
        <w:t>were not as high as they otherwise would have been without the repeal.</w:t>
      </w:r>
      <w:r w:rsidR="000230DB">
        <w:t xml:space="preserve"> The ACCC </w:t>
      </w:r>
      <w:r w:rsidR="002E6A39">
        <w:t>noted that e</w:t>
      </w:r>
      <w:r w:rsidR="002E6A39" w:rsidRPr="00190487">
        <w:t>ntities in these markets are trade exposed to interna</w:t>
      </w:r>
      <w:r w:rsidR="002E6A39">
        <w:t>tional and domestic competition</w:t>
      </w:r>
      <w:r w:rsidR="006D240B">
        <w:t xml:space="preserve"> from entities that did not incur direct carbon tax costs. This </w:t>
      </w:r>
      <w:r w:rsidR="002E6A39">
        <w:t>affected some entities’ ability to pass through their carbon tax costs.</w:t>
      </w:r>
    </w:p>
    <w:p w:rsidR="002E6A39" w:rsidRDefault="002E6A39" w:rsidP="002E6A39">
      <w:r w:rsidRPr="00190487">
        <w:t xml:space="preserve">Entities that manufacture fuels for use in </w:t>
      </w:r>
      <w:r>
        <w:t xml:space="preserve">private on-road </w:t>
      </w:r>
      <w:r w:rsidRPr="00190487">
        <w:t>transport</w:t>
      </w:r>
      <w:r>
        <w:t xml:space="preserve"> (</w:t>
      </w:r>
      <w:r w:rsidRPr="00190487">
        <w:t xml:space="preserve">which </w:t>
      </w:r>
      <w:r>
        <w:t xml:space="preserve">did not </w:t>
      </w:r>
      <w:r w:rsidRPr="00190487">
        <w:t xml:space="preserve">attract </w:t>
      </w:r>
      <w:r>
        <w:t xml:space="preserve">any </w:t>
      </w:r>
      <w:r w:rsidRPr="00190487">
        <w:t>direct carbon tax liability</w:t>
      </w:r>
      <w:r w:rsidR="00016780">
        <w:t>)</w:t>
      </w:r>
      <w:r w:rsidRPr="00190487">
        <w:t xml:space="preserve"> all reported that they did not change prices due to</w:t>
      </w:r>
      <w:r w:rsidR="00016780">
        <w:t xml:space="preserve"> </w:t>
      </w:r>
      <w:r w:rsidR="007E5364">
        <w:t xml:space="preserve">the </w:t>
      </w:r>
      <w:r w:rsidR="00016780">
        <w:t>carbon tax i</w:t>
      </w:r>
      <w:r>
        <w:t>ntroduction</w:t>
      </w:r>
      <w:r w:rsidRPr="00190487">
        <w:t xml:space="preserve">. This </w:t>
      </w:r>
      <w:r>
        <w:t xml:space="preserve">information </w:t>
      </w:r>
      <w:r w:rsidRPr="00190487">
        <w:t xml:space="preserve">is </w:t>
      </w:r>
      <w:r>
        <w:t xml:space="preserve">also </w:t>
      </w:r>
      <w:r w:rsidRPr="00190487">
        <w:t xml:space="preserve">consistent with information </w:t>
      </w:r>
      <w:r w:rsidR="0035061B">
        <w:t xml:space="preserve">the ACCC </w:t>
      </w:r>
      <w:r w:rsidRPr="00190487">
        <w:t xml:space="preserve">obtained </w:t>
      </w:r>
      <w:r w:rsidR="0035061B">
        <w:t>thr</w:t>
      </w:r>
      <w:r w:rsidRPr="00190487">
        <w:t xml:space="preserve">ough its fuel price monitoring role. </w:t>
      </w:r>
    </w:p>
    <w:p w:rsidR="002E6A39" w:rsidRPr="00190487" w:rsidRDefault="00AC0069" w:rsidP="002E6A39">
      <w:r>
        <w:t>Although e</w:t>
      </w:r>
      <w:r w:rsidR="002E6A39" w:rsidRPr="00190487">
        <w:t xml:space="preserve">ntities that manufacture fuels </w:t>
      </w:r>
      <w:r w:rsidR="002E6A39">
        <w:t xml:space="preserve">for </w:t>
      </w:r>
      <w:r w:rsidR="002E6A39" w:rsidRPr="00517A56">
        <w:t xml:space="preserve">non-transport use </w:t>
      </w:r>
      <w:r w:rsidR="002E6A39">
        <w:t xml:space="preserve">or public on-road transport use </w:t>
      </w:r>
      <w:r w:rsidR="002E6A39" w:rsidRPr="00190487">
        <w:t>reported varying ability to pass through carbon tax costs</w:t>
      </w:r>
      <w:r>
        <w:t xml:space="preserve"> (</w:t>
      </w:r>
      <w:r w:rsidR="002E6A39" w:rsidRPr="00190487">
        <w:t>depending on the fuel type</w:t>
      </w:r>
      <w:r>
        <w:t>), t</w:t>
      </w:r>
      <w:r w:rsidR="00A32442">
        <w:t>he ACCC is satisfied that carbon tax costs were removed from their prices following the repeal.</w:t>
      </w:r>
    </w:p>
    <w:p w:rsidR="0090484A" w:rsidRDefault="0090484A" w:rsidP="000A35D7">
      <w:pPr>
        <w:pStyle w:val="Heading2"/>
      </w:pPr>
      <w:bookmarkStart w:id="60" w:name="_Toc425348728"/>
      <w:r>
        <w:t>High technology</w:t>
      </w:r>
      <w:r w:rsidR="002E6A39">
        <w:t>,</w:t>
      </w:r>
      <w:r w:rsidR="002E6A39" w:rsidRPr="002E6A39">
        <w:t xml:space="preserve"> </w:t>
      </w:r>
      <w:r w:rsidR="002E6A39">
        <w:t>meat and meat by-products,</w:t>
      </w:r>
      <w:r w:rsidR="002E6A39" w:rsidRPr="002E6A39">
        <w:t xml:space="preserve"> </w:t>
      </w:r>
      <w:r w:rsidR="002E6A39">
        <w:t>metal, fertiliser,</w:t>
      </w:r>
      <w:r w:rsidR="002E6A39" w:rsidRPr="002E6A39">
        <w:t xml:space="preserve"> </w:t>
      </w:r>
      <w:r w:rsidR="002E6A39">
        <w:t>and prepared food manufacturing industries</w:t>
      </w:r>
      <w:bookmarkEnd w:id="60"/>
    </w:p>
    <w:p w:rsidR="002E6A39" w:rsidRDefault="002E6A39" w:rsidP="002E6A39">
      <w:r w:rsidRPr="002C2488">
        <w:t>The ACCC’s monitoring</w:t>
      </w:r>
      <w:r>
        <w:t xml:space="preserve"> confirmed that liable entities </w:t>
      </w:r>
      <w:r w:rsidRPr="002C2488">
        <w:t>in these industries</w:t>
      </w:r>
      <w:r>
        <w:t xml:space="preserve"> did not pass through any carbon tax costs to their customers due to:</w:t>
      </w:r>
    </w:p>
    <w:p w:rsidR="002E6A39" w:rsidRDefault="00F026AC" w:rsidP="002E6A39">
      <w:pPr>
        <w:pStyle w:val="Bulletpoint"/>
      </w:pPr>
      <w:r>
        <w:t xml:space="preserve">these entities </w:t>
      </w:r>
      <w:r w:rsidR="002E6A39">
        <w:t xml:space="preserve">having received assistance, under programs such as the </w:t>
      </w:r>
      <w:r w:rsidR="00125F7E">
        <w:t>JCP</w:t>
      </w:r>
      <w:r w:rsidR="002E6A39" w:rsidRPr="00411DB3">
        <w:t xml:space="preserve"> and </w:t>
      </w:r>
      <w:r w:rsidR="002E6A39">
        <w:t xml:space="preserve">the </w:t>
      </w:r>
      <w:r w:rsidR="002E6A39" w:rsidRPr="00411DB3">
        <w:t>Steel Transformation Plan</w:t>
      </w:r>
      <w:r w:rsidR="002E6A39">
        <w:t>,</w:t>
      </w:r>
      <w:r w:rsidR="002E6A39" w:rsidRPr="00411DB3">
        <w:t xml:space="preserve"> </w:t>
      </w:r>
      <w:r w:rsidR="002E6A39">
        <w:t xml:space="preserve">which partially or fully </w:t>
      </w:r>
      <w:r w:rsidR="002E6A39" w:rsidRPr="00411DB3">
        <w:t xml:space="preserve">offset </w:t>
      </w:r>
      <w:r w:rsidR="002E6A39">
        <w:t>their carbon tax costs</w:t>
      </w:r>
    </w:p>
    <w:p w:rsidR="002E6A39" w:rsidRDefault="002E6A39" w:rsidP="002E6A39">
      <w:pPr>
        <w:pStyle w:val="Bulletpoint"/>
      </w:pPr>
      <w:r>
        <w:t>the need to remain competitive with domestic industry participants who were not liable to pay the carbon tax, and/or</w:t>
      </w:r>
    </w:p>
    <w:p w:rsidR="002E6A39" w:rsidRPr="002E6A39" w:rsidRDefault="000A35D7" w:rsidP="002E6A39">
      <w:pPr>
        <w:pStyle w:val="Bulletpoint"/>
      </w:pPr>
      <w:proofErr w:type="gramStart"/>
      <w:r>
        <w:lastRenderedPageBreak/>
        <w:t>their</w:t>
      </w:r>
      <w:proofErr w:type="gramEnd"/>
      <w:r>
        <w:t xml:space="preserve"> exposure</w:t>
      </w:r>
      <w:r w:rsidR="002E6A39">
        <w:t xml:space="preserve"> to competition with overseas entities that were not subject to the carbon tax.</w:t>
      </w:r>
    </w:p>
    <w:p w:rsidR="0090484A" w:rsidRDefault="0090484A" w:rsidP="000A35D7">
      <w:pPr>
        <w:pStyle w:val="Heading2"/>
      </w:pPr>
      <w:bookmarkStart w:id="61" w:name="_Toc425348729"/>
      <w:r>
        <w:t>Transport</w:t>
      </w:r>
      <w:bookmarkEnd w:id="61"/>
      <w:r>
        <w:t xml:space="preserve"> </w:t>
      </w:r>
    </w:p>
    <w:p w:rsidR="00D13E7A" w:rsidRDefault="008D5DD0" w:rsidP="00D13E7A">
      <w:r>
        <w:t>T</w:t>
      </w:r>
      <w:r w:rsidR="00D13E7A">
        <w:t>ransport companies (transport operators and freight forwarders) monitored b</w:t>
      </w:r>
      <w:r w:rsidR="00942302">
        <w:t>y the ACCC had, effective from 1</w:t>
      </w:r>
      <w:r w:rsidR="00D13E7A">
        <w:t xml:space="preserve"> July 2014, removed their carbon surcharges in full, and decreased their prices as a result of the carbon tax repeal. </w:t>
      </w:r>
    </w:p>
    <w:p w:rsidR="00D13E7A" w:rsidRPr="00D13E7A" w:rsidRDefault="00D13E7A" w:rsidP="00D13E7A">
      <w:r>
        <w:t>All entities in the transport industry that provided information to the ACCC included a carbon surcharge in the pricing for their transport services at the introduction of the carbon tax in 2012. Participants in the transport industry paid carbon costs through increases in fuel excise</w:t>
      </w:r>
      <w:r w:rsidR="007E5364">
        <w:t>,</w:t>
      </w:r>
      <w:r>
        <w:t xml:space="preserve"> customs duty (for aviation fuel)</w:t>
      </w:r>
      <w:r w:rsidR="007E5364">
        <w:t>,</w:t>
      </w:r>
      <w:r>
        <w:t xml:space="preserve"> or decreases in fuel tax credits (for off-road vehicle, sea and rail fuel). Those cost increases were reversed upon the </w:t>
      </w:r>
      <w:r w:rsidR="00EC2F07">
        <w:t>carbon tax repeal</w:t>
      </w:r>
      <w:r>
        <w:t xml:space="preserve">. </w:t>
      </w:r>
    </w:p>
    <w:p w:rsidR="0090484A" w:rsidRDefault="0090484A" w:rsidP="000A35D7">
      <w:pPr>
        <w:pStyle w:val="Heading2"/>
      </w:pPr>
      <w:bookmarkStart w:id="62" w:name="_Toc425348730"/>
      <w:r>
        <w:t>Domestic passenger air transport services</w:t>
      </w:r>
      <w:bookmarkEnd w:id="62"/>
    </w:p>
    <w:p w:rsidR="0082164F" w:rsidRPr="00EE169B" w:rsidRDefault="0082164F" w:rsidP="00EE169B">
      <w:pPr>
        <w:rPr>
          <w:rFonts w:cs="Arial"/>
        </w:rPr>
      </w:pPr>
      <w:r w:rsidRPr="00EE169B">
        <w:rPr>
          <w:rFonts w:cs="Arial"/>
        </w:rPr>
        <w:t xml:space="preserve">The ACCC assessed whether statements </w:t>
      </w:r>
      <w:r w:rsidR="00193158">
        <w:rPr>
          <w:rFonts w:cs="Arial"/>
        </w:rPr>
        <w:t xml:space="preserve">made by </w:t>
      </w:r>
      <w:r w:rsidRPr="00EE169B">
        <w:rPr>
          <w:rFonts w:cs="Arial"/>
        </w:rPr>
        <w:t xml:space="preserve">domestic airlines regarding the effect of the carbon tax repeal on airfares were misleading or deceptive and decided to take no further action. </w:t>
      </w:r>
    </w:p>
    <w:p w:rsidR="0082164F" w:rsidRPr="00EE169B" w:rsidRDefault="0082164F" w:rsidP="00EE169B">
      <w:pPr>
        <w:rPr>
          <w:rFonts w:cs="Arial"/>
        </w:rPr>
      </w:pPr>
      <w:r w:rsidRPr="00EE169B">
        <w:rPr>
          <w:rFonts w:cs="Arial"/>
        </w:rPr>
        <w:t xml:space="preserve">At the time of the carbon tax repeal, both Qantas and Virgin made statements that their fares </w:t>
      </w:r>
      <w:r w:rsidR="008D5DD0">
        <w:rPr>
          <w:rFonts w:cs="Arial"/>
        </w:rPr>
        <w:t>were unable to recover the cost of the carbon tax</w:t>
      </w:r>
      <w:r w:rsidRPr="00EE169B">
        <w:rPr>
          <w:rFonts w:cs="Arial"/>
        </w:rPr>
        <w:t xml:space="preserve"> and therefore would not fall when it was repealed. </w:t>
      </w:r>
    </w:p>
    <w:p w:rsidR="0082164F" w:rsidRDefault="0082164F" w:rsidP="00FC1979">
      <w:pPr>
        <w:rPr>
          <w:rFonts w:cs="Arial"/>
        </w:rPr>
      </w:pPr>
      <w:r w:rsidRPr="00EE169B">
        <w:rPr>
          <w:rFonts w:cs="Arial"/>
        </w:rPr>
        <w:t>The ACCC found that the airlines attempted to recover the cost of the carbon tax by increasing their airfares and were likely to have had some, albeit limited, success in recovering these costs in the period immediately after these fare increases were appl</w:t>
      </w:r>
      <w:r w:rsidR="00125F7E">
        <w:rPr>
          <w:rFonts w:cs="Arial"/>
        </w:rPr>
        <w:t>ied. However, the ACCC considered</w:t>
      </w:r>
      <w:r w:rsidRPr="00EE169B">
        <w:rPr>
          <w:rFonts w:cs="Arial"/>
        </w:rPr>
        <w:t xml:space="preserve"> these fare increases were likely to have been transitory, and not enduring over the period that the carbon tax was in effect</w:t>
      </w:r>
      <w:r w:rsidR="00A32442">
        <w:rPr>
          <w:rFonts w:cs="Arial"/>
        </w:rPr>
        <w:t xml:space="preserve"> due to issues including significant passenger capacity increases during the period</w:t>
      </w:r>
      <w:r w:rsidR="000230DB">
        <w:rPr>
          <w:rFonts w:cs="Arial"/>
        </w:rPr>
        <w:t>.</w:t>
      </w:r>
      <w:r w:rsidRPr="00EE169B">
        <w:rPr>
          <w:rFonts w:cs="Arial"/>
        </w:rPr>
        <w:t xml:space="preserve"> The ACCC consider</w:t>
      </w:r>
      <w:r w:rsidR="00125F7E">
        <w:rPr>
          <w:rFonts w:cs="Arial"/>
        </w:rPr>
        <w:t>ed</w:t>
      </w:r>
      <w:r w:rsidRPr="00EE169B">
        <w:rPr>
          <w:rFonts w:cs="Arial"/>
        </w:rPr>
        <w:t xml:space="preserve"> that Qantas’ representations may have given </w:t>
      </w:r>
      <w:r w:rsidR="00193158">
        <w:rPr>
          <w:rFonts w:cs="Arial"/>
        </w:rPr>
        <w:t>passengers</w:t>
      </w:r>
      <w:r w:rsidR="00193158" w:rsidRPr="00EE169B">
        <w:rPr>
          <w:rFonts w:cs="Arial"/>
        </w:rPr>
        <w:t xml:space="preserve"> </w:t>
      </w:r>
      <w:r w:rsidRPr="00EE169B">
        <w:rPr>
          <w:rFonts w:cs="Arial"/>
        </w:rPr>
        <w:t xml:space="preserve">the impression that its </w:t>
      </w:r>
      <w:r w:rsidR="00FC1979">
        <w:rPr>
          <w:rFonts w:cs="Arial"/>
        </w:rPr>
        <w:t>efforts to recover the cost of the carbon tax did not affect its fares. The ACCC also considered</w:t>
      </w:r>
      <w:r w:rsidRPr="00EE169B">
        <w:rPr>
          <w:rFonts w:cs="Arial"/>
        </w:rPr>
        <w:t xml:space="preserve"> that it failed to adequately qualify some of its statements</w:t>
      </w:r>
      <w:r w:rsidR="007C61C3">
        <w:rPr>
          <w:rFonts w:cs="Arial"/>
        </w:rPr>
        <w:t>. However</w:t>
      </w:r>
      <w:r w:rsidRPr="00EE169B">
        <w:rPr>
          <w:rFonts w:cs="Arial"/>
        </w:rPr>
        <w:t xml:space="preserve">, </w:t>
      </w:r>
      <w:r w:rsidR="007C61C3">
        <w:rPr>
          <w:rFonts w:cs="Arial"/>
        </w:rPr>
        <w:t xml:space="preserve">the ACCC also understood that Qantas restored corporate discounts as part of the process of removing its carbon tax surcharge. </w:t>
      </w:r>
      <w:r w:rsidR="008B62B6">
        <w:rPr>
          <w:rFonts w:cs="Arial"/>
        </w:rPr>
        <w:t xml:space="preserve">Having considered all of the above factors, the ACCC decided to take </w:t>
      </w:r>
      <w:r w:rsidR="007C61C3">
        <w:rPr>
          <w:rFonts w:cs="Arial"/>
        </w:rPr>
        <w:t>no further action in relation to Qantas</w:t>
      </w:r>
      <w:r w:rsidR="008B62B6">
        <w:rPr>
          <w:rFonts w:cs="Arial"/>
        </w:rPr>
        <w:t>’ representations</w:t>
      </w:r>
      <w:r w:rsidR="007C61C3">
        <w:rPr>
          <w:rFonts w:cs="Arial"/>
        </w:rPr>
        <w:t>.</w:t>
      </w:r>
      <w:r w:rsidR="00125F7E">
        <w:rPr>
          <w:rFonts w:cs="Arial"/>
        </w:rPr>
        <w:t xml:space="preserve"> The ACCC </w:t>
      </w:r>
      <w:r w:rsidR="00193158">
        <w:rPr>
          <w:rFonts w:cs="Arial"/>
        </w:rPr>
        <w:t>assesse</w:t>
      </w:r>
      <w:r w:rsidR="006F5102">
        <w:rPr>
          <w:rFonts w:cs="Arial"/>
        </w:rPr>
        <w:t>d</w:t>
      </w:r>
      <w:r w:rsidR="00193158">
        <w:rPr>
          <w:rFonts w:cs="Arial"/>
        </w:rPr>
        <w:t xml:space="preserve"> but </w:t>
      </w:r>
      <w:r w:rsidR="00125F7E">
        <w:rPr>
          <w:rFonts w:cs="Arial"/>
        </w:rPr>
        <w:t>did</w:t>
      </w:r>
      <w:r w:rsidRPr="00EE169B">
        <w:rPr>
          <w:rFonts w:cs="Arial"/>
        </w:rPr>
        <w:t xml:space="preserve"> not have concerns regarding </w:t>
      </w:r>
      <w:r w:rsidR="00FC1979">
        <w:rPr>
          <w:rFonts w:cs="Arial"/>
        </w:rPr>
        <w:t>Virgin’s representations.</w:t>
      </w:r>
    </w:p>
    <w:p w:rsidR="0090484A" w:rsidRDefault="0090484A" w:rsidP="000A35D7">
      <w:pPr>
        <w:pStyle w:val="Heading2"/>
      </w:pPr>
      <w:bookmarkStart w:id="63" w:name="_Toc425348731"/>
      <w:r>
        <w:t>Manufacturing tolling services</w:t>
      </w:r>
      <w:bookmarkEnd w:id="63"/>
    </w:p>
    <w:p w:rsidR="009F7A69" w:rsidRDefault="002E6A39" w:rsidP="009F7A69">
      <w:pPr>
        <w:rPr>
          <w:rFonts w:eastAsiaTheme="majorEastAsia" w:cstheme="majorBidi"/>
          <w:b/>
          <w:bCs/>
          <w:color w:val="51626F"/>
          <w:sz w:val="28"/>
          <w:szCs w:val="26"/>
        </w:rPr>
      </w:pPr>
      <w:r>
        <w:t>T</w:t>
      </w:r>
      <w:r w:rsidRPr="00A76396">
        <w:t xml:space="preserve">olling occurs where </w:t>
      </w:r>
      <w:r w:rsidR="00FC1979">
        <w:t xml:space="preserve">a contracting company provides raw materials </w:t>
      </w:r>
      <w:r>
        <w:t>to a manufacturer</w:t>
      </w:r>
      <w:r w:rsidR="00FC1979">
        <w:t xml:space="preserve"> for transforming,</w:t>
      </w:r>
      <w:r w:rsidRPr="00A76396">
        <w:t xml:space="preserve"> w</w:t>
      </w:r>
      <w:r>
        <w:t>it</w:t>
      </w:r>
      <w:r w:rsidRPr="00A76396">
        <w:t>h</w:t>
      </w:r>
      <w:r>
        <w:t xml:space="preserve"> the </w:t>
      </w:r>
      <w:r w:rsidRPr="00A76396">
        <w:t>contracting company retain</w:t>
      </w:r>
      <w:r>
        <w:t>ing</w:t>
      </w:r>
      <w:r w:rsidRPr="00A76396">
        <w:t xml:space="preserve"> ownership of the finished product. </w:t>
      </w:r>
      <w:r>
        <w:t>T</w:t>
      </w:r>
      <w:r w:rsidRPr="00A76396">
        <w:t>he price the manufacturing facility charges for the service is independent of the price of the contracting company charges</w:t>
      </w:r>
      <w:r>
        <w:t xml:space="preserve"> its customers for </w:t>
      </w:r>
      <w:r w:rsidRPr="00A76396">
        <w:t xml:space="preserve">the finished product. This arrangement allowed a number of </w:t>
      </w:r>
      <w:r>
        <w:t xml:space="preserve">tolling </w:t>
      </w:r>
      <w:r w:rsidRPr="00A76396">
        <w:t xml:space="preserve">facility operators to successfully pass through carbon tax costs to their contracting companies. These contracting companies operate in other industries discussed in this </w:t>
      </w:r>
      <w:proofErr w:type="gramStart"/>
      <w:r w:rsidRPr="00A76396">
        <w:t>report (such as the meat and meat by-products</w:t>
      </w:r>
      <w:r w:rsidR="00563BC2">
        <w:t>,</w:t>
      </w:r>
      <w:r w:rsidRPr="00A76396">
        <w:t xml:space="preserve"> and metal manufacturing</w:t>
      </w:r>
      <w:r w:rsidR="00563BC2">
        <w:t xml:space="preserve"> </w:t>
      </w:r>
      <w:r w:rsidRPr="00A76396">
        <w:t>sectors) in which entities were</w:t>
      </w:r>
      <w:proofErr w:type="gramEnd"/>
      <w:r w:rsidRPr="00A76396">
        <w:t xml:space="preserve"> not able to pass through their carbon tax costs to their </w:t>
      </w:r>
      <w:r w:rsidR="009F7A69">
        <w:t xml:space="preserve">own </w:t>
      </w:r>
      <w:r w:rsidRPr="00A76396">
        <w:t>customers.</w:t>
      </w:r>
      <w:r w:rsidR="009F7A69" w:rsidRPr="009F7A69">
        <w:t xml:space="preserve"> </w:t>
      </w:r>
      <w:r w:rsidR="009F7A69">
        <w:t xml:space="preserve">The ACCC is satisfied that following </w:t>
      </w:r>
      <w:r w:rsidR="00563BC2">
        <w:t xml:space="preserve">the </w:t>
      </w:r>
      <w:r w:rsidR="009F7A69">
        <w:t>repeal, all carbon tax costs have been removed from tolling contracts.</w:t>
      </w:r>
    </w:p>
    <w:p w:rsidR="007E5364" w:rsidRDefault="007E5364">
      <w:pPr>
        <w:rPr>
          <w:rFonts w:eastAsiaTheme="majorEastAsia" w:cstheme="majorBidi"/>
          <w:b/>
          <w:bCs/>
          <w:color w:val="51626F"/>
          <w:sz w:val="28"/>
          <w:szCs w:val="26"/>
        </w:rPr>
      </w:pPr>
      <w:r>
        <w:br w:type="page"/>
      </w:r>
    </w:p>
    <w:p w:rsidR="0090484A" w:rsidRDefault="0090484A">
      <w:pPr>
        <w:pStyle w:val="Heading2"/>
      </w:pPr>
      <w:bookmarkStart w:id="64" w:name="_Toc425348732"/>
      <w:r>
        <w:lastRenderedPageBreak/>
        <w:t>Water and sewerage services</w:t>
      </w:r>
      <w:bookmarkEnd w:id="64"/>
    </w:p>
    <w:p w:rsidR="002E6A39" w:rsidRPr="00411DB3" w:rsidRDefault="002E6A39" w:rsidP="002E6A39">
      <w:r w:rsidRPr="00411DB3">
        <w:t xml:space="preserve">Prices in this sector are regulated and in setting prices, regulatory authorities take into account any increases </w:t>
      </w:r>
      <w:r w:rsidR="006F5102">
        <w:t xml:space="preserve">in operating costs </w:t>
      </w:r>
      <w:r w:rsidR="00A014B3">
        <w:t>facing the</w:t>
      </w:r>
      <w:r w:rsidR="00FC1979">
        <w:t xml:space="preserve"> entities</w:t>
      </w:r>
      <w:r w:rsidRPr="00411DB3">
        <w:t>. These included both direct and indirect carbon tax costs.</w:t>
      </w:r>
    </w:p>
    <w:p w:rsidR="002E6A39" w:rsidRPr="002E6A39" w:rsidRDefault="00943446" w:rsidP="002E6A39">
      <w:r>
        <w:rPr>
          <w:rFonts w:eastAsia="Times New Roman" w:cs="Arial"/>
          <w:color w:val="000000"/>
          <w:lang w:eastAsia="en-AU"/>
        </w:rPr>
        <w:t>The ACCC considered that independent regulatory body</w:t>
      </w:r>
      <w:r w:rsidRPr="00E1572A">
        <w:rPr>
          <w:rFonts w:eastAsia="Times New Roman" w:cs="Arial"/>
          <w:color w:val="000000"/>
          <w:lang w:eastAsia="en-AU"/>
        </w:rPr>
        <w:t xml:space="preserve"> pricing determinations ensure</w:t>
      </w:r>
      <w:r w:rsidR="00A32442">
        <w:rPr>
          <w:rFonts w:eastAsia="Times New Roman" w:cs="Arial"/>
          <w:color w:val="000000"/>
          <w:lang w:eastAsia="en-AU"/>
        </w:rPr>
        <w:t>d</w:t>
      </w:r>
      <w:r w:rsidRPr="00E1572A">
        <w:rPr>
          <w:rFonts w:eastAsia="Times New Roman" w:cs="Arial"/>
          <w:color w:val="000000"/>
          <w:lang w:eastAsia="en-AU"/>
        </w:rPr>
        <w:t xml:space="preserve"> that </w:t>
      </w:r>
      <w:r>
        <w:rPr>
          <w:rFonts w:eastAsia="Times New Roman" w:cs="Arial"/>
          <w:color w:val="000000"/>
          <w:lang w:eastAsia="en-AU"/>
        </w:rPr>
        <w:t>any entity’s o</w:t>
      </w:r>
      <w:r w:rsidRPr="00E1572A">
        <w:rPr>
          <w:rFonts w:eastAsia="Times New Roman" w:cs="Arial"/>
          <w:color w:val="000000"/>
          <w:lang w:eastAsia="en-AU"/>
        </w:rPr>
        <w:t>perating cost reductions</w:t>
      </w:r>
      <w:r>
        <w:rPr>
          <w:rFonts w:eastAsia="Times New Roman" w:cs="Arial"/>
          <w:color w:val="000000"/>
          <w:lang w:eastAsia="en-AU"/>
        </w:rPr>
        <w:t xml:space="preserve"> relating to the repeal</w:t>
      </w:r>
      <w:r w:rsidRPr="00E1572A">
        <w:rPr>
          <w:rFonts w:eastAsia="Times New Roman" w:cs="Arial"/>
          <w:color w:val="000000"/>
          <w:lang w:eastAsia="en-AU"/>
        </w:rPr>
        <w:t xml:space="preserve"> </w:t>
      </w:r>
      <w:r w:rsidR="00A32442">
        <w:rPr>
          <w:rFonts w:eastAsia="Times New Roman" w:cs="Arial"/>
          <w:color w:val="000000"/>
          <w:lang w:eastAsia="en-AU"/>
        </w:rPr>
        <w:t>were</w:t>
      </w:r>
      <w:r w:rsidRPr="00E1572A">
        <w:rPr>
          <w:rFonts w:eastAsia="Times New Roman" w:cs="Arial"/>
          <w:color w:val="000000"/>
          <w:lang w:eastAsia="en-AU"/>
        </w:rPr>
        <w:t xml:space="preserve"> reflected in the prices charged to their customers.</w:t>
      </w:r>
    </w:p>
    <w:p w:rsidR="0090484A" w:rsidRDefault="0090484A">
      <w:pPr>
        <w:pStyle w:val="Heading2"/>
      </w:pPr>
      <w:bookmarkStart w:id="65" w:name="_Toc425348733"/>
      <w:r>
        <w:t>Vehicle parking services</w:t>
      </w:r>
      <w:r w:rsidR="00D13E7A">
        <w:t xml:space="preserve"> and r</w:t>
      </w:r>
      <w:r>
        <w:t>etail property</w:t>
      </w:r>
      <w:bookmarkEnd w:id="65"/>
    </w:p>
    <w:p w:rsidR="00094988" w:rsidRPr="00FB47E3" w:rsidRDefault="00094988" w:rsidP="00FB47E3">
      <w:pPr>
        <w:rPr>
          <w:strike/>
        </w:rPr>
      </w:pPr>
      <w:r w:rsidRPr="00094988">
        <w:t>Entities in the vehicle parking services and retail property industries are not subject to the price reduction obligation under Part V of the CCA. The ACCC assessed these entities because they made public statements about the impact of the carbon tax</w:t>
      </w:r>
      <w:r>
        <w:t>.</w:t>
      </w:r>
      <w:r w:rsidRPr="00094988">
        <w:t xml:space="preserve"> </w:t>
      </w:r>
    </w:p>
    <w:p w:rsidR="00094988" w:rsidRPr="00FB47E3" w:rsidRDefault="00094988">
      <w:r>
        <w:t>Entiti</w:t>
      </w:r>
      <w:r w:rsidRPr="00094988">
        <w:t>es in these industries informed the ACCC that they would</w:t>
      </w:r>
      <w:r w:rsidR="002F10D8">
        <w:t xml:space="preserve"> </w:t>
      </w:r>
      <w:r w:rsidRPr="00094988">
        <w:t>remove the carbon charge</w:t>
      </w:r>
      <w:r w:rsidR="00695CAD">
        <w:t>s</w:t>
      </w:r>
      <w:r w:rsidRPr="00094988">
        <w:t xml:space="preserve"> once they no longer incurred any carbon-related costs, and continue to pass through any carbon tax repeal cost savings.   </w:t>
      </w:r>
    </w:p>
    <w:p w:rsidR="00094988" w:rsidRPr="00FB47E3" w:rsidRDefault="00094988" w:rsidP="00FB47E3">
      <w:r w:rsidRPr="001D552F">
        <w:t xml:space="preserve">The ACCC is not aware of any public statements made by entities in these industries about how they would deal with the effects of the carbon tax or its repeal. </w:t>
      </w:r>
      <w:r w:rsidRPr="00FB47E3">
        <w:rPr>
          <w:bCs/>
        </w:rPr>
        <w:t xml:space="preserve">As noted in the July 2014 Carbon Report, the ACCC did not send further information requests to these entities but has continued to monitor for complaints. The ACCC has not received any complaints relating to the entities not passing through their carbon </w:t>
      </w:r>
      <w:r w:rsidR="00563BC2">
        <w:rPr>
          <w:bCs/>
        </w:rPr>
        <w:t>tax repeal</w:t>
      </w:r>
      <w:r w:rsidR="00563BC2" w:rsidRPr="00FB47E3">
        <w:rPr>
          <w:bCs/>
        </w:rPr>
        <w:t xml:space="preserve"> </w:t>
      </w:r>
      <w:r w:rsidRPr="00FB47E3">
        <w:rPr>
          <w:bCs/>
        </w:rPr>
        <w:t>cost savings.</w:t>
      </w:r>
    </w:p>
    <w:p w:rsidR="00094988" w:rsidRDefault="00094988">
      <w:pPr>
        <w:rPr>
          <w:rFonts w:ascii="Lucida Fax" w:eastAsiaTheme="majorEastAsia" w:hAnsi="Lucida Fax" w:cstheme="majorBidi"/>
          <w:bCs/>
          <w:color w:val="51626F"/>
          <w:sz w:val="32"/>
          <w:szCs w:val="28"/>
        </w:rPr>
      </w:pPr>
      <w:r>
        <w:br w:type="page"/>
      </w:r>
    </w:p>
    <w:p w:rsidR="0099004A" w:rsidRDefault="0099004A" w:rsidP="00125F7E">
      <w:pPr>
        <w:pStyle w:val="Heading1"/>
      </w:pPr>
      <w:bookmarkStart w:id="66" w:name="_Toc425348734"/>
      <w:r>
        <w:lastRenderedPageBreak/>
        <w:t>Compliance</w:t>
      </w:r>
      <w:bookmarkEnd w:id="66"/>
      <w:r>
        <w:t xml:space="preserve"> </w:t>
      </w:r>
    </w:p>
    <w:p w:rsidR="00F81C78" w:rsidRDefault="00F81C78" w:rsidP="0099004A">
      <w:pPr>
        <w:autoSpaceDE w:val="0"/>
        <w:autoSpaceDN w:val="0"/>
        <w:adjustRightInd w:val="0"/>
        <w:spacing w:before="0"/>
      </w:pPr>
    </w:p>
    <w:p w:rsidR="0099004A" w:rsidRDefault="00695CAD" w:rsidP="0099004A">
      <w:pPr>
        <w:autoSpaceDE w:val="0"/>
        <w:autoSpaceDN w:val="0"/>
        <w:adjustRightInd w:val="0"/>
        <w:spacing w:before="0"/>
        <w:rPr>
          <w:rFonts w:asciiTheme="minorHAnsi" w:hAnsiTheme="minorHAnsi" w:cstheme="minorHAnsi"/>
        </w:rPr>
      </w:pPr>
      <w:r>
        <w:rPr>
          <w:rFonts w:asciiTheme="minorHAnsi" w:hAnsiTheme="minorHAnsi" w:cstheme="minorHAnsi"/>
        </w:rPr>
        <w:t>In the June 2015 quarter, t</w:t>
      </w:r>
      <w:r w:rsidR="0099004A" w:rsidRPr="00B54DFE">
        <w:rPr>
          <w:rFonts w:asciiTheme="minorHAnsi" w:hAnsiTheme="minorHAnsi" w:cstheme="minorHAnsi"/>
        </w:rPr>
        <w:t xml:space="preserve">he ACCC focused on </w:t>
      </w:r>
      <w:r w:rsidR="008F15D2">
        <w:rPr>
          <w:rFonts w:asciiTheme="minorHAnsi" w:hAnsiTheme="minorHAnsi" w:cstheme="minorHAnsi"/>
        </w:rPr>
        <w:t xml:space="preserve">finalising its monitoring activities </w:t>
      </w:r>
      <w:r w:rsidR="008F2DE2">
        <w:rPr>
          <w:rFonts w:asciiTheme="minorHAnsi" w:hAnsiTheme="minorHAnsi" w:cstheme="minorHAnsi"/>
        </w:rPr>
        <w:t xml:space="preserve">and ensuring there are no outstanding issues </w:t>
      </w:r>
      <w:r w:rsidR="008F15D2">
        <w:rPr>
          <w:rFonts w:asciiTheme="minorHAnsi" w:hAnsiTheme="minorHAnsi" w:cstheme="minorHAnsi"/>
        </w:rPr>
        <w:t xml:space="preserve">in anticipation of the end of </w:t>
      </w:r>
      <w:r w:rsidR="00C54264">
        <w:rPr>
          <w:rFonts w:asciiTheme="minorHAnsi" w:hAnsiTheme="minorHAnsi" w:cstheme="minorHAnsi"/>
        </w:rPr>
        <w:t xml:space="preserve">its </w:t>
      </w:r>
      <w:r w:rsidR="002E2A11">
        <w:rPr>
          <w:rFonts w:asciiTheme="minorHAnsi" w:hAnsiTheme="minorHAnsi" w:cstheme="minorHAnsi"/>
        </w:rPr>
        <w:t xml:space="preserve">formal </w:t>
      </w:r>
      <w:r w:rsidR="008F15D2">
        <w:rPr>
          <w:rFonts w:asciiTheme="minorHAnsi" w:hAnsiTheme="minorHAnsi" w:cstheme="minorHAnsi"/>
        </w:rPr>
        <w:t xml:space="preserve">monitoring </w:t>
      </w:r>
      <w:r w:rsidR="002E2A11">
        <w:rPr>
          <w:rFonts w:asciiTheme="minorHAnsi" w:hAnsiTheme="minorHAnsi" w:cstheme="minorHAnsi"/>
        </w:rPr>
        <w:t>role</w:t>
      </w:r>
      <w:r w:rsidR="008F15D2">
        <w:rPr>
          <w:rFonts w:asciiTheme="minorHAnsi" w:hAnsiTheme="minorHAnsi" w:cstheme="minorHAnsi"/>
        </w:rPr>
        <w:t xml:space="preserve"> on 30 June 2015. </w:t>
      </w:r>
      <w:r>
        <w:rPr>
          <w:rFonts w:asciiTheme="minorHAnsi" w:hAnsiTheme="minorHAnsi" w:cstheme="minorHAnsi"/>
        </w:rPr>
        <w:t>T</w:t>
      </w:r>
      <w:r w:rsidR="008F15D2">
        <w:rPr>
          <w:rFonts w:asciiTheme="minorHAnsi" w:hAnsiTheme="minorHAnsi" w:cstheme="minorHAnsi"/>
        </w:rPr>
        <w:t xml:space="preserve">he ACCC </w:t>
      </w:r>
      <w:r w:rsidR="004E60F4">
        <w:rPr>
          <w:rFonts w:asciiTheme="minorHAnsi" w:hAnsiTheme="minorHAnsi" w:cstheme="minorHAnsi"/>
        </w:rPr>
        <w:t>received</w:t>
      </w:r>
      <w:r w:rsidR="004E60F4" w:rsidRPr="00B54DFE">
        <w:rPr>
          <w:rFonts w:asciiTheme="minorHAnsi" w:hAnsiTheme="minorHAnsi" w:cstheme="minorHAnsi"/>
        </w:rPr>
        <w:t xml:space="preserve"> </w:t>
      </w:r>
      <w:r w:rsidR="0099004A" w:rsidRPr="00B54DFE">
        <w:rPr>
          <w:rFonts w:asciiTheme="minorHAnsi" w:hAnsiTheme="minorHAnsi" w:cstheme="minorHAnsi"/>
        </w:rPr>
        <w:t>confirmation from one</w:t>
      </w:r>
      <w:r w:rsidR="008F15D2">
        <w:rPr>
          <w:rFonts w:asciiTheme="minorHAnsi" w:hAnsiTheme="minorHAnsi" w:cstheme="minorHAnsi"/>
        </w:rPr>
        <w:t xml:space="preserve"> </w:t>
      </w:r>
      <w:r w:rsidR="0099004A" w:rsidRPr="00B54DFE">
        <w:rPr>
          <w:rFonts w:asciiTheme="minorHAnsi" w:hAnsiTheme="minorHAnsi" w:cstheme="minorHAnsi"/>
        </w:rPr>
        <w:t xml:space="preserve">small electricity retailer and several </w:t>
      </w:r>
      <w:r w:rsidR="00A91699" w:rsidRPr="00B54DFE">
        <w:rPr>
          <w:rFonts w:asciiTheme="minorHAnsi" w:hAnsiTheme="minorHAnsi" w:cstheme="minorHAnsi"/>
        </w:rPr>
        <w:t xml:space="preserve">SGG entities </w:t>
      </w:r>
      <w:r w:rsidR="0099004A" w:rsidRPr="00B54DFE">
        <w:rPr>
          <w:rFonts w:asciiTheme="minorHAnsi" w:hAnsiTheme="minorHAnsi" w:cstheme="minorHAnsi"/>
        </w:rPr>
        <w:t xml:space="preserve">about the pass through of carbon tax repeal cost savings and monitoring price movements to determine the impact of the carbon tax repeal on those entities’ prices. The ACCC also </w:t>
      </w:r>
      <w:r w:rsidR="008F15D2">
        <w:rPr>
          <w:rFonts w:asciiTheme="minorHAnsi" w:hAnsiTheme="minorHAnsi" w:cstheme="minorHAnsi"/>
        </w:rPr>
        <w:t>continued its</w:t>
      </w:r>
      <w:r w:rsidR="0099004A" w:rsidRPr="00B54DFE">
        <w:rPr>
          <w:rFonts w:asciiTheme="minorHAnsi" w:hAnsiTheme="minorHAnsi" w:cstheme="minorHAnsi"/>
        </w:rPr>
        <w:t xml:space="preserve"> engagement with </w:t>
      </w:r>
      <w:r w:rsidR="008F15D2">
        <w:rPr>
          <w:rFonts w:asciiTheme="minorHAnsi" w:hAnsiTheme="minorHAnsi" w:cstheme="minorHAnsi"/>
        </w:rPr>
        <w:t>certain</w:t>
      </w:r>
      <w:r w:rsidR="008F15D2" w:rsidRPr="00B54DFE">
        <w:rPr>
          <w:rFonts w:asciiTheme="minorHAnsi" w:hAnsiTheme="minorHAnsi" w:cstheme="minorHAnsi"/>
        </w:rPr>
        <w:t xml:space="preserve"> </w:t>
      </w:r>
      <w:r w:rsidR="00A91699">
        <w:rPr>
          <w:rFonts w:asciiTheme="minorHAnsi" w:hAnsiTheme="minorHAnsi" w:cstheme="minorHAnsi"/>
        </w:rPr>
        <w:t>landfill operators to confirm their decisions regarding the use of excess carbon tax revenue</w:t>
      </w:r>
      <w:r w:rsidR="0099004A" w:rsidRPr="00B54DFE">
        <w:rPr>
          <w:rFonts w:asciiTheme="minorHAnsi" w:hAnsiTheme="minorHAnsi" w:cstheme="minorHAnsi"/>
        </w:rPr>
        <w:t xml:space="preserve">. </w:t>
      </w:r>
    </w:p>
    <w:p w:rsidR="00E8295D" w:rsidRDefault="00E8295D" w:rsidP="0099004A">
      <w:pPr>
        <w:autoSpaceDE w:val="0"/>
        <w:autoSpaceDN w:val="0"/>
        <w:adjustRightInd w:val="0"/>
        <w:spacing w:before="0"/>
        <w:rPr>
          <w:rFonts w:asciiTheme="minorHAnsi" w:hAnsiTheme="minorHAnsi" w:cstheme="minorHAnsi"/>
        </w:rPr>
      </w:pPr>
    </w:p>
    <w:p w:rsidR="00E8295D" w:rsidRDefault="00E8295D" w:rsidP="0099004A">
      <w:pPr>
        <w:autoSpaceDE w:val="0"/>
        <w:autoSpaceDN w:val="0"/>
        <w:adjustRightInd w:val="0"/>
        <w:spacing w:before="0"/>
        <w:rPr>
          <w:rFonts w:asciiTheme="minorHAnsi" w:hAnsiTheme="minorHAnsi" w:cstheme="minorHAnsi"/>
        </w:rPr>
      </w:pPr>
      <w:r>
        <w:rPr>
          <w:rFonts w:asciiTheme="minorHAnsi" w:hAnsiTheme="minorHAnsi" w:cstheme="minorHAnsi"/>
        </w:rPr>
        <w:t xml:space="preserve">In </w:t>
      </w:r>
      <w:r w:rsidR="00E87F86">
        <w:rPr>
          <w:rFonts w:asciiTheme="minorHAnsi" w:hAnsiTheme="minorHAnsi" w:cstheme="minorHAnsi"/>
        </w:rPr>
        <w:t>summary for</w:t>
      </w:r>
      <w:r w:rsidR="008F15D2">
        <w:rPr>
          <w:rFonts w:asciiTheme="minorHAnsi" w:hAnsiTheme="minorHAnsi" w:cstheme="minorHAnsi"/>
        </w:rPr>
        <w:t xml:space="preserve"> </w:t>
      </w:r>
      <w:r>
        <w:rPr>
          <w:rFonts w:asciiTheme="minorHAnsi" w:hAnsiTheme="minorHAnsi" w:cstheme="minorHAnsi"/>
        </w:rPr>
        <w:t>the June 2015 quarter, the ACCC:</w:t>
      </w:r>
    </w:p>
    <w:p w:rsidR="00F81C78" w:rsidRDefault="00F81C78" w:rsidP="00D13F42">
      <w:pPr>
        <w:pStyle w:val="Bulletpoint"/>
      </w:pPr>
      <w:r w:rsidRPr="007539BA">
        <w:t xml:space="preserve">completed its investigation of one small electricity retailer </w:t>
      </w:r>
      <w:r w:rsidRPr="00D13F42">
        <w:t>and is satisfied that the entity has passed through to customers its carbon tax repeal cost savings</w:t>
      </w:r>
    </w:p>
    <w:p w:rsidR="00022639" w:rsidRPr="00D13F42" w:rsidRDefault="00022639" w:rsidP="00D13F42">
      <w:pPr>
        <w:pStyle w:val="Bulletpoint"/>
      </w:pPr>
      <w:r>
        <w:t>finalised its price monitoring activities in the SGG sector</w:t>
      </w:r>
    </w:p>
    <w:p w:rsidR="00E8295D" w:rsidRPr="00D13F42" w:rsidRDefault="00E8295D" w:rsidP="00D13F42">
      <w:pPr>
        <w:pStyle w:val="Bulletpoint"/>
      </w:pPr>
      <w:r w:rsidRPr="00D13F42">
        <w:t>sent 37 price monitoring requests to entities in the landfill sector</w:t>
      </w:r>
      <w:r w:rsidR="008F15D2" w:rsidRPr="00D13F42">
        <w:t xml:space="preserve"> </w:t>
      </w:r>
    </w:p>
    <w:p w:rsidR="00E8295D" w:rsidRDefault="00E8295D" w:rsidP="00D13F42">
      <w:pPr>
        <w:pStyle w:val="Bulletpoint"/>
      </w:pPr>
      <w:proofErr w:type="gramStart"/>
      <w:r w:rsidRPr="00D13F42">
        <w:t>released</w:t>
      </w:r>
      <w:proofErr w:type="gramEnd"/>
      <w:r>
        <w:t xml:space="preserve"> one publication on 29 April 2015: </w:t>
      </w:r>
      <w:hyperlink r:id="rId16" w:history="1">
        <w:r w:rsidRPr="00D13F42">
          <w:rPr>
            <w:rStyle w:val="Hyperlink"/>
            <w:i/>
          </w:rPr>
          <w:t>Carbon tax price reduction obligation: the ACCC's operations March 2015 quarter</w:t>
        </w:r>
      </w:hyperlink>
      <w:r>
        <w:t>.</w:t>
      </w:r>
    </w:p>
    <w:p w:rsidR="00E87F86" w:rsidRDefault="00E8295D" w:rsidP="00D13F42">
      <w:pPr>
        <w:pStyle w:val="Heading2"/>
      </w:pPr>
      <w:bookmarkStart w:id="67" w:name="_Toc425348735"/>
      <w:r w:rsidRPr="00D13F42">
        <w:t xml:space="preserve">Summary of compliance </w:t>
      </w:r>
      <w:r w:rsidR="00E87F86">
        <w:t>activities</w:t>
      </w:r>
      <w:r w:rsidR="007539BA" w:rsidRPr="00004492">
        <w:t>–</w:t>
      </w:r>
      <w:r w:rsidR="00E87F86">
        <w:t>monitoring period</w:t>
      </w:r>
      <w:bookmarkEnd w:id="67"/>
    </w:p>
    <w:p w:rsidR="00E87F86" w:rsidRPr="00D13F42" w:rsidRDefault="00E87F86" w:rsidP="00D13F42">
      <w:pPr>
        <w:pStyle w:val="Bulletpoint"/>
        <w:numPr>
          <w:ilvl w:val="0"/>
          <w:numId w:val="0"/>
        </w:numPr>
      </w:pPr>
      <w:r w:rsidRPr="00D13F42">
        <w:t xml:space="preserve">The ACCC’s </w:t>
      </w:r>
      <w:r w:rsidR="002E2A11">
        <w:t>compliance</w:t>
      </w:r>
      <w:r w:rsidRPr="00D13F42">
        <w:t xml:space="preserve"> activi</w:t>
      </w:r>
      <w:r w:rsidR="002E2A11">
        <w:t>ti</w:t>
      </w:r>
      <w:r w:rsidRPr="00D13F42">
        <w:t>es began under the Direction to monitor prices</w:t>
      </w:r>
      <w:r>
        <w:t>,</w:t>
      </w:r>
      <w:r w:rsidRPr="00D13F42">
        <w:t xml:space="preserve"> costs and profits </w:t>
      </w:r>
      <w:r w:rsidR="002E2A11">
        <w:t>from</w:t>
      </w:r>
      <w:r w:rsidRPr="00D13F42">
        <w:t xml:space="preserve"> </w:t>
      </w:r>
      <w:r w:rsidR="00B46EF4">
        <w:t>1 March</w:t>
      </w:r>
      <w:r w:rsidRPr="00D13F42">
        <w:t xml:space="preserve"> 2014 to </w:t>
      </w:r>
      <w:r w:rsidR="00F81C78">
        <w:t xml:space="preserve">the carbon tax </w:t>
      </w:r>
      <w:r w:rsidRPr="00D13F42">
        <w:t xml:space="preserve">repeal and then under the </w:t>
      </w:r>
      <w:r w:rsidR="00CC5F15">
        <w:t xml:space="preserve">monitoring provisions in the </w:t>
      </w:r>
      <w:r w:rsidRPr="00D13F42">
        <w:t xml:space="preserve">carbon </w:t>
      </w:r>
      <w:r w:rsidR="006E5303">
        <w:t xml:space="preserve">tax </w:t>
      </w:r>
      <w:r w:rsidRPr="00D13F42">
        <w:t xml:space="preserve">price reduction obligation </w:t>
      </w:r>
      <w:r w:rsidR="002E2A11">
        <w:t>legislation</w:t>
      </w:r>
      <w:r w:rsidRPr="00D13F42">
        <w:t xml:space="preserve"> to 30 June 2015.</w:t>
      </w:r>
    </w:p>
    <w:p w:rsidR="00E8295D" w:rsidRDefault="00E8295D" w:rsidP="00D13F42">
      <w:pPr>
        <w:pStyle w:val="Bulletpoint"/>
        <w:numPr>
          <w:ilvl w:val="0"/>
          <w:numId w:val="0"/>
        </w:numPr>
        <w:rPr>
          <w:rFonts w:asciiTheme="minorHAnsi" w:hAnsiTheme="minorHAnsi" w:cstheme="minorHAnsi"/>
        </w:rPr>
      </w:pPr>
      <w:r>
        <w:rPr>
          <w:rFonts w:asciiTheme="minorHAnsi" w:hAnsiTheme="minorHAnsi" w:cstheme="minorHAnsi"/>
        </w:rPr>
        <w:t xml:space="preserve">During </w:t>
      </w:r>
      <w:r w:rsidR="00E87F86">
        <w:rPr>
          <w:rFonts w:asciiTheme="minorHAnsi" w:hAnsiTheme="minorHAnsi" w:cstheme="minorHAnsi"/>
        </w:rPr>
        <w:t>that time</w:t>
      </w:r>
      <w:r>
        <w:rPr>
          <w:rFonts w:asciiTheme="minorHAnsi" w:hAnsiTheme="minorHAnsi" w:cstheme="minorHAnsi"/>
        </w:rPr>
        <w:t>, the ACCC:</w:t>
      </w:r>
    </w:p>
    <w:p w:rsidR="00E8295D" w:rsidRDefault="00E8295D" w:rsidP="00D13F42">
      <w:pPr>
        <w:pStyle w:val="Bulletpoint"/>
      </w:pPr>
      <w:r>
        <w:t xml:space="preserve">sent 839 monitoring requests, 496 of which </w:t>
      </w:r>
      <w:r w:rsidR="00022639">
        <w:t>related to the</w:t>
      </w:r>
      <w:r>
        <w:t xml:space="preserve"> regulated sectors </w:t>
      </w:r>
    </w:p>
    <w:p w:rsidR="00F81C78" w:rsidRDefault="00E8295D" w:rsidP="00D13F42">
      <w:pPr>
        <w:pStyle w:val="Bulletpoint"/>
      </w:pPr>
      <w:r>
        <w:t>participated in 87 stakeholder engagement meetings</w:t>
      </w:r>
    </w:p>
    <w:p w:rsidR="00D06E77" w:rsidRPr="00B54DFE" w:rsidRDefault="00E87F86" w:rsidP="00D13F42">
      <w:pPr>
        <w:pStyle w:val="Bulletpoint"/>
      </w:pPr>
      <w:proofErr w:type="gramStart"/>
      <w:r>
        <w:t>issued</w:t>
      </w:r>
      <w:proofErr w:type="gramEnd"/>
      <w:r>
        <w:t xml:space="preserve"> </w:t>
      </w:r>
      <w:r w:rsidR="00D06E77">
        <w:t>various media releases, targeted publications</w:t>
      </w:r>
      <w:r w:rsidR="006E5303">
        <w:t xml:space="preserve"> and</w:t>
      </w:r>
      <w:r>
        <w:t xml:space="preserve"> online information</w:t>
      </w:r>
      <w:r w:rsidR="00D06E77">
        <w:t xml:space="preserve"> </w:t>
      </w:r>
      <w:r w:rsidR="006E5303">
        <w:t>as well as</w:t>
      </w:r>
      <w:r w:rsidR="00D06E77">
        <w:t xml:space="preserve"> the monitoring reports</w:t>
      </w:r>
      <w:r>
        <w:t>.</w:t>
      </w:r>
    </w:p>
    <w:p w:rsidR="002E2A11" w:rsidRPr="00D13F42" w:rsidRDefault="002E2A11" w:rsidP="00D13F42">
      <w:pPr>
        <w:pStyle w:val="Heading2"/>
      </w:pPr>
      <w:bookmarkStart w:id="68" w:name="_Toc425348736"/>
      <w:r w:rsidRPr="00D13F42">
        <w:t>Complaints</w:t>
      </w:r>
      <w:r w:rsidR="00F81C78" w:rsidRPr="00D13F42">
        <w:t xml:space="preserve"> summary–June 2015 quarter</w:t>
      </w:r>
      <w:bookmarkEnd w:id="68"/>
    </w:p>
    <w:p w:rsidR="00F7238B" w:rsidRPr="009315F7" w:rsidRDefault="0099004A" w:rsidP="00D13F42">
      <w:pPr>
        <w:autoSpaceDE w:val="0"/>
        <w:autoSpaceDN w:val="0"/>
        <w:adjustRightInd w:val="0"/>
        <w:spacing w:before="120"/>
        <w:rPr>
          <w:rFonts w:asciiTheme="minorHAnsi" w:hAnsiTheme="minorHAnsi" w:cstheme="minorHAnsi"/>
        </w:rPr>
      </w:pPr>
      <w:r w:rsidRPr="00B54DFE">
        <w:rPr>
          <w:rFonts w:asciiTheme="minorHAnsi" w:hAnsiTheme="minorHAnsi" w:cstheme="minorHAnsi"/>
        </w:rPr>
        <w:t>In the June 2015 quarter, the ACCC received the following carbon tax related complaints and enquiries:</w:t>
      </w:r>
    </w:p>
    <w:p w:rsidR="00F7238B" w:rsidRPr="008A608E" w:rsidRDefault="00F7238B" w:rsidP="009315F7">
      <w:pPr>
        <w:autoSpaceDE w:val="0"/>
        <w:autoSpaceDN w:val="0"/>
        <w:adjustRightInd w:val="0"/>
        <w:spacing w:before="120" w:after="120"/>
        <w:ind w:left="142"/>
        <w:rPr>
          <w:rFonts w:asciiTheme="minorHAnsi" w:hAnsiTheme="minorHAnsi" w:cstheme="minorHAnsi"/>
          <w:b/>
          <w:bCs/>
          <w:color w:val="000000" w:themeColor="text1"/>
        </w:rPr>
      </w:pPr>
      <w:r w:rsidRPr="009315F7">
        <w:rPr>
          <w:rFonts w:asciiTheme="minorHAnsi" w:hAnsiTheme="minorHAnsi" w:cstheme="minorHAnsi"/>
          <w:b/>
          <w:bCs/>
          <w:color w:val="000000" w:themeColor="text1"/>
        </w:rPr>
        <w:t>Table 10: June 2015</w:t>
      </w:r>
      <w:r w:rsidRPr="008A608E">
        <w:rPr>
          <w:rFonts w:asciiTheme="minorHAnsi" w:hAnsiTheme="minorHAnsi" w:cstheme="minorHAnsi"/>
          <w:b/>
          <w:bCs/>
          <w:color w:val="000000" w:themeColor="text1"/>
        </w:rPr>
        <w:t xml:space="preserve"> quarter complaint summary–conduct</w:t>
      </w:r>
    </w:p>
    <w:tbl>
      <w:tblPr>
        <w:tblStyle w:val="LightShading-Accent1"/>
        <w:tblW w:w="0" w:type="auto"/>
        <w:jc w:val="center"/>
        <w:tblLook w:val="04A0" w:firstRow="1" w:lastRow="0" w:firstColumn="1" w:lastColumn="0" w:noHBand="0" w:noVBand="1"/>
      </w:tblPr>
      <w:tblGrid>
        <w:gridCol w:w="2310"/>
        <w:gridCol w:w="3685"/>
        <w:gridCol w:w="1361"/>
        <w:gridCol w:w="1417"/>
      </w:tblGrid>
      <w:tr w:rsidR="00B002E2" w:rsidRPr="00B65F2F" w:rsidTr="00B002E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rsidR="00F7238B" w:rsidRPr="009315F7" w:rsidRDefault="00F7238B" w:rsidP="008A608E">
            <w:pPr>
              <w:autoSpaceDE w:val="0"/>
              <w:autoSpaceDN w:val="0"/>
              <w:adjustRightInd w:val="0"/>
              <w:rPr>
                <w:rFonts w:asciiTheme="minorHAnsi" w:hAnsiTheme="minorHAnsi" w:cstheme="minorHAnsi"/>
                <w:b w:val="0"/>
                <w:bCs w:val="0"/>
                <w:color w:val="000000" w:themeColor="text1"/>
                <w:sz w:val="20"/>
                <w:szCs w:val="20"/>
              </w:rPr>
            </w:pPr>
            <w:r w:rsidRPr="009315F7">
              <w:rPr>
                <w:rFonts w:asciiTheme="minorHAnsi" w:eastAsia="Times New Roman" w:hAnsiTheme="minorHAnsi" w:cstheme="minorHAnsi"/>
                <w:color w:val="000000" w:themeColor="text1"/>
                <w:sz w:val="20"/>
                <w:szCs w:val="20"/>
                <w:lang w:eastAsia="en-AU"/>
              </w:rPr>
              <w:t>Alleged Conduct</w:t>
            </w:r>
          </w:p>
        </w:tc>
        <w:tc>
          <w:tcPr>
            <w:tcW w:w="3685" w:type="dxa"/>
            <w:vAlign w:val="center"/>
          </w:tcPr>
          <w:p w:rsidR="00F7238B" w:rsidRPr="009315F7" w:rsidRDefault="00F7238B" w:rsidP="008A608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0"/>
                <w:szCs w:val="20"/>
              </w:rPr>
            </w:pPr>
            <w:r w:rsidRPr="009315F7">
              <w:rPr>
                <w:rFonts w:asciiTheme="minorHAnsi" w:eastAsia="Times New Roman" w:hAnsiTheme="minorHAnsi" w:cstheme="minorHAnsi"/>
                <w:color w:val="000000" w:themeColor="text1"/>
                <w:sz w:val="20"/>
                <w:szCs w:val="20"/>
                <w:lang w:eastAsia="en-AU"/>
              </w:rPr>
              <w:t>Description</w:t>
            </w:r>
          </w:p>
        </w:tc>
        <w:tc>
          <w:tcPr>
            <w:tcW w:w="1361" w:type="dxa"/>
            <w:vAlign w:val="center"/>
          </w:tcPr>
          <w:p w:rsidR="00F7238B" w:rsidRPr="009315F7" w:rsidRDefault="00F7238B" w:rsidP="008A608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0"/>
                <w:szCs w:val="20"/>
              </w:rPr>
            </w:pPr>
            <w:r w:rsidRPr="009315F7">
              <w:rPr>
                <w:rFonts w:asciiTheme="minorHAnsi" w:eastAsia="Times New Roman" w:hAnsiTheme="minorHAnsi" w:cstheme="minorHAnsi"/>
                <w:color w:val="000000" w:themeColor="text1"/>
                <w:sz w:val="20"/>
                <w:szCs w:val="20"/>
                <w:lang w:eastAsia="en-AU"/>
              </w:rPr>
              <w:t>This Period</w:t>
            </w:r>
          </w:p>
        </w:tc>
        <w:tc>
          <w:tcPr>
            <w:tcW w:w="1417" w:type="dxa"/>
            <w:vAlign w:val="center"/>
          </w:tcPr>
          <w:p w:rsidR="00F7238B" w:rsidRPr="009315F7" w:rsidRDefault="00F7238B" w:rsidP="008A608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0"/>
                <w:szCs w:val="20"/>
              </w:rPr>
            </w:pPr>
            <w:r w:rsidRPr="009315F7">
              <w:rPr>
                <w:rFonts w:asciiTheme="minorHAnsi" w:eastAsia="Times New Roman" w:hAnsiTheme="minorHAnsi" w:cstheme="minorHAnsi"/>
                <w:color w:val="000000" w:themeColor="text1"/>
                <w:sz w:val="20"/>
                <w:szCs w:val="20"/>
                <w:lang w:eastAsia="en-AU"/>
              </w:rPr>
              <w:t>Total Since</w:t>
            </w:r>
            <w:r w:rsidRPr="009315F7">
              <w:rPr>
                <w:rFonts w:asciiTheme="minorHAnsi" w:eastAsia="Times New Roman" w:hAnsiTheme="minorHAnsi" w:cstheme="minorHAnsi"/>
                <w:color w:val="000000" w:themeColor="text1"/>
                <w:sz w:val="20"/>
                <w:szCs w:val="20"/>
                <w:lang w:eastAsia="en-AU"/>
              </w:rPr>
              <w:br/>
              <w:t>1 July 2014</w:t>
            </w:r>
          </w:p>
        </w:tc>
      </w:tr>
      <w:tr w:rsidR="00D72545" w:rsidRPr="00B65F2F" w:rsidTr="008A608E">
        <w:trPr>
          <w:cnfStyle w:val="000000100000" w:firstRow="0" w:lastRow="0" w:firstColumn="0" w:lastColumn="0" w:oddVBand="0" w:evenVBand="0" w:oddHBand="1"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t xml:space="preserve">False or misleading representations or </w:t>
            </w:r>
            <w:r w:rsidRPr="008A608E">
              <w:rPr>
                <w:rFonts w:asciiTheme="minorHAnsi" w:eastAsia="Times New Roman" w:hAnsiTheme="minorHAnsi" w:cstheme="minorHAnsi"/>
                <w:color w:val="000000" w:themeColor="text1"/>
                <w:sz w:val="20"/>
                <w:szCs w:val="20"/>
                <w:lang w:eastAsia="en-AU"/>
              </w:rPr>
              <w:br/>
              <w:t>Misleading or deceptive conduct</w:t>
            </w:r>
          </w:p>
        </w:tc>
        <w:tc>
          <w:tcPr>
            <w:tcW w:w="3685"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 xml:space="preserve">In relation to the effect of the carbon tax/repeal </w:t>
            </w:r>
            <w:r w:rsidRPr="008A608E">
              <w:rPr>
                <w:rFonts w:asciiTheme="minorHAnsi" w:eastAsia="Times New Roman" w:hAnsiTheme="minorHAnsi" w:cstheme="minorHAnsi"/>
                <w:color w:val="000000" w:themeColor="text1"/>
                <w:sz w:val="20"/>
                <w:szCs w:val="20"/>
                <w:lang w:eastAsia="en-AU"/>
              </w:rPr>
              <w:br/>
              <w:t xml:space="preserve">(s 60K CCA, </w:t>
            </w:r>
            <w:proofErr w:type="spellStart"/>
            <w:r w:rsidRPr="008A608E">
              <w:rPr>
                <w:rFonts w:asciiTheme="minorHAnsi" w:eastAsia="Times New Roman" w:hAnsiTheme="minorHAnsi" w:cstheme="minorHAnsi"/>
                <w:color w:val="000000" w:themeColor="text1"/>
                <w:sz w:val="20"/>
                <w:szCs w:val="20"/>
                <w:lang w:eastAsia="en-AU"/>
              </w:rPr>
              <w:t>ss</w:t>
            </w:r>
            <w:proofErr w:type="spellEnd"/>
            <w:r w:rsidRPr="008A608E">
              <w:rPr>
                <w:rFonts w:asciiTheme="minorHAnsi" w:eastAsia="Times New Roman" w:hAnsiTheme="minorHAnsi" w:cstheme="minorHAnsi"/>
                <w:color w:val="000000" w:themeColor="text1"/>
                <w:sz w:val="20"/>
                <w:szCs w:val="20"/>
                <w:lang w:eastAsia="en-AU"/>
              </w:rPr>
              <w:t xml:space="preserve"> 18, 29 ACL)</w:t>
            </w:r>
          </w:p>
        </w:tc>
        <w:tc>
          <w:tcPr>
            <w:tcW w:w="1361"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2</w:t>
            </w:r>
          </w:p>
        </w:tc>
        <w:tc>
          <w:tcPr>
            <w:tcW w:w="1417"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Cs/>
                <w:color w:val="000000" w:themeColor="text1"/>
                <w:sz w:val="20"/>
                <w:szCs w:val="20"/>
                <w:lang w:eastAsia="en-AU"/>
              </w:rPr>
              <w:t>45</w:t>
            </w:r>
          </w:p>
        </w:tc>
      </w:tr>
      <w:tr w:rsidR="00D72545" w:rsidRPr="00B65F2F" w:rsidTr="008A608E">
        <w:trPr>
          <w:trHeight w:val="567"/>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t>Price exploitation</w:t>
            </w:r>
          </w:p>
        </w:tc>
        <w:tc>
          <w:tcPr>
            <w:tcW w:w="3685"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Failure to pass on all cost savings from carbon tax repeal (s 60C)</w:t>
            </w:r>
          </w:p>
        </w:tc>
        <w:tc>
          <w:tcPr>
            <w:tcW w:w="1361"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10</w:t>
            </w:r>
          </w:p>
        </w:tc>
        <w:tc>
          <w:tcPr>
            <w:tcW w:w="1417"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Cs/>
                <w:color w:val="000000" w:themeColor="text1"/>
                <w:sz w:val="20"/>
                <w:szCs w:val="20"/>
                <w:lang w:eastAsia="en-AU"/>
              </w:rPr>
              <w:t>203</w:t>
            </w:r>
          </w:p>
        </w:tc>
      </w:tr>
      <w:tr w:rsidR="00D72545" w:rsidRPr="00B65F2F" w:rsidTr="008A60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t>Scams related to carbon tax</w:t>
            </w:r>
          </w:p>
        </w:tc>
        <w:tc>
          <w:tcPr>
            <w:tcW w:w="3685"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Scams related to the carbon tax/repeal</w:t>
            </w:r>
          </w:p>
        </w:tc>
        <w:tc>
          <w:tcPr>
            <w:tcW w:w="1361"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1417" w:type="dxa"/>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Cs/>
                <w:color w:val="000000" w:themeColor="text1"/>
                <w:sz w:val="20"/>
                <w:szCs w:val="20"/>
                <w:lang w:eastAsia="en-AU"/>
              </w:rPr>
              <w:t>27</w:t>
            </w:r>
          </w:p>
        </w:tc>
      </w:tr>
      <w:tr w:rsidR="00D72545" w:rsidRPr="00B65F2F" w:rsidTr="008A608E">
        <w:trPr>
          <w:trHeight w:val="567"/>
          <w:jc w:val="center"/>
        </w:trPr>
        <w:tc>
          <w:tcPr>
            <w:cnfStyle w:val="001000000000" w:firstRow="0" w:lastRow="0" w:firstColumn="1" w:lastColumn="0" w:oddVBand="0" w:evenVBand="0" w:oddHBand="0" w:evenHBand="0" w:firstRowFirstColumn="0" w:firstRowLastColumn="0" w:lastRowFirstColumn="0" w:lastRowLastColumn="0"/>
            <w:tcW w:w="2310" w:type="dxa"/>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t>General carbon related enquiries</w:t>
            </w:r>
          </w:p>
        </w:tc>
        <w:tc>
          <w:tcPr>
            <w:tcW w:w="3685"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Requests for information or guidance about the carbon tax/repeal</w:t>
            </w:r>
          </w:p>
        </w:tc>
        <w:tc>
          <w:tcPr>
            <w:tcW w:w="1361"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4</w:t>
            </w:r>
          </w:p>
        </w:tc>
        <w:tc>
          <w:tcPr>
            <w:tcW w:w="1417" w:type="dxa"/>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Cs/>
                <w:color w:val="000000" w:themeColor="text1"/>
                <w:sz w:val="20"/>
                <w:szCs w:val="20"/>
                <w:lang w:eastAsia="en-AU"/>
              </w:rPr>
              <w:t>202</w:t>
            </w:r>
          </w:p>
        </w:tc>
      </w:tr>
      <w:tr w:rsidR="00D72545" w:rsidRPr="00B65F2F" w:rsidTr="008A60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auto"/>
            </w:tcBorders>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lastRenderedPageBreak/>
              <w:t>General carbon tax complaints</w:t>
            </w:r>
          </w:p>
        </w:tc>
        <w:tc>
          <w:tcPr>
            <w:tcW w:w="3685" w:type="dxa"/>
            <w:tcBorders>
              <w:bottom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General complaints about the carbon tax/repeal</w:t>
            </w:r>
          </w:p>
        </w:tc>
        <w:tc>
          <w:tcPr>
            <w:tcW w:w="1361" w:type="dxa"/>
            <w:tcBorders>
              <w:bottom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8</w:t>
            </w:r>
          </w:p>
        </w:tc>
        <w:tc>
          <w:tcPr>
            <w:tcW w:w="1417" w:type="dxa"/>
            <w:tcBorders>
              <w:bottom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Cs/>
                <w:color w:val="000000" w:themeColor="text1"/>
                <w:sz w:val="20"/>
                <w:szCs w:val="20"/>
                <w:lang w:eastAsia="en-AU"/>
              </w:rPr>
              <w:t>216</w:t>
            </w:r>
          </w:p>
        </w:tc>
      </w:tr>
      <w:tr w:rsidR="00D72545" w:rsidRPr="00B65F2F" w:rsidTr="008A608E">
        <w:trPr>
          <w:trHeight w:val="567"/>
          <w:jc w:val="center"/>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tcBorders>
            <w:vAlign w:val="center"/>
          </w:tcPr>
          <w:p w:rsidR="00F7238B" w:rsidRPr="008A608E" w:rsidRDefault="00F7238B" w:rsidP="008A608E">
            <w:pPr>
              <w:autoSpaceDE w:val="0"/>
              <w:autoSpaceDN w:val="0"/>
              <w:adjustRightInd w:val="0"/>
              <w:rPr>
                <w:rFonts w:asciiTheme="minorHAnsi" w:hAnsiTheme="minorHAnsi" w:cstheme="minorHAnsi"/>
                <w:bCs w:val="0"/>
                <w:color w:val="000000" w:themeColor="text1"/>
              </w:rPr>
            </w:pPr>
            <w:r w:rsidRPr="008A608E">
              <w:rPr>
                <w:rFonts w:asciiTheme="minorHAnsi" w:eastAsia="Times New Roman" w:hAnsiTheme="minorHAnsi" w:cstheme="minorHAnsi"/>
                <w:color w:val="000000" w:themeColor="text1"/>
                <w:sz w:val="20"/>
                <w:szCs w:val="20"/>
                <w:lang w:eastAsia="en-AU"/>
              </w:rPr>
              <w:t>Total</w:t>
            </w:r>
          </w:p>
        </w:tc>
        <w:tc>
          <w:tcPr>
            <w:tcW w:w="3685" w:type="dxa"/>
            <w:tcBorders>
              <w:top w:val="single" w:sz="4" w:space="0" w:color="auto"/>
              <w:bottom w:val="single" w:sz="4" w:space="0" w:color="auto"/>
            </w:tcBorders>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
        </w:tc>
        <w:tc>
          <w:tcPr>
            <w:tcW w:w="1361" w:type="dxa"/>
            <w:tcBorders>
              <w:top w:val="single" w:sz="4" w:space="0" w:color="auto"/>
              <w:bottom w:val="single" w:sz="4" w:space="0" w:color="auto"/>
            </w:tcBorders>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
                <w:bCs/>
                <w:color w:val="000000" w:themeColor="text1"/>
                <w:sz w:val="20"/>
                <w:szCs w:val="20"/>
                <w:lang w:eastAsia="en-AU"/>
              </w:rPr>
              <w:t>24</w:t>
            </w:r>
          </w:p>
        </w:tc>
        <w:tc>
          <w:tcPr>
            <w:tcW w:w="1417" w:type="dxa"/>
            <w:tcBorders>
              <w:top w:val="single" w:sz="4" w:space="0" w:color="auto"/>
              <w:bottom w:val="single" w:sz="4" w:space="0" w:color="auto"/>
            </w:tcBorders>
            <w:vAlign w:val="center"/>
          </w:tcPr>
          <w:p w:rsidR="00F7238B" w:rsidRPr="008A608E" w:rsidRDefault="00F7238B" w:rsidP="008A6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b/>
                <w:bCs/>
                <w:color w:val="000000" w:themeColor="text1"/>
                <w:sz w:val="20"/>
                <w:szCs w:val="20"/>
                <w:lang w:eastAsia="en-AU"/>
              </w:rPr>
              <w:t>693</w:t>
            </w:r>
          </w:p>
        </w:tc>
      </w:tr>
      <w:tr w:rsidR="00F7238B" w:rsidRPr="00B65F2F" w:rsidTr="008A608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tcBorders>
            <w:vAlign w:val="center"/>
          </w:tcPr>
          <w:p w:rsidR="00F7238B" w:rsidRPr="008A608E" w:rsidRDefault="00F7238B" w:rsidP="008A608E">
            <w:pPr>
              <w:autoSpaceDE w:val="0"/>
              <w:autoSpaceDN w:val="0"/>
              <w:adjustRightInd w:val="0"/>
              <w:rPr>
                <w:rFonts w:asciiTheme="minorHAnsi" w:eastAsia="Times New Roman" w:hAnsiTheme="minorHAnsi" w:cstheme="minorHAnsi"/>
                <w:bCs w:val="0"/>
                <w:color w:val="000000" w:themeColor="text1"/>
                <w:sz w:val="20"/>
                <w:szCs w:val="20"/>
                <w:lang w:eastAsia="en-AU"/>
              </w:rPr>
            </w:pPr>
            <w:r w:rsidRPr="008A608E">
              <w:rPr>
                <w:rFonts w:asciiTheme="minorHAnsi" w:eastAsia="Times New Roman" w:hAnsiTheme="minorHAnsi" w:cstheme="minorHAnsi"/>
                <w:color w:val="000000" w:themeColor="text1"/>
                <w:sz w:val="20"/>
                <w:szCs w:val="20"/>
                <w:lang w:eastAsia="en-AU"/>
              </w:rPr>
              <w:t>Small Business</w:t>
            </w:r>
          </w:p>
        </w:tc>
        <w:tc>
          <w:tcPr>
            <w:tcW w:w="3685" w:type="dxa"/>
            <w:tcBorders>
              <w:top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Subset of above related to small business</w:t>
            </w:r>
          </w:p>
        </w:tc>
        <w:tc>
          <w:tcPr>
            <w:tcW w:w="1361" w:type="dxa"/>
            <w:tcBorders>
              <w:top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8A608E">
              <w:rPr>
                <w:rFonts w:asciiTheme="minorHAnsi" w:eastAsia="Times New Roman" w:hAnsiTheme="minorHAnsi" w:cstheme="minorHAnsi"/>
                <w:color w:val="000000" w:themeColor="text1"/>
                <w:sz w:val="20"/>
                <w:szCs w:val="20"/>
                <w:lang w:eastAsia="en-AU"/>
              </w:rPr>
              <w:t>3</w:t>
            </w:r>
          </w:p>
        </w:tc>
        <w:tc>
          <w:tcPr>
            <w:tcW w:w="1417" w:type="dxa"/>
            <w:tcBorders>
              <w:top w:val="single" w:sz="4" w:space="0" w:color="auto"/>
            </w:tcBorders>
            <w:vAlign w:val="center"/>
          </w:tcPr>
          <w:p w:rsidR="00F7238B" w:rsidRPr="008A608E" w:rsidRDefault="00F7238B" w:rsidP="008A60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rPr>
            </w:pPr>
            <w:r w:rsidRPr="008A608E">
              <w:rPr>
                <w:rFonts w:asciiTheme="minorHAnsi" w:eastAsia="Times New Roman" w:hAnsiTheme="minorHAnsi" w:cstheme="minorHAnsi"/>
                <w:bCs/>
                <w:color w:val="000000" w:themeColor="text1"/>
                <w:sz w:val="20"/>
                <w:szCs w:val="20"/>
                <w:lang w:eastAsia="en-AU"/>
              </w:rPr>
              <w:t>78</w:t>
            </w:r>
          </w:p>
        </w:tc>
      </w:tr>
    </w:tbl>
    <w:p w:rsidR="00F7238B" w:rsidRPr="00B54DFE" w:rsidRDefault="00F7238B" w:rsidP="00D13F42">
      <w:pPr>
        <w:autoSpaceDE w:val="0"/>
        <w:autoSpaceDN w:val="0"/>
        <w:adjustRightInd w:val="0"/>
        <w:spacing w:before="120"/>
        <w:rPr>
          <w:rFonts w:asciiTheme="minorHAnsi" w:hAnsiTheme="minorHAnsi" w:cstheme="minorHAnsi"/>
        </w:rPr>
      </w:pPr>
    </w:p>
    <w:p w:rsidR="0099004A" w:rsidRPr="008A608E" w:rsidRDefault="0099004A" w:rsidP="009315F7">
      <w:pPr>
        <w:spacing w:before="0" w:after="120"/>
        <w:ind w:left="142"/>
        <w:rPr>
          <w:b/>
          <w:color w:val="000000" w:themeColor="text1"/>
        </w:rPr>
      </w:pPr>
      <w:r w:rsidRPr="009315F7">
        <w:rPr>
          <w:b/>
          <w:color w:val="000000" w:themeColor="text1"/>
        </w:rPr>
        <w:t xml:space="preserve">Table </w:t>
      </w:r>
      <w:r w:rsidR="00EF7BC6" w:rsidRPr="009315F7">
        <w:rPr>
          <w:b/>
          <w:color w:val="000000" w:themeColor="text1"/>
        </w:rPr>
        <w:t>11</w:t>
      </w:r>
      <w:r w:rsidRPr="009315F7">
        <w:rPr>
          <w:b/>
          <w:color w:val="000000" w:themeColor="text1"/>
        </w:rPr>
        <w:t>: June</w:t>
      </w:r>
      <w:r w:rsidRPr="008A608E">
        <w:rPr>
          <w:b/>
          <w:color w:val="000000" w:themeColor="text1"/>
        </w:rPr>
        <w:t xml:space="preserve"> 2015 quarter complaint summary–industry</w:t>
      </w:r>
    </w:p>
    <w:tbl>
      <w:tblPr>
        <w:tblStyle w:val="LightShading-Accent1"/>
        <w:tblW w:w="0" w:type="auto"/>
        <w:tblInd w:w="250" w:type="dxa"/>
        <w:tblLook w:val="04A0" w:firstRow="1" w:lastRow="0" w:firstColumn="1" w:lastColumn="0" w:noHBand="0" w:noVBand="1"/>
      </w:tblPr>
      <w:tblGrid>
        <w:gridCol w:w="962"/>
        <w:gridCol w:w="2265"/>
        <w:gridCol w:w="1417"/>
        <w:gridCol w:w="2977"/>
      </w:tblGrid>
      <w:tr w:rsidR="00366A85" w:rsidRPr="00B65F2F" w:rsidTr="009315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6A0874" w:rsidRPr="008A608E" w:rsidRDefault="006A0874" w:rsidP="009315F7">
            <w:pPr>
              <w:ind w:left="-418" w:firstLine="418"/>
              <w:jc w:val="center"/>
              <w:rPr>
                <w:b w:val="0"/>
                <w:color w:val="000000" w:themeColor="text1"/>
              </w:rPr>
            </w:pPr>
            <w:r w:rsidRPr="008A608E">
              <w:rPr>
                <w:color w:val="000000" w:themeColor="text1"/>
              </w:rPr>
              <w:t>Industry</w:t>
            </w:r>
          </w:p>
        </w:tc>
        <w:tc>
          <w:tcPr>
            <w:tcW w:w="1417" w:type="dxa"/>
            <w:vAlign w:val="center"/>
          </w:tcPr>
          <w:p w:rsidR="006A0874" w:rsidRPr="008A608E" w:rsidRDefault="006A0874" w:rsidP="008A608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A608E">
              <w:rPr>
                <w:color w:val="000000" w:themeColor="text1"/>
              </w:rPr>
              <w:t>This Period</w:t>
            </w:r>
          </w:p>
        </w:tc>
        <w:tc>
          <w:tcPr>
            <w:tcW w:w="2977" w:type="dxa"/>
            <w:vAlign w:val="center"/>
          </w:tcPr>
          <w:p w:rsidR="006A0874" w:rsidRPr="008A608E" w:rsidRDefault="006A0874" w:rsidP="008A608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A608E">
              <w:rPr>
                <w:color w:val="000000" w:themeColor="text1"/>
              </w:rPr>
              <w:t>Total Since 1 July 2014</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 w:type="dxa"/>
            <w:vMerge w:val="restart"/>
            <w:vAlign w:val="center"/>
          </w:tcPr>
          <w:p w:rsidR="00AB1771" w:rsidRPr="008A608E" w:rsidRDefault="00AB1771">
            <w:pPr>
              <w:rPr>
                <w:color w:val="000000" w:themeColor="text1"/>
              </w:rPr>
            </w:pPr>
            <w:r w:rsidRPr="008A608E">
              <w:rPr>
                <w:color w:val="000000" w:themeColor="text1"/>
              </w:rPr>
              <w:t>Energy</w:t>
            </w:r>
          </w:p>
        </w:tc>
        <w:tc>
          <w:tcPr>
            <w:tcW w:w="2265" w:type="dxa"/>
            <w:vAlign w:val="center"/>
          </w:tcPr>
          <w:p w:rsidR="00AB1771" w:rsidRPr="008A608E" w:rsidRDefault="00AB1771">
            <w:pP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
                <w:bCs/>
                <w:color w:val="000000" w:themeColor="text1"/>
                <w:sz w:val="20"/>
                <w:szCs w:val="20"/>
                <w:lang w:eastAsia="en-AU"/>
              </w:rPr>
              <w:t>Electricity</w:t>
            </w:r>
          </w:p>
        </w:tc>
        <w:tc>
          <w:tcPr>
            <w:tcW w:w="141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7</w:t>
            </w:r>
          </w:p>
        </w:tc>
        <w:tc>
          <w:tcPr>
            <w:tcW w:w="297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177</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962" w:type="dxa"/>
            <w:vMerge/>
            <w:vAlign w:val="center"/>
          </w:tcPr>
          <w:p w:rsidR="00AB1771" w:rsidRPr="008A608E" w:rsidRDefault="00AB1771">
            <w:pPr>
              <w:rPr>
                <w:color w:val="000000" w:themeColor="text1"/>
              </w:rPr>
            </w:pPr>
          </w:p>
        </w:tc>
        <w:tc>
          <w:tcPr>
            <w:tcW w:w="2265" w:type="dxa"/>
            <w:vAlign w:val="center"/>
          </w:tcPr>
          <w:p w:rsidR="00AB1771" w:rsidRPr="008A608E" w:rsidRDefault="00AB1771">
            <w:pP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
                <w:bCs/>
                <w:color w:val="000000" w:themeColor="text1"/>
                <w:sz w:val="20"/>
                <w:szCs w:val="20"/>
                <w:lang w:eastAsia="en-AU"/>
              </w:rPr>
              <w:t>Natural Gas</w:t>
            </w:r>
          </w:p>
        </w:tc>
        <w:tc>
          <w:tcPr>
            <w:tcW w:w="141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297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32</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 w:type="dxa"/>
            <w:vMerge/>
            <w:vAlign w:val="center"/>
          </w:tcPr>
          <w:p w:rsidR="00AB1771" w:rsidRPr="008A608E" w:rsidRDefault="00AB1771">
            <w:pPr>
              <w:rPr>
                <w:color w:val="000000" w:themeColor="text1"/>
              </w:rPr>
            </w:pPr>
          </w:p>
        </w:tc>
        <w:tc>
          <w:tcPr>
            <w:tcW w:w="2265" w:type="dxa"/>
            <w:vAlign w:val="center"/>
          </w:tcPr>
          <w:p w:rsidR="00AB1771" w:rsidRPr="008A608E" w:rsidRDefault="00AB1771">
            <w:pP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
                <w:bCs/>
                <w:color w:val="000000" w:themeColor="text1"/>
                <w:sz w:val="20"/>
                <w:szCs w:val="20"/>
                <w:lang w:eastAsia="en-AU"/>
              </w:rPr>
              <w:t>Unspecified</w:t>
            </w:r>
          </w:p>
        </w:tc>
        <w:tc>
          <w:tcPr>
            <w:tcW w:w="141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6</w:t>
            </w:r>
          </w:p>
        </w:tc>
        <w:tc>
          <w:tcPr>
            <w:tcW w:w="297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212</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 xml:space="preserve">Synthetic </w:t>
            </w:r>
            <w:r w:rsidR="00911864">
              <w:rPr>
                <w:rFonts w:asciiTheme="minorHAnsi" w:eastAsia="Times New Roman" w:hAnsiTheme="minorHAnsi" w:cstheme="minorHAnsi"/>
                <w:color w:val="000000" w:themeColor="text1"/>
                <w:sz w:val="20"/>
                <w:szCs w:val="20"/>
                <w:lang w:eastAsia="en-AU"/>
              </w:rPr>
              <w:t>g</w:t>
            </w:r>
            <w:r w:rsidRPr="008A608E">
              <w:rPr>
                <w:rFonts w:asciiTheme="minorHAnsi" w:eastAsia="Times New Roman" w:hAnsiTheme="minorHAnsi" w:cstheme="minorHAnsi"/>
                <w:color w:val="000000" w:themeColor="text1"/>
                <w:sz w:val="20"/>
                <w:szCs w:val="20"/>
                <w:lang w:eastAsia="en-AU"/>
              </w:rPr>
              <w:t xml:space="preserve">reenhouse </w:t>
            </w:r>
            <w:r w:rsidR="00911864">
              <w:rPr>
                <w:rFonts w:asciiTheme="minorHAnsi" w:eastAsia="Times New Roman" w:hAnsiTheme="minorHAnsi" w:cstheme="minorHAnsi"/>
                <w:color w:val="000000" w:themeColor="text1"/>
                <w:sz w:val="20"/>
                <w:szCs w:val="20"/>
                <w:lang w:eastAsia="en-AU"/>
              </w:rPr>
              <w:t>g</w:t>
            </w:r>
            <w:r w:rsidRPr="008A608E">
              <w:rPr>
                <w:rFonts w:asciiTheme="minorHAnsi" w:eastAsia="Times New Roman" w:hAnsiTheme="minorHAnsi" w:cstheme="minorHAnsi"/>
                <w:color w:val="000000" w:themeColor="text1"/>
                <w:sz w:val="20"/>
                <w:szCs w:val="20"/>
                <w:lang w:eastAsia="en-AU"/>
              </w:rPr>
              <w:t>as</w:t>
            </w:r>
          </w:p>
        </w:tc>
        <w:tc>
          <w:tcPr>
            <w:tcW w:w="141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6</w:t>
            </w:r>
          </w:p>
        </w:tc>
        <w:tc>
          <w:tcPr>
            <w:tcW w:w="297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57</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Waste or landfill</w:t>
            </w:r>
          </w:p>
        </w:tc>
        <w:tc>
          <w:tcPr>
            <w:tcW w:w="141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297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19</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 xml:space="preserve">Transportation or </w:t>
            </w:r>
            <w:r w:rsidR="00911864">
              <w:rPr>
                <w:rFonts w:asciiTheme="minorHAnsi" w:eastAsia="Times New Roman" w:hAnsiTheme="minorHAnsi" w:cstheme="minorHAnsi"/>
                <w:color w:val="000000" w:themeColor="text1"/>
                <w:sz w:val="20"/>
                <w:szCs w:val="20"/>
                <w:lang w:eastAsia="en-AU"/>
              </w:rPr>
              <w:t>f</w:t>
            </w:r>
            <w:r w:rsidRPr="008A608E">
              <w:rPr>
                <w:rFonts w:asciiTheme="minorHAnsi" w:eastAsia="Times New Roman" w:hAnsiTheme="minorHAnsi" w:cstheme="minorHAnsi"/>
                <w:color w:val="000000" w:themeColor="text1"/>
                <w:sz w:val="20"/>
                <w:szCs w:val="20"/>
                <w:lang w:eastAsia="en-AU"/>
              </w:rPr>
              <w:t>uel</w:t>
            </w:r>
          </w:p>
        </w:tc>
        <w:tc>
          <w:tcPr>
            <w:tcW w:w="141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297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17</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 xml:space="preserve">Manufacturing or </w:t>
            </w:r>
            <w:r w:rsidR="00911864">
              <w:rPr>
                <w:rFonts w:asciiTheme="minorHAnsi" w:eastAsia="Times New Roman" w:hAnsiTheme="minorHAnsi" w:cstheme="minorHAnsi"/>
                <w:color w:val="000000" w:themeColor="text1"/>
                <w:sz w:val="20"/>
                <w:szCs w:val="20"/>
                <w:lang w:eastAsia="en-AU"/>
              </w:rPr>
              <w:t>c</w:t>
            </w:r>
            <w:r w:rsidRPr="008A608E">
              <w:rPr>
                <w:rFonts w:asciiTheme="minorHAnsi" w:eastAsia="Times New Roman" w:hAnsiTheme="minorHAnsi" w:cstheme="minorHAnsi"/>
                <w:color w:val="000000" w:themeColor="text1"/>
                <w:sz w:val="20"/>
                <w:szCs w:val="20"/>
                <w:lang w:eastAsia="en-AU"/>
              </w:rPr>
              <w:t>onstruction</w:t>
            </w:r>
          </w:p>
        </w:tc>
        <w:tc>
          <w:tcPr>
            <w:tcW w:w="141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1</w:t>
            </w:r>
          </w:p>
        </w:tc>
        <w:tc>
          <w:tcPr>
            <w:tcW w:w="297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17</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Government</w:t>
            </w:r>
          </w:p>
        </w:tc>
        <w:tc>
          <w:tcPr>
            <w:tcW w:w="141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3</w:t>
            </w:r>
          </w:p>
        </w:tc>
        <w:tc>
          <w:tcPr>
            <w:tcW w:w="297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84</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Retail</w:t>
            </w:r>
          </w:p>
        </w:tc>
        <w:tc>
          <w:tcPr>
            <w:tcW w:w="141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2977" w:type="dxa"/>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5</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3227" w:type="dxa"/>
            <w:gridSpan w:val="2"/>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Food and Grocery</w:t>
            </w:r>
          </w:p>
        </w:tc>
        <w:tc>
          <w:tcPr>
            <w:tcW w:w="141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0</w:t>
            </w:r>
          </w:p>
        </w:tc>
        <w:tc>
          <w:tcPr>
            <w:tcW w:w="2977" w:type="dxa"/>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6</w:t>
            </w:r>
          </w:p>
        </w:tc>
      </w:tr>
      <w:tr w:rsidR="00366A85" w:rsidRPr="00B65F2F" w:rsidTr="009315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gridSpan w:val="2"/>
            <w:tcBorders>
              <w:bottom w:val="single" w:sz="4" w:space="0" w:color="auto"/>
            </w:tcBorders>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Other</w:t>
            </w:r>
          </w:p>
        </w:tc>
        <w:tc>
          <w:tcPr>
            <w:tcW w:w="1417" w:type="dxa"/>
            <w:tcBorders>
              <w:bottom w:val="single" w:sz="4" w:space="0" w:color="auto"/>
            </w:tcBorders>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color w:val="000000" w:themeColor="text1"/>
                <w:sz w:val="20"/>
                <w:szCs w:val="20"/>
                <w:lang w:eastAsia="en-AU"/>
              </w:rPr>
              <w:t>1</w:t>
            </w:r>
          </w:p>
        </w:tc>
        <w:tc>
          <w:tcPr>
            <w:tcW w:w="2977" w:type="dxa"/>
            <w:tcBorders>
              <w:bottom w:val="single" w:sz="4" w:space="0" w:color="auto"/>
            </w:tcBorders>
            <w:vAlign w:val="center"/>
          </w:tcPr>
          <w:p w:rsidR="00AB1771" w:rsidRPr="008A608E" w:rsidRDefault="00AB1771" w:rsidP="008A608E">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8A608E">
              <w:rPr>
                <w:rFonts w:asciiTheme="minorHAnsi" w:eastAsia="Times New Roman" w:hAnsiTheme="minorHAnsi" w:cstheme="minorHAnsi"/>
                <w:bCs/>
                <w:color w:val="000000" w:themeColor="text1"/>
                <w:sz w:val="20"/>
                <w:szCs w:val="20"/>
                <w:lang w:eastAsia="en-AU"/>
              </w:rPr>
              <w:t>67</w:t>
            </w:r>
          </w:p>
        </w:tc>
      </w:tr>
      <w:tr w:rsidR="00366A85" w:rsidRPr="00B65F2F" w:rsidTr="009315F7">
        <w:trPr>
          <w:trHeight w:val="397"/>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bottom w:val="single" w:sz="8" w:space="0" w:color="51626F" w:themeColor="accent1"/>
            </w:tcBorders>
            <w:vAlign w:val="center"/>
          </w:tcPr>
          <w:p w:rsidR="00AB1771" w:rsidRPr="008A608E" w:rsidRDefault="00AB1771">
            <w:pPr>
              <w:rPr>
                <w:color w:val="000000" w:themeColor="text1"/>
              </w:rPr>
            </w:pPr>
            <w:r w:rsidRPr="008A608E">
              <w:rPr>
                <w:rFonts w:asciiTheme="minorHAnsi" w:eastAsia="Times New Roman" w:hAnsiTheme="minorHAnsi" w:cstheme="minorHAnsi"/>
                <w:color w:val="000000" w:themeColor="text1"/>
                <w:sz w:val="20"/>
                <w:szCs w:val="20"/>
                <w:lang w:eastAsia="en-AU"/>
              </w:rPr>
              <w:t>Total</w:t>
            </w:r>
          </w:p>
        </w:tc>
        <w:tc>
          <w:tcPr>
            <w:tcW w:w="1417" w:type="dxa"/>
            <w:tcBorders>
              <w:top w:val="single" w:sz="4" w:space="0" w:color="auto"/>
              <w:bottom w:val="single" w:sz="8" w:space="0" w:color="51626F" w:themeColor="accent1"/>
            </w:tcBorders>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
                <w:bCs/>
                <w:color w:val="000000" w:themeColor="text1"/>
                <w:sz w:val="20"/>
                <w:szCs w:val="20"/>
                <w:lang w:eastAsia="en-AU"/>
              </w:rPr>
              <w:t>24</w:t>
            </w:r>
          </w:p>
        </w:tc>
        <w:tc>
          <w:tcPr>
            <w:tcW w:w="2977" w:type="dxa"/>
            <w:tcBorders>
              <w:top w:val="single" w:sz="4" w:space="0" w:color="auto"/>
              <w:bottom w:val="single" w:sz="8" w:space="0" w:color="51626F" w:themeColor="accent1"/>
            </w:tcBorders>
            <w:vAlign w:val="center"/>
          </w:tcPr>
          <w:p w:rsidR="00AB1771" w:rsidRPr="008A608E" w:rsidRDefault="00AB1771" w:rsidP="008A608E">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8A608E">
              <w:rPr>
                <w:rFonts w:asciiTheme="minorHAnsi" w:eastAsia="Times New Roman" w:hAnsiTheme="minorHAnsi" w:cstheme="minorHAnsi"/>
                <w:b/>
                <w:bCs/>
                <w:color w:val="000000" w:themeColor="text1"/>
                <w:sz w:val="20"/>
                <w:szCs w:val="20"/>
                <w:lang w:eastAsia="en-AU"/>
              </w:rPr>
              <w:t>693</w:t>
            </w:r>
          </w:p>
        </w:tc>
      </w:tr>
    </w:tbl>
    <w:p w:rsidR="00943446" w:rsidRDefault="00943446" w:rsidP="00943446">
      <w:r>
        <w:t>Complaints and enquiries</w:t>
      </w:r>
      <w:r w:rsidR="00EC06EC">
        <w:t xml:space="preserve"> (contacts)</w:t>
      </w:r>
      <w:r>
        <w:t xml:space="preserve"> reported to the ACCC</w:t>
      </w:r>
      <w:r w:rsidR="000230DB">
        <w:t xml:space="preserve"> in</w:t>
      </w:r>
      <w:r>
        <w:t xml:space="preserve"> this quarter decreased significantly. As expected, a majority of the contacts received were about energy, with contacts wanting to check if their energy </w:t>
      </w:r>
      <w:r w:rsidR="009C2FA5">
        <w:t xml:space="preserve">cost </w:t>
      </w:r>
      <w:r>
        <w:t>savings were in line with what was expected.</w:t>
      </w:r>
    </w:p>
    <w:p w:rsidR="002E2A11" w:rsidRPr="007539BA" w:rsidRDefault="002E2A11" w:rsidP="00D13F42">
      <w:pPr>
        <w:pStyle w:val="Heading2"/>
      </w:pPr>
      <w:bookmarkStart w:id="69" w:name="_Toc425348737"/>
      <w:r w:rsidRPr="007539BA">
        <w:t>Complaints summary – carbon tax repeal</w:t>
      </w:r>
      <w:bookmarkEnd w:id="69"/>
    </w:p>
    <w:p w:rsidR="002E2A11" w:rsidRDefault="00EC06EC" w:rsidP="00943446">
      <w:r>
        <w:t>Contacts</w:t>
      </w:r>
      <w:r w:rsidR="00144C96">
        <w:t xml:space="preserve"> to the ACCC in relation to the carbon tax repeal </w:t>
      </w:r>
      <w:r w:rsidR="002E2A11">
        <w:t>totalled 69</w:t>
      </w:r>
      <w:r w:rsidR="008B62B6">
        <w:t>3</w:t>
      </w:r>
      <w:r w:rsidR="002E2A11">
        <w:t xml:space="preserve">. </w:t>
      </w:r>
      <w:r w:rsidR="00144C96">
        <w:t>During the period, contacts peaked at approximately 175 in September 2014</w:t>
      </w:r>
      <w:r w:rsidR="002E2A11">
        <w:t xml:space="preserve"> and then continued to decline</w:t>
      </w:r>
      <w:r w:rsidR="00144C96">
        <w:t xml:space="preserve">. </w:t>
      </w:r>
    </w:p>
    <w:p w:rsidR="00144C96" w:rsidRDefault="008B62B6" w:rsidP="00943446">
      <w:r>
        <w:t>In the June 2015 quarter</w:t>
      </w:r>
      <w:r w:rsidR="00144C96">
        <w:t xml:space="preserve">, </w:t>
      </w:r>
      <w:r>
        <w:t xml:space="preserve">the ACCC received </w:t>
      </w:r>
      <w:r w:rsidR="00144C96">
        <w:t xml:space="preserve">approximately one to two contacts per week. </w:t>
      </w:r>
      <w:r w:rsidR="00CF314E">
        <w:t>E</w:t>
      </w:r>
      <w:r w:rsidR="00144C96">
        <w:t xml:space="preserve">nergy remained the largest category, constituting over 60 per cent </w:t>
      </w:r>
      <w:r w:rsidR="00DF6D36">
        <w:t>of all contacts received.</w:t>
      </w:r>
    </w:p>
    <w:p w:rsidR="001D552F" w:rsidRDefault="001D552F" w:rsidP="001D552F">
      <w:r>
        <w:t>During the time that the carbon tax scheme was in place</w:t>
      </w:r>
      <w:r w:rsidR="008F2DE2">
        <w:t>,</w:t>
      </w:r>
      <w:r>
        <w:t xml:space="preserve"> the ACCC received 3195 identifiable contacts consisting of complaints and </w:t>
      </w:r>
      <w:r w:rsidR="00911864">
        <w:t>e</w:t>
      </w:r>
      <w:r>
        <w:t xml:space="preserve">nquiries. Contacts peaked at the introduction of the carbon tax, with 1590 contacts in July 2012, 645 in August 2012 and 256 in September 2012. Contact numbers declined to an average of around 27 per month for 2013 and </w:t>
      </w:r>
      <w:r w:rsidR="00911864">
        <w:t xml:space="preserve">six </w:t>
      </w:r>
      <w:r>
        <w:t xml:space="preserve">in the first half of 2014. Contacts in 2014 also included queries about the proposed carbon tax </w:t>
      </w:r>
      <w:r w:rsidR="008F2DE2">
        <w:t>repeal</w:t>
      </w:r>
      <w:r>
        <w:t>. As with the carbon tax repeal, the largest category of contacts concerned the energy sector.</w:t>
      </w:r>
    </w:p>
    <w:p w:rsidR="001D552F" w:rsidRPr="008A608E" w:rsidRDefault="001D552F" w:rsidP="008A608E"/>
    <w:p w:rsidR="001D552F" w:rsidRDefault="001D552F" w:rsidP="00943446"/>
    <w:p w:rsidR="00F81C78" w:rsidRPr="007539BA" w:rsidRDefault="00DF6D36">
      <w:pPr>
        <w:pStyle w:val="Heading1"/>
      </w:pPr>
      <w:bookmarkStart w:id="70" w:name="_Toc425348738"/>
      <w:r w:rsidRPr="00D13F42">
        <w:lastRenderedPageBreak/>
        <w:t>Enforcement</w:t>
      </w:r>
      <w:bookmarkEnd w:id="70"/>
      <w:r w:rsidR="003E35B7" w:rsidRPr="00D13F42">
        <w:t xml:space="preserve"> </w:t>
      </w:r>
    </w:p>
    <w:p w:rsidR="002E2A11" w:rsidRDefault="00943446" w:rsidP="00943446">
      <w:pPr>
        <w:autoSpaceDE w:val="0"/>
        <w:autoSpaceDN w:val="0"/>
        <w:adjustRightInd w:val="0"/>
        <w:spacing w:before="240"/>
      </w:pPr>
      <w:r>
        <w:t xml:space="preserve">The ACCC </w:t>
      </w:r>
      <w:r w:rsidR="00B9741B">
        <w:t xml:space="preserve">has been </w:t>
      </w:r>
      <w:r>
        <w:t xml:space="preserve">pleased with the high levels of compliance with the </w:t>
      </w:r>
      <w:r w:rsidR="002E2A11">
        <w:t xml:space="preserve">carbon tax </w:t>
      </w:r>
      <w:r>
        <w:t xml:space="preserve">price reduction obligation and consequently, has not </w:t>
      </w:r>
      <w:r w:rsidR="00614493">
        <w:t xml:space="preserve">needed to </w:t>
      </w:r>
      <w:r>
        <w:t xml:space="preserve">undertake any enforcement activities </w:t>
      </w:r>
      <w:r w:rsidR="002D6BC4">
        <w:t xml:space="preserve">relating to the price reduction legislation </w:t>
      </w:r>
      <w:r>
        <w:t xml:space="preserve">in the June 2015 quarter or since the start of its monitoring role on </w:t>
      </w:r>
      <w:r w:rsidR="00B46EF4">
        <w:t>1 March</w:t>
      </w:r>
      <w:r>
        <w:t xml:space="preserve"> 2014. </w:t>
      </w:r>
      <w:r w:rsidR="00614493">
        <w:t xml:space="preserve">The ACCC </w:t>
      </w:r>
      <w:r w:rsidR="003F24E7">
        <w:t xml:space="preserve">also </w:t>
      </w:r>
      <w:r w:rsidR="00614493">
        <w:t>assessed representations made about prices by reference to the general prohibitions against misleading and deceptive conduct in the A</w:t>
      </w:r>
      <w:r w:rsidR="003F24E7">
        <w:t xml:space="preserve">ustralian </w:t>
      </w:r>
      <w:r w:rsidR="00614493">
        <w:t>C</w:t>
      </w:r>
      <w:r w:rsidR="003F24E7">
        <w:t xml:space="preserve">onsumer </w:t>
      </w:r>
      <w:r w:rsidR="00614493">
        <w:t>L</w:t>
      </w:r>
      <w:r w:rsidR="003F24E7">
        <w:t>aw</w:t>
      </w:r>
      <w:r w:rsidR="0091024E">
        <w:t xml:space="preserve"> (ACL)</w:t>
      </w:r>
      <w:r w:rsidR="00614493">
        <w:t xml:space="preserve">, as well as the specific prohibition against false or </w:t>
      </w:r>
      <w:r w:rsidR="0091024E">
        <w:t xml:space="preserve">misleading </w:t>
      </w:r>
      <w:r w:rsidR="00614493">
        <w:t>representations relating to the carbon tax repeal.</w:t>
      </w:r>
    </w:p>
    <w:p w:rsidR="00943446" w:rsidRDefault="002E2A11" w:rsidP="00943446">
      <w:pPr>
        <w:autoSpaceDE w:val="0"/>
        <w:autoSpaceDN w:val="0"/>
        <w:adjustRightInd w:val="0"/>
        <w:spacing w:before="240"/>
      </w:pPr>
      <w:r>
        <w:t>During the period, t</w:t>
      </w:r>
      <w:r w:rsidR="00943446" w:rsidRPr="00F3054F">
        <w:t xml:space="preserve">he ACCC </w:t>
      </w:r>
      <w:r>
        <w:t>was</w:t>
      </w:r>
      <w:r w:rsidRPr="00F3054F">
        <w:t xml:space="preserve"> </w:t>
      </w:r>
      <w:r w:rsidR="00943446" w:rsidRPr="00F3054F">
        <w:t xml:space="preserve">not </w:t>
      </w:r>
      <w:r>
        <w:t xml:space="preserve">required to </w:t>
      </w:r>
      <w:r w:rsidR="00943446" w:rsidRPr="00F3054F">
        <w:t>issue any notices to aid prevention of price exploitation in relation to the carb</w:t>
      </w:r>
      <w:r w:rsidR="00C91BD6">
        <w:t>on tax repeal pursuant to s</w:t>
      </w:r>
      <w:r w:rsidR="00943446" w:rsidRPr="00F3054F">
        <w:t xml:space="preserve"> 60E of the CCA.</w:t>
      </w:r>
      <w:r w:rsidR="00614493">
        <w:t xml:space="preserve">  </w:t>
      </w:r>
    </w:p>
    <w:p w:rsidR="00F81C78" w:rsidRDefault="002E2A11" w:rsidP="002E2A11">
      <w:r>
        <w:t>The carbon tax price reduction obligation conclude</w:t>
      </w:r>
      <w:r w:rsidR="0077601B">
        <w:t>d</w:t>
      </w:r>
      <w:r>
        <w:t xml:space="preserve"> on the 30 June 2015. However, the </w:t>
      </w:r>
      <w:r w:rsidR="004679A2" w:rsidRPr="00FB47E3">
        <w:t>CCA</w:t>
      </w:r>
      <w:r w:rsidRPr="004679A2">
        <w:t xml:space="preserve"> may</w:t>
      </w:r>
      <w:r>
        <w:t xml:space="preserve"> still apply to any misleading carbon</w:t>
      </w:r>
      <w:r w:rsidR="00911864">
        <w:t xml:space="preserve"> tax</w:t>
      </w:r>
      <w:r>
        <w:t xml:space="preserve"> related statements </w:t>
      </w:r>
      <w:r w:rsidR="00F739D2">
        <w:t>made during</w:t>
      </w:r>
      <w:r w:rsidR="004679A2">
        <w:t xml:space="preserve"> or after</w:t>
      </w:r>
      <w:r w:rsidR="00F739D2">
        <w:t xml:space="preserve"> the carbon tax repeal transition period</w:t>
      </w:r>
      <w:r>
        <w:t>.</w:t>
      </w:r>
    </w:p>
    <w:p w:rsidR="008F2DE2" w:rsidRDefault="004679A2" w:rsidP="002E2A11">
      <w:r>
        <w:t>On 30 April 2014</w:t>
      </w:r>
      <w:r w:rsidR="008F2DE2" w:rsidRPr="008F2DE2">
        <w:t xml:space="preserve"> the ACCC instituted proceedings against </w:t>
      </w:r>
      <w:proofErr w:type="spellStart"/>
      <w:r w:rsidR="008F2DE2" w:rsidRPr="008F2DE2">
        <w:t>Actrol</w:t>
      </w:r>
      <w:proofErr w:type="spellEnd"/>
      <w:r w:rsidR="008F2DE2" w:rsidRPr="008F2DE2">
        <w:t xml:space="preserve"> Parts Pt</w:t>
      </w:r>
      <w:r w:rsidR="007430DA">
        <w:t>y Ltd (</w:t>
      </w:r>
      <w:proofErr w:type="spellStart"/>
      <w:r w:rsidR="007430DA">
        <w:t>Actrol</w:t>
      </w:r>
      <w:proofErr w:type="spellEnd"/>
      <w:r w:rsidR="007430DA">
        <w:t xml:space="preserve">), </w:t>
      </w:r>
      <w:r w:rsidR="008F2DE2" w:rsidRPr="008F2DE2">
        <w:t xml:space="preserve">alleging that it </w:t>
      </w:r>
      <w:r w:rsidR="004F2F30">
        <w:t>had engaged in</w:t>
      </w:r>
      <w:r w:rsidR="008F2DE2" w:rsidRPr="008F2DE2">
        <w:t xml:space="preserve"> false</w:t>
      </w:r>
      <w:r w:rsidR="004F2F30">
        <w:t>,</w:t>
      </w:r>
      <w:r w:rsidR="008F2DE2" w:rsidRPr="008F2DE2">
        <w:t xml:space="preserve"> misleading</w:t>
      </w:r>
      <w:r w:rsidR="004F2F30">
        <w:t xml:space="preserve"> or deceptive conduct </w:t>
      </w:r>
      <w:r w:rsidR="008F2DE2" w:rsidRPr="008F2DE2">
        <w:t>by representing that price increases effective 1 July 2012 were</w:t>
      </w:r>
      <w:r w:rsidR="007430DA">
        <w:t xml:space="preserve"> in part</w:t>
      </w:r>
      <w:r w:rsidR="008F2DE2" w:rsidRPr="008F2DE2">
        <w:t xml:space="preserve"> due to the introduction of the car</w:t>
      </w:r>
      <w:r>
        <w:t>bon tax scheme. On 2 April 2015</w:t>
      </w:r>
      <w:r w:rsidR="008F2DE2" w:rsidRPr="008F2DE2">
        <w:t xml:space="preserve"> the Federal Court of Australia found that </w:t>
      </w:r>
      <w:proofErr w:type="spellStart"/>
      <w:r w:rsidR="008F2DE2" w:rsidRPr="008F2DE2">
        <w:t>Actrol</w:t>
      </w:r>
      <w:proofErr w:type="spellEnd"/>
      <w:r w:rsidR="004F2F30">
        <w:t xml:space="preserve"> </w:t>
      </w:r>
      <w:r w:rsidR="00033A85">
        <w:t xml:space="preserve">had </w:t>
      </w:r>
      <w:r w:rsidR="004F2F30">
        <w:t>engaged in conduct that was misleading or deceptive, or li</w:t>
      </w:r>
      <w:r w:rsidR="007E72F8">
        <w:t>kely to mislead or deceive, and</w:t>
      </w:r>
      <w:r w:rsidR="008F2DE2" w:rsidRPr="008F2DE2">
        <w:t xml:space="preserve"> made false or misleading representations</w:t>
      </w:r>
      <w:r w:rsidR="007E6A6F">
        <w:t xml:space="preserve"> </w:t>
      </w:r>
      <w:r w:rsidR="007E6A6F" w:rsidRPr="007E6A6F">
        <w:t>in contravention of sections 18(1) and 29(1)(</w:t>
      </w:r>
      <w:proofErr w:type="spellStart"/>
      <w:r w:rsidR="007E6A6F" w:rsidRPr="007E6A6F">
        <w:t>i</w:t>
      </w:r>
      <w:proofErr w:type="spellEnd"/>
      <w:r w:rsidR="0091024E">
        <w:t>) of the</w:t>
      </w:r>
      <w:r w:rsidR="00A311D6">
        <w:t xml:space="preserve"> </w:t>
      </w:r>
      <w:r w:rsidR="007E6A6F">
        <w:t>ACL.</w:t>
      </w:r>
      <w:r w:rsidR="007E6A6F" w:rsidRPr="007E6A6F">
        <w:rPr>
          <w:rStyle w:val="FootnoteReference"/>
        </w:rPr>
        <w:t xml:space="preserve"> </w:t>
      </w:r>
      <w:r w:rsidR="007E6A6F">
        <w:rPr>
          <w:rStyle w:val="FootnoteReference"/>
        </w:rPr>
        <w:footnoteReference w:id="29"/>
      </w:r>
      <w:r w:rsidR="007E6A6F">
        <w:t xml:space="preserve"> These representations were made </w:t>
      </w:r>
      <w:r w:rsidR="008F2DE2" w:rsidRPr="008F2DE2">
        <w:t xml:space="preserve">in letters to its customers and on its website, by attributing significant price increases of certain SGGs to the implementation of the carbon tax, changes in input costs and general market conditions. The Court found that </w:t>
      </w:r>
      <w:proofErr w:type="spellStart"/>
      <w:r w:rsidR="008F2DE2" w:rsidRPr="008F2DE2">
        <w:t>Actrol</w:t>
      </w:r>
      <w:proofErr w:type="spellEnd"/>
      <w:r w:rsidR="008F2DE2" w:rsidRPr="008F2DE2">
        <w:t xml:space="preserve"> had in fact increased its prices to increase its margins and earnings</w:t>
      </w:r>
      <w:r w:rsidR="007430DA">
        <w:t xml:space="preserve"> to take into account increased supply costs of these products</w:t>
      </w:r>
      <w:r w:rsidR="008F2DE2" w:rsidRPr="008F2DE2">
        <w:t xml:space="preserve">. The Court ordered </w:t>
      </w:r>
      <w:proofErr w:type="spellStart"/>
      <w:r w:rsidR="008F2DE2" w:rsidRPr="008F2DE2">
        <w:t>Actrol</w:t>
      </w:r>
      <w:proofErr w:type="spellEnd"/>
      <w:r w:rsidR="008F2DE2" w:rsidRPr="008F2DE2">
        <w:t xml:space="preserve"> pay a pecu</w:t>
      </w:r>
      <w:r w:rsidR="007430DA">
        <w:t>niary penalty of $520</w:t>
      </w:r>
      <w:r w:rsidR="00A311D6">
        <w:t> </w:t>
      </w:r>
      <w:r w:rsidR="007430DA">
        <w:t>000</w:t>
      </w:r>
      <w:r w:rsidR="00237E56">
        <w:t xml:space="preserve"> in respect of its contraventions of </w:t>
      </w:r>
      <w:r w:rsidR="004F2F30" w:rsidRPr="00614493">
        <w:t>section 29(1</w:t>
      </w:r>
      <w:proofErr w:type="gramStart"/>
      <w:r w:rsidR="004F2F30" w:rsidRPr="00614493">
        <w:t>)(</w:t>
      </w:r>
      <w:proofErr w:type="spellStart"/>
      <w:proofErr w:type="gramEnd"/>
      <w:r w:rsidR="004F2F30" w:rsidRPr="00614493">
        <w:t>i</w:t>
      </w:r>
      <w:proofErr w:type="spellEnd"/>
      <w:r w:rsidR="004F2F30" w:rsidRPr="00614493">
        <w:t>)</w:t>
      </w:r>
      <w:r w:rsidR="007E6A6F">
        <w:t xml:space="preserve"> of the ACL</w:t>
      </w:r>
      <w:r w:rsidR="00237E56">
        <w:t xml:space="preserve"> </w:t>
      </w:r>
      <w:r w:rsidR="007430DA">
        <w:t xml:space="preserve">in addition to </w:t>
      </w:r>
      <w:r w:rsidR="008F2DE2" w:rsidRPr="008F2DE2">
        <w:t xml:space="preserve">other orders. </w:t>
      </w:r>
    </w:p>
    <w:p w:rsidR="00DF6D36" w:rsidRPr="00FB47E3" w:rsidRDefault="00DF6D36" w:rsidP="00D13F42">
      <w:pPr>
        <w:pStyle w:val="Heading2"/>
      </w:pPr>
      <w:bookmarkStart w:id="71" w:name="_Toc425348739"/>
      <w:r w:rsidRPr="00FB47E3">
        <w:t xml:space="preserve">Summary of </w:t>
      </w:r>
      <w:r w:rsidR="00B9741B" w:rsidRPr="00FB47E3">
        <w:t>information gathering</w:t>
      </w:r>
      <w:r w:rsidR="002E2A11" w:rsidRPr="00FB47E3">
        <w:t xml:space="preserve"> activities related to the carbon tax repeal</w:t>
      </w:r>
      <w:bookmarkEnd w:id="71"/>
    </w:p>
    <w:p w:rsidR="00DF6D36" w:rsidRDefault="002E2A11" w:rsidP="00943446">
      <w:pPr>
        <w:autoSpaceDE w:val="0"/>
        <w:autoSpaceDN w:val="0"/>
        <w:adjustRightInd w:val="0"/>
        <w:spacing w:before="240"/>
      </w:pPr>
      <w:r>
        <w:t>T</w:t>
      </w:r>
      <w:r w:rsidR="00DF6D36">
        <w:t>he ACCC:</w:t>
      </w:r>
    </w:p>
    <w:p w:rsidR="00DF6D36" w:rsidRDefault="00DF6D36" w:rsidP="00D13F42">
      <w:pPr>
        <w:pStyle w:val="Bulletpoint"/>
      </w:pPr>
      <w:r>
        <w:t>sent 244</w:t>
      </w:r>
      <w:r>
        <w:rPr>
          <w:rStyle w:val="FootnoteReference"/>
        </w:rPr>
        <w:footnoteReference w:id="30"/>
      </w:r>
      <w:r>
        <w:t xml:space="preserve"> </w:t>
      </w:r>
      <w:r w:rsidR="001A31B2">
        <w:t>c</w:t>
      </w:r>
      <w:r>
        <w:t xml:space="preserve">arbon </w:t>
      </w:r>
      <w:r w:rsidR="001A31B2">
        <w:t>t</w:t>
      </w:r>
      <w:r>
        <w:t xml:space="preserve">ax </w:t>
      </w:r>
      <w:r w:rsidR="001A31B2">
        <w:t>removal s</w:t>
      </w:r>
      <w:r>
        <w:t xml:space="preserve">ubstantiation </w:t>
      </w:r>
      <w:r w:rsidR="001A31B2">
        <w:t>n</w:t>
      </w:r>
      <w:r>
        <w:t xml:space="preserve">otices and received 244 responses </w:t>
      </w:r>
    </w:p>
    <w:p w:rsidR="00DF6D36" w:rsidRDefault="00DF6D36" w:rsidP="00D13F42">
      <w:pPr>
        <w:pStyle w:val="Bulletpoint"/>
      </w:pPr>
      <w:r>
        <w:t xml:space="preserve">received 283 </w:t>
      </w:r>
      <w:r w:rsidR="001A31B2">
        <w:t>c</w:t>
      </w:r>
      <w:r>
        <w:t xml:space="preserve">arbon </w:t>
      </w:r>
      <w:r w:rsidR="001A31B2">
        <w:t>t</w:t>
      </w:r>
      <w:r>
        <w:t xml:space="preserve">ax </w:t>
      </w:r>
      <w:r w:rsidR="00911864">
        <w:t>removal</w:t>
      </w:r>
      <w:r>
        <w:t xml:space="preserve"> </w:t>
      </w:r>
      <w:r w:rsidR="001A31B2">
        <w:t>s</w:t>
      </w:r>
      <w:r>
        <w:t xml:space="preserve">ubstantiation </w:t>
      </w:r>
      <w:r w:rsidR="001A31B2">
        <w:t>s</w:t>
      </w:r>
      <w:r>
        <w:t>tatements</w:t>
      </w:r>
      <w:r>
        <w:rPr>
          <w:rStyle w:val="FootnoteReference"/>
        </w:rPr>
        <w:footnoteReference w:id="31"/>
      </w:r>
    </w:p>
    <w:p w:rsidR="004601CC" w:rsidRDefault="004601CC" w:rsidP="00022639">
      <w:pPr>
        <w:pStyle w:val="Bulletpoint"/>
        <w:spacing w:after="240"/>
        <w:ind w:left="357" w:hanging="357"/>
      </w:pPr>
      <w:proofErr w:type="gramStart"/>
      <w:r>
        <w:t>issued</w:t>
      </w:r>
      <w:proofErr w:type="gramEnd"/>
      <w:r>
        <w:t xml:space="preserve"> seven section 60H </w:t>
      </w:r>
      <w:r w:rsidR="001A31B2">
        <w:t>i</w:t>
      </w:r>
      <w:r>
        <w:t xml:space="preserve">nformation </w:t>
      </w:r>
      <w:r w:rsidR="001A31B2">
        <w:t>g</w:t>
      </w:r>
      <w:r>
        <w:t xml:space="preserve">athering </w:t>
      </w:r>
      <w:r w:rsidR="001A31B2">
        <w:t>n</w:t>
      </w:r>
      <w:r>
        <w:t>otices</w:t>
      </w:r>
      <w:r w:rsidR="0046329E">
        <w:t>.</w:t>
      </w:r>
    </w:p>
    <w:p w:rsidR="00C36E51" w:rsidRPr="00022639" w:rsidRDefault="003E35B7" w:rsidP="00022639">
      <w:pPr>
        <w:pStyle w:val="Bulletpoint"/>
        <w:numPr>
          <w:ilvl w:val="0"/>
          <w:numId w:val="0"/>
        </w:numPr>
      </w:pPr>
      <w:r w:rsidRPr="00D13F42">
        <w:t xml:space="preserve">The ACCC </w:t>
      </w:r>
      <w:r w:rsidR="004F2A03">
        <w:t>is</w:t>
      </w:r>
      <w:r w:rsidRPr="00D13F42">
        <w:t xml:space="preserve"> able to report a high level of compliance in relation to its information gathering powers and under the carbon tax price reduction obligation provisions.</w:t>
      </w:r>
    </w:p>
    <w:p w:rsidR="00024712" w:rsidRDefault="00024712">
      <w:pPr>
        <w:rPr>
          <w:rStyle w:val="Heading1Char"/>
        </w:rPr>
      </w:pPr>
      <w:r>
        <w:rPr>
          <w:rStyle w:val="Heading1Char"/>
        </w:rPr>
        <w:br w:type="page"/>
      </w:r>
    </w:p>
    <w:p w:rsidR="009B7F74" w:rsidRPr="00024712" w:rsidRDefault="009B7F74" w:rsidP="00022639">
      <w:pPr>
        <w:pStyle w:val="Heading1"/>
      </w:pPr>
      <w:bookmarkStart w:id="72" w:name="_Toc425348740"/>
      <w:r w:rsidRPr="00022639">
        <w:lastRenderedPageBreak/>
        <w:t>Annexure 1</w:t>
      </w:r>
      <w:r w:rsidR="00024712" w:rsidRPr="00022639">
        <w:t>: Local Councils</w:t>
      </w:r>
      <w:bookmarkEnd w:id="72"/>
    </w:p>
    <w:p w:rsidR="009B7F74" w:rsidRPr="00465AD2" w:rsidRDefault="009B7F74" w:rsidP="009B7F74">
      <w:pPr>
        <w:pStyle w:val="Tabletitle"/>
      </w:pPr>
      <w:r w:rsidRPr="009315F7">
        <w:t xml:space="preserve">Table </w:t>
      </w:r>
      <w:r w:rsidR="00021C05" w:rsidRPr="00A311D6">
        <w:t>1</w:t>
      </w:r>
      <w:r w:rsidR="00EF7BC6" w:rsidRPr="00A311D6">
        <w:t>1</w:t>
      </w:r>
      <w:r>
        <w:t xml:space="preserve">: </w:t>
      </w:r>
      <w:r w:rsidRPr="00465AD2">
        <w:t xml:space="preserve">Local councils’ </w:t>
      </w:r>
      <w:r w:rsidR="004679A2">
        <w:t xml:space="preserve">public </w:t>
      </w:r>
      <w:r w:rsidRPr="00465AD2">
        <w:t>announcements regarding lower charges and refunds of general rates and waste management charges due to the carbon tax repeal</w:t>
      </w:r>
      <w:r>
        <w:rPr>
          <w:rStyle w:val="FootnoteReference"/>
        </w:rPr>
        <w:footnoteReference w:id="32"/>
      </w:r>
      <w:r>
        <w:t xml:space="preserve"> </w:t>
      </w:r>
      <w:r w:rsidRPr="00465AD2">
        <w:t xml:space="preserve"> </w:t>
      </w:r>
    </w:p>
    <w:tbl>
      <w:tblPr>
        <w:tblStyle w:val="LightShading-Accent1"/>
        <w:tblW w:w="9180" w:type="dxa"/>
        <w:tblLook w:val="0420" w:firstRow="1" w:lastRow="0" w:firstColumn="0" w:lastColumn="0" w:noHBand="0" w:noVBand="1"/>
      </w:tblPr>
      <w:tblGrid>
        <w:gridCol w:w="2093"/>
        <w:gridCol w:w="1781"/>
        <w:gridCol w:w="5306"/>
      </w:tblGrid>
      <w:tr w:rsidR="009B7F74" w:rsidRPr="00465AD2" w:rsidTr="009315F7">
        <w:trPr>
          <w:cnfStyle w:val="100000000000" w:firstRow="1" w:lastRow="0" w:firstColumn="0" w:lastColumn="0" w:oddVBand="0" w:evenVBand="0" w:oddHBand="0" w:evenHBand="0" w:firstRowFirstColumn="0" w:firstRowLastColumn="0" w:lastRowFirstColumn="0" w:lastRowLastColumn="0"/>
          <w:trHeight w:val="558"/>
        </w:trPr>
        <w:tc>
          <w:tcPr>
            <w:tcW w:w="2093" w:type="dxa"/>
            <w:noWrap/>
            <w:hideMark/>
          </w:tcPr>
          <w:p w:rsidR="009B7F74" w:rsidRPr="00C3554E" w:rsidRDefault="009B7F74" w:rsidP="009B7F74">
            <w:pPr>
              <w:pStyle w:val="TableHeading"/>
              <w:rPr>
                <w:rFonts w:asciiTheme="minorHAnsi" w:hAnsiTheme="minorHAnsi" w:cstheme="minorHAnsi"/>
                <w:b/>
                <w:color w:val="000000" w:themeColor="text1"/>
                <w:sz w:val="20"/>
                <w:szCs w:val="20"/>
              </w:rPr>
            </w:pPr>
            <w:r w:rsidRPr="00C3554E">
              <w:rPr>
                <w:rFonts w:asciiTheme="minorHAnsi" w:hAnsiTheme="minorHAnsi" w:cstheme="minorHAnsi"/>
                <w:b/>
                <w:color w:val="000000" w:themeColor="text1"/>
                <w:sz w:val="20"/>
                <w:szCs w:val="20"/>
              </w:rPr>
              <w:t>Council</w:t>
            </w:r>
          </w:p>
        </w:tc>
        <w:tc>
          <w:tcPr>
            <w:tcW w:w="1781" w:type="dxa"/>
            <w:noWrap/>
            <w:hideMark/>
          </w:tcPr>
          <w:p w:rsidR="009B7F74" w:rsidRPr="00C3554E" w:rsidRDefault="009B7F74" w:rsidP="009B7F74">
            <w:pPr>
              <w:pStyle w:val="TableHeading"/>
              <w:rPr>
                <w:rFonts w:asciiTheme="minorHAnsi" w:hAnsiTheme="minorHAnsi" w:cstheme="minorHAnsi"/>
                <w:b/>
                <w:color w:val="000000" w:themeColor="text1"/>
                <w:sz w:val="20"/>
                <w:szCs w:val="20"/>
              </w:rPr>
            </w:pPr>
            <w:r w:rsidRPr="00C3554E">
              <w:rPr>
                <w:rFonts w:asciiTheme="minorHAnsi" w:hAnsiTheme="minorHAnsi" w:cstheme="minorHAnsi"/>
                <w:b/>
                <w:color w:val="000000" w:themeColor="text1"/>
                <w:sz w:val="20"/>
                <w:szCs w:val="20"/>
              </w:rPr>
              <w:t>Date of media report or announcement</w:t>
            </w:r>
          </w:p>
        </w:tc>
        <w:tc>
          <w:tcPr>
            <w:tcW w:w="5306" w:type="dxa"/>
            <w:hideMark/>
          </w:tcPr>
          <w:p w:rsidR="009B7F74" w:rsidRPr="00C3554E" w:rsidRDefault="009B7F74" w:rsidP="009B7F74">
            <w:pPr>
              <w:pStyle w:val="TableHeading"/>
              <w:rPr>
                <w:rFonts w:asciiTheme="minorHAnsi" w:hAnsiTheme="minorHAnsi" w:cstheme="minorHAnsi"/>
                <w:b/>
                <w:color w:val="000000" w:themeColor="text1"/>
                <w:sz w:val="20"/>
                <w:szCs w:val="20"/>
              </w:rPr>
            </w:pPr>
            <w:r w:rsidRPr="00C3554E">
              <w:rPr>
                <w:rFonts w:asciiTheme="minorHAnsi" w:hAnsiTheme="minorHAnsi" w:cstheme="minorHAnsi"/>
                <w:b/>
                <w:color w:val="000000" w:themeColor="text1"/>
                <w:sz w:val="20"/>
                <w:szCs w:val="20"/>
              </w:rPr>
              <w:t>Announcement</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600"/>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Glen </w:t>
            </w:r>
            <w:proofErr w:type="spellStart"/>
            <w:r w:rsidRPr="009315F7">
              <w:rPr>
                <w:rFonts w:asciiTheme="minorHAnsi" w:hAnsiTheme="minorHAnsi" w:cstheme="minorHAnsi"/>
                <w:color w:val="000000" w:themeColor="text1"/>
                <w:szCs w:val="20"/>
              </w:rPr>
              <w:t>Eira</w:t>
            </w:r>
            <w:proofErr w:type="spellEnd"/>
            <w:r w:rsidRPr="009315F7">
              <w:rPr>
                <w:rFonts w:asciiTheme="minorHAnsi" w:hAnsiTheme="minorHAnsi" w:cstheme="minorHAnsi"/>
                <w:color w:val="000000" w:themeColor="text1"/>
                <w:szCs w:val="20"/>
              </w:rPr>
              <w:t xml:space="preserve"> City Council (liable entity)</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16/07/2014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The carbon tax component was removed from waste management charges as part of the 2014-15 </w:t>
            </w:r>
            <w:proofErr w:type="gramStart"/>
            <w:r w:rsidRPr="009315F7">
              <w:rPr>
                <w:rFonts w:asciiTheme="minorHAnsi" w:hAnsiTheme="minorHAnsi" w:cstheme="minorHAnsi"/>
                <w:color w:val="000000" w:themeColor="text1"/>
                <w:szCs w:val="20"/>
              </w:rPr>
              <w:t>budget</w:t>
            </w:r>
            <w:proofErr w:type="gramEnd"/>
            <w:r w:rsidRPr="009315F7">
              <w:rPr>
                <w:rFonts w:asciiTheme="minorHAnsi" w:hAnsiTheme="minorHAnsi" w:cstheme="minorHAnsi"/>
                <w:color w:val="000000" w:themeColor="text1"/>
                <w:szCs w:val="20"/>
              </w:rPr>
              <w:t>, resulting in reductions of up to $37.00.</w:t>
            </w:r>
          </w:p>
        </w:tc>
      </w:tr>
      <w:tr w:rsidR="009B7F74" w:rsidRPr="00465AD2" w:rsidTr="009315F7">
        <w:trPr>
          <w:trHeight w:val="657"/>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Brisbane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17/07/2014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A refund of $36.00 on average will be applied to ratepayers’ October 2014 quarterly rates notices.</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612"/>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Townsville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17/07/2014</w:t>
            </w:r>
          </w:p>
        </w:tc>
        <w:tc>
          <w:tcPr>
            <w:tcW w:w="5306" w:type="dxa"/>
          </w:tcPr>
          <w:p w:rsidR="009B7F74" w:rsidRPr="009315F7" w:rsidRDefault="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$20.00 saving upfront on their waste utility charge (from $234.00</w:t>
            </w:r>
            <w:r w:rsidR="002B7CB6" w:rsidRPr="009315F7">
              <w:rPr>
                <w:rFonts w:asciiTheme="minorHAnsi" w:hAnsiTheme="minorHAnsi" w:cstheme="minorHAnsi"/>
                <w:color w:val="000000" w:themeColor="text1"/>
                <w:szCs w:val="20"/>
              </w:rPr>
              <w:t xml:space="preserve"> to $214.00</w:t>
            </w:r>
            <w:r w:rsidRPr="009315F7">
              <w:rPr>
                <w:rFonts w:asciiTheme="minorHAnsi" w:hAnsiTheme="minorHAnsi" w:cstheme="minorHAnsi"/>
                <w:color w:val="000000" w:themeColor="text1"/>
                <w:szCs w:val="20"/>
              </w:rPr>
              <w:t>).</w:t>
            </w:r>
          </w:p>
        </w:tc>
      </w:tr>
      <w:tr w:rsidR="009B7F74" w:rsidRPr="00465AD2" w:rsidTr="009315F7">
        <w:trPr>
          <w:trHeight w:val="600"/>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Casey City Council</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25/07/2014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The 6.3 per cent rate rise announced in June will now fall to 5.9 per cent.</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612"/>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Town of Victoria Park</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26/07/2014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It had cut the carbon tax charge from its 2014-15 </w:t>
            </w:r>
            <w:proofErr w:type="gramStart"/>
            <w:r w:rsidRPr="009315F7">
              <w:rPr>
                <w:rFonts w:asciiTheme="minorHAnsi" w:hAnsiTheme="minorHAnsi" w:cstheme="minorHAnsi"/>
                <w:color w:val="000000" w:themeColor="text1"/>
                <w:szCs w:val="20"/>
              </w:rPr>
              <w:t>budget</w:t>
            </w:r>
            <w:proofErr w:type="gramEnd"/>
            <w:r w:rsidRPr="009315F7">
              <w:rPr>
                <w:rFonts w:asciiTheme="minorHAnsi" w:hAnsiTheme="minorHAnsi" w:cstheme="minorHAnsi"/>
                <w:color w:val="000000" w:themeColor="text1"/>
                <w:szCs w:val="20"/>
              </w:rPr>
              <w:t>.</w:t>
            </w:r>
          </w:p>
        </w:tc>
      </w:tr>
      <w:tr w:rsidR="009B7F74" w:rsidRPr="00465AD2" w:rsidTr="009315F7">
        <w:trPr>
          <w:trHeight w:val="834"/>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Kingston City Council</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30/07/2014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It had originally flagged a 4.25 per cent increase in rates for 2014-15, but after the carbon tax repeal, the rate rise will now be 4.06 per cent. </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662"/>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City of Greater Geelong</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31/07/2014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The carbon tax component was removed from waste management charges as part of the 2014-15 </w:t>
            </w:r>
            <w:proofErr w:type="gramStart"/>
            <w:r w:rsidRPr="009315F7">
              <w:rPr>
                <w:rFonts w:asciiTheme="minorHAnsi" w:hAnsiTheme="minorHAnsi" w:cstheme="minorHAnsi"/>
                <w:color w:val="000000" w:themeColor="text1"/>
                <w:szCs w:val="20"/>
              </w:rPr>
              <w:t>budget</w:t>
            </w:r>
            <w:proofErr w:type="gramEnd"/>
            <w:r w:rsidRPr="009315F7">
              <w:rPr>
                <w:rFonts w:asciiTheme="minorHAnsi" w:hAnsiTheme="minorHAnsi" w:cstheme="minorHAnsi"/>
                <w:color w:val="000000" w:themeColor="text1"/>
                <w:szCs w:val="20"/>
              </w:rPr>
              <w:t>.</w:t>
            </w:r>
          </w:p>
        </w:tc>
      </w:tr>
      <w:tr w:rsidR="009B7F74" w:rsidRPr="00465AD2" w:rsidTr="009315F7">
        <w:trPr>
          <w:trHeight w:val="632"/>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Maitland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01/08/2014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The domestic waste management charge has been reduced by $29.45.</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826"/>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Wyndham City Council (liable entity)</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5/08/2014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It will remove the carbon tax component from the waste management service charge, resulting in a reduction of $8.17 in 2014-15, from $259.00 per bin to $250.83. </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Logan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05/08/2014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It has resolved to make a one off refund through the rates notice to those ratepayers who have contributed to the carbon tax through the waste charge on their rates notice. Ratepayers with a standard bin will receive a refund of $14.76.</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Singleton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05/08/2014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It will reduce domestic and commercial waste charge in mid-September 2014. Any waste charges that have been collected by the council will be adjusted by means of a credit to ratepayers' accounts.</w:t>
            </w:r>
          </w:p>
        </w:tc>
      </w:tr>
      <w:tr w:rsidR="009B7F74" w:rsidRPr="00465AD2" w:rsidTr="009315F7">
        <w:trPr>
          <w:trHeight w:val="588"/>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Charles Sturt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06/08/2014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The 2014-15 </w:t>
            </w:r>
            <w:proofErr w:type="gramStart"/>
            <w:r w:rsidRPr="009315F7">
              <w:rPr>
                <w:rFonts w:asciiTheme="minorHAnsi" w:hAnsiTheme="minorHAnsi" w:cstheme="minorHAnsi"/>
                <w:color w:val="000000" w:themeColor="text1"/>
                <w:szCs w:val="20"/>
              </w:rPr>
              <w:t>budget</w:t>
            </w:r>
            <w:proofErr w:type="gramEnd"/>
            <w:r w:rsidRPr="009315F7">
              <w:rPr>
                <w:rFonts w:asciiTheme="minorHAnsi" w:hAnsiTheme="minorHAnsi" w:cstheme="minorHAnsi"/>
                <w:color w:val="000000" w:themeColor="text1"/>
                <w:szCs w:val="20"/>
              </w:rPr>
              <w:t xml:space="preserve"> already factored in savings from the carbon tax repeal.</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555"/>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City of Darwin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13/08/2014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see a refund of $29.67 in garbage and recycling service charges by means of a grant in their August 2014 rates notices.</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lastRenderedPageBreak/>
              <w:t>Cessnock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14/08/2014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The annual domestic waste management service charge will reduce from $525.00 to $480.00 per service, a saving of $45.00. As rates notices have already been issued, ratepayers will receive a credit on their account to reflect the lower charge.</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600"/>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Wodonga City Council</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19/08/2014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Ratepayers will get a $17.40 reduction in waste management charges. </w:t>
            </w:r>
          </w:p>
        </w:tc>
      </w:tr>
      <w:tr w:rsidR="009B7F74" w:rsidRPr="00465AD2" w:rsidTr="009315F7">
        <w:trPr>
          <w:trHeight w:val="557"/>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Redland City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22/08/2014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one-off rates refund of $38.48 in their next rates notices.</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835"/>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Rockhampton Regional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27/08/2014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reduction in their January 2015 rates notice which signifies the portion of the carbon tax expense per property.</w:t>
            </w:r>
          </w:p>
        </w:tc>
      </w:tr>
      <w:tr w:rsidR="009B7F74" w:rsidRPr="00465AD2" w:rsidTr="009315F7">
        <w:trPr>
          <w:trHeight w:val="705"/>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Mackay Regional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27/08/2014</w:t>
            </w:r>
          </w:p>
        </w:tc>
        <w:tc>
          <w:tcPr>
            <w:tcW w:w="5306" w:type="dxa"/>
          </w:tcPr>
          <w:p w:rsidR="009B7F74" w:rsidRPr="009315F7" w:rsidRDefault="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Ratepayers will receive </w:t>
            </w:r>
            <w:proofErr w:type="gramStart"/>
            <w:r w:rsidRPr="009315F7">
              <w:rPr>
                <w:rFonts w:asciiTheme="minorHAnsi" w:hAnsiTheme="minorHAnsi" w:cstheme="minorHAnsi"/>
                <w:color w:val="000000" w:themeColor="text1"/>
                <w:szCs w:val="20"/>
              </w:rPr>
              <w:t>a</w:t>
            </w:r>
            <w:proofErr w:type="gramEnd"/>
            <w:r w:rsidRPr="009315F7">
              <w:rPr>
                <w:rFonts w:asciiTheme="minorHAnsi" w:hAnsiTheme="minorHAnsi" w:cstheme="minorHAnsi"/>
                <w:color w:val="000000" w:themeColor="text1"/>
                <w:szCs w:val="20"/>
              </w:rPr>
              <w:t xml:space="preserve"> $18.46 refund in the Waste Facilities Operations Levy added to rates. This will be a credit displayed in February 2015 rates notices.</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701"/>
        </w:trPr>
        <w:tc>
          <w:tcPr>
            <w:tcW w:w="2093"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Indigo Shire Council</w:t>
            </w:r>
          </w:p>
        </w:tc>
        <w:tc>
          <w:tcPr>
            <w:tcW w:w="1781" w:type="dxa"/>
            <w:noWrap/>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28/08/2014</w:t>
            </w:r>
          </w:p>
        </w:tc>
        <w:tc>
          <w:tcPr>
            <w:tcW w:w="5306" w:type="dxa"/>
            <w:hideMark/>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A reduction in waste collection charges of about $14.00 will be passed on to ratepayers</w:t>
            </w:r>
            <w:r w:rsidR="002B7CB6" w:rsidRPr="009315F7">
              <w:rPr>
                <w:rFonts w:asciiTheme="minorHAnsi" w:hAnsiTheme="minorHAnsi" w:cstheme="minorHAnsi"/>
                <w:color w:val="000000" w:themeColor="text1"/>
                <w:szCs w:val="20"/>
              </w:rPr>
              <w:t>.</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City of Tea Tree Gully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09/09/2014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rates refund as a credit on their next quarterly rates notices in October 2014, with the average residential ratepayer saving $7.00.</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Griffith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09/09/2014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rates refund of $7.00 per eligible assessment for 2014</w:t>
            </w:r>
            <w:r w:rsidRPr="009315F7">
              <w:rPr>
                <w:rFonts w:asciiTheme="minorHAnsi" w:hAnsiTheme="minorHAnsi" w:cstheme="minorHAnsi"/>
                <w:color w:val="000000" w:themeColor="text1"/>
                <w:szCs w:val="20"/>
              </w:rPr>
              <w:softHyphen/>
              <w:t>-15. The refund will be provided as a credit in October 2014 quarterly rates notices.</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Blue Mountains City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10/09/2014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A one-off credit of $18.59 will be applied to all residential properties levied in 2014-15. Residents will see this credit on one of their quarterly rate notices in 2014-15.</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Ipswich City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18/09/2014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A one-off rates refund will be included in October-December 2014 rates notices and ratepayers should expect to see an average refund of $14.04.</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Gold Coast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6/11/2014</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A one-off refund in waste management utility charges will be provided to ratepayers in the </w:t>
            </w:r>
            <w:r w:rsidR="00067881" w:rsidRPr="009315F7">
              <w:rPr>
                <w:rFonts w:asciiTheme="minorHAnsi" w:hAnsiTheme="minorHAnsi" w:cstheme="minorHAnsi"/>
                <w:color w:val="000000" w:themeColor="text1"/>
                <w:szCs w:val="20"/>
              </w:rPr>
              <w:t xml:space="preserve">January </w:t>
            </w:r>
            <w:r w:rsidRPr="009315F7">
              <w:rPr>
                <w:rFonts w:asciiTheme="minorHAnsi" w:hAnsiTheme="minorHAnsi" w:cstheme="minorHAnsi"/>
                <w:color w:val="000000" w:themeColor="text1"/>
                <w:szCs w:val="20"/>
              </w:rPr>
              <w:t>2015 rates notice. The average residential property will receive a refund of $14.60.</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Alice Springs Town Council </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27/03/2015</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It will return $80 000 of collected carbon tax from 2013-2014 to ratepayers. This will be reflected in 2015-2016 rates notices. </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 xml:space="preserve">City of Greater Bendigo </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15/04/2015</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Ratepayers will receive a refund of $20 for each waste collection service paid for in 2014-15. This refund will be reflected in 2015-2016 rates notices.</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Hobson Bay City Council</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23/04/2015</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It had originally proposed a rate increase of 6.8 per cent, but now the average increase for combined residential rates and waste management charges will be 3.8 per</w:t>
            </w:r>
            <w:r w:rsidR="00067881" w:rsidRPr="009315F7">
              <w:rPr>
                <w:rFonts w:asciiTheme="minorHAnsi" w:hAnsiTheme="minorHAnsi" w:cstheme="minorHAnsi"/>
                <w:color w:val="000000" w:themeColor="text1"/>
                <w:szCs w:val="20"/>
              </w:rPr>
              <w:t xml:space="preserve"> </w:t>
            </w:r>
            <w:r w:rsidRPr="009315F7">
              <w:rPr>
                <w:rFonts w:asciiTheme="minorHAnsi" w:hAnsiTheme="minorHAnsi" w:cstheme="minorHAnsi"/>
                <w:color w:val="000000" w:themeColor="text1"/>
                <w:szCs w:val="20"/>
              </w:rPr>
              <w:t>cent. This reduction is in part due to offsetting the refund to ratepayers of $650 000 in collected carbon tax.</w:t>
            </w:r>
          </w:p>
        </w:tc>
      </w:tr>
      <w:tr w:rsidR="009B7F74" w:rsidRPr="00465AD2" w:rsidTr="009315F7">
        <w:trPr>
          <w:trHeight w:val="900"/>
        </w:trPr>
        <w:tc>
          <w:tcPr>
            <w:tcW w:w="2093"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lastRenderedPageBreak/>
              <w:t>Townsville City Council (liable entity)</w:t>
            </w:r>
          </w:p>
        </w:tc>
        <w:tc>
          <w:tcPr>
            <w:tcW w:w="1781" w:type="dxa"/>
            <w:noWrap/>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25/05/2015</w:t>
            </w:r>
          </w:p>
        </w:tc>
        <w:tc>
          <w:tcPr>
            <w:tcW w:w="5306" w:type="dxa"/>
          </w:tcPr>
          <w:p w:rsidR="009B7F74" w:rsidRPr="009315F7" w:rsidRDefault="009B7F74" w:rsidP="009B7F74">
            <w:pPr>
              <w:pStyle w:val="Tabletext"/>
              <w:rPr>
                <w:rFonts w:asciiTheme="minorHAnsi" w:hAnsiTheme="minorHAnsi" w:cstheme="minorHAnsi"/>
                <w:color w:val="000000" w:themeColor="text1"/>
                <w:szCs w:val="20"/>
              </w:rPr>
            </w:pPr>
            <w:r w:rsidRPr="009315F7">
              <w:rPr>
                <w:rFonts w:asciiTheme="minorHAnsi" w:hAnsiTheme="minorHAnsi" w:cstheme="minorHAnsi"/>
                <w:color w:val="000000" w:themeColor="text1"/>
                <w:szCs w:val="20"/>
              </w:rPr>
              <w:t>A $35.00 refund in general rates will be provided to ratepayers across their next two rates bills in August 2015 and February 2016.</w:t>
            </w:r>
          </w:p>
        </w:tc>
      </w:tr>
      <w:tr w:rsidR="009B7F74" w:rsidRPr="00465AD2" w:rsidTr="009315F7">
        <w:trPr>
          <w:cnfStyle w:val="000000100000" w:firstRow="0" w:lastRow="0" w:firstColumn="0" w:lastColumn="0" w:oddVBand="0" w:evenVBand="0" w:oddHBand="1" w:evenHBand="0" w:firstRowFirstColumn="0" w:firstRowLastColumn="0" w:lastRowFirstColumn="0" w:lastRowLastColumn="0"/>
          <w:trHeight w:val="900"/>
        </w:trPr>
        <w:tc>
          <w:tcPr>
            <w:tcW w:w="2093" w:type="dxa"/>
            <w:noWrap/>
          </w:tcPr>
          <w:p w:rsidR="009B7F74" w:rsidRPr="009315F7" w:rsidRDefault="009B7F74" w:rsidP="009B7F74">
            <w:pPr>
              <w:pStyle w:val="Tabletext"/>
              <w:rPr>
                <w:color w:val="000000" w:themeColor="text1"/>
              </w:rPr>
            </w:pPr>
            <w:r w:rsidRPr="009315F7">
              <w:rPr>
                <w:color w:val="000000" w:themeColor="text1"/>
              </w:rPr>
              <w:t xml:space="preserve">Port Pirie Regional Council </w:t>
            </w:r>
          </w:p>
        </w:tc>
        <w:tc>
          <w:tcPr>
            <w:tcW w:w="1781" w:type="dxa"/>
            <w:noWrap/>
          </w:tcPr>
          <w:p w:rsidR="009B7F74" w:rsidRPr="009315F7" w:rsidRDefault="009B7F74" w:rsidP="009B7F74">
            <w:pPr>
              <w:pStyle w:val="Tabletext"/>
              <w:rPr>
                <w:color w:val="000000" w:themeColor="text1"/>
              </w:rPr>
            </w:pPr>
            <w:r w:rsidRPr="009315F7">
              <w:rPr>
                <w:color w:val="000000" w:themeColor="text1"/>
              </w:rPr>
              <w:t>4/06/2015</w:t>
            </w:r>
          </w:p>
        </w:tc>
        <w:tc>
          <w:tcPr>
            <w:tcW w:w="5306" w:type="dxa"/>
          </w:tcPr>
          <w:p w:rsidR="009B7F74" w:rsidRPr="009315F7" w:rsidRDefault="009B7F74" w:rsidP="009B7F74">
            <w:pPr>
              <w:pStyle w:val="Tabletext"/>
              <w:rPr>
                <w:rFonts w:eastAsia="Times New Roman"/>
                <w:color w:val="000000" w:themeColor="text1"/>
                <w:lang w:val="en-US" w:eastAsia="en-AU"/>
              </w:rPr>
            </w:pPr>
            <w:r w:rsidRPr="009315F7">
              <w:rPr>
                <w:color w:val="000000" w:themeColor="text1"/>
              </w:rPr>
              <w:t>The waste management fee component of rates will reduce from $228.00 to $212.00 as a result of the carbon tax repeal and more efficient waste transfer station procedures.</w:t>
            </w:r>
          </w:p>
        </w:tc>
      </w:tr>
      <w:tr w:rsidR="00CC10B3" w:rsidRPr="00465AD2" w:rsidTr="009315F7">
        <w:trPr>
          <w:trHeight w:val="900"/>
        </w:trPr>
        <w:tc>
          <w:tcPr>
            <w:tcW w:w="2093" w:type="dxa"/>
            <w:tcBorders>
              <w:bottom w:val="single" w:sz="8" w:space="0" w:color="51626F" w:themeColor="accent1"/>
            </w:tcBorders>
            <w:noWrap/>
          </w:tcPr>
          <w:p w:rsidR="00CC10B3" w:rsidRPr="009315F7" w:rsidRDefault="00CC10B3" w:rsidP="009B7F74">
            <w:pPr>
              <w:pStyle w:val="Tabletext"/>
              <w:rPr>
                <w:color w:val="000000" w:themeColor="text1"/>
              </w:rPr>
            </w:pPr>
            <w:r w:rsidRPr="009315F7">
              <w:rPr>
                <w:color w:val="000000" w:themeColor="text1"/>
              </w:rPr>
              <w:t>Sunshine Coast Regional Council (liable entity)</w:t>
            </w:r>
          </w:p>
        </w:tc>
        <w:tc>
          <w:tcPr>
            <w:tcW w:w="1781" w:type="dxa"/>
            <w:tcBorders>
              <w:bottom w:val="single" w:sz="8" w:space="0" w:color="51626F" w:themeColor="accent1"/>
            </w:tcBorders>
            <w:noWrap/>
          </w:tcPr>
          <w:p w:rsidR="00CC10B3" w:rsidRPr="009315F7" w:rsidRDefault="00CC10B3" w:rsidP="009B7F74">
            <w:pPr>
              <w:pStyle w:val="Tabletext"/>
              <w:rPr>
                <w:color w:val="000000" w:themeColor="text1"/>
              </w:rPr>
            </w:pPr>
            <w:r w:rsidRPr="009315F7">
              <w:rPr>
                <w:color w:val="000000" w:themeColor="text1"/>
              </w:rPr>
              <w:t>25/06/2015</w:t>
            </w:r>
          </w:p>
        </w:tc>
        <w:tc>
          <w:tcPr>
            <w:tcW w:w="5306" w:type="dxa"/>
            <w:tcBorders>
              <w:bottom w:val="single" w:sz="8" w:space="0" w:color="51626F" w:themeColor="accent1"/>
            </w:tcBorders>
          </w:tcPr>
          <w:p w:rsidR="00CC10B3" w:rsidRPr="009315F7" w:rsidRDefault="00CC10B3" w:rsidP="009B7F74">
            <w:pPr>
              <w:pStyle w:val="Tabletext"/>
              <w:rPr>
                <w:color w:val="000000" w:themeColor="text1"/>
              </w:rPr>
            </w:pPr>
            <w:r w:rsidRPr="009315F7">
              <w:rPr>
                <w:color w:val="000000" w:themeColor="text1"/>
              </w:rPr>
              <w:t>Ratepayers with a council waste management service will receive a one-off $17 carbon tax rebate in July</w:t>
            </w:r>
            <w:r w:rsidR="004F2A03" w:rsidRPr="009315F7">
              <w:rPr>
                <w:color w:val="000000" w:themeColor="text1"/>
              </w:rPr>
              <w:t xml:space="preserve"> 2015</w:t>
            </w:r>
            <w:r w:rsidRPr="009315F7">
              <w:rPr>
                <w:color w:val="000000" w:themeColor="text1"/>
              </w:rPr>
              <w:t>.</w:t>
            </w:r>
          </w:p>
        </w:tc>
      </w:tr>
    </w:tbl>
    <w:p w:rsidR="009B7F74" w:rsidRDefault="009B7F74" w:rsidP="009B7F74"/>
    <w:p w:rsidR="009B7F74" w:rsidRDefault="009B7F74">
      <w:pPr>
        <w:rPr>
          <w:rFonts w:ascii="Lucida Fax" w:eastAsiaTheme="majorEastAsia" w:hAnsi="Lucida Fax" w:cstheme="majorBidi"/>
          <w:bCs/>
          <w:color w:val="51626F"/>
          <w:sz w:val="32"/>
          <w:szCs w:val="28"/>
        </w:rPr>
      </w:pPr>
      <w:r>
        <w:br w:type="page"/>
      </w:r>
    </w:p>
    <w:p w:rsidR="00CC1A3A" w:rsidRPr="00442B20" w:rsidRDefault="00C36E51" w:rsidP="009315F7">
      <w:pPr>
        <w:pStyle w:val="Heading1"/>
        <w:spacing w:after="120"/>
      </w:pPr>
      <w:bookmarkStart w:id="73" w:name="_Toc425348741"/>
      <w:r w:rsidRPr="00442B20">
        <w:lastRenderedPageBreak/>
        <w:t xml:space="preserve">Annexure </w:t>
      </w:r>
      <w:r w:rsidR="00690A3E">
        <w:t>2</w:t>
      </w:r>
      <w:r w:rsidR="009B7F74">
        <w:t>:</w:t>
      </w:r>
      <w:r w:rsidRPr="00442B20">
        <w:t xml:space="preserve"> Glossary</w:t>
      </w:r>
      <w:bookmarkEnd w:id="73"/>
    </w:p>
    <w:tbl>
      <w:tblPr>
        <w:tblStyle w:val="LightShading1"/>
        <w:tblW w:w="0" w:type="auto"/>
        <w:tblLook w:val="0480" w:firstRow="0" w:lastRow="0" w:firstColumn="1" w:lastColumn="0" w:noHBand="0" w:noVBand="1"/>
      </w:tblPr>
      <w:tblGrid>
        <w:gridCol w:w="3227"/>
        <w:gridCol w:w="142"/>
        <w:gridCol w:w="5245"/>
        <w:gridCol w:w="142"/>
      </w:tblGrid>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Abatement measures</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Measures an entity has put in place in order to reduce its direct emissions and therefore its direct carbon tax costs.</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ACCC</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AB36D9">
              <w:t>Australian Competition and Consumer Commission</w:t>
            </w:r>
            <w:r>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AER</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AB36D9">
              <w:t>Australian Energy Regulator</w:t>
            </w:r>
            <w:r>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t>Carbon inclusive contract</w:t>
            </w:r>
          </w:p>
        </w:tc>
        <w:tc>
          <w:tcPr>
            <w:tcW w:w="5387" w:type="dxa"/>
            <w:gridSpan w:val="2"/>
          </w:tcPr>
          <w:p w:rsidR="00442B20" w:rsidRDefault="00442B20" w:rsidP="00500360">
            <w:pPr>
              <w:pStyle w:val="Tabletext"/>
              <w:cnfStyle w:val="000000000000" w:firstRow="0" w:lastRow="0" w:firstColumn="0" w:lastColumn="0" w:oddVBand="0" w:evenVBand="0" w:oddHBand="0" w:evenHBand="0" w:firstRowFirstColumn="0" w:firstRowLastColumn="0" w:lastRowFirstColumn="0" w:lastRowLastColumn="0"/>
            </w:pPr>
            <w:r>
              <w:t>A carbon inclusive contract</w:t>
            </w:r>
            <w:r w:rsidRPr="00F047CE">
              <w:t xml:space="preserve"> ha</w:t>
            </w:r>
            <w:r>
              <w:t xml:space="preserve">s </w:t>
            </w:r>
            <w:r w:rsidRPr="00F047CE">
              <w:t>a single all inclusive price that does not identify a</w:t>
            </w:r>
            <w:r>
              <w:t xml:space="preserve"> </w:t>
            </w:r>
            <w:r w:rsidRPr="00F047CE">
              <w:t>carbon component. The prices under these contracts were generally fixed with reference to</w:t>
            </w:r>
            <w:r>
              <w:t xml:space="preserve"> </w:t>
            </w:r>
            <w:r w:rsidRPr="00F047CE">
              <w:t>a number of forward looking factors, including the expectation of the repeal of the carbon</w:t>
            </w:r>
            <w:r>
              <w:t xml:space="preserve"> </w:t>
            </w:r>
            <w:r w:rsidRPr="00F047CE">
              <w:t>tax.</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Carbon tax</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The carbon price mechanism which came into effect on 1 July 2012. It was a cap-and-trade emissions trading scheme, beginning with a three-year fixed price and then transitioning to a full emissions trading scheme in 2015. It applied to entities producing more than 25 000 tonnes per year of CO</w:t>
            </w:r>
            <w:r w:rsidRPr="00AB36D9">
              <w:rPr>
                <w:vertAlign w:val="subscript"/>
              </w:rPr>
              <w:t>2</w:t>
            </w:r>
            <w:r w:rsidRPr="00AB36D9">
              <w:t xml:space="preserve">-e emissions. </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E35F89" w:rsidRDefault="00442B20" w:rsidP="00500360">
            <w:pPr>
              <w:pStyle w:val="Tabletext"/>
            </w:pPr>
            <w:r w:rsidRPr="00E35F89">
              <w:t>Carbon tax repeal transition period</w:t>
            </w:r>
          </w:p>
        </w:tc>
        <w:tc>
          <w:tcPr>
            <w:tcW w:w="5387" w:type="dxa"/>
            <w:gridSpan w:val="2"/>
          </w:tcPr>
          <w:p w:rsidR="00442B20" w:rsidRPr="00E35F8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t>Under s 60A of the CCA,</w:t>
            </w:r>
            <w:r w:rsidRPr="00E35F89">
              <w:t xml:space="preserve"> means the period:</w:t>
            </w:r>
          </w:p>
          <w:p w:rsidR="00442B20" w:rsidRPr="00E35F89" w:rsidRDefault="00442B20" w:rsidP="00442B20">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rsidRPr="00E35F89">
              <w:t>beginn</w:t>
            </w:r>
            <w:r>
              <w:t>ing at the start of 1 July 2014,</w:t>
            </w:r>
            <w:r w:rsidRPr="00E35F89">
              <w:t xml:space="preserve"> and</w:t>
            </w:r>
          </w:p>
          <w:p w:rsidR="00442B20" w:rsidRPr="00E35F89" w:rsidRDefault="00442B20" w:rsidP="00442B20">
            <w:pPr>
              <w:pStyle w:val="Tabletext"/>
              <w:numPr>
                <w:ilvl w:val="0"/>
                <w:numId w:val="39"/>
              </w:numPr>
              <w:cnfStyle w:val="000000000000" w:firstRow="0" w:lastRow="0" w:firstColumn="0" w:lastColumn="0" w:oddVBand="0" w:evenVBand="0" w:oddHBand="0" w:evenHBand="0" w:firstRowFirstColumn="0" w:firstRowLastColumn="0" w:lastRowFirstColumn="0" w:lastRowLastColumn="0"/>
            </w:pPr>
            <w:proofErr w:type="gramStart"/>
            <w:r w:rsidRPr="00E35F89">
              <w:t>ending</w:t>
            </w:r>
            <w:proofErr w:type="gramEnd"/>
            <w:r w:rsidRPr="00E35F89">
              <w:t xml:space="preserve"> at the end of 30 June 2015.</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Carbon tax removal substantiation notice</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A notice issued by the ACCC pursuant to section 60FA of the CCA, to an electricity retailer or producer, a natural gas retailer or bulk SGG importer that sells to customers, requiring the entity to give to the ACCC a written statement that explains:</w:t>
            </w:r>
          </w:p>
          <w:p w:rsidR="00442B20" w:rsidRPr="00AB36D9" w:rsidRDefault="00442B20" w:rsidP="00442B20">
            <w:pPr>
              <w:pStyle w:val="Bulletpoint"/>
              <w:tabs>
                <w:tab w:val="left" w:pos="340"/>
              </w:tabs>
              <w:ind w:left="340" w:hanging="340"/>
              <w:cnfStyle w:val="000000000000" w:firstRow="0" w:lastRow="0" w:firstColumn="0" w:lastColumn="0" w:oddVBand="0" w:evenVBand="0" w:oddHBand="0" w:evenHBand="0" w:firstRowFirstColumn="0" w:firstRowLastColumn="0" w:lastRowFirstColumn="0" w:lastRowLastColumn="0"/>
            </w:pPr>
            <w:r w:rsidRPr="00AB36D9">
              <w:t>how the carbon tax repeal has affected, or is affecting, the entity’s regulated supply input costs, and</w:t>
            </w:r>
          </w:p>
          <w:p w:rsidR="00442B20" w:rsidRPr="00AB36D9"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proofErr w:type="gramStart"/>
            <w:r w:rsidRPr="00AB36D9">
              <w:t>how</w:t>
            </w:r>
            <w:proofErr w:type="gramEnd"/>
            <w:r w:rsidRPr="00AB36D9">
              <w:t xml:space="preserve"> reductions in the entity’s regulated supply input costs that are directly or indirectly attributable to the carbon tax repeal are reflected in the prices charged by the entity for regulated supplies of electricity, natural gas or synthetic greenhouse gas. </w:t>
            </w:r>
          </w:p>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The entity must provide the ACCC with information that substantiates the explanation set out in the statement, and/or produce to the ACCC documents that substantiate the explanation set out in the statement.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Carbon tax removal substantiation statement</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A written statement pursuant to section 60FD of the CCA from an electricity retailer or producer, natural gas retailer or bulk SGG importer that sells to customers, provided to the ACCC that sets out:</w:t>
            </w:r>
          </w:p>
          <w:p w:rsidR="00442B20" w:rsidRPr="00AB36D9"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r w:rsidRPr="00AB36D9">
              <w:t xml:space="preserve">the entity’s average annual percentage price basis, or an average annual dollar price basis of the entity’s cost savings that have been, are, or will be, directly or indirectly attributable to the carbon tax repeal, and </w:t>
            </w:r>
          </w:p>
          <w:p w:rsidR="00442B20" w:rsidRPr="00AB36D9"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proofErr w:type="gramStart"/>
            <w:r w:rsidRPr="00AB36D9">
              <w:t>that</w:t>
            </w:r>
            <w:proofErr w:type="gramEnd"/>
            <w:r w:rsidRPr="00AB36D9">
              <w:t xml:space="preserve"> have been, are being, or will be, passed on to each class of its customers during the financial year that began on 1 July 2014.</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lastRenderedPageBreak/>
              <w:t>CCA</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rPr>
                <w:iCs/>
                <w:spacing w:val="10"/>
              </w:rPr>
            </w:pPr>
            <w:r w:rsidRPr="00425F3B">
              <w:rPr>
                <w:rStyle w:val="Emphasis"/>
              </w:rPr>
              <w:t>Competition and Consumer Act 2010</w:t>
            </w:r>
            <w:r w:rsidRPr="009847F6">
              <w:t xml:space="preserve"> (</w:t>
            </w:r>
            <w:proofErr w:type="spellStart"/>
            <w:r w:rsidRPr="009847F6">
              <w:t>Cth</w:t>
            </w:r>
            <w:proofErr w:type="spellEnd"/>
            <w:r w:rsidRPr="009847F6">
              <w:t>)</w:t>
            </w:r>
            <w:r>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Direct carbon tax cost</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An entity’s financial liability under the carbon tax arising from emissions produced by that entity.</w:t>
            </w:r>
          </w:p>
        </w:tc>
      </w:tr>
      <w:tr w:rsidR="00442B20" w:rsidRPr="00E35F89" w:rsidTr="00500360">
        <w:tc>
          <w:tcPr>
            <w:cnfStyle w:val="001000000000" w:firstRow="0" w:lastRow="0" w:firstColumn="1" w:lastColumn="0" w:oddVBand="0" w:evenVBand="0" w:oddHBand="0" w:evenHBand="0" w:firstRowFirstColumn="0" w:firstRowLastColumn="0" w:lastRowFirstColumn="0" w:lastRowLastColumn="0"/>
            <w:tcW w:w="3369" w:type="dxa"/>
            <w:gridSpan w:val="2"/>
          </w:tcPr>
          <w:p w:rsidR="00442B20" w:rsidRPr="00015C52" w:rsidRDefault="00442B20" w:rsidP="00500360">
            <w:pPr>
              <w:pStyle w:val="Tabletext"/>
            </w:pPr>
            <w:r w:rsidRPr="00015C52">
              <w:t>Equivalent carbon price le</w:t>
            </w:r>
            <w:r>
              <w:t>vy</w:t>
            </w:r>
          </w:p>
        </w:tc>
        <w:tc>
          <w:tcPr>
            <w:tcW w:w="5387" w:type="dxa"/>
            <w:gridSpan w:val="2"/>
          </w:tcPr>
          <w:p w:rsidR="00442B20" w:rsidRPr="00015C52" w:rsidRDefault="00442B20" w:rsidP="00500360">
            <w:pPr>
              <w:pStyle w:val="Tabletext"/>
              <w:ind w:left="-108"/>
              <w:cnfStyle w:val="000000000000" w:firstRow="0" w:lastRow="0" w:firstColumn="0" w:lastColumn="0" w:oddVBand="0" w:evenVBand="0" w:oddHBand="0" w:evenHBand="0" w:firstRowFirstColumn="0" w:firstRowLastColumn="0" w:lastRowFirstColumn="0" w:lastRowLastColumn="0"/>
            </w:pPr>
            <w:r w:rsidRPr="00425F3B">
              <w:rPr>
                <w:rStyle w:val="TabletextChar"/>
              </w:rPr>
              <w:t>Synthetic greenhouse gas</w:t>
            </w:r>
            <w:r w:rsidR="00067881">
              <w:rPr>
                <w:rStyle w:val="TabletextChar"/>
              </w:rPr>
              <w:t>es</w:t>
            </w:r>
            <w:r w:rsidRPr="00015C52">
              <w:t xml:space="preserve"> lis</w:t>
            </w:r>
            <w:r>
              <w:t>ted under the Kyoto Protocol were</w:t>
            </w:r>
            <w:r w:rsidRPr="00015C52">
              <w:t xml:space="preserve"> subject to an equivalent carbon price levy (the levy), applied through the </w:t>
            </w:r>
            <w:r w:rsidRPr="00B139ED">
              <w:rPr>
                <w:i/>
              </w:rPr>
              <w:t>Ozone Protection and Synthetic Greenhouse Gas Management Act 1989</w:t>
            </w:r>
            <w:r w:rsidRPr="00015C52">
              <w:t xml:space="preserve">. The levy </w:t>
            </w:r>
            <w:r>
              <w:t>was</w:t>
            </w:r>
            <w:r w:rsidRPr="00015C52">
              <w:t xml:space="preserve"> based on the carbon price and the global warming potential of each gas relative to carbon dioxide.</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IPART</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 xml:space="preserve">The Independent Pricing and Regulatory Tribunal is the independent regulator that determines the maximum prices that can be charged for certain retail energy, water and transport services in New South Wales, and also determines New South Wales local government rates. </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E35F89" w:rsidRDefault="00442B20" w:rsidP="00500360">
            <w:pPr>
              <w:pStyle w:val="Tabletext"/>
            </w:pPr>
            <w:r w:rsidRPr="00E35F89">
              <w:t>IPART rate peg</w:t>
            </w:r>
          </w:p>
        </w:tc>
        <w:tc>
          <w:tcPr>
            <w:tcW w:w="5387" w:type="dxa"/>
            <w:gridSpan w:val="2"/>
          </w:tcPr>
          <w:p w:rsidR="00442B20" w:rsidRPr="00E35F8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Independent Pricing and Regulatory Tribunal (IPART) sets a rate peg each financial year which determines the maximum allowable percentage increase in general income (mainly rates income) for </w:t>
            </w:r>
            <w:r>
              <w:t>New South Wales’ 152 local councils</w:t>
            </w:r>
            <w:r w:rsidRPr="00E35F89">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E35F89" w:rsidRDefault="00442B20" w:rsidP="00500360">
            <w:pPr>
              <w:pStyle w:val="Tabletext"/>
            </w:pPr>
            <w:r>
              <w:t>Indirect carbon tax cost</w:t>
            </w:r>
          </w:p>
        </w:tc>
        <w:tc>
          <w:tcPr>
            <w:tcW w:w="5387" w:type="dxa"/>
            <w:gridSpan w:val="2"/>
          </w:tcPr>
          <w:p w:rsidR="00442B20" w:rsidRPr="00015C52"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015C52">
              <w:t>An entity’s cost which arises wholly or in part from the carbon tax, but not as a result of emissions produced by the entity.</w:t>
            </w:r>
          </w:p>
          <w:p w:rsidR="00442B20" w:rsidRPr="00015C52"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015C52">
              <w:t>Indirect carbon tax costs may include:</w:t>
            </w:r>
          </w:p>
          <w:p w:rsidR="00442B20" w:rsidRPr="00015C52"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r>
              <w:t>increased input costs</w:t>
            </w:r>
            <w:r w:rsidRPr="00015C52">
              <w:t xml:space="preserve"> due to a third party passing through its own increased costs under the carbon tax, such as electricity</w:t>
            </w:r>
          </w:p>
          <w:p w:rsidR="00442B20" w:rsidRPr="00015C52"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r w:rsidRPr="00015C52">
              <w:t xml:space="preserve">costs incurred by the entity and paid to a third party </w:t>
            </w:r>
            <w:r>
              <w:t>(such as an accountant) to ensure</w:t>
            </w:r>
            <w:r w:rsidRPr="00015C52">
              <w:t xml:space="preserve"> the entity’s compliance with the carbon</w:t>
            </w:r>
            <w:r>
              <w:t xml:space="preserve"> tax</w:t>
            </w:r>
          </w:p>
          <w:p w:rsidR="00442B20" w:rsidRPr="00015C52"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proofErr w:type="gramStart"/>
            <w:r w:rsidRPr="00015C52">
              <w:t>the</w:t>
            </w:r>
            <w:proofErr w:type="gramEnd"/>
            <w:r w:rsidRPr="00015C52">
              <w:t xml:space="preserve"> entity’s internal administrative costs for ensuring its compliance with the carbon tax.</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E35F89" w:rsidRDefault="00442B20" w:rsidP="00500360">
            <w:pPr>
              <w:pStyle w:val="Tabletext"/>
            </w:pPr>
            <w:r w:rsidRPr="00E35F89">
              <w:t>Jobs and Competitiveness Program</w:t>
            </w:r>
            <w:r w:rsidRPr="00521F8D">
              <w:rPr>
                <w:rStyle w:val="FootnoteReference"/>
              </w:rPr>
              <w:footnoteReference w:id="33"/>
            </w:r>
          </w:p>
        </w:tc>
        <w:tc>
          <w:tcPr>
            <w:tcW w:w="5387" w:type="dxa"/>
            <w:gridSpan w:val="2"/>
          </w:tcPr>
          <w:p w:rsidR="00442B20" w:rsidRPr="00E35F8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funded program to provide assistance to emission intensive businesses that are constrained in their capacity to pass through their carbon tax costs in global markets. The purpose is to help Australian businesses maintain competitiveness with international imports which are not subject to the carbon tax. The Jobs and Competitiveness Program (JCP) is administered by the Clean Energy Regulator. Assistance provided under the JCP is in the form of free carbon units, which businesses surrender to discharge their carbon tax costs. To be eligible to apply for assistance under the JCP, an emissions-intensive trade exposed activity must be carried on in Australia during the financial year to which the application relates. Assistance is provided on a defined activity basis, as prescribed by the </w:t>
            </w:r>
            <w:r w:rsidRPr="00802A04">
              <w:rPr>
                <w:rStyle w:val="Emphasis"/>
              </w:rPr>
              <w:t>Clean Energy Regulations 2011</w:t>
            </w:r>
            <w:r>
              <w:rPr>
                <w:rStyle w:val="Emphasis"/>
              </w:rPr>
              <w:t xml:space="preserve"> </w:t>
            </w:r>
            <w:r w:rsidRPr="00941477">
              <w:rPr>
                <w:rStyle w:val="Emphasis"/>
                <w:i w:val="0"/>
              </w:rPr>
              <w:t xml:space="preserve">(which ceased to have effect when the </w:t>
            </w:r>
            <w:r w:rsidRPr="00941477">
              <w:rPr>
                <w:rStyle w:val="Emphasis"/>
              </w:rPr>
              <w:lastRenderedPageBreak/>
              <w:t xml:space="preserve">Clean Energy Act 2011 </w:t>
            </w:r>
            <w:r w:rsidRPr="00941477">
              <w:rPr>
                <w:rStyle w:val="Emphasis"/>
                <w:i w:val="0"/>
              </w:rPr>
              <w:t>was repealed)</w:t>
            </w:r>
            <w:r w:rsidRPr="00941477">
              <w:rPr>
                <w:i/>
              </w:rPr>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lastRenderedPageBreak/>
              <w:t>kWh</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Kilowatt-hour</w:t>
            </w:r>
            <w:r>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Liable entity</w:t>
            </w:r>
          </w:p>
        </w:tc>
        <w:tc>
          <w:tcPr>
            <w:tcW w:w="5387" w:type="dxa"/>
            <w:gridSpan w:val="2"/>
          </w:tcPr>
          <w:p w:rsidR="00442B20" w:rsidRPr="00AB36D9" w:rsidRDefault="00442B20" w:rsidP="00500360">
            <w:pPr>
              <w:spacing w:after="60"/>
              <w:cnfStyle w:val="000000000000" w:firstRow="0" w:lastRow="0" w:firstColumn="0" w:lastColumn="0" w:oddVBand="0" w:evenVBand="0" w:oddHBand="0" w:evenHBand="0" w:firstRowFirstColumn="0" w:firstRowLastColumn="0" w:lastRowFirstColumn="0" w:lastRowLastColumn="0"/>
            </w:pPr>
            <w:r w:rsidRPr="00AB36D9">
              <w:t>An entity listed on the Liable Entities Public In</w:t>
            </w:r>
            <w:r>
              <w:t>formation Database for the 2012-13 and/or 2013-</w:t>
            </w:r>
            <w:r w:rsidRPr="00AB36D9">
              <w:t xml:space="preserve">14 financial years (within the meaning of the </w:t>
            </w:r>
            <w:r w:rsidRPr="00425F3B">
              <w:rPr>
                <w:rStyle w:val="Emphasis"/>
              </w:rPr>
              <w:t>Clean Energy Act 2011</w:t>
            </w:r>
            <w:r>
              <w:rPr>
                <w:rStyle w:val="Emphasis"/>
              </w:rPr>
              <w:t xml:space="preserve"> </w:t>
            </w:r>
            <w:r>
              <w:rPr>
                <w:rStyle w:val="Emphasis"/>
                <w:i w:val="0"/>
              </w:rPr>
              <w:t>(</w:t>
            </w:r>
            <w:proofErr w:type="spellStart"/>
            <w:r>
              <w:rPr>
                <w:rStyle w:val="Emphasis"/>
                <w:i w:val="0"/>
              </w:rPr>
              <w:t>Cth</w:t>
            </w:r>
            <w:proofErr w:type="spellEnd"/>
            <w:r>
              <w:rPr>
                <w:rStyle w:val="Emphasis"/>
                <w:i w:val="0"/>
              </w:rPr>
              <w:t>)</w:t>
            </w:r>
            <w:r w:rsidRPr="00425F3B">
              <w:rPr>
                <w:rStyle w:val="Emphasis"/>
              </w:rPr>
              <w:t>,</w:t>
            </w:r>
            <w:r w:rsidRPr="00425F3B">
              <w:rPr>
                <w:rStyle w:val="TabletextChar"/>
              </w:rPr>
              <w:t xml:space="preserve"> </w:t>
            </w:r>
            <w:r w:rsidRPr="00AB36D9">
              <w:rPr>
                <w:iCs/>
              </w:rPr>
              <w:t>which has since been repealed</w:t>
            </w:r>
            <w:r w:rsidRPr="00AB36D9">
              <w:t>).</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Part V of the CCA</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Carbon tax price reduction obligation legislation contained in the CCA.</w:t>
            </w:r>
            <w:r>
              <w:t xml:space="preserve"> </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Price</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 xml:space="preserve">Under section 60A of the CCA, in relation to a supply, includes: </w:t>
            </w:r>
          </w:p>
          <w:p w:rsidR="00442B20" w:rsidRPr="00AB36D9"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r w:rsidRPr="00AB36D9">
              <w:t xml:space="preserve">a charge of any description for the supply, and </w:t>
            </w:r>
          </w:p>
          <w:p w:rsidR="00442B20" w:rsidRPr="00AB36D9" w:rsidRDefault="00442B20" w:rsidP="00442B20">
            <w:pPr>
              <w:pStyle w:val="Bulletpoint"/>
              <w:tabs>
                <w:tab w:val="left" w:pos="340"/>
              </w:tabs>
              <w:cnfStyle w:val="000000000000" w:firstRow="0" w:lastRow="0" w:firstColumn="0" w:lastColumn="0" w:oddVBand="0" w:evenVBand="0" w:oddHBand="0" w:evenHBand="0" w:firstRowFirstColumn="0" w:firstRowLastColumn="0" w:lastRowFirstColumn="0" w:lastRowLastColumn="0"/>
            </w:pPr>
            <w:proofErr w:type="gramStart"/>
            <w:r w:rsidRPr="00AB36D9">
              <w:t>any</w:t>
            </w:r>
            <w:proofErr w:type="gramEnd"/>
            <w:r w:rsidRPr="00AB36D9">
              <w:t xml:space="preserve"> pecuniary or other benefit, whether direct or indirect, received or to be received by a person for or in a connection with the supply.</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Price exploitation provisions</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The provisions contained in Division 2 of Part V of the CCA. The price exploitation provisions prohibit suppliers of regulated goods from not passing through all of their cost savings that are directly or indirectly attributable to th</w:t>
            </w:r>
            <w:r>
              <w:t>e carbon tax repeal (see s</w:t>
            </w:r>
            <w:r w:rsidRPr="00AB36D9">
              <w:t xml:space="preserve"> 60C), and provide a penalty of 250</w:t>
            </w:r>
            <w:r>
              <w:t xml:space="preserve"> per cent</w:t>
            </w:r>
            <w:r w:rsidRPr="00AB36D9">
              <w:t xml:space="preserve"> of the cost savings not passed through, in contraven</w:t>
            </w:r>
            <w:r>
              <w:t>tion of s 60C (see s</w:t>
            </w:r>
            <w:r w:rsidRPr="00AB36D9">
              <w:t xml:space="preserve"> 60CA).</w:t>
            </w:r>
          </w:p>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 xml:space="preserve">The price exploitation provisions also allows the ACCC to issue a notice to an entity that is considered to have engaged in price exploitation </w:t>
            </w:r>
            <w:r>
              <w:t>i</w:t>
            </w:r>
            <w:r w:rsidRPr="00AB36D9">
              <w:t>n relation to th</w:t>
            </w:r>
            <w:r>
              <w:t>e carbon tax repeal (see s</w:t>
            </w:r>
            <w:r w:rsidRPr="00AB36D9">
              <w:t xml:space="preserve"> 60D), and to issue a notice to aid prevention of price exploitation in relation to th</w:t>
            </w:r>
            <w:r>
              <w:t>e carbon tax repeal (see s</w:t>
            </w:r>
            <w:r w:rsidRPr="00AB36D9">
              <w:t xml:space="preserve"> 60E).</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Price monitoring</w:t>
            </w:r>
          </w:p>
        </w:tc>
        <w:tc>
          <w:tcPr>
            <w:tcW w:w="5387" w:type="dxa"/>
            <w:gridSpan w:val="2"/>
          </w:tcPr>
          <w:p w:rsidR="00442B20"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015C52">
              <w:t>Pursuant to the Direction given to the ACCC under section 95ZE of the CCA, refers to the formal monitoring of prices, costs, and profits relating to the supply of regulated goods by corporations and the supply of goods by liable entities to assess the general effect of the carbon tax scheme in Australia.</w:t>
            </w:r>
            <w:r>
              <w:t xml:space="preserve"> </w:t>
            </w:r>
          </w:p>
          <w:p w:rsidR="00442B20" w:rsidRPr="00015C52" w:rsidRDefault="00442B20" w:rsidP="00500360">
            <w:pPr>
              <w:pStyle w:val="Tabletext"/>
              <w:cnfStyle w:val="000000000000" w:firstRow="0" w:lastRow="0" w:firstColumn="0" w:lastColumn="0" w:oddVBand="0" w:evenVBand="0" w:oddHBand="0" w:evenHBand="0" w:firstRowFirstColumn="0" w:firstRowLastColumn="0" w:lastRowFirstColumn="0" w:lastRowLastColumn="0"/>
            </w:pPr>
            <w:r>
              <w:t>Further, pursuant to section 60G of the CCA the ACCC may monitor prices to assess the general effect of the carbon tax repeal on prices charged by entities for supplies, in the carbon tax repeal transition period, of relevant goods.</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t>P</w:t>
            </w:r>
            <w:r w:rsidRPr="00AB36D9">
              <w:t>rice reduction obligation</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rPr>
                <w:rFonts w:eastAsiaTheme="majorEastAsia" w:cstheme="majorBidi"/>
                <w:szCs w:val="20"/>
              </w:rPr>
              <w:t xml:space="preserve">Part V of the CCA that was inserted into the CCA by the </w:t>
            </w:r>
            <w:r w:rsidRPr="00425F3B">
              <w:rPr>
                <w:rStyle w:val="Emphasis"/>
              </w:rPr>
              <w:t>Clean Energy Legislation (Carbon</w:t>
            </w:r>
            <w:r>
              <w:rPr>
                <w:rStyle w:val="Emphasis"/>
              </w:rPr>
              <w:t xml:space="preserve"> </w:t>
            </w:r>
            <w:r w:rsidRPr="00425F3B">
              <w:rPr>
                <w:rStyle w:val="Emphasis"/>
              </w:rPr>
              <w:t>Tax Repeal Act</w:t>
            </w:r>
            <w:r w:rsidRPr="00AB36D9">
              <w:rPr>
                <w:rFonts w:eastAsiaTheme="majorEastAsia" w:cstheme="majorBidi"/>
                <w:szCs w:val="20"/>
              </w:rPr>
              <w:t>)</w:t>
            </w:r>
            <w:r w:rsidRPr="00B431B4">
              <w:rPr>
                <w:rFonts w:eastAsiaTheme="majorEastAsia" w:cstheme="majorBidi"/>
                <w:i/>
                <w:szCs w:val="20"/>
              </w:rPr>
              <w:t xml:space="preserve"> 2014</w:t>
            </w:r>
            <w:r w:rsidRPr="00AB36D9">
              <w:rPr>
                <w:rFonts w:eastAsiaTheme="majorEastAsia" w:cstheme="majorBidi"/>
                <w:szCs w:val="20"/>
              </w:rPr>
              <w:t>. The carbon tax price reduction obligation legislation contains all the substantive provisions of the CCA that specifically apply to the repeal of the carbon tax.</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Refund period</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rPr>
                <w:rFonts w:cs="Arial"/>
              </w:rPr>
            </w:pPr>
            <w:r w:rsidRPr="00AB36D9">
              <w:t>The period from 1 July 2014 to the date that a given entity removed the carbon tax component from its prices, given the retrospective application of the carbon tax repeal legislation.</w:t>
            </w:r>
            <w:r w:rsidR="00464940">
              <w:t xml:space="preserve"> See </w:t>
            </w:r>
            <w:r w:rsidR="00464940">
              <w:rPr>
                <w:rFonts w:cs="Arial"/>
                <w:sz w:val="19"/>
                <w:szCs w:val="19"/>
              </w:rPr>
              <w:t>definition of ‘retrospective application’.</w:t>
            </w:r>
            <w:r w:rsidRPr="00AB36D9">
              <w:t xml:space="preserve"> </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AB36D9" w:rsidRDefault="00442B20" w:rsidP="00500360">
            <w:pPr>
              <w:pStyle w:val="Tabletext"/>
            </w:pPr>
            <w:r w:rsidRPr="00AB36D9">
              <w:t>Regulated goods</w:t>
            </w:r>
          </w:p>
        </w:tc>
        <w:tc>
          <w:tcPr>
            <w:tcW w:w="5387" w:type="dxa"/>
            <w:gridSpan w:val="2"/>
          </w:tcPr>
          <w:p w:rsidR="00442B20" w:rsidRPr="00AB36D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AB36D9">
              <w:t>Natural gas, electricity, SGGs and SGG equip</w:t>
            </w:r>
            <w:r>
              <w:t>ment (s</w:t>
            </w:r>
            <w:r w:rsidRPr="00AB36D9">
              <w:t xml:space="preserve"> 60B of the CCA). Other goods may be specified by legislative </w:t>
            </w:r>
            <w:r w:rsidRPr="00AB36D9">
              <w:lastRenderedPageBreak/>
              <w:t>instrument by the Minister pursuant to subsection </w:t>
            </w:r>
            <w:proofErr w:type="gramStart"/>
            <w:r w:rsidRPr="00AB36D9">
              <w:t>60B(</w:t>
            </w:r>
            <w:proofErr w:type="gramEnd"/>
            <w:r w:rsidRPr="00AB36D9">
              <w:t xml:space="preserve">2). </w:t>
            </w:r>
          </w:p>
        </w:tc>
      </w:tr>
      <w:tr w:rsidR="00442B20"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442B20" w:rsidRPr="00E35F89" w:rsidRDefault="00442B20" w:rsidP="00500360">
            <w:pPr>
              <w:pStyle w:val="Tabletext"/>
            </w:pPr>
            <w:r w:rsidRPr="00E35F89">
              <w:lastRenderedPageBreak/>
              <w:t>Relevant goods</w:t>
            </w:r>
          </w:p>
        </w:tc>
        <w:tc>
          <w:tcPr>
            <w:tcW w:w="5387" w:type="dxa"/>
            <w:gridSpan w:val="2"/>
          </w:tcPr>
          <w:p w:rsidR="00442B20" w:rsidRPr="00E35F89" w:rsidRDefault="00442B20" w:rsidP="00500360">
            <w:pPr>
              <w:pStyle w:val="Tabletext"/>
              <w:cnfStyle w:val="000000000000" w:firstRow="0" w:lastRow="0" w:firstColumn="0" w:lastColumn="0" w:oddVBand="0" w:evenVBand="0" w:oddHBand="0" w:evenHBand="0" w:firstRowFirstColumn="0" w:firstRowLastColumn="0" w:lastRowFirstColumn="0" w:lastRowLastColumn="0"/>
            </w:pPr>
            <w:r w:rsidRPr="00E35F89">
              <w:t>Regulated goods and other goods of a kind specified in a legislative instrument by the Minister pursuant t</w:t>
            </w:r>
            <w:r>
              <w:t>o subsection </w:t>
            </w:r>
            <w:proofErr w:type="gramStart"/>
            <w:r>
              <w:t>60G(</w:t>
            </w:r>
            <w:proofErr w:type="gramEnd"/>
            <w:r>
              <w:t>12) of the CCA</w:t>
            </w:r>
            <w:r w:rsidRPr="00E35F89">
              <w:t xml:space="preserve">. </w:t>
            </w:r>
          </w:p>
        </w:tc>
      </w:tr>
      <w:tr w:rsidR="00D53328"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D53328" w:rsidRPr="00021C05" w:rsidRDefault="00D53328" w:rsidP="005844D1">
            <w:pPr>
              <w:pStyle w:val="Tabletext"/>
            </w:pPr>
            <w:r w:rsidRPr="00021C05">
              <w:rPr>
                <w:rFonts w:ascii="Arial-BoldMT" w:hAnsi="Arial-BoldMT" w:cs="Arial-BoldMT"/>
                <w:bCs w:val="0"/>
                <w:sz w:val="19"/>
                <w:szCs w:val="19"/>
              </w:rPr>
              <w:t>Retrospective application</w:t>
            </w:r>
          </w:p>
        </w:tc>
        <w:tc>
          <w:tcPr>
            <w:tcW w:w="5387" w:type="dxa"/>
            <w:gridSpan w:val="2"/>
          </w:tcPr>
          <w:p w:rsidR="00D53328" w:rsidRPr="00E35F89" w:rsidRDefault="00D53328" w:rsidP="005844D1">
            <w:pPr>
              <w:pStyle w:val="Tabletext"/>
              <w:cnfStyle w:val="000000000000" w:firstRow="0" w:lastRow="0" w:firstColumn="0" w:lastColumn="0" w:oddVBand="0" w:evenVBand="0" w:oddHBand="0" w:evenHBand="0" w:firstRowFirstColumn="0" w:firstRowLastColumn="0" w:lastRowFirstColumn="0" w:lastRowLastColumn="0"/>
            </w:pPr>
            <w:r w:rsidRPr="00021C05">
              <w:t>The carbon tax repeal legislation will affect carbon</w:t>
            </w:r>
            <w:r>
              <w:t xml:space="preserve"> </w:t>
            </w:r>
            <w:r w:rsidRPr="00021C05">
              <w:t>liabilities dating back to 1 July 2014, although the</w:t>
            </w:r>
            <w:r>
              <w:t xml:space="preserve"> </w:t>
            </w:r>
            <w:r w:rsidRPr="00021C05">
              <w:t>legislation was passed by Parliament on 17 July 2014. For</w:t>
            </w:r>
            <w:r>
              <w:t xml:space="preserve"> </w:t>
            </w:r>
            <w:r w:rsidRPr="00021C05">
              <w:t>this reason the carbon tax repeal legislation has been</w:t>
            </w:r>
            <w:r>
              <w:t xml:space="preserve"> </w:t>
            </w:r>
            <w:r w:rsidRPr="00021C05">
              <w:t>commonly referred to as having a ‘retrospective</w:t>
            </w:r>
            <w:r>
              <w:t xml:space="preserve"> </w:t>
            </w:r>
            <w:r w:rsidRPr="00021C05">
              <w:t>application’. When the word ‘retrospective’ is used in this</w:t>
            </w:r>
            <w:r>
              <w:t xml:space="preserve"> </w:t>
            </w:r>
            <w:r w:rsidRPr="00021C05">
              <w:t>report it should be understood in its common usage rather</w:t>
            </w:r>
            <w:r>
              <w:t xml:space="preserve"> </w:t>
            </w:r>
            <w:r w:rsidRPr="00021C05">
              <w:t>than its technical legal usage. Retrospective in its</w:t>
            </w:r>
            <w:r>
              <w:t xml:space="preserve"> </w:t>
            </w:r>
            <w:r w:rsidRPr="00021C05">
              <w:t>technical legal usage refers to legislation taking effect at</w:t>
            </w:r>
            <w:r>
              <w:t xml:space="preserve"> </w:t>
            </w:r>
            <w:r w:rsidRPr="00021C05">
              <w:t>an earlier point of time before it was passed.</w:t>
            </w:r>
          </w:p>
        </w:tc>
      </w:tr>
      <w:tr w:rsidR="00D53328"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D53328" w:rsidRPr="00AB36D9" w:rsidRDefault="00D53328" w:rsidP="00500360">
            <w:pPr>
              <w:pStyle w:val="Tabletext"/>
            </w:pPr>
            <w:r w:rsidRPr="00AB36D9">
              <w:t xml:space="preserve">SGG </w:t>
            </w:r>
          </w:p>
        </w:tc>
        <w:tc>
          <w:tcPr>
            <w:tcW w:w="5387" w:type="dxa"/>
            <w:gridSpan w:val="2"/>
          </w:tcPr>
          <w:p w:rsidR="00D53328" w:rsidRPr="00AB36D9" w:rsidRDefault="00D53328" w:rsidP="00500360">
            <w:pPr>
              <w:spacing w:after="60"/>
              <w:cnfStyle w:val="000000000000" w:firstRow="0" w:lastRow="0" w:firstColumn="0" w:lastColumn="0" w:oddVBand="0" w:evenVBand="0" w:oddHBand="0" w:evenHBand="0" w:firstRowFirstColumn="0" w:firstRowLastColumn="0" w:lastRowFirstColumn="0" w:lastRowLastColumn="0"/>
            </w:pPr>
            <w:r w:rsidRPr="00425F3B">
              <w:rPr>
                <w:rStyle w:val="TabletextChar"/>
              </w:rPr>
              <w:t>Synthetic greenhouse gas</w:t>
            </w:r>
            <w:r w:rsidR="005B647A">
              <w:rPr>
                <w:rStyle w:val="TabletextChar"/>
              </w:rPr>
              <w:t>es</w:t>
            </w:r>
            <w:r w:rsidRPr="00425F3B">
              <w:rPr>
                <w:rStyle w:val="TabletextChar"/>
              </w:rPr>
              <w:t xml:space="preserve"> or commonly referred to as refrigerant gases, which are used in refrigerators and air conditioning units, means a </w:t>
            </w:r>
            <w:proofErr w:type="spellStart"/>
            <w:r w:rsidRPr="00425F3B">
              <w:rPr>
                <w:rStyle w:val="TabletextChar"/>
              </w:rPr>
              <w:t>hydrofluorocarbon</w:t>
            </w:r>
            <w:proofErr w:type="spellEnd"/>
            <w:r w:rsidRPr="00425F3B">
              <w:rPr>
                <w:rStyle w:val="TabletextChar"/>
              </w:rPr>
              <w:t xml:space="preserve">, a </w:t>
            </w:r>
            <w:proofErr w:type="spellStart"/>
            <w:r w:rsidRPr="00425F3B">
              <w:rPr>
                <w:rStyle w:val="TabletextChar"/>
              </w:rPr>
              <w:t>perfluorocarbon</w:t>
            </w:r>
            <w:proofErr w:type="spellEnd"/>
            <w:r>
              <w:rPr>
                <w:rStyle w:val="TabletextChar"/>
              </w:rPr>
              <w:t xml:space="preserve"> or </w:t>
            </w:r>
            <w:proofErr w:type="spellStart"/>
            <w:r>
              <w:rPr>
                <w:rStyle w:val="TabletextChar"/>
              </w:rPr>
              <w:t>sulfur</w:t>
            </w:r>
            <w:proofErr w:type="spellEnd"/>
            <w:r>
              <w:rPr>
                <w:rStyle w:val="TabletextChar"/>
              </w:rPr>
              <w:t xml:space="preserve"> hexafluoride (s</w:t>
            </w:r>
            <w:r w:rsidRPr="00425F3B">
              <w:rPr>
                <w:rStyle w:val="TabletextChar"/>
              </w:rPr>
              <w:t xml:space="preserve"> 7 of </w:t>
            </w:r>
            <w:r w:rsidRPr="00425F3B">
              <w:rPr>
                <w:rStyle w:val="Emphasis"/>
              </w:rPr>
              <w:t>the Ozone Protection &amp; Synthetic Greenhouse Gas Management Act 1989</w:t>
            </w:r>
            <w:r>
              <w:rPr>
                <w:rStyle w:val="Emphasis"/>
                <w:i w:val="0"/>
              </w:rPr>
              <w:t xml:space="preserve"> (</w:t>
            </w:r>
            <w:proofErr w:type="spellStart"/>
            <w:r>
              <w:rPr>
                <w:rStyle w:val="Emphasis"/>
                <w:i w:val="0"/>
              </w:rPr>
              <w:t>Cth</w:t>
            </w:r>
            <w:proofErr w:type="spellEnd"/>
            <w:r>
              <w:rPr>
                <w:rStyle w:val="Emphasis"/>
                <w:i w:val="0"/>
              </w:rPr>
              <w:t>))</w:t>
            </w:r>
            <w:r w:rsidRPr="00425F3B">
              <w:rPr>
                <w:rStyle w:val="Emphasis"/>
              </w:rPr>
              <w:t>.</w:t>
            </w:r>
            <w:r w:rsidRPr="00AB36D9">
              <w:t xml:space="preserve"> </w:t>
            </w:r>
          </w:p>
        </w:tc>
      </w:tr>
      <w:tr w:rsidR="00D53328"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D53328" w:rsidRPr="00AB36D9" w:rsidRDefault="00D53328" w:rsidP="00500360">
            <w:pPr>
              <w:pStyle w:val="Tabletext"/>
            </w:pPr>
            <w:r w:rsidRPr="00AB36D9">
              <w:t>SGG equipment</w:t>
            </w:r>
          </w:p>
        </w:tc>
        <w:tc>
          <w:tcPr>
            <w:tcW w:w="5387" w:type="dxa"/>
            <w:gridSpan w:val="2"/>
          </w:tcPr>
          <w:p w:rsidR="00D53328" w:rsidRPr="00AB36D9" w:rsidRDefault="00D53328" w:rsidP="00500360">
            <w:pPr>
              <w:pStyle w:val="Tabletext"/>
              <w:cnfStyle w:val="000000000000" w:firstRow="0" w:lastRow="0" w:firstColumn="0" w:lastColumn="0" w:oddVBand="0" w:evenVBand="0" w:oddHBand="0" w:evenHBand="0" w:firstRowFirstColumn="0" w:firstRowLastColumn="0" w:lastRowFirstColumn="0" w:lastRowLastColumn="0"/>
            </w:pPr>
            <w:r w:rsidRPr="00AB36D9">
              <w:t>Equipment which already contains synthetic greenhouse gas. Includes items such as refrigerators, automobiles and air conditioning units which will ordinarily contain synthetic greenhouse gases when imported.</w:t>
            </w:r>
          </w:p>
        </w:tc>
      </w:tr>
      <w:tr w:rsidR="00D53328"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D53328" w:rsidRPr="00AB36D9" w:rsidRDefault="00D53328" w:rsidP="00500360">
            <w:pPr>
              <w:pStyle w:val="Tabletext"/>
            </w:pPr>
            <w:r w:rsidRPr="00AB36D9">
              <w:t>Standing offer</w:t>
            </w:r>
          </w:p>
        </w:tc>
        <w:tc>
          <w:tcPr>
            <w:tcW w:w="5387" w:type="dxa"/>
            <w:gridSpan w:val="2"/>
          </w:tcPr>
          <w:p w:rsidR="00D53328" w:rsidRPr="00AB36D9" w:rsidRDefault="00D53328" w:rsidP="00500360">
            <w:pPr>
              <w:pStyle w:val="Tabletext"/>
              <w:cnfStyle w:val="000000000000" w:firstRow="0" w:lastRow="0" w:firstColumn="0" w:lastColumn="0" w:oddVBand="0" w:evenVBand="0" w:oddHBand="0" w:evenHBand="0" w:firstRowFirstColumn="0" w:firstRowLastColumn="0" w:lastRowFirstColumn="0" w:lastRowLastColumn="0"/>
            </w:pPr>
            <w:r w:rsidRPr="00AB36D9">
              <w:t>A standing offer refers to a basic contract for electricity or natural gas. All retailers are required to have a standing offer and in some jurisdictions the standing offer tariff is regulated.</w:t>
            </w:r>
          </w:p>
        </w:tc>
      </w:tr>
      <w:tr w:rsidR="00D53328" w:rsidRPr="00AB36D9" w:rsidTr="00500360">
        <w:trPr>
          <w:gridAfter w:val="1"/>
          <w:wAfter w:w="142" w:type="dxa"/>
        </w:trPr>
        <w:tc>
          <w:tcPr>
            <w:cnfStyle w:val="001000000000" w:firstRow="0" w:lastRow="0" w:firstColumn="1" w:lastColumn="0" w:oddVBand="0" w:evenVBand="0" w:oddHBand="0" w:evenHBand="0" w:firstRowFirstColumn="0" w:firstRowLastColumn="0" w:lastRowFirstColumn="0" w:lastRowLastColumn="0"/>
            <w:tcW w:w="3227" w:type="dxa"/>
          </w:tcPr>
          <w:p w:rsidR="00D53328" w:rsidRPr="00E35F89" w:rsidRDefault="00D53328" w:rsidP="00500360">
            <w:pPr>
              <w:pStyle w:val="Tabletext"/>
            </w:pPr>
            <w:r w:rsidRPr="00E35F89">
              <w:t>Steel Transformation Plan</w:t>
            </w:r>
            <w:r w:rsidRPr="00521F8D">
              <w:rPr>
                <w:rStyle w:val="FootnoteReference"/>
              </w:rPr>
              <w:footnoteReference w:id="34"/>
            </w:r>
          </w:p>
        </w:tc>
        <w:tc>
          <w:tcPr>
            <w:tcW w:w="5387" w:type="dxa"/>
            <w:gridSpan w:val="2"/>
          </w:tcPr>
          <w:p w:rsidR="00D53328" w:rsidRPr="00E35F89" w:rsidRDefault="00D53328" w:rsidP="00500360">
            <w:pPr>
              <w:pStyle w:val="Tabletext"/>
              <w:cnfStyle w:val="000000000000" w:firstRow="0" w:lastRow="0" w:firstColumn="0" w:lastColumn="0" w:oddVBand="0" w:evenVBand="0" w:oddHBand="0" w:evenHBand="0" w:firstRowFirstColumn="0" w:firstRowLastColumn="0" w:lastRowFirstColumn="0" w:lastRowLastColumn="0"/>
            </w:pPr>
            <w:r w:rsidRPr="00E35F89">
              <w:t xml:space="preserve">An Australian Government funded program providing financial assistance to the Australian steel manufacturing industry. The Steel Transformation Plan (STP) is designed to assist the transition to an economically sustainable industry in a low carbon emission economy. The STP is administered by </w:t>
            </w:r>
            <w:proofErr w:type="spellStart"/>
            <w:r w:rsidRPr="00E35F89">
              <w:t>AusIndustry</w:t>
            </w:r>
            <w:proofErr w:type="spellEnd"/>
            <w:r w:rsidRPr="00E35F89">
              <w:t>, a specialist program delivery division within the Department of Industry. Eligibility requirements include corporations that manufacture steel in Australia and produced at least 500,000 tonnes of crude carbon steel in Australia in both the 2009</w:t>
            </w:r>
            <w:r>
              <w:t>-</w:t>
            </w:r>
            <w:r w:rsidRPr="00E35F89">
              <w:t>10 and 2010</w:t>
            </w:r>
            <w:r>
              <w:t>-</w:t>
            </w:r>
            <w:r w:rsidRPr="00E35F89">
              <w:t>11 financial years.</w:t>
            </w:r>
          </w:p>
        </w:tc>
      </w:tr>
    </w:tbl>
    <w:p w:rsidR="00442B20" w:rsidRPr="00425F3B" w:rsidRDefault="00442B20" w:rsidP="00442B20"/>
    <w:p w:rsidR="00442B20" w:rsidRPr="00425F3B" w:rsidRDefault="00442B20" w:rsidP="00442B20"/>
    <w:p w:rsidR="00C36E51" w:rsidRPr="00A61905" w:rsidRDefault="00C36E51" w:rsidP="004C7E3A">
      <w:pPr>
        <w:rPr>
          <w:u w:val="single"/>
        </w:rPr>
      </w:pPr>
    </w:p>
    <w:sectPr w:rsidR="00C36E51" w:rsidRPr="00A61905" w:rsidSect="004B009B">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32" w:rsidRDefault="00395132" w:rsidP="004B4412">
      <w:pPr>
        <w:spacing w:before="0"/>
      </w:pPr>
      <w:r>
        <w:separator/>
      </w:r>
    </w:p>
  </w:endnote>
  <w:endnote w:type="continuationSeparator" w:id="0">
    <w:p w:rsidR="00395132" w:rsidRDefault="00395132"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32" w:rsidRDefault="00395132">
    <w:pPr>
      <w:pStyle w:val="Footer"/>
    </w:pPr>
  </w:p>
  <w:p w:rsidR="00395132" w:rsidRDefault="00395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14823"/>
      <w:docPartObj>
        <w:docPartGallery w:val="Page Numbers (Bottom of Page)"/>
        <w:docPartUnique/>
      </w:docPartObj>
    </w:sdtPr>
    <w:sdtEndPr>
      <w:rPr>
        <w:noProof/>
      </w:rPr>
    </w:sdtEndPr>
    <w:sdtContent>
      <w:p w:rsidR="00395132" w:rsidRDefault="00395132">
        <w:pPr>
          <w:pStyle w:val="Footer"/>
        </w:pPr>
        <w:r>
          <w:fldChar w:fldCharType="begin"/>
        </w:r>
        <w:r>
          <w:instrText xml:space="preserve"> PAGE   \* MERGEFORMAT </w:instrText>
        </w:r>
        <w:r>
          <w:fldChar w:fldCharType="separate"/>
        </w:r>
        <w:r w:rsidR="006C0BDA">
          <w:rPr>
            <w:noProof/>
          </w:rPr>
          <w:t>0</w:t>
        </w:r>
        <w:r>
          <w:rPr>
            <w:noProof/>
          </w:rPr>
          <w:fldChar w:fldCharType="end"/>
        </w:r>
      </w:p>
    </w:sdtContent>
  </w:sdt>
  <w:p w:rsidR="00395132" w:rsidRDefault="00395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10630"/>
      <w:docPartObj>
        <w:docPartGallery w:val="Page Numbers (Bottom of Page)"/>
        <w:docPartUnique/>
      </w:docPartObj>
    </w:sdtPr>
    <w:sdtEndPr>
      <w:rPr>
        <w:noProof/>
      </w:rPr>
    </w:sdtEndPr>
    <w:sdtContent>
      <w:p w:rsidR="00395132" w:rsidRDefault="00395132">
        <w:pPr>
          <w:pStyle w:val="Footer"/>
        </w:pPr>
        <w:r>
          <w:fldChar w:fldCharType="begin"/>
        </w:r>
        <w:r>
          <w:instrText xml:space="preserve"> PAGE   \* MERGEFORMAT </w:instrText>
        </w:r>
        <w:r>
          <w:fldChar w:fldCharType="separate"/>
        </w:r>
        <w:r w:rsidR="006C0BDA">
          <w:rPr>
            <w:noProof/>
          </w:rPr>
          <w:t>24</w:t>
        </w:r>
        <w:r>
          <w:rPr>
            <w:noProof/>
          </w:rPr>
          <w:fldChar w:fldCharType="end"/>
        </w:r>
      </w:p>
    </w:sdtContent>
  </w:sdt>
  <w:p w:rsidR="00395132" w:rsidRDefault="003951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64303"/>
      <w:docPartObj>
        <w:docPartGallery w:val="Page Numbers (Bottom of Page)"/>
        <w:docPartUnique/>
      </w:docPartObj>
    </w:sdtPr>
    <w:sdtEndPr>
      <w:rPr>
        <w:noProof/>
      </w:rPr>
    </w:sdtEndPr>
    <w:sdtContent>
      <w:p w:rsidR="00395132" w:rsidRDefault="00395132">
        <w:pPr>
          <w:pStyle w:val="Footer"/>
        </w:pPr>
        <w:r>
          <w:fldChar w:fldCharType="begin"/>
        </w:r>
        <w:r>
          <w:instrText xml:space="preserve"> PAGE   \* MERGEFORMAT </w:instrText>
        </w:r>
        <w:r>
          <w:fldChar w:fldCharType="separate"/>
        </w:r>
        <w:r w:rsidR="00926334">
          <w:rPr>
            <w:noProof/>
          </w:rPr>
          <w:t>1</w:t>
        </w:r>
        <w:r>
          <w:rPr>
            <w:noProof/>
          </w:rPr>
          <w:fldChar w:fldCharType="end"/>
        </w:r>
      </w:p>
    </w:sdtContent>
  </w:sdt>
  <w:p w:rsidR="00395132" w:rsidRDefault="0039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32" w:rsidRDefault="00395132" w:rsidP="004B4412">
      <w:pPr>
        <w:spacing w:before="0"/>
      </w:pPr>
      <w:r>
        <w:separator/>
      </w:r>
    </w:p>
  </w:footnote>
  <w:footnote w:type="continuationSeparator" w:id="0">
    <w:p w:rsidR="00395132" w:rsidRDefault="00395132" w:rsidP="004B4412">
      <w:pPr>
        <w:spacing w:before="0"/>
      </w:pPr>
      <w:r>
        <w:continuationSeparator/>
      </w:r>
    </w:p>
  </w:footnote>
  <w:footnote w:id="1">
    <w:p w:rsidR="00395132" w:rsidRDefault="00395132" w:rsidP="00B33531">
      <w:pPr>
        <w:pStyle w:val="FootnoteText"/>
      </w:pPr>
      <w:r>
        <w:rPr>
          <w:rStyle w:val="FootnoteReference"/>
        </w:rPr>
        <w:footnoteRef/>
      </w:r>
      <w:r>
        <w:t xml:space="preserve"> This figure </w:t>
      </w:r>
      <w:r w:rsidRPr="00627C4D">
        <w:t xml:space="preserve">refers to </w:t>
      </w:r>
      <w:r>
        <w:t xml:space="preserve">cost </w:t>
      </w:r>
      <w:r w:rsidRPr="00627C4D">
        <w:t>saving</w:t>
      </w:r>
      <w:r>
        <w:t>s</w:t>
      </w:r>
      <w:r w:rsidRPr="00627C4D">
        <w:t xml:space="preserve"> that an average household would have without a carbon tax where the carbon price was at $25.4</w:t>
      </w:r>
      <w:r>
        <w:t xml:space="preserve"> per </w:t>
      </w:r>
      <w:r w:rsidRPr="00627C4D">
        <w:t>tonne for 2014-15. More</w:t>
      </w:r>
      <w:r>
        <w:t xml:space="preserve"> information about the Commonwealth Treasury modelling is available on </w:t>
      </w:r>
      <w:r w:rsidRPr="007A7971">
        <w:rPr>
          <w:szCs w:val="16"/>
        </w:rPr>
        <w:t>www.treasury.gov.au/PublicationsAndMedia/Publications/2011/Modelling-the-impact-of-a-carbon-price</w:t>
      </w:r>
      <w:r>
        <w:rPr>
          <w:szCs w:val="16"/>
        </w:rPr>
        <w:t xml:space="preserve">. </w:t>
      </w:r>
      <w:r>
        <w:t xml:space="preserve"> </w:t>
      </w:r>
    </w:p>
  </w:footnote>
  <w:footnote w:id="2">
    <w:p w:rsidR="00395132" w:rsidRDefault="00395132" w:rsidP="00B33531">
      <w:pPr>
        <w:pStyle w:val="FootnoteText"/>
      </w:pPr>
      <w:r>
        <w:rPr>
          <w:rStyle w:val="FootnoteReference"/>
        </w:rPr>
        <w:footnoteRef/>
      </w:r>
      <w:r>
        <w:t xml:space="preserve"> These savings are estimated average annual carbon tax repeal cost savings for electricity and natural gas based on retailers’ standing offers and consumption levels typical for the metropolitan area in each state and territory. More information about these figures can be </w:t>
      </w:r>
      <w:r w:rsidRPr="00F709B1">
        <w:t xml:space="preserve">found </w:t>
      </w:r>
      <w:r w:rsidRPr="000B24C2">
        <w:t xml:space="preserve">in </w:t>
      </w:r>
      <w:r w:rsidRPr="0027258E">
        <w:t xml:space="preserve">the </w:t>
      </w:r>
      <w:r w:rsidRPr="00395132">
        <w:rPr>
          <w:i/>
        </w:rPr>
        <w:t>Key findings of the ACCC’s monitoring activities</w:t>
      </w:r>
      <w:r w:rsidRPr="00395132">
        <w:t xml:space="preserve"> </w:t>
      </w:r>
      <w:r w:rsidRPr="000B24C2">
        <w:t>section of this report</w:t>
      </w:r>
      <w:r>
        <w:t>.</w:t>
      </w:r>
    </w:p>
  </w:footnote>
  <w:footnote w:id="3">
    <w:p w:rsidR="00395132" w:rsidRDefault="00395132">
      <w:pPr>
        <w:pStyle w:val="FootnoteText"/>
      </w:pPr>
      <w:r>
        <w:rPr>
          <w:rStyle w:val="FootnoteReference"/>
        </w:rPr>
        <w:footnoteRef/>
      </w:r>
      <w:r>
        <w:t xml:space="preserve"> Average gas cost savings differ from the figures in the ACCC’s April 2015 Carbon Report, which had omitted GST. GST is included in the present figures. </w:t>
      </w:r>
    </w:p>
  </w:footnote>
  <w:footnote w:id="4">
    <w:p w:rsidR="00395132" w:rsidRDefault="00395132">
      <w:pPr>
        <w:pStyle w:val="FootnoteText"/>
      </w:pPr>
      <w:r>
        <w:rPr>
          <w:rStyle w:val="FootnoteReference"/>
        </w:rPr>
        <w:footnoteRef/>
      </w:r>
      <w:r>
        <w:t xml:space="preserve"> These are R-134a, R-410A and R-404A. See t</w:t>
      </w:r>
      <w:r w:rsidRPr="009315F7">
        <w:t xml:space="preserve">he </w:t>
      </w:r>
      <w:r w:rsidRPr="00395132">
        <w:rPr>
          <w:i/>
        </w:rPr>
        <w:t xml:space="preserve">Synthetic greenhouse gas </w:t>
      </w:r>
      <w:r w:rsidRPr="009315F7">
        <w:t>section of this report</w:t>
      </w:r>
      <w:r>
        <w:t xml:space="preserve"> for more information.</w:t>
      </w:r>
    </w:p>
  </w:footnote>
  <w:footnote w:id="5">
    <w:p w:rsidR="00395132" w:rsidRDefault="00395132" w:rsidP="000916CB">
      <w:pPr>
        <w:pStyle w:val="FootnoteText"/>
      </w:pPr>
      <w:r>
        <w:rPr>
          <w:rStyle w:val="FootnoteReference"/>
        </w:rPr>
        <w:footnoteRef/>
      </w:r>
      <w:r>
        <w:t xml:space="preserve"> This figure covers public statements of refunds and changes to general rates and waste management charges of local councils that were not liable entities, as well as local councils that were liable entities.</w:t>
      </w:r>
    </w:p>
  </w:footnote>
  <w:footnote w:id="6">
    <w:p w:rsidR="00395132" w:rsidRDefault="00395132" w:rsidP="000916CB">
      <w:pPr>
        <w:pStyle w:val="FootnoteText"/>
      </w:pPr>
      <w:r>
        <w:rPr>
          <w:rStyle w:val="FootnoteReference"/>
        </w:rPr>
        <w:footnoteRef/>
      </w:r>
      <w:r>
        <w:t xml:space="preserve"> </w:t>
      </w:r>
      <w:r w:rsidRPr="00C3554E">
        <w:t xml:space="preserve">These figures are derived only from those that were published in the media reports or council announcements listed </w:t>
      </w:r>
      <w:proofErr w:type="gramStart"/>
      <w:r w:rsidRPr="00C3554E">
        <w:t>in  Annexure</w:t>
      </w:r>
      <w:proofErr w:type="gramEnd"/>
      <w:r w:rsidRPr="00C3554E">
        <w:t xml:space="preserve"> 1 of this Report. Note that in a few instances, ratepayers will only receive the announced credits or refunds for the reductions in their 2014-15</w:t>
      </w:r>
      <w:r>
        <w:t xml:space="preserve"> </w:t>
      </w:r>
      <w:r w:rsidRPr="00D50F14">
        <w:t>rates and charges in the</w:t>
      </w:r>
      <w:r>
        <w:t>ir 2015-</w:t>
      </w:r>
      <w:r w:rsidRPr="00D50F14">
        <w:t>16</w:t>
      </w:r>
      <w:r>
        <w:t xml:space="preserve"> rates notices.</w:t>
      </w:r>
    </w:p>
  </w:footnote>
  <w:footnote w:id="7">
    <w:p w:rsidR="00395132" w:rsidRPr="008218CF" w:rsidRDefault="00395132" w:rsidP="00C84236">
      <w:pPr>
        <w:pStyle w:val="FootnoteText"/>
        <w:rPr>
          <w:szCs w:val="16"/>
        </w:rPr>
      </w:pPr>
      <w:r>
        <w:rPr>
          <w:rStyle w:val="FootnoteReference"/>
        </w:rPr>
        <w:footnoteRef/>
      </w:r>
      <w:r>
        <w:t xml:space="preserve"> </w:t>
      </w:r>
      <w:r w:rsidRPr="008218CF">
        <w:rPr>
          <w:szCs w:val="16"/>
        </w:rPr>
        <w:t xml:space="preserve">Emma Hope, </w:t>
      </w:r>
      <w:r w:rsidRPr="00861B63">
        <w:rPr>
          <w:szCs w:val="16"/>
        </w:rPr>
        <w:t>21 July 2014</w:t>
      </w:r>
      <w:r w:rsidRPr="008218CF">
        <w:rPr>
          <w:szCs w:val="16"/>
        </w:rPr>
        <w:t>, The Mercury, Hobart, viewed 12 June 2015, www.themercury.com.au/lifestyle/axing-of-carbon-tax-cuts-ttline-fares/story-fnj64obd-1226995337163</w:t>
      </w:r>
    </w:p>
  </w:footnote>
  <w:footnote w:id="8">
    <w:p w:rsidR="00395132" w:rsidRDefault="00395132" w:rsidP="00C84236">
      <w:pPr>
        <w:pStyle w:val="FootnoteText"/>
      </w:pPr>
      <w:r w:rsidRPr="008218CF">
        <w:rPr>
          <w:rStyle w:val="FootnoteReference"/>
          <w:szCs w:val="16"/>
        </w:rPr>
        <w:footnoteRef/>
      </w:r>
      <w:r w:rsidRPr="008218CF">
        <w:rPr>
          <w:szCs w:val="16"/>
        </w:rPr>
        <w:t xml:space="preserve"> </w:t>
      </w:r>
      <w:r w:rsidRPr="008218CF">
        <w:rPr>
          <w:rFonts w:cs="Arial"/>
          <w:bCs/>
          <w:color w:val="000000"/>
          <w:szCs w:val="16"/>
        </w:rPr>
        <w:t xml:space="preserve">Natalie </w:t>
      </w:r>
      <w:proofErr w:type="spellStart"/>
      <w:r w:rsidRPr="008218CF">
        <w:rPr>
          <w:rFonts w:cs="Arial"/>
          <w:bCs/>
          <w:color w:val="000000"/>
          <w:szCs w:val="16"/>
        </w:rPr>
        <w:t>Bochenski</w:t>
      </w:r>
      <w:proofErr w:type="spellEnd"/>
      <w:r w:rsidRPr="008218CF">
        <w:rPr>
          <w:rFonts w:cs="Arial"/>
          <w:bCs/>
          <w:color w:val="000000"/>
          <w:szCs w:val="16"/>
        </w:rPr>
        <w:t xml:space="preserve">, 21 September 2014, Brisbane Times, Brisbane, viewed 12 June 2015, </w:t>
      </w:r>
      <w:r w:rsidRPr="008218CF">
        <w:rPr>
          <w:szCs w:val="16"/>
        </w:rPr>
        <w:t>www.brisbanetimes.com.au/queensland/public-transport-fares-cut-by-five-per-cent-20140921-10jwa5.html10jwa5.html&amp;ei=T0FxVbybKqXZmAXM_ICoDw&amp;usg=AFQjCNEeRMvSXn8qkOE6ESrPjJgsHosSIg&amp;bvm=bv.95039771,d.dGY</w:t>
      </w:r>
    </w:p>
  </w:footnote>
  <w:footnote w:id="9">
    <w:p w:rsidR="00395132" w:rsidRDefault="00395132" w:rsidP="00C84236">
      <w:pPr>
        <w:pStyle w:val="FootnoteText"/>
      </w:pPr>
      <w:r>
        <w:rPr>
          <w:rStyle w:val="FootnoteReference"/>
        </w:rPr>
        <w:footnoteRef/>
      </w:r>
      <w:r>
        <w:t xml:space="preserve"> 16 October 2014, Government of Western Australia, Perth, viewed 12 June 2015, </w:t>
      </w:r>
      <w:r w:rsidRPr="001D2542">
        <w:t>www.mediastatements.wa.gov.au/pages/StatementDetails.aspx?listName=StatementsBarnett&amp;StatId=8703</w:t>
      </w:r>
    </w:p>
  </w:footnote>
  <w:footnote w:id="10">
    <w:p w:rsidR="00395132" w:rsidRDefault="00395132" w:rsidP="00C84236">
      <w:pPr>
        <w:pStyle w:val="FootnoteText"/>
      </w:pPr>
      <w:r>
        <w:rPr>
          <w:rStyle w:val="FootnoteReference"/>
        </w:rPr>
        <w:footnoteRef/>
      </w:r>
      <w:r>
        <w:t xml:space="preserve"> 20 October 2014, Sydney Water, Sydney, viewed 12 June 2015, </w:t>
      </w:r>
      <w:r w:rsidRPr="00397129">
        <w:t>www.sydneywaternews.com.au/2014/10/20/carbon-tax-rebate-your-questions-answered/</w:t>
      </w:r>
    </w:p>
  </w:footnote>
  <w:footnote w:id="11">
    <w:p w:rsidR="00395132" w:rsidRDefault="00395132" w:rsidP="00C84236">
      <w:pPr>
        <w:pStyle w:val="FootnoteText"/>
      </w:pPr>
      <w:r>
        <w:rPr>
          <w:rStyle w:val="FootnoteReference"/>
        </w:rPr>
        <w:footnoteRef/>
      </w:r>
      <w:r>
        <w:t xml:space="preserve"> Hunter Water, Newcastle, viewed 12 June 2015, </w:t>
      </w:r>
      <w:r w:rsidRPr="00397129">
        <w:t>www.hunterwater.com.au/Your-Account/Managing-Your-Account/Carbon-Tax-Refund.aspx</w:t>
      </w:r>
    </w:p>
  </w:footnote>
  <w:footnote w:id="12">
    <w:p w:rsidR="00395132" w:rsidRDefault="00395132" w:rsidP="00395132">
      <w:pPr>
        <w:pStyle w:val="FootnoteText"/>
        <w:tabs>
          <w:tab w:val="left" w:pos="1276"/>
        </w:tabs>
      </w:pPr>
      <w:r>
        <w:rPr>
          <w:rStyle w:val="FootnoteReference"/>
        </w:rPr>
        <w:footnoteRef/>
      </w:r>
      <w:r>
        <w:t xml:space="preserve"> The ranges and averages differ from those provided in the ACCC’s April 2015 Carbon Report as carbon tax repeal cost savings for the remaining small retailer </w:t>
      </w:r>
      <w:proofErr w:type="gramStart"/>
      <w:r>
        <w:t>are</w:t>
      </w:r>
      <w:proofErr w:type="gramEnd"/>
      <w:r>
        <w:t xml:space="preserve"> included.</w:t>
      </w:r>
    </w:p>
  </w:footnote>
  <w:footnote w:id="13">
    <w:p w:rsidR="00395132" w:rsidRDefault="00395132" w:rsidP="002E6A39">
      <w:pPr>
        <w:pStyle w:val="FootnoteText"/>
      </w:pPr>
      <w:r>
        <w:rPr>
          <w:rStyle w:val="FootnoteReference"/>
        </w:rPr>
        <w:footnoteRef/>
      </w:r>
      <w:r>
        <w:t xml:space="preserve"> </w:t>
      </w:r>
      <w:r w:rsidRPr="00014912">
        <w:t xml:space="preserve">The estimated average percentage </w:t>
      </w:r>
      <w:r>
        <w:t xml:space="preserve">cost </w:t>
      </w:r>
      <w:r w:rsidRPr="00014912">
        <w:t xml:space="preserve">savings are calculated by reference to the retailers’ standing offer prices in effect in July-August 2014 </w:t>
      </w:r>
      <w:r>
        <w:t>before they implemented</w:t>
      </w:r>
      <w:r w:rsidRPr="00014912">
        <w:t xml:space="preserve"> the carbon tax re</w:t>
      </w:r>
      <w:r>
        <w:t xml:space="preserve">peal in their prices. For those </w:t>
      </w:r>
      <w:r w:rsidRPr="00014912">
        <w:t xml:space="preserve">who implemented a single price change to remove </w:t>
      </w:r>
      <w:r>
        <w:t>the carbon tax component</w:t>
      </w:r>
      <w:r w:rsidRPr="00014912">
        <w:t xml:space="preserve"> and adjust prices for other factors, the standing offer prices are those </w:t>
      </w:r>
      <w:r>
        <w:t xml:space="preserve">the ACCC </w:t>
      </w:r>
      <w:r w:rsidRPr="00014912">
        <w:t>collected for March-April 2014</w:t>
      </w:r>
      <w:r>
        <w:t>.</w:t>
      </w:r>
    </w:p>
  </w:footnote>
  <w:footnote w:id="14">
    <w:p w:rsidR="00395132" w:rsidRDefault="00395132" w:rsidP="002E6A39">
      <w:pPr>
        <w:pStyle w:val="FootnoteText"/>
      </w:pPr>
      <w:r>
        <w:rPr>
          <w:rStyle w:val="FootnoteReference"/>
        </w:rPr>
        <w:footnoteRef/>
      </w:r>
      <w:r>
        <w:t xml:space="preserve"> </w:t>
      </w:r>
      <w:r w:rsidRPr="007536EB">
        <w:t>The consumption values chosen are based on the ACIL Allen Consulting report for the AER, Electricity Bill Benchmarks for residential customers, October 2014 for 3 person households with reticulated gas (except in the Northern Territory) and no swimming pool. For WA the annual consumption level is based on the Independent Market Operator’s 2014 SWIS Electricity Demand Outlook, July 2014</w:t>
      </w:r>
      <w:r>
        <w:t>.</w:t>
      </w:r>
    </w:p>
  </w:footnote>
  <w:footnote w:id="15">
    <w:p w:rsidR="00395132" w:rsidRDefault="00395132" w:rsidP="00760016">
      <w:pPr>
        <w:pStyle w:val="FootnoteText"/>
      </w:pPr>
      <w:r>
        <w:rPr>
          <w:rStyle w:val="FootnoteReference"/>
        </w:rPr>
        <w:footnoteRef/>
      </w:r>
      <w:r>
        <w:t xml:space="preserve"> There are some small variations in the estimated average annual carbon tax repeal cost savings for electricity in some states compared with Graph 3 of the </w:t>
      </w:r>
      <w:r w:rsidRPr="00BA04EE">
        <w:t>ACCC’s April 2015 Carbon Report</w:t>
      </w:r>
      <w:r>
        <w:t>,</w:t>
      </w:r>
      <w:r w:rsidRPr="00BA04EE">
        <w:t xml:space="preserve"> as </w:t>
      </w:r>
      <w:r>
        <w:t xml:space="preserve">the carbon tax repeal cost savings for the remaining small electricity retailer have now been included in the calculation of the averages. </w:t>
      </w:r>
      <w:r w:rsidRPr="000F2A9E">
        <w:t xml:space="preserve">Average </w:t>
      </w:r>
      <w:r>
        <w:t xml:space="preserve">annual </w:t>
      </w:r>
      <w:r w:rsidRPr="000F2A9E">
        <w:t xml:space="preserve">gas savings differ from the figures in </w:t>
      </w:r>
      <w:r>
        <w:t>Graph 21 of th</w:t>
      </w:r>
      <w:r w:rsidRPr="000F2A9E">
        <w:t>e ACCC</w:t>
      </w:r>
      <w:r>
        <w:t>’s</w:t>
      </w:r>
      <w:r w:rsidRPr="000F2A9E">
        <w:t xml:space="preserve"> April 2015 Carbon Report, which had omitted GST. GST is included in the present figures.</w:t>
      </w:r>
    </w:p>
  </w:footnote>
  <w:footnote w:id="16">
    <w:p w:rsidR="00395132" w:rsidRDefault="00395132" w:rsidP="00760016">
      <w:pPr>
        <w:pStyle w:val="FootnoteText"/>
      </w:pPr>
      <w:r>
        <w:rPr>
          <w:rStyle w:val="FootnoteReference"/>
        </w:rPr>
        <w:footnoteRef/>
      </w:r>
      <w:r>
        <w:t xml:space="preserve"> There are some small variations in the estimated percentage carbon tax repeal cost savings for electricity in some states compared with Graph 4 of the </w:t>
      </w:r>
      <w:r w:rsidRPr="00BA04EE">
        <w:t>ACCC’s April 2015 Carbon Report</w:t>
      </w:r>
      <w:r>
        <w:t>,</w:t>
      </w:r>
      <w:r w:rsidRPr="00BA04EE">
        <w:t xml:space="preserve"> as </w:t>
      </w:r>
      <w:r>
        <w:t>the carbon tax repeal cost savings for the remaining small electricity retailer have now been included in the calculation of the percentages.</w:t>
      </w:r>
      <w:r w:rsidRPr="00774CA4">
        <w:t xml:space="preserve"> </w:t>
      </w:r>
      <w:r>
        <w:t>Estimated percentage</w:t>
      </w:r>
      <w:r w:rsidRPr="000F2A9E">
        <w:t xml:space="preserve"> savings </w:t>
      </w:r>
      <w:r>
        <w:t xml:space="preserve">for gas </w:t>
      </w:r>
      <w:r w:rsidRPr="000F2A9E">
        <w:t>differ from the figures in</w:t>
      </w:r>
      <w:r>
        <w:t xml:space="preserve"> Graph 22</w:t>
      </w:r>
      <w:r w:rsidRPr="000F2A9E">
        <w:t xml:space="preserve"> </w:t>
      </w:r>
      <w:r>
        <w:t xml:space="preserve">of the </w:t>
      </w:r>
      <w:r w:rsidRPr="000F2A9E">
        <w:t>ACCC</w:t>
      </w:r>
      <w:r>
        <w:t>’s</w:t>
      </w:r>
      <w:r w:rsidRPr="000F2A9E">
        <w:t xml:space="preserve"> April 2015 Carbon Report, which had omitted GST</w:t>
      </w:r>
      <w:r>
        <w:t xml:space="preserve"> in the cost saving figures</w:t>
      </w:r>
      <w:r w:rsidRPr="000F2A9E">
        <w:t>. GST is included in the present figures</w:t>
      </w:r>
      <w:r>
        <w:t>.</w:t>
      </w:r>
    </w:p>
  </w:footnote>
  <w:footnote w:id="17">
    <w:p w:rsidR="00395132" w:rsidRDefault="00395132" w:rsidP="00760016">
      <w:pPr>
        <w:pStyle w:val="FootnoteText"/>
      </w:pPr>
      <w:r>
        <w:rPr>
          <w:rStyle w:val="FootnoteReference"/>
        </w:rPr>
        <w:footnoteRef/>
      </w:r>
      <w:r>
        <w:t xml:space="preserve"> AGL, Origin and </w:t>
      </w:r>
      <w:proofErr w:type="spellStart"/>
      <w:r>
        <w:t>EnergyAustralia’s</w:t>
      </w:r>
      <w:proofErr w:type="spellEnd"/>
      <w:r>
        <w:t xml:space="preserve"> joint market shares of small electricity customers at 30 June 2014 were 94% in NSW, 81% in South Australia, 67% in Victoria and 61% in Queensland. The three retailers’ joint market shares for small natural gas customers at 30 June 2014 were 97% in NSW, 90% in South Australia, 76% in Victoria and 100% in Queensland (AER State of the Energy Market 2014).</w:t>
      </w:r>
    </w:p>
  </w:footnote>
  <w:footnote w:id="18">
    <w:p w:rsidR="00395132" w:rsidRDefault="00395132">
      <w:pPr>
        <w:pStyle w:val="FootnoteText"/>
      </w:pPr>
      <w:r>
        <w:rPr>
          <w:rStyle w:val="FootnoteReference"/>
        </w:rPr>
        <w:footnoteRef/>
      </w:r>
      <w:r>
        <w:t xml:space="preserve"> The ACCC has calculated estimated average annual cost savings based on the retailers’ standing </w:t>
      </w:r>
      <w:r w:rsidRPr="005A0BA2">
        <w:t>offers (see also footnote 15) and consumption levels typical for the metropolitan area in each state (see also footnote 16)</w:t>
      </w:r>
      <w:r>
        <w:t>.</w:t>
      </w:r>
    </w:p>
  </w:footnote>
  <w:footnote w:id="19">
    <w:p w:rsidR="00395132" w:rsidRDefault="00395132">
      <w:pPr>
        <w:pStyle w:val="FootnoteText"/>
      </w:pPr>
      <w:r>
        <w:rPr>
          <w:rStyle w:val="FootnoteReference"/>
        </w:rPr>
        <w:footnoteRef/>
      </w:r>
      <w:r>
        <w:t xml:space="preserve"> Table 6 does not include pricing data of </w:t>
      </w:r>
      <w:r>
        <w:rPr>
          <w:rFonts w:eastAsia="SimSun" w:cs="Arial"/>
        </w:rPr>
        <w:t>bulk SGG importers that supplied specialised SGGs, did not engage in a regulated supply during the carbon tax repeal transition period, or were not liable for the levy during the carbon tax period.</w:t>
      </w:r>
    </w:p>
  </w:footnote>
  <w:footnote w:id="20">
    <w:p w:rsidR="00395132" w:rsidRDefault="00395132">
      <w:pPr>
        <w:pStyle w:val="FootnoteText"/>
      </w:pPr>
      <w:r>
        <w:rPr>
          <w:rStyle w:val="FootnoteReference"/>
        </w:rPr>
        <w:footnoteRef/>
      </w:r>
      <w:r>
        <w:t xml:space="preserve"> Indicative average prices only, due to limited data.</w:t>
      </w:r>
    </w:p>
  </w:footnote>
  <w:footnote w:id="21">
    <w:p w:rsidR="00395132" w:rsidRDefault="00395132">
      <w:pPr>
        <w:pStyle w:val="FootnoteText"/>
      </w:pPr>
      <w:r>
        <w:rPr>
          <w:rStyle w:val="FootnoteReference"/>
        </w:rPr>
        <w:footnoteRef/>
      </w:r>
      <w:r>
        <w:t xml:space="preserve"> Prices affected by a number of factors including the equivalent carbon tax levy, associated indirect costs, import parity pricing and limited competition at the bulk import level.</w:t>
      </w:r>
    </w:p>
  </w:footnote>
  <w:footnote w:id="22">
    <w:p w:rsidR="00395132" w:rsidRDefault="00395132">
      <w:pPr>
        <w:pStyle w:val="FootnoteText"/>
      </w:pPr>
      <w:r>
        <w:rPr>
          <w:rStyle w:val="FootnoteReference"/>
        </w:rPr>
        <w:footnoteRef/>
      </w:r>
      <w:r>
        <w:t xml:space="preserve"> Prices affected by a number of factors including the removal of the equivalent carbon tax levy and any indirect costs, increased competition and the removal of certain intellectual property protections leading to increased supply and lower prices.</w:t>
      </w:r>
    </w:p>
  </w:footnote>
  <w:footnote w:id="23">
    <w:p w:rsidR="00395132" w:rsidRDefault="00395132" w:rsidP="00074380">
      <w:pPr>
        <w:pStyle w:val="FootnoteText"/>
      </w:pPr>
      <w:r>
        <w:rPr>
          <w:rStyle w:val="FootnoteReference"/>
        </w:rPr>
        <w:footnoteRef/>
      </w:r>
      <w:r>
        <w:t xml:space="preserve"> Australian Government Department of the Environment, Canberra, viewed 12 June 2015, </w:t>
      </w:r>
      <w:hyperlink r:id="rId1" w:history="1">
        <w:r w:rsidRPr="008963AC">
          <w:rPr>
            <w:rStyle w:val="Hyperlink"/>
            <w:sz w:val="16"/>
          </w:rPr>
          <w:t>http://www.environment.gov.au/protection/ozone/synthetic-greenhouse-gases/equivalent-carbon-price</w:t>
        </w:r>
      </w:hyperlink>
      <w:r>
        <w:t xml:space="preserve">  </w:t>
      </w:r>
    </w:p>
  </w:footnote>
  <w:footnote w:id="24">
    <w:p w:rsidR="00395132" w:rsidRPr="004940F0" w:rsidRDefault="00395132" w:rsidP="00533303">
      <w:pPr>
        <w:pStyle w:val="FootnoteText"/>
      </w:pPr>
      <w:r w:rsidRPr="0043158A">
        <w:rPr>
          <w:rStyle w:val="FootnoteReference"/>
          <w:rFonts w:cs="Arial"/>
          <w:szCs w:val="16"/>
        </w:rPr>
        <w:footnoteRef/>
      </w:r>
      <w:r w:rsidRPr="00826419">
        <w:rPr>
          <w:rStyle w:val="FootnoteReference"/>
          <w:rFonts w:cs="Arial"/>
          <w:szCs w:val="16"/>
        </w:rPr>
        <w:t xml:space="preserve"> </w:t>
      </w:r>
      <w:r>
        <w:t>Where the</w:t>
      </w:r>
      <w:r w:rsidRPr="004940F0">
        <w:t xml:space="preserve"> landfill operator proactively sought out identifiable cash customers and provided such customers with refunds.</w:t>
      </w:r>
    </w:p>
  </w:footnote>
  <w:footnote w:id="25">
    <w:p w:rsidR="00395132" w:rsidRDefault="00395132" w:rsidP="00533303">
      <w:pPr>
        <w:pStyle w:val="FootnoteText"/>
      </w:pPr>
      <w:r w:rsidRPr="0043158A">
        <w:rPr>
          <w:rStyle w:val="FootnoteReference"/>
          <w:rFonts w:cs="Arial"/>
          <w:szCs w:val="16"/>
        </w:rPr>
        <w:footnoteRef/>
      </w:r>
      <w:r w:rsidRPr="004940F0">
        <w:t xml:space="preserve"> Unidentifiable cash customers are customers who </w:t>
      </w:r>
      <w:r w:rsidRPr="004F2A03">
        <w:t xml:space="preserve">proactively sought a refund and obtained a refund upon production of a receipt. While a number of entities offered such refunds, </w:t>
      </w:r>
      <w:r w:rsidRPr="00022592">
        <w:t>only two</w:t>
      </w:r>
      <w:r w:rsidRPr="004F2A03">
        <w:t xml:space="preserve"> entities repor</w:t>
      </w:r>
      <w:r>
        <w:t>ted customers actually applying for a refund.</w:t>
      </w:r>
    </w:p>
  </w:footnote>
  <w:footnote w:id="26">
    <w:p w:rsidR="00395132" w:rsidRPr="002F1F11" w:rsidRDefault="00395132" w:rsidP="00533303">
      <w:pPr>
        <w:pStyle w:val="FootnoteText"/>
      </w:pPr>
      <w:r w:rsidRPr="002F1F11">
        <w:rPr>
          <w:rStyle w:val="FootnoteReference"/>
          <w:rFonts w:cs="Arial"/>
          <w:szCs w:val="16"/>
        </w:rPr>
        <w:footnoteRef/>
      </w:r>
      <w:r w:rsidRPr="002F1F11">
        <w:t xml:space="preserve"> As noted in the July </w:t>
      </w:r>
      <w:r>
        <w:t>2014 Carbon R</w:t>
      </w:r>
      <w:r w:rsidRPr="002F1F11">
        <w:t xml:space="preserve">eport, in estimating the future emissions of a tonne of waste over its ‘life’ in a landfill facility, the periods of time liable entities used ranged from 30 to </w:t>
      </w:r>
      <w:r>
        <w:t xml:space="preserve">over </w:t>
      </w:r>
      <w:r w:rsidRPr="002F1F11">
        <w:t>100 years.</w:t>
      </w:r>
    </w:p>
  </w:footnote>
  <w:footnote w:id="27">
    <w:p w:rsidR="00395132" w:rsidRDefault="00395132">
      <w:pPr>
        <w:pStyle w:val="FootnoteText"/>
      </w:pPr>
      <w:r>
        <w:rPr>
          <w:rStyle w:val="FootnoteReference"/>
        </w:rPr>
        <w:footnoteRef/>
      </w:r>
      <w:r>
        <w:t xml:space="preserve"> See the </w:t>
      </w:r>
      <w:r w:rsidRPr="001B11A8">
        <w:rPr>
          <w:i/>
        </w:rPr>
        <w:t>Local councils that are not liable entities</w:t>
      </w:r>
      <w:r>
        <w:t xml:space="preserve"> section of the January 2015 Carbon Report on pages 30-31.</w:t>
      </w:r>
    </w:p>
  </w:footnote>
  <w:footnote w:id="28">
    <w:p w:rsidR="00395132" w:rsidRDefault="00395132" w:rsidP="004F2A03">
      <w:pPr>
        <w:pStyle w:val="FootnoteText"/>
      </w:pPr>
      <w:r>
        <w:rPr>
          <w:rStyle w:val="FootnoteReference"/>
        </w:rPr>
        <w:footnoteRef/>
      </w:r>
      <w:r>
        <w:t xml:space="preserve"> As mentioned in the January 2015 Carbon Report, one entity expected to remove any carbon tax components from its prices in February 2015. That entity has advised the ACCC that, due to extended discussions with its electricity provider, which have now concluded, this has been delayed until August 2015. The entity has advised its customers that it will provide refunds of the carbon tax components shortly</w:t>
      </w:r>
      <w:r>
        <w:rPr>
          <w:rStyle w:val="CommentReference"/>
        </w:rPr>
        <w:annotationRef/>
      </w:r>
      <w:r>
        <w:t>.</w:t>
      </w:r>
    </w:p>
  </w:footnote>
  <w:footnote w:id="29">
    <w:p w:rsidR="00395132" w:rsidRDefault="00395132" w:rsidP="007E6A6F">
      <w:pPr>
        <w:pStyle w:val="FootnoteText"/>
        <w:spacing w:before="0" w:after="120"/>
      </w:pPr>
      <w:r w:rsidRPr="00A311D6">
        <w:rPr>
          <w:rStyle w:val="FootnoteReference"/>
          <w:szCs w:val="16"/>
        </w:rPr>
        <w:footnoteRef/>
      </w:r>
      <w:r w:rsidRPr="00A311D6">
        <w:t xml:space="preserve"> </w:t>
      </w:r>
      <w:proofErr w:type="gramStart"/>
      <w:r w:rsidRPr="006F3966">
        <w:rPr>
          <w:rFonts w:ascii="ArialMT" w:hAnsi="ArialMT" w:cs="ArialMT"/>
          <w:i/>
          <w:szCs w:val="16"/>
        </w:rPr>
        <w:t xml:space="preserve">ACCC v </w:t>
      </w:r>
      <w:proofErr w:type="spellStart"/>
      <w:r w:rsidRPr="006F3966">
        <w:rPr>
          <w:rFonts w:ascii="ArialMT" w:hAnsi="ArialMT" w:cs="ArialMT"/>
          <w:i/>
          <w:szCs w:val="16"/>
        </w:rPr>
        <w:t>Actrol</w:t>
      </w:r>
      <w:proofErr w:type="spellEnd"/>
      <w:r w:rsidRPr="006F3966">
        <w:rPr>
          <w:rFonts w:ascii="ArialMT" w:hAnsi="ArialMT" w:cs="ArialMT"/>
          <w:i/>
          <w:szCs w:val="16"/>
        </w:rPr>
        <w:t xml:space="preserve"> Parts Pty Ltd</w:t>
      </w:r>
      <w:r w:rsidRPr="006F3966">
        <w:rPr>
          <w:rFonts w:ascii="ArialMT" w:hAnsi="ArialMT" w:cs="ArialMT"/>
          <w:szCs w:val="16"/>
        </w:rPr>
        <w:t xml:space="preserve"> [2015] FCA 312.</w:t>
      </w:r>
      <w:proofErr w:type="gramEnd"/>
    </w:p>
  </w:footnote>
  <w:footnote w:id="30">
    <w:p w:rsidR="00395132" w:rsidRDefault="00395132" w:rsidP="0067774F">
      <w:pPr>
        <w:spacing w:before="0" w:after="120"/>
      </w:pPr>
      <w:r w:rsidRPr="0067774F">
        <w:rPr>
          <w:rStyle w:val="FootnoteReference"/>
          <w:sz w:val="16"/>
          <w:szCs w:val="16"/>
        </w:rPr>
        <w:footnoteRef/>
      </w:r>
      <w:r w:rsidRPr="0067774F">
        <w:rPr>
          <w:sz w:val="16"/>
          <w:szCs w:val="16"/>
        </w:rPr>
        <w:t xml:space="preserve"> </w:t>
      </w:r>
      <w:r w:rsidRPr="00FB47E3">
        <w:rPr>
          <w:sz w:val="16"/>
          <w:szCs w:val="16"/>
        </w:rPr>
        <w:t>Originally, the ACCC sent 261 notices, however 17 were revoked. The reasons for revocation included notices which were issued to entities that did not sell to customers, entities which no longer existed, duplicate notices sent to the same entity or incorrect entity name and notices which were unable to be correctly served.</w:t>
      </w:r>
    </w:p>
  </w:footnote>
  <w:footnote w:id="31">
    <w:p w:rsidR="00395132" w:rsidRDefault="00395132" w:rsidP="0067774F">
      <w:pPr>
        <w:pStyle w:val="FootnoteText"/>
        <w:spacing w:before="0" w:after="120"/>
      </w:pPr>
      <w:r>
        <w:rPr>
          <w:rStyle w:val="FootnoteReference"/>
        </w:rPr>
        <w:footnoteRef/>
      </w:r>
      <w:r>
        <w:t xml:space="preserve"> The ACCC expected to receive 244 carbon tax removal substantiation statements. Additionally, 39 entities provided carbon tax removal substantiation statements to the ACCC in the abundance of caution.</w:t>
      </w:r>
    </w:p>
  </w:footnote>
  <w:footnote w:id="32">
    <w:p w:rsidR="00395132" w:rsidRDefault="00395132" w:rsidP="009B7F74">
      <w:pPr>
        <w:pStyle w:val="FootnoteText"/>
      </w:pPr>
      <w:r>
        <w:rPr>
          <w:rStyle w:val="FootnoteReference"/>
        </w:rPr>
        <w:footnoteRef/>
      </w:r>
      <w:r>
        <w:t xml:space="preserve"> This table is an update of Table 10 of </w:t>
      </w:r>
      <w:r w:rsidRPr="00465AD2">
        <w:t>the October 2014 Carbon Report</w:t>
      </w:r>
      <w:r>
        <w:t>, pages 67-68.</w:t>
      </w:r>
    </w:p>
  </w:footnote>
  <w:footnote w:id="33">
    <w:p w:rsidR="00395132" w:rsidRPr="007B176B" w:rsidRDefault="00395132" w:rsidP="00442B20">
      <w:pPr>
        <w:pStyle w:val="FootnoteText"/>
        <w:rPr>
          <w:rFonts w:cs="Arial"/>
          <w:szCs w:val="18"/>
        </w:rPr>
      </w:pPr>
      <w:r w:rsidRPr="007B176B">
        <w:rPr>
          <w:rStyle w:val="FootnoteReference"/>
          <w:rFonts w:cs="Arial"/>
          <w:szCs w:val="18"/>
        </w:rPr>
        <w:footnoteRef/>
      </w:r>
      <w:r w:rsidRPr="005C3F75">
        <w:rPr>
          <w:rFonts w:cs="Arial"/>
          <w:szCs w:val="18"/>
        </w:rPr>
        <w:t xml:space="preserve"> </w:t>
      </w:r>
      <w:r w:rsidRPr="002F1F11">
        <w:rPr>
          <w:rFonts w:cs="Arial"/>
          <w:szCs w:val="16"/>
        </w:rPr>
        <w:t xml:space="preserve">See </w:t>
      </w:r>
      <w:hyperlink r:id="rId2" w:history="1">
        <w:r w:rsidRPr="00941477">
          <w:rPr>
            <w:rStyle w:val="Hyperlink"/>
            <w:rFonts w:cs="Arial"/>
            <w:sz w:val="16"/>
            <w:szCs w:val="16"/>
          </w:rPr>
          <w:t>http://www.cleanenergyregulator.gov.au/Carbon-Pricing-Mechanism/Fact-sheets-FAQs-and-guidelines/Guidelines/Documents/Guidance%20for%20Applicants.pdf</w:t>
        </w:r>
      </w:hyperlink>
      <w:r w:rsidRPr="00941477">
        <w:rPr>
          <w:rFonts w:cs="Arial"/>
          <w:szCs w:val="16"/>
        </w:rPr>
        <w:t xml:space="preserve"> and </w:t>
      </w:r>
      <w:hyperlink r:id="rId3" w:history="1">
        <w:r w:rsidRPr="00941477">
          <w:rPr>
            <w:rStyle w:val="Hyperlink"/>
            <w:rFonts w:cs="Arial"/>
            <w:sz w:val="16"/>
            <w:szCs w:val="16"/>
          </w:rPr>
          <w:t>http://www.climatechange.gov.au/reducing-carbon/jcp</w:t>
        </w:r>
      </w:hyperlink>
      <w:r w:rsidRPr="002F1F11">
        <w:rPr>
          <w:rFonts w:cs="Arial"/>
          <w:szCs w:val="16"/>
        </w:rPr>
        <w:t xml:space="preserve"> </w:t>
      </w:r>
    </w:p>
  </w:footnote>
  <w:footnote w:id="34">
    <w:p w:rsidR="00395132" w:rsidRPr="007B176B" w:rsidRDefault="00395132" w:rsidP="00442B20">
      <w:pPr>
        <w:pStyle w:val="FootnoteText"/>
        <w:rPr>
          <w:rFonts w:cs="Arial"/>
          <w:szCs w:val="18"/>
        </w:rPr>
      </w:pPr>
      <w:r w:rsidRPr="00CB7853">
        <w:rPr>
          <w:rStyle w:val="FootnoteReference"/>
          <w:rFonts w:cs="Arial"/>
        </w:rPr>
        <w:footnoteRef/>
      </w:r>
      <w:r w:rsidRPr="007B176B">
        <w:rPr>
          <w:rFonts w:cs="Arial"/>
          <w:sz w:val="18"/>
          <w:szCs w:val="18"/>
        </w:rPr>
        <w:t xml:space="preserve"> </w:t>
      </w:r>
      <w:r w:rsidRPr="00CB7853">
        <w:rPr>
          <w:szCs w:val="16"/>
        </w:rPr>
        <w:t>See</w:t>
      </w:r>
      <w:r w:rsidRPr="00575858">
        <w:rPr>
          <w:szCs w:val="16"/>
        </w:rPr>
        <w:t xml:space="preserve"> </w:t>
      </w:r>
      <w:hyperlink r:id="rId4" w:history="1">
        <w:r w:rsidRPr="00660342">
          <w:rPr>
            <w:rStyle w:val="Hyperlink"/>
            <w:sz w:val="16"/>
            <w:szCs w:val="16"/>
          </w:rPr>
          <w:t>http://www.business.gov.au/grants-and-assistance/manufacturing/STP/Pages/default.aspx</w:t>
        </w:r>
      </w:hyperlink>
      <w:r w:rsidRPr="00660342">
        <w:rPr>
          <w:szCs w:val="16"/>
        </w:rPr>
        <w:t xml:space="preserve"> and </w:t>
      </w:r>
      <w:hyperlink r:id="rId5" w:history="1">
        <w:r w:rsidRPr="00660342">
          <w:rPr>
            <w:rStyle w:val="Hyperlink"/>
            <w:sz w:val="16"/>
            <w:szCs w:val="16"/>
          </w:rPr>
          <w:t>http://business.grantguru.com.au/MyGrantSpace/?Section=Search&amp;itemDetails=6799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307F9A"/>
    <w:multiLevelType w:val="hybridMultilevel"/>
    <w:tmpl w:val="07909AD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9935496"/>
    <w:multiLevelType w:val="hybridMultilevel"/>
    <w:tmpl w:val="E46E15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4">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1E8453B3"/>
    <w:multiLevelType w:val="hybridMultilevel"/>
    <w:tmpl w:val="AF3631FA"/>
    <w:lvl w:ilvl="0" w:tplc="E9D2BED6">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1F3142"/>
    <w:multiLevelType w:val="hybridMultilevel"/>
    <w:tmpl w:val="C622B2E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nsid w:val="26F829CD"/>
    <w:multiLevelType w:val="hybridMultilevel"/>
    <w:tmpl w:val="C3285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D246B18"/>
    <w:multiLevelType w:val="hybridMultilevel"/>
    <w:tmpl w:val="7B1094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AC3778"/>
    <w:multiLevelType w:val="hybridMultilevel"/>
    <w:tmpl w:val="4B821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9C6E06"/>
    <w:multiLevelType w:val="hybridMultilevel"/>
    <w:tmpl w:val="01882ABE"/>
    <w:lvl w:ilvl="0" w:tplc="08921F32">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EE2287A"/>
    <w:multiLevelType w:val="hybridMultilevel"/>
    <w:tmpl w:val="11347A30"/>
    <w:lvl w:ilvl="0" w:tplc="0C09001B">
      <w:start w:val="1"/>
      <w:numFmt w:val="lowerRoman"/>
      <w:lvlText w:val="%1."/>
      <w:lvlJc w:val="right"/>
      <w:pPr>
        <w:ind w:left="2424" w:hanging="360"/>
      </w:pPr>
      <w:rPr>
        <w:rFonts w:hint="default"/>
      </w:rPr>
    </w:lvl>
    <w:lvl w:ilvl="1" w:tplc="0C090003">
      <w:start w:val="1"/>
      <w:numFmt w:val="bullet"/>
      <w:lvlText w:val="o"/>
      <w:lvlJc w:val="left"/>
      <w:pPr>
        <w:ind w:left="3144" w:hanging="360"/>
      </w:pPr>
      <w:rPr>
        <w:rFonts w:ascii="Courier New" w:hAnsi="Courier New" w:cs="Courier New" w:hint="default"/>
      </w:rPr>
    </w:lvl>
    <w:lvl w:ilvl="2" w:tplc="0C090005" w:tentative="1">
      <w:start w:val="1"/>
      <w:numFmt w:val="bullet"/>
      <w:lvlText w:val=""/>
      <w:lvlJc w:val="left"/>
      <w:pPr>
        <w:ind w:left="3864" w:hanging="360"/>
      </w:pPr>
      <w:rPr>
        <w:rFonts w:ascii="Wingdings" w:hAnsi="Wingdings" w:hint="default"/>
      </w:rPr>
    </w:lvl>
    <w:lvl w:ilvl="3" w:tplc="0C090001" w:tentative="1">
      <w:start w:val="1"/>
      <w:numFmt w:val="bullet"/>
      <w:lvlText w:val=""/>
      <w:lvlJc w:val="left"/>
      <w:pPr>
        <w:ind w:left="4584" w:hanging="360"/>
      </w:pPr>
      <w:rPr>
        <w:rFonts w:ascii="Symbol" w:hAnsi="Symbol" w:hint="default"/>
      </w:rPr>
    </w:lvl>
    <w:lvl w:ilvl="4" w:tplc="0C090003" w:tentative="1">
      <w:start w:val="1"/>
      <w:numFmt w:val="bullet"/>
      <w:lvlText w:val="o"/>
      <w:lvlJc w:val="left"/>
      <w:pPr>
        <w:ind w:left="5304" w:hanging="360"/>
      </w:pPr>
      <w:rPr>
        <w:rFonts w:ascii="Courier New" w:hAnsi="Courier New" w:cs="Courier New" w:hint="default"/>
      </w:rPr>
    </w:lvl>
    <w:lvl w:ilvl="5" w:tplc="0C090005" w:tentative="1">
      <w:start w:val="1"/>
      <w:numFmt w:val="bullet"/>
      <w:lvlText w:val=""/>
      <w:lvlJc w:val="left"/>
      <w:pPr>
        <w:ind w:left="6024" w:hanging="360"/>
      </w:pPr>
      <w:rPr>
        <w:rFonts w:ascii="Wingdings" w:hAnsi="Wingdings" w:hint="default"/>
      </w:rPr>
    </w:lvl>
    <w:lvl w:ilvl="6" w:tplc="0C090001" w:tentative="1">
      <w:start w:val="1"/>
      <w:numFmt w:val="bullet"/>
      <w:lvlText w:val=""/>
      <w:lvlJc w:val="left"/>
      <w:pPr>
        <w:ind w:left="6744" w:hanging="360"/>
      </w:pPr>
      <w:rPr>
        <w:rFonts w:ascii="Symbol" w:hAnsi="Symbol" w:hint="default"/>
      </w:rPr>
    </w:lvl>
    <w:lvl w:ilvl="7" w:tplc="0C090003" w:tentative="1">
      <w:start w:val="1"/>
      <w:numFmt w:val="bullet"/>
      <w:lvlText w:val="o"/>
      <w:lvlJc w:val="left"/>
      <w:pPr>
        <w:ind w:left="7464" w:hanging="360"/>
      </w:pPr>
      <w:rPr>
        <w:rFonts w:ascii="Courier New" w:hAnsi="Courier New" w:cs="Courier New" w:hint="default"/>
      </w:rPr>
    </w:lvl>
    <w:lvl w:ilvl="8" w:tplc="0C090005" w:tentative="1">
      <w:start w:val="1"/>
      <w:numFmt w:val="bullet"/>
      <w:lvlText w:val=""/>
      <w:lvlJc w:val="left"/>
      <w:pPr>
        <w:ind w:left="8184" w:hanging="360"/>
      </w:pPr>
      <w:rPr>
        <w:rFonts w:ascii="Wingdings" w:hAnsi="Wingdings" w:hint="default"/>
      </w:rPr>
    </w:lvl>
  </w:abstractNum>
  <w:abstractNum w:abstractNumId="23">
    <w:nsid w:val="50EB1421"/>
    <w:multiLevelType w:val="multilevel"/>
    <w:tmpl w:val="B900E460"/>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9A12E13"/>
    <w:multiLevelType w:val="hybridMultilevel"/>
    <w:tmpl w:val="7BE6B71C"/>
    <w:lvl w:ilvl="0" w:tplc="0C090015">
      <w:start w:val="1"/>
      <w:numFmt w:val="upperLetter"/>
      <w:lvlText w:val="%1."/>
      <w:lvlJc w:val="left"/>
      <w:pPr>
        <w:ind w:left="1004" w:hanging="360"/>
      </w:pPr>
      <w:rPr>
        <w:rFonts w:hint="default"/>
      </w:r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25">
    <w:nsid w:val="5F190584"/>
    <w:multiLevelType w:val="hybridMultilevel"/>
    <w:tmpl w:val="9EC8C7DA"/>
    <w:lvl w:ilvl="0" w:tplc="0C090011">
      <w:start w:val="1"/>
      <w:numFmt w:val="decimal"/>
      <w:lvlText w:val="%1)"/>
      <w:lvlJc w:val="left"/>
      <w:pPr>
        <w:ind w:left="2424" w:hanging="360"/>
      </w:pPr>
      <w:rPr>
        <w:rFonts w:hint="default"/>
      </w:rPr>
    </w:lvl>
    <w:lvl w:ilvl="1" w:tplc="0C090003">
      <w:start w:val="1"/>
      <w:numFmt w:val="bullet"/>
      <w:lvlText w:val="o"/>
      <w:lvlJc w:val="left"/>
      <w:pPr>
        <w:ind w:left="3144" w:hanging="360"/>
      </w:pPr>
      <w:rPr>
        <w:rFonts w:ascii="Courier New" w:hAnsi="Courier New" w:cs="Courier New" w:hint="default"/>
      </w:rPr>
    </w:lvl>
    <w:lvl w:ilvl="2" w:tplc="0C090005" w:tentative="1">
      <w:start w:val="1"/>
      <w:numFmt w:val="bullet"/>
      <w:lvlText w:val=""/>
      <w:lvlJc w:val="left"/>
      <w:pPr>
        <w:ind w:left="3864" w:hanging="360"/>
      </w:pPr>
      <w:rPr>
        <w:rFonts w:ascii="Wingdings" w:hAnsi="Wingdings" w:hint="default"/>
      </w:rPr>
    </w:lvl>
    <w:lvl w:ilvl="3" w:tplc="0C090001" w:tentative="1">
      <w:start w:val="1"/>
      <w:numFmt w:val="bullet"/>
      <w:lvlText w:val=""/>
      <w:lvlJc w:val="left"/>
      <w:pPr>
        <w:ind w:left="4584" w:hanging="360"/>
      </w:pPr>
      <w:rPr>
        <w:rFonts w:ascii="Symbol" w:hAnsi="Symbol" w:hint="default"/>
      </w:rPr>
    </w:lvl>
    <w:lvl w:ilvl="4" w:tplc="0C090003" w:tentative="1">
      <w:start w:val="1"/>
      <w:numFmt w:val="bullet"/>
      <w:lvlText w:val="o"/>
      <w:lvlJc w:val="left"/>
      <w:pPr>
        <w:ind w:left="5304" w:hanging="360"/>
      </w:pPr>
      <w:rPr>
        <w:rFonts w:ascii="Courier New" w:hAnsi="Courier New" w:cs="Courier New" w:hint="default"/>
      </w:rPr>
    </w:lvl>
    <w:lvl w:ilvl="5" w:tplc="0C090005" w:tentative="1">
      <w:start w:val="1"/>
      <w:numFmt w:val="bullet"/>
      <w:lvlText w:val=""/>
      <w:lvlJc w:val="left"/>
      <w:pPr>
        <w:ind w:left="6024" w:hanging="360"/>
      </w:pPr>
      <w:rPr>
        <w:rFonts w:ascii="Wingdings" w:hAnsi="Wingdings" w:hint="default"/>
      </w:rPr>
    </w:lvl>
    <w:lvl w:ilvl="6" w:tplc="0C090001" w:tentative="1">
      <w:start w:val="1"/>
      <w:numFmt w:val="bullet"/>
      <w:lvlText w:val=""/>
      <w:lvlJc w:val="left"/>
      <w:pPr>
        <w:ind w:left="6744" w:hanging="360"/>
      </w:pPr>
      <w:rPr>
        <w:rFonts w:ascii="Symbol" w:hAnsi="Symbol" w:hint="default"/>
      </w:rPr>
    </w:lvl>
    <w:lvl w:ilvl="7" w:tplc="0C090003" w:tentative="1">
      <w:start w:val="1"/>
      <w:numFmt w:val="bullet"/>
      <w:lvlText w:val="o"/>
      <w:lvlJc w:val="left"/>
      <w:pPr>
        <w:ind w:left="7464" w:hanging="360"/>
      </w:pPr>
      <w:rPr>
        <w:rFonts w:ascii="Courier New" w:hAnsi="Courier New" w:cs="Courier New" w:hint="default"/>
      </w:rPr>
    </w:lvl>
    <w:lvl w:ilvl="8" w:tplc="0C090005" w:tentative="1">
      <w:start w:val="1"/>
      <w:numFmt w:val="bullet"/>
      <w:lvlText w:val=""/>
      <w:lvlJc w:val="left"/>
      <w:pPr>
        <w:ind w:left="8184" w:hanging="360"/>
      </w:pPr>
      <w:rPr>
        <w:rFonts w:ascii="Wingdings" w:hAnsi="Wingdings" w:hint="default"/>
      </w:rPr>
    </w:lvl>
  </w:abstractNum>
  <w:abstractNum w:abstractNumId="26">
    <w:nsid w:val="604D3D60"/>
    <w:multiLevelType w:val="hybridMultilevel"/>
    <w:tmpl w:val="A03ED696"/>
    <w:lvl w:ilvl="0" w:tplc="07327046">
      <w:start w:val="1"/>
      <w:numFmt w:val="decimal"/>
      <w:lvlText w:val="%1)"/>
      <w:lvlJc w:val="left"/>
      <w:pPr>
        <w:ind w:left="502"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6C820759"/>
    <w:multiLevelType w:val="hybridMultilevel"/>
    <w:tmpl w:val="12303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E421618"/>
    <w:multiLevelType w:val="hybridMultilevel"/>
    <w:tmpl w:val="AB06B470"/>
    <w:lvl w:ilvl="0" w:tplc="0C09000F">
      <w:start w:val="1"/>
      <w:numFmt w:val="decimal"/>
      <w:lvlText w:val="%1."/>
      <w:lvlJc w:val="left"/>
      <w:pPr>
        <w:ind w:left="2424" w:hanging="360"/>
      </w:pPr>
      <w:rPr>
        <w:rFonts w:hint="default"/>
      </w:rPr>
    </w:lvl>
    <w:lvl w:ilvl="1" w:tplc="0C090003">
      <w:start w:val="1"/>
      <w:numFmt w:val="bullet"/>
      <w:lvlText w:val="o"/>
      <w:lvlJc w:val="left"/>
      <w:pPr>
        <w:ind w:left="3144" w:hanging="360"/>
      </w:pPr>
      <w:rPr>
        <w:rFonts w:ascii="Courier New" w:hAnsi="Courier New" w:cs="Courier New" w:hint="default"/>
      </w:rPr>
    </w:lvl>
    <w:lvl w:ilvl="2" w:tplc="0C090005" w:tentative="1">
      <w:start w:val="1"/>
      <w:numFmt w:val="bullet"/>
      <w:lvlText w:val=""/>
      <w:lvlJc w:val="left"/>
      <w:pPr>
        <w:ind w:left="3864" w:hanging="360"/>
      </w:pPr>
      <w:rPr>
        <w:rFonts w:ascii="Wingdings" w:hAnsi="Wingdings" w:hint="default"/>
      </w:rPr>
    </w:lvl>
    <w:lvl w:ilvl="3" w:tplc="0C090001" w:tentative="1">
      <w:start w:val="1"/>
      <w:numFmt w:val="bullet"/>
      <w:lvlText w:val=""/>
      <w:lvlJc w:val="left"/>
      <w:pPr>
        <w:ind w:left="4584" w:hanging="360"/>
      </w:pPr>
      <w:rPr>
        <w:rFonts w:ascii="Symbol" w:hAnsi="Symbol" w:hint="default"/>
      </w:rPr>
    </w:lvl>
    <w:lvl w:ilvl="4" w:tplc="0C090003" w:tentative="1">
      <w:start w:val="1"/>
      <w:numFmt w:val="bullet"/>
      <w:lvlText w:val="o"/>
      <w:lvlJc w:val="left"/>
      <w:pPr>
        <w:ind w:left="5304" w:hanging="360"/>
      </w:pPr>
      <w:rPr>
        <w:rFonts w:ascii="Courier New" w:hAnsi="Courier New" w:cs="Courier New" w:hint="default"/>
      </w:rPr>
    </w:lvl>
    <w:lvl w:ilvl="5" w:tplc="0C090005" w:tentative="1">
      <w:start w:val="1"/>
      <w:numFmt w:val="bullet"/>
      <w:lvlText w:val=""/>
      <w:lvlJc w:val="left"/>
      <w:pPr>
        <w:ind w:left="6024" w:hanging="360"/>
      </w:pPr>
      <w:rPr>
        <w:rFonts w:ascii="Wingdings" w:hAnsi="Wingdings" w:hint="default"/>
      </w:rPr>
    </w:lvl>
    <w:lvl w:ilvl="6" w:tplc="0C090001" w:tentative="1">
      <w:start w:val="1"/>
      <w:numFmt w:val="bullet"/>
      <w:lvlText w:val=""/>
      <w:lvlJc w:val="left"/>
      <w:pPr>
        <w:ind w:left="6744" w:hanging="360"/>
      </w:pPr>
      <w:rPr>
        <w:rFonts w:ascii="Symbol" w:hAnsi="Symbol" w:hint="default"/>
      </w:rPr>
    </w:lvl>
    <w:lvl w:ilvl="7" w:tplc="0C090003" w:tentative="1">
      <w:start w:val="1"/>
      <w:numFmt w:val="bullet"/>
      <w:lvlText w:val="o"/>
      <w:lvlJc w:val="left"/>
      <w:pPr>
        <w:ind w:left="7464" w:hanging="360"/>
      </w:pPr>
      <w:rPr>
        <w:rFonts w:ascii="Courier New" w:hAnsi="Courier New" w:cs="Courier New" w:hint="default"/>
      </w:rPr>
    </w:lvl>
    <w:lvl w:ilvl="8" w:tplc="0C090005" w:tentative="1">
      <w:start w:val="1"/>
      <w:numFmt w:val="bullet"/>
      <w:lvlText w:val=""/>
      <w:lvlJc w:val="left"/>
      <w:pPr>
        <w:ind w:left="8184" w:hanging="360"/>
      </w:pPr>
      <w:rPr>
        <w:rFonts w:ascii="Wingdings" w:hAnsi="Wingdings" w:hint="default"/>
      </w:rPr>
    </w:lvl>
  </w:abstractNum>
  <w:abstractNum w:abstractNumId="30">
    <w:nsid w:val="6EB570D1"/>
    <w:multiLevelType w:val="hybridMultilevel"/>
    <w:tmpl w:val="A03ED696"/>
    <w:lvl w:ilvl="0" w:tplc="07327046">
      <w:start w:val="1"/>
      <w:numFmt w:val="decimal"/>
      <w:lvlText w:val="%1)"/>
      <w:lvlJc w:val="left"/>
      <w:pPr>
        <w:ind w:left="502"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EDA7DB0"/>
    <w:multiLevelType w:val="hybridMultilevel"/>
    <w:tmpl w:val="19620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FA7226F"/>
    <w:multiLevelType w:val="hybridMultilevel"/>
    <w:tmpl w:val="7BE6B71C"/>
    <w:lvl w:ilvl="0" w:tplc="0C090015">
      <w:start w:val="1"/>
      <w:numFmt w:val="upperLetter"/>
      <w:lvlText w:val="%1."/>
      <w:lvlJc w:val="left"/>
      <w:pPr>
        <w:ind w:left="1004" w:hanging="360"/>
      </w:pPr>
      <w:rPr>
        <w:rFonts w:hint="default"/>
      </w:r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48017F4"/>
    <w:multiLevelType w:val="hybridMultilevel"/>
    <w:tmpl w:val="6298C550"/>
    <w:lvl w:ilvl="0" w:tplc="0D14251E">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6C3E90"/>
    <w:multiLevelType w:val="hybridMultilevel"/>
    <w:tmpl w:val="ADD67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A0F7468"/>
    <w:multiLevelType w:val="hybridMultilevel"/>
    <w:tmpl w:val="F25661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9"/>
  </w:num>
  <w:num w:numId="14">
    <w:abstractNumId w:val="9"/>
  </w:num>
  <w:num w:numId="15">
    <w:abstractNumId w:val="14"/>
  </w:num>
  <w:num w:numId="16">
    <w:abstractNumId w:val="34"/>
  </w:num>
  <w:num w:numId="17">
    <w:abstractNumId w:val="10"/>
  </w:num>
  <w:num w:numId="18">
    <w:abstractNumId w:val="26"/>
  </w:num>
  <w:num w:numId="19">
    <w:abstractNumId w:val="29"/>
  </w:num>
  <w:num w:numId="20">
    <w:abstractNumId w:val="30"/>
  </w:num>
  <w:num w:numId="21">
    <w:abstractNumId w:val="22"/>
  </w:num>
  <w:num w:numId="22">
    <w:abstractNumId w:val="25"/>
  </w:num>
  <w:num w:numId="23">
    <w:abstractNumId w:val="32"/>
  </w:num>
  <w:num w:numId="24">
    <w:abstractNumId w:val="24"/>
  </w:num>
  <w:num w:numId="25">
    <w:abstractNumId w:val="9"/>
  </w:num>
  <w:num w:numId="26">
    <w:abstractNumId w:val="9"/>
  </w:num>
  <w:num w:numId="27">
    <w:abstractNumId w:val="12"/>
  </w:num>
  <w:num w:numId="28">
    <w:abstractNumId w:val="13"/>
  </w:num>
  <w:num w:numId="29">
    <w:abstractNumId w:val="23"/>
  </w:num>
  <w:num w:numId="30">
    <w:abstractNumId w:val="15"/>
  </w:num>
  <w:num w:numId="31">
    <w:abstractNumId w:val="21"/>
  </w:num>
  <w:num w:numId="32">
    <w:abstractNumId w:val="28"/>
  </w:num>
  <w:num w:numId="33">
    <w:abstractNumId w:val="9"/>
  </w:num>
  <w:num w:numId="34">
    <w:abstractNumId w:val="16"/>
  </w:num>
  <w:num w:numId="35">
    <w:abstractNumId w:val="36"/>
  </w:num>
  <w:num w:numId="36">
    <w:abstractNumId w:val="35"/>
  </w:num>
  <w:num w:numId="37">
    <w:abstractNumId w:val="33"/>
  </w:num>
  <w:num w:numId="38">
    <w:abstractNumId w:val="18"/>
  </w:num>
  <w:num w:numId="39">
    <w:abstractNumId w:val="17"/>
  </w:num>
  <w:num w:numId="40">
    <w:abstractNumId w:val="37"/>
  </w:num>
  <w:num w:numId="41">
    <w:abstractNumId w:val="31"/>
  </w:num>
  <w:num w:numId="42">
    <w:abstractNumId w:val="9"/>
  </w:num>
  <w:num w:numId="43">
    <w:abstractNumId w:val="9"/>
  </w:num>
  <w:num w:numId="4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1July 2015 carbon monitoring report - july 2015 - current.docx"/>
  </w:docVars>
  <w:rsids>
    <w:rsidRoot w:val="00E166FD"/>
    <w:rsid w:val="00011A5D"/>
    <w:rsid w:val="00015205"/>
    <w:rsid w:val="00016780"/>
    <w:rsid w:val="00021202"/>
    <w:rsid w:val="00021C05"/>
    <w:rsid w:val="00022592"/>
    <w:rsid w:val="00022639"/>
    <w:rsid w:val="000230DB"/>
    <w:rsid w:val="00024712"/>
    <w:rsid w:val="000338FF"/>
    <w:rsid w:val="00033A85"/>
    <w:rsid w:val="0003578C"/>
    <w:rsid w:val="00035AEA"/>
    <w:rsid w:val="000419E6"/>
    <w:rsid w:val="0005736D"/>
    <w:rsid w:val="00062D79"/>
    <w:rsid w:val="00063247"/>
    <w:rsid w:val="0006583F"/>
    <w:rsid w:val="000663ED"/>
    <w:rsid w:val="00066E94"/>
    <w:rsid w:val="00067881"/>
    <w:rsid w:val="00070F9F"/>
    <w:rsid w:val="0007137B"/>
    <w:rsid w:val="00074380"/>
    <w:rsid w:val="00085663"/>
    <w:rsid w:val="00085EBF"/>
    <w:rsid w:val="000916CB"/>
    <w:rsid w:val="00094988"/>
    <w:rsid w:val="000A01D2"/>
    <w:rsid w:val="000A35D7"/>
    <w:rsid w:val="000A727B"/>
    <w:rsid w:val="000B19FC"/>
    <w:rsid w:val="000B24C2"/>
    <w:rsid w:val="000B3867"/>
    <w:rsid w:val="000D122C"/>
    <w:rsid w:val="000E1819"/>
    <w:rsid w:val="000E62C2"/>
    <w:rsid w:val="000E6C72"/>
    <w:rsid w:val="000F468C"/>
    <w:rsid w:val="00105082"/>
    <w:rsid w:val="00105F7E"/>
    <w:rsid w:val="00110A5E"/>
    <w:rsid w:val="00116EB2"/>
    <w:rsid w:val="00124609"/>
    <w:rsid w:val="00125ED2"/>
    <w:rsid w:val="00125F7E"/>
    <w:rsid w:val="00127E0F"/>
    <w:rsid w:val="0013607E"/>
    <w:rsid w:val="00144C96"/>
    <w:rsid w:val="001573E4"/>
    <w:rsid w:val="00160756"/>
    <w:rsid w:val="001635C9"/>
    <w:rsid w:val="00164BF5"/>
    <w:rsid w:val="00170D5F"/>
    <w:rsid w:val="00170E31"/>
    <w:rsid w:val="0017232E"/>
    <w:rsid w:val="00174102"/>
    <w:rsid w:val="00180157"/>
    <w:rsid w:val="00182AEA"/>
    <w:rsid w:val="00186F77"/>
    <w:rsid w:val="001926A4"/>
    <w:rsid w:val="00193158"/>
    <w:rsid w:val="001A0811"/>
    <w:rsid w:val="001A188F"/>
    <w:rsid w:val="001A31B2"/>
    <w:rsid w:val="001A330F"/>
    <w:rsid w:val="001B11A8"/>
    <w:rsid w:val="001B45A0"/>
    <w:rsid w:val="001C6027"/>
    <w:rsid w:val="001D055E"/>
    <w:rsid w:val="001D2542"/>
    <w:rsid w:val="001D552F"/>
    <w:rsid w:val="001E1891"/>
    <w:rsid w:val="001E3078"/>
    <w:rsid w:val="001E3150"/>
    <w:rsid w:val="001E4C1B"/>
    <w:rsid w:val="001F492E"/>
    <w:rsid w:val="001F6DA3"/>
    <w:rsid w:val="002000E7"/>
    <w:rsid w:val="00202BEB"/>
    <w:rsid w:val="00223D91"/>
    <w:rsid w:val="00224DB9"/>
    <w:rsid w:val="00234818"/>
    <w:rsid w:val="00237E56"/>
    <w:rsid w:val="00244AE9"/>
    <w:rsid w:val="00251745"/>
    <w:rsid w:val="00253ADF"/>
    <w:rsid w:val="00261028"/>
    <w:rsid w:val="00263AC0"/>
    <w:rsid w:val="0026772D"/>
    <w:rsid w:val="0027258E"/>
    <w:rsid w:val="00276D0D"/>
    <w:rsid w:val="00282290"/>
    <w:rsid w:val="00286874"/>
    <w:rsid w:val="00287B38"/>
    <w:rsid w:val="00296B65"/>
    <w:rsid w:val="002A08DB"/>
    <w:rsid w:val="002A2026"/>
    <w:rsid w:val="002A28B5"/>
    <w:rsid w:val="002A4968"/>
    <w:rsid w:val="002A7131"/>
    <w:rsid w:val="002A7DEF"/>
    <w:rsid w:val="002B01D5"/>
    <w:rsid w:val="002B711E"/>
    <w:rsid w:val="002B7CB6"/>
    <w:rsid w:val="002C27AE"/>
    <w:rsid w:val="002C768C"/>
    <w:rsid w:val="002D00C5"/>
    <w:rsid w:val="002D2D6F"/>
    <w:rsid w:val="002D6BC4"/>
    <w:rsid w:val="002E2A11"/>
    <w:rsid w:val="002E4414"/>
    <w:rsid w:val="002E6A39"/>
    <w:rsid w:val="002E7EB8"/>
    <w:rsid w:val="002F10D8"/>
    <w:rsid w:val="002F2EE9"/>
    <w:rsid w:val="002F7986"/>
    <w:rsid w:val="00307F6D"/>
    <w:rsid w:val="003177A2"/>
    <w:rsid w:val="003246EF"/>
    <w:rsid w:val="003271B5"/>
    <w:rsid w:val="00331264"/>
    <w:rsid w:val="00334C8D"/>
    <w:rsid w:val="0035061B"/>
    <w:rsid w:val="003518B3"/>
    <w:rsid w:val="00365324"/>
    <w:rsid w:val="00366A85"/>
    <w:rsid w:val="00371D4A"/>
    <w:rsid w:val="003751CA"/>
    <w:rsid w:val="003846F1"/>
    <w:rsid w:val="00386064"/>
    <w:rsid w:val="00390839"/>
    <w:rsid w:val="0039328A"/>
    <w:rsid w:val="00395132"/>
    <w:rsid w:val="00396D4D"/>
    <w:rsid w:val="003B7F6E"/>
    <w:rsid w:val="003C3DBE"/>
    <w:rsid w:val="003C66D1"/>
    <w:rsid w:val="003C788C"/>
    <w:rsid w:val="003D131D"/>
    <w:rsid w:val="003D185F"/>
    <w:rsid w:val="003D19D8"/>
    <w:rsid w:val="003E35B7"/>
    <w:rsid w:val="003E553D"/>
    <w:rsid w:val="003F1793"/>
    <w:rsid w:val="003F24E7"/>
    <w:rsid w:val="0040191D"/>
    <w:rsid w:val="00404D91"/>
    <w:rsid w:val="00412651"/>
    <w:rsid w:val="00417A7F"/>
    <w:rsid w:val="00417EFB"/>
    <w:rsid w:val="00422083"/>
    <w:rsid w:val="00423C2E"/>
    <w:rsid w:val="00423E81"/>
    <w:rsid w:val="00424232"/>
    <w:rsid w:val="00427D9A"/>
    <w:rsid w:val="0043528A"/>
    <w:rsid w:val="004355AB"/>
    <w:rsid w:val="00440350"/>
    <w:rsid w:val="00442B20"/>
    <w:rsid w:val="00444807"/>
    <w:rsid w:val="00451994"/>
    <w:rsid w:val="004533C2"/>
    <w:rsid w:val="00454787"/>
    <w:rsid w:val="004576DA"/>
    <w:rsid w:val="004601CC"/>
    <w:rsid w:val="0046329E"/>
    <w:rsid w:val="00464940"/>
    <w:rsid w:val="004679A2"/>
    <w:rsid w:val="0047781B"/>
    <w:rsid w:val="00480B4B"/>
    <w:rsid w:val="00483DCF"/>
    <w:rsid w:val="00485DC4"/>
    <w:rsid w:val="00497D5E"/>
    <w:rsid w:val="004B009B"/>
    <w:rsid w:val="004B195F"/>
    <w:rsid w:val="004B2CC3"/>
    <w:rsid w:val="004B35C7"/>
    <w:rsid w:val="004B3DF2"/>
    <w:rsid w:val="004B4412"/>
    <w:rsid w:val="004C209F"/>
    <w:rsid w:val="004C348C"/>
    <w:rsid w:val="004C7E3A"/>
    <w:rsid w:val="004D55BA"/>
    <w:rsid w:val="004E2A22"/>
    <w:rsid w:val="004E328E"/>
    <w:rsid w:val="004E60F4"/>
    <w:rsid w:val="004E762E"/>
    <w:rsid w:val="004F129A"/>
    <w:rsid w:val="004F2A03"/>
    <w:rsid w:val="004F2F30"/>
    <w:rsid w:val="004F75B1"/>
    <w:rsid w:val="00500360"/>
    <w:rsid w:val="00514914"/>
    <w:rsid w:val="00524813"/>
    <w:rsid w:val="00524C1B"/>
    <w:rsid w:val="005250EA"/>
    <w:rsid w:val="00530128"/>
    <w:rsid w:val="00532467"/>
    <w:rsid w:val="00533303"/>
    <w:rsid w:val="00534BFF"/>
    <w:rsid w:val="005439AD"/>
    <w:rsid w:val="00556D5A"/>
    <w:rsid w:val="0055715B"/>
    <w:rsid w:val="005605D6"/>
    <w:rsid w:val="005615EF"/>
    <w:rsid w:val="00562A12"/>
    <w:rsid w:val="00563BC2"/>
    <w:rsid w:val="00564A4D"/>
    <w:rsid w:val="00567FA2"/>
    <w:rsid w:val="00571B35"/>
    <w:rsid w:val="00577A09"/>
    <w:rsid w:val="00577FA3"/>
    <w:rsid w:val="005844D1"/>
    <w:rsid w:val="00584D8F"/>
    <w:rsid w:val="005A0BA2"/>
    <w:rsid w:val="005A404D"/>
    <w:rsid w:val="005A4388"/>
    <w:rsid w:val="005A4D86"/>
    <w:rsid w:val="005B1E3C"/>
    <w:rsid w:val="005B647A"/>
    <w:rsid w:val="005C20AC"/>
    <w:rsid w:val="005C26CC"/>
    <w:rsid w:val="005C49EE"/>
    <w:rsid w:val="005C50CB"/>
    <w:rsid w:val="005D65A4"/>
    <w:rsid w:val="005E2B89"/>
    <w:rsid w:val="005F6129"/>
    <w:rsid w:val="005F63FE"/>
    <w:rsid w:val="0060330B"/>
    <w:rsid w:val="00614493"/>
    <w:rsid w:val="00615C6B"/>
    <w:rsid w:val="00620A16"/>
    <w:rsid w:val="00622142"/>
    <w:rsid w:val="00622392"/>
    <w:rsid w:val="00625ED5"/>
    <w:rsid w:val="006264FF"/>
    <w:rsid w:val="00627C4D"/>
    <w:rsid w:val="00632D6D"/>
    <w:rsid w:val="006360CE"/>
    <w:rsid w:val="00636836"/>
    <w:rsid w:val="00640555"/>
    <w:rsid w:val="00642C3E"/>
    <w:rsid w:val="00650CE6"/>
    <w:rsid w:val="006531E5"/>
    <w:rsid w:val="00661962"/>
    <w:rsid w:val="006633D9"/>
    <w:rsid w:val="00663DAD"/>
    <w:rsid w:val="00671E26"/>
    <w:rsid w:val="00676679"/>
    <w:rsid w:val="0067774F"/>
    <w:rsid w:val="00680173"/>
    <w:rsid w:val="00690A3E"/>
    <w:rsid w:val="00695CAD"/>
    <w:rsid w:val="00696AE0"/>
    <w:rsid w:val="00697F68"/>
    <w:rsid w:val="006A0874"/>
    <w:rsid w:val="006A3702"/>
    <w:rsid w:val="006B4CF9"/>
    <w:rsid w:val="006B5312"/>
    <w:rsid w:val="006B7AC8"/>
    <w:rsid w:val="006C095E"/>
    <w:rsid w:val="006C0BDA"/>
    <w:rsid w:val="006C6B4B"/>
    <w:rsid w:val="006D240B"/>
    <w:rsid w:val="006D27E8"/>
    <w:rsid w:val="006D31D4"/>
    <w:rsid w:val="006D550F"/>
    <w:rsid w:val="006E333C"/>
    <w:rsid w:val="006E5303"/>
    <w:rsid w:val="006F5102"/>
    <w:rsid w:val="006F69B2"/>
    <w:rsid w:val="00701CAB"/>
    <w:rsid w:val="00703B73"/>
    <w:rsid w:val="00707563"/>
    <w:rsid w:val="00710BD6"/>
    <w:rsid w:val="0072348C"/>
    <w:rsid w:val="00724A37"/>
    <w:rsid w:val="007303C3"/>
    <w:rsid w:val="00741979"/>
    <w:rsid w:val="007430DA"/>
    <w:rsid w:val="00743223"/>
    <w:rsid w:val="00746E01"/>
    <w:rsid w:val="00747E2E"/>
    <w:rsid w:val="007539BA"/>
    <w:rsid w:val="00753DF2"/>
    <w:rsid w:val="007565C9"/>
    <w:rsid w:val="00760016"/>
    <w:rsid w:val="00763E5D"/>
    <w:rsid w:val="00767740"/>
    <w:rsid w:val="00775130"/>
    <w:rsid w:val="0077601B"/>
    <w:rsid w:val="00777EE6"/>
    <w:rsid w:val="00780948"/>
    <w:rsid w:val="00781EF2"/>
    <w:rsid w:val="00782EEA"/>
    <w:rsid w:val="007A4CF9"/>
    <w:rsid w:val="007A7971"/>
    <w:rsid w:val="007B2C72"/>
    <w:rsid w:val="007B58FE"/>
    <w:rsid w:val="007B599F"/>
    <w:rsid w:val="007B6144"/>
    <w:rsid w:val="007C1C53"/>
    <w:rsid w:val="007C61C3"/>
    <w:rsid w:val="007D0883"/>
    <w:rsid w:val="007E4904"/>
    <w:rsid w:val="007E4CB5"/>
    <w:rsid w:val="007E5364"/>
    <w:rsid w:val="007E6A6F"/>
    <w:rsid w:val="007E72F8"/>
    <w:rsid w:val="007F066B"/>
    <w:rsid w:val="007F6987"/>
    <w:rsid w:val="007F7190"/>
    <w:rsid w:val="008033C4"/>
    <w:rsid w:val="00806C88"/>
    <w:rsid w:val="0081034E"/>
    <w:rsid w:val="0082164F"/>
    <w:rsid w:val="008218CF"/>
    <w:rsid w:val="00831218"/>
    <w:rsid w:val="008344F6"/>
    <w:rsid w:val="0083510F"/>
    <w:rsid w:val="008372D0"/>
    <w:rsid w:val="00851209"/>
    <w:rsid w:val="00861B63"/>
    <w:rsid w:val="00866210"/>
    <w:rsid w:val="008837AC"/>
    <w:rsid w:val="00883C11"/>
    <w:rsid w:val="00890EB5"/>
    <w:rsid w:val="008A587D"/>
    <w:rsid w:val="008A608E"/>
    <w:rsid w:val="008A60C7"/>
    <w:rsid w:val="008B62B6"/>
    <w:rsid w:val="008C1ADA"/>
    <w:rsid w:val="008C338F"/>
    <w:rsid w:val="008C5486"/>
    <w:rsid w:val="008D4923"/>
    <w:rsid w:val="008D5DD0"/>
    <w:rsid w:val="008E3F7E"/>
    <w:rsid w:val="008E5B38"/>
    <w:rsid w:val="008E7031"/>
    <w:rsid w:val="008E7BF8"/>
    <w:rsid w:val="008F15D2"/>
    <w:rsid w:val="008F20BC"/>
    <w:rsid w:val="008F2DE2"/>
    <w:rsid w:val="008F427B"/>
    <w:rsid w:val="008F7E23"/>
    <w:rsid w:val="0090013A"/>
    <w:rsid w:val="009033A1"/>
    <w:rsid w:val="0090484A"/>
    <w:rsid w:val="00904C5E"/>
    <w:rsid w:val="00907A7E"/>
    <w:rsid w:val="0091024E"/>
    <w:rsid w:val="00910A33"/>
    <w:rsid w:val="00911864"/>
    <w:rsid w:val="009233EE"/>
    <w:rsid w:val="00926334"/>
    <w:rsid w:val="0092796D"/>
    <w:rsid w:val="009315F7"/>
    <w:rsid w:val="00935914"/>
    <w:rsid w:val="00942302"/>
    <w:rsid w:val="00942F47"/>
    <w:rsid w:val="00943446"/>
    <w:rsid w:val="009449B2"/>
    <w:rsid w:val="00946FC2"/>
    <w:rsid w:val="00950799"/>
    <w:rsid w:val="00954D03"/>
    <w:rsid w:val="00955219"/>
    <w:rsid w:val="00956B86"/>
    <w:rsid w:val="00963E3C"/>
    <w:rsid w:val="009661DE"/>
    <w:rsid w:val="00971B1A"/>
    <w:rsid w:val="009856B7"/>
    <w:rsid w:val="0099004A"/>
    <w:rsid w:val="00993F3D"/>
    <w:rsid w:val="009A0DB7"/>
    <w:rsid w:val="009A72AF"/>
    <w:rsid w:val="009A7D2B"/>
    <w:rsid w:val="009B74B0"/>
    <w:rsid w:val="009B7F74"/>
    <w:rsid w:val="009C2572"/>
    <w:rsid w:val="009C2FA5"/>
    <w:rsid w:val="009D4FD0"/>
    <w:rsid w:val="009D591C"/>
    <w:rsid w:val="009D5A99"/>
    <w:rsid w:val="009D6B46"/>
    <w:rsid w:val="009E2E99"/>
    <w:rsid w:val="009F491A"/>
    <w:rsid w:val="009F4940"/>
    <w:rsid w:val="009F7A69"/>
    <w:rsid w:val="00A00E92"/>
    <w:rsid w:val="00A014B3"/>
    <w:rsid w:val="00A038DE"/>
    <w:rsid w:val="00A1495C"/>
    <w:rsid w:val="00A23B0D"/>
    <w:rsid w:val="00A277D4"/>
    <w:rsid w:val="00A27AEA"/>
    <w:rsid w:val="00A311D6"/>
    <w:rsid w:val="00A31403"/>
    <w:rsid w:val="00A32442"/>
    <w:rsid w:val="00A40129"/>
    <w:rsid w:val="00A4478A"/>
    <w:rsid w:val="00A44852"/>
    <w:rsid w:val="00A52445"/>
    <w:rsid w:val="00A57D04"/>
    <w:rsid w:val="00A60A26"/>
    <w:rsid w:val="00A61598"/>
    <w:rsid w:val="00A61905"/>
    <w:rsid w:val="00A629F1"/>
    <w:rsid w:val="00A67F8D"/>
    <w:rsid w:val="00A76972"/>
    <w:rsid w:val="00A82DD1"/>
    <w:rsid w:val="00A84F46"/>
    <w:rsid w:val="00A871F4"/>
    <w:rsid w:val="00A91699"/>
    <w:rsid w:val="00AB1771"/>
    <w:rsid w:val="00AB3BCB"/>
    <w:rsid w:val="00AC0069"/>
    <w:rsid w:val="00AC1B2C"/>
    <w:rsid w:val="00AC3264"/>
    <w:rsid w:val="00AC5C1B"/>
    <w:rsid w:val="00AE1BF1"/>
    <w:rsid w:val="00AE1FB2"/>
    <w:rsid w:val="00AF0DD2"/>
    <w:rsid w:val="00B002E2"/>
    <w:rsid w:val="00B13048"/>
    <w:rsid w:val="00B15957"/>
    <w:rsid w:val="00B1716D"/>
    <w:rsid w:val="00B17A1D"/>
    <w:rsid w:val="00B207A0"/>
    <w:rsid w:val="00B237F3"/>
    <w:rsid w:val="00B276E4"/>
    <w:rsid w:val="00B33531"/>
    <w:rsid w:val="00B421F6"/>
    <w:rsid w:val="00B46EF4"/>
    <w:rsid w:val="00B5263B"/>
    <w:rsid w:val="00B54801"/>
    <w:rsid w:val="00B54DFE"/>
    <w:rsid w:val="00B56E03"/>
    <w:rsid w:val="00B65F2F"/>
    <w:rsid w:val="00B66143"/>
    <w:rsid w:val="00B70DCF"/>
    <w:rsid w:val="00B744AF"/>
    <w:rsid w:val="00B8080B"/>
    <w:rsid w:val="00B80D99"/>
    <w:rsid w:val="00B81093"/>
    <w:rsid w:val="00B83F5F"/>
    <w:rsid w:val="00B8614C"/>
    <w:rsid w:val="00B87C39"/>
    <w:rsid w:val="00B91459"/>
    <w:rsid w:val="00B9741B"/>
    <w:rsid w:val="00BA16A4"/>
    <w:rsid w:val="00BA4665"/>
    <w:rsid w:val="00BB1BB2"/>
    <w:rsid w:val="00BB2ED0"/>
    <w:rsid w:val="00BB2FB2"/>
    <w:rsid w:val="00BB3304"/>
    <w:rsid w:val="00BB7209"/>
    <w:rsid w:val="00BC2F9E"/>
    <w:rsid w:val="00BD3446"/>
    <w:rsid w:val="00BD3DAA"/>
    <w:rsid w:val="00BE1F1B"/>
    <w:rsid w:val="00BE47B5"/>
    <w:rsid w:val="00BE5DEC"/>
    <w:rsid w:val="00BF6D26"/>
    <w:rsid w:val="00C015C3"/>
    <w:rsid w:val="00C03D4E"/>
    <w:rsid w:val="00C108EC"/>
    <w:rsid w:val="00C1187D"/>
    <w:rsid w:val="00C172B7"/>
    <w:rsid w:val="00C31A6B"/>
    <w:rsid w:val="00C33372"/>
    <w:rsid w:val="00C3554E"/>
    <w:rsid w:val="00C36E51"/>
    <w:rsid w:val="00C42D05"/>
    <w:rsid w:val="00C43A40"/>
    <w:rsid w:val="00C538A9"/>
    <w:rsid w:val="00C53B5A"/>
    <w:rsid w:val="00C53D20"/>
    <w:rsid w:val="00C541D9"/>
    <w:rsid w:val="00C54264"/>
    <w:rsid w:val="00C54F5A"/>
    <w:rsid w:val="00C66981"/>
    <w:rsid w:val="00C72191"/>
    <w:rsid w:val="00C805E9"/>
    <w:rsid w:val="00C835C7"/>
    <w:rsid w:val="00C84236"/>
    <w:rsid w:val="00C85522"/>
    <w:rsid w:val="00C86679"/>
    <w:rsid w:val="00C91BD6"/>
    <w:rsid w:val="00CA1069"/>
    <w:rsid w:val="00CB666B"/>
    <w:rsid w:val="00CB6F7D"/>
    <w:rsid w:val="00CC021E"/>
    <w:rsid w:val="00CC10B3"/>
    <w:rsid w:val="00CC1A3A"/>
    <w:rsid w:val="00CC2439"/>
    <w:rsid w:val="00CC382B"/>
    <w:rsid w:val="00CC5F15"/>
    <w:rsid w:val="00CD0DC4"/>
    <w:rsid w:val="00CF3083"/>
    <w:rsid w:val="00CF314E"/>
    <w:rsid w:val="00D00289"/>
    <w:rsid w:val="00D01CF0"/>
    <w:rsid w:val="00D0442A"/>
    <w:rsid w:val="00D06E77"/>
    <w:rsid w:val="00D13E7A"/>
    <w:rsid w:val="00D13F42"/>
    <w:rsid w:val="00D25D4F"/>
    <w:rsid w:val="00D37C0A"/>
    <w:rsid w:val="00D4405E"/>
    <w:rsid w:val="00D53328"/>
    <w:rsid w:val="00D61388"/>
    <w:rsid w:val="00D614B8"/>
    <w:rsid w:val="00D61A54"/>
    <w:rsid w:val="00D64DEA"/>
    <w:rsid w:val="00D72545"/>
    <w:rsid w:val="00D80893"/>
    <w:rsid w:val="00D8667D"/>
    <w:rsid w:val="00D90170"/>
    <w:rsid w:val="00D92CF1"/>
    <w:rsid w:val="00D92D38"/>
    <w:rsid w:val="00D9437C"/>
    <w:rsid w:val="00D950F5"/>
    <w:rsid w:val="00DB0F93"/>
    <w:rsid w:val="00DB11DD"/>
    <w:rsid w:val="00DB5385"/>
    <w:rsid w:val="00DB69BF"/>
    <w:rsid w:val="00DC7981"/>
    <w:rsid w:val="00DE4EFA"/>
    <w:rsid w:val="00DE5520"/>
    <w:rsid w:val="00DF0017"/>
    <w:rsid w:val="00DF03B5"/>
    <w:rsid w:val="00DF1197"/>
    <w:rsid w:val="00DF5538"/>
    <w:rsid w:val="00DF6D36"/>
    <w:rsid w:val="00E02056"/>
    <w:rsid w:val="00E038E0"/>
    <w:rsid w:val="00E03A8A"/>
    <w:rsid w:val="00E04818"/>
    <w:rsid w:val="00E06442"/>
    <w:rsid w:val="00E06C77"/>
    <w:rsid w:val="00E166FD"/>
    <w:rsid w:val="00E16EBA"/>
    <w:rsid w:val="00E22A6C"/>
    <w:rsid w:val="00E23993"/>
    <w:rsid w:val="00E23F0E"/>
    <w:rsid w:val="00E25B8C"/>
    <w:rsid w:val="00E31538"/>
    <w:rsid w:val="00E37377"/>
    <w:rsid w:val="00E4172C"/>
    <w:rsid w:val="00E41D27"/>
    <w:rsid w:val="00E42B68"/>
    <w:rsid w:val="00E431AC"/>
    <w:rsid w:val="00E47280"/>
    <w:rsid w:val="00E52117"/>
    <w:rsid w:val="00E52B0E"/>
    <w:rsid w:val="00E55808"/>
    <w:rsid w:val="00E60D7E"/>
    <w:rsid w:val="00E65C85"/>
    <w:rsid w:val="00E66199"/>
    <w:rsid w:val="00E755EC"/>
    <w:rsid w:val="00E7624D"/>
    <w:rsid w:val="00E8295D"/>
    <w:rsid w:val="00E86884"/>
    <w:rsid w:val="00E87BAC"/>
    <w:rsid w:val="00E87F86"/>
    <w:rsid w:val="00E9607A"/>
    <w:rsid w:val="00E96927"/>
    <w:rsid w:val="00EA3D42"/>
    <w:rsid w:val="00EA3E32"/>
    <w:rsid w:val="00EA4D33"/>
    <w:rsid w:val="00EA6B1B"/>
    <w:rsid w:val="00EB16B2"/>
    <w:rsid w:val="00EC06EC"/>
    <w:rsid w:val="00EC1335"/>
    <w:rsid w:val="00EC2F07"/>
    <w:rsid w:val="00EC4D33"/>
    <w:rsid w:val="00ED135E"/>
    <w:rsid w:val="00EE169B"/>
    <w:rsid w:val="00EE28F3"/>
    <w:rsid w:val="00EF2B1B"/>
    <w:rsid w:val="00EF5110"/>
    <w:rsid w:val="00EF55E5"/>
    <w:rsid w:val="00EF7BC6"/>
    <w:rsid w:val="00F026AC"/>
    <w:rsid w:val="00F05876"/>
    <w:rsid w:val="00F07031"/>
    <w:rsid w:val="00F133EA"/>
    <w:rsid w:val="00F1492B"/>
    <w:rsid w:val="00F15882"/>
    <w:rsid w:val="00F161D6"/>
    <w:rsid w:val="00F16B1D"/>
    <w:rsid w:val="00F178A8"/>
    <w:rsid w:val="00F2076C"/>
    <w:rsid w:val="00F20BD3"/>
    <w:rsid w:val="00F22DE6"/>
    <w:rsid w:val="00F33C8A"/>
    <w:rsid w:val="00F3676E"/>
    <w:rsid w:val="00F373A5"/>
    <w:rsid w:val="00F40F94"/>
    <w:rsid w:val="00F42048"/>
    <w:rsid w:val="00F47559"/>
    <w:rsid w:val="00F54D76"/>
    <w:rsid w:val="00F61054"/>
    <w:rsid w:val="00F64C7B"/>
    <w:rsid w:val="00F676DD"/>
    <w:rsid w:val="00F6797A"/>
    <w:rsid w:val="00F709B1"/>
    <w:rsid w:val="00F7238B"/>
    <w:rsid w:val="00F739D2"/>
    <w:rsid w:val="00F74056"/>
    <w:rsid w:val="00F75A26"/>
    <w:rsid w:val="00F81B60"/>
    <w:rsid w:val="00F81C78"/>
    <w:rsid w:val="00F83FAD"/>
    <w:rsid w:val="00F952A0"/>
    <w:rsid w:val="00F9572E"/>
    <w:rsid w:val="00FA08BB"/>
    <w:rsid w:val="00FA3C7F"/>
    <w:rsid w:val="00FB1990"/>
    <w:rsid w:val="00FB47E3"/>
    <w:rsid w:val="00FB4C0B"/>
    <w:rsid w:val="00FB4F00"/>
    <w:rsid w:val="00FB5A33"/>
    <w:rsid w:val="00FB74E2"/>
    <w:rsid w:val="00FC1979"/>
    <w:rsid w:val="00FD0CA2"/>
    <w:rsid w:val="00FD3B0A"/>
    <w:rsid w:val="00FD3CD0"/>
    <w:rsid w:val="00FD5614"/>
    <w:rsid w:val="00FD7F87"/>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character" w:styleId="CommentReference">
    <w:name w:val="annotation reference"/>
    <w:basedOn w:val="DefaultParagraphFont"/>
    <w:uiPriority w:val="99"/>
    <w:semiHidden/>
    <w:unhideWhenUsed/>
    <w:rsid w:val="00B70DCF"/>
    <w:rPr>
      <w:sz w:val="16"/>
      <w:szCs w:val="16"/>
    </w:rPr>
  </w:style>
  <w:style w:type="paragraph" w:styleId="CommentText">
    <w:name w:val="annotation text"/>
    <w:basedOn w:val="Normal"/>
    <w:link w:val="CommentTextChar"/>
    <w:uiPriority w:val="99"/>
    <w:unhideWhenUsed/>
    <w:rsid w:val="00B70DCF"/>
    <w:rPr>
      <w:sz w:val="20"/>
      <w:szCs w:val="20"/>
    </w:rPr>
  </w:style>
  <w:style w:type="character" w:customStyle="1" w:styleId="CommentTextChar">
    <w:name w:val="Comment Text Char"/>
    <w:basedOn w:val="DefaultParagraphFont"/>
    <w:link w:val="CommentText"/>
    <w:uiPriority w:val="99"/>
    <w:rsid w:val="00B70D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0DCF"/>
    <w:rPr>
      <w:b/>
      <w:bCs/>
    </w:rPr>
  </w:style>
  <w:style w:type="character" w:customStyle="1" w:styleId="CommentSubjectChar">
    <w:name w:val="Comment Subject Char"/>
    <w:basedOn w:val="CommentTextChar"/>
    <w:link w:val="CommentSubject"/>
    <w:uiPriority w:val="99"/>
    <w:semiHidden/>
    <w:rsid w:val="00B70DCF"/>
    <w:rPr>
      <w:rFonts w:ascii="Arial" w:hAnsi="Arial"/>
      <w:b/>
      <w:bCs/>
      <w:sz w:val="20"/>
      <w:szCs w:val="20"/>
    </w:rPr>
  </w:style>
  <w:style w:type="paragraph" w:customStyle="1" w:styleId="Default">
    <w:name w:val="Default"/>
    <w:basedOn w:val="Normal"/>
    <w:rsid w:val="00D13E7A"/>
    <w:pPr>
      <w:autoSpaceDE w:val="0"/>
      <w:autoSpaceDN w:val="0"/>
      <w:spacing w:before="0"/>
    </w:pPr>
    <w:rPr>
      <w:rFonts w:cs="Arial"/>
      <w:color w:val="000000"/>
      <w:sz w:val="24"/>
      <w:szCs w:val="24"/>
    </w:rPr>
  </w:style>
  <w:style w:type="paragraph" w:customStyle="1" w:styleId="ListLegal3">
    <w:name w:val="List Legal 3"/>
    <w:basedOn w:val="ListNumber3"/>
    <w:rsid w:val="001D2542"/>
    <w:pPr>
      <w:numPr>
        <w:numId w:val="37"/>
      </w:numPr>
      <w:tabs>
        <w:tab w:val="left" w:pos="1361"/>
      </w:tabs>
    </w:pPr>
  </w:style>
  <w:style w:type="character" w:styleId="FollowedHyperlink">
    <w:name w:val="FollowedHyperlink"/>
    <w:basedOn w:val="DefaultParagraphFont"/>
    <w:uiPriority w:val="99"/>
    <w:semiHidden/>
    <w:unhideWhenUsed/>
    <w:rsid w:val="008218CF"/>
    <w:rPr>
      <w:color w:val="800080" w:themeColor="followedHyperlink"/>
      <w:u w:val="single"/>
    </w:rPr>
  </w:style>
  <w:style w:type="paragraph" w:styleId="Revision">
    <w:name w:val="Revision"/>
    <w:hidden/>
    <w:uiPriority w:val="99"/>
    <w:semiHidden/>
    <w:rsid w:val="00193158"/>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15"/>
      </w:numPr>
      <w:ind w:left="680" w:hanging="680"/>
    </w:p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numPr>
        <w:ilvl w:val="4"/>
        <w:numId w:val="15"/>
      </w:num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2"/>
      </w:numPr>
    </w:pPr>
    <w:rPr>
      <w:rFonts w:cs="Times New Roman"/>
    </w:rPr>
  </w:style>
  <w:style w:type="paragraph" w:styleId="ListBullet">
    <w:name w:val="List Bullet"/>
    <w:basedOn w:val="Normal"/>
    <w:uiPriority w:val="99"/>
    <w:unhideWhenUsed/>
    <w:rsid w:val="008033C4"/>
    <w:pPr>
      <w:numPr>
        <w:numId w:val="13"/>
      </w:numPr>
      <w:spacing w:before="120"/>
      <w:ind w:left="357" w:hanging="357"/>
    </w:pPr>
  </w:style>
  <w:style w:type="paragraph" w:customStyle="1" w:styleId="Bulletpoint2">
    <w:name w:val="Bullet point 2"/>
    <w:basedOn w:val="ListBullet2"/>
    <w:uiPriority w:val="1"/>
    <w:qFormat/>
    <w:rsid w:val="008033C4"/>
    <w:pPr>
      <w:numPr>
        <w:numId w:val="12"/>
      </w:numPr>
      <w:ind w:left="998"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3"/>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615C6B"/>
    <w:pPr>
      <w:spacing w:before="60"/>
    </w:pPr>
    <w:rPr>
      <w:sz w:val="16"/>
      <w:szCs w:val="20"/>
    </w:rPr>
  </w:style>
  <w:style w:type="character" w:customStyle="1" w:styleId="FootnoteTextChar">
    <w:name w:val="Footnote Text Char"/>
    <w:basedOn w:val="DefaultParagraphFont"/>
    <w:link w:val="FootnoteText"/>
    <w:uiPriority w:val="99"/>
    <w:rsid w:val="00615C6B"/>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4"/>
      </w:numPr>
      <w:spacing w:before="120"/>
      <w:ind w:left="92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character" w:styleId="CommentReference">
    <w:name w:val="annotation reference"/>
    <w:basedOn w:val="DefaultParagraphFont"/>
    <w:uiPriority w:val="99"/>
    <w:semiHidden/>
    <w:unhideWhenUsed/>
    <w:rsid w:val="00B70DCF"/>
    <w:rPr>
      <w:sz w:val="16"/>
      <w:szCs w:val="16"/>
    </w:rPr>
  </w:style>
  <w:style w:type="paragraph" w:styleId="CommentText">
    <w:name w:val="annotation text"/>
    <w:basedOn w:val="Normal"/>
    <w:link w:val="CommentTextChar"/>
    <w:uiPriority w:val="99"/>
    <w:unhideWhenUsed/>
    <w:rsid w:val="00B70DCF"/>
    <w:rPr>
      <w:sz w:val="20"/>
      <w:szCs w:val="20"/>
    </w:rPr>
  </w:style>
  <w:style w:type="character" w:customStyle="1" w:styleId="CommentTextChar">
    <w:name w:val="Comment Text Char"/>
    <w:basedOn w:val="DefaultParagraphFont"/>
    <w:link w:val="CommentText"/>
    <w:uiPriority w:val="99"/>
    <w:rsid w:val="00B70D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0DCF"/>
    <w:rPr>
      <w:b/>
      <w:bCs/>
    </w:rPr>
  </w:style>
  <w:style w:type="character" w:customStyle="1" w:styleId="CommentSubjectChar">
    <w:name w:val="Comment Subject Char"/>
    <w:basedOn w:val="CommentTextChar"/>
    <w:link w:val="CommentSubject"/>
    <w:uiPriority w:val="99"/>
    <w:semiHidden/>
    <w:rsid w:val="00B70DCF"/>
    <w:rPr>
      <w:rFonts w:ascii="Arial" w:hAnsi="Arial"/>
      <w:b/>
      <w:bCs/>
      <w:sz w:val="20"/>
      <w:szCs w:val="20"/>
    </w:rPr>
  </w:style>
  <w:style w:type="paragraph" w:customStyle="1" w:styleId="Default">
    <w:name w:val="Default"/>
    <w:basedOn w:val="Normal"/>
    <w:rsid w:val="00D13E7A"/>
    <w:pPr>
      <w:autoSpaceDE w:val="0"/>
      <w:autoSpaceDN w:val="0"/>
      <w:spacing w:before="0"/>
    </w:pPr>
    <w:rPr>
      <w:rFonts w:cs="Arial"/>
      <w:color w:val="000000"/>
      <w:sz w:val="24"/>
      <w:szCs w:val="24"/>
    </w:rPr>
  </w:style>
  <w:style w:type="paragraph" w:customStyle="1" w:styleId="ListLegal3">
    <w:name w:val="List Legal 3"/>
    <w:basedOn w:val="ListNumber3"/>
    <w:rsid w:val="001D2542"/>
    <w:pPr>
      <w:numPr>
        <w:numId w:val="37"/>
      </w:numPr>
      <w:tabs>
        <w:tab w:val="left" w:pos="1361"/>
      </w:tabs>
    </w:pPr>
  </w:style>
  <w:style w:type="character" w:styleId="FollowedHyperlink">
    <w:name w:val="FollowedHyperlink"/>
    <w:basedOn w:val="DefaultParagraphFont"/>
    <w:uiPriority w:val="99"/>
    <w:semiHidden/>
    <w:unhideWhenUsed/>
    <w:rsid w:val="008218CF"/>
    <w:rPr>
      <w:color w:val="800080" w:themeColor="followedHyperlink"/>
      <w:u w:val="single"/>
    </w:rPr>
  </w:style>
  <w:style w:type="paragraph" w:styleId="Revision">
    <w:name w:val="Revision"/>
    <w:hidden/>
    <w:uiPriority w:val="99"/>
    <w:semiHidden/>
    <w:rsid w:val="00193158"/>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954">
      <w:bodyDiv w:val="1"/>
      <w:marLeft w:val="0"/>
      <w:marRight w:val="0"/>
      <w:marTop w:val="0"/>
      <w:marBottom w:val="0"/>
      <w:divBdr>
        <w:top w:val="none" w:sz="0" w:space="0" w:color="auto"/>
        <w:left w:val="none" w:sz="0" w:space="0" w:color="auto"/>
        <w:bottom w:val="none" w:sz="0" w:space="0" w:color="auto"/>
        <w:right w:val="none" w:sz="0" w:space="0" w:color="auto"/>
      </w:divBdr>
    </w:div>
    <w:div w:id="432484140">
      <w:bodyDiv w:val="1"/>
      <w:marLeft w:val="0"/>
      <w:marRight w:val="0"/>
      <w:marTop w:val="0"/>
      <w:marBottom w:val="0"/>
      <w:divBdr>
        <w:top w:val="none" w:sz="0" w:space="0" w:color="auto"/>
        <w:left w:val="none" w:sz="0" w:space="0" w:color="auto"/>
        <w:bottom w:val="none" w:sz="0" w:space="0" w:color="auto"/>
        <w:right w:val="none" w:sz="0" w:space="0" w:color="auto"/>
      </w:divBdr>
    </w:div>
    <w:div w:id="757019569">
      <w:bodyDiv w:val="1"/>
      <w:marLeft w:val="0"/>
      <w:marRight w:val="0"/>
      <w:marTop w:val="0"/>
      <w:marBottom w:val="0"/>
      <w:divBdr>
        <w:top w:val="none" w:sz="0" w:space="0" w:color="auto"/>
        <w:left w:val="none" w:sz="0" w:space="0" w:color="auto"/>
        <w:bottom w:val="none" w:sz="0" w:space="0" w:color="auto"/>
        <w:right w:val="none" w:sz="0" w:space="0" w:color="auto"/>
      </w:divBdr>
    </w:div>
    <w:div w:id="918171973">
      <w:bodyDiv w:val="1"/>
      <w:marLeft w:val="0"/>
      <w:marRight w:val="0"/>
      <w:marTop w:val="0"/>
      <w:marBottom w:val="0"/>
      <w:divBdr>
        <w:top w:val="none" w:sz="0" w:space="0" w:color="auto"/>
        <w:left w:val="none" w:sz="0" w:space="0" w:color="auto"/>
        <w:bottom w:val="none" w:sz="0" w:space="0" w:color="auto"/>
        <w:right w:val="none" w:sz="0" w:space="0" w:color="auto"/>
      </w:divBdr>
    </w:div>
    <w:div w:id="93135877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23577912">
      <w:bodyDiv w:val="1"/>
      <w:marLeft w:val="0"/>
      <w:marRight w:val="0"/>
      <w:marTop w:val="0"/>
      <w:marBottom w:val="0"/>
      <w:divBdr>
        <w:top w:val="none" w:sz="0" w:space="0" w:color="auto"/>
        <w:left w:val="none" w:sz="0" w:space="0" w:color="auto"/>
        <w:bottom w:val="none" w:sz="0" w:space="0" w:color="auto"/>
        <w:right w:val="none" w:sz="0" w:space="0" w:color="auto"/>
      </w:divBdr>
    </w:div>
    <w:div w:id="1406025565">
      <w:bodyDiv w:val="1"/>
      <w:marLeft w:val="0"/>
      <w:marRight w:val="0"/>
      <w:marTop w:val="0"/>
      <w:marBottom w:val="0"/>
      <w:divBdr>
        <w:top w:val="none" w:sz="0" w:space="0" w:color="auto"/>
        <w:left w:val="none" w:sz="0" w:space="0" w:color="auto"/>
        <w:bottom w:val="none" w:sz="0" w:space="0" w:color="auto"/>
        <w:right w:val="none" w:sz="0" w:space="0" w:color="auto"/>
      </w:divBdr>
    </w:div>
    <w:div w:id="1509832438">
      <w:bodyDiv w:val="1"/>
      <w:marLeft w:val="0"/>
      <w:marRight w:val="0"/>
      <w:marTop w:val="0"/>
      <w:marBottom w:val="0"/>
      <w:divBdr>
        <w:top w:val="none" w:sz="0" w:space="0" w:color="auto"/>
        <w:left w:val="none" w:sz="0" w:space="0" w:color="auto"/>
        <w:bottom w:val="none" w:sz="0" w:space="0" w:color="auto"/>
        <w:right w:val="none" w:sz="0" w:space="0" w:color="auto"/>
      </w:divBdr>
    </w:div>
    <w:div w:id="1618022736">
      <w:bodyDiv w:val="1"/>
      <w:marLeft w:val="0"/>
      <w:marRight w:val="0"/>
      <w:marTop w:val="0"/>
      <w:marBottom w:val="0"/>
      <w:divBdr>
        <w:top w:val="none" w:sz="0" w:space="0" w:color="auto"/>
        <w:left w:val="none" w:sz="0" w:space="0" w:color="auto"/>
        <w:bottom w:val="none" w:sz="0" w:space="0" w:color="auto"/>
        <w:right w:val="none" w:sz="0" w:space="0" w:color="auto"/>
      </w:divBdr>
    </w:div>
    <w:div w:id="1629428860">
      <w:bodyDiv w:val="1"/>
      <w:marLeft w:val="0"/>
      <w:marRight w:val="0"/>
      <w:marTop w:val="0"/>
      <w:marBottom w:val="0"/>
      <w:divBdr>
        <w:top w:val="none" w:sz="0" w:space="0" w:color="auto"/>
        <w:left w:val="none" w:sz="0" w:space="0" w:color="auto"/>
        <w:bottom w:val="none" w:sz="0" w:space="0" w:color="auto"/>
        <w:right w:val="none" w:sz="0" w:space="0" w:color="auto"/>
      </w:divBdr>
    </w:div>
    <w:div w:id="1767965594">
      <w:bodyDiv w:val="1"/>
      <w:marLeft w:val="0"/>
      <w:marRight w:val="0"/>
      <w:marTop w:val="0"/>
      <w:marBottom w:val="0"/>
      <w:divBdr>
        <w:top w:val="none" w:sz="0" w:space="0" w:color="auto"/>
        <w:left w:val="none" w:sz="0" w:space="0" w:color="auto"/>
        <w:bottom w:val="none" w:sz="0" w:space="0" w:color="auto"/>
        <w:right w:val="none" w:sz="0" w:space="0" w:color="auto"/>
      </w:divBdr>
    </w:div>
    <w:div w:id="1770157856">
      <w:bodyDiv w:val="1"/>
      <w:marLeft w:val="0"/>
      <w:marRight w:val="0"/>
      <w:marTop w:val="0"/>
      <w:marBottom w:val="0"/>
      <w:divBdr>
        <w:top w:val="none" w:sz="0" w:space="0" w:color="auto"/>
        <w:left w:val="none" w:sz="0" w:space="0" w:color="auto"/>
        <w:bottom w:val="none" w:sz="0" w:space="0" w:color="auto"/>
        <w:right w:val="none" w:sz="0" w:space="0" w:color="auto"/>
      </w:divBdr>
    </w:div>
    <w:div w:id="1830435882">
      <w:bodyDiv w:val="1"/>
      <w:marLeft w:val="0"/>
      <w:marRight w:val="0"/>
      <w:marTop w:val="0"/>
      <w:marBottom w:val="0"/>
      <w:divBdr>
        <w:top w:val="none" w:sz="0" w:space="0" w:color="auto"/>
        <w:left w:val="none" w:sz="0" w:space="0" w:color="auto"/>
        <w:bottom w:val="none" w:sz="0" w:space="0" w:color="auto"/>
        <w:right w:val="none" w:sz="0" w:space="0" w:color="auto"/>
      </w:divBdr>
    </w:div>
    <w:div w:id="1922130674">
      <w:bodyDiv w:val="1"/>
      <w:marLeft w:val="0"/>
      <w:marRight w:val="0"/>
      <w:marTop w:val="0"/>
      <w:marBottom w:val="0"/>
      <w:divBdr>
        <w:top w:val="none" w:sz="0" w:space="0" w:color="auto"/>
        <w:left w:val="none" w:sz="0" w:space="0" w:color="auto"/>
        <w:bottom w:val="none" w:sz="0" w:space="0" w:color="auto"/>
        <w:right w:val="none" w:sz="0" w:space="0" w:color="auto"/>
      </w:divBdr>
    </w:div>
    <w:div w:id="1938246948">
      <w:bodyDiv w:val="1"/>
      <w:marLeft w:val="0"/>
      <w:marRight w:val="0"/>
      <w:marTop w:val="0"/>
      <w:marBottom w:val="0"/>
      <w:divBdr>
        <w:top w:val="none" w:sz="0" w:space="0" w:color="auto"/>
        <w:left w:val="none" w:sz="0" w:space="0" w:color="auto"/>
        <w:bottom w:val="none" w:sz="0" w:space="0" w:color="auto"/>
        <w:right w:val="none" w:sz="0" w:space="0" w:color="auto"/>
      </w:divBdr>
    </w:div>
    <w:div w:id="21055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cc.gov.au/publications/carbon-tax-price-reduction-obligation-quarterly-reports-on-the-acccs-oper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climatechange.gov.au/reducing-carbon/jcp" TargetMode="External"/><Relationship Id="rId2" Type="http://schemas.openxmlformats.org/officeDocument/2006/relationships/hyperlink" Target="http://www.cleanenergyregulator.gov.au/Carbon-Pricing-Mechanism/Fact-sheets-FAQs-and-guidelines/Guidelines/Documents/Guidance%20for%20Applicants.pdf" TargetMode="External"/><Relationship Id="rId1" Type="http://schemas.openxmlformats.org/officeDocument/2006/relationships/hyperlink" Target="http://www.environment.gov.au/protection/ozone/synthetic-greenhouse-gases/equivalent-carbon-price" TargetMode="External"/><Relationship Id="rId5" Type="http://schemas.openxmlformats.org/officeDocument/2006/relationships/hyperlink" Target="http://business.grantguru.com.au/MyGrantSpace/?Section=Search&amp;itemDetails=6799" TargetMode="External"/><Relationship Id="rId4" Type="http://schemas.openxmlformats.org/officeDocument/2006/relationships/hyperlink" Target="http://www.business.gov.au/grants-and-assistance/manufacturing/STP/Pages/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Charts!$X$3</c:f>
              <c:strCache>
                <c:ptCount val="1"/>
                <c:pt idx="0">
                  <c:v>Electricity</c:v>
                </c:pt>
              </c:strCache>
            </c:strRef>
          </c:tx>
          <c:invertIfNegative val="0"/>
          <c:dLbls>
            <c:dLbl>
              <c:idx val="0"/>
              <c:layout>
                <c:manualLayout>
                  <c:x val="2.7777777777777779E-3"/>
                  <c:y val="1.3761467889908258E-2"/>
                </c:manualLayout>
              </c:layout>
              <c:showLegendKey val="0"/>
              <c:showVal val="1"/>
              <c:showCatName val="0"/>
              <c:showSerName val="0"/>
              <c:showPercent val="0"/>
              <c:showBubbleSize val="0"/>
            </c:dLbl>
            <c:dLbl>
              <c:idx val="1"/>
              <c:layout>
                <c:manualLayout>
                  <c:x val="0"/>
                  <c:y val="-2.7522935779816515E-2"/>
                </c:manualLayout>
              </c:layout>
              <c:showLegendKey val="0"/>
              <c:showVal val="1"/>
              <c:showCatName val="0"/>
              <c:showSerName val="0"/>
              <c:showPercent val="0"/>
              <c:showBubbleSize val="0"/>
            </c:dLbl>
            <c:dLbl>
              <c:idx val="3"/>
              <c:layout>
                <c:manualLayout>
                  <c:x val="2.7777777777778286E-3"/>
                  <c:y val="1.3761467889908278E-2"/>
                </c:manualLayout>
              </c:layout>
              <c:showLegendKey val="0"/>
              <c:showVal val="1"/>
              <c:showCatName val="0"/>
              <c:showSerName val="0"/>
              <c:showPercent val="0"/>
              <c:showBubbleSize val="0"/>
            </c:dLbl>
            <c:dLbl>
              <c:idx val="4"/>
              <c:layout>
                <c:manualLayout>
                  <c:x val="5.5555555555555558E-3"/>
                  <c:y val="4.5871559633027525E-3"/>
                </c:manualLayout>
              </c:layout>
              <c:showLegendKey val="0"/>
              <c:showVal val="1"/>
              <c:showCatName val="0"/>
              <c:showSerName val="0"/>
              <c:showPercent val="0"/>
              <c:showBubbleSize val="0"/>
            </c:dLbl>
            <c:dLbl>
              <c:idx val="5"/>
              <c:layout>
                <c:manualLayout>
                  <c:x val="0"/>
                  <c:y val="-4.5871559633027517E-3"/>
                </c:manualLayout>
              </c:layout>
              <c:showLegendKey val="0"/>
              <c:showVal val="1"/>
              <c:showCatName val="0"/>
              <c:showSerName val="0"/>
              <c:showPercent val="0"/>
              <c:showBubbleSize val="0"/>
            </c:dLbl>
            <c:dLbl>
              <c:idx val="6"/>
              <c:layout>
                <c:manualLayout>
                  <c:x val="0"/>
                  <c:y val="-1.834862385321101E-2"/>
                </c:manualLayout>
              </c:layout>
              <c:showLegendKey val="0"/>
              <c:showVal val="1"/>
              <c:showCatName val="0"/>
              <c:showSerName val="0"/>
              <c:showPercent val="0"/>
              <c:showBubbleSize val="0"/>
            </c:dLbl>
            <c:dLbl>
              <c:idx val="7"/>
              <c:layout>
                <c:manualLayout>
                  <c:x val="0"/>
                  <c:y val="4.5871559633027942E-3"/>
                </c:manualLayout>
              </c:layout>
              <c:showLegendKey val="0"/>
              <c:showVal val="1"/>
              <c:showCatName val="0"/>
              <c:showSerName val="0"/>
              <c:showPercent val="0"/>
              <c:showBubbleSize val="0"/>
            </c:dLbl>
            <c:numFmt formatCode="&quot;$&quot;#,##0" sourceLinked="0"/>
            <c:showLegendKey val="0"/>
            <c:showVal val="1"/>
            <c:showCatName val="0"/>
            <c:showSerName val="0"/>
            <c:showPercent val="0"/>
            <c:showBubbleSize val="0"/>
            <c:showLeaderLines val="0"/>
          </c:dLbls>
          <c:cat>
            <c:strRef>
              <c:f>Charts!$W$4:$W$11</c:f>
              <c:strCache>
                <c:ptCount val="8"/>
                <c:pt idx="0">
                  <c:v>NSW</c:v>
                </c:pt>
                <c:pt idx="1">
                  <c:v>VIC</c:v>
                </c:pt>
                <c:pt idx="2">
                  <c:v>SA</c:v>
                </c:pt>
                <c:pt idx="3">
                  <c:v>QLD</c:v>
                </c:pt>
                <c:pt idx="4">
                  <c:v>ACT</c:v>
                </c:pt>
                <c:pt idx="5">
                  <c:v>TAS</c:v>
                </c:pt>
                <c:pt idx="6">
                  <c:v>WA</c:v>
                </c:pt>
                <c:pt idx="7">
                  <c:v>NT</c:v>
                </c:pt>
              </c:strCache>
            </c:strRef>
          </c:cat>
          <c:val>
            <c:numRef>
              <c:f>Charts!$X$4:$X$11</c:f>
              <c:numCache>
                <c:formatCode>0</c:formatCode>
                <c:ptCount val="8"/>
                <c:pt idx="0">
                  <c:v>129.24458307692311</c:v>
                </c:pt>
                <c:pt idx="1">
                  <c:v>111.50460000000001</c:v>
                </c:pt>
                <c:pt idx="2">
                  <c:v>139.54529333333335</c:v>
                </c:pt>
                <c:pt idx="3">
                  <c:v>150.05034000000006</c:v>
                </c:pt>
                <c:pt idx="4">
                  <c:v>184.587075</c:v>
                </c:pt>
                <c:pt idx="5">
                  <c:v>198.29128000000003</c:v>
                </c:pt>
                <c:pt idx="6">
                  <c:v>134.70688000000001</c:v>
                </c:pt>
                <c:pt idx="7">
                  <c:v>103.20750000000001</c:v>
                </c:pt>
              </c:numCache>
            </c:numRef>
          </c:val>
        </c:ser>
        <c:ser>
          <c:idx val="1"/>
          <c:order val="1"/>
          <c:tx>
            <c:strRef>
              <c:f>Charts!$Y$3</c:f>
              <c:strCache>
                <c:ptCount val="1"/>
                <c:pt idx="0">
                  <c:v>Gas</c:v>
                </c:pt>
              </c:strCache>
            </c:strRef>
          </c:tx>
          <c:invertIfNegative val="0"/>
          <c:dLbls>
            <c:dLbl>
              <c:idx val="0"/>
              <c:layout>
                <c:manualLayout>
                  <c:x val="2.2222222222222223E-2"/>
                  <c:y val="0"/>
                </c:manualLayout>
              </c:layout>
              <c:showLegendKey val="0"/>
              <c:showVal val="1"/>
              <c:showCatName val="0"/>
              <c:showSerName val="0"/>
              <c:showPercent val="0"/>
              <c:showBubbleSize val="0"/>
            </c:dLbl>
            <c:dLbl>
              <c:idx val="1"/>
              <c:layout>
                <c:manualLayout>
                  <c:x val="2.2222222222222223E-2"/>
                  <c:y val="0"/>
                </c:manualLayout>
              </c:layout>
              <c:showLegendKey val="0"/>
              <c:showVal val="1"/>
              <c:showCatName val="0"/>
              <c:showSerName val="0"/>
              <c:showPercent val="0"/>
              <c:showBubbleSize val="0"/>
            </c:dLbl>
            <c:dLbl>
              <c:idx val="2"/>
              <c:layout>
                <c:manualLayout>
                  <c:x val="1.9444444444444445E-2"/>
                  <c:y val="1.3761467889908258E-2"/>
                </c:manualLayout>
              </c:layout>
              <c:showLegendKey val="0"/>
              <c:showVal val="1"/>
              <c:showCatName val="0"/>
              <c:showSerName val="0"/>
              <c:showPercent val="0"/>
              <c:showBubbleSize val="0"/>
            </c:dLbl>
            <c:dLbl>
              <c:idx val="3"/>
              <c:layout>
                <c:manualLayout>
                  <c:x val="1.9444444444444445E-2"/>
                  <c:y val="9.1743119266055884E-3"/>
                </c:manualLayout>
              </c:layout>
              <c:showLegendKey val="0"/>
              <c:showVal val="1"/>
              <c:showCatName val="0"/>
              <c:showSerName val="0"/>
              <c:showPercent val="0"/>
              <c:showBubbleSize val="0"/>
            </c:dLbl>
            <c:dLbl>
              <c:idx val="4"/>
              <c:layout>
                <c:manualLayout>
                  <c:x val="2.2222222222222223E-2"/>
                  <c:y val="0"/>
                </c:manualLayout>
              </c:layout>
              <c:showLegendKey val="0"/>
              <c:showVal val="1"/>
              <c:showCatName val="0"/>
              <c:showSerName val="0"/>
              <c:showPercent val="0"/>
              <c:showBubbleSize val="0"/>
            </c:dLbl>
            <c:dLbl>
              <c:idx val="5"/>
              <c:layout>
                <c:manualLayout>
                  <c:x val="2.2222222222222223E-2"/>
                  <c:y val="9.1743119266055051E-3"/>
                </c:manualLayout>
              </c:layout>
              <c:showLegendKey val="0"/>
              <c:showVal val="1"/>
              <c:showCatName val="0"/>
              <c:showSerName val="0"/>
              <c:showPercent val="0"/>
              <c:showBubbleSize val="0"/>
            </c:dLbl>
            <c:dLbl>
              <c:idx val="6"/>
              <c:layout>
                <c:manualLayout>
                  <c:x val="2.2222222222222324E-2"/>
                  <c:y val="0"/>
                </c:manualLayout>
              </c:layout>
              <c:showLegendKey val="0"/>
              <c:showVal val="1"/>
              <c:showCatName val="0"/>
              <c:showSerName val="0"/>
              <c:showPercent val="0"/>
              <c:showBubbleSize val="0"/>
            </c:dLbl>
            <c:numFmt formatCode="&quot;$&quot;#,##0" sourceLinked="0"/>
            <c:showLegendKey val="0"/>
            <c:showVal val="1"/>
            <c:showCatName val="0"/>
            <c:showSerName val="0"/>
            <c:showPercent val="0"/>
            <c:showBubbleSize val="0"/>
            <c:showLeaderLines val="0"/>
          </c:dLbls>
          <c:cat>
            <c:strRef>
              <c:f>Charts!$W$4:$W$11</c:f>
              <c:strCache>
                <c:ptCount val="8"/>
                <c:pt idx="0">
                  <c:v>NSW</c:v>
                </c:pt>
                <c:pt idx="1">
                  <c:v>VIC</c:v>
                </c:pt>
                <c:pt idx="2">
                  <c:v>SA</c:v>
                </c:pt>
                <c:pt idx="3">
                  <c:v>QLD</c:v>
                </c:pt>
                <c:pt idx="4">
                  <c:v>ACT</c:v>
                </c:pt>
                <c:pt idx="5">
                  <c:v>TAS</c:v>
                </c:pt>
                <c:pt idx="6">
                  <c:v>WA</c:v>
                </c:pt>
                <c:pt idx="7">
                  <c:v>NT</c:v>
                </c:pt>
              </c:strCache>
            </c:strRef>
          </c:cat>
          <c:val>
            <c:numRef>
              <c:f>Charts!$Y$4:$Y$11</c:f>
              <c:numCache>
                <c:formatCode>0</c:formatCode>
                <c:ptCount val="8"/>
                <c:pt idx="0">
                  <c:v>39.45333333333334</c:v>
                </c:pt>
                <c:pt idx="1">
                  <c:v>98.269737500000019</c:v>
                </c:pt>
                <c:pt idx="2">
                  <c:v>49.841000000000008</c:v>
                </c:pt>
                <c:pt idx="3">
                  <c:v>26.916450000000005</c:v>
                </c:pt>
                <c:pt idx="4">
                  <c:v>84.333333333333329</c:v>
                </c:pt>
                <c:pt idx="5">
                  <c:v>66</c:v>
                </c:pt>
                <c:pt idx="6">
                  <c:v>18.04</c:v>
                </c:pt>
              </c:numCache>
            </c:numRef>
          </c:val>
        </c:ser>
        <c:dLbls>
          <c:showLegendKey val="0"/>
          <c:showVal val="0"/>
          <c:showCatName val="0"/>
          <c:showSerName val="0"/>
          <c:showPercent val="0"/>
          <c:showBubbleSize val="0"/>
        </c:dLbls>
        <c:gapWidth val="150"/>
        <c:shape val="box"/>
        <c:axId val="296010112"/>
        <c:axId val="296011648"/>
        <c:axId val="0"/>
      </c:bar3DChart>
      <c:catAx>
        <c:axId val="296010112"/>
        <c:scaling>
          <c:orientation val="minMax"/>
        </c:scaling>
        <c:delete val="0"/>
        <c:axPos val="b"/>
        <c:majorTickMark val="out"/>
        <c:minorTickMark val="none"/>
        <c:tickLblPos val="nextTo"/>
        <c:crossAx val="296011648"/>
        <c:crosses val="autoZero"/>
        <c:auto val="1"/>
        <c:lblAlgn val="ctr"/>
        <c:lblOffset val="100"/>
        <c:noMultiLvlLbl val="0"/>
      </c:catAx>
      <c:valAx>
        <c:axId val="296011648"/>
        <c:scaling>
          <c:orientation val="minMax"/>
        </c:scaling>
        <c:delete val="0"/>
        <c:axPos val="l"/>
        <c:majorGridlines/>
        <c:numFmt formatCode="0" sourceLinked="1"/>
        <c:majorTickMark val="out"/>
        <c:minorTickMark val="none"/>
        <c:tickLblPos val="nextTo"/>
        <c:crossAx val="29601011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Tables!$I$4</c:f>
              <c:strCache>
                <c:ptCount val="1"/>
                <c:pt idx="0">
                  <c:v>Electricity</c:v>
                </c:pt>
              </c:strCache>
            </c:strRef>
          </c:tx>
          <c:invertIfNegative val="0"/>
          <c:dLbls>
            <c:dLbl>
              <c:idx val="1"/>
              <c:layout>
                <c:manualLayout>
                  <c:x val="-2.7777777777777779E-3"/>
                  <c:y val="0"/>
                </c:manualLayout>
              </c:layout>
              <c:showLegendKey val="0"/>
              <c:showVal val="1"/>
              <c:showCatName val="0"/>
              <c:showSerName val="0"/>
              <c:showPercent val="0"/>
              <c:showBubbleSize val="0"/>
            </c:dLbl>
            <c:dLbl>
              <c:idx val="2"/>
              <c:layout>
                <c:manualLayout>
                  <c:x val="0"/>
                  <c:y val="-1.8327605956471895E-2"/>
                </c:manualLayout>
              </c:layout>
              <c:showLegendKey val="0"/>
              <c:showVal val="1"/>
              <c:showCatName val="0"/>
              <c:showSerName val="0"/>
              <c:showPercent val="0"/>
              <c:showBubbleSize val="0"/>
            </c:dLbl>
            <c:dLbl>
              <c:idx val="3"/>
              <c:layout>
                <c:manualLayout>
                  <c:x val="0"/>
                  <c:y val="-1.8327605956471937E-2"/>
                </c:manualLayout>
              </c:layout>
              <c:showLegendKey val="0"/>
              <c:showVal val="1"/>
              <c:showCatName val="0"/>
              <c:showSerName val="0"/>
              <c:showPercent val="0"/>
              <c:showBubbleSize val="0"/>
            </c:dLbl>
            <c:dLbl>
              <c:idx val="5"/>
              <c:layout>
                <c:manualLayout>
                  <c:x val="0"/>
                  <c:y val="-4.581901489117984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Tables!$J$3:$Q$3</c:f>
              <c:strCache>
                <c:ptCount val="8"/>
                <c:pt idx="0">
                  <c:v>NSW</c:v>
                </c:pt>
                <c:pt idx="1">
                  <c:v>VIC</c:v>
                </c:pt>
                <c:pt idx="2">
                  <c:v>SA</c:v>
                </c:pt>
                <c:pt idx="3">
                  <c:v>QLD</c:v>
                </c:pt>
                <c:pt idx="4">
                  <c:v>ACT</c:v>
                </c:pt>
                <c:pt idx="5">
                  <c:v>TAS</c:v>
                </c:pt>
                <c:pt idx="6">
                  <c:v>WA</c:v>
                </c:pt>
                <c:pt idx="7">
                  <c:v>NT</c:v>
                </c:pt>
              </c:strCache>
            </c:strRef>
          </c:cat>
          <c:val>
            <c:numRef>
              <c:f>Tables!$J$4:$Q$4</c:f>
              <c:numCache>
                <c:formatCode>0.0%</c:formatCode>
                <c:ptCount val="8"/>
                <c:pt idx="0">
                  <c:v>6.5380280825217699E-2</c:v>
                </c:pt>
                <c:pt idx="1">
                  <c:v>7.0328300095720386E-2</c:v>
                </c:pt>
                <c:pt idx="2">
                  <c:v>5.5770672944880105E-2</c:v>
                </c:pt>
                <c:pt idx="3">
                  <c:v>7.6276155680619254E-2</c:v>
                </c:pt>
                <c:pt idx="4">
                  <c:v>0.106512338669305</c:v>
                </c:pt>
                <c:pt idx="5">
                  <c:v>7.890355917655123E-2</c:v>
                </c:pt>
                <c:pt idx="6">
                  <c:v>8.0331234503259352E-2</c:v>
                </c:pt>
                <c:pt idx="7">
                  <c:v>5.1206210584130107E-2</c:v>
                </c:pt>
              </c:numCache>
            </c:numRef>
          </c:val>
        </c:ser>
        <c:ser>
          <c:idx val="1"/>
          <c:order val="1"/>
          <c:tx>
            <c:strRef>
              <c:f>Tables!$I$5</c:f>
              <c:strCache>
                <c:ptCount val="1"/>
                <c:pt idx="0">
                  <c:v>Gas</c:v>
                </c:pt>
              </c:strCache>
            </c:strRef>
          </c:tx>
          <c:invertIfNegative val="0"/>
          <c:dLbls>
            <c:dLbl>
              <c:idx val="0"/>
              <c:layout>
                <c:manualLayout>
                  <c:x val="2.7777777777777776E-2"/>
                  <c:y val="9.1638029782359683E-3"/>
                </c:manualLayout>
              </c:layout>
              <c:showLegendKey val="0"/>
              <c:showVal val="1"/>
              <c:showCatName val="0"/>
              <c:showSerName val="0"/>
              <c:showPercent val="0"/>
              <c:showBubbleSize val="0"/>
            </c:dLbl>
            <c:dLbl>
              <c:idx val="1"/>
              <c:layout>
                <c:manualLayout>
                  <c:x val="2.7777777777777776E-2"/>
                  <c:y val="9.1638029782359683E-3"/>
                </c:manualLayout>
              </c:layout>
              <c:showLegendKey val="0"/>
              <c:showVal val="1"/>
              <c:showCatName val="0"/>
              <c:showSerName val="0"/>
              <c:showPercent val="0"/>
              <c:showBubbleSize val="0"/>
            </c:dLbl>
            <c:dLbl>
              <c:idx val="2"/>
              <c:layout>
                <c:manualLayout>
                  <c:x val="2.500000000000005E-2"/>
                  <c:y val="0"/>
                </c:manualLayout>
              </c:layout>
              <c:showLegendKey val="0"/>
              <c:showVal val="1"/>
              <c:showCatName val="0"/>
              <c:showSerName val="0"/>
              <c:showPercent val="0"/>
              <c:showBubbleSize val="0"/>
            </c:dLbl>
            <c:dLbl>
              <c:idx val="3"/>
              <c:layout>
                <c:manualLayout>
                  <c:x val="2.5000000000000001E-2"/>
                  <c:y val="0"/>
                </c:manualLayout>
              </c:layout>
              <c:showLegendKey val="0"/>
              <c:showVal val="1"/>
              <c:showCatName val="0"/>
              <c:showSerName val="0"/>
              <c:showPercent val="0"/>
              <c:showBubbleSize val="0"/>
            </c:dLbl>
            <c:dLbl>
              <c:idx val="4"/>
              <c:layout>
                <c:manualLayout>
                  <c:x val="2.7777777777777776E-2"/>
                  <c:y val="0"/>
                </c:manualLayout>
              </c:layout>
              <c:showLegendKey val="0"/>
              <c:showVal val="1"/>
              <c:showCatName val="0"/>
              <c:showSerName val="0"/>
              <c:showPercent val="0"/>
              <c:showBubbleSize val="0"/>
            </c:dLbl>
            <c:dLbl>
              <c:idx val="5"/>
              <c:layout>
                <c:manualLayout>
                  <c:x val="2.7777777777777776E-2"/>
                  <c:y val="0"/>
                </c:manualLayout>
              </c:layout>
              <c:showLegendKey val="0"/>
              <c:showVal val="1"/>
              <c:showCatName val="0"/>
              <c:showSerName val="0"/>
              <c:showPercent val="0"/>
              <c:showBubbleSize val="0"/>
            </c:dLbl>
            <c:dLbl>
              <c:idx val="6"/>
              <c:layout>
                <c:manualLayout>
                  <c:x val="2.7777559055118112E-2"/>
                  <c:y val="-1.37457044673539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Tables!$J$3:$Q$3</c:f>
              <c:strCache>
                <c:ptCount val="8"/>
                <c:pt idx="0">
                  <c:v>NSW</c:v>
                </c:pt>
                <c:pt idx="1">
                  <c:v>VIC</c:v>
                </c:pt>
                <c:pt idx="2">
                  <c:v>SA</c:v>
                </c:pt>
                <c:pt idx="3">
                  <c:v>QLD</c:v>
                </c:pt>
                <c:pt idx="4">
                  <c:v>ACT</c:v>
                </c:pt>
                <c:pt idx="5">
                  <c:v>TAS</c:v>
                </c:pt>
                <c:pt idx="6">
                  <c:v>WA</c:v>
                </c:pt>
                <c:pt idx="7">
                  <c:v>NT</c:v>
                </c:pt>
              </c:strCache>
            </c:strRef>
          </c:cat>
          <c:val>
            <c:numRef>
              <c:f>Tables!$J$5:$Q$5</c:f>
              <c:numCache>
                <c:formatCode>0.0%</c:formatCode>
                <c:ptCount val="8"/>
                <c:pt idx="0">
                  <c:v>5.1227619877362643E-2</c:v>
                </c:pt>
                <c:pt idx="1">
                  <c:v>6.7029629464536264E-2</c:v>
                </c:pt>
                <c:pt idx="2">
                  <c:v>4.7842312750826343E-2</c:v>
                </c:pt>
                <c:pt idx="3">
                  <c:v>3.8983629699387956E-2</c:v>
                </c:pt>
                <c:pt idx="4">
                  <c:v>6.1928057139227222E-2</c:v>
                </c:pt>
                <c:pt idx="5">
                  <c:v>4.8678328076442672E-2</c:v>
                </c:pt>
                <c:pt idx="6">
                  <c:v>3.7467804711106438E-2</c:v>
                </c:pt>
              </c:numCache>
            </c:numRef>
          </c:val>
        </c:ser>
        <c:dLbls>
          <c:showLegendKey val="0"/>
          <c:showVal val="0"/>
          <c:showCatName val="0"/>
          <c:showSerName val="0"/>
          <c:showPercent val="0"/>
          <c:showBubbleSize val="0"/>
        </c:dLbls>
        <c:gapWidth val="150"/>
        <c:shape val="box"/>
        <c:axId val="36298112"/>
        <c:axId val="293999744"/>
        <c:axId val="0"/>
      </c:bar3DChart>
      <c:catAx>
        <c:axId val="36298112"/>
        <c:scaling>
          <c:orientation val="minMax"/>
        </c:scaling>
        <c:delete val="0"/>
        <c:axPos val="b"/>
        <c:majorTickMark val="out"/>
        <c:minorTickMark val="none"/>
        <c:tickLblPos val="nextTo"/>
        <c:crossAx val="293999744"/>
        <c:crosses val="autoZero"/>
        <c:auto val="1"/>
        <c:lblAlgn val="ctr"/>
        <c:lblOffset val="100"/>
        <c:noMultiLvlLbl val="0"/>
      </c:catAx>
      <c:valAx>
        <c:axId val="293999744"/>
        <c:scaling>
          <c:orientation val="minMax"/>
        </c:scaling>
        <c:delete val="0"/>
        <c:axPos val="l"/>
        <c:majorGridlines/>
        <c:numFmt formatCode="0.0%" sourceLinked="1"/>
        <c:majorTickMark val="out"/>
        <c:minorTickMark val="none"/>
        <c:tickLblPos val="nextTo"/>
        <c:crossAx val="3629811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Charts!$X$15</c:f>
              <c:strCache>
                <c:ptCount val="1"/>
                <c:pt idx="0">
                  <c:v>Electricity</c:v>
                </c:pt>
              </c:strCache>
            </c:strRef>
          </c:tx>
          <c:invertIfNegative val="0"/>
          <c:dLbls>
            <c:dLbl>
              <c:idx val="0"/>
              <c:layout>
                <c:manualLayout>
                  <c:x val="2.7777777777777779E-3"/>
                  <c:y val="-1.843358121901429E-2"/>
                </c:manualLayout>
              </c:layout>
              <c:showLegendKey val="0"/>
              <c:showVal val="1"/>
              <c:showCatName val="0"/>
              <c:showSerName val="0"/>
              <c:showPercent val="0"/>
              <c:showBubbleSize val="0"/>
            </c:dLbl>
            <c:dLbl>
              <c:idx val="1"/>
              <c:layout>
                <c:manualLayout>
                  <c:x val="0"/>
                  <c:y val="-3.2110091743119268E-2"/>
                </c:manualLayout>
              </c:layout>
              <c:showLegendKey val="0"/>
              <c:showVal val="1"/>
              <c:showCatName val="0"/>
              <c:showSerName val="0"/>
              <c:showPercent val="0"/>
              <c:showBubbleSize val="0"/>
            </c:dLbl>
            <c:dLbl>
              <c:idx val="3"/>
              <c:layout>
                <c:manualLayout>
                  <c:x val="5.5555555555555558E-3"/>
                  <c:y val="-3.2110091743119268E-2"/>
                </c:manualLayout>
              </c:layout>
              <c:showLegendKey val="0"/>
              <c:showVal val="1"/>
              <c:showCatName val="0"/>
              <c:showSerName val="0"/>
              <c:showPercent val="0"/>
              <c:showBubbleSize val="0"/>
            </c:dLbl>
            <c:numFmt formatCode="&quot;$&quot;#,##0" sourceLinked="0"/>
            <c:showLegendKey val="0"/>
            <c:showVal val="1"/>
            <c:showCatName val="0"/>
            <c:showSerName val="0"/>
            <c:showPercent val="0"/>
            <c:showBubbleSize val="0"/>
            <c:showLeaderLines val="0"/>
          </c:dLbls>
          <c:cat>
            <c:strRef>
              <c:f>Charts!$W$16:$W$19</c:f>
              <c:strCache>
                <c:ptCount val="4"/>
                <c:pt idx="0">
                  <c:v>NSW</c:v>
                </c:pt>
                <c:pt idx="1">
                  <c:v>VIC</c:v>
                </c:pt>
                <c:pt idx="2">
                  <c:v>SA</c:v>
                </c:pt>
                <c:pt idx="3">
                  <c:v>QLD</c:v>
                </c:pt>
              </c:strCache>
            </c:strRef>
          </c:cat>
          <c:val>
            <c:numRef>
              <c:f>Charts!$X$16:$X$19</c:f>
              <c:numCache>
                <c:formatCode>0</c:formatCode>
                <c:ptCount val="4"/>
                <c:pt idx="0">
                  <c:v>141.87139999999999</c:v>
                </c:pt>
                <c:pt idx="1">
                  <c:v>117.96840000000002</c:v>
                </c:pt>
                <c:pt idx="2">
                  <c:v>147.12793333333335</c:v>
                </c:pt>
                <c:pt idx="3">
                  <c:v>156.816</c:v>
                </c:pt>
              </c:numCache>
            </c:numRef>
          </c:val>
        </c:ser>
        <c:ser>
          <c:idx val="1"/>
          <c:order val="1"/>
          <c:tx>
            <c:strRef>
              <c:f>Charts!$Y$15</c:f>
              <c:strCache>
                <c:ptCount val="1"/>
                <c:pt idx="0">
                  <c:v>Gas</c:v>
                </c:pt>
              </c:strCache>
            </c:strRef>
          </c:tx>
          <c:invertIfNegative val="0"/>
          <c:dLbls>
            <c:dLbl>
              <c:idx val="0"/>
              <c:layout>
                <c:manualLayout>
                  <c:x val="1.9444444444444445E-2"/>
                  <c:y val="-1.3761467889908258E-2"/>
                </c:manualLayout>
              </c:layout>
              <c:showLegendKey val="0"/>
              <c:showVal val="1"/>
              <c:showCatName val="0"/>
              <c:showSerName val="0"/>
              <c:showPercent val="0"/>
              <c:showBubbleSize val="0"/>
            </c:dLbl>
            <c:dLbl>
              <c:idx val="1"/>
              <c:layout>
                <c:manualLayout>
                  <c:x val="1.3888888888888888E-2"/>
                  <c:y val="-2.7522935779816515E-2"/>
                </c:manualLayout>
              </c:layout>
              <c:showLegendKey val="0"/>
              <c:showVal val="1"/>
              <c:showCatName val="0"/>
              <c:showSerName val="0"/>
              <c:showPercent val="0"/>
              <c:showBubbleSize val="0"/>
            </c:dLbl>
            <c:dLbl>
              <c:idx val="2"/>
              <c:layout>
                <c:manualLayout>
                  <c:x val="1.6666666666666666E-2"/>
                  <c:y val="-4.5871559633027525E-3"/>
                </c:manualLayout>
              </c:layout>
              <c:showLegendKey val="0"/>
              <c:showVal val="1"/>
              <c:showCatName val="0"/>
              <c:showSerName val="0"/>
              <c:showPercent val="0"/>
              <c:showBubbleSize val="0"/>
            </c:dLbl>
            <c:dLbl>
              <c:idx val="3"/>
              <c:layout>
                <c:manualLayout>
                  <c:x val="1.6666666666666666E-2"/>
                  <c:y val="0"/>
                </c:manualLayout>
              </c:layout>
              <c:showLegendKey val="0"/>
              <c:showVal val="1"/>
              <c:showCatName val="0"/>
              <c:showSerName val="0"/>
              <c:showPercent val="0"/>
              <c:showBubbleSize val="0"/>
            </c:dLbl>
            <c:numFmt formatCode="&quot;$&quot;#,##0" sourceLinked="0"/>
            <c:showLegendKey val="0"/>
            <c:showVal val="1"/>
            <c:showCatName val="0"/>
            <c:showSerName val="0"/>
            <c:showPercent val="0"/>
            <c:showBubbleSize val="0"/>
            <c:showLeaderLines val="0"/>
          </c:dLbls>
          <c:cat>
            <c:strRef>
              <c:f>Charts!$W$16:$W$19</c:f>
              <c:strCache>
                <c:ptCount val="4"/>
                <c:pt idx="0">
                  <c:v>NSW</c:v>
                </c:pt>
                <c:pt idx="1">
                  <c:v>VIC</c:v>
                </c:pt>
                <c:pt idx="2">
                  <c:v>SA</c:v>
                </c:pt>
                <c:pt idx="3">
                  <c:v>QLD</c:v>
                </c:pt>
              </c:strCache>
            </c:strRef>
          </c:cat>
          <c:val>
            <c:numRef>
              <c:f>Charts!$Y$16:$Y$19</c:f>
              <c:numCache>
                <c:formatCode>0</c:formatCode>
                <c:ptCount val="4"/>
                <c:pt idx="0">
                  <c:v>41.848888888888894</c:v>
                </c:pt>
                <c:pt idx="1">
                  <c:v>98.767899999999997</c:v>
                </c:pt>
                <c:pt idx="2">
                  <c:v>46.357666666666681</c:v>
                </c:pt>
                <c:pt idx="3">
                  <c:v>26.916450000000005</c:v>
                </c:pt>
              </c:numCache>
            </c:numRef>
          </c:val>
        </c:ser>
        <c:dLbls>
          <c:showLegendKey val="0"/>
          <c:showVal val="0"/>
          <c:showCatName val="0"/>
          <c:showSerName val="0"/>
          <c:showPercent val="0"/>
          <c:showBubbleSize val="0"/>
        </c:dLbls>
        <c:gapWidth val="150"/>
        <c:shape val="box"/>
        <c:axId val="295148544"/>
        <c:axId val="295154432"/>
        <c:axId val="0"/>
      </c:bar3DChart>
      <c:catAx>
        <c:axId val="295148544"/>
        <c:scaling>
          <c:orientation val="minMax"/>
        </c:scaling>
        <c:delete val="0"/>
        <c:axPos val="b"/>
        <c:majorTickMark val="out"/>
        <c:minorTickMark val="none"/>
        <c:tickLblPos val="nextTo"/>
        <c:crossAx val="295154432"/>
        <c:crosses val="autoZero"/>
        <c:auto val="1"/>
        <c:lblAlgn val="ctr"/>
        <c:lblOffset val="100"/>
        <c:noMultiLvlLbl val="0"/>
      </c:catAx>
      <c:valAx>
        <c:axId val="295154432"/>
        <c:scaling>
          <c:orientation val="minMax"/>
        </c:scaling>
        <c:delete val="0"/>
        <c:axPos val="l"/>
        <c:majorGridlines/>
        <c:numFmt formatCode="0" sourceLinked="1"/>
        <c:majorTickMark val="out"/>
        <c:minorTickMark val="none"/>
        <c:tickLblPos val="nextTo"/>
        <c:crossAx val="295148544"/>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34270-DDE7-495D-A71E-04B05EDD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73F71C96</Template>
  <TotalTime>0</TotalTime>
  <Pages>31</Pages>
  <Words>11064</Words>
  <Characters>57535</Characters>
  <Application>Microsoft Office Word</Application>
  <DocSecurity>0</DocSecurity>
  <Lines>1278</Lines>
  <Paragraphs>398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Elias, Elizabeth</dc:creator>
  <cp:lastModifiedBy>Le, Hien</cp:lastModifiedBy>
  <cp:revision>2</cp:revision>
  <cp:lastPrinted>2015-07-21T23:53:00Z</cp:lastPrinted>
  <dcterms:created xsi:type="dcterms:W3CDTF">2015-07-22T07:21:00Z</dcterms:created>
  <dcterms:modified xsi:type="dcterms:W3CDTF">2015-07-22T07:21:00Z</dcterms:modified>
</cp:coreProperties>
</file>