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szCs w:val="20"/>
        </w:rPr>
        <w:id w:val="-1496415967"/>
        <w:docPartObj>
          <w:docPartGallery w:val="Cover Pages"/>
          <w:docPartUnique/>
        </w:docPartObj>
      </w:sdtPr>
      <w:sdtEndPr/>
      <w:sdtContent>
        <w:p w:rsidR="006843E1" w:rsidRDefault="006843E1" w:rsidP="008945B4">
          <w:r>
            <w:rPr>
              <w:noProof/>
              <w:lang w:eastAsia="en-AU"/>
            </w:rPr>
            <mc:AlternateContent>
              <mc:Choice Requires="wps">
                <w:drawing>
                  <wp:anchor distT="0" distB="0" distL="114300" distR="114300" simplePos="0" relativeHeight="251659264" behindDoc="1" locked="0" layoutInCell="1" allowOverlap="1" wp14:anchorId="5536E55E" wp14:editId="360A3BD1">
                    <wp:simplePos x="0" y="0"/>
                    <wp:positionH relativeFrom="column">
                      <wp:posOffset>-657225</wp:posOffset>
                    </wp:positionH>
                    <wp:positionV relativeFrom="paragraph">
                      <wp:posOffset>-559435</wp:posOffset>
                    </wp:positionV>
                    <wp:extent cx="7058025" cy="101631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058025" cy="101631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51.75pt;margin-top:-44.05pt;width:555.75pt;height:80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" fillcolor="#d5d6d2 [3214]" stroked="f" strokeweight="2pt"/>
                </w:pict>
              </mc:Fallback>
            </mc:AlternateContent>
          </w:r>
          <w:r>
            <w:rPr>
              <w:noProof/>
              <w:lang w:eastAsia="en-AU"/>
            </w:rPr>
            <w:drawing>
              <wp:inline distT="0" distB="0" distL="0" distR="0" wp14:anchorId="41A58449" wp14:editId="05D0C9AD">
                <wp:extent cx="2725235" cy="609600"/>
                <wp:effectExtent l="0" t="0" r="0" b="0"/>
                <wp:docPr id="4" name="Picture 4" title="A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GovtCrest_PMS286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4028" cy="609330"/>
                        </a:xfrm>
                        <a:prstGeom prst="rect">
                          <a:avLst/>
                        </a:prstGeom>
                      </pic:spPr>
                    </pic:pic>
                  </a:graphicData>
                </a:graphic>
              </wp:inline>
            </w:drawing>
          </w:r>
        </w:p>
        <w:p w:rsidR="006843E1" w:rsidRPr="005E6C0E" w:rsidRDefault="006843E1" w:rsidP="00181223"/>
        <w:tbl>
          <w:tblPr>
            <w:tblStyle w:val="TableGrid"/>
            <w:tblW w:w="0" w:type="auto"/>
            <w:tblBorders>
              <w:top w:val="none" w:sz="0" w:space="0" w:color="auto"/>
              <w:bottom w:val="none" w:sz="0" w:space="0" w:color="auto"/>
            </w:tblBorders>
            <w:tblLook w:val="0400" w:firstRow="0" w:lastRow="0" w:firstColumn="0" w:lastColumn="0" w:noHBand="0" w:noVBand="1"/>
          </w:tblPr>
          <w:tblGrid>
            <w:gridCol w:w="9242"/>
          </w:tblGrid>
          <w:tr w:rsidR="006843E1" w:rsidRPr="00C755AD" w:rsidTr="00C755AD">
            <w:trPr>
              <w:trHeight w:val="3135"/>
            </w:trPr>
            <w:tc>
              <w:tcPr>
                <w:tcW w:w="9242" w:type="dxa"/>
              </w:tcPr>
              <w:p w:rsidR="006843E1" w:rsidRPr="00C755AD" w:rsidRDefault="006843E1" w:rsidP="00C755AD">
                <w:pPr>
                  <w:spacing w:before="720"/>
                  <w:contextualSpacing/>
                  <w:outlineLvl w:val="0"/>
                  <w:rPr>
                    <w:rFonts w:asciiTheme="majorHAnsi" w:eastAsiaTheme="majorEastAsia" w:hAnsiTheme="majorHAnsi" w:cstheme="majorBidi"/>
                    <w:color w:val="4F2D7D" w:themeColor="accent2"/>
                    <w:spacing w:val="5"/>
                    <w:kern w:val="28"/>
                    <w:sz w:val="72"/>
                    <w:szCs w:val="52"/>
                  </w:rPr>
                </w:pPr>
              </w:p>
            </w:tc>
          </w:tr>
          <w:tr w:rsidR="006843E1" w:rsidRPr="00C755AD" w:rsidTr="00C755AD">
            <w:tc>
              <w:tcPr>
                <w:tcW w:w="9242" w:type="dxa"/>
              </w:tcPr>
              <w:p w:rsidR="006843E1" w:rsidRPr="00C755AD" w:rsidRDefault="006843E1" w:rsidP="00303C4A">
                <w:pPr>
                  <w:pStyle w:val="Title"/>
                </w:pPr>
                <w:r w:rsidRPr="006843E1">
                  <w:t>Penalties for White Collar Crime</w:t>
                </w:r>
              </w:p>
            </w:tc>
          </w:tr>
          <w:tr w:rsidR="006843E1" w:rsidRPr="00C755AD" w:rsidTr="00C755AD">
            <w:tc>
              <w:tcPr>
                <w:tcW w:w="9242" w:type="dxa"/>
              </w:tcPr>
              <w:p w:rsidR="006843E1" w:rsidRPr="00C755AD" w:rsidRDefault="006843E1" w:rsidP="00303C4A">
                <w:pPr>
                  <w:pStyle w:val="Subtitle"/>
                </w:pPr>
                <w:r w:rsidRPr="006843E1">
                  <w:t>Australian Competition and Consumer Commission’s Submission</w:t>
                </w:r>
              </w:p>
            </w:tc>
          </w:tr>
          <w:tr w:rsidR="006843E1" w:rsidRPr="00C755AD" w:rsidTr="00C755AD">
            <w:tc>
              <w:tcPr>
                <w:tcW w:w="9242" w:type="dxa"/>
              </w:tcPr>
              <w:p w:rsidR="006843E1" w:rsidRPr="00C755AD" w:rsidRDefault="006843E1" w:rsidP="00303C4A"/>
              <w:p w:rsidR="006843E1" w:rsidRPr="00C755AD" w:rsidRDefault="006843E1" w:rsidP="00303C4A">
                <w:pPr>
                  <w:pStyle w:val="CoverDate"/>
                </w:pPr>
                <w:r>
                  <w:t>April 2016</w:t>
                </w:r>
              </w:p>
            </w:tc>
          </w:tr>
        </w:tbl>
        <w:p w:rsidR="006843E1" w:rsidRPr="003B5A70" w:rsidRDefault="006843E1" w:rsidP="005E6C0E">
          <w:pPr>
            <w:tabs>
              <w:tab w:val="left" w:pos="340"/>
              <w:tab w:val="left" w:pos="680"/>
              <w:tab w:val="left" w:pos="1021"/>
              <w:tab w:val="left" w:pos="1361"/>
            </w:tabs>
          </w:pPr>
        </w:p>
        <w:p w:rsidR="006843E1" w:rsidRDefault="006843E1">
          <w:r>
            <w:br w:type="page"/>
          </w:r>
        </w:p>
        <w:p w:rsidR="006843E1" w:rsidRDefault="006843E1" w:rsidP="006843E1">
          <w:pPr>
            <w:pStyle w:val="Heading1"/>
            <w:shd w:val="clear" w:color="auto" w:fill="F2F2F2" w:themeFill="background1" w:themeFillShade="F2"/>
          </w:pPr>
          <w:r>
            <w:lastRenderedPageBreak/>
            <w:t>Summary</w:t>
          </w:r>
        </w:p>
        <w:p w:rsidR="006843E1" w:rsidRDefault="006843E1" w:rsidP="006843E1">
          <w:pPr>
            <w:pStyle w:val="Heading2"/>
            <w:shd w:val="clear" w:color="auto" w:fill="F2F2F2" w:themeFill="background1" w:themeFillShade="F2"/>
          </w:pPr>
          <w:r>
            <w:t>Competition law penalties</w:t>
          </w:r>
        </w:p>
        <w:p w:rsidR="006843E1" w:rsidRDefault="006843E1" w:rsidP="006843E1">
          <w:pPr>
            <w:shd w:val="clear" w:color="auto" w:fill="F2F2F2" w:themeFill="background1" w:themeFillShade="F2"/>
          </w:pPr>
          <w:r>
            <w:t xml:space="preserve">The ACCC submits that while the available penalties for breaches of the competition law in Australia are </w:t>
          </w:r>
          <w:r w:rsidR="00780577">
            <w:t>broadly appropriate and in line with international trends</w:t>
          </w:r>
          <w:r>
            <w:t>, there remains a challenge for the regulator and the Courts to bring down penalties in proportion to the wrongdoing occurring. The ACCC is committed to using the tools available in the legislation to meet this challenge.</w:t>
          </w:r>
        </w:p>
        <w:p w:rsidR="006843E1" w:rsidRDefault="006843E1" w:rsidP="006843E1">
          <w:pPr>
            <w:pStyle w:val="Heading2"/>
            <w:shd w:val="clear" w:color="auto" w:fill="F2F2F2" w:themeFill="background1" w:themeFillShade="F2"/>
          </w:pPr>
          <w:r>
            <w:t>Consumer law penalties</w:t>
          </w:r>
        </w:p>
        <w:p w:rsidR="006843E1" w:rsidRDefault="006843E1" w:rsidP="006843E1">
          <w:pPr>
            <w:shd w:val="clear" w:color="auto" w:fill="F2F2F2" w:themeFill="background1" w:themeFillShade="F2"/>
          </w:pPr>
          <w:r>
            <w:t>The penalties available for breaches of consumer law in Australia are currently inadequate. The ACCC considers that consumer law penalties ought to be more comparable to competition law penalties that also operate across the economy.</w:t>
          </w:r>
        </w:p>
        <w:p w:rsidR="006843E1" w:rsidRDefault="006843E1" w:rsidP="006843E1">
          <w:pPr>
            <w:pStyle w:val="Heading2"/>
            <w:shd w:val="clear" w:color="auto" w:fill="F2F2F2" w:themeFill="background1" w:themeFillShade="F2"/>
          </w:pPr>
          <w:r>
            <w:t xml:space="preserve">Other relevant law reform inquiries </w:t>
          </w:r>
        </w:p>
        <w:p w:rsidR="006843E1" w:rsidRDefault="006843E1" w:rsidP="006843E1">
          <w:pPr>
            <w:shd w:val="clear" w:color="auto" w:fill="F2F2F2" w:themeFill="background1" w:themeFillShade="F2"/>
          </w:pPr>
          <w:r>
            <w:t xml:space="preserve">In the context of the Harper Competition Policy Review, the ACCC argued for the increased legislative protections for whistle-blowers. The current 2016 Review of the Australian Consumer Law is likely to explore potential measures for better empowering regulators to deal with rogue traders and phoenix companies. </w:t>
          </w:r>
        </w:p>
        <w:p w:rsidR="006843E1" w:rsidRDefault="006843E1">
          <w:r>
            <w:br w:type="page"/>
          </w:r>
        </w:p>
        <w:p w:rsidR="006843E1" w:rsidRDefault="006843E1" w:rsidP="006843E1">
          <w:pPr>
            <w:pStyle w:val="Numbered1"/>
          </w:pPr>
          <w:r>
            <w:lastRenderedPageBreak/>
            <w:t>Introduction</w:t>
          </w:r>
        </w:p>
        <w:p w:rsidR="006843E1" w:rsidRDefault="006843E1" w:rsidP="006843E1">
          <w:r>
            <w:t xml:space="preserve">The Australian Competition and Consumer Commission (ACCC) </w:t>
          </w:r>
          <w:proofErr w:type="gramStart"/>
          <w:r>
            <w:t>welcomes</w:t>
          </w:r>
          <w:proofErr w:type="gramEnd"/>
          <w:r>
            <w:t xml:space="preserve"> the opportunity to make a submission to the Senate Economics References Committee inquiry into Penalties for White Collar Crime. </w:t>
          </w:r>
        </w:p>
        <w:p w:rsidR="006843E1" w:rsidRDefault="006843E1" w:rsidP="006843E1">
          <w:r>
            <w:t xml:space="preserve">This submission considers the penalties and remedies available for breaches of the competition, consumer protection and fair trading provisions contained within the </w:t>
          </w:r>
          <w:r w:rsidRPr="006843E1">
            <w:rPr>
              <w:rStyle w:val="Emphasis"/>
            </w:rPr>
            <w:t>Competition and Consumer Act 2010</w:t>
          </w:r>
          <w:r>
            <w:t xml:space="preserve"> (CCA), including the </w:t>
          </w:r>
          <w:r w:rsidRPr="006843E1">
            <w:rPr>
              <w:rStyle w:val="Emphasis"/>
            </w:rPr>
            <w:t>Australian Consumer Law</w:t>
          </w:r>
          <w:r>
            <w:t xml:space="preserve"> (ACL).</w:t>
          </w:r>
        </w:p>
        <w:p w:rsidR="006843E1" w:rsidRDefault="006843E1" w:rsidP="006843E1">
          <w:r>
            <w:t xml:space="preserve">We have structured this submission around the issues raised in the terms of reference for this inquiry, having first taken the opportunity to provide a brief summary of the penalties available in the CCA and the factors that the ACCC considers when seeking a penalty. We also compare Australian competition and consumer protection penalties to some international jurisdictions, before concluding by reference to concurrent law reform processes which may be of interest to the Committee. </w:t>
          </w:r>
        </w:p>
        <w:p w:rsidR="006843E1" w:rsidRDefault="006843E1" w:rsidP="006843E1">
          <w:pPr>
            <w:pStyle w:val="Numbered1"/>
          </w:pPr>
          <w:r w:rsidRPr="00FA40F2">
            <w:t>Background: The ACCC</w:t>
          </w:r>
          <w:r>
            <w:t xml:space="preserve"> </w:t>
          </w:r>
        </w:p>
        <w:p w:rsidR="006843E1" w:rsidRDefault="006843E1" w:rsidP="006843E1">
          <w:r>
            <w:t xml:space="preserve">The ACCC is Australia’s national competition and consumer protection enforcement agency. Its role is to enforce compliance with the CCA with a view to ensuring that Australia’s market economy works for the benefit of all Australians. </w:t>
          </w:r>
        </w:p>
        <w:p w:rsidR="006843E1" w:rsidRDefault="006843E1" w:rsidP="006843E1">
          <w:r>
            <w:t xml:space="preserve">The ACCC does not have the power to decide whether there has been a contravention of the CCA or to impose a pecuniary penalty. Instead, the ACCC investigates potential breaches of the law with a view to, where appropriate, making an application to the Court for the imposition of remedies and penalties (refer to section 3 below and </w:t>
          </w:r>
          <w:r w:rsidR="007E7B2A">
            <w:t>Attachment</w:t>
          </w:r>
          <w:r>
            <w:t xml:space="preserve"> B). The appropriate remedy will depend upon the circumstances of each matter. </w:t>
          </w:r>
          <w:r w:rsidRPr="009A2FEA">
            <w:t>Private litigants</w:t>
          </w:r>
          <w:r>
            <w:t>,</w:t>
          </w:r>
          <w:r w:rsidRPr="009A2FEA">
            <w:t xml:space="preserve"> such as consumers or competitors</w:t>
          </w:r>
          <w:r>
            <w:t>,</w:t>
          </w:r>
          <w:r w:rsidRPr="009A2FEA">
            <w:t xml:space="preserve"> are also </w:t>
          </w:r>
          <w:r>
            <w:t>able</w:t>
          </w:r>
          <w:r w:rsidRPr="009A2FEA">
            <w:t xml:space="preserve"> to bring civil action </w:t>
          </w:r>
          <w:r>
            <w:t xml:space="preserve">alleging contraventions of the CCA. Private parties can obtain recompense for loss or damage but only the ACCC can seek a pecuniary penalty. </w:t>
          </w:r>
        </w:p>
        <w:p w:rsidR="006843E1" w:rsidRDefault="006843E1" w:rsidP="006843E1">
          <w:r>
            <w:t xml:space="preserve">If the ACCC considers that conduct warrants a criminal penalty, it </w:t>
          </w:r>
          <w:r w:rsidRPr="009A2FEA">
            <w:t xml:space="preserve">can refer </w:t>
          </w:r>
          <w:r>
            <w:t xml:space="preserve">a brief of evidence </w:t>
          </w:r>
          <w:r w:rsidRPr="009A2FEA">
            <w:t xml:space="preserve">to the Commonwealth Director of Public Prosecutions (CDPP) who </w:t>
          </w:r>
          <w:r>
            <w:t>has discretion to</w:t>
          </w:r>
          <w:r w:rsidRPr="009A2FEA">
            <w:t xml:space="preserve"> take action for a suspected breach of a criminal prohibition. </w:t>
          </w:r>
        </w:p>
        <w:p w:rsidR="006843E1" w:rsidRDefault="006843E1" w:rsidP="006843E1">
          <w:pPr>
            <w:rPr>
              <w:lang w:val="en"/>
            </w:rPr>
          </w:pPr>
          <w:r w:rsidRPr="00136E91">
            <w:rPr>
              <w:lang w:val="en"/>
            </w:rPr>
            <w:t xml:space="preserve">The </w:t>
          </w:r>
          <w:r>
            <w:rPr>
              <w:lang w:val="en"/>
            </w:rPr>
            <w:t>CCA</w:t>
          </w:r>
          <w:r w:rsidRPr="00136E91">
            <w:rPr>
              <w:lang w:val="en"/>
            </w:rPr>
            <w:t xml:space="preserve"> </w:t>
          </w:r>
          <w:r>
            <w:rPr>
              <w:lang w:val="en"/>
            </w:rPr>
            <w:t xml:space="preserve">also </w:t>
          </w:r>
          <w:r w:rsidRPr="00136E91">
            <w:rPr>
              <w:lang w:val="en"/>
            </w:rPr>
            <w:t xml:space="preserve">provides the ACCC with a range of </w:t>
          </w:r>
          <w:r>
            <w:rPr>
              <w:lang w:val="en"/>
            </w:rPr>
            <w:t xml:space="preserve">non-Court based </w:t>
          </w:r>
          <w:r w:rsidRPr="00136E91">
            <w:rPr>
              <w:lang w:val="en"/>
            </w:rPr>
            <w:t xml:space="preserve">enforcement remedies, </w:t>
          </w:r>
          <w:r>
            <w:rPr>
              <w:lang w:val="en"/>
            </w:rPr>
            <w:t>which allow the ACCC the flexibility to respond to conduct proportionate to the potential harm. The ACCC can resolve matters through the following non-Court based methods:</w:t>
          </w:r>
        </w:p>
        <w:p w:rsidR="006843E1" w:rsidRDefault="006843E1" w:rsidP="006843E1">
          <w:pPr>
            <w:pStyle w:val="Bulletpoint"/>
            <w:rPr>
              <w:lang w:val="en"/>
            </w:rPr>
          </w:pPr>
          <w:r>
            <w:rPr>
              <w:lang w:val="en"/>
            </w:rPr>
            <w:t>A</w:t>
          </w:r>
          <w:r w:rsidRPr="003E3994">
            <w:rPr>
              <w:lang w:val="en"/>
            </w:rPr>
            <w:t xml:space="preserve">dministrative resolution, which is an informal agreement with a trader to </w:t>
          </w:r>
          <w:r>
            <w:rPr>
              <w:lang w:val="en"/>
            </w:rPr>
            <w:t xml:space="preserve">remedy potential </w:t>
          </w:r>
          <w:r w:rsidRPr="003E3994">
            <w:rPr>
              <w:lang w:val="en"/>
            </w:rPr>
            <w:t xml:space="preserve">breaches of the CCA. </w:t>
          </w:r>
        </w:p>
        <w:p w:rsidR="006843E1" w:rsidRPr="003E3994" w:rsidRDefault="006843E1" w:rsidP="006843E1">
          <w:pPr>
            <w:pStyle w:val="Bulletpoint"/>
            <w:rPr>
              <w:lang w:val="en"/>
            </w:rPr>
          </w:pPr>
          <w:r>
            <w:rPr>
              <w:lang w:val="en"/>
            </w:rPr>
            <w:t>Court</w:t>
          </w:r>
          <w:r w:rsidRPr="003E3994">
            <w:rPr>
              <w:lang w:val="en"/>
            </w:rPr>
            <w:t xml:space="preserve"> enforceable undertaking.</w:t>
          </w:r>
          <w:r>
            <w:rPr>
              <w:rStyle w:val="FootnoteReference"/>
              <w:rFonts w:cs="Arial"/>
              <w:lang w:val="en"/>
            </w:rPr>
            <w:footnoteReference w:id="1"/>
          </w:r>
          <w:r w:rsidRPr="003E3994">
            <w:rPr>
              <w:lang w:val="en"/>
            </w:rPr>
            <w:t xml:space="preserve"> These go on the public record and can be enforced </w:t>
          </w:r>
          <w:r>
            <w:rPr>
              <w:lang w:val="en"/>
            </w:rPr>
            <w:t>in</w:t>
          </w:r>
          <w:r w:rsidRPr="003E3994">
            <w:rPr>
              <w:lang w:val="en"/>
            </w:rPr>
            <w:t xml:space="preserve"> the Federal </w:t>
          </w:r>
          <w:r>
            <w:rPr>
              <w:lang w:val="en"/>
            </w:rPr>
            <w:t>Court</w:t>
          </w:r>
          <w:r w:rsidRPr="003E3994">
            <w:rPr>
              <w:lang w:val="en"/>
            </w:rPr>
            <w:t xml:space="preserve"> if breached.</w:t>
          </w:r>
          <w:r>
            <w:rPr>
              <w:rStyle w:val="FootnoteReference"/>
              <w:rFonts w:cs="Arial"/>
              <w:lang w:val="en"/>
            </w:rPr>
            <w:footnoteReference w:id="2"/>
          </w:r>
          <w:r w:rsidRPr="003E3994">
            <w:rPr>
              <w:lang w:val="en"/>
            </w:rPr>
            <w:t xml:space="preserve"> Undertakings usually set out what the company will do to remedy harm </w:t>
          </w:r>
          <w:r>
            <w:rPr>
              <w:lang w:val="en"/>
            </w:rPr>
            <w:t xml:space="preserve">caused by its conduct </w:t>
          </w:r>
          <w:r w:rsidRPr="003E3994">
            <w:rPr>
              <w:lang w:val="en"/>
            </w:rPr>
            <w:t xml:space="preserve">and establish processes to improve their practices. </w:t>
          </w:r>
        </w:p>
        <w:p w:rsidR="006843E1" w:rsidRDefault="006843E1" w:rsidP="006843E1">
          <w:pPr>
            <w:pStyle w:val="Bulletpoint"/>
            <w:rPr>
              <w:lang w:val="en"/>
            </w:rPr>
          </w:pPr>
          <w:r w:rsidRPr="003E3994">
            <w:rPr>
              <w:lang w:val="en"/>
            </w:rPr>
            <w:t>The ACCC can</w:t>
          </w:r>
          <w:r>
            <w:rPr>
              <w:lang w:val="en"/>
            </w:rPr>
            <w:t xml:space="preserve"> also, in relation to some ACL breaches,</w:t>
          </w:r>
          <w:r w:rsidRPr="003E3994">
            <w:rPr>
              <w:lang w:val="en"/>
            </w:rPr>
            <w:t xml:space="preserve"> issue an infringement notice outlining an alleged breach as an alternative to </w:t>
          </w:r>
          <w:r>
            <w:rPr>
              <w:lang w:val="en"/>
            </w:rPr>
            <w:t>Court</w:t>
          </w:r>
          <w:r w:rsidRPr="003E3994">
            <w:rPr>
              <w:lang w:val="en"/>
            </w:rPr>
            <w:t xml:space="preserve"> proceedings.</w:t>
          </w:r>
          <w:r>
            <w:rPr>
              <w:rStyle w:val="FootnoteReference"/>
              <w:rFonts w:cs="Arial"/>
              <w:lang w:val="en"/>
            </w:rPr>
            <w:footnoteReference w:id="3"/>
          </w:r>
          <w:r w:rsidRPr="003E3994">
            <w:rPr>
              <w:lang w:val="en"/>
            </w:rPr>
            <w:t xml:space="preserve"> W</w:t>
          </w:r>
          <w:r>
            <w:rPr>
              <w:lang w:val="en"/>
            </w:rPr>
            <w:t>h</w:t>
          </w:r>
          <w:r w:rsidRPr="003E3994">
            <w:rPr>
              <w:lang w:val="en"/>
            </w:rPr>
            <w:t xml:space="preserve">ere the </w:t>
          </w:r>
          <w:r>
            <w:rPr>
              <w:lang w:val="en"/>
            </w:rPr>
            <w:t>trader</w:t>
          </w:r>
          <w:r w:rsidRPr="003E3994">
            <w:rPr>
              <w:lang w:val="en"/>
            </w:rPr>
            <w:t xml:space="preserve"> pays the infringement notice</w:t>
          </w:r>
          <w:r>
            <w:rPr>
              <w:lang w:val="en"/>
            </w:rPr>
            <w:t xml:space="preserve"> penalty</w:t>
          </w:r>
          <w:r w:rsidRPr="003E3994">
            <w:rPr>
              <w:lang w:val="en"/>
            </w:rPr>
            <w:t xml:space="preserve"> they are not taken to have contravened the law in relation to the conduct set out in the infringement notice and the Commonwealth cannot institute proceedings in relation to that conduct. </w:t>
          </w:r>
        </w:p>
        <w:p w:rsidR="006843E1" w:rsidRPr="00136E91" w:rsidRDefault="006843E1" w:rsidP="006843E1">
          <w:pPr>
            <w:rPr>
              <w:lang w:val="en"/>
            </w:rPr>
          </w:pPr>
          <w:r w:rsidRPr="00136E91">
            <w:rPr>
              <w:lang w:val="en"/>
            </w:rPr>
            <w:lastRenderedPageBreak/>
            <w:t xml:space="preserve">The ACCC cannot pursue all the complaints it receives </w:t>
          </w:r>
          <w:r>
            <w:rPr>
              <w:lang w:val="en"/>
            </w:rPr>
            <w:t xml:space="preserve">(approximately 180 000 per year) </w:t>
          </w:r>
          <w:r w:rsidRPr="00136E91">
            <w:rPr>
              <w:lang w:val="en"/>
            </w:rPr>
            <w:t>and the ACCC rarely becomes in</w:t>
          </w:r>
          <w:r>
            <w:rPr>
              <w:lang w:val="en"/>
            </w:rPr>
            <w:t>volved in resolving individual</w:t>
          </w:r>
          <w:r w:rsidRPr="00136E91">
            <w:rPr>
              <w:lang w:val="en"/>
            </w:rPr>
            <w:t xml:space="preserve"> disputes. While all complaints are carefully considered, the ACCC focus</w:t>
          </w:r>
          <w:r>
            <w:rPr>
              <w:lang w:val="en"/>
            </w:rPr>
            <w:t>ses</w:t>
          </w:r>
          <w:r w:rsidRPr="00136E91">
            <w:rPr>
              <w:lang w:val="en"/>
            </w:rPr>
            <w:t xml:space="preserve"> on those </w:t>
          </w:r>
          <w:r>
            <w:rPr>
              <w:lang w:val="en"/>
            </w:rPr>
            <w:t xml:space="preserve">matters </w:t>
          </w:r>
          <w:r w:rsidRPr="00136E91">
            <w:rPr>
              <w:lang w:val="en"/>
            </w:rPr>
            <w:t>that will, or have the potential to, harm the competitive process or result in widespread consumer detriment. The ACCC exercises its discretion to direct resources to matters that provide the greatest overall benefit for competition and consumers.</w:t>
          </w:r>
        </w:p>
        <w:p w:rsidR="006843E1" w:rsidRPr="00FC18E9" w:rsidRDefault="006843E1" w:rsidP="006843E1">
          <w:pPr>
            <w:rPr>
              <w:lang w:val="en"/>
            </w:rPr>
          </w:pPr>
          <w:r w:rsidRPr="00136E91">
            <w:rPr>
              <w:lang w:val="en"/>
            </w:rPr>
            <w:t xml:space="preserve">To assist with this determination, the ACCC gives compliance and enforcement priority to matters that demonstrate one or more of the </w:t>
          </w:r>
          <w:r>
            <w:rPr>
              <w:lang w:val="en"/>
            </w:rPr>
            <w:t>impact</w:t>
          </w:r>
          <w:r w:rsidRPr="00136E91">
            <w:rPr>
              <w:lang w:val="en"/>
            </w:rPr>
            <w:t xml:space="preserve"> factors</w:t>
          </w:r>
          <w:r>
            <w:rPr>
              <w:lang w:val="en"/>
            </w:rPr>
            <w:t xml:space="preserve"> and/or priority areas set out in the ACCC’s </w:t>
          </w:r>
          <w:r w:rsidRPr="006843E1">
            <w:rPr>
              <w:rStyle w:val="Emphasis"/>
            </w:rPr>
            <w:t>Compliance and Enforcement Policy,</w:t>
          </w:r>
          <w:r w:rsidRPr="00480987">
            <w:rPr>
              <w:rStyle w:val="FootnoteReference"/>
              <w:rFonts w:cs="Arial"/>
              <w:lang w:val="en"/>
            </w:rPr>
            <w:footnoteReference w:id="4"/>
          </w:r>
          <w:r w:rsidRPr="006843E1">
            <w:rPr>
              <w:rStyle w:val="Emphasis"/>
            </w:rPr>
            <w:t xml:space="preserve"> </w:t>
          </w:r>
          <w:r>
            <w:rPr>
              <w:lang w:val="en"/>
            </w:rPr>
            <w:t>which is released annually.</w:t>
          </w:r>
        </w:p>
        <w:p w:rsidR="006843E1" w:rsidRPr="00F73603" w:rsidRDefault="006843E1" w:rsidP="006843E1">
          <w:pPr>
            <w:pStyle w:val="Numbered1"/>
          </w:pPr>
          <w:r>
            <w:t xml:space="preserve">Penalties under the CCA and ACL </w:t>
          </w:r>
        </w:p>
        <w:p w:rsidR="006843E1" w:rsidRDefault="006843E1" w:rsidP="006843E1">
          <w:pPr>
            <w:pStyle w:val="Numbered11"/>
          </w:pPr>
          <w:r>
            <w:t>Prohibitions in the CCA and ACL</w:t>
          </w:r>
        </w:p>
        <w:p w:rsidR="006843E1" w:rsidRDefault="006843E1" w:rsidP="006843E1">
          <w:r w:rsidRPr="009A2FEA">
            <w:t xml:space="preserve">The CCA </w:t>
          </w:r>
          <w:r>
            <w:t xml:space="preserve">prohibits a broad range of harmful conduct by both corporations and individuals and applies across the economy. See </w:t>
          </w:r>
          <w:r w:rsidR="007E7B2A">
            <w:rPr>
              <w:rStyle w:val="Strong"/>
            </w:rPr>
            <w:t>Attachment</w:t>
          </w:r>
          <w:r w:rsidRPr="006843E1">
            <w:rPr>
              <w:rStyle w:val="Strong"/>
            </w:rPr>
            <w:t xml:space="preserve"> A</w:t>
          </w:r>
          <w:r>
            <w:t xml:space="preserve"> for more information about the range of CCA prohibitions. The majority of the prohibitions in the CCA attract civil liability, however a limited number also attract criminal liability (only cartel conduct allows for the possibility of incarceration).</w:t>
          </w:r>
          <w:r w:rsidRPr="009A2FEA">
            <w:t xml:space="preserve"> </w:t>
          </w:r>
          <w:r>
            <w:t xml:space="preserve">The ACCC can refer matters to the CDPP for possible criminal prosecution where the conduct is egregious or involves serious harm. </w:t>
          </w:r>
        </w:p>
        <w:p w:rsidR="006843E1" w:rsidRPr="00087649" w:rsidRDefault="006843E1" w:rsidP="006843E1">
          <w:pPr>
            <w:pStyle w:val="Numbered11"/>
          </w:pPr>
          <w:bookmarkStart w:id="0" w:name="collective-boycott"/>
          <w:bookmarkEnd w:id="0"/>
          <w:r>
            <w:t>Penalties Available</w:t>
          </w:r>
        </w:p>
        <w:p w:rsidR="006843E1" w:rsidRDefault="006843E1" w:rsidP="006843E1">
          <w:r>
            <w:t>The CCA and ACL set out the maximum penalty that a Court can impose for contravention of its provisions. When imposing a penalty the Court is required to consider all relevant matters, including the nature and extent of the conduct and any loss suffered as a result, the circumstances in which the conduct took place and whether the person has breached the CCA or ACL previously.</w:t>
          </w:r>
          <w:r>
            <w:rPr>
              <w:rStyle w:val="FootnoteReference"/>
              <w:rFonts w:cs="Arial"/>
            </w:rPr>
            <w:footnoteReference w:id="5"/>
          </w:r>
          <w:r>
            <w:t xml:space="preserve"> A summary of the penalties available under the CCA and ACL are set out at </w:t>
          </w:r>
          <w:r w:rsidRPr="006843E1">
            <w:rPr>
              <w:rStyle w:val="Strong"/>
            </w:rPr>
            <w:t>Attachment B</w:t>
          </w:r>
          <w:r>
            <w:t xml:space="preserve"> and include pecuniary penalties, criminal fines, imprisonment,</w:t>
          </w:r>
          <w:r w:rsidRPr="00365F28">
            <w:t xml:space="preserve"> </w:t>
          </w:r>
          <w:r>
            <w:t>disqualification orders, and other Court orders requiring particular conduct or preventing conduct from continuing to occur.</w:t>
          </w:r>
        </w:p>
        <w:p w:rsidR="006843E1" w:rsidRPr="00FA40F2" w:rsidRDefault="006843E1" w:rsidP="006843E1">
          <w:pPr>
            <w:pStyle w:val="Numbered1"/>
          </w:pPr>
          <w:bookmarkStart w:id="1" w:name="accc-compliance-and-enforcement-strategy"/>
          <w:bookmarkEnd w:id="1"/>
          <w:r w:rsidRPr="00FC578F">
            <w:t>Response to the Terms of Reference</w:t>
          </w:r>
        </w:p>
        <w:p w:rsidR="006843E1" w:rsidRPr="006843E1" w:rsidRDefault="006843E1" w:rsidP="006843E1">
          <w:pPr>
            <w:pStyle w:val="Listalphabet"/>
            <w:rPr>
              <w:rStyle w:val="Strong"/>
            </w:rPr>
          </w:pPr>
          <w:r w:rsidRPr="006843E1">
            <w:rPr>
              <w:rStyle w:val="Strong"/>
            </w:rPr>
            <w:t>Evidentiary standards across various acts and instruments</w:t>
          </w:r>
        </w:p>
        <w:p w:rsidR="006843E1" w:rsidRPr="006B27F5" w:rsidRDefault="006843E1" w:rsidP="0093161A">
          <w:pPr>
            <w:pStyle w:val="ListContinue"/>
            <w:tabs>
              <w:tab w:val="clear" w:pos="340"/>
            </w:tabs>
            <w:ind w:left="0"/>
          </w:pPr>
          <w:r w:rsidRPr="006B27F5">
            <w:t xml:space="preserve">The civil burden of proof for breaches of the CCA and ACL is </w:t>
          </w:r>
          <w:r>
            <w:t>‘</w:t>
          </w:r>
          <w:r w:rsidRPr="006B27F5">
            <w:t>balance of probabilities</w:t>
          </w:r>
          <w:r>
            <w:t>’</w:t>
          </w:r>
          <w:r w:rsidRPr="006B27F5">
            <w:t xml:space="preserve">. The criminal burden of proof for those breaches that provide for a criminal sanction is </w:t>
          </w:r>
          <w:r>
            <w:t>‘</w:t>
          </w:r>
          <w:r w:rsidRPr="006B27F5">
            <w:t>beyond a reasonable doubt</w:t>
          </w:r>
          <w:r>
            <w:t>’</w:t>
          </w:r>
          <w:r w:rsidRPr="006B27F5">
            <w:t xml:space="preserve">. </w:t>
          </w:r>
        </w:p>
        <w:p w:rsidR="006843E1" w:rsidRPr="006B27F5" w:rsidRDefault="006843E1" w:rsidP="0093161A">
          <w:pPr>
            <w:pStyle w:val="ListContinue"/>
            <w:tabs>
              <w:tab w:val="clear" w:pos="340"/>
            </w:tabs>
            <w:ind w:left="0"/>
          </w:pPr>
          <w:r w:rsidRPr="006B27F5">
            <w:t>In relation to civil proceedings b</w:t>
          </w:r>
          <w:r>
            <w:t>r</w:t>
          </w:r>
          <w:r w:rsidRPr="006B27F5">
            <w:t xml:space="preserve">ought by the ACCC the </w:t>
          </w:r>
          <w:proofErr w:type="spellStart"/>
          <w:r w:rsidRPr="006843E1">
            <w:rPr>
              <w:rStyle w:val="Emphasis"/>
            </w:rPr>
            <w:t>Briginshaw</w:t>
          </w:r>
          <w:proofErr w:type="spellEnd"/>
          <w:r w:rsidRPr="006843E1">
            <w:rPr>
              <w:rStyle w:val="Emphasis"/>
            </w:rPr>
            <w:t xml:space="preserve"> </w:t>
          </w:r>
          <w:r w:rsidRPr="006B27F5">
            <w:t xml:space="preserve">principle requires additional rigour be applied to the balance of probabilities test. This requires that in civil penalty cases, due to the seriousness of the potential consequences for the respondent that consideration be given to additional factors. </w:t>
          </w:r>
          <w:r>
            <w:t>Justice Dixon explained this i</w:t>
          </w:r>
          <w:r w:rsidRPr="006B27F5">
            <w:t xml:space="preserve">n the </w:t>
          </w:r>
          <w:proofErr w:type="spellStart"/>
          <w:r w:rsidRPr="006843E1">
            <w:rPr>
              <w:rStyle w:val="Emphasis"/>
            </w:rPr>
            <w:t>Briginshaw</w:t>
          </w:r>
          <w:proofErr w:type="spellEnd"/>
          <w:r w:rsidRPr="006843E1">
            <w:rPr>
              <w:rStyle w:val="Emphasis"/>
            </w:rPr>
            <w:t xml:space="preserve"> v </w:t>
          </w:r>
          <w:proofErr w:type="spellStart"/>
          <w:r w:rsidRPr="006843E1">
            <w:rPr>
              <w:rStyle w:val="Emphasis"/>
            </w:rPr>
            <w:t>Briginshaw</w:t>
          </w:r>
          <w:proofErr w:type="spellEnd"/>
          <w:r>
            <w:rPr>
              <w:rStyle w:val="FootnoteReference"/>
              <w:rFonts w:cs="Arial"/>
            </w:rPr>
            <w:footnoteReference w:id="6"/>
          </w:r>
          <w:r w:rsidRPr="006B27F5">
            <w:t xml:space="preserve"> </w:t>
          </w:r>
        </w:p>
        <w:p w:rsidR="006843E1" w:rsidRDefault="0086280E" w:rsidP="006843E1">
          <w:pPr>
            <w:pStyle w:val="Quote"/>
          </w:pPr>
          <w:r>
            <w:t>“</w:t>
          </w:r>
          <w:proofErr w:type="gramStart"/>
          <w:r>
            <w:t>t</w:t>
          </w:r>
          <w:r w:rsidR="006843E1" w:rsidRPr="006B27F5">
            <w:t>he</w:t>
          </w:r>
          <w:proofErr w:type="gramEnd"/>
          <w:r w:rsidR="006843E1" w:rsidRPr="006B27F5">
            <w:t xml:space="preserve"> seriousness of an allegation made, the inherent unlikelihood of an occurrence of a given description, or the gravity of the consequences flowing from a particular finding are considerations which must affect the answer to the question whether the issue has been proved to the reasonable satisfaction.”</w:t>
          </w:r>
        </w:p>
        <w:p w:rsidR="006843E1" w:rsidRPr="00F52DC1" w:rsidRDefault="006843E1" w:rsidP="0093161A">
          <w:pPr>
            <w:pStyle w:val="ListContinue"/>
            <w:tabs>
              <w:tab w:val="clear" w:pos="340"/>
              <w:tab w:val="left" w:pos="0"/>
            </w:tabs>
            <w:ind w:left="0"/>
          </w:pPr>
          <w:r>
            <w:lastRenderedPageBreak/>
            <w:t xml:space="preserve">Broadly, this principle provides that the greater the severity of the allegation and potential consequences, the higher the standard of proof. </w:t>
          </w:r>
        </w:p>
        <w:p w:rsidR="006843E1" w:rsidRPr="006843E1" w:rsidRDefault="006843E1" w:rsidP="006843E1">
          <w:pPr>
            <w:pStyle w:val="Listalphabet"/>
            <w:rPr>
              <w:rStyle w:val="Strong"/>
            </w:rPr>
          </w:pPr>
          <w:r w:rsidRPr="006843E1">
            <w:rPr>
              <w:rStyle w:val="Strong"/>
            </w:rPr>
            <w:t>The use and duration of custodial sentences</w:t>
          </w:r>
        </w:p>
        <w:p w:rsidR="006843E1" w:rsidRDefault="006843E1" w:rsidP="0093161A">
          <w:pPr>
            <w:pStyle w:val="ListContinue"/>
            <w:tabs>
              <w:tab w:val="clear" w:pos="340"/>
              <w:tab w:val="left" w:pos="0"/>
            </w:tabs>
            <w:ind w:left="0"/>
          </w:pPr>
          <w:r>
            <w:t>In 2009 the CCA was amended to include criminal provisions for cartel conduct. The criminal cartel provisions provide for up to 10 years’ imprisonment and fines. The ACCC works with the CDPP in relation to the potential criminal prosecution of cartel conduct although to date, no criminal cartel proceedings have been instituted. Regardless, the ACCC considers the deterrent effect of criminal sanctions to be important and has active criminal cartel investigations currently underway.</w:t>
          </w:r>
        </w:p>
        <w:p w:rsidR="006843E1" w:rsidRDefault="006843E1" w:rsidP="0093161A">
          <w:pPr>
            <w:pStyle w:val="ListContinue"/>
            <w:tabs>
              <w:tab w:val="clear" w:pos="340"/>
              <w:tab w:val="left" w:pos="0"/>
            </w:tabs>
            <w:ind w:left="0"/>
          </w:pPr>
          <w:r>
            <w:t xml:space="preserve">The 10 year maximum prison term leaves discretion to the Court to determine the length of incarceration in accordance with the seriousness of the conduct. A 10 year maximum term is also in line with international standards (see below). </w:t>
          </w:r>
        </w:p>
        <w:p w:rsidR="006843E1" w:rsidRDefault="006843E1" w:rsidP="0093161A">
          <w:pPr>
            <w:pStyle w:val="ListContinue"/>
            <w:tabs>
              <w:tab w:val="clear" w:pos="340"/>
              <w:tab w:val="left" w:pos="0"/>
            </w:tabs>
            <w:ind w:left="0"/>
          </w:pPr>
          <w:r>
            <w:t xml:space="preserve">In addition to the potential for a lengthy prison term, there are other consequences to criminal provisions which have an important deterrent effect. For example, criminal conviction may prevent a person from holding office, obtaining certain licences or being a company director. Criminal convictions may also prevent travel to certain countries and make it difficult to obtain visas, particularly business visas, in other jurisdictions. In addition, criminal conviction enables proceeds of crime rules to require a person to pay back any gains from misconduct. </w:t>
          </w:r>
        </w:p>
        <w:p w:rsidR="006843E1" w:rsidRDefault="006843E1" w:rsidP="0093161A">
          <w:pPr>
            <w:pStyle w:val="ListContinue"/>
            <w:tabs>
              <w:tab w:val="clear" w:pos="340"/>
              <w:tab w:val="left" w:pos="0"/>
            </w:tabs>
            <w:ind w:left="0"/>
          </w:pPr>
          <w:r>
            <w:t xml:space="preserve">In addition to the criminal provisions within the CCA and ACL, on occasion the ACCC files proceedings alleging criminal contempt of Court. Contempt arises where a person disregards or disrespects the authority of the Court, for example not complying with Court orders. Contempt can result in imprisonment or Court orders for additional fines (see further Section 5.2 and the Peter Foster case study). </w:t>
          </w:r>
        </w:p>
        <w:p w:rsidR="006843E1" w:rsidRPr="006843E1" w:rsidRDefault="006843E1" w:rsidP="006843E1">
          <w:pPr>
            <w:pStyle w:val="Listalphabet"/>
            <w:rPr>
              <w:rStyle w:val="Strong"/>
            </w:rPr>
          </w:pPr>
          <w:r w:rsidRPr="006843E1">
            <w:rPr>
              <w:rStyle w:val="Strong"/>
            </w:rPr>
            <w:t xml:space="preserve">The use and duration of banning orders </w:t>
          </w:r>
        </w:p>
        <w:p w:rsidR="003A2633" w:rsidRDefault="006843E1" w:rsidP="0093161A">
          <w:pPr>
            <w:pStyle w:val="ListContinue"/>
            <w:tabs>
              <w:tab w:val="clear" w:pos="340"/>
            </w:tabs>
            <w:ind w:left="0"/>
          </w:pPr>
          <w:r>
            <w:t xml:space="preserve">As mentioned above and set out further in </w:t>
          </w:r>
          <w:r w:rsidRPr="00141698">
            <w:rPr>
              <w:rStyle w:val="Strong"/>
            </w:rPr>
            <w:t>Attachment B</w:t>
          </w:r>
          <w:r>
            <w:t>, a disqualification order is available for a breach of the CCA or ACL. Disqualification orders are likely to be ordered by a Court having regard to the need to protect the public from future misconduct or where a person has had little regard for their legal obligations.</w:t>
          </w:r>
          <w:r>
            <w:rPr>
              <w:rStyle w:val="FootnoteReference"/>
            </w:rPr>
            <w:footnoteReference w:id="7"/>
          </w:r>
          <w:r>
            <w:t xml:space="preserve"> Disqualification orders can be issued for any period of time that the Court considers to be appropriate. Noting that each order is based on the circumstances of each case, </w:t>
          </w:r>
          <w:proofErr w:type="spellStart"/>
          <w:r w:rsidRPr="00223DBC">
            <w:rPr>
              <w:rStyle w:val="Emphasis"/>
            </w:rPr>
            <w:t>Halkalia</w:t>
          </w:r>
          <w:proofErr w:type="spellEnd"/>
          <w:r w:rsidRPr="00223DBC">
            <w:rPr>
              <w:rStyle w:val="Emphasis"/>
            </w:rPr>
            <w:t xml:space="preserve"> Pty Ltd &amp; </w:t>
          </w:r>
          <w:proofErr w:type="spellStart"/>
          <w:r w:rsidRPr="00223DBC">
            <w:rPr>
              <w:rStyle w:val="Emphasis"/>
            </w:rPr>
            <w:t>Ors</w:t>
          </w:r>
          <w:proofErr w:type="spellEnd"/>
          <w:r>
            <w:rPr>
              <w:rStyle w:val="FootnoteReference"/>
              <w:i/>
            </w:rPr>
            <w:footnoteReference w:id="8"/>
          </w:r>
          <w:r w:rsidRPr="00223DBC">
            <w:rPr>
              <w:rStyle w:val="Emphasis"/>
            </w:rPr>
            <w:t xml:space="preserve"> </w:t>
          </w:r>
          <w:r>
            <w:t xml:space="preserve">led to a disqualification order of 15 years, and in </w:t>
          </w:r>
          <w:r w:rsidRPr="00223DBC">
            <w:rPr>
              <w:rStyle w:val="Emphasis"/>
            </w:rPr>
            <w:t>Safe Breast Imaging</w:t>
          </w:r>
          <w:r>
            <w:rPr>
              <w:rStyle w:val="FootnoteReference"/>
              <w:i/>
            </w:rPr>
            <w:footnoteReference w:id="9"/>
          </w:r>
          <w:r w:rsidRPr="00223DBC">
            <w:rPr>
              <w:rStyle w:val="Emphasis"/>
            </w:rPr>
            <w:t xml:space="preserve"> </w:t>
          </w:r>
          <w:r>
            <w:t xml:space="preserve">the order was for four years. </w:t>
          </w:r>
        </w:p>
        <w:p w:rsidR="006843E1" w:rsidRDefault="006843E1" w:rsidP="0093161A">
          <w:pPr>
            <w:pStyle w:val="ListContinue"/>
            <w:tabs>
              <w:tab w:val="clear" w:pos="340"/>
            </w:tabs>
            <w:ind w:left="0"/>
          </w:pPr>
          <w:r>
            <w:br/>
            <w:t xml:space="preserve">The ACCC considers the imposition of a disqualification order to be an important remedy, as it restricts a person from managing a company and sends a strong message to other potential offenders that there are consequences for misconduct. The first disqualification order under the ACL was issued by the Court in 2012 and since then the Court has regularly imposed similar bans. Disqualification orders are also available in the United Kingdom and Japan (see below). </w:t>
          </w:r>
        </w:p>
        <w:p w:rsidR="006843E1" w:rsidRPr="006843E1" w:rsidRDefault="006843E1" w:rsidP="006843E1">
          <w:pPr>
            <w:pStyle w:val="Listalphabet"/>
            <w:rPr>
              <w:rStyle w:val="Strong"/>
            </w:rPr>
          </w:pPr>
          <w:r w:rsidRPr="006843E1">
            <w:rPr>
              <w:rStyle w:val="Strong"/>
            </w:rPr>
            <w:t>The value of fines and other monetary penalties, particularly in proportion to the amount of wrongful gains</w:t>
          </w:r>
        </w:p>
        <w:p w:rsidR="006843E1" w:rsidRDefault="006843E1" w:rsidP="0093161A">
          <w:pPr>
            <w:pStyle w:val="ListContinue"/>
            <w:tabs>
              <w:tab w:val="clear" w:pos="340"/>
            </w:tabs>
            <w:ind w:left="0"/>
          </w:pPr>
          <w:r>
            <w:t xml:space="preserve">Penalties for breaches of the competition law provisions were amended in 2007. </w:t>
          </w:r>
          <w:r w:rsidRPr="005958B8">
            <w:t xml:space="preserve">The maximum </w:t>
          </w:r>
          <w:r>
            <w:t>penalty in competition cases</w:t>
          </w:r>
          <w:r w:rsidRPr="005958B8">
            <w:t xml:space="preserve"> is </w:t>
          </w:r>
          <w:r>
            <w:t xml:space="preserve">now </w:t>
          </w:r>
          <w:r w:rsidRPr="005958B8">
            <w:t>the highest of $10 million, three times the gain or</w:t>
          </w:r>
          <w:r>
            <w:t>, if the Court cannot determine the gain,</w:t>
          </w:r>
          <w:r w:rsidRPr="005958B8">
            <w:t xml:space="preserve"> 10% of annual turnover</w:t>
          </w:r>
          <w:r>
            <w:t xml:space="preserve"> of the body corporate in the 12 months in which the conduct occurred</w:t>
          </w:r>
          <w:r w:rsidRPr="005958B8">
            <w:t xml:space="preserve"> (see</w:t>
          </w:r>
          <w:r>
            <w:t xml:space="preserve"> </w:t>
          </w:r>
          <w:r w:rsidRPr="00141698">
            <w:rPr>
              <w:rStyle w:val="Strong"/>
            </w:rPr>
            <w:t>Attachment B</w:t>
          </w:r>
          <w:r w:rsidRPr="005958B8">
            <w:t>).</w:t>
          </w:r>
          <w:r>
            <w:rPr>
              <w:rStyle w:val="FootnoteReference"/>
            </w:rPr>
            <w:footnoteReference w:id="10"/>
          </w:r>
          <w:r w:rsidRPr="005958B8">
            <w:t xml:space="preserve"> </w:t>
          </w:r>
        </w:p>
        <w:p w:rsidR="006843E1" w:rsidRDefault="006843E1" w:rsidP="0093161A">
          <w:pPr>
            <w:pStyle w:val="ListContinue"/>
            <w:tabs>
              <w:tab w:val="clear" w:pos="340"/>
            </w:tabs>
            <w:ind w:left="0"/>
          </w:pPr>
          <w:r w:rsidRPr="005958B8">
            <w:lastRenderedPageBreak/>
            <w:t xml:space="preserve">The provisions </w:t>
          </w:r>
          <w:r>
            <w:t>which provide for a maximum penalty by reference to the gain to the company or annual turnover have not been used often to date. This is because cases which are subject to these provisions are only now coming to the attention of the Court</w:t>
          </w:r>
          <w:r w:rsidRPr="005958B8">
            <w:t>.</w:t>
          </w:r>
          <w:r>
            <w:rPr>
              <w:rStyle w:val="FootnoteReference"/>
            </w:rPr>
            <w:footnoteReference w:id="11"/>
          </w:r>
          <w:r w:rsidRPr="005958B8">
            <w:t xml:space="preserve"> </w:t>
          </w:r>
        </w:p>
        <w:p w:rsidR="006843E1" w:rsidRPr="00FA40F2" w:rsidRDefault="006843E1" w:rsidP="0093161A">
          <w:pPr>
            <w:pStyle w:val="ListContinue"/>
            <w:tabs>
              <w:tab w:val="clear" w:pos="340"/>
            </w:tabs>
            <w:ind w:left="0"/>
          </w:pPr>
          <w:r w:rsidRPr="005958B8">
            <w:t xml:space="preserve">It is important to note that these provisions, as </w:t>
          </w:r>
          <w:r>
            <w:t xml:space="preserve">with all </w:t>
          </w:r>
          <w:r w:rsidRPr="005958B8">
            <w:t xml:space="preserve">penalty provisions, provide for a maximum that a </w:t>
          </w:r>
          <w:r>
            <w:t>Court</w:t>
          </w:r>
          <w:r w:rsidRPr="005958B8">
            <w:t xml:space="preserve"> can impose. The </w:t>
          </w:r>
          <w:r>
            <w:t xml:space="preserve">determination of appropriate penalty in any particular case lies within the discretion of the Court. </w:t>
          </w:r>
          <w:r w:rsidRPr="005958B8">
            <w:t>The ACCC is of the view that the</w:t>
          </w:r>
          <w:r>
            <w:t xml:space="preserve"> current </w:t>
          </w:r>
          <w:r w:rsidRPr="005958B8">
            <w:t>maximum</w:t>
          </w:r>
          <w:r>
            <w:t xml:space="preserve"> penaltie</w:t>
          </w:r>
          <w:r w:rsidRPr="005958B8">
            <w:t xml:space="preserve">s </w:t>
          </w:r>
          <w:r>
            <w:t xml:space="preserve">for competition cases </w:t>
          </w:r>
          <w:r w:rsidRPr="005958B8">
            <w:t>allow</w:t>
          </w:r>
          <w:r>
            <w:t xml:space="preserve"> a Court the flexibility to award</w:t>
          </w:r>
          <w:r w:rsidRPr="005958B8">
            <w:t xml:space="preserve"> a proportionate penalty. We also </w:t>
          </w:r>
          <w:r>
            <w:t xml:space="preserve">note that a maximum penalty determined by reference to </w:t>
          </w:r>
          <w:r w:rsidRPr="005958B8">
            <w:t xml:space="preserve">10% of annual turnover is consistent with international practice. </w:t>
          </w:r>
        </w:p>
        <w:p w:rsidR="006843E1" w:rsidRDefault="006843E1" w:rsidP="0093161A">
          <w:pPr>
            <w:pStyle w:val="ListContinue"/>
            <w:tabs>
              <w:tab w:val="clear" w:pos="340"/>
            </w:tabs>
            <w:ind w:left="0"/>
          </w:pPr>
          <w:r>
            <w:t xml:space="preserve">We discuss the appropriateness of these penalties in part 5 below.  </w:t>
          </w:r>
        </w:p>
        <w:p w:rsidR="006843E1" w:rsidRPr="006843E1" w:rsidRDefault="006843E1" w:rsidP="006843E1">
          <w:pPr>
            <w:pStyle w:val="Listalphabet"/>
            <w:rPr>
              <w:rStyle w:val="Strong"/>
            </w:rPr>
          </w:pPr>
          <w:r w:rsidRPr="006843E1">
            <w:rPr>
              <w:rStyle w:val="Strong"/>
            </w:rPr>
            <w:t>The availability and use of mechanisms to recover wrongful gains</w:t>
          </w:r>
        </w:p>
        <w:p w:rsidR="006843E1" w:rsidRPr="00FA40F2" w:rsidRDefault="006843E1" w:rsidP="0093161A">
          <w:pPr>
            <w:pStyle w:val="ListContinue"/>
            <w:tabs>
              <w:tab w:val="clear" w:pos="340"/>
            </w:tabs>
            <w:ind w:left="0"/>
          </w:pPr>
          <w:r>
            <w:t xml:space="preserve">Refer to d) above. </w:t>
          </w:r>
        </w:p>
        <w:p w:rsidR="006843E1" w:rsidRPr="006843E1" w:rsidRDefault="006843E1" w:rsidP="006843E1">
          <w:pPr>
            <w:pStyle w:val="Listalphabet"/>
            <w:rPr>
              <w:rStyle w:val="Strong"/>
            </w:rPr>
          </w:pPr>
          <w:r w:rsidRPr="006843E1">
            <w:rPr>
              <w:rStyle w:val="Strong"/>
            </w:rPr>
            <w:t>Penalties used in other countries, particularly members of the Organisation for Economic Co-</w:t>
          </w:r>
          <w:r w:rsidR="00780577">
            <w:rPr>
              <w:rStyle w:val="Strong"/>
            </w:rPr>
            <w:t>operation and Development (OECD)</w:t>
          </w:r>
        </w:p>
        <w:p w:rsidR="006843E1" w:rsidRDefault="006843E1" w:rsidP="0093161A">
          <w:pPr>
            <w:pStyle w:val="ListContinue"/>
            <w:tabs>
              <w:tab w:val="clear" w:pos="340"/>
            </w:tabs>
            <w:ind w:left="0"/>
            <w:rPr>
              <w:lang w:val="en"/>
            </w:rPr>
          </w:pPr>
          <w:r>
            <w:rPr>
              <w:lang w:val="en"/>
            </w:rPr>
            <w:t>Tables 1 and 2 below provide</w:t>
          </w:r>
          <w:r w:rsidRPr="00963D6C">
            <w:rPr>
              <w:lang w:val="en"/>
            </w:rPr>
            <w:t xml:space="preserve"> a brief </w:t>
          </w:r>
          <w:r>
            <w:rPr>
              <w:lang w:val="en"/>
            </w:rPr>
            <w:t>comparison of competition and consumer protection remedies available to regulators across Canada, the European Union, the United Kingdom, the United States, Japan, Singapore, Korea and the Netherlands (collectively the international jurisdictions). All of the international jurisdictions also provide for a right of private action.</w:t>
          </w:r>
        </w:p>
        <w:p w:rsidR="006843E1" w:rsidRDefault="006843E1" w:rsidP="0093161A">
          <w:pPr>
            <w:pStyle w:val="ListContinue"/>
            <w:tabs>
              <w:tab w:val="clear" w:pos="340"/>
            </w:tabs>
            <w:ind w:left="0"/>
            <w:rPr>
              <w:lang w:val="en"/>
            </w:rPr>
          </w:pPr>
          <w:r>
            <w:rPr>
              <w:lang w:val="en"/>
            </w:rPr>
            <w:t>Comparing penalties in Australia to international jurisdictions is difficult for a number of reasons, including:</w:t>
          </w:r>
        </w:p>
        <w:p w:rsidR="006843E1" w:rsidRDefault="006843E1" w:rsidP="0093161A">
          <w:pPr>
            <w:pStyle w:val="Bulletpoint"/>
            <w:ind w:left="340" w:hanging="340"/>
            <w:rPr>
              <w:lang w:val="en"/>
            </w:rPr>
          </w:pPr>
          <w:r>
            <w:rPr>
              <w:lang w:val="en"/>
            </w:rPr>
            <w:t>each of the international jurisdictions has different prohibitions, especially in the sphere of consumer protection</w:t>
          </w:r>
        </w:p>
        <w:p w:rsidR="006843E1" w:rsidRDefault="006843E1" w:rsidP="0093161A">
          <w:pPr>
            <w:pStyle w:val="Bulletpoint"/>
            <w:ind w:left="340" w:hanging="340"/>
            <w:rPr>
              <w:lang w:val="en"/>
            </w:rPr>
          </w:pPr>
          <w:proofErr w:type="gramStart"/>
          <w:r>
            <w:rPr>
              <w:lang w:val="en"/>
            </w:rPr>
            <w:t>some</w:t>
          </w:r>
          <w:proofErr w:type="gramEnd"/>
          <w:r>
            <w:rPr>
              <w:lang w:val="en"/>
            </w:rPr>
            <w:t xml:space="preserve"> countries have administrative jurisdictions, meaning that the agency is responsible for both investigating an alleged breach and imposing a penalty.</w:t>
          </w:r>
        </w:p>
        <w:p w:rsidR="006843E1" w:rsidRDefault="006843E1" w:rsidP="0093161A">
          <w:pPr>
            <w:pStyle w:val="ListContinue"/>
            <w:tabs>
              <w:tab w:val="clear" w:pos="340"/>
            </w:tabs>
            <w:ind w:left="0"/>
            <w:rPr>
              <w:lang w:val="en"/>
            </w:rPr>
          </w:pPr>
          <w:r>
            <w:rPr>
              <w:lang w:val="en"/>
            </w:rPr>
            <w:t xml:space="preserve">The tables below illustrate that in relation to competition law, the penalties available in Australia are broadly in line with international trends. However, penalties actually imposed in Australia are lower than those in other countries. This may be because, at least in part, cases in Australia using the higher penalties introduced in 2007 are only now coming before the Court. In relation to consumer law penalties those in Australia are considerably lower than other countries. Many countries have unlimited penalties for consumer protection which allows a Court the flexibility to award a penalty based on the conduct. </w:t>
          </w:r>
        </w:p>
        <w:p w:rsidR="006843E1" w:rsidRDefault="006843E1" w:rsidP="0093161A">
          <w:pPr>
            <w:pStyle w:val="ListContinue"/>
            <w:tabs>
              <w:tab w:val="clear" w:pos="340"/>
            </w:tabs>
            <w:ind w:left="0"/>
            <w:rPr>
              <w:lang w:val="en"/>
            </w:rPr>
          </w:pPr>
          <w:r>
            <w:rPr>
              <w:lang w:val="en"/>
            </w:rPr>
            <w:t xml:space="preserve">The disparity in Australian penalties with those awarded internationally is illustrated by two recent international cartel cases. The first case involved an international investigation into price fixing by airlines. Numerous jurisdictions instituted cases against airlines for involvement in this cartel that spanned the globe. Australian Courts have ordered $98.5 million in penalties against 13 different traders for conduct impacting upon Australia. In the United States, penalties exceeded US$1.8 billion against 19 companies, with numerous executives also being sentenced to jail. In Korea the penalties totaled over 120 billion KRN (approx. AUD$136 million) against 11 airlines. </w:t>
          </w:r>
        </w:p>
        <w:p w:rsidR="006843E1" w:rsidRDefault="006843E1" w:rsidP="0093161A">
          <w:pPr>
            <w:pStyle w:val="ListContinue"/>
            <w:tabs>
              <w:tab w:val="clear" w:pos="340"/>
            </w:tabs>
            <w:ind w:left="0"/>
            <w:rPr>
              <w:lang w:val="en"/>
            </w:rPr>
          </w:pPr>
          <w:r>
            <w:rPr>
              <w:lang w:val="en"/>
            </w:rPr>
            <w:t xml:space="preserve">In a similar case regarding an international cartel between automotive parts manufacturers Australia imposed $5 million in penalties against two different companies. Similar investigations in the European Union resulted in €953 million penalties across five manufacturers. Korea awarded 78 billion won (approx. $88 million) on nine companies and Singapore awarded S$9,306,977 (approx. $9 million) against three companies. Both matters were decided in Australia under the old penalty regime and illustrated the necessity of scalable penalties to reflect the harm from the conduct and to enhance deterrence. </w:t>
          </w:r>
        </w:p>
        <w:p w:rsidR="006843E1" w:rsidRPr="00F52DC1" w:rsidRDefault="006843E1" w:rsidP="006843E1">
          <w:pPr>
            <w:pStyle w:val="Tabletitle"/>
          </w:pPr>
          <w:r>
            <w:lastRenderedPageBreak/>
            <w:t>Table 1: Competition Law Penalties</w:t>
          </w:r>
        </w:p>
        <w:tbl>
          <w:tblPr>
            <w:tblStyle w:val="LightShading-Accent1"/>
            <w:tblW w:w="0" w:type="auto"/>
            <w:tblLayout w:type="fixed"/>
            <w:tblLook w:val="04A0" w:firstRow="1" w:lastRow="0" w:firstColumn="1" w:lastColumn="0" w:noHBand="0" w:noVBand="1"/>
          </w:tblPr>
          <w:tblGrid>
            <w:gridCol w:w="959"/>
            <w:gridCol w:w="1134"/>
            <w:gridCol w:w="1417"/>
            <w:gridCol w:w="1276"/>
            <w:gridCol w:w="992"/>
            <w:gridCol w:w="1134"/>
            <w:gridCol w:w="1276"/>
            <w:gridCol w:w="1054"/>
          </w:tblGrid>
          <w:tr w:rsidR="00141698" w:rsidRPr="006843E1" w:rsidTr="00141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6843E1" w:rsidRPr="006843E1" w:rsidRDefault="006843E1" w:rsidP="006843E1">
                <w:pPr>
                  <w:pStyle w:val="Tabletext"/>
                  <w:rPr>
                    <w:b w:val="0"/>
                    <w:sz w:val="14"/>
                    <w:szCs w:val="14"/>
                  </w:rPr>
                </w:pPr>
                <w:r w:rsidRPr="006843E1">
                  <w:rPr>
                    <w:sz w:val="14"/>
                    <w:szCs w:val="14"/>
                  </w:rPr>
                  <w:t xml:space="preserve">Country </w:t>
                </w:r>
              </w:p>
            </w:tc>
            <w:tc>
              <w:tcPr>
                <w:tcW w:w="1134" w:type="dxa"/>
              </w:tcPr>
              <w:p w:rsidR="006843E1" w:rsidRPr="006843E1" w:rsidRDefault="006843E1" w:rsidP="006843E1">
                <w:pPr>
                  <w:pStyle w:val="Tabletext"/>
                  <w:cnfStyle w:val="100000000000" w:firstRow="1" w:lastRow="0" w:firstColumn="0" w:lastColumn="0" w:oddVBand="0" w:evenVBand="0" w:oddHBand="0" w:evenHBand="0" w:firstRowFirstColumn="0" w:firstRowLastColumn="0" w:lastRowFirstColumn="0" w:lastRowLastColumn="0"/>
                  <w:rPr>
                    <w:b w:val="0"/>
                    <w:sz w:val="14"/>
                    <w:szCs w:val="14"/>
                  </w:rPr>
                </w:pPr>
                <w:r w:rsidRPr="006843E1">
                  <w:rPr>
                    <w:sz w:val="14"/>
                    <w:szCs w:val="14"/>
                  </w:rPr>
                  <w:t xml:space="preserve">Individual Pecuniary penalty </w:t>
                </w:r>
              </w:p>
            </w:tc>
            <w:tc>
              <w:tcPr>
                <w:tcW w:w="1417" w:type="dxa"/>
              </w:tcPr>
              <w:p w:rsidR="006843E1" w:rsidRPr="006843E1" w:rsidRDefault="006843E1" w:rsidP="006843E1">
                <w:pPr>
                  <w:pStyle w:val="Tabletext"/>
                  <w:cnfStyle w:val="100000000000" w:firstRow="1" w:lastRow="0" w:firstColumn="0" w:lastColumn="0" w:oddVBand="0" w:evenVBand="0" w:oddHBand="0" w:evenHBand="0" w:firstRowFirstColumn="0" w:firstRowLastColumn="0" w:lastRowFirstColumn="0" w:lastRowLastColumn="0"/>
                  <w:rPr>
                    <w:b w:val="0"/>
                    <w:sz w:val="14"/>
                    <w:szCs w:val="14"/>
                  </w:rPr>
                </w:pPr>
                <w:r w:rsidRPr="006843E1">
                  <w:rPr>
                    <w:sz w:val="14"/>
                    <w:szCs w:val="14"/>
                  </w:rPr>
                  <w:t>Corporations Pecuniary penalty</w:t>
                </w:r>
              </w:p>
            </w:tc>
            <w:tc>
              <w:tcPr>
                <w:tcW w:w="1276" w:type="dxa"/>
              </w:tcPr>
              <w:p w:rsidR="006843E1" w:rsidRPr="006843E1" w:rsidRDefault="006843E1" w:rsidP="006843E1">
                <w:pPr>
                  <w:pStyle w:val="Tabletext"/>
                  <w:cnfStyle w:val="100000000000" w:firstRow="1" w:lastRow="0" w:firstColumn="0" w:lastColumn="0" w:oddVBand="0" w:evenVBand="0" w:oddHBand="0" w:evenHBand="0" w:firstRowFirstColumn="0" w:firstRowLastColumn="0" w:lastRowFirstColumn="0" w:lastRowLastColumn="0"/>
                  <w:rPr>
                    <w:b w:val="0"/>
                    <w:sz w:val="14"/>
                    <w:szCs w:val="14"/>
                  </w:rPr>
                </w:pPr>
                <w:r w:rsidRPr="006843E1">
                  <w:rPr>
                    <w:sz w:val="14"/>
                    <w:szCs w:val="14"/>
                  </w:rPr>
                  <w:t xml:space="preserve">Disqualification Orders </w:t>
                </w:r>
              </w:p>
            </w:tc>
            <w:tc>
              <w:tcPr>
                <w:tcW w:w="992" w:type="dxa"/>
              </w:tcPr>
              <w:p w:rsidR="006843E1" w:rsidRPr="006843E1" w:rsidRDefault="006843E1" w:rsidP="006843E1">
                <w:pPr>
                  <w:pStyle w:val="Tabletext"/>
                  <w:cnfStyle w:val="100000000000" w:firstRow="1" w:lastRow="0" w:firstColumn="0" w:lastColumn="0" w:oddVBand="0" w:evenVBand="0" w:oddHBand="0" w:evenHBand="0" w:firstRowFirstColumn="0" w:firstRowLastColumn="0" w:lastRowFirstColumn="0" w:lastRowLastColumn="0"/>
                  <w:rPr>
                    <w:b w:val="0"/>
                    <w:sz w:val="14"/>
                    <w:szCs w:val="14"/>
                  </w:rPr>
                </w:pPr>
                <w:r w:rsidRPr="006843E1">
                  <w:rPr>
                    <w:sz w:val="14"/>
                    <w:szCs w:val="14"/>
                  </w:rPr>
                  <w:t>Prison</w:t>
                </w:r>
              </w:p>
            </w:tc>
            <w:tc>
              <w:tcPr>
                <w:tcW w:w="1134" w:type="dxa"/>
              </w:tcPr>
              <w:p w:rsidR="006843E1" w:rsidRPr="006843E1" w:rsidRDefault="006843E1" w:rsidP="006843E1">
                <w:pPr>
                  <w:pStyle w:val="Tabletext"/>
                  <w:cnfStyle w:val="100000000000" w:firstRow="1" w:lastRow="0" w:firstColumn="0" w:lastColumn="0" w:oddVBand="0" w:evenVBand="0" w:oddHBand="0" w:evenHBand="0" w:firstRowFirstColumn="0" w:firstRowLastColumn="0" w:lastRowFirstColumn="0" w:lastRowLastColumn="0"/>
                  <w:rPr>
                    <w:b w:val="0"/>
                    <w:sz w:val="14"/>
                    <w:szCs w:val="14"/>
                  </w:rPr>
                </w:pPr>
                <w:r w:rsidRPr="006843E1">
                  <w:rPr>
                    <w:sz w:val="14"/>
                    <w:szCs w:val="14"/>
                  </w:rPr>
                  <w:t>Undertakings</w:t>
                </w:r>
              </w:p>
            </w:tc>
            <w:tc>
              <w:tcPr>
                <w:tcW w:w="1276" w:type="dxa"/>
              </w:tcPr>
              <w:p w:rsidR="006843E1" w:rsidRPr="006843E1" w:rsidRDefault="006843E1" w:rsidP="006843E1">
                <w:pPr>
                  <w:pStyle w:val="Tabletext"/>
                  <w:cnfStyle w:val="100000000000" w:firstRow="1" w:lastRow="0" w:firstColumn="0" w:lastColumn="0" w:oddVBand="0" w:evenVBand="0" w:oddHBand="0" w:evenHBand="0" w:firstRowFirstColumn="0" w:firstRowLastColumn="0" w:lastRowFirstColumn="0" w:lastRowLastColumn="0"/>
                  <w:rPr>
                    <w:b w:val="0"/>
                    <w:sz w:val="14"/>
                    <w:szCs w:val="14"/>
                  </w:rPr>
                </w:pPr>
                <w:r w:rsidRPr="006843E1">
                  <w:rPr>
                    <w:sz w:val="14"/>
                    <w:szCs w:val="14"/>
                  </w:rPr>
                  <w:t>Court Based or Administrative Jurisdiction</w:t>
                </w:r>
              </w:p>
            </w:tc>
            <w:tc>
              <w:tcPr>
                <w:tcW w:w="1054" w:type="dxa"/>
              </w:tcPr>
              <w:p w:rsidR="006843E1" w:rsidRPr="006843E1" w:rsidRDefault="006843E1" w:rsidP="006843E1">
                <w:pPr>
                  <w:pStyle w:val="Tabletext"/>
                  <w:cnfStyle w:val="100000000000" w:firstRow="1" w:lastRow="0" w:firstColumn="0" w:lastColumn="0" w:oddVBand="0" w:evenVBand="0" w:oddHBand="0" w:evenHBand="0" w:firstRowFirstColumn="0" w:firstRowLastColumn="0" w:lastRowFirstColumn="0" w:lastRowLastColumn="0"/>
                  <w:rPr>
                    <w:sz w:val="14"/>
                    <w:szCs w:val="14"/>
                  </w:rPr>
                </w:pPr>
                <w:r w:rsidRPr="006843E1">
                  <w:rPr>
                    <w:sz w:val="14"/>
                    <w:szCs w:val="14"/>
                  </w:rPr>
                  <w:t>Recent Penalty Example</w:t>
                </w:r>
                <w:r w:rsidRPr="006843E1">
                  <w:rPr>
                    <w:rStyle w:val="FootnoteReference"/>
                    <w:color w:val="auto"/>
                    <w:sz w:val="14"/>
                    <w:szCs w:val="14"/>
                  </w:rPr>
                  <w:footnoteReference w:id="12"/>
                </w:r>
                <w:r w:rsidRPr="006843E1">
                  <w:rPr>
                    <w:sz w:val="14"/>
                    <w:szCs w:val="14"/>
                  </w:rPr>
                  <w:t xml:space="preserve"> </w:t>
                </w:r>
              </w:p>
            </w:tc>
          </w:tr>
          <w:tr w:rsidR="00141698" w:rsidRPr="006843E1" w:rsidTr="00141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shd w:val="clear" w:color="auto" w:fill="F2F2F2" w:themeFill="background1" w:themeFillShade="F2"/>
              </w:tcPr>
              <w:p w:rsidR="006843E1" w:rsidRPr="006843E1" w:rsidRDefault="006843E1" w:rsidP="006843E1">
                <w:pPr>
                  <w:pStyle w:val="Tabletext"/>
                  <w:rPr>
                    <w:sz w:val="14"/>
                    <w:szCs w:val="14"/>
                  </w:rPr>
                </w:pPr>
                <w:r w:rsidRPr="006843E1">
                  <w:rPr>
                    <w:sz w:val="14"/>
                    <w:szCs w:val="14"/>
                  </w:rPr>
                  <w:t xml:space="preserve">Australia </w:t>
                </w:r>
              </w:p>
            </w:tc>
            <w:tc>
              <w:tcPr>
                <w:tcW w:w="1134" w:type="dxa"/>
                <w:shd w:val="clear" w:color="auto" w:fill="F2F2F2" w:themeFill="background1" w:themeFillShade="F2"/>
              </w:tcPr>
              <w:p w:rsidR="006843E1" w:rsidRPr="006843E1" w:rsidRDefault="006843E1" w:rsidP="006843E1">
                <w:pPr>
                  <w:pStyle w:val="Tabletext"/>
                  <w:cnfStyle w:val="000000100000" w:firstRow="0" w:lastRow="0" w:firstColumn="0" w:lastColumn="0" w:oddVBand="0" w:evenVBand="0" w:oddHBand="1" w:evenHBand="0" w:firstRowFirstColumn="0" w:firstRowLastColumn="0" w:lastRowFirstColumn="0" w:lastRowLastColumn="0"/>
                  <w:rPr>
                    <w:sz w:val="14"/>
                    <w:szCs w:val="14"/>
                  </w:rPr>
                </w:pPr>
                <w:r w:rsidRPr="006843E1">
                  <w:rPr>
                    <w:sz w:val="14"/>
                    <w:szCs w:val="14"/>
                  </w:rPr>
                  <w:t>$500 000</w:t>
                </w:r>
              </w:p>
            </w:tc>
            <w:tc>
              <w:tcPr>
                <w:tcW w:w="1417" w:type="dxa"/>
                <w:shd w:val="clear" w:color="auto" w:fill="F2F2F2" w:themeFill="background1" w:themeFillShade="F2"/>
              </w:tcPr>
              <w:p w:rsidR="006843E1" w:rsidRPr="006843E1" w:rsidRDefault="006843E1" w:rsidP="006843E1">
                <w:pPr>
                  <w:pStyle w:val="Tabletext"/>
                  <w:cnfStyle w:val="000000100000" w:firstRow="0" w:lastRow="0" w:firstColumn="0" w:lastColumn="0" w:oddVBand="0" w:evenVBand="0" w:oddHBand="1" w:evenHBand="0" w:firstRowFirstColumn="0" w:firstRowLastColumn="0" w:lastRowFirstColumn="0" w:lastRowLastColumn="0"/>
                  <w:rPr>
                    <w:rFonts w:cs="Arial"/>
                    <w:sz w:val="14"/>
                    <w:szCs w:val="14"/>
                  </w:rPr>
                </w:pPr>
                <w:r w:rsidRPr="006843E1">
                  <w:rPr>
                    <w:rFonts w:cs="Arial"/>
                    <w:sz w:val="14"/>
                    <w:szCs w:val="14"/>
                  </w:rPr>
                  <w:t xml:space="preserve">Either: </w:t>
                </w:r>
              </w:p>
              <w:p w:rsidR="006843E1" w:rsidRPr="006843E1" w:rsidRDefault="006843E1" w:rsidP="006843E1">
                <w:pPr>
                  <w:pStyle w:val="Bulletpoint"/>
                  <w:spacing w:before="0"/>
                  <w:cnfStyle w:val="000000100000" w:firstRow="0" w:lastRow="0" w:firstColumn="0" w:lastColumn="0" w:oddVBand="0" w:evenVBand="0" w:oddHBand="1" w:evenHBand="0" w:firstRowFirstColumn="0" w:firstRowLastColumn="0" w:lastRowFirstColumn="0" w:lastRowLastColumn="0"/>
                  <w:rPr>
                    <w:sz w:val="14"/>
                    <w:szCs w:val="14"/>
                  </w:rPr>
                </w:pPr>
                <w:r w:rsidRPr="006843E1">
                  <w:rPr>
                    <w:sz w:val="14"/>
                    <w:szCs w:val="14"/>
                  </w:rPr>
                  <w:t>$10 million</w:t>
                </w:r>
              </w:p>
              <w:p w:rsidR="006843E1" w:rsidRPr="006843E1" w:rsidRDefault="006843E1" w:rsidP="006843E1">
                <w:pPr>
                  <w:pStyle w:val="Bulletpoint"/>
                  <w:spacing w:before="0"/>
                  <w:cnfStyle w:val="000000100000" w:firstRow="0" w:lastRow="0" w:firstColumn="0" w:lastColumn="0" w:oddVBand="0" w:evenVBand="0" w:oddHBand="1" w:evenHBand="0" w:firstRowFirstColumn="0" w:firstRowLastColumn="0" w:lastRowFirstColumn="0" w:lastRowLastColumn="0"/>
                  <w:rPr>
                    <w:sz w:val="14"/>
                    <w:szCs w:val="14"/>
                  </w:rPr>
                </w:pPr>
                <w:r w:rsidRPr="006843E1">
                  <w:rPr>
                    <w:sz w:val="14"/>
                    <w:szCs w:val="14"/>
                  </w:rPr>
                  <w:t>3 times the gain</w:t>
                </w:r>
              </w:p>
              <w:p w:rsidR="006843E1" w:rsidRPr="006843E1" w:rsidRDefault="006843E1" w:rsidP="006843E1">
                <w:pPr>
                  <w:pStyle w:val="Bulletpoint"/>
                  <w:spacing w:before="0"/>
                  <w:cnfStyle w:val="000000100000" w:firstRow="0" w:lastRow="0" w:firstColumn="0" w:lastColumn="0" w:oddVBand="0" w:evenVBand="0" w:oddHBand="1" w:evenHBand="0" w:firstRowFirstColumn="0" w:firstRowLastColumn="0" w:lastRowFirstColumn="0" w:lastRowLastColumn="0"/>
                  <w:rPr>
                    <w:sz w:val="14"/>
                    <w:szCs w:val="14"/>
                  </w:rPr>
                </w:pPr>
                <w:r w:rsidRPr="006843E1">
                  <w:rPr>
                    <w:sz w:val="14"/>
                    <w:szCs w:val="14"/>
                  </w:rPr>
                  <w:t>10% turnover</w:t>
                </w:r>
              </w:p>
            </w:tc>
            <w:tc>
              <w:tcPr>
                <w:tcW w:w="1276" w:type="dxa"/>
                <w:shd w:val="clear" w:color="auto" w:fill="F2F2F2" w:themeFill="background1" w:themeFillShade="F2"/>
              </w:tcPr>
              <w:p w:rsidR="006843E1" w:rsidRPr="006843E1" w:rsidRDefault="006843E1" w:rsidP="006843E1">
                <w:pPr>
                  <w:pStyle w:val="Tabletext"/>
                  <w:cnfStyle w:val="000000100000" w:firstRow="0" w:lastRow="0" w:firstColumn="0" w:lastColumn="0" w:oddVBand="0" w:evenVBand="0" w:oddHBand="1" w:evenHBand="0" w:firstRowFirstColumn="0" w:firstRowLastColumn="0" w:lastRowFirstColumn="0" w:lastRowLastColumn="0"/>
                  <w:rPr>
                    <w:sz w:val="14"/>
                    <w:szCs w:val="14"/>
                  </w:rPr>
                </w:pPr>
                <w:r w:rsidRPr="006843E1">
                  <w:rPr>
                    <w:sz w:val="14"/>
                    <w:szCs w:val="14"/>
                  </w:rPr>
                  <w:sym w:font="Wingdings" w:char="F0FC"/>
                </w:r>
              </w:p>
            </w:tc>
            <w:tc>
              <w:tcPr>
                <w:tcW w:w="992" w:type="dxa"/>
                <w:shd w:val="clear" w:color="auto" w:fill="F2F2F2" w:themeFill="background1" w:themeFillShade="F2"/>
              </w:tcPr>
              <w:p w:rsidR="006843E1" w:rsidRPr="006843E1" w:rsidRDefault="006843E1" w:rsidP="006843E1">
                <w:pPr>
                  <w:pStyle w:val="Tabletext"/>
                  <w:cnfStyle w:val="000000100000" w:firstRow="0" w:lastRow="0" w:firstColumn="0" w:lastColumn="0" w:oddVBand="0" w:evenVBand="0" w:oddHBand="1" w:evenHBand="0" w:firstRowFirstColumn="0" w:firstRowLastColumn="0" w:lastRowFirstColumn="0" w:lastRowLastColumn="0"/>
                  <w:rPr>
                    <w:sz w:val="14"/>
                    <w:szCs w:val="14"/>
                  </w:rPr>
                </w:pPr>
                <w:r w:rsidRPr="006843E1">
                  <w:rPr>
                    <w:sz w:val="14"/>
                    <w:szCs w:val="14"/>
                  </w:rPr>
                  <w:t xml:space="preserve">10 years </w:t>
                </w:r>
              </w:p>
              <w:p w:rsidR="006843E1" w:rsidRPr="006843E1" w:rsidRDefault="006843E1" w:rsidP="006843E1">
                <w:pPr>
                  <w:pStyle w:val="Tabletext"/>
                  <w:cnfStyle w:val="000000100000" w:firstRow="0" w:lastRow="0" w:firstColumn="0" w:lastColumn="0" w:oddVBand="0" w:evenVBand="0" w:oddHBand="1" w:evenHBand="0" w:firstRowFirstColumn="0" w:firstRowLastColumn="0" w:lastRowFirstColumn="0" w:lastRowLastColumn="0"/>
                  <w:rPr>
                    <w:sz w:val="14"/>
                    <w:szCs w:val="14"/>
                  </w:rPr>
                </w:pPr>
                <w:r w:rsidRPr="006843E1">
                  <w:rPr>
                    <w:sz w:val="14"/>
                    <w:szCs w:val="14"/>
                  </w:rPr>
                  <w:t xml:space="preserve">Fine of 2000 penalty units ($360 000 as per </w:t>
                </w:r>
                <w:r w:rsidRPr="006843E1">
                  <w:rPr>
                    <w:i/>
                    <w:sz w:val="14"/>
                    <w:szCs w:val="14"/>
                  </w:rPr>
                  <w:t>Crimes Act 1914 s 4AA</w:t>
                </w:r>
                <w:r w:rsidRPr="006843E1">
                  <w:rPr>
                    <w:sz w:val="14"/>
                    <w:szCs w:val="14"/>
                  </w:rPr>
                  <w:t>)</w:t>
                </w:r>
              </w:p>
            </w:tc>
            <w:tc>
              <w:tcPr>
                <w:tcW w:w="1134" w:type="dxa"/>
                <w:shd w:val="clear" w:color="auto" w:fill="F2F2F2" w:themeFill="background1" w:themeFillShade="F2"/>
              </w:tcPr>
              <w:p w:rsidR="006843E1" w:rsidRPr="006843E1" w:rsidRDefault="006843E1" w:rsidP="006843E1">
                <w:pPr>
                  <w:pStyle w:val="Tabletext"/>
                  <w:cnfStyle w:val="000000100000" w:firstRow="0" w:lastRow="0" w:firstColumn="0" w:lastColumn="0" w:oddVBand="0" w:evenVBand="0" w:oddHBand="1" w:evenHBand="0" w:firstRowFirstColumn="0" w:firstRowLastColumn="0" w:lastRowFirstColumn="0" w:lastRowLastColumn="0"/>
                  <w:rPr>
                    <w:sz w:val="14"/>
                    <w:szCs w:val="14"/>
                  </w:rPr>
                </w:pPr>
                <w:r w:rsidRPr="006843E1">
                  <w:rPr>
                    <w:sz w:val="14"/>
                    <w:szCs w:val="14"/>
                  </w:rPr>
                  <w:sym w:font="Wingdings" w:char="F0FC"/>
                </w:r>
              </w:p>
            </w:tc>
            <w:tc>
              <w:tcPr>
                <w:tcW w:w="1276" w:type="dxa"/>
                <w:shd w:val="clear" w:color="auto" w:fill="F2F2F2" w:themeFill="background1" w:themeFillShade="F2"/>
              </w:tcPr>
              <w:p w:rsidR="006843E1" w:rsidRPr="006843E1" w:rsidRDefault="006843E1" w:rsidP="006843E1">
                <w:pPr>
                  <w:pStyle w:val="Tabletext"/>
                  <w:cnfStyle w:val="000000100000" w:firstRow="0" w:lastRow="0" w:firstColumn="0" w:lastColumn="0" w:oddVBand="0" w:evenVBand="0" w:oddHBand="1" w:evenHBand="0" w:firstRowFirstColumn="0" w:firstRowLastColumn="0" w:lastRowFirstColumn="0" w:lastRowLastColumn="0"/>
                  <w:rPr>
                    <w:sz w:val="14"/>
                    <w:szCs w:val="14"/>
                  </w:rPr>
                </w:pPr>
                <w:r w:rsidRPr="006843E1">
                  <w:rPr>
                    <w:sz w:val="14"/>
                    <w:szCs w:val="14"/>
                  </w:rPr>
                  <w:t>Court Based</w:t>
                </w:r>
              </w:p>
            </w:tc>
            <w:tc>
              <w:tcPr>
                <w:tcW w:w="1054" w:type="dxa"/>
                <w:shd w:val="clear" w:color="auto" w:fill="F2F2F2" w:themeFill="background1" w:themeFillShade="F2"/>
              </w:tcPr>
              <w:p w:rsidR="006843E1" w:rsidRPr="006843E1" w:rsidRDefault="006843E1" w:rsidP="006843E1">
                <w:pPr>
                  <w:pStyle w:val="Tabletext"/>
                  <w:cnfStyle w:val="000000100000" w:firstRow="0" w:lastRow="0" w:firstColumn="0" w:lastColumn="0" w:oddVBand="0" w:evenVBand="0" w:oddHBand="1" w:evenHBand="0" w:firstRowFirstColumn="0" w:firstRowLastColumn="0" w:lastRowFirstColumn="0" w:lastRowLastColumn="0"/>
                  <w:rPr>
                    <w:sz w:val="14"/>
                    <w:szCs w:val="14"/>
                  </w:rPr>
                </w:pPr>
                <w:r w:rsidRPr="006843E1">
                  <w:rPr>
                    <w:sz w:val="14"/>
                    <w:szCs w:val="14"/>
                  </w:rPr>
                  <w:t>$3 000 000 for cartel conduct</w:t>
                </w:r>
                <w:r w:rsidRPr="006843E1">
                  <w:rPr>
                    <w:rStyle w:val="FootnoteReference"/>
                    <w:color w:val="auto"/>
                    <w:sz w:val="14"/>
                    <w:szCs w:val="14"/>
                  </w:rPr>
                  <w:footnoteReference w:id="13"/>
                </w:r>
                <w:r w:rsidRPr="006843E1">
                  <w:rPr>
                    <w:sz w:val="14"/>
                    <w:szCs w:val="14"/>
                  </w:rPr>
                  <w:t xml:space="preserve"> </w:t>
                </w:r>
              </w:p>
            </w:tc>
          </w:tr>
          <w:tr w:rsidR="00141698" w:rsidRPr="0061288B" w:rsidTr="00141698">
            <w:tc>
              <w:tcPr>
                <w:cnfStyle w:val="001000000000" w:firstRow="0" w:lastRow="0" w:firstColumn="1" w:lastColumn="0" w:oddVBand="0" w:evenVBand="0" w:oddHBand="0" w:evenHBand="0" w:firstRowFirstColumn="0" w:firstRowLastColumn="0" w:lastRowFirstColumn="0" w:lastRowLastColumn="0"/>
                <w:tcW w:w="959" w:type="dxa"/>
              </w:tcPr>
              <w:p w:rsidR="006843E1" w:rsidRPr="00141698" w:rsidRDefault="006843E1" w:rsidP="00141698">
                <w:pPr>
                  <w:pStyle w:val="Tabletext"/>
                  <w:rPr>
                    <w:sz w:val="14"/>
                  </w:rPr>
                </w:pPr>
                <w:r w:rsidRPr="00141698">
                  <w:rPr>
                    <w:sz w:val="14"/>
                  </w:rPr>
                  <w:t xml:space="preserve">Canada </w:t>
                </w:r>
              </w:p>
            </w:tc>
            <w:tc>
              <w:tcPr>
                <w:tcW w:w="1134" w:type="dxa"/>
              </w:tcPr>
              <w:p w:rsidR="006843E1" w:rsidRPr="00141698" w:rsidRDefault="006843E1" w:rsidP="00141698">
                <w:pPr>
                  <w:pStyle w:val="Tabletext"/>
                  <w:cnfStyle w:val="000000000000" w:firstRow="0" w:lastRow="0" w:firstColumn="0" w:lastColumn="0" w:oddVBand="0" w:evenVBand="0" w:oddHBand="0" w:evenHBand="0" w:firstRowFirstColumn="0" w:firstRowLastColumn="0" w:lastRowFirstColumn="0" w:lastRowLastColumn="0"/>
                  <w:rPr>
                    <w:sz w:val="14"/>
                  </w:rPr>
                </w:pPr>
                <w:r w:rsidRPr="00141698">
                  <w:rPr>
                    <w:sz w:val="14"/>
                  </w:rPr>
                  <w:t xml:space="preserve">$25 million per count (cartels) </w:t>
                </w:r>
              </w:p>
              <w:p w:rsidR="006843E1" w:rsidRPr="00141698" w:rsidRDefault="006843E1" w:rsidP="00141698">
                <w:pPr>
                  <w:pStyle w:val="Tabletext"/>
                  <w:cnfStyle w:val="000000000000" w:firstRow="0" w:lastRow="0" w:firstColumn="0" w:lastColumn="0" w:oddVBand="0" w:evenVBand="0" w:oddHBand="0" w:evenHBand="0" w:firstRowFirstColumn="0" w:firstRowLastColumn="0" w:lastRowFirstColumn="0" w:lastRowLastColumn="0"/>
                  <w:rPr>
                    <w:sz w:val="14"/>
                  </w:rPr>
                </w:pPr>
                <w:r w:rsidRPr="00141698">
                  <w:rPr>
                    <w:sz w:val="14"/>
                  </w:rPr>
                  <w:t>No maximum for other offences</w:t>
                </w:r>
              </w:p>
            </w:tc>
            <w:tc>
              <w:tcPr>
                <w:tcW w:w="1417" w:type="dxa"/>
              </w:tcPr>
              <w:p w:rsidR="006843E1" w:rsidRPr="00141698" w:rsidRDefault="006843E1" w:rsidP="00141698">
                <w:pPr>
                  <w:pStyle w:val="Tabletext"/>
                  <w:cnfStyle w:val="000000000000" w:firstRow="0" w:lastRow="0" w:firstColumn="0" w:lastColumn="0" w:oddVBand="0" w:evenVBand="0" w:oddHBand="0" w:evenHBand="0" w:firstRowFirstColumn="0" w:firstRowLastColumn="0" w:lastRowFirstColumn="0" w:lastRowLastColumn="0"/>
                  <w:rPr>
                    <w:sz w:val="14"/>
                  </w:rPr>
                </w:pPr>
                <w:r w:rsidRPr="00141698">
                  <w:rPr>
                    <w:sz w:val="14"/>
                  </w:rPr>
                  <w:t>$25 million per count (cartels)</w:t>
                </w:r>
              </w:p>
              <w:p w:rsidR="006843E1" w:rsidRPr="00141698" w:rsidRDefault="006843E1" w:rsidP="00141698">
                <w:pPr>
                  <w:pStyle w:val="Tabletext"/>
                  <w:cnfStyle w:val="000000000000" w:firstRow="0" w:lastRow="0" w:firstColumn="0" w:lastColumn="0" w:oddVBand="0" w:evenVBand="0" w:oddHBand="0" w:evenHBand="0" w:firstRowFirstColumn="0" w:firstRowLastColumn="0" w:lastRowFirstColumn="0" w:lastRowLastColumn="0"/>
                  <w:rPr>
                    <w:sz w:val="14"/>
                  </w:rPr>
                </w:pPr>
                <w:r w:rsidRPr="00141698">
                  <w:rPr>
                    <w:sz w:val="14"/>
                  </w:rPr>
                  <w:t>No maximum for other offences</w:t>
                </w:r>
              </w:p>
            </w:tc>
            <w:tc>
              <w:tcPr>
                <w:tcW w:w="1276" w:type="dxa"/>
              </w:tcPr>
              <w:p w:rsidR="006843E1" w:rsidRPr="00141698" w:rsidRDefault="006843E1" w:rsidP="00141698">
                <w:pPr>
                  <w:pStyle w:val="Tabletext"/>
                  <w:cnfStyle w:val="000000000000" w:firstRow="0" w:lastRow="0" w:firstColumn="0" w:lastColumn="0" w:oddVBand="0" w:evenVBand="0" w:oddHBand="0" w:evenHBand="0" w:firstRowFirstColumn="0" w:firstRowLastColumn="0" w:lastRowFirstColumn="0" w:lastRowLastColumn="0"/>
                  <w:rPr>
                    <w:sz w:val="14"/>
                  </w:rPr>
                </w:pPr>
                <w:r w:rsidRPr="00141698">
                  <w:rPr>
                    <w:sz w:val="14"/>
                  </w:rPr>
                  <w:sym w:font="Wingdings" w:char="F0FB"/>
                </w:r>
              </w:p>
            </w:tc>
            <w:tc>
              <w:tcPr>
                <w:tcW w:w="992" w:type="dxa"/>
              </w:tcPr>
              <w:p w:rsidR="006843E1" w:rsidRPr="00141698" w:rsidRDefault="006843E1" w:rsidP="00141698">
                <w:pPr>
                  <w:pStyle w:val="Tabletext"/>
                  <w:cnfStyle w:val="000000000000" w:firstRow="0" w:lastRow="0" w:firstColumn="0" w:lastColumn="0" w:oddVBand="0" w:evenVBand="0" w:oddHBand="0" w:evenHBand="0" w:firstRowFirstColumn="0" w:firstRowLastColumn="0" w:lastRowFirstColumn="0" w:lastRowLastColumn="0"/>
                  <w:rPr>
                    <w:sz w:val="14"/>
                  </w:rPr>
                </w:pPr>
                <w:r w:rsidRPr="00141698">
                  <w:rPr>
                    <w:sz w:val="14"/>
                  </w:rPr>
                  <w:t>14 years</w:t>
                </w:r>
              </w:p>
            </w:tc>
            <w:tc>
              <w:tcPr>
                <w:tcW w:w="1134" w:type="dxa"/>
              </w:tcPr>
              <w:p w:rsidR="006843E1" w:rsidRPr="00141698" w:rsidRDefault="006843E1" w:rsidP="00141698">
                <w:pPr>
                  <w:pStyle w:val="Tabletext"/>
                  <w:cnfStyle w:val="000000000000" w:firstRow="0" w:lastRow="0" w:firstColumn="0" w:lastColumn="0" w:oddVBand="0" w:evenVBand="0" w:oddHBand="0" w:evenHBand="0" w:firstRowFirstColumn="0" w:firstRowLastColumn="0" w:lastRowFirstColumn="0" w:lastRowLastColumn="0"/>
                  <w:rPr>
                    <w:sz w:val="14"/>
                  </w:rPr>
                </w:pPr>
                <w:r w:rsidRPr="00141698">
                  <w:rPr>
                    <w:sz w:val="14"/>
                  </w:rPr>
                  <w:sym w:font="Wingdings" w:char="F0FC"/>
                </w:r>
              </w:p>
            </w:tc>
            <w:tc>
              <w:tcPr>
                <w:tcW w:w="1276" w:type="dxa"/>
              </w:tcPr>
              <w:p w:rsidR="006843E1" w:rsidRPr="00141698" w:rsidRDefault="006843E1" w:rsidP="00141698">
                <w:pPr>
                  <w:pStyle w:val="Tabletext"/>
                  <w:cnfStyle w:val="000000000000" w:firstRow="0" w:lastRow="0" w:firstColumn="0" w:lastColumn="0" w:oddVBand="0" w:evenVBand="0" w:oddHBand="0" w:evenHBand="0" w:firstRowFirstColumn="0" w:firstRowLastColumn="0" w:lastRowFirstColumn="0" w:lastRowLastColumn="0"/>
                  <w:rPr>
                    <w:sz w:val="14"/>
                  </w:rPr>
                </w:pPr>
                <w:r w:rsidRPr="00141698">
                  <w:rPr>
                    <w:sz w:val="14"/>
                  </w:rPr>
                  <w:t>Court Based</w:t>
                </w:r>
              </w:p>
            </w:tc>
            <w:tc>
              <w:tcPr>
                <w:tcW w:w="1054" w:type="dxa"/>
              </w:tcPr>
              <w:p w:rsidR="006843E1" w:rsidRPr="00141698" w:rsidRDefault="006843E1" w:rsidP="00141698">
                <w:pPr>
                  <w:pStyle w:val="Tabletext"/>
                  <w:cnfStyle w:val="000000000000" w:firstRow="0" w:lastRow="0" w:firstColumn="0" w:lastColumn="0" w:oddVBand="0" w:evenVBand="0" w:oddHBand="0" w:evenHBand="0" w:firstRowFirstColumn="0" w:firstRowLastColumn="0" w:lastRowFirstColumn="0" w:lastRowLastColumn="0"/>
                  <w:rPr>
                    <w:sz w:val="14"/>
                  </w:rPr>
                </w:pPr>
                <w:r w:rsidRPr="00141698">
                  <w:rPr>
                    <w:sz w:val="14"/>
                  </w:rPr>
                  <w:t>$13 000 000 for bid rigging</w:t>
                </w:r>
                <w:r w:rsidRPr="00AB0417">
                  <w:rPr>
                    <w:rStyle w:val="FootnoteReference"/>
                    <w:color w:val="auto"/>
                    <w:sz w:val="14"/>
                    <w:szCs w:val="14"/>
                  </w:rPr>
                  <w:footnoteReference w:id="14"/>
                </w:r>
              </w:p>
            </w:tc>
          </w:tr>
          <w:tr w:rsidR="006843E1" w:rsidRPr="0061288B" w:rsidTr="00141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shd w:val="clear" w:color="auto" w:fill="F2F2F2" w:themeFill="background1" w:themeFillShade="F2"/>
              </w:tcPr>
              <w:p w:rsidR="006843E1" w:rsidRPr="00141698" w:rsidRDefault="006843E1" w:rsidP="00141698">
                <w:pPr>
                  <w:pStyle w:val="Tabletext"/>
                  <w:rPr>
                    <w:sz w:val="14"/>
                  </w:rPr>
                </w:pPr>
                <w:r w:rsidRPr="00141698">
                  <w:rPr>
                    <w:sz w:val="14"/>
                  </w:rPr>
                  <w:t xml:space="preserve">European Union </w:t>
                </w:r>
              </w:p>
            </w:tc>
            <w:tc>
              <w:tcPr>
                <w:tcW w:w="1134" w:type="dxa"/>
                <w:shd w:val="clear" w:color="auto" w:fill="F2F2F2" w:themeFill="background1" w:themeFillShade="F2"/>
              </w:tcPr>
              <w:p w:rsidR="006843E1" w:rsidRPr="00141698" w:rsidRDefault="006843E1" w:rsidP="00141698">
                <w:pPr>
                  <w:pStyle w:val="Tabletext"/>
                  <w:cnfStyle w:val="000000100000" w:firstRow="0" w:lastRow="0" w:firstColumn="0" w:lastColumn="0" w:oddVBand="0" w:evenVBand="0" w:oddHBand="1" w:evenHBand="0" w:firstRowFirstColumn="0" w:firstRowLastColumn="0" w:lastRowFirstColumn="0" w:lastRowLastColumn="0"/>
                  <w:rPr>
                    <w:sz w:val="14"/>
                  </w:rPr>
                </w:pPr>
                <w:r w:rsidRPr="00141698">
                  <w:rPr>
                    <w:sz w:val="14"/>
                  </w:rPr>
                  <w:t xml:space="preserve">None </w:t>
                </w:r>
              </w:p>
            </w:tc>
            <w:tc>
              <w:tcPr>
                <w:tcW w:w="1417" w:type="dxa"/>
                <w:shd w:val="clear" w:color="auto" w:fill="F2F2F2" w:themeFill="background1" w:themeFillShade="F2"/>
              </w:tcPr>
              <w:p w:rsidR="006843E1" w:rsidRPr="00141698" w:rsidRDefault="006843E1" w:rsidP="00141698">
                <w:pPr>
                  <w:pStyle w:val="Tabletext"/>
                  <w:cnfStyle w:val="000000100000" w:firstRow="0" w:lastRow="0" w:firstColumn="0" w:lastColumn="0" w:oddVBand="0" w:evenVBand="0" w:oddHBand="1" w:evenHBand="0" w:firstRowFirstColumn="0" w:firstRowLastColumn="0" w:lastRowFirstColumn="0" w:lastRowLastColumn="0"/>
                  <w:rPr>
                    <w:sz w:val="14"/>
                  </w:rPr>
                </w:pPr>
                <w:r w:rsidRPr="00141698">
                  <w:rPr>
                    <w:sz w:val="14"/>
                  </w:rPr>
                  <w:t>10% of annual turnover</w:t>
                </w:r>
              </w:p>
            </w:tc>
            <w:tc>
              <w:tcPr>
                <w:tcW w:w="1276" w:type="dxa"/>
                <w:shd w:val="clear" w:color="auto" w:fill="F2F2F2" w:themeFill="background1" w:themeFillShade="F2"/>
              </w:tcPr>
              <w:p w:rsidR="006843E1" w:rsidRPr="00141698" w:rsidRDefault="006843E1" w:rsidP="00141698">
                <w:pPr>
                  <w:pStyle w:val="Tabletext"/>
                  <w:cnfStyle w:val="000000100000" w:firstRow="0" w:lastRow="0" w:firstColumn="0" w:lastColumn="0" w:oddVBand="0" w:evenVBand="0" w:oddHBand="1" w:evenHBand="0" w:firstRowFirstColumn="0" w:firstRowLastColumn="0" w:lastRowFirstColumn="0" w:lastRowLastColumn="0"/>
                  <w:rPr>
                    <w:sz w:val="14"/>
                  </w:rPr>
                </w:pPr>
                <w:r w:rsidRPr="00141698">
                  <w:rPr>
                    <w:sz w:val="14"/>
                  </w:rPr>
                  <w:sym w:font="Wingdings" w:char="F0FB"/>
                </w:r>
              </w:p>
            </w:tc>
            <w:tc>
              <w:tcPr>
                <w:tcW w:w="992" w:type="dxa"/>
                <w:shd w:val="clear" w:color="auto" w:fill="F2F2F2" w:themeFill="background1" w:themeFillShade="F2"/>
              </w:tcPr>
              <w:p w:rsidR="006843E1" w:rsidRPr="00141698" w:rsidRDefault="006843E1" w:rsidP="00141698">
                <w:pPr>
                  <w:pStyle w:val="Tabletext"/>
                  <w:cnfStyle w:val="000000100000" w:firstRow="0" w:lastRow="0" w:firstColumn="0" w:lastColumn="0" w:oddVBand="0" w:evenVBand="0" w:oddHBand="1" w:evenHBand="0" w:firstRowFirstColumn="0" w:firstRowLastColumn="0" w:lastRowFirstColumn="0" w:lastRowLastColumn="0"/>
                  <w:rPr>
                    <w:sz w:val="14"/>
                  </w:rPr>
                </w:pPr>
                <w:r w:rsidRPr="00141698">
                  <w:rPr>
                    <w:sz w:val="14"/>
                  </w:rPr>
                  <w:sym w:font="Wingdings" w:char="F0FB"/>
                </w:r>
              </w:p>
            </w:tc>
            <w:tc>
              <w:tcPr>
                <w:tcW w:w="1134" w:type="dxa"/>
                <w:shd w:val="clear" w:color="auto" w:fill="F2F2F2" w:themeFill="background1" w:themeFillShade="F2"/>
              </w:tcPr>
              <w:p w:rsidR="006843E1" w:rsidRPr="00141698" w:rsidRDefault="006843E1" w:rsidP="00141698">
                <w:pPr>
                  <w:pStyle w:val="Tabletext"/>
                  <w:cnfStyle w:val="000000100000" w:firstRow="0" w:lastRow="0" w:firstColumn="0" w:lastColumn="0" w:oddVBand="0" w:evenVBand="0" w:oddHBand="1" w:evenHBand="0" w:firstRowFirstColumn="0" w:firstRowLastColumn="0" w:lastRowFirstColumn="0" w:lastRowLastColumn="0"/>
                  <w:rPr>
                    <w:sz w:val="14"/>
                  </w:rPr>
                </w:pPr>
                <w:r w:rsidRPr="00141698">
                  <w:rPr>
                    <w:sz w:val="14"/>
                  </w:rPr>
                  <w:sym w:font="Wingdings" w:char="F0FC"/>
                </w:r>
              </w:p>
            </w:tc>
            <w:tc>
              <w:tcPr>
                <w:tcW w:w="1276" w:type="dxa"/>
                <w:shd w:val="clear" w:color="auto" w:fill="F2F2F2" w:themeFill="background1" w:themeFillShade="F2"/>
              </w:tcPr>
              <w:p w:rsidR="006843E1" w:rsidRPr="00141698" w:rsidRDefault="006843E1" w:rsidP="00141698">
                <w:pPr>
                  <w:pStyle w:val="Tabletext"/>
                  <w:cnfStyle w:val="000000100000" w:firstRow="0" w:lastRow="0" w:firstColumn="0" w:lastColumn="0" w:oddVBand="0" w:evenVBand="0" w:oddHBand="1" w:evenHBand="0" w:firstRowFirstColumn="0" w:firstRowLastColumn="0" w:lastRowFirstColumn="0" w:lastRowLastColumn="0"/>
                  <w:rPr>
                    <w:sz w:val="14"/>
                  </w:rPr>
                </w:pPr>
                <w:r w:rsidRPr="00141698">
                  <w:rPr>
                    <w:sz w:val="14"/>
                  </w:rPr>
                  <w:t>Administrative</w:t>
                </w:r>
              </w:p>
            </w:tc>
            <w:tc>
              <w:tcPr>
                <w:tcW w:w="1054" w:type="dxa"/>
                <w:shd w:val="clear" w:color="auto" w:fill="F2F2F2" w:themeFill="background1" w:themeFillShade="F2"/>
              </w:tcPr>
              <w:p w:rsidR="006843E1" w:rsidRPr="00141698" w:rsidRDefault="006843E1" w:rsidP="00141698">
                <w:pPr>
                  <w:pStyle w:val="Tabletext"/>
                  <w:cnfStyle w:val="000000100000" w:firstRow="0" w:lastRow="0" w:firstColumn="0" w:lastColumn="0" w:oddVBand="0" w:evenVBand="0" w:oddHBand="1" w:evenHBand="0" w:firstRowFirstColumn="0" w:firstRowLastColumn="0" w:lastRowFirstColumn="0" w:lastRowLastColumn="0"/>
                  <w:rPr>
                    <w:sz w:val="14"/>
                  </w:rPr>
                </w:pPr>
                <w:r w:rsidRPr="00141698">
                  <w:rPr>
                    <w:sz w:val="14"/>
                  </w:rPr>
                  <w:t>€110 929 000 for cartel conduct</w:t>
                </w:r>
                <w:r w:rsidRPr="00AB0417">
                  <w:rPr>
                    <w:rStyle w:val="FootnoteReference"/>
                    <w:color w:val="auto"/>
                    <w:sz w:val="14"/>
                    <w:szCs w:val="14"/>
                  </w:rPr>
                  <w:footnoteReference w:id="15"/>
                </w:r>
              </w:p>
            </w:tc>
          </w:tr>
          <w:tr w:rsidR="00141698" w:rsidRPr="00141698" w:rsidTr="00141698">
            <w:tc>
              <w:tcPr>
                <w:cnfStyle w:val="001000000000" w:firstRow="0" w:lastRow="0" w:firstColumn="1" w:lastColumn="0" w:oddVBand="0" w:evenVBand="0" w:oddHBand="0" w:evenHBand="0" w:firstRowFirstColumn="0" w:firstRowLastColumn="0" w:lastRowFirstColumn="0" w:lastRowLastColumn="0"/>
                <w:tcW w:w="959" w:type="dxa"/>
              </w:tcPr>
              <w:p w:rsidR="006843E1" w:rsidRPr="00141698" w:rsidRDefault="006843E1" w:rsidP="00141698">
                <w:pPr>
                  <w:pStyle w:val="Tabletext"/>
                  <w:rPr>
                    <w:sz w:val="14"/>
                  </w:rPr>
                </w:pPr>
                <w:r w:rsidRPr="00141698">
                  <w:rPr>
                    <w:sz w:val="14"/>
                  </w:rPr>
                  <w:t>United Kingdom</w:t>
                </w:r>
              </w:p>
            </w:tc>
            <w:tc>
              <w:tcPr>
                <w:tcW w:w="1134" w:type="dxa"/>
              </w:tcPr>
              <w:p w:rsidR="006843E1" w:rsidRPr="00141698" w:rsidRDefault="006843E1" w:rsidP="00141698">
                <w:pPr>
                  <w:pStyle w:val="Tabletext"/>
                  <w:cnfStyle w:val="000000000000" w:firstRow="0" w:lastRow="0" w:firstColumn="0" w:lastColumn="0" w:oddVBand="0" w:evenVBand="0" w:oddHBand="0" w:evenHBand="0" w:firstRowFirstColumn="0" w:firstRowLastColumn="0" w:lastRowFirstColumn="0" w:lastRowLastColumn="0"/>
                  <w:rPr>
                    <w:sz w:val="14"/>
                  </w:rPr>
                </w:pPr>
                <w:r w:rsidRPr="00141698">
                  <w:rPr>
                    <w:sz w:val="14"/>
                  </w:rPr>
                  <w:t>Unlimited</w:t>
                </w:r>
              </w:p>
            </w:tc>
            <w:tc>
              <w:tcPr>
                <w:tcW w:w="1417" w:type="dxa"/>
              </w:tcPr>
              <w:p w:rsidR="006843E1" w:rsidRPr="00141698" w:rsidRDefault="006843E1" w:rsidP="00141698">
                <w:pPr>
                  <w:pStyle w:val="Tabletext"/>
                  <w:cnfStyle w:val="000000000000" w:firstRow="0" w:lastRow="0" w:firstColumn="0" w:lastColumn="0" w:oddVBand="0" w:evenVBand="0" w:oddHBand="0" w:evenHBand="0" w:firstRowFirstColumn="0" w:firstRowLastColumn="0" w:lastRowFirstColumn="0" w:lastRowLastColumn="0"/>
                  <w:rPr>
                    <w:sz w:val="14"/>
                  </w:rPr>
                </w:pPr>
                <w:r w:rsidRPr="00141698">
                  <w:rPr>
                    <w:sz w:val="14"/>
                  </w:rPr>
                  <w:t xml:space="preserve">10% of annual global turnover </w:t>
                </w:r>
              </w:p>
            </w:tc>
            <w:tc>
              <w:tcPr>
                <w:tcW w:w="1276" w:type="dxa"/>
              </w:tcPr>
              <w:p w:rsidR="006843E1" w:rsidRPr="00141698" w:rsidRDefault="006843E1" w:rsidP="00141698">
                <w:pPr>
                  <w:pStyle w:val="Tabletext"/>
                  <w:cnfStyle w:val="000000000000" w:firstRow="0" w:lastRow="0" w:firstColumn="0" w:lastColumn="0" w:oddVBand="0" w:evenVBand="0" w:oddHBand="0" w:evenHBand="0" w:firstRowFirstColumn="0" w:firstRowLastColumn="0" w:lastRowFirstColumn="0" w:lastRowLastColumn="0"/>
                  <w:rPr>
                    <w:sz w:val="14"/>
                  </w:rPr>
                </w:pPr>
                <w:r w:rsidRPr="00141698">
                  <w:rPr>
                    <w:sz w:val="14"/>
                  </w:rPr>
                  <w:sym w:font="Wingdings" w:char="F0FC"/>
                </w:r>
              </w:p>
            </w:tc>
            <w:tc>
              <w:tcPr>
                <w:tcW w:w="992" w:type="dxa"/>
              </w:tcPr>
              <w:p w:rsidR="006843E1" w:rsidRPr="00141698" w:rsidRDefault="006843E1" w:rsidP="00141698">
                <w:pPr>
                  <w:pStyle w:val="Tabletext"/>
                  <w:cnfStyle w:val="000000000000" w:firstRow="0" w:lastRow="0" w:firstColumn="0" w:lastColumn="0" w:oddVBand="0" w:evenVBand="0" w:oddHBand="0" w:evenHBand="0" w:firstRowFirstColumn="0" w:firstRowLastColumn="0" w:lastRowFirstColumn="0" w:lastRowLastColumn="0"/>
                  <w:rPr>
                    <w:sz w:val="14"/>
                  </w:rPr>
                </w:pPr>
                <w:r w:rsidRPr="00141698">
                  <w:rPr>
                    <w:sz w:val="14"/>
                  </w:rPr>
                  <w:t>5 years</w:t>
                </w:r>
              </w:p>
            </w:tc>
            <w:tc>
              <w:tcPr>
                <w:tcW w:w="1134" w:type="dxa"/>
              </w:tcPr>
              <w:p w:rsidR="006843E1" w:rsidRPr="00141698" w:rsidRDefault="006843E1" w:rsidP="00141698">
                <w:pPr>
                  <w:pStyle w:val="Tabletext"/>
                  <w:cnfStyle w:val="000000000000" w:firstRow="0" w:lastRow="0" w:firstColumn="0" w:lastColumn="0" w:oddVBand="0" w:evenVBand="0" w:oddHBand="0" w:evenHBand="0" w:firstRowFirstColumn="0" w:firstRowLastColumn="0" w:lastRowFirstColumn="0" w:lastRowLastColumn="0"/>
                  <w:rPr>
                    <w:sz w:val="14"/>
                  </w:rPr>
                </w:pPr>
                <w:r w:rsidRPr="00141698">
                  <w:rPr>
                    <w:sz w:val="14"/>
                  </w:rPr>
                  <w:sym w:font="Wingdings" w:char="F0FC"/>
                </w:r>
              </w:p>
            </w:tc>
            <w:tc>
              <w:tcPr>
                <w:tcW w:w="1276" w:type="dxa"/>
              </w:tcPr>
              <w:p w:rsidR="006843E1" w:rsidRPr="00141698" w:rsidRDefault="006843E1" w:rsidP="00141698">
                <w:pPr>
                  <w:pStyle w:val="Tabletext"/>
                  <w:cnfStyle w:val="000000000000" w:firstRow="0" w:lastRow="0" w:firstColumn="0" w:lastColumn="0" w:oddVBand="0" w:evenVBand="0" w:oddHBand="0" w:evenHBand="0" w:firstRowFirstColumn="0" w:firstRowLastColumn="0" w:lastRowFirstColumn="0" w:lastRowLastColumn="0"/>
                  <w:rPr>
                    <w:sz w:val="14"/>
                  </w:rPr>
                </w:pPr>
                <w:r w:rsidRPr="00141698">
                  <w:rPr>
                    <w:sz w:val="14"/>
                  </w:rPr>
                  <w:t>Administrative (civil regime)</w:t>
                </w:r>
              </w:p>
              <w:p w:rsidR="006843E1" w:rsidRPr="00141698" w:rsidRDefault="006843E1" w:rsidP="00141698">
                <w:pPr>
                  <w:pStyle w:val="Tabletext"/>
                  <w:cnfStyle w:val="000000000000" w:firstRow="0" w:lastRow="0" w:firstColumn="0" w:lastColumn="0" w:oddVBand="0" w:evenVBand="0" w:oddHBand="0" w:evenHBand="0" w:firstRowFirstColumn="0" w:firstRowLastColumn="0" w:lastRowFirstColumn="0" w:lastRowLastColumn="0"/>
                  <w:rPr>
                    <w:sz w:val="14"/>
                  </w:rPr>
                </w:pPr>
                <w:r w:rsidRPr="00141698">
                  <w:rPr>
                    <w:sz w:val="14"/>
                  </w:rPr>
                  <w:t>Court Based (criminal regime)</w:t>
                </w:r>
              </w:p>
            </w:tc>
            <w:tc>
              <w:tcPr>
                <w:tcW w:w="1054" w:type="dxa"/>
              </w:tcPr>
              <w:p w:rsidR="006843E1" w:rsidRPr="00141698" w:rsidRDefault="006843E1" w:rsidP="00141698">
                <w:pPr>
                  <w:pStyle w:val="Tabletext"/>
                  <w:cnfStyle w:val="000000000000" w:firstRow="0" w:lastRow="0" w:firstColumn="0" w:lastColumn="0" w:oddVBand="0" w:evenVBand="0" w:oddHBand="0" w:evenHBand="0" w:firstRowFirstColumn="0" w:firstRowLastColumn="0" w:lastRowFirstColumn="0" w:lastRowLastColumn="0"/>
                  <w:rPr>
                    <w:sz w:val="14"/>
                  </w:rPr>
                </w:pPr>
                <w:r w:rsidRPr="00141698">
                  <w:rPr>
                    <w:sz w:val="14"/>
                  </w:rPr>
                  <w:t>£37 606 275 for anti-competitive agreements</w:t>
                </w:r>
                <w:r w:rsidRPr="00AB0417">
                  <w:rPr>
                    <w:rStyle w:val="FootnoteReference"/>
                    <w:color w:val="auto"/>
                    <w:sz w:val="14"/>
                    <w:szCs w:val="14"/>
                  </w:rPr>
                  <w:footnoteReference w:id="16"/>
                </w:r>
              </w:p>
            </w:tc>
          </w:tr>
          <w:tr w:rsidR="00141698" w:rsidRPr="00141698" w:rsidTr="00141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shd w:val="clear" w:color="auto" w:fill="F2F2F2" w:themeFill="background1" w:themeFillShade="F2"/>
              </w:tcPr>
              <w:p w:rsidR="006843E1" w:rsidRPr="00141698" w:rsidRDefault="006843E1" w:rsidP="00141698">
                <w:pPr>
                  <w:pStyle w:val="Tabletext"/>
                  <w:rPr>
                    <w:b w:val="0"/>
                    <w:bCs w:val="0"/>
                    <w:sz w:val="14"/>
                  </w:rPr>
                </w:pPr>
                <w:r w:rsidRPr="00141698">
                  <w:rPr>
                    <w:b w:val="0"/>
                    <w:bCs w:val="0"/>
                    <w:sz w:val="14"/>
                  </w:rPr>
                  <w:t xml:space="preserve">United States </w:t>
                </w:r>
              </w:p>
            </w:tc>
            <w:tc>
              <w:tcPr>
                <w:tcW w:w="1134" w:type="dxa"/>
                <w:shd w:val="clear" w:color="auto" w:fill="F2F2F2" w:themeFill="background1" w:themeFillShade="F2"/>
              </w:tcPr>
              <w:p w:rsidR="006843E1" w:rsidRPr="00141698" w:rsidRDefault="006843E1" w:rsidP="00141698">
                <w:pPr>
                  <w:pStyle w:val="Tabletext"/>
                  <w:cnfStyle w:val="000000100000" w:firstRow="0" w:lastRow="0" w:firstColumn="0" w:lastColumn="0" w:oddVBand="0" w:evenVBand="0" w:oddHBand="1" w:evenHBand="0" w:firstRowFirstColumn="0" w:firstRowLastColumn="0" w:lastRowFirstColumn="0" w:lastRowLastColumn="0"/>
                  <w:rPr>
                    <w:sz w:val="14"/>
                  </w:rPr>
                </w:pPr>
                <w:r w:rsidRPr="00141698">
                  <w:rPr>
                    <w:sz w:val="14"/>
                  </w:rPr>
                  <w:t xml:space="preserve">$1 million </w:t>
                </w:r>
              </w:p>
            </w:tc>
            <w:tc>
              <w:tcPr>
                <w:tcW w:w="1417" w:type="dxa"/>
                <w:shd w:val="clear" w:color="auto" w:fill="F2F2F2" w:themeFill="background1" w:themeFillShade="F2"/>
              </w:tcPr>
              <w:p w:rsidR="006843E1" w:rsidRPr="00141698" w:rsidRDefault="006843E1" w:rsidP="00141698">
                <w:pPr>
                  <w:pStyle w:val="Tabletext"/>
                  <w:cnfStyle w:val="000000100000" w:firstRow="0" w:lastRow="0" w:firstColumn="0" w:lastColumn="0" w:oddVBand="0" w:evenVBand="0" w:oddHBand="1" w:evenHBand="0" w:firstRowFirstColumn="0" w:firstRowLastColumn="0" w:lastRowFirstColumn="0" w:lastRowLastColumn="0"/>
                  <w:rPr>
                    <w:sz w:val="14"/>
                  </w:rPr>
                </w:pPr>
                <w:r w:rsidRPr="00141698">
                  <w:rPr>
                    <w:sz w:val="14"/>
                  </w:rPr>
                  <w:t>$100 million (can be increased in certain circumstances)</w:t>
                </w:r>
                <w:r w:rsidRPr="00AB0417">
                  <w:rPr>
                    <w:rStyle w:val="FootnoteReference"/>
                    <w:color w:val="auto"/>
                    <w:sz w:val="14"/>
                    <w:szCs w:val="14"/>
                  </w:rPr>
                  <w:footnoteReference w:id="17"/>
                </w:r>
              </w:p>
            </w:tc>
            <w:tc>
              <w:tcPr>
                <w:tcW w:w="1276" w:type="dxa"/>
                <w:shd w:val="clear" w:color="auto" w:fill="F2F2F2" w:themeFill="background1" w:themeFillShade="F2"/>
              </w:tcPr>
              <w:p w:rsidR="006843E1" w:rsidRPr="00141698" w:rsidRDefault="006843E1" w:rsidP="00141698">
                <w:pPr>
                  <w:pStyle w:val="Tabletext"/>
                  <w:cnfStyle w:val="000000100000" w:firstRow="0" w:lastRow="0" w:firstColumn="0" w:lastColumn="0" w:oddVBand="0" w:evenVBand="0" w:oddHBand="1" w:evenHBand="0" w:firstRowFirstColumn="0" w:firstRowLastColumn="0" w:lastRowFirstColumn="0" w:lastRowLastColumn="0"/>
                  <w:rPr>
                    <w:sz w:val="14"/>
                  </w:rPr>
                </w:pPr>
                <w:r w:rsidRPr="00141698">
                  <w:rPr>
                    <w:sz w:val="14"/>
                  </w:rPr>
                  <w:sym w:font="Wingdings" w:char="F0FB"/>
                </w:r>
              </w:p>
            </w:tc>
            <w:tc>
              <w:tcPr>
                <w:tcW w:w="992" w:type="dxa"/>
                <w:shd w:val="clear" w:color="auto" w:fill="F2F2F2" w:themeFill="background1" w:themeFillShade="F2"/>
              </w:tcPr>
              <w:p w:rsidR="006843E1" w:rsidRPr="00141698" w:rsidRDefault="006843E1" w:rsidP="00141698">
                <w:pPr>
                  <w:pStyle w:val="Tabletext"/>
                  <w:cnfStyle w:val="000000100000" w:firstRow="0" w:lastRow="0" w:firstColumn="0" w:lastColumn="0" w:oddVBand="0" w:evenVBand="0" w:oddHBand="1" w:evenHBand="0" w:firstRowFirstColumn="0" w:firstRowLastColumn="0" w:lastRowFirstColumn="0" w:lastRowLastColumn="0"/>
                  <w:rPr>
                    <w:sz w:val="14"/>
                  </w:rPr>
                </w:pPr>
                <w:r w:rsidRPr="00141698">
                  <w:rPr>
                    <w:sz w:val="14"/>
                  </w:rPr>
                  <w:t>10 years</w:t>
                </w:r>
              </w:p>
            </w:tc>
            <w:tc>
              <w:tcPr>
                <w:tcW w:w="1134" w:type="dxa"/>
                <w:shd w:val="clear" w:color="auto" w:fill="F2F2F2" w:themeFill="background1" w:themeFillShade="F2"/>
              </w:tcPr>
              <w:p w:rsidR="006843E1" w:rsidRPr="00141698" w:rsidRDefault="006843E1" w:rsidP="00141698">
                <w:pPr>
                  <w:pStyle w:val="Tabletext"/>
                  <w:cnfStyle w:val="000000100000" w:firstRow="0" w:lastRow="0" w:firstColumn="0" w:lastColumn="0" w:oddVBand="0" w:evenVBand="0" w:oddHBand="1" w:evenHBand="0" w:firstRowFirstColumn="0" w:firstRowLastColumn="0" w:lastRowFirstColumn="0" w:lastRowLastColumn="0"/>
                  <w:rPr>
                    <w:sz w:val="14"/>
                  </w:rPr>
                </w:pPr>
                <w:r w:rsidRPr="00141698">
                  <w:rPr>
                    <w:sz w:val="14"/>
                  </w:rPr>
                  <w:sym w:font="Wingdings" w:char="F0FC"/>
                </w:r>
              </w:p>
            </w:tc>
            <w:tc>
              <w:tcPr>
                <w:tcW w:w="1276" w:type="dxa"/>
                <w:shd w:val="clear" w:color="auto" w:fill="F2F2F2" w:themeFill="background1" w:themeFillShade="F2"/>
              </w:tcPr>
              <w:p w:rsidR="006843E1" w:rsidRPr="00141698" w:rsidRDefault="006843E1" w:rsidP="00141698">
                <w:pPr>
                  <w:pStyle w:val="Tabletext"/>
                  <w:cnfStyle w:val="000000100000" w:firstRow="0" w:lastRow="0" w:firstColumn="0" w:lastColumn="0" w:oddVBand="0" w:evenVBand="0" w:oddHBand="1" w:evenHBand="0" w:firstRowFirstColumn="0" w:firstRowLastColumn="0" w:lastRowFirstColumn="0" w:lastRowLastColumn="0"/>
                  <w:rPr>
                    <w:sz w:val="14"/>
                  </w:rPr>
                </w:pPr>
                <w:r w:rsidRPr="00141698">
                  <w:rPr>
                    <w:sz w:val="14"/>
                  </w:rPr>
                  <w:t>Court Based</w:t>
                </w:r>
              </w:p>
            </w:tc>
            <w:tc>
              <w:tcPr>
                <w:tcW w:w="1054" w:type="dxa"/>
                <w:shd w:val="clear" w:color="auto" w:fill="F2F2F2" w:themeFill="background1" w:themeFillShade="F2"/>
              </w:tcPr>
              <w:p w:rsidR="006843E1" w:rsidRPr="00141698" w:rsidRDefault="006843E1" w:rsidP="00141698">
                <w:pPr>
                  <w:pStyle w:val="Tabletext"/>
                  <w:cnfStyle w:val="000000100000" w:firstRow="0" w:lastRow="0" w:firstColumn="0" w:lastColumn="0" w:oddVBand="0" w:evenVBand="0" w:oddHBand="1" w:evenHBand="0" w:firstRowFirstColumn="0" w:firstRowLastColumn="0" w:lastRowFirstColumn="0" w:lastRowLastColumn="0"/>
                  <w:rPr>
                    <w:sz w:val="14"/>
                  </w:rPr>
                </w:pPr>
                <w:r w:rsidRPr="00141698">
                  <w:rPr>
                    <w:sz w:val="14"/>
                  </w:rPr>
                  <w:t>$62 000 000 for criminal cartel conduct</w:t>
                </w:r>
                <w:r w:rsidRPr="00AB0417">
                  <w:rPr>
                    <w:rStyle w:val="FootnoteReference"/>
                    <w:color w:val="auto"/>
                    <w:sz w:val="14"/>
                    <w:szCs w:val="14"/>
                  </w:rPr>
                  <w:footnoteReference w:id="18"/>
                </w:r>
              </w:p>
            </w:tc>
          </w:tr>
          <w:tr w:rsidR="00141698" w:rsidRPr="00141698" w:rsidTr="00141698">
            <w:tc>
              <w:tcPr>
                <w:cnfStyle w:val="001000000000" w:firstRow="0" w:lastRow="0" w:firstColumn="1" w:lastColumn="0" w:oddVBand="0" w:evenVBand="0" w:oddHBand="0" w:evenHBand="0" w:firstRowFirstColumn="0" w:firstRowLastColumn="0" w:lastRowFirstColumn="0" w:lastRowLastColumn="0"/>
                <w:tcW w:w="959" w:type="dxa"/>
              </w:tcPr>
              <w:p w:rsidR="006843E1" w:rsidRPr="00141698" w:rsidRDefault="006843E1" w:rsidP="00141698">
                <w:pPr>
                  <w:pStyle w:val="Tabletext"/>
                  <w:rPr>
                    <w:b w:val="0"/>
                    <w:bCs w:val="0"/>
                    <w:sz w:val="14"/>
                  </w:rPr>
                </w:pPr>
                <w:r w:rsidRPr="00141698">
                  <w:rPr>
                    <w:b w:val="0"/>
                    <w:bCs w:val="0"/>
                    <w:sz w:val="14"/>
                  </w:rPr>
                  <w:t>Japan</w:t>
                </w:r>
              </w:p>
            </w:tc>
            <w:tc>
              <w:tcPr>
                <w:tcW w:w="1134" w:type="dxa"/>
              </w:tcPr>
              <w:p w:rsidR="006843E1" w:rsidRPr="00141698" w:rsidRDefault="006843E1" w:rsidP="00141698">
                <w:pPr>
                  <w:pStyle w:val="Tabletext"/>
                  <w:cnfStyle w:val="000000000000" w:firstRow="0" w:lastRow="0" w:firstColumn="0" w:lastColumn="0" w:oddVBand="0" w:evenVBand="0" w:oddHBand="0" w:evenHBand="0" w:firstRowFirstColumn="0" w:firstRowLastColumn="0" w:lastRowFirstColumn="0" w:lastRowLastColumn="0"/>
                  <w:rPr>
                    <w:sz w:val="14"/>
                  </w:rPr>
                </w:pPr>
                <w:r w:rsidRPr="00141698">
                  <w:rPr>
                    <w:sz w:val="14"/>
                  </w:rPr>
                  <w:t>¥5 million (criminal)</w:t>
                </w:r>
              </w:p>
              <w:p w:rsidR="006843E1" w:rsidRPr="00141698" w:rsidRDefault="006843E1" w:rsidP="00141698">
                <w:pPr>
                  <w:pStyle w:val="Tabletext"/>
                  <w:cnfStyle w:val="000000000000" w:firstRow="0" w:lastRow="0" w:firstColumn="0" w:lastColumn="0" w:oddVBand="0" w:evenVBand="0" w:oddHBand="0" w:evenHBand="0" w:firstRowFirstColumn="0" w:firstRowLastColumn="0" w:lastRowFirstColumn="0" w:lastRowLastColumn="0"/>
                  <w:rPr>
                    <w:sz w:val="14"/>
                  </w:rPr>
                </w:pPr>
              </w:p>
              <w:p w:rsidR="006843E1" w:rsidRPr="00141698" w:rsidRDefault="006843E1" w:rsidP="00141698">
                <w:pPr>
                  <w:pStyle w:val="Tabletext"/>
                  <w:cnfStyle w:val="000000000000" w:firstRow="0" w:lastRow="0" w:firstColumn="0" w:lastColumn="0" w:oddVBand="0" w:evenVBand="0" w:oddHBand="0" w:evenHBand="0" w:firstRowFirstColumn="0" w:firstRowLastColumn="0" w:lastRowFirstColumn="0" w:lastRowLastColumn="0"/>
                  <w:rPr>
                    <w:sz w:val="14"/>
                  </w:rPr>
                </w:pPr>
                <w:r w:rsidRPr="00141698">
                  <w:rPr>
                    <w:sz w:val="14"/>
                  </w:rPr>
                  <w:t>Pecuniary penalties are calculated in accordance with a formula</w:t>
                </w:r>
                <w:r w:rsidRPr="00AB0417">
                  <w:rPr>
                    <w:rStyle w:val="FootnoteReference"/>
                    <w:color w:val="auto"/>
                    <w:sz w:val="14"/>
                    <w:szCs w:val="14"/>
                  </w:rPr>
                  <w:footnoteReference w:id="19"/>
                </w:r>
              </w:p>
            </w:tc>
            <w:tc>
              <w:tcPr>
                <w:tcW w:w="1417" w:type="dxa"/>
              </w:tcPr>
              <w:p w:rsidR="006843E1" w:rsidRPr="00141698" w:rsidRDefault="006843E1" w:rsidP="00141698">
                <w:pPr>
                  <w:pStyle w:val="Tabletext"/>
                  <w:cnfStyle w:val="000000000000" w:firstRow="0" w:lastRow="0" w:firstColumn="0" w:lastColumn="0" w:oddVBand="0" w:evenVBand="0" w:oddHBand="0" w:evenHBand="0" w:firstRowFirstColumn="0" w:firstRowLastColumn="0" w:lastRowFirstColumn="0" w:lastRowLastColumn="0"/>
                  <w:rPr>
                    <w:sz w:val="14"/>
                  </w:rPr>
                </w:pPr>
                <w:r w:rsidRPr="00141698">
                  <w:rPr>
                    <w:sz w:val="14"/>
                  </w:rPr>
                  <w:t>¥500 million  (criminal)</w:t>
                </w:r>
              </w:p>
              <w:p w:rsidR="006843E1" w:rsidRPr="00141698" w:rsidRDefault="006843E1" w:rsidP="00141698">
                <w:pPr>
                  <w:pStyle w:val="Tabletext"/>
                  <w:cnfStyle w:val="000000000000" w:firstRow="0" w:lastRow="0" w:firstColumn="0" w:lastColumn="0" w:oddVBand="0" w:evenVBand="0" w:oddHBand="0" w:evenHBand="0" w:firstRowFirstColumn="0" w:firstRowLastColumn="0" w:lastRowFirstColumn="0" w:lastRowLastColumn="0"/>
                  <w:rPr>
                    <w:sz w:val="14"/>
                  </w:rPr>
                </w:pPr>
              </w:p>
              <w:p w:rsidR="006843E1" w:rsidRPr="00141698" w:rsidRDefault="006843E1" w:rsidP="00141698">
                <w:pPr>
                  <w:pStyle w:val="Tabletext"/>
                  <w:cnfStyle w:val="000000000000" w:firstRow="0" w:lastRow="0" w:firstColumn="0" w:lastColumn="0" w:oddVBand="0" w:evenVBand="0" w:oddHBand="0" w:evenHBand="0" w:firstRowFirstColumn="0" w:firstRowLastColumn="0" w:lastRowFirstColumn="0" w:lastRowLastColumn="0"/>
                  <w:rPr>
                    <w:sz w:val="14"/>
                  </w:rPr>
                </w:pPr>
                <w:r w:rsidRPr="00141698">
                  <w:rPr>
                    <w:sz w:val="14"/>
                  </w:rPr>
                  <w:t xml:space="preserve">10% of turnover for pecuniary penalties. </w:t>
                </w:r>
              </w:p>
            </w:tc>
            <w:tc>
              <w:tcPr>
                <w:tcW w:w="1276" w:type="dxa"/>
              </w:tcPr>
              <w:p w:rsidR="006843E1" w:rsidRPr="00141698" w:rsidRDefault="006843E1" w:rsidP="00141698">
                <w:pPr>
                  <w:pStyle w:val="Tabletext"/>
                  <w:cnfStyle w:val="000000000000" w:firstRow="0" w:lastRow="0" w:firstColumn="0" w:lastColumn="0" w:oddVBand="0" w:evenVBand="0" w:oddHBand="0" w:evenHBand="0" w:firstRowFirstColumn="0" w:firstRowLastColumn="0" w:lastRowFirstColumn="0" w:lastRowLastColumn="0"/>
                  <w:rPr>
                    <w:sz w:val="14"/>
                  </w:rPr>
                </w:pPr>
                <w:r w:rsidRPr="00141698">
                  <w:rPr>
                    <w:sz w:val="14"/>
                  </w:rPr>
                  <w:sym w:font="Wingdings" w:char="F0FB"/>
                </w:r>
              </w:p>
            </w:tc>
            <w:tc>
              <w:tcPr>
                <w:tcW w:w="992" w:type="dxa"/>
              </w:tcPr>
              <w:p w:rsidR="006843E1" w:rsidRPr="00141698" w:rsidRDefault="006843E1" w:rsidP="00141698">
                <w:pPr>
                  <w:pStyle w:val="Tabletext"/>
                  <w:cnfStyle w:val="000000000000" w:firstRow="0" w:lastRow="0" w:firstColumn="0" w:lastColumn="0" w:oddVBand="0" w:evenVBand="0" w:oddHBand="0" w:evenHBand="0" w:firstRowFirstColumn="0" w:firstRowLastColumn="0" w:lastRowFirstColumn="0" w:lastRowLastColumn="0"/>
                  <w:rPr>
                    <w:sz w:val="14"/>
                  </w:rPr>
                </w:pPr>
                <w:r w:rsidRPr="00141698">
                  <w:rPr>
                    <w:sz w:val="14"/>
                  </w:rPr>
                  <w:t>5 years</w:t>
                </w:r>
              </w:p>
            </w:tc>
            <w:tc>
              <w:tcPr>
                <w:tcW w:w="1134" w:type="dxa"/>
              </w:tcPr>
              <w:p w:rsidR="006843E1" w:rsidRPr="00141698" w:rsidRDefault="006843E1" w:rsidP="00141698">
                <w:pPr>
                  <w:pStyle w:val="Tabletext"/>
                  <w:cnfStyle w:val="000000000000" w:firstRow="0" w:lastRow="0" w:firstColumn="0" w:lastColumn="0" w:oddVBand="0" w:evenVBand="0" w:oddHBand="0" w:evenHBand="0" w:firstRowFirstColumn="0" w:firstRowLastColumn="0" w:lastRowFirstColumn="0" w:lastRowLastColumn="0"/>
                  <w:rPr>
                    <w:sz w:val="14"/>
                  </w:rPr>
                </w:pPr>
                <w:r w:rsidRPr="00141698">
                  <w:rPr>
                    <w:sz w:val="14"/>
                  </w:rPr>
                  <w:sym w:font="Wingdings" w:char="F0FC"/>
                </w:r>
              </w:p>
            </w:tc>
            <w:tc>
              <w:tcPr>
                <w:tcW w:w="1276" w:type="dxa"/>
              </w:tcPr>
              <w:p w:rsidR="006843E1" w:rsidRPr="00141698" w:rsidRDefault="006843E1" w:rsidP="00141698">
                <w:pPr>
                  <w:pStyle w:val="Tabletext"/>
                  <w:cnfStyle w:val="000000000000" w:firstRow="0" w:lastRow="0" w:firstColumn="0" w:lastColumn="0" w:oddVBand="0" w:evenVBand="0" w:oddHBand="0" w:evenHBand="0" w:firstRowFirstColumn="0" w:firstRowLastColumn="0" w:lastRowFirstColumn="0" w:lastRowLastColumn="0"/>
                  <w:rPr>
                    <w:sz w:val="14"/>
                  </w:rPr>
                </w:pPr>
                <w:r w:rsidRPr="00141698">
                  <w:rPr>
                    <w:sz w:val="14"/>
                  </w:rPr>
                  <w:t xml:space="preserve">Court-Based (criminal) </w:t>
                </w:r>
              </w:p>
              <w:p w:rsidR="006843E1" w:rsidRPr="00141698" w:rsidRDefault="006843E1" w:rsidP="00141698">
                <w:pPr>
                  <w:pStyle w:val="Tabletext"/>
                  <w:cnfStyle w:val="000000000000" w:firstRow="0" w:lastRow="0" w:firstColumn="0" w:lastColumn="0" w:oddVBand="0" w:evenVBand="0" w:oddHBand="0" w:evenHBand="0" w:firstRowFirstColumn="0" w:firstRowLastColumn="0" w:lastRowFirstColumn="0" w:lastRowLastColumn="0"/>
                  <w:rPr>
                    <w:sz w:val="14"/>
                  </w:rPr>
                </w:pPr>
              </w:p>
              <w:p w:rsidR="006843E1" w:rsidRPr="00141698" w:rsidRDefault="006843E1" w:rsidP="00141698">
                <w:pPr>
                  <w:pStyle w:val="Tabletext"/>
                  <w:cnfStyle w:val="000000000000" w:firstRow="0" w:lastRow="0" w:firstColumn="0" w:lastColumn="0" w:oddVBand="0" w:evenVBand="0" w:oddHBand="0" w:evenHBand="0" w:firstRowFirstColumn="0" w:firstRowLastColumn="0" w:lastRowFirstColumn="0" w:lastRowLastColumn="0"/>
                  <w:rPr>
                    <w:sz w:val="14"/>
                  </w:rPr>
                </w:pPr>
                <w:r w:rsidRPr="00141698">
                  <w:rPr>
                    <w:sz w:val="14"/>
                  </w:rPr>
                  <w:t>Administrative (civil)</w:t>
                </w:r>
              </w:p>
            </w:tc>
            <w:tc>
              <w:tcPr>
                <w:tcW w:w="1054" w:type="dxa"/>
              </w:tcPr>
              <w:p w:rsidR="006843E1" w:rsidRPr="00141698" w:rsidRDefault="006843E1" w:rsidP="00141698">
                <w:pPr>
                  <w:pStyle w:val="Tabletext"/>
                  <w:cnfStyle w:val="000000000000" w:firstRow="0" w:lastRow="0" w:firstColumn="0" w:lastColumn="0" w:oddVBand="0" w:evenVBand="0" w:oddHBand="0" w:evenHBand="0" w:firstRowFirstColumn="0" w:firstRowLastColumn="0" w:lastRowFirstColumn="0" w:lastRowLastColumn="0"/>
                  <w:rPr>
                    <w:sz w:val="14"/>
                  </w:rPr>
                </w:pPr>
                <w:r w:rsidRPr="00141698">
                  <w:rPr>
                    <w:rFonts w:hint="eastAsia"/>
                    <w:sz w:val="14"/>
                  </w:rPr>
                  <w:t>¥</w:t>
                </w:r>
                <w:r w:rsidRPr="00141698">
                  <w:rPr>
                    <w:sz w:val="14"/>
                  </w:rPr>
                  <w:t xml:space="preserve">100 </w:t>
                </w:r>
                <w:r w:rsidRPr="00141698">
                  <w:rPr>
                    <w:rFonts w:hint="eastAsia"/>
                    <w:sz w:val="14"/>
                  </w:rPr>
                  <w:t>063</w:t>
                </w:r>
                <w:r w:rsidRPr="00141698">
                  <w:rPr>
                    <w:sz w:val="14"/>
                  </w:rPr>
                  <w:t xml:space="preserve"> 000</w:t>
                </w:r>
                <w:r w:rsidRPr="00141698">
                  <w:rPr>
                    <w:rFonts w:hint="eastAsia"/>
                    <w:sz w:val="14"/>
                  </w:rPr>
                  <w:t xml:space="preserve"> </w:t>
                </w:r>
                <w:r w:rsidRPr="00141698">
                  <w:rPr>
                    <w:sz w:val="14"/>
                  </w:rPr>
                  <w:t>for cartel conduct</w:t>
                </w:r>
                <w:r w:rsidRPr="00AB0417">
                  <w:rPr>
                    <w:rStyle w:val="FootnoteReference"/>
                    <w:color w:val="auto"/>
                    <w:sz w:val="14"/>
                    <w:szCs w:val="14"/>
                  </w:rPr>
                  <w:footnoteReference w:id="20"/>
                </w:r>
              </w:p>
            </w:tc>
          </w:tr>
          <w:tr w:rsidR="00141698" w:rsidRPr="00141698" w:rsidTr="00141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shd w:val="clear" w:color="auto" w:fill="F2F2F2" w:themeFill="background1" w:themeFillShade="F2"/>
              </w:tcPr>
              <w:p w:rsidR="006843E1" w:rsidRPr="00141698" w:rsidRDefault="006843E1" w:rsidP="00141698">
                <w:pPr>
                  <w:pStyle w:val="Tabletext"/>
                  <w:rPr>
                    <w:sz w:val="14"/>
                  </w:rPr>
                </w:pPr>
                <w:r w:rsidRPr="00141698">
                  <w:rPr>
                    <w:sz w:val="14"/>
                  </w:rPr>
                  <w:t>Netherlands</w:t>
                </w:r>
              </w:p>
            </w:tc>
            <w:tc>
              <w:tcPr>
                <w:tcW w:w="1134" w:type="dxa"/>
                <w:shd w:val="clear" w:color="auto" w:fill="F2F2F2" w:themeFill="background1" w:themeFillShade="F2"/>
              </w:tcPr>
              <w:p w:rsidR="006843E1" w:rsidRPr="00141698" w:rsidRDefault="006843E1" w:rsidP="00141698">
                <w:pPr>
                  <w:pStyle w:val="Tabletext"/>
                  <w:cnfStyle w:val="000000100000" w:firstRow="0" w:lastRow="0" w:firstColumn="0" w:lastColumn="0" w:oddVBand="0" w:evenVBand="0" w:oddHBand="1" w:evenHBand="0" w:firstRowFirstColumn="0" w:firstRowLastColumn="0" w:lastRowFirstColumn="0" w:lastRowLastColumn="0"/>
                  <w:rPr>
                    <w:sz w:val="14"/>
                    <w:szCs w:val="14"/>
                  </w:rPr>
                </w:pPr>
                <w:r w:rsidRPr="00141698">
                  <w:rPr>
                    <w:sz w:val="14"/>
                    <w:szCs w:val="14"/>
                  </w:rPr>
                  <w:t xml:space="preserve">Between 0-50% of the companies </w:t>
                </w:r>
                <w:r w:rsidRPr="00141698">
                  <w:rPr>
                    <w:sz w:val="14"/>
                    <w:szCs w:val="14"/>
                  </w:rPr>
                  <w:lastRenderedPageBreak/>
                  <w:t>relevant turnover</w:t>
                </w:r>
              </w:p>
            </w:tc>
            <w:tc>
              <w:tcPr>
                <w:tcW w:w="1417" w:type="dxa"/>
                <w:shd w:val="clear" w:color="auto" w:fill="F2F2F2" w:themeFill="background1" w:themeFillShade="F2"/>
              </w:tcPr>
              <w:p w:rsidR="006843E1" w:rsidRPr="00141698" w:rsidRDefault="006843E1" w:rsidP="00141698">
                <w:pPr>
                  <w:pStyle w:val="Tabletext"/>
                  <w:cnfStyle w:val="000000100000" w:firstRow="0" w:lastRow="0" w:firstColumn="0" w:lastColumn="0" w:oddVBand="0" w:evenVBand="0" w:oddHBand="1" w:evenHBand="0" w:firstRowFirstColumn="0" w:firstRowLastColumn="0" w:lastRowFirstColumn="0" w:lastRowLastColumn="0"/>
                  <w:rPr>
                    <w:sz w:val="14"/>
                    <w:szCs w:val="14"/>
                  </w:rPr>
                </w:pPr>
                <w:r w:rsidRPr="00141698">
                  <w:rPr>
                    <w:sz w:val="14"/>
                    <w:szCs w:val="14"/>
                  </w:rPr>
                  <w:lastRenderedPageBreak/>
                  <w:t>Between 0-50% of the companies relevant turnover</w:t>
                </w:r>
                <w:r w:rsidRPr="00AB0417">
                  <w:rPr>
                    <w:rStyle w:val="FootnoteReference"/>
                    <w:color w:val="auto"/>
                    <w:sz w:val="14"/>
                    <w:szCs w:val="14"/>
                  </w:rPr>
                  <w:footnoteReference w:id="21"/>
                </w:r>
              </w:p>
            </w:tc>
            <w:tc>
              <w:tcPr>
                <w:tcW w:w="1276" w:type="dxa"/>
                <w:shd w:val="clear" w:color="auto" w:fill="F2F2F2" w:themeFill="background1" w:themeFillShade="F2"/>
              </w:tcPr>
              <w:p w:rsidR="006843E1" w:rsidRPr="00141698" w:rsidRDefault="006843E1" w:rsidP="00141698">
                <w:pPr>
                  <w:pStyle w:val="Tabletext"/>
                  <w:cnfStyle w:val="000000100000" w:firstRow="0" w:lastRow="0" w:firstColumn="0" w:lastColumn="0" w:oddVBand="0" w:evenVBand="0" w:oddHBand="1" w:evenHBand="0" w:firstRowFirstColumn="0" w:firstRowLastColumn="0" w:lastRowFirstColumn="0" w:lastRowLastColumn="0"/>
                  <w:rPr>
                    <w:sz w:val="14"/>
                    <w:szCs w:val="14"/>
                  </w:rPr>
                </w:pPr>
                <w:r w:rsidRPr="00141698">
                  <w:rPr>
                    <w:sz w:val="14"/>
                    <w:szCs w:val="14"/>
                  </w:rPr>
                  <w:sym w:font="Wingdings" w:char="F0FB"/>
                </w:r>
              </w:p>
            </w:tc>
            <w:tc>
              <w:tcPr>
                <w:tcW w:w="992" w:type="dxa"/>
                <w:shd w:val="clear" w:color="auto" w:fill="F2F2F2" w:themeFill="background1" w:themeFillShade="F2"/>
              </w:tcPr>
              <w:p w:rsidR="006843E1" w:rsidRPr="00141698" w:rsidRDefault="006843E1" w:rsidP="00141698">
                <w:pPr>
                  <w:pStyle w:val="Tabletext"/>
                  <w:cnfStyle w:val="000000100000" w:firstRow="0" w:lastRow="0" w:firstColumn="0" w:lastColumn="0" w:oddVBand="0" w:evenVBand="0" w:oddHBand="1" w:evenHBand="0" w:firstRowFirstColumn="0" w:firstRowLastColumn="0" w:lastRowFirstColumn="0" w:lastRowLastColumn="0"/>
                  <w:rPr>
                    <w:sz w:val="14"/>
                    <w:szCs w:val="14"/>
                  </w:rPr>
                </w:pPr>
                <w:r w:rsidRPr="00141698">
                  <w:rPr>
                    <w:sz w:val="14"/>
                    <w:szCs w:val="14"/>
                  </w:rPr>
                  <w:sym w:font="Wingdings" w:char="F0FB"/>
                </w:r>
              </w:p>
            </w:tc>
            <w:tc>
              <w:tcPr>
                <w:tcW w:w="1134" w:type="dxa"/>
                <w:shd w:val="clear" w:color="auto" w:fill="F2F2F2" w:themeFill="background1" w:themeFillShade="F2"/>
              </w:tcPr>
              <w:p w:rsidR="006843E1" w:rsidRPr="00141698" w:rsidRDefault="006843E1" w:rsidP="00141698">
                <w:pPr>
                  <w:pStyle w:val="Tabletext"/>
                  <w:cnfStyle w:val="000000100000" w:firstRow="0" w:lastRow="0" w:firstColumn="0" w:lastColumn="0" w:oddVBand="0" w:evenVBand="0" w:oddHBand="1" w:evenHBand="0" w:firstRowFirstColumn="0" w:firstRowLastColumn="0" w:lastRowFirstColumn="0" w:lastRowLastColumn="0"/>
                  <w:rPr>
                    <w:sz w:val="14"/>
                    <w:szCs w:val="14"/>
                  </w:rPr>
                </w:pPr>
                <w:r w:rsidRPr="00141698">
                  <w:rPr>
                    <w:sz w:val="14"/>
                    <w:szCs w:val="14"/>
                  </w:rPr>
                  <w:sym w:font="Wingdings" w:char="F0FC"/>
                </w:r>
              </w:p>
            </w:tc>
            <w:tc>
              <w:tcPr>
                <w:tcW w:w="1276" w:type="dxa"/>
                <w:shd w:val="clear" w:color="auto" w:fill="F2F2F2" w:themeFill="background1" w:themeFillShade="F2"/>
              </w:tcPr>
              <w:p w:rsidR="006843E1" w:rsidRPr="00141698" w:rsidRDefault="006843E1" w:rsidP="00141698">
                <w:pPr>
                  <w:pStyle w:val="Tabletext"/>
                  <w:cnfStyle w:val="000000100000" w:firstRow="0" w:lastRow="0" w:firstColumn="0" w:lastColumn="0" w:oddVBand="0" w:evenVBand="0" w:oddHBand="1" w:evenHBand="0" w:firstRowFirstColumn="0" w:firstRowLastColumn="0" w:lastRowFirstColumn="0" w:lastRowLastColumn="0"/>
                  <w:rPr>
                    <w:sz w:val="14"/>
                    <w:szCs w:val="14"/>
                  </w:rPr>
                </w:pPr>
                <w:r w:rsidRPr="00141698">
                  <w:rPr>
                    <w:sz w:val="14"/>
                    <w:szCs w:val="14"/>
                  </w:rPr>
                  <w:t>Administrative</w:t>
                </w:r>
              </w:p>
            </w:tc>
            <w:tc>
              <w:tcPr>
                <w:tcW w:w="1054" w:type="dxa"/>
                <w:shd w:val="clear" w:color="auto" w:fill="F2F2F2" w:themeFill="background1" w:themeFillShade="F2"/>
              </w:tcPr>
              <w:p w:rsidR="006843E1" w:rsidRPr="00141698" w:rsidRDefault="006843E1" w:rsidP="00141698">
                <w:pPr>
                  <w:pStyle w:val="Tabletext"/>
                  <w:cnfStyle w:val="000000100000" w:firstRow="0" w:lastRow="0" w:firstColumn="0" w:lastColumn="0" w:oddVBand="0" w:evenVBand="0" w:oddHBand="1" w:evenHBand="0" w:firstRowFirstColumn="0" w:firstRowLastColumn="0" w:lastRowFirstColumn="0" w:lastRowLastColumn="0"/>
                  <w:rPr>
                    <w:sz w:val="14"/>
                    <w:szCs w:val="14"/>
                  </w:rPr>
                </w:pPr>
                <w:r w:rsidRPr="00141698">
                  <w:rPr>
                    <w:sz w:val="14"/>
                    <w:szCs w:val="14"/>
                  </w:rPr>
                  <w:t>€9 600 000 for cartel conduct</w:t>
                </w:r>
                <w:r w:rsidRPr="00AB0417">
                  <w:rPr>
                    <w:rStyle w:val="FootnoteReference"/>
                    <w:color w:val="auto"/>
                    <w:sz w:val="14"/>
                    <w:szCs w:val="14"/>
                  </w:rPr>
                  <w:footnoteReference w:id="22"/>
                </w:r>
              </w:p>
            </w:tc>
          </w:tr>
          <w:tr w:rsidR="00141698" w:rsidRPr="00141698" w:rsidTr="00141698">
            <w:tc>
              <w:tcPr>
                <w:cnfStyle w:val="001000000000" w:firstRow="0" w:lastRow="0" w:firstColumn="1" w:lastColumn="0" w:oddVBand="0" w:evenVBand="0" w:oddHBand="0" w:evenHBand="0" w:firstRowFirstColumn="0" w:firstRowLastColumn="0" w:lastRowFirstColumn="0" w:lastRowLastColumn="0"/>
                <w:tcW w:w="959" w:type="dxa"/>
              </w:tcPr>
              <w:p w:rsidR="006843E1" w:rsidRPr="00141698" w:rsidRDefault="006843E1" w:rsidP="00141698">
                <w:pPr>
                  <w:pStyle w:val="Tabletext"/>
                  <w:rPr>
                    <w:sz w:val="14"/>
                  </w:rPr>
                </w:pPr>
                <w:r w:rsidRPr="00141698">
                  <w:rPr>
                    <w:sz w:val="14"/>
                  </w:rPr>
                  <w:lastRenderedPageBreak/>
                  <w:t>Korea</w:t>
                </w:r>
              </w:p>
            </w:tc>
            <w:tc>
              <w:tcPr>
                <w:tcW w:w="1134" w:type="dxa"/>
              </w:tcPr>
              <w:p w:rsidR="006843E1" w:rsidRPr="00141698" w:rsidRDefault="006843E1" w:rsidP="00141698">
                <w:pPr>
                  <w:pStyle w:val="Tabletext"/>
                  <w:cnfStyle w:val="000000000000" w:firstRow="0" w:lastRow="0" w:firstColumn="0" w:lastColumn="0" w:oddVBand="0" w:evenVBand="0" w:oddHBand="0" w:evenHBand="0" w:firstRowFirstColumn="0" w:firstRowLastColumn="0" w:lastRowFirstColumn="0" w:lastRowLastColumn="0"/>
                  <w:rPr>
                    <w:sz w:val="14"/>
                    <w:szCs w:val="14"/>
                  </w:rPr>
                </w:pPr>
                <w:r w:rsidRPr="00141698">
                  <w:rPr>
                    <w:sz w:val="14"/>
                    <w:szCs w:val="14"/>
                  </w:rPr>
                  <w:t>200 million won</w:t>
                </w:r>
              </w:p>
            </w:tc>
            <w:tc>
              <w:tcPr>
                <w:tcW w:w="1417" w:type="dxa"/>
              </w:tcPr>
              <w:p w:rsidR="006843E1" w:rsidRPr="00141698" w:rsidRDefault="006843E1" w:rsidP="00141698">
                <w:pPr>
                  <w:pStyle w:val="Tabletext"/>
                  <w:cnfStyle w:val="000000000000" w:firstRow="0" w:lastRow="0" w:firstColumn="0" w:lastColumn="0" w:oddVBand="0" w:evenVBand="0" w:oddHBand="0" w:evenHBand="0" w:firstRowFirstColumn="0" w:firstRowLastColumn="0" w:lastRowFirstColumn="0" w:lastRowLastColumn="0"/>
                  <w:rPr>
                    <w:sz w:val="14"/>
                    <w:szCs w:val="14"/>
                  </w:rPr>
                </w:pPr>
                <w:r w:rsidRPr="00141698">
                  <w:rPr>
                    <w:sz w:val="14"/>
                    <w:szCs w:val="14"/>
                  </w:rPr>
                  <w:t>Either:</w:t>
                </w:r>
                <w:r w:rsidRPr="00AB0417">
                  <w:rPr>
                    <w:rStyle w:val="FootnoteReference"/>
                    <w:color w:val="auto"/>
                    <w:sz w:val="14"/>
                    <w:szCs w:val="14"/>
                  </w:rPr>
                  <w:footnoteReference w:id="23"/>
                </w:r>
              </w:p>
              <w:p w:rsidR="006843E1" w:rsidRPr="00141698" w:rsidRDefault="006843E1" w:rsidP="00141698">
                <w:pPr>
                  <w:pStyle w:val="Tabletext"/>
                  <w:cnfStyle w:val="000000000000" w:firstRow="0" w:lastRow="0" w:firstColumn="0" w:lastColumn="0" w:oddVBand="0" w:evenVBand="0" w:oddHBand="0" w:evenHBand="0" w:firstRowFirstColumn="0" w:firstRowLastColumn="0" w:lastRowFirstColumn="0" w:lastRowLastColumn="0"/>
                  <w:rPr>
                    <w:rFonts w:cs="Arial"/>
                    <w:sz w:val="14"/>
                    <w:szCs w:val="14"/>
                  </w:rPr>
                </w:pPr>
                <w:r w:rsidRPr="00141698">
                  <w:rPr>
                    <w:rFonts w:cs="Arial"/>
                    <w:sz w:val="14"/>
                    <w:szCs w:val="14"/>
                  </w:rPr>
                  <w:t xml:space="preserve">3 times the gain </w:t>
                </w:r>
              </w:p>
              <w:p w:rsidR="006843E1" w:rsidRPr="00141698" w:rsidRDefault="006843E1" w:rsidP="00141698">
                <w:pPr>
                  <w:pStyle w:val="Tabletext"/>
                  <w:cnfStyle w:val="000000000000" w:firstRow="0" w:lastRow="0" w:firstColumn="0" w:lastColumn="0" w:oddVBand="0" w:evenVBand="0" w:oddHBand="0" w:evenHBand="0" w:firstRowFirstColumn="0" w:firstRowLastColumn="0" w:lastRowFirstColumn="0" w:lastRowLastColumn="0"/>
                  <w:rPr>
                    <w:rFonts w:cs="Arial"/>
                    <w:sz w:val="14"/>
                    <w:szCs w:val="14"/>
                  </w:rPr>
                </w:pPr>
                <w:r w:rsidRPr="00141698">
                  <w:rPr>
                    <w:rFonts w:cs="Arial"/>
                    <w:sz w:val="14"/>
                    <w:szCs w:val="14"/>
                  </w:rPr>
                  <w:t xml:space="preserve">10% of annual turnover </w:t>
                </w:r>
              </w:p>
              <w:p w:rsidR="006843E1" w:rsidRPr="00141698" w:rsidRDefault="006843E1" w:rsidP="00141698">
                <w:pPr>
                  <w:pStyle w:val="Tabletext"/>
                  <w:cnfStyle w:val="000000000000" w:firstRow="0" w:lastRow="0" w:firstColumn="0" w:lastColumn="0" w:oddVBand="0" w:evenVBand="0" w:oddHBand="0" w:evenHBand="0" w:firstRowFirstColumn="0" w:firstRowLastColumn="0" w:lastRowFirstColumn="0" w:lastRowLastColumn="0"/>
                  <w:rPr>
                    <w:sz w:val="14"/>
                    <w:szCs w:val="14"/>
                  </w:rPr>
                </w:pPr>
                <w:r w:rsidRPr="00141698">
                  <w:rPr>
                    <w:rFonts w:cs="Arial"/>
                    <w:sz w:val="14"/>
                    <w:szCs w:val="14"/>
                  </w:rPr>
                  <w:t>2% of turnover</w:t>
                </w:r>
              </w:p>
            </w:tc>
            <w:tc>
              <w:tcPr>
                <w:tcW w:w="1276" w:type="dxa"/>
              </w:tcPr>
              <w:p w:rsidR="006843E1" w:rsidRPr="00141698" w:rsidRDefault="006843E1" w:rsidP="00141698">
                <w:pPr>
                  <w:pStyle w:val="Tabletext"/>
                  <w:cnfStyle w:val="000000000000" w:firstRow="0" w:lastRow="0" w:firstColumn="0" w:lastColumn="0" w:oddVBand="0" w:evenVBand="0" w:oddHBand="0" w:evenHBand="0" w:firstRowFirstColumn="0" w:firstRowLastColumn="0" w:lastRowFirstColumn="0" w:lastRowLastColumn="0"/>
                  <w:rPr>
                    <w:sz w:val="14"/>
                    <w:szCs w:val="14"/>
                  </w:rPr>
                </w:pPr>
                <w:r w:rsidRPr="00141698">
                  <w:rPr>
                    <w:sz w:val="14"/>
                    <w:szCs w:val="14"/>
                  </w:rPr>
                  <w:sym w:font="Wingdings" w:char="F0FB"/>
                </w:r>
              </w:p>
            </w:tc>
            <w:tc>
              <w:tcPr>
                <w:tcW w:w="992" w:type="dxa"/>
              </w:tcPr>
              <w:p w:rsidR="006843E1" w:rsidRPr="00141698" w:rsidRDefault="006843E1" w:rsidP="00141698">
                <w:pPr>
                  <w:pStyle w:val="Tabletext"/>
                  <w:cnfStyle w:val="000000000000" w:firstRow="0" w:lastRow="0" w:firstColumn="0" w:lastColumn="0" w:oddVBand="0" w:evenVBand="0" w:oddHBand="0" w:evenHBand="0" w:firstRowFirstColumn="0" w:firstRowLastColumn="0" w:lastRowFirstColumn="0" w:lastRowLastColumn="0"/>
                  <w:rPr>
                    <w:sz w:val="14"/>
                    <w:szCs w:val="14"/>
                  </w:rPr>
                </w:pPr>
                <w:r w:rsidRPr="00141698">
                  <w:rPr>
                    <w:sz w:val="14"/>
                    <w:szCs w:val="14"/>
                  </w:rPr>
                  <w:t>3 years</w:t>
                </w:r>
              </w:p>
            </w:tc>
            <w:tc>
              <w:tcPr>
                <w:tcW w:w="1134" w:type="dxa"/>
              </w:tcPr>
              <w:p w:rsidR="006843E1" w:rsidRPr="00141698" w:rsidRDefault="006843E1" w:rsidP="00141698">
                <w:pPr>
                  <w:pStyle w:val="Tabletext"/>
                  <w:cnfStyle w:val="000000000000" w:firstRow="0" w:lastRow="0" w:firstColumn="0" w:lastColumn="0" w:oddVBand="0" w:evenVBand="0" w:oddHBand="0" w:evenHBand="0" w:firstRowFirstColumn="0" w:firstRowLastColumn="0" w:lastRowFirstColumn="0" w:lastRowLastColumn="0"/>
                  <w:rPr>
                    <w:sz w:val="14"/>
                    <w:szCs w:val="14"/>
                  </w:rPr>
                </w:pPr>
                <w:r w:rsidRPr="00141698">
                  <w:rPr>
                    <w:sz w:val="14"/>
                    <w:szCs w:val="14"/>
                  </w:rPr>
                  <w:sym w:font="Wingdings" w:char="F0FC"/>
                </w:r>
              </w:p>
            </w:tc>
            <w:tc>
              <w:tcPr>
                <w:tcW w:w="1276" w:type="dxa"/>
              </w:tcPr>
              <w:p w:rsidR="006843E1" w:rsidRPr="00141698" w:rsidRDefault="006843E1" w:rsidP="00141698">
                <w:pPr>
                  <w:pStyle w:val="Tabletext"/>
                  <w:cnfStyle w:val="000000000000" w:firstRow="0" w:lastRow="0" w:firstColumn="0" w:lastColumn="0" w:oddVBand="0" w:evenVBand="0" w:oddHBand="0" w:evenHBand="0" w:firstRowFirstColumn="0" w:firstRowLastColumn="0" w:lastRowFirstColumn="0" w:lastRowLastColumn="0"/>
                  <w:rPr>
                    <w:sz w:val="14"/>
                    <w:szCs w:val="14"/>
                  </w:rPr>
                </w:pPr>
                <w:r w:rsidRPr="00141698">
                  <w:rPr>
                    <w:sz w:val="14"/>
                    <w:szCs w:val="14"/>
                  </w:rPr>
                  <w:t xml:space="preserve">Administrative (civil) </w:t>
                </w:r>
              </w:p>
              <w:p w:rsidR="006843E1" w:rsidRPr="00141698" w:rsidRDefault="006843E1" w:rsidP="00141698">
                <w:pPr>
                  <w:pStyle w:val="Tabletext"/>
                  <w:cnfStyle w:val="000000000000" w:firstRow="0" w:lastRow="0" w:firstColumn="0" w:lastColumn="0" w:oddVBand="0" w:evenVBand="0" w:oddHBand="0" w:evenHBand="0" w:firstRowFirstColumn="0" w:firstRowLastColumn="0" w:lastRowFirstColumn="0" w:lastRowLastColumn="0"/>
                  <w:rPr>
                    <w:sz w:val="14"/>
                    <w:szCs w:val="14"/>
                  </w:rPr>
                </w:pPr>
              </w:p>
              <w:p w:rsidR="006843E1" w:rsidRPr="00141698" w:rsidRDefault="006843E1" w:rsidP="00141698">
                <w:pPr>
                  <w:pStyle w:val="Tabletext"/>
                  <w:cnfStyle w:val="000000000000" w:firstRow="0" w:lastRow="0" w:firstColumn="0" w:lastColumn="0" w:oddVBand="0" w:evenVBand="0" w:oddHBand="0" w:evenHBand="0" w:firstRowFirstColumn="0" w:firstRowLastColumn="0" w:lastRowFirstColumn="0" w:lastRowLastColumn="0"/>
                  <w:rPr>
                    <w:sz w:val="14"/>
                    <w:szCs w:val="14"/>
                  </w:rPr>
                </w:pPr>
                <w:r w:rsidRPr="00141698">
                  <w:rPr>
                    <w:sz w:val="14"/>
                    <w:szCs w:val="14"/>
                  </w:rPr>
                  <w:t>Court Based (criminal)</w:t>
                </w:r>
              </w:p>
            </w:tc>
            <w:tc>
              <w:tcPr>
                <w:tcW w:w="1054" w:type="dxa"/>
              </w:tcPr>
              <w:p w:rsidR="006843E1" w:rsidRPr="00141698" w:rsidRDefault="006843E1" w:rsidP="00141698">
                <w:pPr>
                  <w:pStyle w:val="Tabletext"/>
                  <w:cnfStyle w:val="000000000000" w:firstRow="0" w:lastRow="0" w:firstColumn="0" w:lastColumn="0" w:oddVBand="0" w:evenVBand="0" w:oddHBand="0" w:evenHBand="0" w:firstRowFirstColumn="0" w:firstRowLastColumn="0" w:lastRowFirstColumn="0" w:lastRowLastColumn="0"/>
                  <w:rPr>
                    <w:sz w:val="14"/>
                    <w:szCs w:val="14"/>
                  </w:rPr>
                </w:pPr>
                <w:r w:rsidRPr="00141698">
                  <w:rPr>
                    <w:sz w:val="14"/>
                    <w:szCs w:val="14"/>
                  </w:rPr>
                  <w:t>1.8 billion won for resale price maintenance</w:t>
                </w:r>
                <w:r w:rsidRPr="00AB0417">
                  <w:rPr>
                    <w:rStyle w:val="FootnoteReference"/>
                    <w:color w:val="auto"/>
                    <w:sz w:val="14"/>
                    <w:szCs w:val="14"/>
                  </w:rPr>
                  <w:footnoteReference w:id="24"/>
                </w:r>
              </w:p>
            </w:tc>
          </w:tr>
          <w:tr w:rsidR="00141698" w:rsidRPr="00141698" w:rsidTr="00141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shd w:val="clear" w:color="auto" w:fill="F2F2F2" w:themeFill="background1" w:themeFillShade="F2"/>
              </w:tcPr>
              <w:p w:rsidR="006843E1" w:rsidRPr="00141698" w:rsidRDefault="006843E1" w:rsidP="00141698">
                <w:pPr>
                  <w:pStyle w:val="Tabletext"/>
                  <w:rPr>
                    <w:sz w:val="14"/>
                  </w:rPr>
                </w:pPr>
                <w:r w:rsidRPr="00141698">
                  <w:rPr>
                    <w:sz w:val="14"/>
                  </w:rPr>
                  <w:t xml:space="preserve">Singapore </w:t>
                </w:r>
              </w:p>
            </w:tc>
            <w:tc>
              <w:tcPr>
                <w:tcW w:w="1134" w:type="dxa"/>
                <w:shd w:val="clear" w:color="auto" w:fill="F2F2F2" w:themeFill="background1" w:themeFillShade="F2"/>
              </w:tcPr>
              <w:p w:rsidR="006843E1" w:rsidRPr="00141698" w:rsidRDefault="006843E1" w:rsidP="00141698">
                <w:pPr>
                  <w:pStyle w:val="Tabletext"/>
                  <w:cnfStyle w:val="000000100000" w:firstRow="0" w:lastRow="0" w:firstColumn="0" w:lastColumn="0" w:oddVBand="0" w:evenVBand="0" w:oddHBand="1" w:evenHBand="0" w:firstRowFirstColumn="0" w:firstRowLastColumn="0" w:lastRowFirstColumn="0" w:lastRowLastColumn="0"/>
                  <w:rPr>
                    <w:sz w:val="14"/>
                    <w:szCs w:val="14"/>
                  </w:rPr>
                </w:pPr>
                <w:r w:rsidRPr="00141698">
                  <w:rPr>
                    <w:sz w:val="14"/>
                    <w:szCs w:val="14"/>
                  </w:rPr>
                  <w:sym w:font="Wingdings" w:char="F0FB"/>
                </w:r>
              </w:p>
            </w:tc>
            <w:tc>
              <w:tcPr>
                <w:tcW w:w="1417" w:type="dxa"/>
                <w:shd w:val="clear" w:color="auto" w:fill="F2F2F2" w:themeFill="background1" w:themeFillShade="F2"/>
              </w:tcPr>
              <w:p w:rsidR="006843E1" w:rsidRPr="00141698" w:rsidRDefault="006843E1" w:rsidP="00141698">
                <w:pPr>
                  <w:pStyle w:val="Tabletext"/>
                  <w:cnfStyle w:val="000000100000" w:firstRow="0" w:lastRow="0" w:firstColumn="0" w:lastColumn="0" w:oddVBand="0" w:evenVBand="0" w:oddHBand="1" w:evenHBand="0" w:firstRowFirstColumn="0" w:firstRowLastColumn="0" w:lastRowFirstColumn="0" w:lastRowLastColumn="0"/>
                  <w:rPr>
                    <w:sz w:val="14"/>
                    <w:szCs w:val="14"/>
                  </w:rPr>
                </w:pPr>
                <w:r w:rsidRPr="00141698">
                  <w:rPr>
                    <w:sz w:val="14"/>
                    <w:szCs w:val="14"/>
                  </w:rPr>
                  <w:t>Up to 10% of turnover for the years engaged in the conduct (up to 3 years)</w:t>
                </w:r>
              </w:p>
            </w:tc>
            <w:tc>
              <w:tcPr>
                <w:tcW w:w="1276" w:type="dxa"/>
                <w:shd w:val="clear" w:color="auto" w:fill="F2F2F2" w:themeFill="background1" w:themeFillShade="F2"/>
              </w:tcPr>
              <w:p w:rsidR="006843E1" w:rsidRPr="00141698" w:rsidRDefault="006843E1" w:rsidP="00141698">
                <w:pPr>
                  <w:pStyle w:val="Tabletext"/>
                  <w:cnfStyle w:val="000000100000" w:firstRow="0" w:lastRow="0" w:firstColumn="0" w:lastColumn="0" w:oddVBand="0" w:evenVBand="0" w:oddHBand="1" w:evenHBand="0" w:firstRowFirstColumn="0" w:firstRowLastColumn="0" w:lastRowFirstColumn="0" w:lastRowLastColumn="0"/>
                  <w:rPr>
                    <w:sz w:val="14"/>
                    <w:szCs w:val="14"/>
                  </w:rPr>
                </w:pPr>
                <w:r w:rsidRPr="00141698">
                  <w:rPr>
                    <w:sz w:val="14"/>
                    <w:szCs w:val="14"/>
                  </w:rPr>
                  <w:sym w:font="Wingdings" w:char="F0FB"/>
                </w:r>
              </w:p>
            </w:tc>
            <w:tc>
              <w:tcPr>
                <w:tcW w:w="992" w:type="dxa"/>
                <w:shd w:val="clear" w:color="auto" w:fill="F2F2F2" w:themeFill="background1" w:themeFillShade="F2"/>
              </w:tcPr>
              <w:p w:rsidR="006843E1" w:rsidRPr="00141698" w:rsidRDefault="006843E1" w:rsidP="00141698">
                <w:pPr>
                  <w:pStyle w:val="Tabletext"/>
                  <w:cnfStyle w:val="000000100000" w:firstRow="0" w:lastRow="0" w:firstColumn="0" w:lastColumn="0" w:oddVBand="0" w:evenVBand="0" w:oddHBand="1" w:evenHBand="0" w:firstRowFirstColumn="0" w:firstRowLastColumn="0" w:lastRowFirstColumn="0" w:lastRowLastColumn="0"/>
                  <w:rPr>
                    <w:sz w:val="14"/>
                    <w:szCs w:val="14"/>
                  </w:rPr>
                </w:pPr>
                <w:r w:rsidRPr="00141698">
                  <w:rPr>
                    <w:sz w:val="14"/>
                    <w:szCs w:val="14"/>
                  </w:rPr>
                  <w:sym w:font="Wingdings" w:char="F0FB"/>
                </w:r>
              </w:p>
            </w:tc>
            <w:tc>
              <w:tcPr>
                <w:tcW w:w="1134" w:type="dxa"/>
                <w:shd w:val="clear" w:color="auto" w:fill="F2F2F2" w:themeFill="background1" w:themeFillShade="F2"/>
              </w:tcPr>
              <w:p w:rsidR="006843E1" w:rsidRPr="00141698" w:rsidRDefault="006843E1" w:rsidP="00141698">
                <w:pPr>
                  <w:pStyle w:val="Tabletext"/>
                  <w:cnfStyle w:val="000000100000" w:firstRow="0" w:lastRow="0" w:firstColumn="0" w:lastColumn="0" w:oddVBand="0" w:evenVBand="0" w:oddHBand="1" w:evenHBand="0" w:firstRowFirstColumn="0" w:firstRowLastColumn="0" w:lastRowFirstColumn="0" w:lastRowLastColumn="0"/>
                  <w:rPr>
                    <w:sz w:val="14"/>
                    <w:szCs w:val="14"/>
                  </w:rPr>
                </w:pPr>
                <w:r w:rsidRPr="00141698">
                  <w:rPr>
                    <w:sz w:val="14"/>
                    <w:szCs w:val="14"/>
                  </w:rPr>
                  <w:sym w:font="Wingdings" w:char="F0FC"/>
                </w:r>
              </w:p>
            </w:tc>
            <w:tc>
              <w:tcPr>
                <w:tcW w:w="1276" w:type="dxa"/>
                <w:shd w:val="clear" w:color="auto" w:fill="F2F2F2" w:themeFill="background1" w:themeFillShade="F2"/>
              </w:tcPr>
              <w:p w:rsidR="006843E1" w:rsidRPr="00141698" w:rsidRDefault="006843E1" w:rsidP="00141698">
                <w:pPr>
                  <w:pStyle w:val="Tabletext"/>
                  <w:cnfStyle w:val="000000100000" w:firstRow="0" w:lastRow="0" w:firstColumn="0" w:lastColumn="0" w:oddVBand="0" w:evenVBand="0" w:oddHBand="1" w:evenHBand="0" w:firstRowFirstColumn="0" w:firstRowLastColumn="0" w:lastRowFirstColumn="0" w:lastRowLastColumn="0"/>
                  <w:rPr>
                    <w:sz w:val="14"/>
                    <w:szCs w:val="14"/>
                  </w:rPr>
                </w:pPr>
                <w:r w:rsidRPr="00141698">
                  <w:rPr>
                    <w:sz w:val="14"/>
                    <w:szCs w:val="14"/>
                  </w:rPr>
                  <w:t>Administrative</w:t>
                </w:r>
              </w:p>
            </w:tc>
            <w:tc>
              <w:tcPr>
                <w:tcW w:w="1054" w:type="dxa"/>
                <w:shd w:val="clear" w:color="auto" w:fill="F2F2F2" w:themeFill="background1" w:themeFillShade="F2"/>
              </w:tcPr>
              <w:p w:rsidR="006843E1" w:rsidRPr="00141698" w:rsidRDefault="003A4CBE" w:rsidP="00141698">
                <w:pPr>
                  <w:pStyle w:val="Tabletext"/>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$7.4 million for anti-competitive agreements</w:t>
                </w:r>
                <w:r>
                  <w:rPr>
                    <w:rStyle w:val="FootnoteReference"/>
                    <w:sz w:val="14"/>
                    <w:szCs w:val="14"/>
                  </w:rPr>
                  <w:footnoteReference w:id="25"/>
                </w:r>
              </w:p>
            </w:tc>
          </w:tr>
        </w:tbl>
        <w:p w:rsidR="006843E1" w:rsidRDefault="00141698" w:rsidP="00141698">
          <w:pPr>
            <w:pStyle w:val="Tabletitle"/>
          </w:pPr>
          <w:r w:rsidRPr="00141698">
            <w:t>Table 2: Consumer Law Penalties</w:t>
          </w:r>
        </w:p>
      </w:sdtContent>
    </w:sdt>
    <w:tbl>
      <w:tblPr>
        <w:tblStyle w:val="LightShading-Accent1"/>
        <w:tblW w:w="0" w:type="auto"/>
        <w:tblLook w:val="04A0" w:firstRow="1" w:lastRow="0" w:firstColumn="1" w:lastColumn="0" w:noHBand="0" w:noVBand="1"/>
      </w:tblPr>
      <w:tblGrid>
        <w:gridCol w:w="1041"/>
        <w:gridCol w:w="1240"/>
        <w:gridCol w:w="1271"/>
        <w:gridCol w:w="1288"/>
        <w:gridCol w:w="881"/>
        <w:gridCol w:w="1111"/>
        <w:gridCol w:w="1297"/>
        <w:gridCol w:w="1113"/>
      </w:tblGrid>
      <w:tr w:rsidR="00141698" w:rsidRPr="00141698" w:rsidTr="00141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141698" w:rsidRPr="00141698" w:rsidRDefault="00141698" w:rsidP="00141698">
            <w:pPr>
              <w:pStyle w:val="Tabletext"/>
              <w:rPr>
                <w:sz w:val="14"/>
              </w:rPr>
            </w:pPr>
            <w:r w:rsidRPr="00141698">
              <w:rPr>
                <w:sz w:val="14"/>
              </w:rPr>
              <w:t xml:space="preserve">Country </w:t>
            </w:r>
          </w:p>
        </w:tc>
        <w:tc>
          <w:tcPr>
            <w:tcW w:w="0" w:type="auto"/>
          </w:tcPr>
          <w:p w:rsidR="00141698" w:rsidRPr="00141698" w:rsidRDefault="00141698" w:rsidP="00141698">
            <w:pPr>
              <w:pStyle w:val="Tabletext"/>
              <w:cnfStyle w:val="100000000000" w:firstRow="1" w:lastRow="0" w:firstColumn="0" w:lastColumn="0" w:oddVBand="0" w:evenVBand="0" w:oddHBand="0" w:evenHBand="0" w:firstRowFirstColumn="0" w:firstRowLastColumn="0" w:lastRowFirstColumn="0" w:lastRowLastColumn="0"/>
              <w:rPr>
                <w:sz w:val="14"/>
              </w:rPr>
            </w:pPr>
            <w:r w:rsidRPr="00141698">
              <w:rPr>
                <w:sz w:val="14"/>
              </w:rPr>
              <w:t xml:space="preserve">Individual Pecuniary penalty </w:t>
            </w:r>
          </w:p>
        </w:tc>
        <w:tc>
          <w:tcPr>
            <w:tcW w:w="0" w:type="auto"/>
          </w:tcPr>
          <w:p w:rsidR="00141698" w:rsidRPr="00141698" w:rsidRDefault="00141698" w:rsidP="00141698">
            <w:pPr>
              <w:pStyle w:val="Tabletext"/>
              <w:cnfStyle w:val="100000000000" w:firstRow="1" w:lastRow="0" w:firstColumn="0" w:lastColumn="0" w:oddVBand="0" w:evenVBand="0" w:oddHBand="0" w:evenHBand="0" w:firstRowFirstColumn="0" w:firstRowLastColumn="0" w:lastRowFirstColumn="0" w:lastRowLastColumn="0"/>
              <w:rPr>
                <w:sz w:val="14"/>
              </w:rPr>
            </w:pPr>
            <w:r w:rsidRPr="00141698">
              <w:rPr>
                <w:sz w:val="14"/>
              </w:rPr>
              <w:t>Corporations Pecuniary penalty</w:t>
            </w:r>
          </w:p>
        </w:tc>
        <w:tc>
          <w:tcPr>
            <w:tcW w:w="0" w:type="auto"/>
          </w:tcPr>
          <w:p w:rsidR="00141698" w:rsidRPr="00141698" w:rsidRDefault="00141698" w:rsidP="00141698">
            <w:pPr>
              <w:pStyle w:val="Tabletext"/>
              <w:cnfStyle w:val="100000000000" w:firstRow="1" w:lastRow="0" w:firstColumn="0" w:lastColumn="0" w:oddVBand="0" w:evenVBand="0" w:oddHBand="0" w:evenHBand="0" w:firstRowFirstColumn="0" w:firstRowLastColumn="0" w:lastRowFirstColumn="0" w:lastRowLastColumn="0"/>
              <w:rPr>
                <w:sz w:val="14"/>
              </w:rPr>
            </w:pPr>
            <w:r w:rsidRPr="00141698">
              <w:rPr>
                <w:sz w:val="14"/>
              </w:rPr>
              <w:t xml:space="preserve">Disqualification Orders </w:t>
            </w:r>
          </w:p>
        </w:tc>
        <w:tc>
          <w:tcPr>
            <w:tcW w:w="0" w:type="auto"/>
          </w:tcPr>
          <w:p w:rsidR="00141698" w:rsidRPr="00141698" w:rsidRDefault="00141698" w:rsidP="00141698">
            <w:pPr>
              <w:pStyle w:val="Tabletext"/>
              <w:cnfStyle w:val="100000000000" w:firstRow="1" w:lastRow="0" w:firstColumn="0" w:lastColumn="0" w:oddVBand="0" w:evenVBand="0" w:oddHBand="0" w:evenHBand="0" w:firstRowFirstColumn="0" w:firstRowLastColumn="0" w:lastRowFirstColumn="0" w:lastRowLastColumn="0"/>
              <w:rPr>
                <w:sz w:val="14"/>
              </w:rPr>
            </w:pPr>
            <w:r w:rsidRPr="00141698">
              <w:rPr>
                <w:sz w:val="14"/>
              </w:rPr>
              <w:t>Prison</w:t>
            </w:r>
          </w:p>
        </w:tc>
        <w:tc>
          <w:tcPr>
            <w:tcW w:w="0" w:type="auto"/>
          </w:tcPr>
          <w:p w:rsidR="00141698" w:rsidRPr="00141698" w:rsidRDefault="00141698" w:rsidP="00141698">
            <w:pPr>
              <w:pStyle w:val="Tabletext"/>
              <w:cnfStyle w:val="100000000000" w:firstRow="1" w:lastRow="0" w:firstColumn="0" w:lastColumn="0" w:oddVBand="0" w:evenVBand="0" w:oddHBand="0" w:evenHBand="0" w:firstRowFirstColumn="0" w:firstRowLastColumn="0" w:lastRowFirstColumn="0" w:lastRowLastColumn="0"/>
              <w:rPr>
                <w:sz w:val="14"/>
              </w:rPr>
            </w:pPr>
            <w:r w:rsidRPr="00141698">
              <w:rPr>
                <w:sz w:val="14"/>
              </w:rPr>
              <w:t>Undertakings</w:t>
            </w:r>
          </w:p>
        </w:tc>
        <w:tc>
          <w:tcPr>
            <w:tcW w:w="0" w:type="auto"/>
          </w:tcPr>
          <w:p w:rsidR="00141698" w:rsidRPr="00141698" w:rsidRDefault="00141698" w:rsidP="00141698">
            <w:pPr>
              <w:pStyle w:val="Tabletext"/>
              <w:cnfStyle w:val="100000000000" w:firstRow="1" w:lastRow="0" w:firstColumn="0" w:lastColumn="0" w:oddVBand="0" w:evenVBand="0" w:oddHBand="0" w:evenHBand="0" w:firstRowFirstColumn="0" w:firstRowLastColumn="0" w:lastRowFirstColumn="0" w:lastRowLastColumn="0"/>
              <w:rPr>
                <w:sz w:val="14"/>
              </w:rPr>
            </w:pPr>
            <w:r w:rsidRPr="00141698">
              <w:rPr>
                <w:sz w:val="14"/>
              </w:rPr>
              <w:t>Court Based or Administrative Jurisdiction</w:t>
            </w:r>
          </w:p>
        </w:tc>
        <w:tc>
          <w:tcPr>
            <w:tcW w:w="0" w:type="auto"/>
          </w:tcPr>
          <w:p w:rsidR="00141698" w:rsidRPr="00141698" w:rsidRDefault="00141698" w:rsidP="00141698">
            <w:pPr>
              <w:pStyle w:val="Tabletext"/>
              <w:cnfStyle w:val="100000000000" w:firstRow="1" w:lastRow="0" w:firstColumn="0" w:lastColumn="0" w:oddVBand="0" w:evenVBand="0" w:oddHBand="0" w:evenHBand="0" w:firstRowFirstColumn="0" w:firstRowLastColumn="0" w:lastRowFirstColumn="0" w:lastRowLastColumn="0"/>
              <w:rPr>
                <w:sz w:val="14"/>
              </w:rPr>
            </w:pPr>
            <w:r w:rsidRPr="00141698">
              <w:rPr>
                <w:sz w:val="14"/>
              </w:rPr>
              <w:t>Recent Penalty Example</w:t>
            </w:r>
          </w:p>
        </w:tc>
      </w:tr>
      <w:tr w:rsidR="00141698" w:rsidRPr="00141698" w:rsidTr="00141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rsidR="00141698" w:rsidRPr="00141698" w:rsidRDefault="00141698" w:rsidP="00141698">
            <w:pPr>
              <w:pStyle w:val="Tabletext"/>
              <w:rPr>
                <w:sz w:val="14"/>
              </w:rPr>
            </w:pPr>
            <w:r w:rsidRPr="00141698">
              <w:rPr>
                <w:sz w:val="14"/>
              </w:rPr>
              <w:t>Australia</w:t>
            </w:r>
          </w:p>
        </w:tc>
        <w:tc>
          <w:tcPr>
            <w:tcW w:w="0" w:type="auto"/>
            <w:shd w:val="clear" w:color="auto" w:fill="F2F2F2" w:themeFill="background1" w:themeFillShade="F2"/>
          </w:tcPr>
          <w:p w:rsidR="00141698" w:rsidRPr="00141698" w:rsidRDefault="00141698" w:rsidP="00B26352">
            <w:pPr>
              <w:pStyle w:val="Tabletext"/>
              <w:cnfStyle w:val="000000100000" w:firstRow="0" w:lastRow="0" w:firstColumn="0" w:lastColumn="0" w:oddVBand="0" w:evenVBand="0" w:oddHBand="1" w:evenHBand="0" w:firstRowFirstColumn="0" w:firstRowLastColumn="0" w:lastRowFirstColumn="0" w:lastRowLastColumn="0"/>
              <w:rPr>
                <w:sz w:val="14"/>
              </w:rPr>
            </w:pPr>
            <w:r w:rsidRPr="00141698">
              <w:rPr>
                <w:sz w:val="14"/>
              </w:rPr>
              <w:t>$220</w:t>
            </w:r>
            <w:r w:rsidR="00B26352">
              <w:rPr>
                <w:sz w:val="14"/>
              </w:rPr>
              <w:t xml:space="preserve"> </w:t>
            </w:r>
            <w:r w:rsidRPr="00141698">
              <w:rPr>
                <w:sz w:val="14"/>
              </w:rPr>
              <w:t>000</w:t>
            </w:r>
          </w:p>
        </w:tc>
        <w:tc>
          <w:tcPr>
            <w:tcW w:w="0" w:type="auto"/>
            <w:shd w:val="clear" w:color="auto" w:fill="F2F2F2" w:themeFill="background1" w:themeFillShade="F2"/>
          </w:tcPr>
          <w:p w:rsidR="00141698" w:rsidRPr="00141698" w:rsidRDefault="00141698" w:rsidP="00141698">
            <w:pPr>
              <w:pStyle w:val="Tabletext"/>
              <w:cnfStyle w:val="000000100000" w:firstRow="0" w:lastRow="0" w:firstColumn="0" w:lastColumn="0" w:oddVBand="0" w:evenVBand="0" w:oddHBand="1" w:evenHBand="0" w:firstRowFirstColumn="0" w:firstRowLastColumn="0" w:lastRowFirstColumn="0" w:lastRowLastColumn="0"/>
              <w:rPr>
                <w:sz w:val="14"/>
              </w:rPr>
            </w:pPr>
            <w:r w:rsidRPr="00141698">
              <w:rPr>
                <w:sz w:val="14"/>
              </w:rPr>
              <w:t xml:space="preserve">$1.1 million </w:t>
            </w:r>
          </w:p>
        </w:tc>
        <w:tc>
          <w:tcPr>
            <w:tcW w:w="0" w:type="auto"/>
            <w:shd w:val="clear" w:color="auto" w:fill="F2F2F2" w:themeFill="background1" w:themeFillShade="F2"/>
          </w:tcPr>
          <w:p w:rsidR="00141698" w:rsidRPr="00141698" w:rsidRDefault="00141698" w:rsidP="00141698">
            <w:pPr>
              <w:pStyle w:val="Tabletext"/>
              <w:cnfStyle w:val="000000100000" w:firstRow="0" w:lastRow="0" w:firstColumn="0" w:lastColumn="0" w:oddVBand="0" w:evenVBand="0" w:oddHBand="1" w:evenHBand="0" w:firstRowFirstColumn="0" w:firstRowLastColumn="0" w:lastRowFirstColumn="0" w:lastRowLastColumn="0"/>
              <w:rPr>
                <w:sz w:val="14"/>
              </w:rPr>
            </w:pPr>
            <w:r w:rsidRPr="00141698">
              <w:rPr>
                <w:sz w:val="14"/>
              </w:rPr>
              <w:sym w:font="Wingdings" w:char="F0FC"/>
            </w:r>
          </w:p>
        </w:tc>
        <w:tc>
          <w:tcPr>
            <w:tcW w:w="0" w:type="auto"/>
            <w:shd w:val="clear" w:color="auto" w:fill="F2F2F2" w:themeFill="background1" w:themeFillShade="F2"/>
          </w:tcPr>
          <w:p w:rsidR="00141698" w:rsidRPr="00141698" w:rsidRDefault="00141698" w:rsidP="00141698">
            <w:pPr>
              <w:pStyle w:val="Tabletext"/>
              <w:cnfStyle w:val="000000100000" w:firstRow="0" w:lastRow="0" w:firstColumn="0" w:lastColumn="0" w:oddVBand="0" w:evenVBand="0" w:oddHBand="1" w:evenHBand="0" w:firstRowFirstColumn="0" w:firstRowLastColumn="0" w:lastRowFirstColumn="0" w:lastRowLastColumn="0"/>
              <w:rPr>
                <w:sz w:val="14"/>
              </w:rPr>
            </w:pPr>
            <w:r w:rsidRPr="00141698">
              <w:rPr>
                <w:sz w:val="14"/>
              </w:rPr>
              <w:sym w:font="Wingdings" w:char="F0FB"/>
            </w:r>
          </w:p>
        </w:tc>
        <w:tc>
          <w:tcPr>
            <w:tcW w:w="0" w:type="auto"/>
            <w:shd w:val="clear" w:color="auto" w:fill="F2F2F2" w:themeFill="background1" w:themeFillShade="F2"/>
          </w:tcPr>
          <w:p w:rsidR="00141698" w:rsidRPr="00141698" w:rsidRDefault="00141698" w:rsidP="00141698">
            <w:pPr>
              <w:pStyle w:val="Tabletext"/>
              <w:cnfStyle w:val="000000100000" w:firstRow="0" w:lastRow="0" w:firstColumn="0" w:lastColumn="0" w:oddVBand="0" w:evenVBand="0" w:oddHBand="1" w:evenHBand="0" w:firstRowFirstColumn="0" w:firstRowLastColumn="0" w:lastRowFirstColumn="0" w:lastRowLastColumn="0"/>
              <w:rPr>
                <w:sz w:val="14"/>
              </w:rPr>
            </w:pPr>
            <w:r w:rsidRPr="00141698">
              <w:rPr>
                <w:sz w:val="14"/>
              </w:rPr>
              <w:sym w:font="Wingdings" w:char="F0FC"/>
            </w:r>
          </w:p>
        </w:tc>
        <w:tc>
          <w:tcPr>
            <w:tcW w:w="0" w:type="auto"/>
            <w:shd w:val="clear" w:color="auto" w:fill="F2F2F2" w:themeFill="background1" w:themeFillShade="F2"/>
          </w:tcPr>
          <w:p w:rsidR="00141698" w:rsidRPr="00141698" w:rsidRDefault="00141698" w:rsidP="00141698">
            <w:pPr>
              <w:pStyle w:val="Tabletext"/>
              <w:cnfStyle w:val="000000100000" w:firstRow="0" w:lastRow="0" w:firstColumn="0" w:lastColumn="0" w:oddVBand="0" w:evenVBand="0" w:oddHBand="1" w:evenHBand="0" w:firstRowFirstColumn="0" w:firstRowLastColumn="0" w:lastRowFirstColumn="0" w:lastRowLastColumn="0"/>
              <w:rPr>
                <w:sz w:val="14"/>
              </w:rPr>
            </w:pPr>
            <w:r w:rsidRPr="00141698">
              <w:rPr>
                <w:sz w:val="14"/>
              </w:rPr>
              <w:t xml:space="preserve">Court Based </w:t>
            </w:r>
          </w:p>
        </w:tc>
        <w:tc>
          <w:tcPr>
            <w:tcW w:w="0" w:type="auto"/>
            <w:shd w:val="clear" w:color="auto" w:fill="F2F2F2" w:themeFill="background1" w:themeFillShade="F2"/>
          </w:tcPr>
          <w:p w:rsidR="00141698" w:rsidRPr="00141698" w:rsidRDefault="00141698" w:rsidP="00141698">
            <w:pPr>
              <w:pStyle w:val="Tabletext"/>
              <w:cnfStyle w:val="000000100000" w:firstRow="0" w:lastRow="0" w:firstColumn="0" w:lastColumn="0" w:oddVBand="0" w:evenVBand="0" w:oddHBand="1" w:evenHBand="0" w:firstRowFirstColumn="0" w:firstRowLastColumn="0" w:lastRowFirstColumn="0" w:lastRowLastColumn="0"/>
              <w:rPr>
                <w:sz w:val="14"/>
              </w:rPr>
            </w:pPr>
            <w:r w:rsidRPr="00141698">
              <w:rPr>
                <w:sz w:val="14"/>
              </w:rPr>
              <w:t>$100 000 for false and misleading conduct</w:t>
            </w:r>
            <w:r w:rsidRPr="00AB0417">
              <w:rPr>
                <w:rStyle w:val="FootnoteReference"/>
                <w:color w:val="auto"/>
                <w:sz w:val="14"/>
                <w:szCs w:val="14"/>
              </w:rPr>
              <w:footnoteReference w:id="26"/>
            </w:r>
          </w:p>
        </w:tc>
      </w:tr>
      <w:tr w:rsidR="00141698" w:rsidRPr="00141698" w:rsidTr="00141698">
        <w:tc>
          <w:tcPr>
            <w:cnfStyle w:val="001000000000" w:firstRow="0" w:lastRow="0" w:firstColumn="1" w:lastColumn="0" w:oddVBand="0" w:evenVBand="0" w:oddHBand="0" w:evenHBand="0" w:firstRowFirstColumn="0" w:firstRowLastColumn="0" w:lastRowFirstColumn="0" w:lastRowLastColumn="0"/>
            <w:tcW w:w="0" w:type="auto"/>
          </w:tcPr>
          <w:p w:rsidR="00141698" w:rsidRPr="00141698" w:rsidRDefault="00141698" w:rsidP="00141698">
            <w:pPr>
              <w:pStyle w:val="Tabletext"/>
              <w:rPr>
                <w:sz w:val="14"/>
              </w:rPr>
            </w:pPr>
            <w:r w:rsidRPr="00141698">
              <w:rPr>
                <w:sz w:val="14"/>
              </w:rPr>
              <w:t xml:space="preserve">Canada </w:t>
            </w:r>
          </w:p>
        </w:tc>
        <w:tc>
          <w:tcPr>
            <w:tcW w:w="0" w:type="auto"/>
          </w:tcPr>
          <w:p w:rsidR="00141698" w:rsidRPr="00141698" w:rsidRDefault="00141698" w:rsidP="00141698">
            <w:pPr>
              <w:pStyle w:val="Tabletext"/>
              <w:cnfStyle w:val="000000000000" w:firstRow="0" w:lastRow="0" w:firstColumn="0" w:lastColumn="0" w:oddVBand="0" w:evenVBand="0" w:oddHBand="0" w:evenHBand="0" w:firstRowFirstColumn="0" w:firstRowLastColumn="0" w:lastRowFirstColumn="0" w:lastRowLastColumn="0"/>
              <w:rPr>
                <w:sz w:val="14"/>
              </w:rPr>
            </w:pPr>
            <w:r w:rsidRPr="00141698">
              <w:rPr>
                <w:sz w:val="14"/>
              </w:rPr>
              <w:t xml:space="preserve">Unlimited for indictable offences </w:t>
            </w:r>
          </w:p>
          <w:p w:rsidR="00141698" w:rsidRPr="00141698" w:rsidRDefault="00141698" w:rsidP="00B26352">
            <w:pPr>
              <w:pStyle w:val="Tabletext"/>
              <w:cnfStyle w:val="000000000000" w:firstRow="0" w:lastRow="0" w:firstColumn="0" w:lastColumn="0" w:oddVBand="0" w:evenVBand="0" w:oddHBand="0" w:evenHBand="0" w:firstRowFirstColumn="0" w:firstRowLastColumn="0" w:lastRowFirstColumn="0" w:lastRowLastColumn="0"/>
              <w:rPr>
                <w:sz w:val="14"/>
              </w:rPr>
            </w:pPr>
            <w:r w:rsidRPr="00141698">
              <w:rPr>
                <w:sz w:val="14"/>
              </w:rPr>
              <w:t>$200</w:t>
            </w:r>
            <w:r w:rsidR="00B26352">
              <w:rPr>
                <w:sz w:val="14"/>
              </w:rPr>
              <w:t xml:space="preserve"> </w:t>
            </w:r>
            <w:r w:rsidRPr="00141698">
              <w:rPr>
                <w:sz w:val="14"/>
              </w:rPr>
              <w:t xml:space="preserve">000 for summary offences </w:t>
            </w:r>
          </w:p>
        </w:tc>
        <w:tc>
          <w:tcPr>
            <w:tcW w:w="0" w:type="auto"/>
          </w:tcPr>
          <w:p w:rsidR="00141698" w:rsidRPr="00141698" w:rsidRDefault="00141698" w:rsidP="00141698">
            <w:pPr>
              <w:pStyle w:val="Tabletext"/>
              <w:cnfStyle w:val="000000000000" w:firstRow="0" w:lastRow="0" w:firstColumn="0" w:lastColumn="0" w:oddVBand="0" w:evenVBand="0" w:oddHBand="0" w:evenHBand="0" w:firstRowFirstColumn="0" w:firstRowLastColumn="0" w:lastRowFirstColumn="0" w:lastRowLastColumn="0"/>
              <w:rPr>
                <w:sz w:val="14"/>
              </w:rPr>
            </w:pPr>
            <w:r w:rsidRPr="00141698">
              <w:rPr>
                <w:sz w:val="14"/>
              </w:rPr>
              <w:t xml:space="preserve">No maximum for indictable offences </w:t>
            </w:r>
          </w:p>
          <w:p w:rsidR="00141698" w:rsidRPr="00141698" w:rsidRDefault="00141698" w:rsidP="00B26352">
            <w:pPr>
              <w:pStyle w:val="Tabletext"/>
              <w:cnfStyle w:val="000000000000" w:firstRow="0" w:lastRow="0" w:firstColumn="0" w:lastColumn="0" w:oddVBand="0" w:evenVBand="0" w:oddHBand="0" w:evenHBand="0" w:firstRowFirstColumn="0" w:firstRowLastColumn="0" w:lastRowFirstColumn="0" w:lastRowLastColumn="0"/>
              <w:rPr>
                <w:sz w:val="14"/>
              </w:rPr>
            </w:pPr>
            <w:r w:rsidRPr="00141698">
              <w:rPr>
                <w:sz w:val="14"/>
              </w:rPr>
              <w:t>$200</w:t>
            </w:r>
            <w:r w:rsidR="00B26352">
              <w:rPr>
                <w:sz w:val="14"/>
              </w:rPr>
              <w:t xml:space="preserve"> </w:t>
            </w:r>
            <w:r w:rsidRPr="00141698">
              <w:rPr>
                <w:sz w:val="14"/>
              </w:rPr>
              <w:t>000 for summary offences</w:t>
            </w:r>
          </w:p>
        </w:tc>
        <w:tc>
          <w:tcPr>
            <w:tcW w:w="0" w:type="auto"/>
          </w:tcPr>
          <w:p w:rsidR="00141698" w:rsidRPr="00141698" w:rsidRDefault="00141698" w:rsidP="00141698">
            <w:pPr>
              <w:pStyle w:val="Tabletext"/>
              <w:cnfStyle w:val="000000000000" w:firstRow="0" w:lastRow="0" w:firstColumn="0" w:lastColumn="0" w:oddVBand="0" w:evenVBand="0" w:oddHBand="0" w:evenHBand="0" w:firstRowFirstColumn="0" w:firstRowLastColumn="0" w:lastRowFirstColumn="0" w:lastRowLastColumn="0"/>
              <w:rPr>
                <w:sz w:val="14"/>
              </w:rPr>
            </w:pPr>
            <w:r w:rsidRPr="00141698">
              <w:rPr>
                <w:sz w:val="14"/>
              </w:rPr>
              <w:sym w:font="Wingdings" w:char="F0FB"/>
            </w:r>
          </w:p>
        </w:tc>
        <w:tc>
          <w:tcPr>
            <w:tcW w:w="0" w:type="auto"/>
          </w:tcPr>
          <w:p w:rsidR="00141698" w:rsidRPr="00141698" w:rsidRDefault="00141698" w:rsidP="00141698">
            <w:pPr>
              <w:pStyle w:val="Tabletext"/>
              <w:cnfStyle w:val="000000000000" w:firstRow="0" w:lastRow="0" w:firstColumn="0" w:lastColumn="0" w:oddVBand="0" w:evenVBand="0" w:oddHBand="0" w:evenHBand="0" w:firstRowFirstColumn="0" w:firstRowLastColumn="0" w:lastRowFirstColumn="0" w:lastRowLastColumn="0"/>
              <w:rPr>
                <w:sz w:val="14"/>
              </w:rPr>
            </w:pPr>
            <w:r w:rsidRPr="00141698">
              <w:rPr>
                <w:sz w:val="14"/>
              </w:rPr>
              <w:t>14 years for indictable offense</w:t>
            </w:r>
          </w:p>
          <w:p w:rsidR="00141698" w:rsidRPr="00141698" w:rsidRDefault="00141698" w:rsidP="00141698">
            <w:pPr>
              <w:pStyle w:val="Tabletext"/>
              <w:cnfStyle w:val="000000000000" w:firstRow="0" w:lastRow="0" w:firstColumn="0" w:lastColumn="0" w:oddVBand="0" w:evenVBand="0" w:oddHBand="0" w:evenHBand="0" w:firstRowFirstColumn="0" w:firstRowLastColumn="0" w:lastRowFirstColumn="0" w:lastRowLastColumn="0"/>
              <w:rPr>
                <w:sz w:val="14"/>
              </w:rPr>
            </w:pPr>
            <w:r w:rsidRPr="00141698">
              <w:rPr>
                <w:sz w:val="14"/>
              </w:rPr>
              <w:t>1 year for summary offences</w:t>
            </w:r>
          </w:p>
        </w:tc>
        <w:tc>
          <w:tcPr>
            <w:tcW w:w="0" w:type="auto"/>
          </w:tcPr>
          <w:p w:rsidR="00141698" w:rsidRPr="00141698" w:rsidRDefault="00141698" w:rsidP="00141698">
            <w:pPr>
              <w:pStyle w:val="Tabletext"/>
              <w:cnfStyle w:val="000000000000" w:firstRow="0" w:lastRow="0" w:firstColumn="0" w:lastColumn="0" w:oddVBand="0" w:evenVBand="0" w:oddHBand="0" w:evenHBand="0" w:firstRowFirstColumn="0" w:firstRowLastColumn="0" w:lastRowFirstColumn="0" w:lastRowLastColumn="0"/>
              <w:rPr>
                <w:sz w:val="14"/>
              </w:rPr>
            </w:pPr>
            <w:r w:rsidRPr="00141698">
              <w:rPr>
                <w:sz w:val="14"/>
              </w:rPr>
              <w:sym w:font="Wingdings" w:char="F0FC"/>
            </w:r>
          </w:p>
        </w:tc>
        <w:tc>
          <w:tcPr>
            <w:tcW w:w="0" w:type="auto"/>
          </w:tcPr>
          <w:p w:rsidR="00141698" w:rsidRPr="00141698" w:rsidRDefault="00141698" w:rsidP="00141698">
            <w:pPr>
              <w:pStyle w:val="Tabletext"/>
              <w:cnfStyle w:val="000000000000" w:firstRow="0" w:lastRow="0" w:firstColumn="0" w:lastColumn="0" w:oddVBand="0" w:evenVBand="0" w:oddHBand="0" w:evenHBand="0" w:firstRowFirstColumn="0" w:firstRowLastColumn="0" w:lastRowFirstColumn="0" w:lastRowLastColumn="0"/>
              <w:rPr>
                <w:sz w:val="14"/>
              </w:rPr>
            </w:pPr>
            <w:r w:rsidRPr="00141698">
              <w:rPr>
                <w:sz w:val="14"/>
              </w:rPr>
              <w:t>Court Based</w:t>
            </w:r>
          </w:p>
        </w:tc>
        <w:tc>
          <w:tcPr>
            <w:tcW w:w="0" w:type="auto"/>
          </w:tcPr>
          <w:p w:rsidR="00141698" w:rsidRPr="00141698" w:rsidRDefault="00141698" w:rsidP="00141698">
            <w:pPr>
              <w:pStyle w:val="Tabletext"/>
              <w:cnfStyle w:val="000000000000" w:firstRow="0" w:lastRow="0" w:firstColumn="0" w:lastColumn="0" w:oddVBand="0" w:evenVBand="0" w:oddHBand="0" w:evenHBand="0" w:firstRowFirstColumn="0" w:firstRowLastColumn="0" w:lastRowFirstColumn="0" w:lastRowLastColumn="0"/>
              <w:rPr>
                <w:sz w:val="14"/>
              </w:rPr>
            </w:pPr>
            <w:r>
              <w:rPr>
                <w:sz w:val="14"/>
              </w:rPr>
              <w:t>$</w:t>
            </w:r>
            <w:r w:rsidRPr="00141698">
              <w:rPr>
                <w:sz w:val="14"/>
              </w:rPr>
              <w:t>3 500 000 for misleading pricing</w:t>
            </w:r>
            <w:r w:rsidRPr="00AB0417">
              <w:rPr>
                <w:rStyle w:val="FootnoteReference"/>
                <w:color w:val="auto"/>
                <w:sz w:val="14"/>
                <w:szCs w:val="14"/>
              </w:rPr>
              <w:footnoteReference w:id="27"/>
            </w:r>
          </w:p>
        </w:tc>
      </w:tr>
      <w:tr w:rsidR="00141698" w:rsidRPr="00141698" w:rsidTr="00141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rsidR="00141698" w:rsidRPr="00141698" w:rsidRDefault="00141698" w:rsidP="00141698">
            <w:pPr>
              <w:pStyle w:val="Tabletext"/>
              <w:rPr>
                <w:sz w:val="14"/>
              </w:rPr>
            </w:pPr>
            <w:r w:rsidRPr="00141698">
              <w:rPr>
                <w:sz w:val="14"/>
              </w:rPr>
              <w:t xml:space="preserve">European Union </w:t>
            </w:r>
          </w:p>
        </w:tc>
        <w:tc>
          <w:tcPr>
            <w:tcW w:w="0" w:type="auto"/>
            <w:shd w:val="clear" w:color="auto" w:fill="F2F2F2" w:themeFill="background1" w:themeFillShade="F2"/>
          </w:tcPr>
          <w:p w:rsidR="00141698" w:rsidRPr="00141698" w:rsidRDefault="00141698" w:rsidP="00141698">
            <w:pPr>
              <w:pStyle w:val="Tabletext"/>
              <w:cnfStyle w:val="000000100000" w:firstRow="0" w:lastRow="0" w:firstColumn="0" w:lastColumn="0" w:oddVBand="0" w:evenVBand="0" w:oddHBand="1" w:evenHBand="0" w:firstRowFirstColumn="0" w:firstRowLastColumn="0" w:lastRowFirstColumn="0" w:lastRowLastColumn="0"/>
              <w:rPr>
                <w:sz w:val="14"/>
              </w:rPr>
            </w:pPr>
            <w:r w:rsidRPr="00141698">
              <w:rPr>
                <w:sz w:val="14"/>
              </w:rPr>
              <w:t>None</w:t>
            </w:r>
          </w:p>
        </w:tc>
        <w:tc>
          <w:tcPr>
            <w:tcW w:w="0" w:type="auto"/>
            <w:shd w:val="clear" w:color="auto" w:fill="F2F2F2" w:themeFill="background1" w:themeFillShade="F2"/>
          </w:tcPr>
          <w:p w:rsidR="00141698" w:rsidRPr="00141698" w:rsidRDefault="00141698" w:rsidP="00141698">
            <w:pPr>
              <w:pStyle w:val="Tabletext"/>
              <w:cnfStyle w:val="000000100000" w:firstRow="0" w:lastRow="0" w:firstColumn="0" w:lastColumn="0" w:oddVBand="0" w:evenVBand="0" w:oddHBand="1" w:evenHBand="0" w:firstRowFirstColumn="0" w:firstRowLastColumn="0" w:lastRowFirstColumn="0" w:lastRowLastColumn="0"/>
              <w:rPr>
                <w:sz w:val="14"/>
              </w:rPr>
            </w:pPr>
            <w:r w:rsidRPr="00141698">
              <w:rPr>
                <w:sz w:val="14"/>
              </w:rPr>
              <w:sym w:font="Wingdings" w:char="F0FB"/>
            </w:r>
          </w:p>
        </w:tc>
        <w:tc>
          <w:tcPr>
            <w:tcW w:w="0" w:type="auto"/>
            <w:shd w:val="clear" w:color="auto" w:fill="F2F2F2" w:themeFill="background1" w:themeFillShade="F2"/>
          </w:tcPr>
          <w:p w:rsidR="00141698" w:rsidRPr="00141698" w:rsidRDefault="00141698" w:rsidP="00141698">
            <w:pPr>
              <w:pStyle w:val="Tabletext"/>
              <w:cnfStyle w:val="000000100000" w:firstRow="0" w:lastRow="0" w:firstColumn="0" w:lastColumn="0" w:oddVBand="0" w:evenVBand="0" w:oddHBand="1" w:evenHBand="0" w:firstRowFirstColumn="0" w:firstRowLastColumn="0" w:lastRowFirstColumn="0" w:lastRowLastColumn="0"/>
              <w:rPr>
                <w:sz w:val="14"/>
              </w:rPr>
            </w:pPr>
            <w:r w:rsidRPr="00141698">
              <w:rPr>
                <w:sz w:val="14"/>
              </w:rPr>
              <w:sym w:font="Wingdings" w:char="F0FB"/>
            </w:r>
          </w:p>
        </w:tc>
        <w:tc>
          <w:tcPr>
            <w:tcW w:w="0" w:type="auto"/>
            <w:shd w:val="clear" w:color="auto" w:fill="F2F2F2" w:themeFill="background1" w:themeFillShade="F2"/>
          </w:tcPr>
          <w:p w:rsidR="00141698" w:rsidRPr="00141698" w:rsidRDefault="00141698" w:rsidP="00141698">
            <w:pPr>
              <w:pStyle w:val="Tabletext"/>
              <w:cnfStyle w:val="000000100000" w:firstRow="0" w:lastRow="0" w:firstColumn="0" w:lastColumn="0" w:oddVBand="0" w:evenVBand="0" w:oddHBand="1" w:evenHBand="0" w:firstRowFirstColumn="0" w:firstRowLastColumn="0" w:lastRowFirstColumn="0" w:lastRowLastColumn="0"/>
              <w:rPr>
                <w:sz w:val="14"/>
              </w:rPr>
            </w:pPr>
            <w:r w:rsidRPr="00141698">
              <w:rPr>
                <w:sz w:val="14"/>
              </w:rPr>
              <w:sym w:font="Wingdings" w:char="F0FB"/>
            </w:r>
          </w:p>
        </w:tc>
        <w:tc>
          <w:tcPr>
            <w:tcW w:w="0" w:type="auto"/>
            <w:shd w:val="clear" w:color="auto" w:fill="F2F2F2" w:themeFill="background1" w:themeFillShade="F2"/>
          </w:tcPr>
          <w:p w:rsidR="00141698" w:rsidRPr="00141698" w:rsidRDefault="00141698" w:rsidP="00141698">
            <w:pPr>
              <w:pStyle w:val="Tabletext"/>
              <w:cnfStyle w:val="000000100000" w:firstRow="0" w:lastRow="0" w:firstColumn="0" w:lastColumn="0" w:oddVBand="0" w:evenVBand="0" w:oddHBand="1" w:evenHBand="0" w:firstRowFirstColumn="0" w:firstRowLastColumn="0" w:lastRowFirstColumn="0" w:lastRowLastColumn="0"/>
              <w:rPr>
                <w:sz w:val="14"/>
              </w:rPr>
            </w:pPr>
            <w:r w:rsidRPr="00141698">
              <w:rPr>
                <w:sz w:val="14"/>
              </w:rPr>
              <w:sym w:font="Wingdings" w:char="F0FB"/>
            </w:r>
          </w:p>
        </w:tc>
        <w:tc>
          <w:tcPr>
            <w:tcW w:w="0" w:type="auto"/>
            <w:shd w:val="clear" w:color="auto" w:fill="F2F2F2" w:themeFill="background1" w:themeFillShade="F2"/>
          </w:tcPr>
          <w:p w:rsidR="00141698" w:rsidRPr="00141698" w:rsidRDefault="00141698" w:rsidP="00141698">
            <w:pPr>
              <w:pStyle w:val="Tabletext"/>
              <w:cnfStyle w:val="000000100000" w:firstRow="0" w:lastRow="0" w:firstColumn="0" w:lastColumn="0" w:oddVBand="0" w:evenVBand="0" w:oddHBand="1" w:evenHBand="0" w:firstRowFirstColumn="0" w:firstRowLastColumn="0" w:lastRowFirstColumn="0" w:lastRowLastColumn="0"/>
              <w:rPr>
                <w:sz w:val="14"/>
              </w:rPr>
            </w:pPr>
            <w:r w:rsidRPr="00141698">
              <w:rPr>
                <w:sz w:val="14"/>
              </w:rPr>
              <w:t>Administrative</w:t>
            </w:r>
          </w:p>
        </w:tc>
        <w:tc>
          <w:tcPr>
            <w:tcW w:w="0" w:type="auto"/>
            <w:shd w:val="clear" w:color="auto" w:fill="F2F2F2" w:themeFill="background1" w:themeFillShade="F2"/>
          </w:tcPr>
          <w:p w:rsidR="00141698" w:rsidRPr="00141698" w:rsidRDefault="00141698" w:rsidP="00141698">
            <w:pPr>
              <w:pStyle w:val="Tabletext"/>
              <w:cnfStyle w:val="000000100000" w:firstRow="0" w:lastRow="0" w:firstColumn="0" w:lastColumn="0" w:oddVBand="0" w:evenVBand="0" w:oddHBand="1" w:evenHBand="0" w:firstRowFirstColumn="0" w:firstRowLastColumn="0" w:lastRowFirstColumn="0" w:lastRowLastColumn="0"/>
              <w:rPr>
                <w:sz w:val="14"/>
              </w:rPr>
            </w:pPr>
            <w:r w:rsidRPr="00141698">
              <w:rPr>
                <w:sz w:val="14"/>
              </w:rPr>
              <w:t xml:space="preserve">- </w:t>
            </w:r>
          </w:p>
        </w:tc>
      </w:tr>
      <w:tr w:rsidR="00141698" w:rsidRPr="00141698" w:rsidTr="00141698">
        <w:tc>
          <w:tcPr>
            <w:cnfStyle w:val="001000000000" w:firstRow="0" w:lastRow="0" w:firstColumn="1" w:lastColumn="0" w:oddVBand="0" w:evenVBand="0" w:oddHBand="0" w:evenHBand="0" w:firstRowFirstColumn="0" w:firstRowLastColumn="0" w:lastRowFirstColumn="0" w:lastRowLastColumn="0"/>
            <w:tcW w:w="0" w:type="auto"/>
          </w:tcPr>
          <w:p w:rsidR="00141698" w:rsidRPr="00141698" w:rsidRDefault="00141698" w:rsidP="00141698">
            <w:pPr>
              <w:pStyle w:val="Tabletext"/>
              <w:rPr>
                <w:sz w:val="14"/>
              </w:rPr>
            </w:pPr>
            <w:r w:rsidRPr="00141698">
              <w:rPr>
                <w:sz w:val="14"/>
              </w:rPr>
              <w:t>United Kingdom</w:t>
            </w:r>
          </w:p>
        </w:tc>
        <w:tc>
          <w:tcPr>
            <w:tcW w:w="0" w:type="auto"/>
          </w:tcPr>
          <w:p w:rsidR="00141698" w:rsidRPr="00141698" w:rsidRDefault="00141698" w:rsidP="00141698">
            <w:pPr>
              <w:pStyle w:val="Tabletext"/>
              <w:cnfStyle w:val="000000000000" w:firstRow="0" w:lastRow="0" w:firstColumn="0" w:lastColumn="0" w:oddVBand="0" w:evenVBand="0" w:oddHBand="0" w:evenHBand="0" w:firstRowFirstColumn="0" w:firstRowLastColumn="0" w:lastRowFirstColumn="0" w:lastRowLastColumn="0"/>
              <w:rPr>
                <w:sz w:val="14"/>
              </w:rPr>
            </w:pPr>
            <w:r w:rsidRPr="00141698">
              <w:rPr>
                <w:sz w:val="14"/>
              </w:rPr>
              <w:t xml:space="preserve">Unlimited </w:t>
            </w:r>
          </w:p>
        </w:tc>
        <w:tc>
          <w:tcPr>
            <w:tcW w:w="0" w:type="auto"/>
          </w:tcPr>
          <w:p w:rsidR="00141698" w:rsidRPr="00141698" w:rsidRDefault="00141698" w:rsidP="00141698">
            <w:pPr>
              <w:pStyle w:val="Tabletext"/>
              <w:cnfStyle w:val="000000000000" w:firstRow="0" w:lastRow="0" w:firstColumn="0" w:lastColumn="0" w:oddVBand="0" w:evenVBand="0" w:oddHBand="0" w:evenHBand="0" w:firstRowFirstColumn="0" w:firstRowLastColumn="0" w:lastRowFirstColumn="0" w:lastRowLastColumn="0"/>
              <w:rPr>
                <w:sz w:val="14"/>
              </w:rPr>
            </w:pPr>
            <w:r w:rsidRPr="00141698">
              <w:rPr>
                <w:sz w:val="14"/>
              </w:rPr>
              <w:sym w:font="Wingdings" w:char="F0FB"/>
            </w:r>
          </w:p>
        </w:tc>
        <w:tc>
          <w:tcPr>
            <w:tcW w:w="0" w:type="auto"/>
          </w:tcPr>
          <w:p w:rsidR="00141698" w:rsidRPr="00141698" w:rsidRDefault="00141698" w:rsidP="00141698">
            <w:pPr>
              <w:pStyle w:val="Tabletext"/>
              <w:cnfStyle w:val="000000000000" w:firstRow="0" w:lastRow="0" w:firstColumn="0" w:lastColumn="0" w:oddVBand="0" w:evenVBand="0" w:oddHBand="0" w:evenHBand="0" w:firstRowFirstColumn="0" w:firstRowLastColumn="0" w:lastRowFirstColumn="0" w:lastRowLastColumn="0"/>
              <w:rPr>
                <w:sz w:val="14"/>
              </w:rPr>
            </w:pPr>
            <w:r w:rsidRPr="00141698">
              <w:rPr>
                <w:sz w:val="14"/>
              </w:rPr>
              <w:sym w:font="Wingdings" w:char="F0FB"/>
            </w:r>
          </w:p>
        </w:tc>
        <w:tc>
          <w:tcPr>
            <w:tcW w:w="0" w:type="auto"/>
          </w:tcPr>
          <w:p w:rsidR="00141698" w:rsidRPr="00141698" w:rsidRDefault="00141698" w:rsidP="00141698">
            <w:pPr>
              <w:pStyle w:val="Tabletext"/>
              <w:cnfStyle w:val="000000000000" w:firstRow="0" w:lastRow="0" w:firstColumn="0" w:lastColumn="0" w:oddVBand="0" w:evenVBand="0" w:oddHBand="0" w:evenHBand="0" w:firstRowFirstColumn="0" w:firstRowLastColumn="0" w:lastRowFirstColumn="0" w:lastRowLastColumn="0"/>
              <w:rPr>
                <w:sz w:val="14"/>
              </w:rPr>
            </w:pPr>
            <w:r w:rsidRPr="00141698">
              <w:rPr>
                <w:sz w:val="14"/>
              </w:rPr>
              <w:t xml:space="preserve">2 years </w:t>
            </w:r>
          </w:p>
        </w:tc>
        <w:tc>
          <w:tcPr>
            <w:tcW w:w="0" w:type="auto"/>
          </w:tcPr>
          <w:p w:rsidR="00141698" w:rsidRPr="00141698" w:rsidRDefault="00141698" w:rsidP="00141698">
            <w:pPr>
              <w:pStyle w:val="Tabletext"/>
              <w:cnfStyle w:val="000000000000" w:firstRow="0" w:lastRow="0" w:firstColumn="0" w:lastColumn="0" w:oddVBand="0" w:evenVBand="0" w:oddHBand="0" w:evenHBand="0" w:firstRowFirstColumn="0" w:firstRowLastColumn="0" w:lastRowFirstColumn="0" w:lastRowLastColumn="0"/>
              <w:rPr>
                <w:sz w:val="14"/>
              </w:rPr>
            </w:pPr>
            <w:r w:rsidRPr="00141698">
              <w:rPr>
                <w:sz w:val="14"/>
              </w:rPr>
              <w:sym w:font="Wingdings" w:char="F0FC"/>
            </w:r>
          </w:p>
        </w:tc>
        <w:tc>
          <w:tcPr>
            <w:tcW w:w="0" w:type="auto"/>
          </w:tcPr>
          <w:p w:rsidR="00141698" w:rsidRPr="00141698" w:rsidRDefault="00141698" w:rsidP="00141698">
            <w:pPr>
              <w:pStyle w:val="Tabletext"/>
              <w:cnfStyle w:val="000000000000" w:firstRow="0" w:lastRow="0" w:firstColumn="0" w:lastColumn="0" w:oddVBand="0" w:evenVBand="0" w:oddHBand="0" w:evenHBand="0" w:firstRowFirstColumn="0" w:firstRowLastColumn="0" w:lastRowFirstColumn="0" w:lastRowLastColumn="0"/>
              <w:rPr>
                <w:sz w:val="14"/>
              </w:rPr>
            </w:pPr>
            <w:r w:rsidRPr="00141698">
              <w:rPr>
                <w:sz w:val="14"/>
              </w:rPr>
              <w:t>Court Based</w:t>
            </w:r>
          </w:p>
        </w:tc>
        <w:tc>
          <w:tcPr>
            <w:tcW w:w="0" w:type="auto"/>
          </w:tcPr>
          <w:p w:rsidR="00141698" w:rsidRPr="00141698" w:rsidRDefault="00141698" w:rsidP="00141698">
            <w:pPr>
              <w:pStyle w:val="Tabletext"/>
              <w:cnfStyle w:val="000000000000" w:firstRow="0" w:lastRow="0" w:firstColumn="0" w:lastColumn="0" w:oddVBand="0" w:evenVBand="0" w:oddHBand="0" w:evenHBand="0" w:firstRowFirstColumn="0" w:firstRowLastColumn="0" w:lastRowFirstColumn="0" w:lastRowLastColumn="0"/>
              <w:rPr>
                <w:sz w:val="14"/>
              </w:rPr>
            </w:pPr>
            <w:r w:rsidRPr="00141698">
              <w:rPr>
                <w:sz w:val="14"/>
              </w:rPr>
              <w:t>£156 000 for pyramid selling</w:t>
            </w:r>
            <w:r w:rsidRPr="00AB0417">
              <w:rPr>
                <w:rStyle w:val="FootnoteReference"/>
                <w:color w:val="auto"/>
                <w:sz w:val="14"/>
                <w:szCs w:val="14"/>
              </w:rPr>
              <w:footnoteReference w:id="28"/>
            </w:r>
          </w:p>
        </w:tc>
      </w:tr>
      <w:tr w:rsidR="00141698" w:rsidRPr="00141698" w:rsidTr="00141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rsidR="00141698" w:rsidRPr="00141698" w:rsidRDefault="00141698" w:rsidP="00141698">
            <w:pPr>
              <w:pStyle w:val="Tabletext"/>
              <w:rPr>
                <w:sz w:val="14"/>
              </w:rPr>
            </w:pPr>
            <w:r w:rsidRPr="00141698">
              <w:rPr>
                <w:sz w:val="14"/>
              </w:rPr>
              <w:t xml:space="preserve">United States </w:t>
            </w:r>
          </w:p>
        </w:tc>
        <w:tc>
          <w:tcPr>
            <w:tcW w:w="0" w:type="auto"/>
            <w:shd w:val="clear" w:color="auto" w:fill="F2F2F2" w:themeFill="background1" w:themeFillShade="F2"/>
          </w:tcPr>
          <w:p w:rsidR="00141698" w:rsidRPr="00141698" w:rsidRDefault="00141698" w:rsidP="00141698">
            <w:pPr>
              <w:pStyle w:val="Tabletext"/>
              <w:cnfStyle w:val="000000100000" w:firstRow="0" w:lastRow="0" w:firstColumn="0" w:lastColumn="0" w:oddVBand="0" w:evenVBand="0" w:oddHBand="1" w:evenHBand="0" w:firstRowFirstColumn="0" w:firstRowLastColumn="0" w:lastRowFirstColumn="0" w:lastRowLastColumn="0"/>
              <w:rPr>
                <w:sz w:val="14"/>
              </w:rPr>
            </w:pPr>
            <w:r w:rsidRPr="00141698">
              <w:rPr>
                <w:sz w:val="14"/>
              </w:rPr>
              <w:t>$10,000</w:t>
            </w:r>
            <w:r w:rsidRPr="00B26352">
              <w:rPr>
                <w:rStyle w:val="FootnoteReference"/>
                <w:color w:val="auto"/>
                <w:sz w:val="14"/>
                <w:szCs w:val="14"/>
              </w:rPr>
              <w:footnoteReference w:id="29"/>
            </w:r>
          </w:p>
        </w:tc>
        <w:tc>
          <w:tcPr>
            <w:tcW w:w="0" w:type="auto"/>
            <w:shd w:val="clear" w:color="auto" w:fill="F2F2F2" w:themeFill="background1" w:themeFillShade="F2"/>
          </w:tcPr>
          <w:p w:rsidR="00141698" w:rsidRPr="00141698" w:rsidRDefault="00141698" w:rsidP="00141698">
            <w:pPr>
              <w:pStyle w:val="Tabletext"/>
              <w:cnfStyle w:val="000000100000" w:firstRow="0" w:lastRow="0" w:firstColumn="0" w:lastColumn="0" w:oddVBand="0" w:evenVBand="0" w:oddHBand="1" w:evenHBand="0" w:firstRowFirstColumn="0" w:firstRowLastColumn="0" w:lastRowFirstColumn="0" w:lastRowLastColumn="0"/>
              <w:rPr>
                <w:sz w:val="14"/>
              </w:rPr>
            </w:pPr>
            <w:r w:rsidRPr="00141698">
              <w:rPr>
                <w:sz w:val="14"/>
              </w:rPr>
              <w:sym w:font="Wingdings" w:char="F0FB"/>
            </w:r>
          </w:p>
        </w:tc>
        <w:tc>
          <w:tcPr>
            <w:tcW w:w="0" w:type="auto"/>
            <w:shd w:val="clear" w:color="auto" w:fill="F2F2F2" w:themeFill="background1" w:themeFillShade="F2"/>
          </w:tcPr>
          <w:p w:rsidR="00141698" w:rsidRPr="00141698" w:rsidRDefault="00141698" w:rsidP="00141698">
            <w:pPr>
              <w:pStyle w:val="Tabletext"/>
              <w:cnfStyle w:val="000000100000" w:firstRow="0" w:lastRow="0" w:firstColumn="0" w:lastColumn="0" w:oddVBand="0" w:evenVBand="0" w:oddHBand="1" w:evenHBand="0" w:firstRowFirstColumn="0" w:firstRowLastColumn="0" w:lastRowFirstColumn="0" w:lastRowLastColumn="0"/>
              <w:rPr>
                <w:sz w:val="14"/>
              </w:rPr>
            </w:pPr>
            <w:r w:rsidRPr="00141698">
              <w:rPr>
                <w:sz w:val="14"/>
              </w:rPr>
              <w:sym w:font="Wingdings" w:char="F0FB"/>
            </w:r>
          </w:p>
        </w:tc>
        <w:tc>
          <w:tcPr>
            <w:tcW w:w="0" w:type="auto"/>
            <w:shd w:val="clear" w:color="auto" w:fill="F2F2F2" w:themeFill="background1" w:themeFillShade="F2"/>
          </w:tcPr>
          <w:p w:rsidR="00141698" w:rsidRPr="00141698" w:rsidRDefault="00141698" w:rsidP="00141698">
            <w:pPr>
              <w:pStyle w:val="Tabletext"/>
              <w:cnfStyle w:val="000000100000" w:firstRow="0" w:lastRow="0" w:firstColumn="0" w:lastColumn="0" w:oddVBand="0" w:evenVBand="0" w:oddHBand="1" w:evenHBand="0" w:firstRowFirstColumn="0" w:firstRowLastColumn="0" w:lastRowFirstColumn="0" w:lastRowLastColumn="0"/>
              <w:rPr>
                <w:sz w:val="14"/>
              </w:rPr>
            </w:pPr>
          </w:p>
        </w:tc>
        <w:tc>
          <w:tcPr>
            <w:tcW w:w="0" w:type="auto"/>
            <w:shd w:val="clear" w:color="auto" w:fill="F2F2F2" w:themeFill="background1" w:themeFillShade="F2"/>
          </w:tcPr>
          <w:p w:rsidR="00141698" w:rsidRPr="00141698" w:rsidRDefault="00141698" w:rsidP="00141698">
            <w:pPr>
              <w:pStyle w:val="Tabletext"/>
              <w:cnfStyle w:val="000000100000" w:firstRow="0" w:lastRow="0" w:firstColumn="0" w:lastColumn="0" w:oddVBand="0" w:evenVBand="0" w:oddHBand="1" w:evenHBand="0" w:firstRowFirstColumn="0" w:firstRowLastColumn="0" w:lastRowFirstColumn="0" w:lastRowLastColumn="0"/>
              <w:rPr>
                <w:sz w:val="14"/>
              </w:rPr>
            </w:pPr>
            <w:r w:rsidRPr="00141698">
              <w:rPr>
                <w:sz w:val="14"/>
              </w:rPr>
              <w:sym w:font="Wingdings" w:char="F0FC"/>
            </w:r>
          </w:p>
        </w:tc>
        <w:tc>
          <w:tcPr>
            <w:tcW w:w="0" w:type="auto"/>
            <w:shd w:val="clear" w:color="auto" w:fill="F2F2F2" w:themeFill="background1" w:themeFillShade="F2"/>
          </w:tcPr>
          <w:p w:rsidR="00141698" w:rsidRPr="00141698" w:rsidRDefault="00141698" w:rsidP="00141698">
            <w:pPr>
              <w:pStyle w:val="Tabletext"/>
              <w:cnfStyle w:val="000000100000" w:firstRow="0" w:lastRow="0" w:firstColumn="0" w:lastColumn="0" w:oddVBand="0" w:evenVBand="0" w:oddHBand="1" w:evenHBand="0" w:firstRowFirstColumn="0" w:firstRowLastColumn="0" w:lastRowFirstColumn="0" w:lastRowLastColumn="0"/>
              <w:rPr>
                <w:sz w:val="14"/>
              </w:rPr>
            </w:pPr>
            <w:r w:rsidRPr="00141698">
              <w:rPr>
                <w:sz w:val="14"/>
              </w:rPr>
              <w:t>Court Based</w:t>
            </w:r>
          </w:p>
        </w:tc>
        <w:tc>
          <w:tcPr>
            <w:tcW w:w="0" w:type="auto"/>
            <w:shd w:val="clear" w:color="auto" w:fill="F2F2F2" w:themeFill="background1" w:themeFillShade="F2"/>
          </w:tcPr>
          <w:p w:rsidR="00141698" w:rsidRPr="00141698" w:rsidRDefault="00141698" w:rsidP="00141698">
            <w:pPr>
              <w:pStyle w:val="Tabletext"/>
              <w:cnfStyle w:val="000000100000" w:firstRow="0" w:lastRow="0" w:firstColumn="0" w:lastColumn="0" w:oddVBand="0" w:evenVBand="0" w:oddHBand="1" w:evenHBand="0" w:firstRowFirstColumn="0" w:firstRowLastColumn="0" w:lastRowFirstColumn="0" w:lastRowLastColumn="0"/>
              <w:rPr>
                <w:sz w:val="14"/>
              </w:rPr>
            </w:pPr>
            <w:r w:rsidRPr="00141698">
              <w:rPr>
                <w:sz w:val="14"/>
              </w:rPr>
              <w:t>$18 800 000 for breaching an FTC order</w:t>
            </w:r>
            <w:r w:rsidRPr="00AB0417">
              <w:rPr>
                <w:rStyle w:val="FootnoteReference"/>
                <w:color w:val="auto"/>
                <w:sz w:val="14"/>
                <w:szCs w:val="14"/>
              </w:rPr>
              <w:footnoteReference w:id="30"/>
            </w:r>
          </w:p>
        </w:tc>
      </w:tr>
      <w:tr w:rsidR="00141698" w:rsidRPr="00141698" w:rsidTr="00141698">
        <w:tc>
          <w:tcPr>
            <w:cnfStyle w:val="001000000000" w:firstRow="0" w:lastRow="0" w:firstColumn="1" w:lastColumn="0" w:oddVBand="0" w:evenVBand="0" w:oddHBand="0" w:evenHBand="0" w:firstRowFirstColumn="0" w:firstRowLastColumn="0" w:lastRowFirstColumn="0" w:lastRowLastColumn="0"/>
            <w:tcW w:w="0" w:type="auto"/>
          </w:tcPr>
          <w:p w:rsidR="00141698" w:rsidRPr="00141698" w:rsidRDefault="00141698" w:rsidP="00141698">
            <w:pPr>
              <w:pStyle w:val="Tabletext"/>
              <w:rPr>
                <w:sz w:val="14"/>
              </w:rPr>
            </w:pPr>
            <w:r w:rsidRPr="00141698">
              <w:rPr>
                <w:sz w:val="14"/>
              </w:rPr>
              <w:t xml:space="preserve">Japan </w:t>
            </w:r>
          </w:p>
        </w:tc>
        <w:tc>
          <w:tcPr>
            <w:tcW w:w="0" w:type="auto"/>
          </w:tcPr>
          <w:p w:rsidR="00141698" w:rsidRPr="00141698" w:rsidRDefault="00141698" w:rsidP="00141698">
            <w:pPr>
              <w:pStyle w:val="Tabletext"/>
              <w:cnfStyle w:val="000000000000" w:firstRow="0" w:lastRow="0" w:firstColumn="0" w:lastColumn="0" w:oddVBand="0" w:evenVBand="0" w:oddHBand="0" w:evenHBand="0" w:firstRowFirstColumn="0" w:firstRowLastColumn="0" w:lastRowFirstColumn="0" w:lastRowLastColumn="0"/>
              <w:rPr>
                <w:sz w:val="14"/>
              </w:rPr>
            </w:pPr>
            <w:r w:rsidRPr="00141698">
              <w:rPr>
                <w:sz w:val="14"/>
              </w:rPr>
              <w:t>¥5 million (criminal)</w:t>
            </w:r>
          </w:p>
          <w:p w:rsidR="00141698" w:rsidRPr="00141698" w:rsidRDefault="00141698" w:rsidP="00141698">
            <w:pPr>
              <w:pStyle w:val="Tabletext"/>
              <w:cnfStyle w:val="000000000000" w:firstRow="0" w:lastRow="0" w:firstColumn="0" w:lastColumn="0" w:oddVBand="0" w:evenVBand="0" w:oddHBand="0" w:evenHBand="0" w:firstRowFirstColumn="0" w:firstRowLastColumn="0" w:lastRowFirstColumn="0" w:lastRowLastColumn="0"/>
              <w:rPr>
                <w:sz w:val="14"/>
              </w:rPr>
            </w:pPr>
            <w:r w:rsidRPr="00141698">
              <w:rPr>
                <w:sz w:val="14"/>
              </w:rPr>
              <w:t xml:space="preserve">Pecuniary </w:t>
            </w:r>
            <w:r w:rsidRPr="00141698">
              <w:rPr>
                <w:sz w:val="14"/>
              </w:rPr>
              <w:lastRenderedPageBreak/>
              <w:t>penalties are calculated in accordance with a formula</w:t>
            </w:r>
            <w:r w:rsidRPr="00AB0417">
              <w:rPr>
                <w:rStyle w:val="FootnoteReference"/>
                <w:color w:val="auto"/>
                <w:sz w:val="14"/>
                <w:szCs w:val="14"/>
              </w:rPr>
              <w:footnoteReference w:id="31"/>
            </w:r>
          </w:p>
        </w:tc>
        <w:tc>
          <w:tcPr>
            <w:tcW w:w="0" w:type="auto"/>
          </w:tcPr>
          <w:p w:rsidR="00141698" w:rsidRPr="00141698" w:rsidRDefault="00141698" w:rsidP="00141698">
            <w:pPr>
              <w:pStyle w:val="Tabletext"/>
              <w:cnfStyle w:val="000000000000" w:firstRow="0" w:lastRow="0" w:firstColumn="0" w:lastColumn="0" w:oddVBand="0" w:evenVBand="0" w:oddHBand="0" w:evenHBand="0" w:firstRowFirstColumn="0" w:firstRowLastColumn="0" w:lastRowFirstColumn="0" w:lastRowLastColumn="0"/>
              <w:rPr>
                <w:sz w:val="14"/>
              </w:rPr>
            </w:pPr>
            <w:r w:rsidRPr="00141698">
              <w:rPr>
                <w:sz w:val="14"/>
              </w:rPr>
              <w:lastRenderedPageBreak/>
              <w:t xml:space="preserve">¥500 million, and no less </w:t>
            </w:r>
            <w:proofErr w:type="spellStart"/>
            <w:r w:rsidRPr="00141698">
              <w:rPr>
                <w:sz w:val="14"/>
              </w:rPr>
              <w:t>then</w:t>
            </w:r>
            <w:proofErr w:type="spellEnd"/>
            <w:r w:rsidRPr="00141698">
              <w:rPr>
                <w:sz w:val="14"/>
              </w:rPr>
              <w:t xml:space="preserve"> ¥10 000 </w:t>
            </w:r>
            <w:r w:rsidRPr="00141698">
              <w:rPr>
                <w:sz w:val="14"/>
              </w:rPr>
              <w:lastRenderedPageBreak/>
              <w:t>(criminal)</w:t>
            </w:r>
          </w:p>
          <w:p w:rsidR="00141698" w:rsidRPr="00141698" w:rsidRDefault="00141698" w:rsidP="00141698">
            <w:pPr>
              <w:pStyle w:val="Tabletext"/>
              <w:cnfStyle w:val="000000000000" w:firstRow="0" w:lastRow="0" w:firstColumn="0" w:lastColumn="0" w:oddVBand="0" w:evenVBand="0" w:oddHBand="0" w:evenHBand="0" w:firstRowFirstColumn="0" w:firstRowLastColumn="0" w:lastRowFirstColumn="0" w:lastRowLastColumn="0"/>
              <w:rPr>
                <w:sz w:val="14"/>
              </w:rPr>
            </w:pPr>
            <w:r w:rsidRPr="00141698">
              <w:rPr>
                <w:sz w:val="14"/>
              </w:rPr>
              <w:t>Pecuniary penalties are calculated in accordance with a formula</w:t>
            </w:r>
          </w:p>
        </w:tc>
        <w:tc>
          <w:tcPr>
            <w:tcW w:w="0" w:type="auto"/>
          </w:tcPr>
          <w:p w:rsidR="00141698" w:rsidRPr="00141698" w:rsidRDefault="00141698" w:rsidP="00141698">
            <w:pPr>
              <w:pStyle w:val="Tabletext"/>
              <w:cnfStyle w:val="000000000000" w:firstRow="0" w:lastRow="0" w:firstColumn="0" w:lastColumn="0" w:oddVBand="0" w:evenVBand="0" w:oddHBand="0" w:evenHBand="0" w:firstRowFirstColumn="0" w:firstRowLastColumn="0" w:lastRowFirstColumn="0" w:lastRowLastColumn="0"/>
              <w:rPr>
                <w:sz w:val="14"/>
              </w:rPr>
            </w:pPr>
            <w:r w:rsidRPr="00141698">
              <w:rPr>
                <w:sz w:val="14"/>
              </w:rPr>
              <w:lastRenderedPageBreak/>
              <w:sym w:font="Wingdings" w:char="F0FC"/>
            </w:r>
          </w:p>
        </w:tc>
        <w:tc>
          <w:tcPr>
            <w:tcW w:w="0" w:type="auto"/>
          </w:tcPr>
          <w:p w:rsidR="00141698" w:rsidRPr="00141698" w:rsidRDefault="00141698" w:rsidP="00141698">
            <w:pPr>
              <w:pStyle w:val="Tabletext"/>
              <w:cnfStyle w:val="000000000000" w:firstRow="0" w:lastRow="0" w:firstColumn="0" w:lastColumn="0" w:oddVBand="0" w:evenVBand="0" w:oddHBand="0" w:evenHBand="0" w:firstRowFirstColumn="0" w:firstRowLastColumn="0" w:lastRowFirstColumn="0" w:lastRowLastColumn="0"/>
              <w:rPr>
                <w:sz w:val="14"/>
              </w:rPr>
            </w:pPr>
            <w:r w:rsidRPr="00141698">
              <w:rPr>
                <w:sz w:val="14"/>
              </w:rPr>
              <w:t>5 years</w:t>
            </w:r>
          </w:p>
        </w:tc>
        <w:tc>
          <w:tcPr>
            <w:tcW w:w="0" w:type="auto"/>
          </w:tcPr>
          <w:p w:rsidR="00141698" w:rsidRPr="00141698" w:rsidRDefault="00141698" w:rsidP="00141698">
            <w:pPr>
              <w:pStyle w:val="Tabletext"/>
              <w:cnfStyle w:val="000000000000" w:firstRow="0" w:lastRow="0" w:firstColumn="0" w:lastColumn="0" w:oddVBand="0" w:evenVBand="0" w:oddHBand="0" w:evenHBand="0" w:firstRowFirstColumn="0" w:firstRowLastColumn="0" w:lastRowFirstColumn="0" w:lastRowLastColumn="0"/>
              <w:rPr>
                <w:sz w:val="14"/>
              </w:rPr>
            </w:pPr>
            <w:r w:rsidRPr="00141698">
              <w:rPr>
                <w:sz w:val="14"/>
              </w:rPr>
              <w:sym w:font="Wingdings" w:char="F0FC"/>
            </w:r>
          </w:p>
        </w:tc>
        <w:tc>
          <w:tcPr>
            <w:tcW w:w="0" w:type="auto"/>
          </w:tcPr>
          <w:p w:rsidR="00141698" w:rsidRPr="00141698" w:rsidRDefault="00141698" w:rsidP="00141698">
            <w:pPr>
              <w:pStyle w:val="Tabletext"/>
              <w:cnfStyle w:val="000000000000" w:firstRow="0" w:lastRow="0" w:firstColumn="0" w:lastColumn="0" w:oddVBand="0" w:evenVBand="0" w:oddHBand="0" w:evenHBand="0" w:firstRowFirstColumn="0" w:firstRowLastColumn="0" w:lastRowFirstColumn="0" w:lastRowLastColumn="0"/>
              <w:rPr>
                <w:sz w:val="14"/>
              </w:rPr>
            </w:pPr>
            <w:r w:rsidRPr="00141698">
              <w:rPr>
                <w:sz w:val="14"/>
              </w:rPr>
              <w:t>Court-Based</w:t>
            </w:r>
          </w:p>
        </w:tc>
        <w:tc>
          <w:tcPr>
            <w:tcW w:w="0" w:type="auto"/>
          </w:tcPr>
          <w:p w:rsidR="00141698" w:rsidRPr="00141698" w:rsidRDefault="00141698" w:rsidP="00141698">
            <w:pPr>
              <w:pStyle w:val="Tabletext"/>
              <w:cnfStyle w:val="000000000000" w:firstRow="0" w:lastRow="0" w:firstColumn="0" w:lastColumn="0" w:oddVBand="0" w:evenVBand="0" w:oddHBand="0" w:evenHBand="0" w:firstRowFirstColumn="0" w:firstRowLastColumn="0" w:lastRowFirstColumn="0" w:lastRowLastColumn="0"/>
              <w:rPr>
                <w:sz w:val="14"/>
              </w:rPr>
            </w:pPr>
          </w:p>
        </w:tc>
      </w:tr>
      <w:tr w:rsidR="00141698" w:rsidRPr="00141698" w:rsidTr="00141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rsidR="00141698" w:rsidRPr="00141698" w:rsidRDefault="00141698" w:rsidP="00141698">
            <w:pPr>
              <w:pStyle w:val="Tabletext"/>
              <w:rPr>
                <w:sz w:val="14"/>
              </w:rPr>
            </w:pPr>
            <w:r w:rsidRPr="00141698">
              <w:rPr>
                <w:sz w:val="14"/>
              </w:rPr>
              <w:lastRenderedPageBreak/>
              <w:t>Netherlands</w:t>
            </w:r>
          </w:p>
        </w:tc>
        <w:tc>
          <w:tcPr>
            <w:tcW w:w="0" w:type="auto"/>
            <w:shd w:val="clear" w:color="auto" w:fill="F2F2F2" w:themeFill="background1" w:themeFillShade="F2"/>
          </w:tcPr>
          <w:p w:rsidR="00141698" w:rsidRPr="00141698" w:rsidRDefault="00141698" w:rsidP="00141698">
            <w:pPr>
              <w:pStyle w:val="Tabletext"/>
              <w:cnfStyle w:val="000000100000" w:firstRow="0" w:lastRow="0" w:firstColumn="0" w:lastColumn="0" w:oddVBand="0" w:evenVBand="0" w:oddHBand="1" w:evenHBand="0" w:firstRowFirstColumn="0" w:firstRowLastColumn="0" w:lastRowFirstColumn="0" w:lastRowLastColumn="0"/>
              <w:rPr>
                <w:sz w:val="14"/>
              </w:rPr>
            </w:pPr>
            <w:r w:rsidRPr="00141698">
              <w:rPr>
                <w:sz w:val="14"/>
              </w:rPr>
              <w:t>Between 0-50% of the companies relevant turnover</w:t>
            </w:r>
          </w:p>
        </w:tc>
        <w:tc>
          <w:tcPr>
            <w:tcW w:w="0" w:type="auto"/>
            <w:shd w:val="clear" w:color="auto" w:fill="F2F2F2" w:themeFill="background1" w:themeFillShade="F2"/>
          </w:tcPr>
          <w:p w:rsidR="00141698" w:rsidRPr="00141698" w:rsidRDefault="00141698" w:rsidP="00141698">
            <w:pPr>
              <w:pStyle w:val="Tabletext"/>
              <w:cnfStyle w:val="000000100000" w:firstRow="0" w:lastRow="0" w:firstColumn="0" w:lastColumn="0" w:oddVBand="0" w:evenVBand="0" w:oddHBand="1" w:evenHBand="0" w:firstRowFirstColumn="0" w:firstRowLastColumn="0" w:lastRowFirstColumn="0" w:lastRowLastColumn="0"/>
              <w:rPr>
                <w:sz w:val="14"/>
              </w:rPr>
            </w:pPr>
            <w:r w:rsidRPr="00141698">
              <w:rPr>
                <w:sz w:val="14"/>
              </w:rPr>
              <w:t>Between 0-50% of the companies relevant turnover</w:t>
            </w:r>
            <w:r w:rsidRPr="00AB0417">
              <w:rPr>
                <w:rStyle w:val="FootnoteReference"/>
                <w:color w:val="auto"/>
                <w:sz w:val="14"/>
                <w:szCs w:val="14"/>
              </w:rPr>
              <w:footnoteReference w:id="32"/>
            </w:r>
          </w:p>
        </w:tc>
        <w:tc>
          <w:tcPr>
            <w:tcW w:w="0" w:type="auto"/>
            <w:shd w:val="clear" w:color="auto" w:fill="F2F2F2" w:themeFill="background1" w:themeFillShade="F2"/>
          </w:tcPr>
          <w:p w:rsidR="00141698" w:rsidRPr="00141698" w:rsidRDefault="00141698" w:rsidP="00141698">
            <w:pPr>
              <w:pStyle w:val="Tabletext"/>
              <w:cnfStyle w:val="000000100000" w:firstRow="0" w:lastRow="0" w:firstColumn="0" w:lastColumn="0" w:oddVBand="0" w:evenVBand="0" w:oddHBand="1" w:evenHBand="0" w:firstRowFirstColumn="0" w:firstRowLastColumn="0" w:lastRowFirstColumn="0" w:lastRowLastColumn="0"/>
              <w:rPr>
                <w:sz w:val="14"/>
              </w:rPr>
            </w:pPr>
            <w:r w:rsidRPr="00141698">
              <w:rPr>
                <w:sz w:val="14"/>
              </w:rPr>
              <w:sym w:font="Wingdings" w:char="F0FB"/>
            </w:r>
          </w:p>
        </w:tc>
        <w:tc>
          <w:tcPr>
            <w:tcW w:w="0" w:type="auto"/>
            <w:shd w:val="clear" w:color="auto" w:fill="F2F2F2" w:themeFill="background1" w:themeFillShade="F2"/>
          </w:tcPr>
          <w:p w:rsidR="00141698" w:rsidRPr="00141698" w:rsidRDefault="00141698" w:rsidP="00141698">
            <w:pPr>
              <w:pStyle w:val="Tabletext"/>
              <w:cnfStyle w:val="000000100000" w:firstRow="0" w:lastRow="0" w:firstColumn="0" w:lastColumn="0" w:oddVBand="0" w:evenVBand="0" w:oddHBand="1" w:evenHBand="0" w:firstRowFirstColumn="0" w:firstRowLastColumn="0" w:lastRowFirstColumn="0" w:lastRowLastColumn="0"/>
              <w:rPr>
                <w:sz w:val="14"/>
              </w:rPr>
            </w:pPr>
            <w:r w:rsidRPr="00141698">
              <w:rPr>
                <w:sz w:val="14"/>
              </w:rPr>
              <w:sym w:font="Wingdings" w:char="F0FB"/>
            </w:r>
          </w:p>
        </w:tc>
        <w:tc>
          <w:tcPr>
            <w:tcW w:w="0" w:type="auto"/>
            <w:shd w:val="clear" w:color="auto" w:fill="F2F2F2" w:themeFill="background1" w:themeFillShade="F2"/>
          </w:tcPr>
          <w:p w:rsidR="00141698" w:rsidRPr="00141698" w:rsidRDefault="00141698" w:rsidP="00141698">
            <w:pPr>
              <w:pStyle w:val="Tabletext"/>
              <w:cnfStyle w:val="000000100000" w:firstRow="0" w:lastRow="0" w:firstColumn="0" w:lastColumn="0" w:oddVBand="0" w:evenVBand="0" w:oddHBand="1" w:evenHBand="0" w:firstRowFirstColumn="0" w:firstRowLastColumn="0" w:lastRowFirstColumn="0" w:lastRowLastColumn="0"/>
              <w:rPr>
                <w:sz w:val="14"/>
              </w:rPr>
            </w:pPr>
            <w:r w:rsidRPr="00141698">
              <w:rPr>
                <w:sz w:val="14"/>
              </w:rPr>
              <w:sym w:font="Wingdings" w:char="F0FC"/>
            </w:r>
          </w:p>
        </w:tc>
        <w:tc>
          <w:tcPr>
            <w:tcW w:w="0" w:type="auto"/>
            <w:shd w:val="clear" w:color="auto" w:fill="F2F2F2" w:themeFill="background1" w:themeFillShade="F2"/>
          </w:tcPr>
          <w:p w:rsidR="00141698" w:rsidRPr="00141698" w:rsidRDefault="00141698" w:rsidP="00141698">
            <w:pPr>
              <w:pStyle w:val="Tabletext"/>
              <w:cnfStyle w:val="000000100000" w:firstRow="0" w:lastRow="0" w:firstColumn="0" w:lastColumn="0" w:oddVBand="0" w:evenVBand="0" w:oddHBand="1" w:evenHBand="0" w:firstRowFirstColumn="0" w:firstRowLastColumn="0" w:lastRowFirstColumn="0" w:lastRowLastColumn="0"/>
              <w:rPr>
                <w:sz w:val="14"/>
              </w:rPr>
            </w:pPr>
            <w:r w:rsidRPr="00141698">
              <w:rPr>
                <w:sz w:val="14"/>
              </w:rPr>
              <w:t>Administrative</w:t>
            </w:r>
          </w:p>
        </w:tc>
        <w:tc>
          <w:tcPr>
            <w:tcW w:w="0" w:type="auto"/>
            <w:shd w:val="clear" w:color="auto" w:fill="F2F2F2" w:themeFill="background1" w:themeFillShade="F2"/>
          </w:tcPr>
          <w:p w:rsidR="00141698" w:rsidRPr="00141698" w:rsidRDefault="00141698" w:rsidP="00141698">
            <w:pPr>
              <w:pStyle w:val="Tabletext"/>
              <w:cnfStyle w:val="000000100000" w:firstRow="0" w:lastRow="0" w:firstColumn="0" w:lastColumn="0" w:oddVBand="0" w:evenVBand="0" w:oddHBand="1" w:evenHBand="0" w:firstRowFirstColumn="0" w:firstRowLastColumn="0" w:lastRowFirstColumn="0" w:lastRowLastColumn="0"/>
              <w:rPr>
                <w:sz w:val="14"/>
              </w:rPr>
            </w:pPr>
            <w:r w:rsidRPr="00141698">
              <w:rPr>
                <w:sz w:val="14"/>
              </w:rPr>
              <w:t>€1 190 000 for misleading consumers</w:t>
            </w:r>
            <w:r w:rsidRPr="00AB0417">
              <w:rPr>
                <w:rStyle w:val="FootnoteReference"/>
                <w:color w:val="auto"/>
                <w:sz w:val="14"/>
                <w:szCs w:val="14"/>
              </w:rPr>
              <w:footnoteReference w:id="33"/>
            </w:r>
          </w:p>
        </w:tc>
      </w:tr>
      <w:tr w:rsidR="00141698" w:rsidRPr="00141698" w:rsidTr="00141698">
        <w:tc>
          <w:tcPr>
            <w:cnfStyle w:val="001000000000" w:firstRow="0" w:lastRow="0" w:firstColumn="1" w:lastColumn="0" w:oddVBand="0" w:evenVBand="0" w:oddHBand="0" w:evenHBand="0" w:firstRowFirstColumn="0" w:firstRowLastColumn="0" w:lastRowFirstColumn="0" w:lastRowLastColumn="0"/>
            <w:tcW w:w="0" w:type="auto"/>
          </w:tcPr>
          <w:p w:rsidR="00141698" w:rsidRPr="00141698" w:rsidRDefault="00141698" w:rsidP="00141698">
            <w:pPr>
              <w:pStyle w:val="Tabletext"/>
              <w:rPr>
                <w:sz w:val="14"/>
              </w:rPr>
            </w:pPr>
            <w:r w:rsidRPr="00141698">
              <w:rPr>
                <w:sz w:val="14"/>
              </w:rPr>
              <w:t>Korea</w:t>
            </w:r>
          </w:p>
        </w:tc>
        <w:tc>
          <w:tcPr>
            <w:tcW w:w="0" w:type="auto"/>
          </w:tcPr>
          <w:p w:rsidR="00141698" w:rsidRPr="00141698" w:rsidRDefault="00141698" w:rsidP="00141698">
            <w:pPr>
              <w:pStyle w:val="Tabletext"/>
              <w:cnfStyle w:val="000000000000" w:firstRow="0" w:lastRow="0" w:firstColumn="0" w:lastColumn="0" w:oddVBand="0" w:evenVBand="0" w:oddHBand="0" w:evenHBand="0" w:firstRowFirstColumn="0" w:firstRowLastColumn="0" w:lastRowFirstColumn="0" w:lastRowLastColumn="0"/>
              <w:rPr>
                <w:sz w:val="14"/>
              </w:rPr>
            </w:pPr>
            <w:r w:rsidRPr="00141698">
              <w:rPr>
                <w:sz w:val="14"/>
              </w:rPr>
              <w:t xml:space="preserve">30 million won (civil) </w:t>
            </w:r>
          </w:p>
          <w:p w:rsidR="00141698" w:rsidRPr="00141698" w:rsidRDefault="00141698" w:rsidP="00141698">
            <w:pPr>
              <w:pStyle w:val="Tabletext"/>
              <w:cnfStyle w:val="000000000000" w:firstRow="0" w:lastRow="0" w:firstColumn="0" w:lastColumn="0" w:oddVBand="0" w:evenVBand="0" w:oddHBand="0" w:evenHBand="0" w:firstRowFirstColumn="0" w:firstRowLastColumn="0" w:lastRowFirstColumn="0" w:lastRowLastColumn="0"/>
              <w:rPr>
                <w:sz w:val="14"/>
              </w:rPr>
            </w:pPr>
            <w:r w:rsidRPr="00141698">
              <w:rPr>
                <w:sz w:val="14"/>
              </w:rPr>
              <w:t>50 million won (criminal)</w:t>
            </w:r>
          </w:p>
        </w:tc>
        <w:tc>
          <w:tcPr>
            <w:tcW w:w="0" w:type="auto"/>
          </w:tcPr>
          <w:p w:rsidR="00141698" w:rsidRPr="00141698" w:rsidRDefault="00141698" w:rsidP="00141698">
            <w:pPr>
              <w:pStyle w:val="Tabletext"/>
              <w:cnfStyle w:val="000000000000" w:firstRow="0" w:lastRow="0" w:firstColumn="0" w:lastColumn="0" w:oddVBand="0" w:evenVBand="0" w:oddHBand="0" w:evenHBand="0" w:firstRowFirstColumn="0" w:firstRowLastColumn="0" w:lastRowFirstColumn="0" w:lastRowLastColumn="0"/>
              <w:rPr>
                <w:sz w:val="14"/>
              </w:rPr>
            </w:pPr>
            <w:r w:rsidRPr="00141698">
              <w:rPr>
                <w:sz w:val="14"/>
              </w:rPr>
              <w:t>-</w:t>
            </w:r>
          </w:p>
        </w:tc>
        <w:tc>
          <w:tcPr>
            <w:tcW w:w="0" w:type="auto"/>
          </w:tcPr>
          <w:p w:rsidR="00141698" w:rsidRPr="00141698" w:rsidRDefault="00141698" w:rsidP="00141698">
            <w:pPr>
              <w:pStyle w:val="Tabletext"/>
              <w:cnfStyle w:val="000000000000" w:firstRow="0" w:lastRow="0" w:firstColumn="0" w:lastColumn="0" w:oddVBand="0" w:evenVBand="0" w:oddHBand="0" w:evenHBand="0" w:firstRowFirstColumn="0" w:firstRowLastColumn="0" w:lastRowFirstColumn="0" w:lastRowLastColumn="0"/>
              <w:rPr>
                <w:sz w:val="14"/>
              </w:rPr>
            </w:pPr>
            <w:r w:rsidRPr="00141698">
              <w:rPr>
                <w:sz w:val="14"/>
              </w:rPr>
              <w:sym w:font="Wingdings" w:char="F0FB"/>
            </w:r>
          </w:p>
        </w:tc>
        <w:tc>
          <w:tcPr>
            <w:tcW w:w="0" w:type="auto"/>
          </w:tcPr>
          <w:p w:rsidR="00141698" w:rsidRPr="00141698" w:rsidRDefault="00141698" w:rsidP="00141698">
            <w:pPr>
              <w:pStyle w:val="Tabletext"/>
              <w:cnfStyle w:val="000000000000" w:firstRow="0" w:lastRow="0" w:firstColumn="0" w:lastColumn="0" w:oddVBand="0" w:evenVBand="0" w:oddHBand="0" w:evenHBand="0" w:firstRowFirstColumn="0" w:firstRowLastColumn="0" w:lastRowFirstColumn="0" w:lastRowLastColumn="0"/>
              <w:rPr>
                <w:sz w:val="14"/>
              </w:rPr>
            </w:pPr>
            <w:r w:rsidRPr="00141698">
              <w:rPr>
                <w:sz w:val="14"/>
              </w:rPr>
              <w:t>3 years</w:t>
            </w:r>
          </w:p>
        </w:tc>
        <w:tc>
          <w:tcPr>
            <w:tcW w:w="0" w:type="auto"/>
          </w:tcPr>
          <w:p w:rsidR="00141698" w:rsidRPr="00141698" w:rsidRDefault="00141698" w:rsidP="00141698">
            <w:pPr>
              <w:pStyle w:val="Tabletext"/>
              <w:cnfStyle w:val="000000000000" w:firstRow="0" w:lastRow="0" w:firstColumn="0" w:lastColumn="0" w:oddVBand="0" w:evenVBand="0" w:oddHBand="0" w:evenHBand="0" w:firstRowFirstColumn="0" w:firstRowLastColumn="0" w:lastRowFirstColumn="0" w:lastRowLastColumn="0"/>
              <w:rPr>
                <w:sz w:val="14"/>
              </w:rPr>
            </w:pPr>
            <w:r w:rsidRPr="00141698">
              <w:rPr>
                <w:sz w:val="14"/>
              </w:rPr>
              <w:sym w:font="Wingdings" w:char="F0FC"/>
            </w:r>
          </w:p>
        </w:tc>
        <w:tc>
          <w:tcPr>
            <w:tcW w:w="0" w:type="auto"/>
          </w:tcPr>
          <w:p w:rsidR="00141698" w:rsidRPr="00141698" w:rsidRDefault="00141698" w:rsidP="00141698">
            <w:pPr>
              <w:pStyle w:val="Tabletext"/>
              <w:cnfStyle w:val="000000000000" w:firstRow="0" w:lastRow="0" w:firstColumn="0" w:lastColumn="0" w:oddVBand="0" w:evenVBand="0" w:oddHBand="0" w:evenHBand="0" w:firstRowFirstColumn="0" w:firstRowLastColumn="0" w:lastRowFirstColumn="0" w:lastRowLastColumn="0"/>
              <w:rPr>
                <w:sz w:val="14"/>
              </w:rPr>
            </w:pPr>
            <w:r w:rsidRPr="00141698">
              <w:rPr>
                <w:sz w:val="14"/>
              </w:rPr>
              <w:t>Administrative</w:t>
            </w:r>
          </w:p>
        </w:tc>
        <w:tc>
          <w:tcPr>
            <w:tcW w:w="0" w:type="auto"/>
          </w:tcPr>
          <w:p w:rsidR="00141698" w:rsidRPr="00141698" w:rsidRDefault="00141698" w:rsidP="00141698">
            <w:pPr>
              <w:pStyle w:val="Tabletext"/>
              <w:cnfStyle w:val="000000000000" w:firstRow="0" w:lastRow="0" w:firstColumn="0" w:lastColumn="0" w:oddVBand="0" w:evenVBand="0" w:oddHBand="0" w:evenHBand="0" w:firstRowFirstColumn="0" w:firstRowLastColumn="0" w:lastRowFirstColumn="0" w:lastRowLastColumn="0"/>
              <w:rPr>
                <w:sz w:val="14"/>
              </w:rPr>
            </w:pPr>
            <w:r w:rsidRPr="00141698">
              <w:rPr>
                <w:sz w:val="14"/>
              </w:rPr>
              <w:t>300 million won for coercive pricing</w:t>
            </w:r>
            <w:r w:rsidRPr="00AB0417">
              <w:rPr>
                <w:rStyle w:val="FootnoteReference"/>
                <w:color w:val="auto"/>
                <w:sz w:val="14"/>
                <w:szCs w:val="14"/>
              </w:rPr>
              <w:footnoteReference w:id="34"/>
            </w:r>
          </w:p>
        </w:tc>
      </w:tr>
      <w:tr w:rsidR="00141698" w:rsidRPr="00141698" w:rsidTr="00141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rsidR="00141698" w:rsidRPr="00141698" w:rsidRDefault="00141698" w:rsidP="00141698">
            <w:pPr>
              <w:pStyle w:val="Tabletext"/>
              <w:rPr>
                <w:sz w:val="14"/>
              </w:rPr>
            </w:pPr>
            <w:r w:rsidRPr="00141698">
              <w:rPr>
                <w:sz w:val="14"/>
              </w:rPr>
              <w:t>Singapore</w:t>
            </w:r>
          </w:p>
        </w:tc>
        <w:tc>
          <w:tcPr>
            <w:tcW w:w="0" w:type="auto"/>
            <w:shd w:val="clear" w:color="auto" w:fill="F2F2F2" w:themeFill="background1" w:themeFillShade="F2"/>
          </w:tcPr>
          <w:p w:rsidR="00141698" w:rsidRPr="00141698" w:rsidRDefault="00141698" w:rsidP="00141698">
            <w:pPr>
              <w:pStyle w:val="Tabletext"/>
              <w:cnfStyle w:val="000000100000" w:firstRow="0" w:lastRow="0" w:firstColumn="0" w:lastColumn="0" w:oddVBand="0" w:evenVBand="0" w:oddHBand="1" w:evenHBand="0" w:firstRowFirstColumn="0" w:firstRowLastColumn="0" w:lastRowFirstColumn="0" w:lastRowLastColumn="0"/>
              <w:rPr>
                <w:sz w:val="14"/>
              </w:rPr>
            </w:pPr>
            <w:r w:rsidRPr="00141698">
              <w:rPr>
                <w:sz w:val="14"/>
              </w:rPr>
              <w:t>There is no regulator who enforces Consumer laws. Consumers can take complaints to an NGO</w:t>
            </w:r>
          </w:p>
        </w:tc>
        <w:tc>
          <w:tcPr>
            <w:tcW w:w="0" w:type="auto"/>
            <w:shd w:val="clear" w:color="auto" w:fill="F2F2F2" w:themeFill="background1" w:themeFillShade="F2"/>
          </w:tcPr>
          <w:p w:rsidR="00141698" w:rsidRPr="00141698" w:rsidRDefault="00141698" w:rsidP="00141698">
            <w:pPr>
              <w:pStyle w:val="Tabletext"/>
              <w:cnfStyle w:val="000000100000" w:firstRow="0" w:lastRow="0" w:firstColumn="0" w:lastColumn="0" w:oddVBand="0" w:evenVBand="0" w:oddHBand="1" w:evenHBand="0" w:firstRowFirstColumn="0" w:firstRowLastColumn="0" w:lastRowFirstColumn="0" w:lastRowLastColumn="0"/>
              <w:rPr>
                <w:sz w:val="14"/>
              </w:rPr>
            </w:pPr>
            <w:r w:rsidRPr="00141698">
              <w:rPr>
                <w:sz w:val="14"/>
              </w:rPr>
              <w:t>-</w:t>
            </w:r>
          </w:p>
        </w:tc>
        <w:tc>
          <w:tcPr>
            <w:tcW w:w="0" w:type="auto"/>
            <w:shd w:val="clear" w:color="auto" w:fill="F2F2F2" w:themeFill="background1" w:themeFillShade="F2"/>
          </w:tcPr>
          <w:p w:rsidR="00141698" w:rsidRPr="00141698" w:rsidRDefault="00141698" w:rsidP="00141698">
            <w:pPr>
              <w:pStyle w:val="Tabletext"/>
              <w:cnfStyle w:val="000000100000" w:firstRow="0" w:lastRow="0" w:firstColumn="0" w:lastColumn="0" w:oddVBand="0" w:evenVBand="0" w:oddHBand="1" w:evenHBand="0" w:firstRowFirstColumn="0" w:firstRowLastColumn="0" w:lastRowFirstColumn="0" w:lastRowLastColumn="0"/>
              <w:rPr>
                <w:sz w:val="14"/>
              </w:rPr>
            </w:pPr>
            <w:r w:rsidRPr="00141698">
              <w:rPr>
                <w:sz w:val="14"/>
              </w:rPr>
              <w:t>-</w:t>
            </w:r>
          </w:p>
        </w:tc>
        <w:tc>
          <w:tcPr>
            <w:tcW w:w="0" w:type="auto"/>
            <w:shd w:val="clear" w:color="auto" w:fill="F2F2F2" w:themeFill="background1" w:themeFillShade="F2"/>
          </w:tcPr>
          <w:p w:rsidR="00141698" w:rsidRPr="00141698" w:rsidRDefault="00141698" w:rsidP="00141698">
            <w:pPr>
              <w:pStyle w:val="Tabletext"/>
              <w:cnfStyle w:val="000000100000" w:firstRow="0" w:lastRow="0" w:firstColumn="0" w:lastColumn="0" w:oddVBand="0" w:evenVBand="0" w:oddHBand="1" w:evenHBand="0" w:firstRowFirstColumn="0" w:firstRowLastColumn="0" w:lastRowFirstColumn="0" w:lastRowLastColumn="0"/>
              <w:rPr>
                <w:sz w:val="14"/>
              </w:rPr>
            </w:pPr>
            <w:r w:rsidRPr="00141698">
              <w:rPr>
                <w:sz w:val="14"/>
              </w:rPr>
              <w:t>-</w:t>
            </w:r>
          </w:p>
        </w:tc>
        <w:tc>
          <w:tcPr>
            <w:tcW w:w="0" w:type="auto"/>
            <w:shd w:val="clear" w:color="auto" w:fill="F2F2F2" w:themeFill="background1" w:themeFillShade="F2"/>
          </w:tcPr>
          <w:p w:rsidR="00141698" w:rsidRPr="00141698" w:rsidRDefault="00141698" w:rsidP="00141698">
            <w:pPr>
              <w:pStyle w:val="Tabletext"/>
              <w:cnfStyle w:val="000000100000" w:firstRow="0" w:lastRow="0" w:firstColumn="0" w:lastColumn="0" w:oddVBand="0" w:evenVBand="0" w:oddHBand="1" w:evenHBand="0" w:firstRowFirstColumn="0" w:firstRowLastColumn="0" w:lastRowFirstColumn="0" w:lastRowLastColumn="0"/>
              <w:rPr>
                <w:sz w:val="14"/>
              </w:rPr>
            </w:pPr>
            <w:r w:rsidRPr="00141698">
              <w:rPr>
                <w:sz w:val="14"/>
              </w:rPr>
              <w:t>-</w:t>
            </w:r>
          </w:p>
        </w:tc>
        <w:tc>
          <w:tcPr>
            <w:tcW w:w="0" w:type="auto"/>
            <w:shd w:val="clear" w:color="auto" w:fill="F2F2F2" w:themeFill="background1" w:themeFillShade="F2"/>
          </w:tcPr>
          <w:p w:rsidR="00141698" w:rsidRPr="00141698" w:rsidRDefault="00141698" w:rsidP="00141698">
            <w:pPr>
              <w:pStyle w:val="Tabletext"/>
              <w:cnfStyle w:val="000000100000" w:firstRow="0" w:lastRow="0" w:firstColumn="0" w:lastColumn="0" w:oddVBand="0" w:evenVBand="0" w:oddHBand="1" w:evenHBand="0" w:firstRowFirstColumn="0" w:firstRowLastColumn="0" w:lastRowFirstColumn="0" w:lastRowLastColumn="0"/>
              <w:rPr>
                <w:sz w:val="14"/>
              </w:rPr>
            </w:pPr>
            <w:r w:rsidRPr="00141698">
              <w:rPr>
                <w:sz w:val="14"/>
              </w:rPr>
              <w:t>-</w:t>
            </w:r>
          </w:p>
        </w:tc>
        <w:tc>
          <w:tcPr>
            <w:tcW w:w="0" w:type="auto"/>
            <w:shd w:val="clear" w:color="auto" w:fill="F2F2F2" w:themeFill="background1" w:themeFillShade="F2"/>
          </w:tcPr>
          <w:p w:rsidR="00141698" w:rsidRPr="00141698" w:rsidRDefault="00141698" w:rsidP="00141698">
            <w:pPr>
              <w:pStyle w:val="Tabletext"/>
              <w:cnfStyle w:val="000000100000" w:firstRow="0" w:lastRow="0" w:firstColumn="0" w:lastColumn="0" w:oddVBand="0" w:evenVBand="0" w:oddHBand="1" w:evenHBand="0" w:firstRowFirstColumn="0" w:firstRowLastColumn="0" w:lastRowFirstColumn="0" w:lastRowLastColumn="0"/>
              <w:rPr>
                <w:sz w:val="14"/>
              </w:rPr>
            </w:pPr>
            <w:r w:rsidRPr="00141698">
              <w:rPr>
                <w:sz w:val="14"/>
              </w:rPr>
              <w:t>-</w:t>
            </w:r>
          </w:p>
        </w:tc>
      </w:tr>
    </w:tbl>
    <w:p w:rsidR="00141698" w:rsidRPr="00141698" w:rsidRDefault="00141698" w:rsidP="00141698">
      <w:pPr>
        <w:pStyle w:val="Listalphabet"/>
        <w:rPr>
          <w:rStyle w:val="Strong"/>
        </w:rPr>
      </w:pPr>
      <w:r w:rsidRPr="00141698">
        <w:rPr>
          <w:rStyle w:val="Strong"/>
        </w:rPr>
        <w:t>Any other relevant matters</w:t>
      </w:r>
    </w:p>
    <w:p w:rsidR="00141698" w:rsidRDefault="00141698" w:rsidP="0093161A">
      <w:pPr>
        <w:pStyle w:val="ListContinue"/>
        <w:tabs>
          <w:tab w:val="clear" w:pos="340"/>
        </w:tabs>
        <w:ind w:left="0"/>
      </w:pPr>
      <w:r>
        <w:t xml:space="preserve">In </w:t>
      </w:r>
      <w:r w:rsidRPr="00141698">
        <w:t>evaluating the suitability of the current penalty regime the ACCC considers the following underlying</w:t>
      </w:r>
      <w:r>
        <w:t xml:space="preserve"> theories fundamental: </w:t>
      </w:r>
    </w:p>
    <w:p w:rsidR="00141698" w:rsidRPr="0093161A" w:rsidRDefault="00141698" w:rsidP="0093161A">
      <w:pPr>
        <w:pStyle w:val="Bulletpoint"/>
        <w:ind w:left="340" w:hanging="340"/>
        <w:rPr>
          <w:lang w:val="en"/>
        </w:rPr>
      </w:pPr>
      <w:r w:rsidRPr="0093161A">
        <w:rPr>
          <w:lang w:val="en"/>
        </w:rPr>
        <w:t>the availability of penalties against individuals in addition to corporate penalties, and</w:t>
      </w:r>
    </w:p>
    <w:p w:rsidR="00141698" w:rsidRPr="0093161A" w:rsidRDefault="00141698" w:rsidP="0093161A">
      <w:pPr>
        <w:pStyle w:val="Bulletpoint"/>
        <w:ind w:left="340" w:hanging="340"/>
        <w:rPr>
          <w:lang w:val="en"/>
        </w:rPr>
      </w:pPr>
      <w:proofErr w:type="gramStart"/>
      <w:r w:rsidRPr="0093161A">
        <w:rPr>
          <w:lang w:val="en"/>
        </w:rPr>
        <w:t>the</w:t>
      </w:r>
      <w:proofErr w:type="gramEnd"/>
      <w:r w:rsidRPr="0093161A">
        <w:rPr>
          <w:lang w:val="en"/>
        </w:rPr>
        <w:t xml:space="preserve"> importance of deterrence. </w:t>
      </w:r>
    </w:p>
    <w:p w:rsidR="00141698" w:rsidRPr="00141698" w:rsidRDefault="00141698" w:rsidP="00141698">
      <w:pPr>
        <w:pStyle w:val="ListLegal"/>
        <w:rPr>
          <w:rStyle w:val="Strong"/>
        </w:rPr>
      </w:pPr>
      <w:r w:rsidRPr="00141698">
        <w:rPr>
          <w:rStyle w:val="Strong"/>
        </w:rPr>
        <w:t>Penalties for individual under the CCA</w:t>
      </w:r>
    </w:p>
    <w:p w:rsidR="00141698" w:rsidRPr="00223DBC" w:rsidRDefault="00141698" w:rsidP="0093161A">
      <w:pPr>
        <w:pStyle w:val="ListContinue2"/>
        <w:tabs>
          <w:tab w:val="clear" w:pos="680"/>
        </w:tabs>
        <w:ind w:left="0"/>
      </w:pPr>
      <w:r w:rsidRPr="00CD2B6F">
        <w:t>T</w:t>
      </w:r>
      <w:r>
        <w:t xml:space="preserve">he ACCC considers that </w:t>
      </w:r>
      <w:r w:rsidRPr="00CD2B6F">
        <w:t xml:space="preserve">one of the most effective ways to combat corporate misconduct is </w:t>
      </w:r>
      <w:r>
        <w:t xml:space="preserve">to hold </w:t>
      </w:r>
      <w:r w:rsidRPr="00CD2B6F">
        <w:t>the individuals who perpetrated the wrongdoing</w:t>
      </w:r>
      <w:r>
        <w:t>, either individually or on behalf of the company, responsible and accountable</w:t>
      </w:r>
      <w:r w:rsidRPr="00CD2B6F">
        <w:t xml:space="preserve">. This </w:t>
      </w:r>
      <w:r>
        <w:t xml:space="preserve">view is widely held internationally. For example, when considering penalties for individuals for cartel conduct the OECD </w:t>
      </w:r>
      <w:r w:rsidRPr="00CD2B6F">
        <w:t>concluded that ‘corporate sanctions rarely are sufficiently high to be an optimal deterrent against cartels, there is a place for sanctions against natural persons’.</w:t>
      </w:r>
      <w:r>
        <w:rPr>
          <w:rStyle w:val="FootnoteReference"/>
        </w:rPr>
        <w:footnoteReference w:id="35"/>
      </w:r>
      <w:r w:rsidRPr="00CD2B6F">
        <w:t xml:space="preserve"> These principles were echoed by the US Department of Justice in 2015 when Deputy Attorney General Sally Yates announced a crackdown on corporate misconduct committed by individuals</w:t>
      </w:r>
      <w:r>
        <w:t xml:space="preserve">. In her memorandum Deputy Attorney General Yates stated that ‘one of the </w:t>
      </w:r>
      <w:r w:rsidRPr="00D30FED">
        <w:t>most effective ways to combat corporate misconduct is by seeking accountability from the individuals who perpetrated the wrongdoing</w:t>
      </w:r>
      <w:r>
        <w:t>’.</w:t>
      </w:r>
      <w:r>
        <w:rPr>
          <w:rStyle w:val="FootnoteReference"/>
        </w:rPr>
        <w:footnoteReference w:id="36"/>
      </w:r>
      <w:r>
        <w:t xml:space="preserve"> </w:t>
      </w:r>
    </w:p>
    <w:p w:rsidR="00141698" w:rsidRDefault="00141698" w:rsidP="0093161A">
      <w:pPr>
        <w:pStyle w:val="ListContinue2"/>
        <w:tabs>
          <w:tab w:val="clear" w:pos="680"/>
        </w:tabs>
        <w:ind w:left="0"/>
      </w:pPr>
      <w:r w:rsidRPr="00B94BD1">
        <w:t xml:space="preserve">The focus </w:t>
      </w:r>
      <w:r w:rsidRPr="00213014">
        <w:t xml:space="preserve">on individual deterrence is </w:t>
      </w:r>
      <w:r>
        <w:t xml:space="preserve">also </w:t>
      </w:r>
      <w:r w:rsidRPr="00213014">
        <w:t xml:space="preserve">an important reason for the non-indemnity clause </w:t>
      </w:r>
      <w:r>
        <w:t>in</w:t>
      </w:r>
      <w:r w:rsidRPr="00213014">
        <w:t xml:space="preserve"> the CCA.</w:t>
      </w:r>
      <w:r w:rsidRPr="00213014">
        <w:rPr>
          <w:rStyle w:val="FootnoteReference"/>
        </w:rPr>
        <w:footnoteReference w:id="37"/>
      </w:r>
      <w:r w:rsidRPr="00213014">
        <w:t xml:space="preserve"> The non-indemnity clause provides that an organisation cannot indemnify an employee against legal costs or financial penalties</w:t>
      </w:r>
      <w:r w:rsidR="000C50F0">
        <w:t xml:space="preserve"> where the employee has been found liable</w:t>
      </w:r>
      <w:r w:rsidRPr="00213014">
        <w:t xml:space="preserve">. </w:t>
      </w:r>
      <w:r w:rsidRPr="00B94BD1">
        <w:t xml:space="preserve">This increases the risk to an individual </w:t>
      </w:r>
      <w:r>
        <w:t xml:space="preserve">that </w:t>
      </w:r>
      <w:r w:rsidRPr="00B94BD1">
        <w:t>engag</w:t>
      </w:r>
      <w:r>
        <w:t>es</w:t>
      </w:r>
      <w:r w:rsidRPr="00B94BD1">
        <w:t xml:space="preserve"> in corporate misconduct </w:t>
      </w:r>
      <w:r>
        <w:t>and therefore provides deterrence</w:t>
      </w:r>
      <w:r w:rsidRPr="00B94BD1">
        <w:t xml:space="preserve">. It also encourages </w:t>
      </w:r>
      <w:r>
        <w:t>individuals to cooperate with ACCC during investigations and litigation</w:t>
      </w:r>
      <w:r w:rsidRPr="00B94BD1">
        <w:t>.</w:t>
      </w:r>
    </w:p>
    <w:p w:rsidR="00141698" w:rsidRPr="00223DBC" w:rsidRDefault="00141698" w:rsidP="00223DBC">
      <w:pPr>
        <w:pStyle w:val="ListLegal"/>
        <w:rPr>
          <w:rStyle w:val="Strong"/>
        </w:rPr>
      </w:pPr>
      <w:r w:rsidRPr="00223DBC">
        <w:rPr>
          <w:rStyle w:val="Strong"/>
        </w:rPr>
        <w:lastRenderedPageBreak/>
        <w:t>Deterrent effect of penalties</w:t>
      </w:r>
    </w:p>
    <w:p w:rsidR="00141698" w:rsidRPr="00223DBC" w:rsidRDefault="00141698" w:rsidP="0093161A">
      <w:pPr>
        <w:pStyle w:val="ListContinue2"/>
        <w:tabs>
          <w:tab w:val="clear" w:pos="680"/>
        </w:tabs>
        <w:ind w:left="0"/>
        <w:rPr>
          <w:rStyle w:val="Emphasis"/>
        </w:rPr>
      </w:pPr>
      <w:r w:rsidRPr="005B6A9B">
        <w:rPr>
          <w:lang w:val="en"/>
        </w:rPr>
        <w:t>Specific and general deterrence is a critical component to encouraging compliance with the CCA</w:t>
      </w:r>
      <w:r w:rsidRPr="005B6A9B">
        <w:t>. To prevent infringing behaviour both the theoretical maximum penalty and the penalties obtained in practice must have a strong deterrent effect</w:t>
      </w:r>
      <w:r>
        <w:t>.</w:t>
      </w:r>
      <w:r w:rsidRPr="005B6A9B">
        <w:t xml:space="preserve"> To be effective, the prohibitions must be able to be efficiently enforced by the ACCC and private litigants, and the penalties achieved must outweigh the gains that businesses obtain from anti-competitive or unfair conduct. In </w:t>
      </w:r>
      <w:r w:rsidRPr="00223DBC">
        <w:rPr>
          <w:rStyle w:val="Emphasis"/>
        </w:rPr>
        <w:t xml:space="preserve">Trade Practices Commission v CSR Ltd </w:t>
      </w:r>
      <w:r w:rsidRPr="005B6A9B">
        <w:t xml:space="preserve">Justice French </w:t>
      </w:r>
      <w:r>
        <w:t xml:space="preserve">stated </w:t>
      </w:r>
      <w:r w:rsidRPr="005B6A9B">
        <w:t>that the purpose of penalties is deterrence</w:t>
      </w:r>
      <w:r>
        <w:t>:</w:t>
      </w:r>
      <w:r w:rsidRPr="00223DBC">
        <w:rPr>
          <w:rStyle w:val="Emphasis"/>
        </w:rPr>
        <w:t xml:space="preserve"> </w:t>
      </w:r>
    </w:p>
    <w:p w:rsidR="00141698" w:rsidRPr="00223DBC" w:rsidRDefault="00141698" w:rsidP="00223DBC">
      <w:pPr>
        <w:pStyle w:val="ListContinue3"/>
        <w:rPr>
          <w:rStyle w:val="Emphasis"/>
        </w:rPr>
      </w:pPr>
      <w:r w:rsidRPr="00223DBC">
        <w:rPr>
          <w:rStyle w:val="Emphasis"/>
        </w:rPr>
        <w:t>“to put a price on contravention that is sufficiently high to deter repetition by the contravener and by others who might be tempted to contravene the Act”</w:t>
      </w:r>
      <w:r w:rsidRPr="0037783B">
        <w:rPr>
          <w:rStyle w:val="FootnoteReference"/>
          <w:i/>
          <w:iCs/>
        </w:rPr>
        <w:footnoteReference w:id="38"/>
      </w:r>
    </w:p>
    <w:p w:rsidR="00141698" w:rsidRPr="00B3174E" w:rsidRDefault="00141698" w:rsidP="0093161A">
      <w:pPr>
        <w:pStyle w:val="ListContinue2"/>
        <w:tabs>
          <w:tab w:val="clear" w:pos="680"/>
        </w:tabs>
        <w:ind w:left="0"/>
        <w:rPr>
          <w:lang w:eastAsia="en-AU"/>
        </w:rPr>
      </w:pPr>
      <w:r w:rsidRPr="00B3174E">
        <w:rPr>
          <w:lang w:eastAsia="en-AU"/>
        </w:rPr>
        <w:t xml:space="preserve">A key factor a </w:t>
      </w:r>
      <w:r>
        <w:rPr>
          <w:lang w:eastAsia="en-AU"/>
        </w:rPr>
        <w:t>Court</w:t>
      </w:r>
      <w:r w:rsidRPr="00B3174E">
        <w:rPr>
          <w:lang w:eastAsia="en-AU"/>
        </w:rPr>
        <w:t xml:space="preserve"> will consider in determining </w:t>
      </w:r>
      <w:r>
        <w:rPr>
          <w:lang w:eastAsia="en-AU"/>
        </w:rPr>
        <w:t>a</w:t>
      </w:r>
      <w:r w:rsidRPr="00B3174E">
        <w:rPr>
          <w:lang w:eastAsia="en-AU"/>
        </w:rPr>
        <w:t xml:space="preserve"> penalty is </w:t>
      </w:r>
      <w:r>
        <w:rPr>
          <w:lang w:eastAsia="en-AU"/>
        </w:rPr>
        <w:t>the</w:t>
      </w:r>
      <w:r w:rsidRPr="00B3174E">
        <w:rPr>
          <w:lang w:eastAsia="en-AU"/>
        </w:rPr>
        <w:t xml:space="preserve"> deterrent effect, both to the specific corporation or individual that breached</w:t>
      </w:r>
      <w:r>
        <w:rPr>
          <w:lang w:eastAsia="en-AU"/>
        </w:rPr>
        <w:t xml:space="preserve"> the law,</w:t>
      </w:r>
      <w:r w:rsidRPr="00B3174E">
        <w:rPr>
          <w:lang w:eastAsia="en-AU"/>
        </w:rPr>
        <w:t xml:space="preserve"> as well as to the community at large. In </w:t>
      </w:r>
      <w:r>
        <w:rPr>
          <w:lang w:eastAsia="en-AU"/>
        </w:rPr>
        <w:t>the CSR</w:t>
      </w:r>
      <w:r w:rsidRPr="00B3174E">
        <w:rPr>
          <w:lang w:eastAsia="en-AU"/>
        </w:rPr>
        <w:t xml:space="preserve"> case, Justice French set out a number of factors for the </w:t>
      </w:r>
      <w:r>
        <w:rPr>
          <w:lang w:eastAsia="en-AU"/>
        </w:rPr>
        <w:t>Court</w:t>
      </w:r>
      <w:r w:rsidRPr="00B3174E">
        <w:rPr>
          <w:lang w:eastAsia="en-AU"/>
        </w:rPr>
        <w:t xml:space="preserve"> to consider when imposing a penalty (often called the ‘French factors’). These include the size of the company, the amount of market power it has, the deliberateness of the conduct and whether the company has cooperated.</w:t>
      </w:r>
      <w:r w:rsidRPr="006F0BD8">
        <w:rPr>
          <w:rStyle w:val="FootnoteReference"/>
          <w:rFonts w:cs="Arial"/>
          <w:color w:val="000000"/>
          <w:lang w:val="en"/>
        </w:rPr>
        <w:footnoteReference w:id="39"/>
      </w:r>
      <w:r w:rsidRPr="00B3174E">
        <w:rPr>
          <w:lang w:eastAsia="en-AU"/>
        </w:rPr>
        <w:t xml:space="preserve"> Subsequent cases have outlined additional factors such as any similar past conduct and the size of the damage to the market.</w:t>
      </w:r>
    </w:p>
    <w:p w:rsidR="00141698" w:rsidRPr="00EB1127" w:rsidRDefault="00141698" w:rsidP="00223DBC">
      <w:pPr>
        <w:pStyle w:val="Numbered1"/>
      </w:pPr>
      <w:r>
        <w:t xml:space="preserve">Concurrent law reform processes </w:t>
      </w:r>
    </w:p>
    <w:p w:rsidR="00141698" w:rsidRPr="003340F4" w:rsidRDefault="00141698" w:rsidP="00223DBC">
      <w:pPr>
        <w:pStyle w:val="Numbered11"/>
      </w:pPr>
      <w:r w:rsidRPr="003340F4">
        <w:t>Competition penalties</w:t>
      </w:r>
    </w:p>
    <w:p w:rsidR="00141698" w:rsidRPr="00A87DA4" w:rsidRDefault="00141698" w:rsidP="00223DBC">
      <w:pPr>
        <w:rPr>
          <w:lang w:val="en"/>
        </w:rPr>
      </w:pPr>
      <w:r w:rsidRPr="00A349BD">
        <w:rPr>
          <w:lang w:val="en"/>
        </w:rPr>
        <w:t xml:space="preserve">The ACCC considers that the penalties </w:t>
      </w:r>
      <w:r>
        <w:rPr>
          <w:lang w:val="en"/>
        </w:rPr>
        <w:t xml:space="preserve">currently available </w:t>
      </w:r>
      <w:r w:rsidRPr="00A349BD">
        <w:rPr>
          <w:lang w:val="en"/>
        </w:rPr>
        <w:t>for breaches of the competition provisions</w:t>
      </w:r>
      <w:r>
        <w:rPr>
          <w:lang w:val="en"/>
        </w:rPr>
        <w:t xml:space="preserve"> are broadly appropriate and in line with international trends. </w:t>
      </w:r>
      <w:r w:rsidRPr="00A349BD">
        <w:rPr>
          <w:lang w:val="en"/>
        </w:rPr>
        <w:t xml:space="preserve"> </w:t>
      </w:r>
      <w:r>
        <w:rPr>
          <w:lang w:val="en"/>
        </w:rPr>
        <w:t xml:space="preserve">The current challenge in Australia is for regulators and Courts to ensure that the penalties actually imposed are sufficiently high to provide for sufficient deterrence. Cases are now coming before the Courts which involve conduct that is subject to the higher penalty regime for competition cases in Australia, and the ACCC will continue to seek high </w:t>
      </w:r>
      <w:r w:rsidRPr="00A87DA4">
        <w:rPr>
          <w:lang w:val="en"/>
        </w:rPr>
        <w:t>penalties w</w:t>
      </w:r>
      <w:r>
        <w:rPr>
          <w:lang w:val="en"/>
        </w:rPr>
        <w:t>h</w:t>
      </w:r>
      <w:r w:rsidRPr="00A87DA4">
        <w:rPr>
          <w:lang w:val="en"/>
        </w:rPr>
        <w:t xml:space="preserve">ere we consider it </w:t>
      </w:r>
      <w:r>
        <w:rPr>
          <w:lang w:val="en"/>
        </w:rPr>
        <w:t>appropriate</w:t>
      </w:r>
      <w:r w:rsidRPr="00A87DA4">
        <w:rPr>
          <w:lang w:val="en"/>
        </w:rPr>
        <w:t xml:space="preserve"> </w:t>
      </w:r>
      <w:r>
        <w:rPr>
          <w:lang w:val="en"/>
        </w:rPr>
        <w:t>based on the facts of</w:t>
      </w:r>
      <w:r w:rsidRPr="00A87DA4">
        <w:rPr>
          <w:lang w:val="en"/>
        </w:rPr>
        <w:t xml:space="preserve"> the case.   </w:t>
      </w:r>
    </w:p>
    <w:p w:rsidR="00141698" w:rsidRDefault="00141698" w:rsidP="00223DBC">
      <w:pPr>
        <w:rPr>
          <w:lang w:val="en"/>
        </w:rPr>
      </w:pPr>
      <w:r w:rsidRPr="00A87DA4">
        <w:rPr>
          <w:lang w:val="en"/>
        </w:rPr>
        <w:t>The ACCC considers that increased protection for whistleblowers in the CCA is likely to strengthen our ability to obtain information and evidence. The ACCC’s submissions to the Competition Law Review provide more information on the ACCC’s views.</w:t>
      </w:r>
      <w:r w:rsidRPr="00A87DA4">
        <w:rPr>
          <w:rStyle w:val="FootnoteReference"/>
          <w:rFonts w:cs="Arial"/>
          <w:lang w:val="en"/>
        </w:rPr>
        <w:footnoteReference w:id="40"/>
      </w:r>
      <w:r w:rsidRPr="00A87DA4">
        <w:rPr>
          <w:lang w:val="en"/>
        </w:rPr>
        <w:t xml:space="preserve"> In this regard the ACCC </w:t>
      </w:r>
      <w:r>
        <w:rPr>
          <w:lang w:val="en"/>
        </w:rPr>
        <w:t>has</w:t>
      </w:r>
      <w:r w:rsidRPr="00A87DA4">
        <w:rPr>
          <w:lang w:val="en"/>
        </w:rPr>
        <w:t xml:space="preserve"> an </w:t>
      </w:r>
      <w:hyperlink r:id="rId11" w:history="1">
        <w:r w:rsidRPr="00223DBC">
          <w:rPr>
            <w:rStyle w:val="Emphasis"/>
          </w:rPr>
          <w:t>Immunity and cooperation policy for cartel conduct</w:t>
        </w:r>
      </w:hyperlink>
      <w:r w:rsidRPr="00223DBC">
        <w:rPr>
          <w:rStyle w:val="Emphasis"/>
        </w:rPr>
        <w:t xml:space="preserve"> </w:t>
      </w:r>
      <w:r w:rsidRPr="00A87DA4">
        <w:rPr>
          <w:lang w:val="en"/>
        </w:rPr>
        <w:t xml:space="preserve">to encourage self-reporting of cartel involvement. Such policies are used around the world, with approximately 50 other countries currently </w:t>
      </w:r>
      <w:r>
        <w:rPr>
          <w:lang w:val="en"/>
        </w:rPr>
        <w:t>using</w:t>
      </w:r>
      <w:r w:rsidRPr="00A87DA4">
        <w:rPr>
          <w:lang w:val="en"/>
        </w:rPr>
        <w:t xml:space="preserve"> a similar approach. Immunity is conferred on the first person to report conduct, providing they meet certain criteria.</w:t>
      </w:r>
      <w:r w:rsidRPr="00A87DA4">
        <w:rPr>
          <w:rStyle w:val="FootnoteReference"/>
          <w:rFonts w:cs="Arial"/>
          <w:lang w:val="en"/>
        </w:rPr>
        <w:footnoteReference w:id="41"/>
      </w:r>
      <w:r w:rsidRPr="00A87DA4">
        <w:rPr>
          <w:lang w:val="en"/>
        </w:rPr>
        <w:t xml:space="preserve"> The ACCC also uses a </w:t>
      </w:r>
      <w:r w:rsidRPr="00223DBC">
        <w:rPr>
          <w:rStyle w:val="Emphasis"/>
        </w:rPr>
        <w:t xml:space="preserve">Cooperation policy for enforcement matters </w:t>
      </w:r>
      <w:r w:rsidRPr="00A87DA4">
        <w:rPr>
          <w:lang w:val="en"/>
        </w:rPr>
        <w:t>to encourage persons and companies who might have contravened other provisions of the Act, or who are not the first cartel</w:t>
      </w:r>
      <w:r>
        <w:rPr>
          <w:lang w:val="en"/>
        </w:rPr>
        <w:t xml:space="preserve"> informant,</w:t>
      </w:r>
      <w:r w:rsidRPr="00136E91">
        <w:rPr>
          <w:lang w:val="en"/>
        </w:rPr>
        <w:t xml:space="preserve"> to come forward and cooperate with the ACCC to address these possible contraventions</w:t>
      </w:r>
      <w:r>
        <w:rPr>
          <w:lang w:val="en"/>
        </w:rPr>
        <w:t xml:space="preserve">. </w:t>
      </w:r>
    </w:p>
    <w:p w:rsidR="00141698" w:rsidRDefault="00141698" w:rsidP="00223DBC">
      <w:pPr>
        <w:rPr>
          <w:lang w:val="en"/>
        </w:rPr>
      </w:pPr>
      <w:r w:rsidRPr="00EA1DEC">
        <w:rPr>
          <w:lang w:val="en"/>
        </w:rPr>
        <w:t xml:space="preserve">In </w:t>
      </w:r>
      <w:r>
        <w:rPr>
          <w:lang w:val="en"/>
        </w:rPr>
        <w:t xml:space="preserve">the ACCC </w:t>
      </w:r>
      <w:r w:rsidRPr="001327ED">
        <w:rPr>
          <w:lang w:val="en"/>
        </w:rPr>
        <w:t xml:space="preserve">response to the </w:t>
      </w:r>
      <w:hyperlink r:id="rId12" w:history="1">
        <w:r w:rsidRPr="001327ED">
          <w:rPr>
            <w:rStyle w:val="Hyperlink"/>
            <w:rFonts w:cs="Arial"/>
            <w:color w:val="auto"/>
            <w:lang w:val="en"/>
          </w:rPr>
          <w:t>Harper inquiry</w:t>
        </w:r>
      </w:hyperlink>
      <w:r w:rsidRPr="001327ED">
        <w:rPr>
          <w:lang w:val="en"/>
        </w:rPr>
        <w:t>,</w:t>
      </w:r>
      <w:r w:rsidRPr="001327ED">
        <w:rPr>
          <w:rStyle w:val="FootnoteReference"/>
          <w:rFonts w:cs="Arial"/>
          <w:lang w:val="en"/>
        </w:rPr>
        <w:footnoteReference w:id="42"/>
      </w:r>
      <w:r w:rsidRPr="001327ED">
        <w:rPr>
          <w:lang w:val="en"/>
        </w:rPr>
        <w:t xml:space="preserve"> we suggested that to</w:t>
      </w:r>
      <w:r w:rsidRPr="00EA1DEC">
        <w:rPr>
          <w:lang w:val="en"/>
        </w:rPr>
        <w:t xml:space="preserve"> </w:t>
      </w:r>
      <w:r>
        <w:rPr>
          <w:lang w:val="en"/>
        </w:rPr>
        <w:t>complement these tools and assist with</w:t>
      </w:r>
      <w:r w:rsidRPr="00EA1DEC">
        <w:rPr>
          <w:lang w:val="en"/>
        </w:rPr>
        <w:t xml:space="preserve"> gathering evidence for investigations greater protection for whistle-blowers</w:t>
      </w:r>
      <w:r>
        <w:rPr>
          <w:lang w:val="en"/>
        </w:rPr>
        <w:t xml:space="preserve"> </w:t>
      </w:r>
      <w:r w:rsidRPr="00EA1DEC">
        <w:rPr>
          <w:lang w:val="en"/>
        </w:rPr>
        <w:t xml:space="preserve">or informants should be provided through: </w:t>
      </w:r>
    </w:p>
    <w:p w:rsidR="00141698" w:rsidRPr="00600D71" w:rsidRDefault="00141698" w:rsidP="00223DBC">
      <w:pPr>
        <w:pStyle w:val="Bulletpoint"/>
      </w:pPr>
      <w:r w:rsidRPr="00EA1DEC">
        <w:rPr>
          <w:lang w:val="en"/>
        </w:rPr>
        <w:t>sanctions that better deter intimidation</w:t>
      </w:r>
      <w:r>
        <w:rPr>
          <w:lang w:val="en"/>
        </w:rPr>
        <w:t>;</w:t>
      </w:r>
      <w:r w:rsidRPr="00EA1DEC">
        <w:rPr>
          <w:lang w:val="en"/>
        </w:rPr>
        <w:t xml:space="preserve"> and </w:t>
      </w:r>
    </w:p>
    <w:p w:rsidR="00141698" w:rsidRPr="00600D71" w:rsidRDefault="00141698" w:rsidP="00223DBC">
      <w:pPr>
        <w:pStyle w:val="Bulletpoint"/>
      </w:pPr>
      <w:proofErr w:type="gramStart"/>
      <w:r w:rsidRPr="00EA1DEC">
        <w:rPr>
          <w:lang w:val="en"/>
        </w:rPr>
        <w:lastRenderedPageBreak/>
        <w:t>the</w:t>
      </w:r>
      <w:proofErr w:type="gramEnd"/>
      <w:r w:rsidRPr="00EA1DEC">
        <w:rPr>
          <w:lang w:val="en"/>
        </w:rPr>
        <w:t xml:space="preserve"> creation of a third-party whistle-blower regime, modelled on the </w:t>
      </w:r>
      <w:r w:rsidRPr="00600D71">
        <w:rPr>
          <w:rStyle w:val="Emphasis"/>
        </w:rPr>
        <w:t>Corporations Act 2001</w:t>
      </w:r>
      <w:r w:rsidRPr="00EA1DEC">
        <w:rPr>
          <w:lang w:val="en"/>
        </w:rPr>
        <w:t>.</w:t>
      </w:r>
    </w:p>
    <w:p w:rsidR="00141698" w:rsidRPr="00EA1DEC" w:rsidRDefault="00141698" w:rsidP="00223DBC">
      <w:pPr>
        <w:rPr>
          <w:lang w:val="en"/>
        </w:rPr>
      </w:pPr>
      <w:r w:rsidRPr="00EA1DEC">
        <w:t xml:space="preserve">This is an issue that may also be of relevance to the Committee given the concurrent Commonwealth Attorney General’s Department’s Public Consultation Paper </w:t>
      </w:r>
      <w:hyperlink r:id="rId13" w:history="1">
        <w:r w:rsidRPr="00223DBC">
          <w:rPr>
            <w:rStyle w:val="Emphasis"/>
          </w:rPr>
          <w:t>Consideration of a Deferred Prosecution Agreements scheme in Australia</w:t>
        </w:r>
      </w:hyperlink>
      <w:r w:rsidRPr="00EA1DEC">
        <w:t>.</w:t>
      </w:r>
      <w:r>
        <w:rPr>
          <w:rStyle w:val="FootnoteReference"/>
          <w:rFonts w:cs="Arial"/>
          <w:i/>
        </w:rPr>
        <w:footnoteReference w:id="43"/>
      </w:r>
      <w:r w:rsidRPr="00EA1DEC">
        <w:t xml:space="preserve"> </w:t>
      </w:r>
    </w:p>
    <w:p w:rsidR="00141698" w:rsidRPr="003340F4" w:rsidRDefault="00141698" w:rsidP="00223DBC">
      <w:pPr>
        <w:pStyle w:val="Numbered11"/>
      </w:pPr>
      <w:r w:rsidRPr="003340F4">
        <w:t>Consumer protection penalties</w:t>
      </w:r>
    </w:p>
    <w:p w:rsidR="00141698" w:rsidRDefault="00141698" w:rsidP="00223DBC">
      <w:pPr>
        <w:rPr>
          <w:lang w:val="en"/>
        </w:rPr>
      </w:pPr>
      <w:r w:rsidRPr="001327ED">
        <w:rPr>
          <w:lang w:val="en"/>
        </w:rPr>
        <w:t xml:space="preserve">The ACCC welcomes the current </w:t>
      </w:r>
      <w:hyperlink r:id="rId14" w:history="1">
        <w:r w:rsidRPr="001327ED">
          <w:rPr>
            <w:rStyle w:val="Hyperlink"/>
            <w:rFonts w:cs="Arial"/>
            <w:color w:val="auto"/>
            <w:lang w:val="en"/>
          </w:rPr>
          <w:t>ACL Review</w:t>
        </w:r>
      </w:hyperlink>
      <w:r w:rsidRPr="001327ED">
        <w:rPr>
          <w:lang w:val="en"/>
        </w:rPr>
        <w:t xml:space="preserve"> which</w:t>
      </w:r>
      <w:r w:rsidRPr="00B3174E">
        <w:rPr>
          <w:lang w:val="en"/>
        </w:rPr>
        <w:t xml:space="preserve"> will include a consideration of whether the penalties provided for in the ACL remain appropriate. The final report of the ACL Review </w:t>
      </w:r>
      <w:r>
        <w:rPr>
          <w:lang w:val="en"/>
        </w:rPr>
        <w:t xml:space="preserve">is expected in March 2017. </w:t>
      </w:r>
    </w:p>
    <w:p w:rsidR="00141698" w:rsidRDefault="00141698" w:rsidP="00223DBC">
      <w:pPr>
        <w:rPr>
          <w:lang w:val="en"/>
        </w:rPr>
      </w:pPr>
      <w:r w:rsidRPr="00204659">
        <w:rPr>
          <w:lang w:val="en"/>
        </w:rPr>
        <w:t xml:space="preserve">The ACL Review will </w:t>
      </w:r>
      <w:r>
        <w:rPr>
          <w:lang w:val="en"/>
        </w:rPr>
        <w:t xml:space="preserve">also </w:t>
      </w:r>
      <w:r w:rsidRPr="00204659">
        <w:rPr>
          <w:lang w:val="en"/>
        </w:rPr>
        <w:t xml:space="preserve">consider whether </w:t>
      </w:r>
      <w:r>
        <w:rPr>
          <w:lang w:val="en"/>
        </w:rPr>
        <w:t xml:space="preserve">legislating maximum penalties with reference to, for instance, </w:t>
      </w:r>
      <w:r w:rsidRPr="00204659">
        <w:rPr>
          <w:lang w:val="en"/>
        </w:rPr>
        <w:t xml:space="preserve">the </w:t>
      </w:r>
      <w:r w:rsidRPr="00223DBC">
        <w:rPr>
          <w:rStyle w:val="Emphasis"/>
        </w:rPr>
        <w:t>Crimes Act 1914</w:t>
      </w:r>
      <w:r w:rsidRPr="00204659">
        <w:rPr>
          <w:lang w:val="en"/>
        </w:rPr>
        <w:t xml:space="preserve"> ‘penalty units’ that are periodically adjusted to keep pace with inflation</w:t>
      </w:r>
      <w:r>
        <w:rPr>
          <w:lang w:val="en"/>
        </w:rPr>
        <w:t>, would be appropriate</w:t>
      </w:r>
      <w:r w:rsidRPr="00204659">
        <w:rPr>
          <w:lang w:val="en"/>
        </w:rPr>
        <w:t xml:space="preserve">. </w:t>
      </w:r>
    </w:p>
    <w:p w:rsidR="00141698" w:rsidRDefault="00141698" w:rsidP="00223DBC">
      <w:pPr>
        <w:rPr>
          <w:lang w:val="en"/>
        </w:rPr>
      </w:pPr>
      <w:r>
        <w:rPr>
          <w:lang w:val="en"/>
        </w:rPr>
        <w:t xml:space="preserve">The ACCC considers that the current maximum penalties available under the ACL are too low to provide a powerful deterrent effect. This is particularly the case for breaches by large corporate players that are unlikely to be deterred by a maximum penalty of $1 100 000 per contravention. There appears to be no strong policy reason for the maximum penalties under the ACL being considerably lower than those available for breaches of competition laws. We do not consider that consumer harm resulting from ACL breaches is necessarily less significant than that arising in competition cases. We consider that the ACL penalty regime should be reviewed in light of this disparity.   </w:t>
      </w:r>
    </w:p>
    <w:p w:rsidR="00141698" w:rsidRPr="00B3174E" w:rsidRDefault="00141698" w:rsidP="00223DBC">
      <w:pPr>
        <w:rPr>
          <w:lang w:val="en"/>
        </w:rPr>
      </w:pPr>
      <w:r>
        <w:rPr>
          <w:lang w:val="en"/>
        </w:rPr>
        <w:t xml:space="preserve">This view has also been expressed by the Courts. In </w:t>
      </w:r>
      <w:r w:rsidRPr="00223DBC">
        <w:rPr>
          <w:rStyle w:val="Emphasis"/>
        </w:rPr>
        <w:t>ACCC v Coles</w:t>
      </w:r>
      <w:r>
        <w:rPr>
          <w:lang w:val="en"/>
        </w:rPr>
        <w:t xml:space="preserve"> the ACCC alleged that </w:t>
      </w:r>
      <w:r w:rsidRPr="00B3174E">
        <w:rPr>
          <w:lang w:val="en"/>
        </w:rPr>
        <w:t>Coles had:</w:t>
      </w:r>
    </w:p>
    <w:p w:rsidR="00141698" w:rsidRPr="00B3174E" w:rsidRDefault="00141698" w:rsidP="00223DBC">
      <w:pPr>
        <w:pStyle w:val="ListBullet"/>
        <w:rPr>
          <w:lang w:val="en"/>
        </w:rPr>
      </w:pPr>
      <w:r w:rsidRPr="00B3174E">
        <w:rPr>
          <w:lang w:val="en"/>
        </w:rPr>
        <w:t>demanded payments from suppliers that it was not entitled to</w:t>
      </w:r>
    </w:p>
    <w:p w:rsidR="00141698" w:rsidRPr="00B3174E" w:rsidRDefault="00141698" w:rsidP="00223DBC">
      <w:pPr>
        <w:pStyle w:val="ListBullet"/>
        <w:rPr>
          <w:lang w:val="en"/>
        </w:rPr>
      </w:pPr>
      <w:r w:rsidRPr="00B3174E">
        <w:rPr>
          <w:lang w:val="en"/>
        </w:rPr>
        <w:t xml:space="preserve">threatened harm to the suppliers that did not comply with the demand </w:t>
      </w:r>
    </w:p>
    <w:p w:rsidR="00141698" w:rsidRPr="006B4CB6" w:rsidRDefault="00141698" w:rsidP="00223DBC">
      <w:pPr>
        <w:pStyle w:val="ListBullet"/>
        <w:rPr>
          <w:lang w:val="en"/>
        </w:rPr>
      </w:pPr>
      <w:proofErr w:type="gramStart"/>
      <w:r w:rsidRPr="00B3174E">
        <w:rPr>
          <w:lang w:val="en"/>
        </w:rPr>
        <w:t>withheld</w:t>
      </w:r>
      <w:proofErr w:type="gramEnd"/>
      <w:r w:rsidRPr="00B3174E">
        <w:rPr>
          <w:lang w:val="en"/>
        </w:rPr>
        <w:t xml:space="preserve"> money from suppliers it had no right to withhold</w:t>
      </w:r>
      <w:r w:rsidRPr="006B4CB6">
        <w:rPr>
          <w:lang w:val="en"/>
        </w:rPr>
        <w:t xml:space="preserve">. </w:t>
      </w:r>
    </w:p>
    <w:p w:rsidR="00141698" w:rsidRDefault="00141698" w:rsidP="00223DBC">
      <w:pPr>
        <w:rPr>
          <w:lang w:val="en"/>
        </w:rPr>
      </w:pPr>
      <w:r>
        <w:rPr>
          <w:lang w:val="en"/>
        </w:rPr>
        <w:t>In December 2014 the Federal Court of Australia by consent made declarations that Coles had engaged in unconscionable conduct in breach of the ACL</w:t>
      </w:r>
      <w:r w:rsidRPr="00B3174E">
        <w:rPr>
          <w:rStyle w:val="FootnoteReference"/>
          <w:rFonts w:cs="Arial"/>
          <w:lang w:val="en"/>
        </w:rPr>
        <w:footnoteReference w:id="44"/>
      </w:r>
      <w:r w:rsidRPr="00B3174E">
        <w:rPr>
          <w:rStyle w:val="FootnoteReference"/>
        </w:rPr>
        <w:t xml:space="preserve"> </w:t>
      </w:r>
      <w:r>
        <w:rPr>
          <w:lang w:val="en"/>
        </w:rPr>
        <w:t>and ordered Coles to pay $10 million in financial penalties. Coles also entered Court enforceable undertakings to provide redress to over 200 affected suppliers.</w:t>
      </w:r>
    </w:p>
    <w:p w:rsidR="00141698" w:rsidRDefault="00141698" w:rsidP="00223DBC">
      <w:pPr>
        <w:rPr>
          <w:lang w:val="en"/>
        </w:rPr>
      </w:pPr>
      <w:r w:rsidRPr="006D31FF">
        <w:rPr>
          <w:lang w:val="en"/>
        </w:rPr>
        <w:t xml:space="preserve">The </w:t>
      </w:r>
      <w:r>
        <w:rPr>
          <w:lang w:val="en"/>
        </w:rPr>
        <w:t>Court</w:t>
      </w:r>
      <w:r w:rsidRPr="006D31FF">
        <w:rPr>
          <w:lang w:val="en"/>
        </w:rPr>
        <w:t xml:space="preserve"> found that </w:t>
      </w:r>
      <w:r w:rsidRPr="00B3174E">
        <w:rPr>
          <w:lang w:val="en"/>
        </w:rPr>
        <w:t xml:space="preserve">Coles had acted unconscionably by threatening its suppliers in a manner not consistent with acceptable business and social standards. </w:t>
      </w:r>
      <w:r w:rsidRPr="006D31FF">
        <w:rPr>
          <w:lang w:val="en"/>
        </w:rPr>
        <w:t>In her judgm</w:t>
      </w:r>
      <w:r>
        <w:rPr>
          <w:lang w:val="en"/>
        </w:rPr>
        <w:t xml:space="preserve">ent, Justice Gordon stated that: </w:t>
      </w:r>
    </w:p>
    <w:p w:rsidR="00141698" w:rsidRPr="00223DBC" w:rsidRDefault="00141698" w:rsidP="00223DBC">
      <w:pPr>
        <w:pStyle w:val="Quote"/>
        <w:rPr>
          <w:rStyle w:val="Emphasis"/>
          <w:i/>
        </w:rPr>
      </w:pPr>
      <w:r w:rsidRPr="00223DBC">
        <w:rPr>
          <w:rStyle w:val="Emphasis"/>
          <w:i/>
        </w:rPr>
        <w:t>“while it is a matter for the Parliament to review whether the maximum available penalty of $1.1 million for each contravention by a body corporate is sufficient when a corporation with annual revenue in excess of $22 billion acts unconscionably… the current maximums are arguably inadequate for a corporation the size of Coles.”</w:t>
      </w:r>
      <w:r w:rsidRPr="0037783B">
        <w:rPr>
          <w:rStyle w:val="FootnoteReference"/>
          <w:rFonts w:cs="Arial"/>
          <w:color w:val="auto"/>
          <w:lang w:val="en"/>
        </w:rPr>
        <w:footnoteReference w:id="45"/>
      </w:r>
      <w:r w:rsidRPr="00223DBC">
        <w:rPr>
          <w:rStyle w:val="Emphasis"/>
          <w:i/>
        </w:rPr>
        <w:t xml:space="preserve"> </w:t>
      </w:r>
    </w:p>
    <w:p w:rsidR="00141698" w:rsidRPr="00223DBC" w:rsidRDefault="00141698" w:rsidP="00223DBC">
      <w:pPr>
        <w:rPr>
          <w:rStyle w:val="Emphasis"/>
        </w:rPr>
      </w:pPr>
      <w:r w:rsidRPr="001327ED">
        <w:rPr>
          <w:lang w:val="en"/>
        </w:rPr>
        <w:t xml:space="preserve">We note the discussion of the adequacy of ACL penalties to deter wrongdoing as part of the </w:t>
      </w:r>
      <w:hyperlink r:id="rId15" w:history="1">
        <w:r w:rsidRPr="00223DBC">
          <w:rPr>
            <w:rStyle w:val="Emphasis"/>
          </w:rPr>
          <w:t>ACL Review</w:t>
        </w:r>
      </w:hyperlink>
      <w:r w:rsidRPr="00223DBC">
        <w:rPr>
          <w:rStyle w:val="Emphasis"/>
        </w:rPr>
        <w:t>.</w:t>
      </w:r>
      <w:r w:rsidRPr="0037783B">
        <w:rPr>
          <w:rStyle w:val="FootnoteReference"/>
          <w:rFonts w:cs="Arial"/>
          <w:lang w:val="en"/>
        </w:rPr>
        <w:footnoteReference w:id="46"/>
      </w:r>
      <w:r w:rsidRPr="00223DBC">
        <w:rPr>
          <w:rStyle w:val="Emphasis"/>
        </w:rPr>
        <w:t xml:space="preserve"> </w:t>
      </w:r>
    </w:p>
    <w:p w:rsidR="00141698" w:rsidRPr="00223DBC" w:rsidRDefault="00141698" w:rsidP="00223DBC">
      <w:pPr>
        <w:pStyle w:val="ListLegal"/>
        <w:numPr>
          <w:ilvl w:val="0"/>
          <w:numId w:val="40"/>
        </w:numPr>
        <w:rPr>
          <w:rStyle w:val="Strong"/>
        </w:rPr>
      </w:pPr>
      <w:r w:rsidRPr="00223DBC">
        <w:rPr>
          <w:rStyle w:val="Strong"/>
        </w:rPr>
        <w:t>Practical law enforcement challenges</w:t>
      </w:r>
    </w:p>
    <w:p w:rsidR="00141698" w:rsidRDefault="00141698" w:rsidP="0093161A">
      <w:pPr>
        <w:pStyle w:val="ListContinue2"/>
        <w:tabs>
          <w:tab w:val="clear" w:pos="680"/>
        </w:tabs>
        <w:ind w:left="0"/>
        <w:rPr>
          <w:lang w:val="en"/>
        </w:rPr>
      </w:pPr>
      <w:r>
        <w:rPr>
          <w:lang w:val="en"/>
        </w:rPr>
        <w:lastRenderedPageBreak/>
        <w:t>A</w:t>
      </w:r>
      <w:r w:rsidRPr="00B3174E">
        <w:rPr>
          <w:lang w:val="en"/>
        </w:rPr>
        <w:t xml:space="preserve"> challenge associa</w:t>
      </w:r>
      <w:r>
        <w:rPr>
          <w:lang w:val="en"/>
        </w:rPr>
        <w:t>ted with the ACL penalty regime</w:t>
      </w:r>
      <w:r w:rsidRPr="00B3174E">
        <w:rPr>
          <w:lang w:val="en"/>
        </w:rPr>
        <w:t xml:space="preserve"> is the ACL’s ability to effectively deal with recidivist rogue traders. In some instances repeat offenders show no regard for the civil penalties imposed by the </w:t>
      </w:r>
      <w:r>
        <w:rPr>
          <w:lang w:val="en"/>
        </w:rPr>
        <w:t>Court</w:t>
      </w:r>
      <w:r w:rsidRPr="00B3174E">
        <w:rPr>
          <w:lang w:val="en"/>
        </w:rPr>
        <w:t>s</w:t>
      </w:r>
      <w:r>
        <w:rPr>
          <w:lang w:val="en"/>
        </w:rPr>
        <w:t>. For example in the</w:t>
      </w:r>
      <w:r w:rsidRPr="00B3174E">
        <w:rPr>
          <w:lang w:val="en"/>
        </w:rPr>
        <w:t xml:space="preserve"> </w:t>
      </w:r>
      <w:hyperlink r:id="rId16" w:history="1">
        <w:r w:rsidRPr="00B3174E">
          <w:rPr>
            <w:lang w:val="en"/>
          </w:rPr>
          <w:t>Peter Foster case</w:t>
        </w:r>
      </w:hyperlink>
      <w:r>
        <w:rPr>
          <w:lang w:val="en"/>
        </w:rPr>
        <w:t>,</w:t>
      </w:r>
      <w:r w:rsidRPr="00B3174E">
        <w:rPr>
          <w:lang w:val="en"/>
        </w:rPr>
        <w:t xml:space="preserve"> </w:t>
      </w:r>
      <w:r>
        <w:rPr>
          <w:lang w:val="en"/>
        </w:rPr>
        <w:t>Court</w:t>
      </w:r>
      <w:r w:rsidRPr="00B3174E">
        <w:rPr>
          <w:lang w:val="en"/>
        </w:rPr>
        <w:t xml:space="preserve"> orders preventing </w:t>
      </w:r>
      <w:proofErr w:type="spellStart"/>
      <w:r>
        <w:rPr>
          <w:lang w:val="en"/>
        </w:rPr>
        <w:t>Mr</w:t>
      </w:r>
      <w:proofErr w:type="spellEnd"/>
      <w:r>
        <w:rPr>
          <w:lang w:val="en"/>
        </w:rPr>
        <w:t xml:space="preserve"> Foster</w:t>
      </w:r>
      <w:r w:rsidRPr="00B3174E">
        <w:rPr>
          <w:lang w:val="en"/>
        </w:rPr>
        <w:t xml:space="preserve"> from being involved in carrying on a business were insufficient to protect future consumers from similar conduct</w:t>
      </w:r>
      <w:r>
        <w:rPr>
          <w:lang w:val="en"/>
        </w:rPr>
        <w:t>. As such the ACCC needed to pursue a resource intensive, time consuming and indirect route of seeking compliance with the law where the only option remaining was to seek an order for contempt of Court with a custodial sentence</w:t>
      </w:r>
      <w:r w:rsidRPr="00B3174E">
        <w:rPr>
          <w:lang w:val="en"/>
        </w:rPr>
        <w:t xml:space="preserve">. </w:t>
      </w:r>
      <w:r>
        <w:rPr>
          <w:lang w:val="en"/>
        </w:rPr>
        <w:t xml:space="preserve">We note that non-custodial sanctions may also be of use in these cases due to the carry-on effects of criminal conviction such as difficulty obtaining business licenses (discussed above). </w:t>
      </w:r>
      <w:r w:rsidRPr="00B3174E">
        <w:rPr>
          <w:lang w:val="en"/>
        </w:rPr>
        <w:t xml:space="preserve">In these cases disqualification orders </w:t>
      </w:r>
      <w:r>
        <w:rPr>
          <w:lang w:val="en"/>
        </w:rPr>
        <w:t xml:space="preserve">could be imposed but are unlikely to be effective due to a complete disregard of the law. </w:t>
      </w:r>
    </w:p>
    <w:p w:rsidR="00141698" w:rsidRDefault="00141698" w:rsidP="0093161A">
      <w:pPr>
        <w:pStyle w:val="ListContinue2"/>
        <w:tabs>
          <w:tab w:val="clear" w:pos="680"/>
        </w:tabs>
        <w:ind w:left="0"/>
        <w:rPr>
          <w:lang w:val="en"/>
        </w:rPr>
      </w:pPr>
      <w:r>
        <w:rPr>
          <w:lang w:val="en"/>
        </w:rPr>
        <w:t>This is particularly an issue where rogue traders manifest as scams (where a personal or business veneer masks a fraud) or phoenix companies (a</w:t>
      </w:r>
      <w:r w:rsidRPr="001327ED">
        <w:rPr>
          <w:lang w:val="en"/>
        </w:rPr>
        <w:t xml:space="preserve"> company that previously traded as another entity</w:t>
      </w:r>
      <w:r>
        <w:rPr>
          <w:lang w:val="en"/>
        </w:rPr>
        <w:t>,</w:t>
      </w:r>
      <w:r w:rsidRPr="001327ED">
        <w:rPr>
          <w:lang w:val="en"/>
        </w:rPr>
        <w:t xml:space="preserve"> declared insolvency to avoid debts</w:t>
      </w:r>
      <w:r>
        <w:rPr>
          <w:lang w:val="en"/>
        </w:rPr>
        <w:t xml:space="preserve"> or other legal obligations</w:t>
      </w:r>
      <w:r w:rsidRPr="001327ED">
        <w:rPr>
          <w:lang w:val="en"/>
        </w:rPr>
        <w:t xml:space="preserve"> </w:t>
      </w:r>
      <w:r>
        <w:rPr>
          <w:lang w:val="en"/>
        </w:rPr>
        <w:t>and</w:t>
      </w:r>
      <w:r w:rsidRPr="001327ED">
        <w:rPr>
          <w:lang w:val="en"/>
        </w:rPr>
        <w:t xml:space="preserve"> then re-emerged</w:t>
      </w:r>
      <w:r>
        <w:rPr>
          <w:lang w:val="en"/>
        </w:rPr>
        <w:t>, under another name,</w:t>
      </w:r>
      <w:r w:rsidRPr="001327ED">
        <w:rPr>
          <w:lang w:val="en"/>
        </w:rPr>
        <w:t xml:space="preserve"> to do business again</w:t>
      </w:r>
      <w:r>
        <w:rPr>
          <w:lang w:val="en"/>
        </w:rPr>
        <w:t xml:space="preserve">) making it difficult to enforce Court orders, serve documentation or compel cooperation with investigations. These rogue traders also make it difficult for consumers, including business consumers, to obtain redress using the CCA. They also have the potential to cause significant harm to consumers due to their shrewd nature. The ACL Review will consider whether higher penalties or increased enforcement powers would better enable deterrence of such blatant disregard for the law. </w:t>
      </w:r>
    </w:p>
    <w:p w:rsidR="00141698" w:rsidRDefault="00141698" w:rsidP="0093161A">
      <w:pPr>
        <w:pStyle w:val="ListContinue2"/>
        <w:tabs>
          <w:tab w:val="clear" w:pos="680"/>
        </w:tabs>
        <w:ind w:left="0"/>
        <w:rPr>
          <w:lang w:val="en"/>
        </w:rPr>
      </w:pPr>
      <w:r>
        <w:rPr>
          <w:lang w:val="en"/>
        </w:rPr>
        <w:t xml:space="preserve">The ACCC thanks the Committee for the opportunity to make a submission. </w:t>
      </w:r>
    </w:p>
    <w:p w:rsidR="00141698" w:rsidRDefault="00141698" w:rsidP="00223DBC">
      <w:pPr>
        <w:pStyle w:val="ListContinue2"/>
        <w:rPr>
          <w:lang w:val="en"/>
        </w:rPr>
      </w:pPr>
      <w:r>
        <w:rPr>
          <w:lang w:val="en"/>
        </w:rPr>
        <w:br w:type="page"/>
      </w:r>
    </w:p>
    <w:p w:rsidR="00141698" w:rsidRPr="009C6BC5" w:rsidRDefault="00141698" w:rsidP="00223DBC">
      <w:pPr>
        <w:pStyle w:val="Heading1"/>
      </w:pPr>
      <w:r w:rsidRPr="009C6BC5">
        <w:lastRenderedPageBreak/>
        <w:t>Appendix A</w:t>
      </w:r>
      <w:r>
        <w:t>:</w:t>
      </w:r>
      <w:r w:rsidRPr="009C6BC5">
        <w:t xml:space="preserve"> Prohibitions under the CCA</w:t>
      </w:r>
    </w:p>
    <w:p w:rsidR="00141698" w:rsidRPr="0044631C" w:rsidRDefault="00141698" w:rsidP="00223DBC">
      <w:pPr>
        <w:pStyle w:val="Heading2"/>
      </w:pPr>
      <w:r>
        <w:t>Competition prohibitions</w:t>
      </w:r>
    </w:p>
    <w:p w:rsidR="00141698" w:rsidRPr="00243011" w:rsidRDefault="00141698" w:rsidP="00223DBC">
      <w:r w:rsidRPr="00223DBC">
        <w:rPr>
          <w:rStyle w:val="Strong"/>
        </w:rPr>
        <w:t>Anti-competitive agreements</w:t>
      </w:r>
      <w:r>
        <w:t xml:space="preserve">: </w:t>
      </w:r>
      <w:r w:rsidRPr="00F54DCF">
        <w:t xml:space="preserve">the </w:t>
      </w:r>
      <w:r>
        <w:t xml:space="preserve">CCA </w:t>
      </w:r>
      <w:r w:rsidRPr="00F54DCF">
        <w:t xml:space="preserve">prohibits contracts, arrangements or </w:t>
      </w:r>
      <w:r w:rsidRPr="00243011">
        <w:t>understandings that are likely to substantially lessen competition in a</w:t>
      </w:r>
      <w:r w:rsidR="006320B3">
        <w:t xml:space="preserve"> market. </w:t>
      </w:r>
    </w:p>
    <w:p w:rsidR="00141698" w:rsidRPr="00243011" w:rsidRDefault="00141698" w:rsidP="00223DBC">
      <w:r w:rsidRPr="00223DBC">
        <w:rPr>
          <w:rStyle w:val="Strong"/>
        </w:rPr>
        <w:t>Cartel conduct:</w:t>
      </w:r>
      <w:r w:rsidRPr="00243011">
        <w:t xml:space="preserve"> cartels</w:t>
      </w:r>
      <w:r>
        <w:t xml:space="preserve"> are prohibited under</w:t>
      </w:r>
      <w:r w:rsidRPr="00243011">
        <w:t xml:space="preserve"> civil law</w:t>
      </w:r>
      <w:r>
        <w:t xml:space="preserve"> and are </w:t>
      </w:r>
      <w:r w:rsidRPr="00243011">
        <w:t>a criminal offence</w:t>
      </w:r>
      <w:r>
        <w:t xml:space="preserve"> punishable by imprisonment</w:t>
      </w:r>
      <w:r w:rsidRPr="00243011">
        <w:t>. There are certain forms of anti-competitive conduct that are known as cartel conduct. They include:</w:t>
      </w:r>
    </w:p>
    <w:p w:rsidR="00141698" w:rsidRPr="00243011" w:rsidRDefault="00843FE1" w:rsidP="00223DBC">
      <w:pPr>
        <w:pStyle w:val="ListBullet"/>
      </w:pPr>
      <w:hyperlink r:id="rId17" w:history="1">
        <w:r w:rsidR="00141698" w:rsidRPr="00223DBC">
          <w:rPr>
            <w:rStyle w:val="Emphasis"/>
          </w:rPr>
          <w:t>price fixing</w:t>
        </w:r>
      </w:hyperlink>
      <w:r w:rsidR="00141698" w:rsidRPr="00243011">
        <w:t>, when competitors agree on a pricing structure rather than competing against each other</w:t>
      </w:r>
    </w:p>
    <w:p w:rsidR="00141698" w:rsidRPr="00243011" w:rsidRDefault="00843FE1" w:rsidP="00223DBC">
      <w:pPr>
        <w:pStyle w:val="ListBullet"/>
      </w:pPr>
      <w:hyperlink r:id="rId18" w:history="1">
        <w:r w:rsidR="00141698" w:rsidRPr="00223DBC">
          <w:rPr>
            <w:rStyle w:val="Emphasis"/>
          </w:rPr>
          <w:t>sharing markets</w:t>
        </w:r>
        <w:r w:rsidR="00141698" w:rsidRPr="00243011">
          <w:t xml:space="preserve">, </w:t>
        </w:r>
      </w:hyperlink>
      <w:r w:rsidR="00141698" w:rsidRPr="00243011">
        <w:t>when competitors agree to divide a market so participants are sheltered from competition</w:t>
      </w:r>
    </w:p>
    <w:p w:rsidR="00141698" w:rsidRPr="00223DBC" w:rsidRDefault="00843FE1" w:rsidP="00223DBC">
      <w:pPr>
        <w:pStyle w:val="ListBullet"/>
      </w:pPr>
      <w:hyperlink r:id="rId19" w:history="1">
        <w:r w:rsidR="00141698" w:rsidRPr="00243011">
          <w:rPr>
            <w:i/>
          </w:rPr>
          <w:t>r</w:t>
        </w:r>
        <w:r w:rsidR="00141698" w:rsidRPr="00223DBC">
          <w:rPr>
            <w:rStyle w:val="Emphasis"/>
          </w:rPr>
          <w:t>igging bids</w:t>
        </w:r>
      </w:hyperlink>
      <w:r w:rsidR="00141698" w:rsidRPr="00243011">
        <w:t>, when suppliers agree among themselves who will win and at what price</w:t>
      </w:r>
    </w:p>
    <w:p w:rsidR="00141698" w:rsidRDefault="00843FE1" w:rsidP="00223DBC">
      <w:pPr>
        <w:pStyle w:val="ListBullet"/>
      </w:pPr>
      <w:hyperlink r:id="rId20" w:history="1">
        <w:proofErr w:type="gramStart"/>
        <w:r w:rsidR="00141698" w:rsidRPr="00223DBC">
          <w:rPr>
            <w:rStyle w:val="Emphasis"/>
          </w:rPr>
          <w:t>controlling</w:t>
        </w:r>
        <w:proofErr w:type="gramEnd"/>
        <w:r w:rsidR="00141698" w:rsidRPr="00223DBC">
          <w:rPr>
            <w:rStyle w:val="Emphasis"/>
          </w:rPr>
          <w:t xml:space="preserve"> the output or limiting the amount of goods</w:t>
        </w:r>
        <w:r w:rsidR="00141698" w:rsidRPr="00243011">
          <w:rPr>
            <w:i/>
          </w:rPr>
          <w:t xml:space="preserve"> and services</w:t>
        </w:r>
      </w:hyperlink>
      <w:r w:rsidR="00141698" w:rsidRPr="00243011">
        <w:t xml:space="preserve"> available to buyers.</w:t>
      </w:r>
    </w:p>
    <w:p w:rsidR="00141698" w:rsidRDefault="00141698" w:rsidP="00223DBC">
      <w:r w:rsidRPr="00223DBC">
        <w:rPr>
          <w:rStyle w:val="Strong"/>
        </w:rPr>
        <w:t>Collective boycott:</w:t>
      </w:r>
      <w:r>
        <w:t xml:space="preserve"> </w:t>
      </w:r>
      <w:r w:rsidR="00691E8F">
        <w:t>a</w:t>
      </w:r>
      <w:r w:rsidRPr="00243011">
        <w:t xml:space="preserve"> collective boycott occurs when a group of competitors agree not to acquire goods or services from, or not to supply goods or services to, a business with whom the group is negotiating, unless the business accepts the terms and conditions offered by the group.</w:t>
      </w:r>
    </w:p>
    <w:p w:rsidR="00141698" w:rsidRPr="00FA35AD" w:rsidRDefault="00141698" w:rsidP="00223DBC">
      <w:r w:rsidRPr="00223DBC">
        <w:rPr>
          <w:rStyle w:val="Strong"/>
        </w:rPr>
        <w:t xml:space="preserve">Secondary boycott: </w:t>
      </w:r>
      <w:r>
        <w:t>occurs when one person, in concert with a second person, engages in conduct that hinders or prevents a third person supplying to or acquiring from a fourth person.</w:t>
      </w:r>
    </w:p>
    <w:p w:rsidR="00141698" w:rsidRDefault="00141698" w:rsidP="00223DBC">
      <w:r w:rsidRPr="00223DBC">
        <w:rPr>
          <w:rStyle w:val="Strong"/>
        </w:rPr>
        <w:t>Exclusive dealing:</w:t>
      </w:r>
      <w:r>
        <w:t xml:space="preserve"> broadly speaking, exclusive dealing</w:t>
      </w:r>
      <w:r w:rsidRPr="00243011">
        <w:t xml:space="preserve"> occurs when one person trading with another imposes some restrictions on the other’s freedom to choose with whom, in what, or where they deal. Most types of exclusive dealing are against the law only when they substantially lessen competition, although some types are prohibited outright.</w:t>
      </w:r>
      <w:r>
        <w:t xml:space="preserve"> There are two broad categories of exclusive dealing:</w:t>
      </w:r>
    </w:p>
    <w:p w:rsidR="00141698" w:rsidRPr="00047486" w:rsidRDefault="00141698" w:rsidP="00223DBC">
      <w:pPr>
        <w:pStyle w:val="ListBullet"/>
      </w:pPr>
      <w:r w:rsidRPr="00223DBC">
        <w:rPr>
          <w:rStyle w:val="Strong"/>
        </w:rPr>
        <w:t>Third line forcing</w:t>
      </w:r>
      <w:r w:rsidRPr="00860BC2">
        <w:t>:</w:t>
      </w:r>
      <w:r w:rsidRPr="00243011">
        <w:t xml:space="preserve"> occurs when a business will only supply goods or services, or give a particular price or discount on the condition that the purchaser buys goods or services from a particular third party. If the buyer refuses to comply with this condition, the business will refuse to supply them with goods or services.</w:t>
      </w:r>
    </w:p>
    <w:p w:rsidR="00141698" w:rsidRPr="00047486" w:rsidRDefault="00141698" w:rsidP="00223DBC">
      <w:pPr>
        <w:pStyle w:val="ListContinue"/>
      </w:pPr>
      <w:r w:rsidRPr="00243011">
        <w:t>In contrast to other types of exclusive dealing, third line forcing is prohibited no matter</w:t>
      </w:r>
      <w:r>
        <w:t xml:space="preserve"> what its effect on competition.</w:t>
      </w:r>
    </w:p>
    <w:p w:rsidR="00141698" w:rsidRPr="00047486" w:rsidRDefault="00141698" w:rsidP="00223DBC">
      <w:pPr>
        <w:pStyle w:val="ListBullet"/>
      </w:pPr>
      <w:r w:rsidRPr="00223DBC">
        <w:rPr>
          <w:rStyle w:val="Strong"/>
        </w:rPr>
        <w:t>Other types of exclusive dealing</w:t>
      </w:r>
      <w:r>
        <w:t>:</w:t>
      </w:r>
      <w:r w:rsidRPr="00860BC2">
        <w:t xml:space="preserve"> including conduct known as full line forcing, involve a supplier refusing to supply goods or a service unless the intending purchaser agrees not to:</w:t>
      </w:r>
    </w:p>
    <w:p w:rsidR="00141698" w:rsidRPr="00860BC2" w:rsidRDefault="00141698" w:rsidP="00223DBC">
      <w:pPr>
        <w:pStyle w:val="ListBullet2"/>
      </w:pPr>
      <w:r w:rsidRPr="00860BC2">
        <w:t>buy goods of a particular kind or description from a competitor</w:t>
      </w:r>
    </w:p>
    <w:p w:rsidR="00141698" w:rsidRPr="00860BC2" w:rsidRDefault="00141698" w:rsidP="00223DBC">
      <w:pPr>
        <w:pStyle w:val="ListBullet2"/>
      </w:pPr>
      <w:r w:rsidRPr="00860BC2">
        <w:t>resupply goods of a particular kind or description acquired from a competitor</w:t>
      </w:r>
    </w:p>
    <w:p w:rsidR="00141698" w:rsidRPr="00047486" w:rsidRDefault="00141698" w:rsidP="00223DBC">
      <w:pPr>
        <w:pStyle w:val="ListBullet2"/>
      </w:pPr>
      <w:proofErr w:type="gramStart"/>
      <w:r w:rsidRPr="00860BC2">
        <w:t>resupply</w:t>
      </w:r>
      <w:proofErr w:type="gramEnd"/>
      <w:r w:rsidRPr="00860BC2">
        <w:t xml:space="preserve"> goods of a particular kind acquired from the company to a particular place or classes of places.</w:t>
      </w:r>
    </w:p>
    <w:p w:rsidR="00141698" w:rsidRDefault="00141698" w:rsidP="00223DBC">
      <w:pPr>
        <w:pStyle w:val="ListContinue"/>
      </w:pPr>
      <w:r w:rsidRPr="00860BC2">
        <w:t>These types of exclusive dealing will only break the law when the conduct has the effect of substantially lessening the competition in the relevant market.</w:t>
      </w:r>
    </w:p>
    <w:p w:rsidR="00141698" w:rsidRDefault="00141698" w:rsidP="00223DBC">
      <w:r w:rsidRPr="00223DBC">
        <w:rPr>
          <w:rStyle w:val="Strong"/>
        </w:rPr>
        <w:t>Resale price maintenance</w:t>
      </w:r>
      <w:r w:rsidR="00691E8F">
        <w:t>: a</w:t>
      </w:r>
      <w:r w:rsidRPr="00860BC2">
        <w:t xml:space="preserve"> supplier may recommend that resellers charge an appropriate price for particular goods or services but may not stop resellers charging or advertising below that price.</w:t>
      </w:r>
    </w:p>
    <w:p w:rsidR="00141698" w:rsidRDefault="00141698" w:rsidP="00223DBC">
      <w:r w:rsidRPr="00223DBC">
        <w:rPr>
          <w:rStyle w:val="Strong"/>
        </w:rPr>
        <w:lastRenderedPageBreak/>
        <w:t>Misuse of market power</w:t>
      </w:r>
      <w:r w:rsidR="00691E8F">
        <w:t>: a</w:t>
      </w:r>
      <w:r>
        <w:t xml:space="preserve"> </w:t>
      </w:r>
      <w:r w:rsidRPr="00860BC2">
        <w:t>business with a substantial degree of power in a market is not allowed to use this power for the purpose of eliminating or substantially damaging a competitor or to prevent a business from entering into a market.</w:t>
      </w:r>
    </w:p>
    <w:p w:rsidR="00141698" w:rsidRDefault="00141698" w:rsidP="00223DBC">
      <w:pPr>
        <w:pStyle w:val="Heading2"/>
      </w:pPr>
      <w:r>
        <w:t>Consumer protection prohibitions</w:t>
      </w:r>
    </w:p>
    <w:p w:rsidR="00141698" w:rsidRDefault="00141698" w:rsidP="00223DBC">
      <w:r w:rsidRPr="00223DBC">
        <w:rPr>
          <w:rStyle w:val="Strong"/>
        </w:rPr>
        <w:t>False, misleading or deceptive conduct</w:t>
      </w:r>
      <w:r w:rsidR="00691E8F">
        <w:t>: b</w:t>
      </w:r>
      <w:r w:rsidRPr="00621F11">
        <w:t>usinesses are not allowed to make statements that are incorrect or likely to create a false impression.</w:t>
      </w:r>
      <w:r>
        <w:t xml:space="preserve"> </w:t>
      </w:r>
      <w:r w:rsidRPr="00621F11">
        <w:t>This rule applies to advertising, product packaging, and any information provided by staff or online shopping services</w:t>
      </w:r>
      <w:r>
        <w:t xml:space="preserve">. </w:t>
      </w:r>
      <w:r w:rsidRPr="00621F11">
        <w:t>It also applies to any statements made by businesses in the media or online, such as testimonials on their websites or social media pages</w:t>
      </w:r>
      <w:r>
        <w:t>.</w:t>
      </w:r>
    </w:p>
    <w:p w:rsidR="00141698" w:rsidRDefault="00141698" w:rsidP="00223DBC">
      <w:r w:rsidRPr="00223DBC">
        <w:rPr>
          <w:rStyle w:val="Strong"/>
        </w:rPr>
        <w:t>Unconscionable conduct</w:t>
      </w:r>
      <w:r w:rsidR="00691E8F">
        <w:t>: t</w:t>
      </w:r>
      <w:r w:rsidRPr="00621F11">
        <w:t>o be considered unconscionable, conduct it must be more than simply unfair—it must be against conscience as judged against the norms of society.</w:t>
      </w:r>
    </w:p>
    <w:p w:rsidR="00141698" w:rsidRDefault="00141698" w:rsidP="00223DBC">
      <w:r w:rsidRPr="00223DBC">
        <w:rPr>
          <w:rStyle w:val="Strong"/>
        </w:rPr>
        <w:t>Consumer guarantees</w:t>
      </w:r>
      <w:r>
        <w:t xml:space="preserve">: </w:t>
      </w:r>
      <w:r w:rsidR="00691E8F">
        <w:t>t</w:t>
      </w:r>
      <w:r w:rsidRPr="00621F11">
        <w:t xml:space="preserve">he </w:t>
      </w:r>
      <w:r>
        <w:t xml:space="preserve">ACL requires businesses to </w:t>
      </w:r>
      <w:r w:rsidRPr="00621F11">
        <w:t>provide consumer guarantees for most consumer goods and services they sell.</w:t>
      </w:r>
    </w:p>
    <w:p w:rsidR="00141698" w:rsidRDefault="00141698" w:rsidP="00223DBC">
      <w:r w:rsidRPr="00223DBC">
        <w:rPr>
          <w:rStyle w:val="Strong"/>
        </w:rPr>
        <w:t>Product safety</w:t>
      </w:r>
      <w:r>
        <w:t xml:space="preserve">: </w:t>
      </w:r>
      <w:r w:rsidR="00691E8F">
        <w:t>t</w:t>
      </w:r>
      <w:r w:rsidRPr="00621F11">
        <w:t xml:space="preserve">he </w:t>
      </w:r>
      <w:r>
        <w:t>ACL</w:t>
      </w:r>
      <w:r w:rsidRPr="00621F11">
        <w:t xml:space="preserve"> contains a range of protections to help ensure that the products</w:t>
      </w:r>
      <w:r>
        <w:t xml:space="preserve"> sold in Australia</w:t>
      </w:r>
      <w:r w:rsidRPr="00621F11">
        <w:t xml:space="preserve"> are safe.</w:t>
      </w:r>
    </w:p>
    <w:p w:rsidR="00141698" w:rsidRPr="006D31FF" w:rsidRDefault="00141698" w:rsidP="00223DBC">
      <w:r w:rsidRPr="00223DBC">
        <w:rPr>
          <w:rStyle w:val="Strong"/>
        </w:rPr>
        <w:t>Unfair contract terms</w:t>
      </w:r>
      <w:r w:rsidRPr="006D31FF">
        <w:t xml:space="preserve">: </w:t>
      </w:r>
      <w:r w:rsidR="00691E8F">
        <w:t>t</w:t>
      </w:r>
      <w:r w:rsidRPr="006D31FF">
        <w:t xml:space="preserve">he ACL prohibits the enforcement by businesses of certain </w:t>
      </w:r>
      <w:r w:rsidRPr="00600D71">
        <w:t xml:space="preserve">unfair terms in most standard form contracts with consumers and smaller businesses by enabling a Court to find that a term is unfair and therefore void if, for example, it causes a significant imbalance between the interests of the parties (in favour of the stronger party). </w:t>
      </w:r>
    </w:p>
    <w:p w:rsidR="00292029" w:rsidRDefault="00292029">
      <w:pPr>
        <w:rPr>
          <w:lang w:val="en"/>
        </w:rPr>
      </w:pPr>
      <w:r>
        <w:rPr>
          <w:lang w:val="en"/>
        </w:rPr>
        <w:br w:type="page"/>
      </w:r>
    </w:p>
    <w:p w:rsidR="00292029" w:rsidRDefault="00292029" w:rsidP="00292029">
      <w:pPr>
        <w:pStyle w:val="Heading1"/>
        <w:sectPr w:rsidR="00292029" w:rsidSect="006843E1">
          <w:headerReference w:type="even" r:id="rId21"/>
          <w:headerReference w:type="default" r:id="rId22"/>
          <w:footerReference w:type="even" r:id="rId23"/>
          <w:footerReference w:type="default" r:id="rId24"/>
          <w:headerReference w:type="first" r:id="rId25"/>
          <w:footerReference w:type="first" r:id="rId26"/>
          <w:pgSz w:w="11906" w:h="16838"/>
          <w:pgMar w:top="1276" w:right="1440" w:bottom="1440" w:left="1440" w:header="708" w:footer="708" w:gutter="0"/>
          <w:pgNumType w:start="0"/>
          <w:cols w:space="708"/>
          <w:titlePg/>
          <w:docGrid w:linePitch="360"/>
        </w:sectPr>
      </w:pPr>
    </w:p>
    <w:p w:rsidR="00292029" w:rsidRPr="00A23CC8" w:rsidRDefault="00292029" w:rsidP="00292029">
      <w:pPr>
        <w:pStyle w:val="Heading1"/>
      </w:pPr>
      <w:r w:rsidRPr="00B3174E">
        <w:lastRenderedPageBreak/>
        <w:t>Attachment B</w:t>
      </w:r>
      <w:r>
        <w:t>:</w:t>
      </w:r>
      <w:r w:rsidRPr="00B3174E">
        <w:t xml:space="preserve"> Penalties</w:t>
      </w:r>
      <w:r w:rsidR="007E7B2A">
        <w:t xml:space="preserve"> and Remedies</w:t>
      </w:r>
    </w:p>
    <w:p w:rsidR="00292029" w:rsidRPr="00B3174E" w:rsidRDefault="00292029" w:rsidP="00292029">
      <w:pPr>
        <w:pStyle w:val="Heading2"/>
      </w:pPr>
      <w:r w:rsidRPr="00B3174E">
        <w:t>Competition penalties</w:t>
      </w:r>
    </w:p>
    <w:p w:rsidR="00292029" w:rsidRPr="00F52DC1" w:rsidRDefault="00292029" w:rsidP="00292029">
      <w:pPr>
        <w:rPr>
          <w:b/>
        </w:rPr>
      </w:pPr>
      <w:r w:rsidRPr="00B3174E">
        <w:rPr>
          <w:lang w:val="en"/>
        </w:rPr>
        <w:t xml:space="preserve">Table 1 Competition penalties, sets out the </w:t>
      </w:r>
      <w:r w:rsidR="007E7B2A">
        <w:rPr>
          <w:lang w:val="en"/>
        </w:rPr>
        <w:t xml:space="preserve">spectrum of available penalties </w:t>
      </w:r>
      <w:r w:rsidRPr="00B3174E">
        <w:rPr>
          <w:lang w:val="en"/>
        </w:rPr>
        <w:t xml:space="preserve">for breaches of the </w:t>
      </w:r>
      <w:r w:rsidRPr="00F52DC1">
        <w:rPr>
          <w:lang w:val="en"/>
        </w:rPr>
        <w:t>competition provisions contained in the CCA.</w:t>
      </w:r>
      <w:r w:rsidRPr="00F52DC1">
        <w:rPr>
          <w:b/>
        </w:rPr>
        <w:t xml:space="preserve"> </w:t>
      </w:r>
    </w:p>
    <w:p w:rsidR="00292029" w:rsidRPr="00F52DC1" w:rsidRDefault="00292029" w:rsidP="00292029">
      <w:pPr>
        <w:pStyle w:val="Tabletitle"/>
      </w:pPr>
      <w:r w:rsidRPr="00F52DC1">
        <w:t>Table 1 Competition penalties</w:t>
      </w:r>
    </w:p>
    <w:tbl>
      <w:tblPr>
        <w:tblStyle w:val="LightShading-Accent1"/>
        <w:tblW w:w="12441" w:type="dxa"/>
        <w:tblBorders>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04"/>
        <w:gridCol w:w="1244"/>
        <w:gridCol w:w="1244"/>
        <w:gridCol w:w="1244"/>
        <w:gridCol w:w="1244"/>
        <w:gridCol w:w="1244"/>
        <w:gridCol w:w="1244"/>
        <w:gridCol w:w="1244"/>
        <w:gridCol w:w="1245"/>
      </w:tblGrid>
      <w:tr w:rsidR="00292029" w:rsidRPr="00292029" w:rsidTr="006320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none" w:sz="0" w:space="0" w:color="auto"/>
              <w:left w:val="none" w:sz="0" w:space="0" w:color="auto"/>
              <w:bottom w:val="none" w:sz="0" w:space="0" w:color="auto"/>
              <w:right w:val="none" w:sz="0" w:space="0" w:color="auto"/>
            </w:tcBorders>
          </w:tcPr>
          <w:p w:rsidR="00292029" w:rsidRPr="00292029" w:rsidRDefault="00292029" w:rsidP="00292029">
            <w:pPr>
              <w:pStyle w:val="Tabletext"/>
              <w:rPr>
                <w:rFonts w:asciiTheme="minorHAnsi" w:hAnsiTheme="minorHAnsi" w:cstheme="minorHAnsi"/>
                <w:sz w:val="14"/>
                <w:szCs w:val="14"/>
              </w:rPr>
            </w:pPr>
            <w:r w:rsidRPr="00292029">
              <w:rPr>
                <w:rFonts w:asciiTheme="minorHAnsi" w:hAnsiTheme="minorHAnsi" w:cstheme="minorHAnsi"/>
                <w:sz w:val="14"/>
                <w:szCs w:val="14"/>
              </w:rPr>
              <w:t>Prohibition</w:t>
            </w:r>
          </w:p>
        </w:tc>
        <w:tc>
          <w:tcPr>
            <w:tcW w:w="1104" w:type="dxa"/>
            <w:tcBorders>
              <w:top w:val="none" w:sz="0" w:space="0" w:color="auto"/>
              <w:left w:val="none" w:sz="0" w:space="0" w:color="auto"/>
              <w:bottom w:val="none" w:sz="0" w:space="0" w:color="auto"/>
              <w:right w:val="none" w:sz="0" w:space="0" w:color="auto"/>
            </w:tcBorders>
          </w:tcPr>
          <w:p w:rsidR="00292029" w:rsidRPr="00292029" w:rsidRDefault="00292029" w:rsidP="00292029">
            <w:pPr>
              <w:pStyle w:val="Table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t>Max penalty (individual)</w:t>
            </w:r>
            <w:r w:rsidRPr="00292029">
              <w:rPr>
                <w:rStyle w:val="FootnoteReference"/>
                <w:rFonts w:asciiTheme="minorHAnsi" w:hAnsiTheme="minorHAnsi" w:cstheme="minorHAnsi"/>
                <w:sz w:val="14"/>
                <w:szCs w:val="14"/>
              </w:rPr>
              <w:footnoteReference w:id="47"/>
            </w:r>
            <w:r w:rsidRPr="00292029">
              <w:rPr>
                <w:rFonts w:asciiTheme="minorHAnsi" w:hAnsiTheme="minorHAnsi" w:cstheme="minorHAnsi"/>
                <w:sz w:val="14"/>
                <w:szCs w:val="14"/>
              </w:rPr>
              <w:t xml:space="preserve"> </w:t>
            </w:r>
          </w:p>
        </w:tc>
        <w:tc>
          <w:tcPr>
            <w:tcW w:w="1244" w:type="dxa"/>
            <w:tcBorders>
              <w:top w:val="none" w:sz="0" w:space="0" w:color="auto"/>
              <w:left w:val="none" w:sz="0" w:space="0" w:color="auto"/>
              <w:bottom w:val="none" w:sz="0" w:space="0" w:color="auto"/>
              <w:right w:val="none" w:sz="0" w:space="0" w:color="auto"/>
            </w:tcBorders>
          </w:tcPr>
          <w:p w:rsidR="00292029" w:rsidRPr="00292029" w:rsidRDefault="00292029" w:rsidP="00292029">
            <w:pPr>
              <w:pStyle w:val="Table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t>Max penalty (</w:t>
            </w:r>
            <w:proofErr w:type="spellStart"/>
            <w:r w:rsidRPr="00292029">
              <w:rPr>
                <w:rFonts w:asciiTheme="minorHAnsi" w:hAnsiTheme="minorHAnsi" w:cstheme="minorHAnsi"/>
                <w:sz w:val="14"/>
                <w:szCs w:val="14"/>
              </w:rPr>
              <w:t>corp</w:t>
            </w:r>
            <w:proofErr w:type="spellEnd"/>
            <w:r w:rsidRPr="00292029">
              <w:rPr>
                <w:rFonts w:asciiTheme="minorHAnsi" w:hAnsiTheme="minorHAnsi" w:cstheme="minorHAnsi"/>
                <w:sz w:val="14"/>
                <w:szCs w:val="14"/>
              </w:rPr>
              <w:t>)</w:t>
            </w:r>
            <w:r w:rsidRPr="00292029">
              <w:rPr>
                <w:rStyle w:val="FootnoteReference"/>
                <w:rFonts w:asciiTheme="minorHAnsi" w:hAnsiTheme="minorHAnsi" w:cstheme="minorHAnsi"/>
                <w:sz w:val="14"/>
                <w:szCs w:val="14"/>
              </w:rPr>
              <w:footnoteReference w:id="48"/>
            </w:r>
          </w:p>
        </w:tc>
        <w:tc>
          <w:tcPr>
            <w:tcW w:w="1244" w:type="dxa"/>
            <w:tcBorders>
              <w:top w:val="none" w:sz="0" w:space="0" w:color="auto"/>
              <w:left w:val="none" w:sz="0" w:space="0" w:color="auto"/>
              <w:bottom w:val="none" w:sz="0" w:space="0" w:color="auto"/>
              <w:right w:val="none" w:sz="0" w:space="0" w:color="auto"/>
            </w:tcBorders>
          </w:tcPr>
          <w:p w:rsidR="00292029" w:rsidRPr="00292029" w:rsidRDefault="00292029" w:rsidP="00292029">
            <w:pPr>
              <w:pStyle w:val="Table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t>Criminal offence</w:t>
            </w:r>
          </w:p>
        </w:tc>
        <w:tc>
          <w:tcPr>
            <w:tcW w:w="1244" w:type="dxa"/>
            <w:tcBorders>
              <w:top w:val="none" w:sz="0" w:space="0" w:color="auto"/>
              <w:left w:val="none" w:sz="0" w:space="0" w:color="auto"/>
              <w:bottom w:val="none" w:sz="0" w:space="0" w:color="auto"/>
              <w:right w:val="none" w:sz="0" w:space="0" w:color="auto"/>
            </w:tcBorders>
          </w:tcPr>
          <w:p w:rsidR="00292029" w:rsidRPr="00292029" w:rsidRDefault="00292029" w:rsidP="00292029">
            <w:pPr>
              <w:pStyle w:val="Table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t>Prison</w:t>
            </w:r>
          </w:p>
        </w:tc>
        <w:tc>
          <w:tcPr>
            <w:tcW w:w="1244" w:type="dxa"/>
            <w:tcBorders>
              <w:top w:val="none" w:sz="0" w:space="0" w:color="auto"/>
              <w:left w:val="none" w:sz="0" w:space="0" w:color="auto"/>
              <w:bottom w:val="none" w:sz="0" w:space="0" w:color="auto"/>
              <w:right w:val="none" w:sz="0" w:space="0" w:color="auto"/>
            </w:tcBorders>
          </w:tcPr>
          <w:p w:rsidR="00292029" w:rsidRPr="00292029" w:rsidRDefault="00292029" w:rsidP="00292029">
            <w:pPr>
              <w:pStyle w:val="Table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t>Injunctions</w:t>
            </w:r>
            <w:r w:rsidRPr="00292029">
              <w:rPr>
                <w:rStyle w:val="FootnoteReference"/>
                <w:rFonts w:asciiTheme="minorHAnsi" w:hAnsiTheme="minorHAnsi" w:cstheme="minorHAnsi"/>
                <w:sz w:val="14"/>
                <w:szCs w:val="14"/>
              </w:rPr>
              <w:footnoteReference w:id="49"/>
            </w:r>
          </w:p>
        </w:tc>
        <w:tc>
          <w:tcPr>
            <w:tcW w:w="1244" w:type="dxa"/>
            <w:tcBorders>
              <w:top w:val="none" w:sz="0" w:space="0" w:color="auto"/>
              <w:left w:val="none" w:sz="0" w:space="0" w:color="auto"/>
              <w:bottom w:val="none" w:sz="0" w:space="0" w:color="auto"/>
              <w:right w:val="none" w:sz="0" w:space="0" w:color="auto"/>
            </w:tcBorders>
          </w:tcPr>
          <w:p w:rsidR="00292029" w:rsidRPr="00292029" w:rsidRDefault="00292029" w:rsidP="00292029">
            <w:pPr>
              <w:pStyle w:val="Table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t>Disqualification orders</w:t>
            </w:r>
            <w:r w:rsidRPr="00292029">
              <w:rPr>
                <w:rStyle w:val="FootnoteReference"/>
                <w:rFonts w:asciiTheme="minorHAnsi" w:hAnsiTheme="minorHAnsi" w:cstheme="minorHAnsi"/>
                <w:sz w:val="14"/>
                <w:szCs w:val="14"/>
              </w:rPr>
              <w:footnoteReference w:id="50"/>
            </w:r>
          </w:p>
        </w:tc>
        <w:tc>
          <w:tcPr>
            <w:tcW w:w="1244" w:type="dxa"/>
            <w:tcBorders>
              <w:top w:val="none" w:sz="0" w:space="0" w:color="auto"/>
              <w:left w:val="none" w:sz="0" w:space="0" w:color="auto"/>
              <w:bottom w:val="none" w:sz="0" w:space="0" w:color="auto"/>
              <w:right w:val="none" w:sz="0" w:space="0" w:color="auto"/>
            </w:tcBorders>
          </w:tcPr>
          <w:p w:rsidR="00292029" w:rsidRPr="00292029" w:rsidRDefault="00292029" w:rsidP="00292029">
            <w:pPr>
              <w:pStyle w:val="Table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t>Infringement Notice</w:t>
            </w:r>
          </w:p>
        </w:tc>
        <w:tc>
          <w:tcPr>
            <w:tcW w:w="1244" w:type="dxa"/>
            <w:tcBorders>
              <w:top w:val="none" w:sz="0" w:space="0" w:color="auto"/>
              <w:left w:val="none" w:sz="0" w:space="0" w:color="auto"/>
              <w:bottom w:val="none" w:sz="0" w:space="0" w:color="auto"/>
              <w:right w:val="none" w:sz="0" w:space="0" w:color="auto"/>
            </w:tcBorders>
          </w:tcPr>
          <w:p w:rsidR="00292029" w:rsidRPr="00292029" w:rsidRDefault="00292029" w:rsidP="00292029">
            <w:pPr>
              <w:pStyle w:val="Table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t>Court enforceable</w:t>
            </w:r>
          </w:p>
          <w:p w:rsidR="00292029" w:rsidRPr="00292029" w:rsidRDefault="00292029" w:rsidP="00292029">
            <w:pPr>
              <w:pStyle w:val="Table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t>undertaking</w:t>
            </w:r>
            <w:r w:rsidRPr="00292029">
              <w:rPr>
                <w:rStyle w:val="FootnoteReference"/>
                <w:rFonts w:asciiTheme="minorHAnsi" w:hAnsiTheme="minorHAnsi" w:cstheme="minorHAnsi"/>
                <w:sz w:val="14"/>
                <w:szCs w:val="14"/>
              </w:rPr>
              <w:footnoteReference w:id="51"/>
            </w:r>
          </w:p>
        </w:tc>
        <w:tc>
          <w:tcPr>
            <w:tcW w:w="1245" w:type="dxa"/>
            <w:tcBorders>
              <w:top w:val="none" w:sz="0" w:space="0" w:color="auto"/>
              <w:left w:val="none" w:sz="0" w:space="0" w:color="auto"/>
              <w:bottom w:val="none" w:sz="0" w:space="0" w:color="auto"/>
              <w:right w:val="none" w:sz="0" w:space="0" w:color="auto"/>
            </w:tcBorders>
          </w:tcPr>
          <w:p w:rsidR="00292029" w:rsidRPr="00292029" w:rsidRDefault="00292029" w:rsidP="00292029">
            <w:pPr>
              <w:pStyle w:val="Table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4"/>
                <w:szCs w:val="14"/>
                <w:highlight w:val="green"/>
              </w:rPr>
            </w:pPr>
            <w:r w:rsidRPr="00292029">
              <w:rPr>
                <w:rFonts w:asciiTheme="minorHAnsi" w:hAnsiTheme="minorHAnsi" w:cstheme="minorHAnsi"/>
                <w:sz w:val="14"/>
                <w:szCs w:val="14"/>
              </w:rPr>
              <w:t>Representative action</w:t>
            </w:r>
          </w:p>
        </w:tc>
      </w:tr>
      <w:tr w:rsidR="007E7B2A" w:rsidRPr="00292029" w:rsidTr="00632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left w:val="none" w:sz="0" w:space="0" w:color="auto"/>
              <w:right w:val="none" w:sz="0" w:space="0" w:color="auto"/>
            </w:tcBorders>
            <w:shd w:val="clear" w:color="auto" w:fill="F2F2F2" w:themeFill="background1" w:themeFillShade="F2"/>
          </w:tcPr>
          <w:p w:rsidR="007E7B2A" w:rsidRPr="00292029" w:rsidRDefault="007E7B2A" w:rsidP="00292029">
            <w:pPr>
              <w:pStyle w:val="Tabletext"/>
              <w:rPr>
                <w:rFonts w:asciiTheme="minorHAnsi" w:hAnsiTheme="minorHAnsi" w:cstheme="minorHAnsi"/>
                <w:sz w:val="14"/>
                <w:szCs w:val="14"/>
              </w:rPr>
            </w:pPr>
            <w:r w:rsidRPr="00292029">
              <w:rPr>
                <w:rFonts w:asciiTheme="minorHAnsi" w:hAnsiTheme="minorHAnsi" w:cstheme="minorHAnsi"/>
                <w:sz w:val="14"/>
                <w:szCs w:val="14"/>
              </w:rPr>
              <w:t>Anticompetitive Agreements</w:t>
            </w:r>
          </w:p>
        </w:tc>
        <w:tc>
          <w:tcPr>
            <w:tcW w:w="1104" w:type="dxa"/>
            <w:tcBorders>
              <w:left w:val="none" w:sz="0" w:space="0" w:color="auto"/>
              <w:right w:val="none" w:sz="0" w:space="0" w:color="auto"/>
            </w:tcBorders>
            <w:shd w:val="clear" w:color="auto" w:fill="F2F2F2" w:themeFill="background1" w:themeFillShade="F2"/>
          </w:tcPr>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t>$500 000</w:t>
            </w:r>
          </w:p>
        </w:tc>
        <w:tc>
          <w:tcPr>
            <w:tcW w:w="1244" w:type="dxa"/>
            <w:tcBorders>
              <w:left w:val="none" w:sz="0" w:space="0" w:color="auto"/>
              <w:right w:val="none" w:sz="0" w:space="0" w:color="auto"/>
            </w:tcBorders>
            <w:shd w:val="clear" w:color="auto" w:fill="F2F2F2" w:themeFill="background1" w:themeFillShade="F2"/>
          </w:tcPr>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t xml:space="preserve">Either: </w:t>
            </w:r>
          </w:p>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t>$10</w:t>
            </w:r>
            <w:r w:rsidR="00770FDC">
              <w:rPr>
                <w:rFonts w:asciiTheme="minorHAnsi" w:hAnsiTheme="minorHAnsi" w:cstheme="minorHAnsi"/>
                <w:sz w:val="14"/>
                <w:szCs w:val="14"/>
              </w:rPr>
              <w:t xml:space="preserve"> </w:t>
            </w:r>
            <w:r w:rsidRPr="00292029">
              <w:rPr>
                <w:rFonts w:asciiTheme="minorHAnsi" w:hAnsiTheme="minorHAnsi" w:cstheme="minorHAnsi"/>
                <w:sz w:val="14"/>
                <w:szCs w:val="14"/>
              </w:rPr>
              <w:t>mill</w:t>
            </w:r>
            <w:r w:rsidR="00770FDC">
              <w:rPr>
                <w:rFonts w:asciiTheme="minorHAnsi" w:hAnsiTheme="minorHAnsi" w:cstheme="minorHAnsi"/>
                <w:sz w:val="14"/>
                <w:szCs w:val="14"/>
              </w:rPr>
              <w:t>ion</w:t>
            </w:r>
          </w:p>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t>3 times the gain</w:t>
            </w:r>
          </w:p>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t>10% turnover</w:t>
            </w:r>
          </w:p>
        </w:tc>
        <w:tc>
          <w:tcPr>
            <w:tcW w:w="1244" w:type="dxa"/>
            <w:tcBorders>
              <w:left w:val="none" w:sz="0" w:space="0" w:color="auto"/>
              <w:right w:val="none" w:sz="0" w:space="0" w:color="auto"/>
            </w:tcBorders>
            <w:shd w:val="clear" w:color="auto" w:fill="F2F2F2" w:themeFill="background1" w:themeFillShade="F2"/>
          </w:tcPr>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sym w:font="Wingdings" w:char="F0FB"/>
            </w:r>
          </w:p>
        </w:tc>
        <w:tc>
          <w:tcPr>
            <w:tcW w:w="1244" w:type="dxa"/>
            <w:tcBorders>
              <w:left w:val="none" w:sz="0" w:space="0" w:color="auto"/>
              <w:right w:val="none" w:sz="0" w:space="0" w:color="auto"/>
            </w:tcBorders>
            <w:shd w:val="clear" w:color="auto" w:fill="F2F2F2" w:themeFill="background1" w:themeFillShade="F2"/>
          </w:tcPr>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sym w:font="Wingdings" w:char="F0FB"/>
            </w:r>
          </w:p>
        </w:tc>
        <w:tc>
          <w:tcPr>
            <w:tcW w:w="1244" w:type="dxa"/>
            <w:vMerge w:val="restart"/>
            <w:tcBorders>
              <w:left w:val="none" w:sz="0" w:space="0" w:color="auto"/>
              <w:right w:val="none" w:sz="0" w:space="0" w:color="auto"/>
            </w:tcBorders>
            <w:shd w:val="clear" w:color="auto" w:fill="F2F2F2" w:themeFill="background1" w:themeFillShade="F2"/>
          </w:tcPr>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sym w:font="Wingdings" w:char="F0FC"/>
            </w:r>
          </w:p>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tc>
        <w:tc>
          <w:tcPr>
            <w:tcW w:w="1244" w:type="dxa"/>
            <w:vMerge w:val="restart"/>
            <w:tcBorders>
              <w:left w:val="none" w:sz="0" w:space="0" w:color="auto"/>
              <w:right w:val="none" w:sz="0" w:space="0" w:color="auto"/>
            </w:tcBorders>
            <w:shd w:val="clear" w:color="auto" w:fill="F2F2F2" w:themeFill="background1" w:themeFillShade="F2"/>
          </w:tcPr>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sym w:font="Wingdings" w:char="F0FC"/>
            </w:r>
          </w:p>
        </w:tc>
        <w:tc>
          <w:tcPr>
            <w:tcW w:w="1244" w:type="dxa"/>
            <w:vMerge w:val="restart"/>
            <w:tcBorders>
              <w:left w:val="none" w:sz="0" w:space="0" w:color="auto"/>
              <w:right w:val="none" w:sz="0" w:space="0" w:color="auto"/>
            </w:tcBorders>
            <w:shd w:val="clear" w:color="auto" w:fill="F2F2F2" w:themeFill="background1" w:themeFillShade="F2"/>
          </w:tcPr>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sym w:font="Wingdings" w:char="F0FB"/>
            </w:r>
          </w:p>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tc>
        <w:tc>
          <w:tcPr>
            <w:tcW w:w="1244" w:type="dxa"/>
            <w:vMerge w:val="restart"/>
            <w:tcBorders>
              <w:left w:val="none" w:sz="0" w:space="0" w:color="auto"/>
              <w:right w:val="none" w:sz="0" w:space="0" w:color="auto"/>
            </w:tcBorders>
            <w:shd w:val="clear" w:color="auto" w:fill="F2F2F2" w:themeFill="background1" w:themeFillShade="F2"/>
          </w:tcPr>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sym w:font="Wingdings" w:char="F0FC"/>
            </w:r>
          </w:p>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tc>
        <w:tc>
          <w:tcPr>
            <w:tcW w:w="1245" w:type="dxa"/>
            <w:vMerge w:val="restart"/>
            <w:tcBorders>
              <w:left w:val="none" w:sz="0" w:space="0" w:color="auto"/>
              <w:right w:val="none" w:sz="0" w:space="0" w:color="auto"/>
            </w:tcBorders>
            <w:shd w:val="clear" w:color="auto" w:fill="F2F2F2" w:themeFill="background1" w:themeFillShade="F2"/>
          </w:tcPr>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sym w:font="Wingdings" w:char="F0FC"/>
            </w:r>
          </w:p>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tc>
      </w:tr>
      <w:tr w:rsidR="007E7B2A" w:rsidRPr="00292029" w:rsidTr="006320B3">
        <w:tc>
          <w:tcPr>
            <w:cnfStyle w:val="001000000000" w:firstRow="0" w:lastRow="0" w:firstColumn="1" w:lastColumn="0" w:oddVBand="0" w:evenVBand="0" w:oddHBand="0" w:evenHBand="0" w:firstRowFirstColumn="0" w:firstRowLastColumn="0" w:lastRowFirstColumn="0" w:lastRowLastColumn="0"/>
            <w:tcW w:w="1384" w:type="dxa"/>
          </w:tcPr>
          <w:p w:rsidR="007E7B2A" w:rsidRPr="00292029" w:rsidRDefault="007E7B2A" w:rsidP="00292029">
            <w:pPr>
              <w:pStyle w:val="Tabletext"/>
              <w:rPr>
                <w:rFonts w:asciiTheme="minorHAnsi" w:hAnsiTheme="minorHAnsi" w:cstheme="minorHAnsi"/>
                <w:sz w:val="14"/>
                <w:szCs w:val="14"/>
              </w:rPr>
            </w:pPr>
            <w:r w:rsidRPr="00292029">
              <w:rPr>
                <w:rFonts w:asciiTheme="minorHAnsi" w:hAnsiTheme="minorHAnsi" w:cstheme="minorHAnsi"/>
                <w:sz w:val="14"/>
                <w:szCs w:val="14"/>
              </w:rPr>
              <w:t>Cartel conduct</w:t>
            </w:r>
          </w:p>
        </w:tc>
        <w:tc>
          <w:tcPr>
            <w:tcW w:w="1104" w:type="dxa"/>
          </w:tcPr>
          <w:p w:rsidR="007E7B2A" w:rsidRPr="00292029" w:rsidRDefault="007E7B2A" w:rsidP="0029202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t>$500 000</w:t>
            </w:r>
          </w:p>
          <w:p w:rsidR="007E7B2A" w:rsidRPr="00292029" w:rsidRDefault="007E7B2A" w:rsidP="0029202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t>(civil penalty)</w:t>
            </w:r>
          </w:p>
          <w:p w:rsidR="007E7B2A" w:rsidRPr="00292029" w:rsidRDefault="007E7B2A" w:rsidP="0029202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14"/>
              </w:rPr>
            </w:pPr>
          </w:p>
          <w:p w:rsidR="007E7B2A" w:rsidRPr="00292029" w:rsidRDefault="007E7B2A" w:rsidP="0029202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t>$360 000 (criminal)</w:t>
            </w:r>
          </w:p>
        </w:tc>
        <w:tc>
          <w:tcPr>
            <w:tcW w:w="1244" w:type="dxa"/>
          </w:tcPr>
          <w:p w:rsidR="007E7B2A" w:rsidRPr="00292029" w:rsidRDefault="007E7B2A" w:rsidP="0029202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t>Either: (civil or criminal)</w:t>
            </w:r>
          </w:p>
          <w:p w:rsidR="007E7B2A" w:rsidRPr="00292029" w:rsidRDefault="007E7B2A" w:rsidP="0029202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t>$10</w:t>
            </w:r>
            <w:r w:rsidR="00770FDC">
              <w:rPr>
                <w:rFonts w:asciiTheme="minorHAnsi" w:hAnsiTheme="minorHAnsi" w:cstheme="minorHAnsi"/>
                <w:sz w:val="14"/>
                <w:szCs w:val="14"/>
              </w:rPr>
              <w:t xml:space="preserve"> </w:t>
            </w:r>
            <w:r w:rsidRPr="00292029">
              <w:rPr>
                <w:rFonts w:asciiTheme="minorHAnsi" w:hAnsiTheme="minorHAnsi" w:cstheme="minorHAnsi"/>
                <w:sz w:val="14"/>
                <w:szCs w:val="14"/>
              </w:rPr>
              <w:t>mill</w:t>
            </w:r>
            <w:r w:rsidR="00770FDC">
              <w:rPr>
                <w:rFonts w:asciiTheme="minorHAnsi" w:hAnsiTheme="minorHAnsi" w:cstheme="minorHAnsi"/>
                <w:sz w:val="14"/>
                <w:szCs w:val="14"/>
              </w:rPr>
              <w:t>ion</w:t>
            </w:r>
          </w:p>
          <w:p w:rsidR="007E7B2A" w:rsidRPr="00292029" w:rsidRDefault="007E7B2A" w:rsidP="0029202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t>3 times the gain</w:t>
            </w:r>
          </w:p>
          <w:p w:rsidR="007E7B2A" w:rsidRPr="00292029" w:rsidRDefault="007E7B2A" w:rsidP="0029202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t>10% turnover</w:t>
            </w:r>
          </w:p>
        </w:tc>
        <w:tc>
          <w:tcPr>
            <w:tcW w:w="1244" w:type="dxa"/>
          </w:tcPr>
          <w:p w:rsidR="007E7B2A" w:rsidRPr="00292029" w:rsidRDefault="007E7B2A" w:rsidP="0029202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sym w:font="Wingdings" w:char="F0FC"/>
            </w:r>
          </w:p>
          <w:p w:rsidR="007E7B2A" w:rsidRPr="00292029" w:rsidRDefault="007E7B2A" w:rsidP="0029202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14"/>
              </w:rPr>
            </w:pPr>
          </w:p>
        </w:tc>
        <w:tc>
          <w:tcPr>
            <w:tcW w:w="1244" w:type="dxa"/>
          </w:tcPr>
          <w:p w:rsidR="007E7B2A" w:rsidRPr="00292029" w:rsidRDefault="007E7B2A" w:rsidP="0029202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t>10 years</w:t>
            </w:r>
          </w:p>
        </w:tc>
        <w:tc>
          <w:tcPr>
            <w:tcW w:w="1244" w:type="dxa"/>
            <w:vMerge/>
          </w:tcPr>
          <w:p w:rsidR="007E7B2A" w:rsidRPr="00292029" w:rsidRDefault="007E7B2A" w:rsidP="0029202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14"/>
              </w:rPr>
            </w:pPr>
          </w:p>
        </w:tc>
        <w:tc>
          <w:tcPr>
            <w:tcW w:w="1244" w:type="dxa"/>
            <w:vMerge/>
          </w:tcPr>
          <w:p w:rsidR="007E7B2A" w:rsidRPr="00292029" w:rsidRDefault="007E7B2A" w:rsidP="0029202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14"/>
              </w:rPr>
            </w:pPr>
          </w:p>
        </w:tc>
        <w:tc>
          <w:tcPr>
            <w:tcW w:w="1244" w:type="dxa"/>
            <w:vMerge/>
          </w:tcPr>
          <w:p w:rsidR="007E7B2A" w:rsidRPr="00292029" w:rsidRDefault="007E7B2A" w:rsidP="0029202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14"/>
              </w:rPr>
            </w:pPr>
          </w:p>
        </w:tc>
        <w:tc>
          <w:tcPr>
            <w:tcW w:w="1244" w:type="dxa"/>
            <w:vMerge/>
          </w:tcPr>
          <w:p w:rsidR="007E7B2A" w:rsidRPr="00292029" w:rsidRDefault="007E7B2A" w:rsidP="0029202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14"/>
              </w:rPr>
            </w:pPr>
          </w:p>
        </w:tc>
        <w:tc>
          <w:tcPr>
            <w:tcW w:w="1245" w:type="dxa"/>
            <w:vMerge/>
          </w:tcPr>
          <w:p w:rsidR="007E7B2A" w:rsidRPr="00292029" w:rsidRDefault="007E7B2A" w:rsidP="0029202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14"/>
              </w:rPr>
            </w:pPr>
          </w:p>
        </w:tc>
      </w:tr>
      <w:tr w:rsidR="007E7B2A" w:rsidRPr="00292029" w:rsidTr="00632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left w:val="none" w:sz="0" w:space="0" w:color="auto"/>
              <w:right w:val="none" w:sz="0" w:space="0" w:color="auto"/>
            </w:tcBorders>
            <w:shd w:val="clear" w:color="auto" w:fill="F2F2F2" w:themeFill="background1" w:themeFillShade="F2"/>
          </w:tcPr>
          <w:p w:rsidR="007E7B2A" w:rsidRPr="00292029" w:rsidRDefault="007E7B2A" w:rsidP="00292029">
            <w:pPr>
              <w:pStyle w:val="Tabletext"/>
              <w:rPr>
                <w:rFonts w:asciiTheme="minorHAnsi" w:hAnsiTheme="minorHAnsi" w:cstheme="minorHAnsi"/>
                <w:sz w:val="14"/>
                <w:szCs w:val="14"/>
              </w:rPr>
            </w:pPr>
            <w:r w:rsidRPr="00292029">
              <w:rPr>
                <w:rFonts w:asciiTheme="minorHAnsi" w:hAnsiTheme="minorHAnsi" w:cstheme="minorHAnsi"/>
                <w:sz w:val="14"/>
                <w:szCs w:val="14"/>
              </w:rPr>
              <w:t>Misuse of market power</w:t>
            </w:r>
          </w:p>
        </w:tc>
        <w:tc>
          <w:tcPr>
            <w:tcW w:w="1104" w:type="dxa"/>
            <w:tcBorders>
              <w:left w:val="none" w:sz="0" w:space="0" w:color="auto"/>
              <w:right w:val="none" w:sz="0" w:space="0" w:color="auto"/>
            </w:tcBorders>
            <w:shd w:val="clear" w:color="auto" w:fill="F2F2F2" w:themeFill="background1" w:themeFillShade="F2"/>
          </w:tcPr>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t>$500 000</w:t>
            </w:r>
          </w:p>
        </w:tc>
        <w:tc>
          <w:tcPr>
            <w:tcW w:w="1244" w:type="dxa"/>
            <w:tcBorders>
              <w:left w:val="none" w:sz="0" w:space="0" w:color="auto"/>
              <w:right w:val="none" w:sz="0" w:space="0" w:color="auto"/>
            </w:tcBorders>
            <w:shd w:val="clear" w:color="auto" w:fill="F2F2F2" w:themeFill="background1" w:themeFillShade="F2"/>
          </w:tcPr>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t xml:space="preserve">Either: </w:t>
            </w:r>
          </w:p>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t>$10</w:t>
            </w:r>
            <w:r w:rsidR="00770FDC">
              <w:rPr>
                <w:rFonts w:asciiTheme="minorHAnsi" w:hAnsiTheme="minorHAnsi" w:cstheme="minorHAnsi"/>
                <w:sz w:val="14"/>
                <w:szCs w:val="14"/>
              </w:rPr>
              <w:t xml:space="preserve"> </w:t>
            </w:r>
            <w:r w:rsidRPr="00292029">
              <w:rPr>
                <w:rFonts w:asciiTheme="minorHAnsi" w:hAnsiTheme="minorHAnsi" w:cstheme="minorHAnsi"/>
                <w:sz w:val="14"/>
                <w:szCs w:val="14"/>
              </w:rPr>
              <w:t>mill</w:t>
            </w:r>
            <w:r w:rsidR="00770FDC">
              <w:rPr>
                <w:rFonts w:asciiTheme="minorHAnsi" w:hAnsiTheme="minorHAnsi" w:cstheme="minorHAnsi"/>
                <w:sz w:val="14"/>
                <w:szCs w:val="14"/>
              </w:rPr>
              <w:t>ion</w:t>
            </w:r>
          </w:p>
          <w:p w:rsidR="00770FDC"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t>3 times the gain</w:t>
            </w:r>
          </w:p>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t>10% turnover</w:t>
            </w:r>
          </w:p>
        </w:tc>
        <w:tc>
          <w:tcPr>
            <w:tcW w:w="1244" w:type="dxa"/>
            <w:tcBorders>
              <w:left w:val="none" w:sz="0" w:space="0" w:color="auto"/>
              <w:right w:val="none" w:sz="0" w:space="0" w:color="auto"/>
            </w:tcBorders>
            <w:shd w:val="clear" w:color="auto" w:fill="F2F2F2" w:themeFill="background1" w:themeFillShade="F2"/>
          </w:tcPr>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sym w:font="Wingdings" w:char="F0FB"/>
            </w:r>
          </w:p>
        </w:tc>
        <w:tc>
          <w:tcPr>
            <w:tcW w:w="1244" w:type="dxa"/>
            <w:tcBorders>
              <w:left w:val="none" w:sz="0" w:space="0" w:color="auto"/>
              <w:right w:val="none" w:sz="0" w:space="0" w:color="auto"/>
            </w:tcBorders>
            <w:shd w:val="clear" w:color="auto" w:fill="F2F2F2" w:themeFill="background1" w:themeFillShade="F2"/>
          </w:tcPr>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sym w:font="Wingdings" w:char="F0FB"/>
            </w:r>
          </w:p>
        </w:tc>
        <w:tc>
          <w:tcPr>
            <w:tcW w:w="1244" w:type="dxa"/>
            <w:vMerge/>
            <w:tcBorders>
              <w:left w:val="none" w:sz="0" w:space="0" w:color="auto"/>
              <w:right w:val="none" w:sz="0" w:space="0" w:color="auto"/>
            </w:tcBorders>
          </w:tcPr>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tc>
        <w:tc>
          <w:tcPr>
            <w:tcW w:w="1244" w:type="dxa"/>
            <w:vMerge/>
            <w:tcBorders>
              <w:left w:val="none" w:sz="0" w:space="0" w:color="auto"/>
              <w:right w:val="none" w:sz="0" w:space="0" w:color="auto"/>
            </w:tcBorders>
          </w:tcPr>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tc>
        <w:tc>
          <w:tcPr>
            <w:tcW w:w="1244" w:type="dxa"/>
            <w:vMerge/>
            <w:tcBorders>
              <w:left w:val="none" w:sz="0" w:space="0" w:color="auto"/>
              <w:right w:val="none" w:sz="0" w:space="0" w:color="auto"/>
            </w:tcBorders>
          </w:tcPr>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tc>
        <w:tc>
          <w:tcPr>
            <w:tcW w:w="1244" w:type="dxa"/>
            <w:vMerge/>
            <w:tcBorders>
              <w:left w:val="none" w:sz="0" w:space="0" w:color="auto"/>
              <w:right w:val="none" w:sz="0" w:space="0" w:color="auto"/>
            </w:tcBorders>
          </w:tcPr>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tc>
        <w:tc>
          <w:tcPr>
            <w:tcW w:w="1245" w:type="dxa"/>
            <w:vMerge/>
            <w:tcBorders>
              <w:left w:val="none" w:sz="0" w:space="0" w:color="auto"/>
              <w:right w:val="none" w:sz="0" w:space="0" w:color="auto"/>
            </w:tcBorders>
          </w:tcPr>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tc>
      </w:tr>
      <w:tr w:rsidR="007E7B2A" w:rsidRPr="00292029" w:rsidTr="006320B3">
        <w:tc>
          <w:tcPr>
            <w:cnfStyle w:val="001000000000" w:firstRow="0" w:lastRow="0" w:firstColumn="1" w:lastColumn="0" w:oddVBand="0" w:evenVBand="0" w:oddHBand="0" w:evenHBand="0" w:firstRowFirstColumn="0" w:firstRowLastColumn="0" w:lastRowFirstColumn="0" w:lastRowLastColumn="0"/>
            <w:tcW w:w="1384" w:type="dxa"/>
          </w:tcPr>
          <w:p w:rsidR="007E7B2A" w:rsidRPr="00292029" w:rsidRDefault="007E7B2A" w:rsidP="00292029">
            <w:pPr>
              <w:pStyle w:val="Tabletext"/>
              <w:rPr>
                <w:rFonts w:asciiTheme="minorHAnsi" w:hAnsiTheme="minorHAnsi" w:cstheme="minorHAnsi"/>
                <w:sz w:val="14"/>
                <w:szCs w:val="14"/>
              </w:rPr>
            </w:pPr>
            <w:r w:rsidRPr="00292029">
              <w:rPr>
                <w:rFonts w:asciiTheme="minorHAnsi" w:hAnsiTheme="minorHAnsi" w:cstheme="minorHAnsi"/>
                <w:sz w:val="14"/>
                <w:szCs w:val="14"/>
              </w:rPr>
              <w:t>Exclusive dealing</w:t>
            </w:r>
          </w:p>
        </w:tc>
        <w:tc>
          <w:tcPr>
            <w:tcW w:w="1104" w:type="dxa"/>
          </w:tcPr>
          <w:p w:rsidR="007E7B2A" w:rsidRPr="00292029" w:rsidRDefault="007E7B2A" w:rsidP="0029202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t>$500 000</w:t>
            </w:r>
          </w:p>
        </w:tc>
        <w:tc>
          <w:tcPr>
            <w:tcW w:w="1244" w:type="dxa"/>
          </w:tcPr>
          <w:p w:rsidR="007E7B2A" w:rsidRPr="00292029" w:rsidRDefault="007E7B2A" w:rsidP="0029202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t xml:space="preserve">Either: </w:t>
            </w:r>
          </w:p>
          <w:p w:rsidR="007E7B2A" w:rsidRPr="00292029" w:rsidRDefault="007E7B2A" w:rsidP="0029202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lastRenderedPageBreak/>
              <w:t>$10</w:t>
            </w:r>
            <w:r w:rsidR="00770FDC">
              <w:rPr>
                <w:rFonts w:asciiTheme="minorHAnsi" w:hAnsiTheme="minorHAnsi" w:cstheme="minorHAnsi"/>
                <w:sz w:val="14"/>
                <w:szCs w:val="14"/>
              </w:rPr>
              <w:t xml:space="preserve"> </w:t>
            </w:r>
            <w:r w:rsidRPr="00292029">
              <w:rPr>
                <w:rFonts w:asciiTheme="minorHAnsi" w:hAnsiTheme="minorHAnsi" w:cstheme="minorHAnsi"/>
                <w:sz w:val="14"/>
                <w:szCs w:val="14"/>
              </w:rPr>
              <w:t>mill</w:t>
            </w:r>
            <w:r w:rsidR="00770FDC">
              <w:rPr>
                <w:rFonts w:asciiTheme="minorHAnsi" w:hAnsiTheme="minorHAnsi" w:cstheme="minorHAnsi"/>
                <w:sz w:val="14"/>
                <w:szCs w:val="14"/>
              </w:rPr>
              <w:t>ion</w:t>
            </w:r>
          </w:p>
          <w:p w:rsidR="007E7B2A" w:rsidRPr="00292029" w:rsidRDefault="007E7B2A" w:rsidP="0029202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t>3 times the gain</w:t>
            </w:r>
          </w:p>
          <w:p w:rsidR="007E7B2A" w:rsidRPr="00292029" w:rsidRDefault="007E7B2A" w:rsidP="0029202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t>10% turnover</w:t>
            </w:r>
          </w:p>
        </w:tc>
        <w:tc>
          <w:tcPr>
            <w:tcW w:w="1244" w:type="dxa"/>
          </w:tcPr>
          <w:p w:rsidR="007E7B2A" w:rsidRPr="00292029" w:rsidRDefault="007E7B2A" w:rsidP="0029202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lastRenderedPageBreak/>
              <w:sym w:font="Wingdings" w:char="F0FB"/>
            </w:r>
          </w:p>
        </w:tc>
        <w:tc>
          <w:tcPr>
            <w:tcW w:w="1244" w:type="dxa"/>
          </w:tcPr>
          <w:p w:rsidR="007E7B2A" w:rsidRPr="00292029" w:rsidRDefault="007E7B2A" w:rsidP="0029202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sym w:font="Wingdings" w:char="F0FB"/>
            </w:r>
          </w:p>
        </w:tc>
        <w:tc>
          <w:tcPr>
            <w:tcW w:w="1244" w:type="dxa"/>
            <w:vMerge/>
          </w:tcPr>
          <w:p w:rsidR="007E7B2A" w:rsidRPr="00292029" w:rsidRDefault="007E7B2A" w:rsidP="0029202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14"/>
              </w:rPr>
            </w:pPr>
          </w:p>
        </w:tc>
        <w:tc>
          <w:tcPr>
            <w:tcW w:w="1244" w:type="dxa"/>
            <w:vMerge/>
          </w:tcPr>
          <w:p w:rsidR="007E7B2A" w:rsidRPr="00292029" w:rsidRDefault="007E7B2A" w:rsidP="0029202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14"/>
              </w:rPr>
            </w:pPr>
          </w:p>
        </w:tc>
        <w:tc>
          <w:tcPr>
            <w:tcW w:w="1244" w:type="dxa"/>
            <w:vMerge/>
          </w:tcPr>
          <w:p w:rsidR="007E7B2A" w:rsidRPr="00292029" w:rsidRDefault="007E7B2A" w:rsidP="0029202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14"/>
              </w:rPr>
            </w:pPr>
          </w:p>
        </w:tc>
        <w:tc>
          <w:tcPr>
            <w:tcW w:w="1244" w:type="dxa"/>
            <w:vMerge/>
          </w:tcPr>
          <w:p w:rsidR="007E7B2A" w:rsidRPr="00292029" w:rsidRDefault="007E7B2A" w:rsidP="0029202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14"/>
              </w:rPr>
            </w:pPr>
          </w:p>
        </w:tc>
        <w:tc>
          <w:tcPr>
            <w:tcW w:w="1245" w:type="dxa"/>
            <w:vMerge/>
          </w:tcPr>
          <w:p w:rsidR="007E7B2A" w:rsidRPr="00292029" w:rsidRDefault="007E7B2A" w:rsidP="0029202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14"/>
              </w:rPr>
            </w:pPr>
          </w:p>
        </w:tc>
      </w:tr>
      <w:tr w:rsidR="007E7B2A" w:rsidRPr="00292029" w:rsidTr="00632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left w:val="none" w:sz="0" w:space="0" w:color="auto"/>
              <w:right w:val="none" w:sz="0" w:space="0" w:color="auto"/>
            </w:tcBorders>
            <w:shd w:val="clear" w:color="auto" w:fill="F2F2F2" w:themeFill="background1" w:themeFillShade="F2"/>
          </w:tcPr>
          <w:p w:rsidR="007E7B2A" w:rsidRPr="00292029" w:rsidRDefault="007E7B2A" w:rsidP="00292029">
            <w:pPr>
              <w:pStyle w:val="Tabletext"/>
              <w:rPr>
                <w:rFonts w:asciiTheme="minorHAnsi" w:hAnsiTheme="minorHAnsi" w:cstheme="minorHAnsi"/>
                <w:sz w:val="14"/>
                <w:szCs w:val="14"/>
              </w:rPr>
            </w:pPr>
            <w:r w:rsidRPr="00292029">
              <w:rPr>
                <w:rFonts w:asciiTheme="minorHAnsi" w:hAnsiTheme="minorHAnsi" w:cstheme="minorHAnsi"/>
                <w:sz w:val="14"/>
                <w:szCs w:val="14"/>
              </w:rPr>
              <w:lastRenderedPageBreak/>
              <w:t>Resale price maintenance</w:t>
            </w:r>
          </w:p>
        </w:tc>
        <w:tc>
          <w:tcPr>
            <w:tcW w:w="1104" w:type="dxa"/>
            <w:tcBorders>
              <w:left w:val="none" w:sz="0" w:space="0" w:color="auto"/>
              <w:right w:val="none" w:sz="0" w:space="0" w:color="auto"/>
            </w:tcBorders>
            <w:shd w:val="clear" w:color="auto" w:fill="F2F2F2" w:themeFill="background1" w:themeFillShade="F2"/>
          </w:tcPr>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t>$500 000</w:t>
            </w:r>
          </w:p>
        </w:tc>
        <w:tc>
          <w:tcPr>
            <w:tcW w:w="1244" w:type="dxa"/>
            <w:tcBorders>
              <w:left w:val="none" w:sz="0" w:space="0" w:color="auto"/>
              <w:right w:val="none" w:sz="0" w:space="0" w:color="auto"/>
            </w:tcBorders>
            <w:shd w:val="clear" w:color="auto" w:fill="F2F2F2" w:themeFill="background1" w:themeFillShade="F2"/>
          </w:tcPr>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t xml:space="preserve">Either: </w:t>
            </w:r>
          </w:p>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t>$10</w:t>
            </w:r>
            <w:r w:rsidR="00770FDC">
              <w:rPr>
                <w:rFonts w:asciiTheme="minorHAnsi" w:hAnsiTheme="minorHAnsi" w:cstheme="minorHAnsi"/>
                <w:sz w:val="14"/>
                <w:szCs w:val="14"/>
              </w:rPr>
              <w:t xml:space="preserve"> </w:t>
            </w:r>
            <w:r w:rsidRPr="00292029">
              <w:rPr>
                <w:rFonts w:asciiTheme="minorHAnsi" w:hAnsiTheme="minorHAnsi" w:cstheme="minorHAnsi"/>
                <w:sz w:val="14"/>
                <w:szCs w:val="14"/>
              </w:rPr>
              <w:t>mill</w:t>
            </w:r>
            <w:r w:rsidR="00770FDC">
              <w:rPr>
                <w:rFonts w:asciiTheme="minorHAnsi" w:hAnsiTheme="minorHAnsi" w:cstheme="minorHAnsi"/>
                <w:sz w:val="14"/>
                <w:szCs w:val="14"/>
              </w:rPr>
              <w:t>ion</w:t>
            </w:r>
          </w:p>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t>3 times the gain</w:t>
            </w:r>
          </w:p>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t>10% turnover</w:t>
            </w:r>
          </w:p>
        </w:tc>
        <w:tc>
          <w:tcPr>
            <w:tcW w:w="1244" w:type="dxa"/>
            <w:tcBorders>
              <w:left w:val="none" w:sz="0" w:space="0" w:color="auto"/>
              <w:right w:val="none" w:sz="0" w:space="0" w:color="auto"/>
            </w:tcBorders>
            <w:shd w:val="clear" w:color="auto" w:fill="F2F2F2" w:themeFill="background1" w:themeFillShade="F2"/>
          </w:tcPr>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sym w:font="Wingdings" w:char="F0FB"/>
            </w:r>
          </w:p>
        </w:tc>
        <w:tc>
          <w:tcPr>
            <w:tcW w:w="1244" w:type="dxa"/>
            <w:tcBorders>
              <w:left w:val="none" w:sz="0" w:space="0" w:color="auto"/>
              <w:right w:val="none" w:sz="0" w:space="0" w:color="auto"/>
            </w:tcBorders>
            <w:shd w:val="clear" w:color="auto" w:fill="F2F2F2" w:themeFill="background1" w:themeFillShade="F2"/>
          </w:tcPr>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sym w:font="Wingdings" w:char="F0FB"/>
            </w:r>
          </w:p>
        </w:tc>
        <w:tc>
          <w:tcPr>
            <w:tcW w:w="1244" w:type="dxa"/>
            <w:vMerge/>
            <w:tcBorders>
              <w:left w:val="none" w:sz="0" w:space="0" w:color="auto"/>
              <w:right w:val="none" w:sz="0" w:space="0" w:color="auto"/>
            </w:tcBorders>
          </w:tcPr>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tc>
        <w:tc>
          <w:tcPr>
            <w:tcW w:w="1244" w:type="dxa"/>
            <w:vMerge/>
            <w:tcBorders>
              <w:left w:val="none" w:sz="0" w:space="0" w:color="auto"/>
              <w:right w:val="none" w:sz="0" w:space="0" w:color="auto"/>
            </w:tcBorders>
          </w:tcPr>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tc>
        <w:tc>
          <w:tcPr>
            <w:tcW w:w="1244" w:type="dxa"/>
            <w:vMerge/>
            <w:tcBorders>
              <w:left w:val="none" w:sz="0" w:space="0" w:color="auto"/>
              <w:right w:val="none" w:sz="0" w:space="0" w:color="auto"/>
            </w:tcBorders>
          </w:tcPr>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tc>
        <w:tc>
          <w:tcPr>
            <w:tcW w:w="1244" w:type="dxa"/>
            <w:vMerge/>
            <w:tcBorders>
              <w:left w:val="none" w:sz="0" w:space="0" w:color="auto"/>
              <w:right w:val="none" w:sz="0" w:space="0" w:color="auto"/>
            </w:tcBorders>
          </w:tcPr>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tc>
        <w:tc>
          <w:tcPr>
            <w:tcW w:w="1245" w:type="dxa"/>
            <w:vMerge/>
            <w:tcBorders>
              <w:left w:val="none" w:sz="0" w:space="0" w:color="auto"/>
              <w:right w:val="none" w:sz="0" w:space="0" w:color="auto"/>
            </w:tcBorders>
          </w:tcPr>
          <w:p w:rsidR="007E7B2A" w:rsidRPr="00292029" w:rsidRDefault="007E7B2A"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tc>
      </w:tr>
    </w:tbl>
    <w:p w:rsidR="00292029" w:rsidRPr="00B3174E" w:rsidRDefault="00292029" w:rsidP="00292029">
      <w:pPr>
        <w:pStyle w:val="Heading2"/>
      </w:pPr>
      <w:r w:rsidRPr="00B3174E">
        <w:t xml:space="preserve">Consumer protection penalties </w:t>
      </w:r>
    </w:p>
    <w:p w:rsidR="00292029" w:rsidRPr="00B3174E" w:rsidRDefault="00292029" w:rsidP="00292029">
      <w:r w:rsidRPr="00B3174E">
        <w:t xml:space="preserve">Table 2 Consumer protection penalties, sets out the penalties available for breaches of the consumer protection provisions of the ACL. </w:t>
      </w:r>
    </w:p>
    <w:p w:rsidR="00292029" w:rsidRPr="00B4432A" w:rsidRDefault="00292029" w:rsidP="00292029">
      <w:pPr>
        <w:pStyle w:val="Tabletitle"/>
        <w:rPr>
          <w:i/>
        </w:rPr>
      </w:pPr>
      <w:r w:rsidRPr="00B4432A">
        <w:t>Table 2 Consumer protection penalties</w:t>
      </w:r>
    </w:p>
    <w:tbl>
      <w:tblPr>
        <w:tblStyle w:val="LightShading-Accent1"/>
        <w:tblW w:w="12441" w:type="dxa"/>
        <w:tblBorders>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04"/>
        <w:gridCol w:w="1244"/>
        <w:gridCol w:w="1244"/>
        <w:gridCol w:w="1244"/>
        <w:gridCol w:w="1244"/>
        <w:gridCol w:w="1244"/>
        <w:gridCol w:w="1244"/>
        <w:gridCol w:w="1244"/>
        <w:gridCol w:w="1245"/>
      </w:tblGrid>
      <w:tr w:rsidR="00292029" w:rsidRPr="00292029" w:rsidTr="006320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none" w:sz="0" w:space="0" w:color="auto"/>
              <w:left w:val="none" w:sz="0" w:space="0" w:color="auto"/>
              <w:bottom w:val="none" w:sz="0" w:space="0" w:color="auto"/>
              <w:right w:val="none" w:sz="0" w:space="0" w:color="auto"/>
            </w:tcBorders>
          </w:tcPr>
          <w:p w:rsidR="00292029" w:rsidRPr="00292029" w:rsidRDefault="00292029" w:rsidP="00292029">
            <w:pPr>
              <w:pStyle w:val="Tabletext"/>
              <w:rPr>
                <w:rFonts w:asciiTheme="minorHAnsi" w:hAnsiTheme="minorHAnsi" w:cstheme="minorHAnsi"/>
                <w:sz w:val="14"/>
                <w:szCs w:val="14"/>
              </w:rPr>
            </w:pPr>
            <w:r w:rsidRPr="00292029">
              <w:rPr>
                <w:rFonts w:asciiTheme="minorHAnsi" w:hAnsiTheme="minorHAnsi" w:cstheme="minorHAnsi"/>
                <w:sz w:val="14"/>
                <w:szCs w:val="14"/>
              </w:rPr>
              <w:t>Prohibition</w:t>
            </w:r>
          </w:p>
        </w:tc>
        <w:tc>
          <w:tcPr>
            <w:tcW w:w="1104" w:type="dxa"/>
            <w:tcBorders>
              <w:top w:val="none" w:sz="0" w:space="0" w:color="auto"/>
              <w:left w:val="none" w:sz="0" w:space="0" w:color="auto"/>
              <w:bottom w:val="none" w:sz="0" w:space="0" w:color="auto"/>
              <w:right w:val="none" w:sz="0" w:space="0" w:color="auto"/>
            </w:tcBorders>
          </w:tcPr>
          <w:p w:rsidR="00292029" w:rsidRPr="00292029" w:rsidRDefault="00292029" w:rsidP="00292029">
            <w:pPr>
              <w:pStyle w:val="Table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t>Max penalty (individual)</w:t>
            </w:r>
            <w:r w:rsidRPr="00292029">
              <w:rPr>
                <w:rStyle w:val="FootnoteReference"/>
                <w:rFonts w:asciiTheme="minorHAnsi" w:hAnsiTheme="minorHAnsi" w:cstheme="minorHAnsi"/>
                <w:sz w:val="14"/>
                <w:szCs w:val="14"/>
              </w:rPr>
              <w:footnoteReference w:id="52"/>
            </w:r>
          </w:p>
        </w:tc>
        <w:tc>
          <w:tcPr>
            <w:tcW w:w="1244" w:type="dxa"/>
            <w:tcBorders>
              <w:top w:val="none" w:sz="0" w:space="0" w:color="auto"/>
              <w:left w:val="none" w:sz="0" w:space="0" w:color="auto"/>
              <w:bottom w:val="none" w:sz="0" w:space="0" w:color="auto"/>
              <w:right w:val="none" w:sz="0" w:space="0" w:color="auto"/>
            </w:tcBorders>
          </w:tcPr>
          <w:p w:rsidR="00292029" w:rsidRPr="00292029" w:rsidRDefault="00292029" w:rsidP="00292029">
            <w:pPr>
              <w:pStyle w:val="Table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t>Max penalty (</w:t>
            </w:r>
            <w:proofErr w:type="spellStart"/>
            <w:r w:rsidRPr="00292029">
              <w:rPr>
                <w:rFonts w:asciiTheme="minorHAnsi" w:hAnsiTheme="minorHAnsi" w:cstheme="minorHAnsi"/>
                <w:sz w:val="14"/>
                <w:szCs w:val="14"/>
              </w:rPr>
              <w:t>corp</w:t>
            </w:r>
            <w:proofErr w:type="spellEnd"/>
            <w:r w:rsidRPr="00292029">
              <w:rPr>
                <w:rFonts w:asciiTheme="minorHAnsi" w:hAnsiTheme="minorHAnsi" w:cstheme="minorHAnsi"/>
                <w:sz w:val="14"/>
                <w:szCs w:val="14"/>
              </w:rPr>
              <w:t>)</w:t>
            </w:r>
            <w:r w:rsidRPr="00292029">
              <w:rPr>
                <w:rStyle w:val="FootnoteReference"/>
                <w:rFonts w:asciiTheme="minorHAnsi" w:hAnsiTheme="minorHAnsi" w:cstheme="minorHAnsi"/>
                <w:sz w:val="14"/>
                <w:szCs w:val="14"/>
              </w:rPr>
              <w:footnoteReference w:id="53"/>
            </w:r>
          </w:p>
        </w:tc>
        <w:tc>
          <w:tcPr>
            <w:tcW w:w="1244" w:type="dxa"/>
            <w:tcBorders>
              <w:top w:val="none" w:sz="0" w:space="0" w:color="auto"/>
              <w:left w:val="none" w:sz="0" w:space="0" w:color="auto"/>
              <w:bottom w:val="none" w:sz="0" w:space="0" w:color="auto"/>
              <w:right w:val="none" w:sz="0" w:space="0" w:color="auto"/>
            </w:tcBorders>
          </w:tcPr>
          <w:p w:rsidR="00292029" w:rsidRPr="00292029" w:rsidRDefault="00292029" w:rsidP="00292029">
            <w:pPr>
              <w:pStyle w:val="Table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t>Criminal offence</w:t>
            </w:r>
          </w:p>
        </w:tc>
        <w:tc>
          <w:tcPr>
            <w:tcW w:w="1244" w:type="dxa"/>
            <w:tcBorders>
              <w:top w:val="none" w:sz="0" w:space="0" w:color="auto"/>
              <w:left w:val="none" w:sz="0" w:space="0" w:color="auto"/>
              <w:bottom w:val="none" w:sz="0" w:space="0" w:color="auto"/>
              <w:right w:val="none" w:sz="0" w:space="0" w:color="auto"/>
            </w:tcBorders>
          </w:tcPr>
          <w:p w:rsidR="00292029" w:rsidRPr="00292029" w:rsidRDefault="00292029" w:rsidP="00292029">
            <w:pPr>
              <w:pStyle w:val="Table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t>Prison</w:t>
            </w:r>
          </w:p>
        </w:tc>
        <w:tc>
          <w:tcPr>
            <w:tcW w:w="1244" w:type="dxa"/>
            <w:tcBorders>
              <w:top w:val="none" w:sz="0" w:space="0" w:color="auto"/>
              <w:left w:val="none" w:sz="0" w:space="0" w:color="auto"/>
              <w:bottom w:val="none" w:sz="0" w:space="0" w:color="auto"/>
              <w:right w:val="none" w:sz="0" w:space="0" w:color="auto"/>
            </w:tcBorders>
          </w:tcPr>
          <w:p w:rsidR="00292029" w:rsidRPr="00292029" w:rsidRDefault="00292029" w:rsidP="00292029">
            <w:pPr>
              <w:pStyle w:val="Table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t>Injunctions</w:t>
            </w:r>
          </w:p>
        </w:tc>
        <w:tc>
          <w:tcPr>
            <w:tcW w:w="1244" w:type="dxa"/>
            <w:tcBorders>
              <w:top w:val="none" w:sz="0" w:space="0" w:color="auto"/>
              <w:left w:val="none" w:sz="0" w:space="0" w:color="auto"/>
              <w:bottom w:val="none" w:sz="0" w:space="0" w:color="auto"/>
              <w:right w:val="none" w:sz="0" w:space="0" w:color="auto"/>
            </w:tcBorders>
          </w:tcPr>
          <w:p w:rsidR="00292029" w:rsidRPr="00292029" w:rsidRDefault="00292029" w:rsidP="00292029">
            <w:pPr>
              <w:pStyle w:val="Table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t>Disqualification orders</w:t>
            </w:r>
            <w:r w:rsidRPr="00292029">
              <w:rPr>
                <w:rStyle w:val="FootnoteReference"/>
                <w:rFonts w:asciiTheme="minorHAnsi" w:hAnsiTheme="minorHAnsi" w:cstheme="minorHAnsi"/>
                <w:sz w:val="14"/>
                <w:szCs w:val="14"/>
              </w:rPr>
              <w:footnoteReference w:id="54"/>
            </w:r>
          </w:p>
        </w:tc>
        <w:tc>
          <w:tcPr>
            <w:tcW w:w="1244" w:type="dxa"/>
            <w:tcBorders>
              <w:top w:val="none" w:sz="0" w:space="0" w:color="auto"/>
              <w:left w:val="none" w:sz="0" w:space="0" w:color="auto"/>
              <w:bottom w:val="none" w:sz="0" w:space="0" w:color="auto"/>
              <w:right w:val="none" w:sz="0" w:space="0" w:color="auto"/>
            </w:tcBorders>
          </w:tcPr>
          <w:p w:rsidR="00292029" w:rsidRPr="00292029" w:rsidRDefault="00292029" w:rsidP="00292029">
            <w:pPr>
              <w:pStyle w:val="Table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t>Infringement Notice</w:t>
            </w:r>
            <w:r w:rsidRPr="00292029">
              <w:rPr>
                <w:rStyle w:val="FootnoteReference"/>
                <w:rFonts w:asciiTheme="minorHAnsi" w:hAnsiTheme="minorHAnsi" w:cstheme="minorHAnsi"/>
                <w:sz w:val="14"/>
                <w:szCs w:val="14"/>
              </w:rPr>
              <w:footnoteReference w:id="55"/>
            </w:r>
          </w:p>
        </w:tc>
        <w:tc>
          <w:tcPr>
            <w:tcW w:w="1244" w:type="dxa"/>
            <w:tcBorders>
              <w:top w:val="none" w:sz="0" w:space="0" w:color="auto"/>
              <w:left w:val="none" w:sz="0" w:space="0" w:color="auto"/>
              <w:bottom w:val="none" w:sz="0" w:space="0" w:color="auto"/>
              <w:right w:val="none" w:sz="0" w:space="0" w:color="auto"/>
            </w:tcBorders>
          </w:tcPr>
          <w:p w:rsidR="00292029" w:rsidRPr="00292029" w:rsidRDefault="00292029" w:rsidP="00292029">
            <w:pPr>
              <w:pStyle w:val="Table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t>Court enforceable</w:t>
            </w:r>
          </w:p>
          <w:p w:rsidR="00292029" w:rsidRPr="00292029" w:rsidRDefault="00292029" w:rsidP="00292029">
            <w:pPr>
              <w:pStyle w:val="Table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t>undertaking</w:t>
            </w:r>
            <w:r w:rsidRPr="00292029">
              <w:rPr>
                <w:rStyle w:val="FootnoteReference"/>
                <w:rFonts w:asciiTheme="minorHAnsi" w:hAnsiTheme="minorHAnsi" w:cstheme="minorHAnsi"/>
                <w:sz w:val="14"/>
                <w:szCs w:val="14"/>
              </w:rPr>
              <w:footnoteReference w:id="56"/>
            </w:r>
          </w:p>
        </w:tc>
        <w:tc>
          <w:tcPr>
            <w:tcW w:w="1245" w:type="dxa"/>
            <w:tcBorders>
              <w:top w:val="none" w:sz="0" w:space="0" w:color="auto"/>
              <w:left w:val="none" w:sz="0" w:space="0" w:color="auto"/>
              <w:bottom w:val="none" w:sz="0" w:space="0" w:color="auto"/>
              <w:right w:val="none" w:sz="0" w:space="0" w:color="auto"/>
            </w:tcBorders>
          </w:tcPr>
          <w:p w:rsidR="00292029" w:rsidRPr="00292029" w:rsidRDefault="00292029" w:rsidP="00292029">
            <w:pPr>
              <w:pStyle w:val="Table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4"/>
                <w:szCs w:val="14"/>
                <w:highlight w:val="green"/>
              </w:rPr>
            </w:pPr>
            <w:r w:rsidRPr="00292029">
              <w:rPr>
                <w:rFonts w:asciiTheme="minorHAnsi" w:hAnsiTheme="minorHAnsi" w:cstheme="minorHAnsi"/>
                <w:sz w:val="14"/>
                <w:szCs w:val="14"/>
              </w:rPr>
              <w:t>Representative action</w:t>
            </w:r>
            <w:r w:rsidRPr="00292029">
              <w:rPr>
                <w:rStyle w:val="FootnoteReference"/>
                <w:rFonts w:asciiTheme="minorHAnsi" w:hAnsiTheme="minorHAnsi" w:cstheme="minorHAnsi"/>
                <w:sz w:val="14"/>
                <w:szCs w:val="14"/>
              </w:rPr>
              <w:footnoteReference w:id="57"/>
            </w:r>
          </w:p>
        </w:tc>
      </w:tr>
      <w:tr w:rsidR="00292029" w:rsidRPr="00292029" w:rsidTr="00632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left w:val="none" w:sz="0" w:space="0" w:color="auto"/>
              <w:right w:val="none" w:sz="0" w:space="0" w:color="auto"/>
            </w:tcBorders>
            <w:shd w:val="clear" w:color="auto" w:fill="F2F2F2" w:themeFill="background1" w:themeFillShade="F2"/>
          </w:tcPr>
          <w:p w:rsidR="00292029" w:rsidRPr="00292029" w:rsidRDefault="00292029" w:rsidP="00292029">
            <w:pPr>
              <w:pStyle w:val="Tabletext"/>
              <w:rPr>
                <w:rFonts w:asciiTheme="minorHAnsi" w:hAnsiTheme="minorHAnsi" w:cstheme="minorHAnsi"/>
                <w:sz w:val="14"/>
                <w:szCs w:val="14"/>
              </w:rPr>
            </w:pPr>
            <w:r w:rsidRPr="00292029">
              <w:rPr>
                <w:rFonts w:asciiTheme="minorHAnsi" w:hAnsiTheme="minorHAnsi" w:cstheme="minorHAnsi"/>
                <w:sz w:val="14"/>
                <w:szCs w:val="14"/>
              </w:rPr>
              <w:t>Misleading or deceptive conduct</w:t>
            </w:r>
          </w:p>
        </w:tc>
        <w:tc>
          <w:tcPr>
            <w:tcW w:w="1104" w:type="dxa"/>
            <w:tcBorders>
              <w:left w:val="none" w:sz="0" w:space="0" w:color="auto"/>
              <w:right w:val="none" w:sz="0" w:space="0" w:color="auto"/>
            </w:tcBorders>
            <w:shd w:val="clear" w:color="auto" w:fill="F2F2F2" w:themeFill="background1" w:themeFillShade="F2"/>
          </w:tcPr>
          <w:p w:rsidR="00292029" w:rsidRPr="00292029" w:rsidRDefault="00292029"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sym w:font="Wingdings" w:char="F0FB"/>
            </w:r>
          </w:p>
        </w:tc>
        <w:tc>
          <w:tcPr>
            <w:tcW w:w="1244" w:type="dxa"/>
            <w:tcBorders>
              <w:left w:val="none" w:sz="0" w:space="0" w:color="auto"/>
              <w:right w:val="none" w:sz="0" w:space="0" w:color="auto"/>
            </w:tcBorders>
            <w:shd w:val="clear" w:color="auto" w:fill="F2F2F2" w:themeFill="background1" w:themeFillShade="F2"/>
          </w:tcPr>
          <w:p w:rsidR="00292029" w:rsidRPr="00292029" w:rsidRDefault="00292029"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sym w:font="Wingdings" w:char="F0FB"/>
            </w:r>
          </w:p>
        </w:tc>
        <w:tc>
          <w:tcPr>
            <w:tcW w:w="1244" w:type="dxa"/>
            <w:tcBorders>
              <w:left w:val="none" w:sz="0" w:space="0" w:color="auto"/>
              <w:right w:val="none" w:sz="0" w:space="0" w:color="auto"/>
            </w:tcBorders>
            <w:shd w:val="clear" w:color="auto" w:fill="F2F2F2" w:themeFill="background1" w:themeFillShade="F2"/>
          </w:tcPr>
          <w:p w:rsidR="00292029" w:rsidRPr="00292029" w:rsidRDefault="00292029"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sym w:font="Wingdings" w:char="F0FB"/>
            </w:r>
          </w:p>
        </w:tc>
        <w:tc>
          <w:tcPr>
            <w:tcW w:w="1244" w:type="dxa"/>
            <w:vMerge w:val="restart"/>
            <w:tcBorders>
              <w:left w:val="none" w:sz="0" w:space="0" w:color="auto"/>
              <w:right w:val="none" w:sz="0" w:space="0" w:color="auto"/>
            </w:tcBorders>
            <w:shd w:val="clear" w:color="auto" w:fill="F2F2F2" w:themeFill="background1" w:themeFillShade="F2"/>
          </w:tcPr>
          <w:p w:rsidR="00292029" w:rsidRPr="00292029" w:rsidRDefault="00292029"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p w:rsidR="00292029" w:rsidRPr="00292029" w:rsidRDefault="00292029"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p w:rsidR="00292029" w:rsidRPr="00292029" w:rsidRDefault="00292029"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p w:rsidR="00292029" w:rsidRPr="00292029" w:rsidRDefault="00292029"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sym w:font="Wingdings" w:char="F0FB"/>
            </w:r>
          </w:p>
        </w:tc>
        <w:tc>
          <w:tcPr>
            <w:tcW w:w="1244" w:type="dxa"/>
            <w:vMerge w:val="restart"/>
            <w:tcBorders>
              <w:left w:val="none" w:sz="0" w:space="0" w:color="auto"/>
              <w:right w:val="none" w:sz="0" w:space="0" w:color="auto"/>
            </w:tcBorders>
            <w:shd w:val="clear" w:color="auto" w:fill="F2F2F2" w:themeFill="background1" w:themeFillShade="F2"/>
          </w:tcPr>
          <w:p w:rsidR="00292029" w:rsidRPr="00292029" w:rsidRDefault="00292029"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p w:rsidR="00292029" w:rsidRPr="00292029" w:rsidRDefault="00292029"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p w:rsidR="00292029" w:rsidRPr="00292029" w:rsidRDefault="00292029"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p w:rsidR="00292029" w:rsidRPr="00292029" w:rsidRDefault="00292029"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sym w:font="Wingdings" w:char="F0FC"/>
            </w:r>
          </w:p>
        </w:tc>
        <w:tc>
          <w:tcPr>
            <w:tcW w:w="1244" w:type="dxa"/>
            <w:tcBorders>
              <w:left w:val="none" w:sz="0" w:space="0" w:color="auto"/>
              <w:right w:val="none" w:sz="0" w:space="0" w:color="auto"/>
            </w:tcBorders>
            <w:shd w:val="clear" w:color="auto" w:fill="F2F2F2" w:themeFill="background1" w:themeFillShade="F2"/>
          </w:tcPr>
          <w:p w:rsidR="00292029" w:rsidRPr="00292029" w:rsidRDefault="00292029"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sym w:font="Wingdings" w:char="F0FB"/>
            </w:r>
          </w:p>
        </w:tc>
        <w:tc>
          <w:tcPr>
            <w:tcW w:w="1244" w:type="dxa"/>
            <w:vMerge w:val="restart"/>
            <w:tcBorders>
              <w:left w:val="none" w:sz="0" w:space="0" w:color="auto"/>
              <w:right w:val="none" w:sz="0" w:space="0" w:color="auto"/>
            </w:tcBorders>
            <w:shd w:val="clear" w:color="auto" w:fill="F2F2F2" w:themeFill="background1" w:themeFillShade="F2"/>
          </w:tcPr>
          <w:p w:rsidR="00292029" w:rsidRPr="00292029" w:rsidRDefault="00292029"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p w:rsidR="00292029" w:rsidRPr="00292029" w:rsidRDefault="00292029"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p w:rsidR="00292029" w:rsidRPr="00292029" w:rsidRDefault="00292029"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p w:rsidR="00292029" w:rsidRPr="00292029" w:rsidRDefault="00292029"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sym w:font="Wingdings" w:char="F0FC"/>
            </w:r>
          </w:p>
          <w:p w:rsidR="00292029" w:rsidRPr="00292029" w:rsidRDefault="00292029"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tc>
        <w:tc>
          <w:tcPr>
            <w:tcW w:w="1244" w:type="dxa"/>
            <w:vMerge w:val="restart"/>
            <w:tcBorders>
              <w:left w:val="none" w:sz="0" w:space="0" w:color="auto"/>
              <w:right w:val="none" w:sz="0" w:space="0" w:color="auto"/>
            </w:tcBorders>
            <w:shd w:val="clear" w:color="auto" w:fill="F2F2F2" w:themeFill="background1" w:themeFillShade="F2"/>
          </w:tcPr>
          <w:p w:rsidR="00292029" w:rsidRPr="00292029" w:rsidRDefault="00292029"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p w:rsidR="00292029" w:rsidRPr="00292029" w:rsidRDefault="00292029"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p w:rsidR="00292029" w:rsidRPr="00292029" w:rsidRDefault="00292029"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p w:rsidR="00292029" w:rsidRPr="00292029" w:rsidRDefault="00292029"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sym w:font="Wingdings" w:char="F0FC"/>
            </w:r>
          </w:p>
        </w:tc>
        <w:tc>
          <w:tcPr>
            <w:tcW w:w="1245" w:type="dxa"/>
            <w:vMerge w:val="restart"/>
            <w:tcBorders>
              <w:left w:val="none" w:sz="0" w:space="0" w:color="auto"/>
              <w:right w:val="none" w:sz="0" w:space="0" w:color="auto"/>
            </w:tcBorders>
            <w:shd w:val="clear" w:color="auto" w:fill="F2F2F2" w:themeFill="background1" w:themeFillShade="F2"/>
          </w:tcPr>
          <w:p w:rsidR="00292029" w:rsidRPr="00292029" w:rsidRDefault="00292029"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p w:rsidR="00292029" w:rsidRPr="00292029" w:rsidRDefault="00292029"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p w:rsidR="00292029" w:rsidRPr="00292029" w:rsidRDefault="00292029"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p w:rsidR="00292029" w:rsidRPr="00292029" w:rsidRDefault="00292029"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sym w:font="Wingdings" w:char="F0FC"/>
            </w:r>
          </w:p>
        </w:tc>
      </w:tr>
      <w:tr w:rsidR="00292029" w:rsidRPr="00292029" w:rsidTr="006320B3">
        <w:tc>
          <w:tcPr>
            <w:cnfStyle w:val="001000000000" w:firstRow="0" w:lastRow="0" w:firstColumn="1" w:lastColumn="0" w:oddVBand="0" w:evenVBand="0" w:oddHBand="0" w:evenHBand="0" w:firstRowFirstColumn="0" w:firstRowLastColumn="0" w:lastRowFirstColumn="0" w:lastRowLastColumn="0"/>
            <w:tcW w:w="1384" w:type="dxa"/>
          </w:tcPr>
          <w:p w:rsidR="00292029" w:rsidRPr="00292029" w:rsidRDefault="00292029" w:rsidP="00292029">
            <w:pPr>
              <w:pStyle w:val="Tabletext"/>
              <w:rPr>
                <w:rFonts w:asciiTheme="minorHAnsi" w:hAnsiTheme="minorHAnsi" w:cstheme="minorHAnsi"/>
                <w:sz w:val="14"/>
                <w:szCs w:val="14"/>
              </w:rPr>
            </w:pPr>
            <w:r w:rsidRPr="00292029">
              <w:rPr>
                <w:rFonts w:asciiTheme="minorHAnsi" w:hAnsiTheme="minorHAnsi" w:cstheme="minorHAnsi"/>
                <w:sz w:val="14"/>
                <w:szCs w:val="14"/>
              </w:rPr>
              <w:t>False or misleading conduct</w:t>
            </w:r>
          </w:p>
        </w:tc>
        <w:tc>
          <w:tcPr>
            <w:tcW w:w="1104" w:type="dxa"/>
          </w:tcPr>
          <w:p w:rsidR="00292029" w:rsidRPr="00292029" w:rsidRDefault="00292029" w:rsidP="0029202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t>$220 000</w:t>
            </w:r>
          </w:p>
        </w:tc>
        <w:tc>
          <w:tcPr>
            <w:tcW w:w="1244" w:type="dxa"/>
          </w:tcPr>
          <w:p w:rsidR="00292029" w:rsidRPr="00292029" w:rsidRDefault="00292029" w:rsidP="0029202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t>$1.1</w:t>
            </w:r>
            <w:r w:rsidR="00770FDC">
              <w:rPr>
                <w:rFonts w:asciiTheme="minorHAnsi" w:hAnsiTheme="minorHAnsi" w:cstheme="minorHAnsi"/>
                <w:sz w:val="14"/>
                <w:szCs w:val="14"/>
              </w:rPr>
              <w:t xml:space="preserve"> </w:t>
            </w:r>
            <w:r w:rsidRPr="00292029">
              <w:rPr>
                <w:rFonts w:asciiTheme="minorHAnsi" w:hAnsiTheme="minorHAnsi" w:cstheme="minorHAnsi"/>
                <w:sz w:val="14"/>
                <w:szCs w:val="14"/>
              </w:rPr>
              <w:t>million</w:t>
            </w:r>
          </w:p>
        </w:tc>
        <w:tc>
          <w:tcPr>
            <w:tcW w:w="1244" w:type="dxa"/>
          </w:tcPr>
          <w:p w:rsidR="00292029" w:rsidRPr="00292029" w:rsidRDefault="00292029" w:rsidP="0029202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sym w:font="Wingdings" w:char="F0FC"/>
            </w:r>
          </w:p>
        </w:tc>
        <w:tc>
          <w:tcPr>
            <w:tcW w:w="1244" w:type="dxa"/>
            <w:vMerge/>
          </w:tcPr>
          <w:p w:rsidR="00292029" w:rsidRPr="00292029" w:rsidRDefault="00292029" w:rsidP="0029202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14"/>
              </w:rPr>
            </w:pPr>
          </w:p>
        </w:tc>
        <w:tc>
          <w:tcPr>
            <w:tcW w:w="1244" w:type="dxa"/>
            <w:vMerge/>
          </w:tcPr>
          <w:p w:rsidR="00292029" w:rsidRPr="00292029" w:rsidRDefault="00292029" w:rsidP="0029202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14"/>
              </w:rPr>
            </w:pPr>
          </w:p>
        </w:tc>
        <w:tc>
          <w:tcPr>
            <w:tcW w:w="1244" w:type="dxa"/>
          </w:tcPr>
          <w:p w:rsidR="00292029" w:rsidRPr="00292029" w:rsidRDefault="00292029" w:rsidP="0029202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sym w:font="Wingdings" w:char="F0FC"/>
            </w:r>
          </w:p>
        </w:tc>
        <w:tc>
          <w:tcPr>
            <w:tcW w:w="1244" w:type="dxa"/>
            <w:vMerge/>
          </w:tcPr>
          <w:p w:rsidR="00292029" w:rsidRPr="00292029" w:rsidRDefault="00292029" w:rsidP="0029202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14"/>
              </w:rPr>
            </w:pPr>
          </w:p>
        </w:tc>
        <w:tc>
          <w:tcPr>
            <w:tcW w:w="1244" w:type="dxa"/>
            <w:vMerge/>
          </w:tcPr>
          <w:p w:rsidR="00292029" w:rsidRPr="00292029" w:rsidRDefault="00292029" w:rsidP="0029202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14"/>
              </w:rPr>
            </w:pPr>
          </w:p>
        </w:tc>
        <w:tc>
          <w:tcPr>
            <w:tcW w:w="1245" w:type="dxa"/>
            <w:vMerge/>
          </w:tcPr>
          <w:p w:rsidR="00292029" w:rsidRPr="00292029" w:rsidRDefault="00292029" w:rsidP="0029202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14"/>
              </w:rPr>
            </w:pPr>
          </w:p>
        </w:tc>
      </w:tr>
      <w:tr w:rsidR="00292029" w:rsidRPr="00292029" w:rsidTr="00632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left w:val="none" w:sz="0" w:space="0" w:color="auto"/>
              <w:right w:val="none" w:sz="0" w:space="0" w:color="auto"/>
            </w:tcBorders>
            <w:shd w:val="clear" w:color="auto" w:fill="F2F2F2" w:themeFill="background1" w:themeFillShade="F2"/>
          </w:tcPr>
          <w:p w:rsidR="00292029" w:rsidRPr="00292029" w:rsidRDefault="00292029" w:rsidP="00292029">
            <w:pPr>
              <w:pStyle w:val="Tabletext"/>
              <w:rPr>
                <w:rFonts w:asciiTheme="minorHAnsi" w:hAnsiTheme="minorHAnsi" w:cstheme="minorHAnsi"/>
                <w:sz w:val="14"/>
                <w:szCs w:val="14"/>
              </w:rPr>
            </w:pPr>
            <w:r w:rsidRPr="00292029">
              <w:rPr>
                <w:rFonts w:asciiTheme="minorHAnsi" w:hAnsiTheme="minorHAnsi" w:cstheme="minorHAnsi"/>
                <w:sz w:val="14"/>
                <w:szCs w:val="14"/>
              </w:rPr>
              <w:t>Unconscionable conduct</w:t>
            </w:r>
          </w:p>
        </w:tc>
        <w:tc>
          <w:tcPr>
            <w:tcW w:w="1104" w:type="dxa"/>
            <w:tcBorders>
              <w:left w:val="none" w:sz="0" w:space="0" w:color="auto"/>
              <w:right w:val="none" w:sz="0" w:space="0" w:color="auto"/>
            </w:tcBorders>
            <w:shd w:val="clear" w:color="auto" w:fill="F2F2F2" w:themeFill="background1" w:themeFillShade="F2"/>
          </w:tcPr>
          <w:p w:rsidR="00292029" w:rsidRPr="00292029" w:rsidRDefault="00292029"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t>$220 000</w:t>
            </w:r>
          </w:p>
        </w:tc>
        <w:tc>
          <w:tcPr>
            <w:tcW w:w="1244" w:type="dxa"/>
            <w:tcBorders>
              <w:left w:val="none" w:sz="0" w:space="0" w:color="auto"/>
              <w:right w:val="none" w:sz="0" w:space="0" w:color="auto"/>
            </w:tcBorders>
            <w:shd w:val="clear" w:color="auto" w:fill="F2F2F2" w:themeFill="background1" w:themeFillShade="F2"/>
          </w:tcPr>
          <w:p w:rsidR="00292029" w:rsidRPr="00292029" w:rsidRDefault="00292029"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t>$1.1</w:t>
            </w:r>
            <w:r w:rsidR="00770FDC">
              <w:rPr>
                <w:rFonts w:asciiTheme="minorHAnsi" w:hAnsiTheme="minorHAnsi" w:cstheme="minorHAnsi"/>
                <w:sz w:val="14"/>
                <w:szCs w:val="14"/>
              </w:rPr>
              <w:t xml:space="preserve"> </w:t>
            </w:r>
            <w:r w:rsidRPr="00292029">
              <w:rPr>
                <w:rFonts w:asciiTheme="minorHAnsi" w:hAnsiTheme="minorHAnsi" w:cstheme="minorHAnsi"/>
                <w:sz w:val="14"/>
                <w:szCs w:val="14"/>
              </w:rPr>
              <w:t>million</w:t>
            </w:r>
          </w:p>
        </w:tc>
        <w:tc>
          <w:tcPr>
            <w:tcW w:w="1244" w:type="dxa"/>
            <w:tcBorders>
              <w:left w:val="none" w:sz="0" w:space="0" w:color="auto"/>
              <w:right w:val="none" w:sz="0" w:space="0" w:color="auto"/>
            </w:tcBorders>
            <w:shd w:val="clear" w:color="auto" w:fill="F2F2F2" w:themeFill="background1" w:themeFillShade="F2"/>
          </w:tcPr>
          <w:p w:rsidR="00292029" w:rsidRPr="00292029" w:rsidRDefault="00292029"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sym w:font="Wingdings" w:char="F0FB"/>
            </w:r>
          </w:p>
        </w:tc>
        <w:tc>
          <w:tcPr>
            <w:tcW w:w="1244" w:type="dxa"/>
            <w:vMerge/>
            <w:tcBorders>
              <w:left w:val="none" w:sz="0" w:space="0" w:color="auto"/>
              <w:right w:val="none" w:sz="0" w:space="0" w:color="auto"/>
            </w:tcBorders>
            <w:shd w:val="clear" w:color="auto" w:fill="F2F2F2" w:themeFill="background1" w:themeFillShade="F2"/>
          </w:tcPr>
          <w:p w:rsidR="00292029" w:rsidRPr="00292029" w:rsidRDefault="00292029"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tc>
        <w:tc>
          <w:tcPr>
            <w:tcW w:w="1244" w:type="dxa"/>
            <w:vMerge/>
            <w:tcBorders>
              <w:left w:val="none" w:sz="0" w:space="0" w:color="auto"/>
              <w:right w:val="none" w:sz="0" w:space="0" w:color="auto"/>
            </w:tcBorders>
            <w:shd w:val="clear" w:color="auto" w:fill="F2F2F2" w:themeFill="background1" w:themeFillShade="F2"/>
          </w:tcPr>
          <w:p w:rsidR="00292029" w:rsidRPr="00292029" w:rsidRDefault="00292029"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tc>
        <w:tc>
          <w:tcPr>
            <w:tcW w:w="1244" w:type="dxa"/>
            <w:tcBorders>
              <w:left w:val="none" w:sz="0" w:space="0" w:color="auto"/>
              <w:right w:val="none" w:sz="0" w:space="0" w:color="auto"/>
            </w:tcBorders>
            <w:shd w:val="clear" w:color="auto" w:fill="F2F2F2" w:themeFill="background1" w:themeFillShade="F2"/>
          </w:tcPr>
          <w:p w:rsidR="00292029" w:rsidRPr="00292029" w:rsidRDefault="00292029"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sym w:font="Wingdings" w:char="F0FC"/>
            </w:r>
          </w:p>
        </w:tc>
        <w:tc>
          <w:tcPr>
            <w:tcW w:w="1244" w:type="dxa"/>
            <w:vMerge/>
            <w:tcBorders>
              <w:left w:val="none" w:sz="0" w:space="0" w:color="auto"/>
              <w:right w:val="none" w:sz="0" w:space="0" w:color="auto"/>
            </w:tcBorders>
          </w:tcPr>
          <w:p w:rsidR="00292029" w:rsidRPr="00292029" w:rsidRDefault="00292029"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tc>
        <w:tc>
          <w:tcPr>
            <w:tcW w:w="1244" w:type="dxa"/>
            <w:vMerge/>
            <w:tcBorders>
              <w:left w:val="none" w:sz="0" w:space="0" w:color="auto"/>
              <w:right w:val="none" w:sz="0" w:space="0" w:color="auto"/>
            </w:tcBorders>
          </w:tcPr>
          <w:p w:rsidR="00292029" w:rsidRPr="00292029" w:rsidRDefault="00292029"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tc>
        <w:tc>
          <w:tcPr>
            <w:tcW w:w="1245" w:type="dxa"/>
            <w:vMerge/>
            <w:tcBorders>
              <w:left w:val="none" w:sz="0" w:space="0" w:color="auto"/>
              <w:right w:val="none" w:sz="0" w:space="0" w:color="auto"/>
            </w:tcBorders>
          </w:tcPr>
          <w:p w:rsidR="00292029" w:rsidRPr="00292029" w:rsidRDefault="00292029"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tc>
      </w:tr>
      <w:tr w:rsidR="00292029" w:rsidRPr="00292029" w:rsidTr="006320B3">
        <w:tc>
          <w:tcPr>
            <w:cnfStyle w:val="001000000000" w:firstRow="0" w:lastRow="0" w:firstColumn="1" w:lastColumn="0" w:oddVBand="0" w:evenVBand="0" w:oddHBand="0" w:evenHBand="0" w:firstRowFirstColumn="0" w:firstRowLastColumn="0" w:lastRowFirstColumn="0" w:lastRowLastColumn="0"/>
            <w:tcW w:w="1384" w:type="dxa"/>
          </w:tcPr>
          <w:p w:rsidR="00292029" w:rsidRPr="00292029" w:rsidRDefault="00292029" w:rsidP="00292029">
            <w:pPr>
              <w:pStyle w:val="Tabletext"/>
              <w:rPr>
                <w:rFonts w:asciiTheme="minorHAnsi" w:hAnsiTheme="minorHAnsi" w:cstheme="minorHAnsi"/>
                <w:sz w:val="14"/>
                <w:szCs w:val="14"/>
              </w:rPr>
            </w:pPr>
            <w:r w:rsidRPr="00292029">
              <w:rPr>
                <w:rFonts w:asciiTheme="minorHAnsi" w:hAnsiTheme="minorHAnsi" w:cstheme="minorHAnsi"/>
                <w:sz w:val="14"/>
                <w:szCs w:val="14"/>
              </w:rPr>
              <w:t>Consumer guarantees</w:t>
            </w:r>
          </w:p>
        </w:tc>
        <w:tc>
          <w:tcPr>
            <w:tcW w:w="1104" w:type="dxa"/>
          </w:tcPr>
          <w:p w:rsidR="00292029" w:rsidRPr="00292029" w:rsidRDefault="00292029" w:rsidP="0029202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sym w:font="Wingdings" w:char="F0FB"/>
            </w:r>
          </w:p>
        </w:tc>
        <w:tc>
          <w:tcPr>
            <w:tcW w:w="1244" w:type="dxa"/>
          </w:tcPr>
          <w:p w:rsidR="00292029" w:rsidRPr="00292029" w:rsidRDefault="00292029" w:rsidP="0029202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sym w:font="Wingdings" w:char="F0FB"/>
            </w:r>
          </w:p>
        </w:tc>
        <w:tc>
          <w:tcPr>
            <w:tcW w:w="1244" w:type="dxa"/>
          </w:tcPr>
          <w:p w:rsidR="00292029" w:rsidRPr="00292029" w:rsidRDefault="00292029" w:rsidP="0029202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sym w:font="Wingdings" w:char="F0FC"/>
            </w:r>
          </w:p>
        </w:tc>
        <w:tc>
          <w:tcPr>
            <w:tcW w:w="1244" w:type="dxa"/>
            <w:vMerge/>
          </w:tcPr>
          <w:p w:rsidR="00292029" w:rsidRPr="00292029" w:rsidRDefault="00292029" w:rsidP="0029202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14"/>
              </w:rPr>
            </w:pPr>
          </w:p>
        </w:tc>
        <w:tc>
          <w:tcPr>
            <w:tcW w:w="1244" w:type="dxa"/>
            <w:vMerge/>
          </w:tcPr>
          <w:p w:rsidR="00292029" w:rsidRPr="00292029" w:rsidRDefault="00292029" w:rsidP="0029202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14"/>
              </w:rPr>
            </w:pPr>
          </w:p>
        </w:tc>
        <w:tc>
          <w:tcPr>
            <w:tcW w:w="1244" w:type="dxa"/>
          </w:tcPr>
          <w:p w:rsidR="00292029" w:rsidRPr="00292029" w:rsidRDefault="00292029" w:rsidP="0029202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sym w:font="Wingdings" w:char="F0FB"/>
            </w:r>
          </w:p>
        </w:tc>
        <w:tc>
          <w:tcPr>
            <w:tcW w:w="1244" w:type="dxa"/>
            <w:vMerge/>
          </w:tcPr>
          <w:p w:rsidR="00292029" w:rsidRPr="00292029" w:rsidRDefault="00292029" w:rsidP="0029202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14"/>
              </w:rPr>
            </w:pPr>
          </w:p>
        </w:tc>
        <w:tc>
          <w:tcPr>
            <w:tcW w:w="1244" w:type="dxa"/>
            <w:vMerge/>
          </w:tcPr>
          <w:p w:rsidR="00292029" w:rsidRPr="00292029" w:rsidRDefault="00292029" w:rsidP="0029202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14"/>
              </w:rPr>
            </w:pPr>
          </w:p>
        </w:tc>
        <w:tc>
          <w:tcPr>
            <w:tcW w:w="1245" w:type="dxa"/>
            <w:vMerge/>
          </w:tcPr>
          <w:p w:rsidR="00292029" w:rsidRPr="00292029" w:rsidRDefault="00292029" w:rsidP="0029202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14"/>
              </w:rPr>
            </w:pPr>
          </w:p>
        </w:tc>
      </w:tr>
      <w:tr w:rsidR="00292029" w:rsidRPr="00292029" w:rsidTr="00632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left w:val="none" w:sz="0" w:space="0" w:color="auto"/>
              <w:right w:val="none" w:sz="0" w:space="0" w:color="auto"/>
            </w:tcBorders>
            <w:shd w:val="clear" w:color="auto" w:fill="F2F2F2" w:themeFill="background1" w:themeFillShade="F2"/>
          </w:tcPr>
          <w:p w:rsidR="00292029" w:rsidRPr="00292029" w:rsidRDefault="00292029" w:rsidP="00292029">
            <w:pPr>
              <w:pStyle w:val="Tabletext"/>
              <w:rPr>
                <w:rFonts w:asciiTheme="minorHAnsi" w:hAnsiTheme="minorHAnsi" w:cstheme="minorHAnsi"/>
                <w:sz w:val="14"/>
                <w:szCs w:val="14"/>
              </w:rPr>
            </w:pPr>
            <w:r w:rsidRPr="00292029">
              <w:rPr>
                <w:rFonts w:asciiTheme="minorHAnsi" w:hAnsiTheme="minorHAnsi" w:cstheme="minorHAnsi"/>
                <w:sz w:val="14"/>
                <w:szCs w:val="14"/>
              </w:rPr>
              <w:lastRenderedPageBreak/>
              <w:t>Product safety</w:t>
            </w:r>
          </w:p>
        </w:tc>
        <w:tc>
          <w:tcPr>
            <w:tcW w:w="1104" w:type="dxa"/>
            <w:tcBorders>
              <w:left w:val="none" w:sz="0" w:space="0" w:color="auto"/>
              <w:right w:val="none" w:sz="0" w:space="0" w:color="auto"/>
            </w:tcBorders>
            <w:shd w:val="clear" w:color="auto" w:fill="F2F2F2" w:themeFill="background1" w:themeFillShade="F2"/>
          </w:tcPr>
          <w:p w:rsidR="00292029" w:rsidRPr="00292029" w:rsidRDefault="00292029"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t>$220 000</w:t>
            </w:r>
          </w:p>
        </w:tc>
        <w:tc>
          <w:tcPr>
            <w:tcW w:w="1244" w:type="dxa"/>
            <w:tcBorders>
              <w:left w:val="none" w:sz="0" w:space="0" w:color="auto"/>
              <w:right w:val="none" w:sz="0" w:space="0" w:color="auto"/>
            </w:tcBorders>
            <w:shd w:val="clear" w:color="auto" w:fill="F2F2F2" w:themeFill="background1" w:themeFillShade="F2"/>
          </w:tcPr>
          <w:p w:rsidR="00292029" w:rsidRPr="00292029" w:rsidRDefault="00292029"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t>$1.1</w:t>
            </w:r>
            <w:r w:rsidR="00770FDC">
              <w:rPr>
                <w:rFonts w:asciiTheme="minorHAnsi" w:hAnsiTheme="minorHAnsi" w:cstheme="minorHAnsi"/>
                <w:sz w:val="14"/>
                <w:szCs w:val="14"/>
              </w:rPr>
              <w:t xml:space="preserve"> </w:t>
            </w:r>
            <w:r w:rsidRPr="00292029">
              <w:rPr>
                <w:rFonts w:asciiTheme="minorHAnsi" w:hAnsiTheme="minorHAnsi" w:cstheme="minorHAnsi"/>
                <w:sz w:val="14"/>
                <w:szCs w:val="14"/>
              </w:rPr>
              <w:t>million</w:t>
            </w:r>
          </w:p>
        </w:tc>
        <w:tc>
          <w:tcPr>
            <w:tcW w:w="1244" w:type="dxa"/>
            <w:tcBorders>
              <w:left w:val="none" w:sz="0" w:space="0" w:color="auto"/>
              <w:right w:val="none" w:sz="0" w:space="0" w:color="auto"/>
            </w:tcBorders>
            <w:shd w:val="clear" w:color="auto" w:fill="F2F2F2" w:themeFill="background1" w:themeFillShade="F2"/>
          </w:tcPr>
          <w:p w:rsidR="00292029" w:rsidRPr="00292029" w:rsidRDefault="00292029"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sym w:font="Wingdings" w:char="F0FC"/>
            </w:r>
          </w:p>
        </w:tc>
        <w:tc>
          <w:tcPr>
            <w:tcW w:w="1244" w:type="dxa"/>
            <w:vMerge/>
            <w:tcBorders>
              <w:left w:val="none" w:sz="0" w:space="0" w:color="auto"/>
              <w:right w:val="none" w:sz="0" w:space="0" w:color="auto"/>
            </w:tcBorders>
            <w:shd w:val="clear" w:color="auto" w:fill="F2F2F2" w:themeFill="background1" w:themeFillShade="F2"/>
          </w:tcPr>
          <w:p w:rsidR="00292029" w:rsidRPr="00292029" w:rsidRDefault="00292029"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tc>
        <w:tc>
          <w:tcPr>
            <w:tcW w:w="1244" w:type="dxa"/>
            <w:vMerge/>
            <w:tcBorders>
              <w:left w:val="none" w:sz="0" w:space="0" w:color="auto"/>
              <w:right w:val="none" w:sz="0" w:space="0" w:color="auto"/>
            </w:tcBorders>
            <w:shd w:val="clear" w:color="auto" w:fill="F2F2F2" w:themeFill="background1" w:themeFillShade="F2"/>
          </w:tcPr>
          <w:p w:rsidR="00292029" w:rsidRPr="00292029" w:rsidRDefault="00292029"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tc>
        <w:tc>
          <w:tcPr>
            <w:tcW w:w="1244" w:type="dxa"/>
            <w:tcBorders>
              <w:left w:val="none" w:sz="0" w:space="0" w:color="auto"/>
              <w:right w:val="none" w:sz="0" w:space="0" w:color="auto"/>
            </w:tcBorders>
            <w:shd w:val="clear" w:color="auto" w:fill="F2F2F2" w:themeFill="background1" w:themeFillShade="F2"/>
          </w:tcPr>
          <w:p w:rsidR="00292029" w:rsidRPr="00292029" w:rsidRDefault="00292029"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sym w:font="Wingdings" w:char="F0FC"/>
            </w:r>
          </w:p>
        </w:tc>
        <w:tc>
          <w:tcPr>
            <w:tcW w:w="1244" w:type="dxa"/>
            <w:vMerge/>
            <w:tcBorders>
              <w:left w:val="none" w:sz="0" w:space="0" w:color="auto"/>
              <w:right w:val="none" w:sz="0" w:space="0" w:color="auto"/>
            </w:tcBorders>
          </w:tcPr>
          <w:p w:rsidR="00292029" w:rsidRPr="00292029" w:rsidRDefault="00292029"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tc>
        <w:tc>
          <w:tcPr>
            <w:tcW w:w="1244" w:type="dxa"/>
            <w:vMerge/>
            <w:tcBorders>
              <w:left w:val="none" w:sz="0" w:space="0" w:color="auto"/>
              <w:right w:val="none" w:sz="0" w:space="0" w:color="auto"/>
            </w:tcBorders>
          </w:tcPr>
          <w:p w:rsidR="00292029" w:rsidRPr="00292029" w:rsidRDefault="00292029"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tc>
        <w:tc>
          <w:tcPr>
            <w:tcW w:w="1245" w:type="dxa"/>
            <w:vMerge/>
            <w:tcBorders>
              <w:left w:val="none" w:sz="0" w:space="0" w:color="auto"/>
              <w:right w:val="none" w:sz="0" w:space="0" w:color="auto"/>
            </w:tcBorders>
          </w:tcPr>
          <w:p w:rsidR="00292029" w:rsidRPr="00292029" w:rsidRDefault="00292029"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tc>
      </w:tr>
      <w:tr w:rsidR="00292029" w:rsidRPr="00292029" w:rsidTr="006320B3">
        <w:tc>
          <w:tcPr>
            <w:cnfStyle w:val="001000000000" w:firstRow="0" w:lastRow="0" w:firstColumn="1" w:lastColumn="0" w:oddVBand="0" w:evenVBand="0" w:oddHBand="0" w:evenHBand="0" w:firstRowFirstColumn="0" w:firstRowLastColumn="0" w:lastRowFirstColumn="0" w:lastRowLastColumn="0"/>
            <w:tcW w:w="1384" w:type="dxa"/>
          </w:tcPr>
          <w:p w:rsidR="00292029" w:rsidRPr="00292029" w:rsidRDefault="00292029" w:rsidP="00292029">
            <w:pPr>
              <w:pStyle w:val="Tabletext"/>
              <w:rPr>
                <w:rFonts w:asciiTheme="minorHAnsi" w:hAnsiTheme="minorHAnsi" w:cstheme="minorHAnsi"/>
                <w:sz w:val="14"/>
                <w:szCs w:val="14"/>
              </w:rPr>
            </w:pPr>
            <w:r w:rsidRPr="00292029">
              <w:rPr>
                <w:rFonts w:asciiTheme="minorHAnsi" w:hAnsiTheme="minorHAnsi" w:cstheme="minorHAnsi"/>
                <w:sz w:val="14"/>
                <w:szCs w:val="14"/>
              </w:rPr>
              <w:t xml:space="preserve">Unsolicited Consumer Agreements </w:t>
            </w:r>
          </w:p>
        </w:tc>
        <w:tc>
          <w:tcPr>
            <w:tcW w:w="1104" w:type="dxa"/>
          </w:tcPr>
          <w:p w:rsidR="00292029" w:rsidRPr="00292029" w:rsidRDefault="00292029" w:rsidP="0029202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t>$10 000</w:t>
            </w:r>
          </w:p>
        </w:tc>
        <w:tc>
          <w:tcPr>
            <w:tcW w:w="1244" w:type="dxa"/>
          </w:tcPr>
          <w:p w:rsidR="00292029" w:rsidRPr="00292029" w:rsidRDefault="00292029" w:rsidP="0029202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t>$50 000</w:t>
            </w:r>
          </w:p>
        </w:tc>
        <w:tc>
          <w:tcPr>
            <w:tcW w:w="1244" w:type="dxa"/>
          </w:tcPr>
          <w:p w:rsidR="00292029" w:rsidRPr="00292029" w:rsidRDefault="00292029" w:rsidP="0029202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sym w:font="Wingdings" w:char="F0FC"/>
            </w:r>
          </w:p>
        </w:tc>
        <w:tc>
          <w:tcPr>
            <w:tcW w:w="1244" w:type="dxa"/>
            <w:vMerge/>
          </w:tcPr>
          <w:p w:rsidR="00292029" w:rsidRPr="00292029" w:rsidRDefault="00292029" w:rsidP="0029202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14"/>
              </w:rPr>
            </w:pPr>
          </w:p>
        </w:tc>
        <w:tc>
          <w:tcPr>
            <w:tcW w:w="1244" w:type="dxa"/>
            <w:vMerge/>
          </w:tcPr>
          <w:p w:rsidR="00292029" w:rsidRPr="00292029" w:rsidRDefault="00292029" w:rsidP="0029202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14"/>
              </w:rPr>
            </w:pPr>
          </w:p>
        </w:tc>
        <w:tc>
          <w:tcPr>
            <w:tcW w:w="1244" w:type="dxa"/>
          </w:tcPr>
          <w:p w:rsidR="00292029" w:rsidRPr="00292029" w:rsidRDefault="00292029" w:rsidP="0029202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sym w:font="Wingdings" w:char="F0FC"/>
            </w:r>
          </w:p>
        </w:tc>
        <w:tc>
          <w:tcPr>
            <w:tcW w:w="1244" w:type="dxa"/>
            <w:vMerge/>
          </w:tcPr>
          <w:p w:rsidR="00292029" w:rsidRPr="00292029" w:rsidRDefault="00292029" w:rsidP="0029202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14"/>
              </w:rPr>
            </w:pPr>
          </w:p>
        </w:tc>
        <w:tc>
          <w:tcPr>
            <w:tcW w:w="1244" w:type="dxa"/>
            <w:vMerge/>
          </w:tcPr>
          <w:p w:rsidR="00292029" w:rsidRPr="00292029" w:rsidRDefault="00292029" w:rsidP="0029202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14"/>
              </w:rPr>
            </w:pPr>
          </w:p>
        </w:tc>
        <w:tc>
          <w:tcPr>
            <w:tcW w:w="1245" w:type="dxa"/>
            <w:vMerge/>
          </w:tcPr>
          <w:p w:rsidR="00292029" w:rsidRPr="00292029" w:rsidRDefault="00292029" w:rsidP="00292029">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4"/>
                <w:szCs w:val="14"/>
              </w:rPr>
            </w:pPr>
          </w:p>
        </w:tc>
      </w:tr>
      <w:tr w:rsidR="00292029" w:rsidRPr="00292029" w:rsidTr="006320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left w:val="none" w:sz="0" w:space="0" w:color="auto"/>
              <w:right w:val="none" w:sz="0" w:space="0" w:color="auto"/>
            </w:tcBorders>
            <w:shd w:val="clear" w:color="auto" w:fill="F2F2F2" w:themeFill="background1" w:themeFillShade="F2"/>
          </w:tcPr>
          <w:p w:rsidR="00292029" w:rsidRPr="00292029" w:rsidRDefault="00292029" w:rsidP="00292029">
            <w:pPr>
              <w:pStyle w:val="Tabletext"/>
              <w:rPr>
                <w:rFonts w:asciiTheme="minorHAnsi" w:hAnsiTheme="minorHAnsi" w:cstheme="minorHAnsi"/>
                <w:sz w:val="14"/>
                <w:szCs w:val="14"/>
              </w:rPr>
            </w:pPr>
            <w:r w:rsidRPr="00292029">
              <w:rPr>
                <w:rFonts w:asciiTheme="minorHAnsi" w:hAnsiTheme="minorHAnsi" w:cstheme="minorHAnsi"/>
                <w:sz w:val="14"/>
                <w:szCs w:val="14"/>
              </w:rPr>
              <w:t xml:space="preserve">Multiple Pricing </w:t>
            </w:r>
          </w:p>
        </w:tc>
        <w:tc>
          <w:tcPr>
            <w:tcW w:w="1104" w:type="dxa"/>
            <w:tcBorders>
              <w:left w:val="none" w:sz="0" w:space="0" w:color="auto"/>
              <w:right w:val="none" w:sz="0" w:space="0" w:color="auto"/>
            </w:tcBorders>
            <w:shd w:val="clear" w:color="auto" w:fill="F2F2F2" w:themeFill="background1" w:themeFillShade="F2"/>
          </w:tcPr>
          <w:p w:rsidR="00292029" w:rsidRPr="00292029" w:rsidRDefault="00292029"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t>$1 000</w:t>
            </w:r>
          </w:p>
        </w:tc>
        <w:tc>
          <w:tcPr>
            <w:tcW w:w="1244" w:type="dxa"/>
            <w:tcBorders>
              <w:left w:val="none" w:sz="0" w:space="0" w:color="auto"/>
              <w:right w:val="none" w:sz="0" w:space="0" w:color="auto"/>
            </w:tcBorders>
            <w:shd w:val="clear" w:color="auto" w:fill="F2F2F2" w:themeFill="background1" w:themeFillShade="F2"/>
          </w:tcPr>
          <w:p w:rsidR="00292029" w:rsidRPr="00292029" w:rsidRDefault="00292029"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t>$5 000</w:t>
            </w:r>
          </w:p>
        </w:tc>
        <w:tc>
          <w:tcPr>
            <w:tcW w:w="1244" w:type="dxa"/>
            <w:tcBorders>
              <w:left w:val="none" w:sz="0" w:space="0" w:color="auto"/>
              <w:right w:val="none" w:sz="0" w:space="0" w:color="auto"/>
            </w:tcBorders>
            <w:shd w:val="clear" w:color="auto" w:fill="F2F2F2" w:themeFill="background1" w:themeFillShade="F2"/>
          </w:tcPr>
          <w:p w:rsidR="00292029" w:rsidRPr="00292029" w:rsidRDefault="00292029"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sym w:font="Wingdings" w:char="F0FB"/>
            </w:r>
          </w:p>
        </w:tc>
        <w:tc>
          <w:tcPr>
            <w:tcW w:w="1244" w:type="dxa"/>
            <w:vMerge/>
            <w:tcBorders>
              <w:left w:val="none" w:sz="0" w:space="0" w:color="auto"/>
              <w:right w:val="none" w:sz="0" w:space="0" w:color="auto"/>
            </w:tcBorders>
            <w:shd w:val="clear" w:color="auto" w:fill="F2F2F2" w:themeFill="background1" w:themeFillShade="F2"/>
          </w:tcPr>
          <w:p w:rsidR="00292029" w:rsidRPr="00292029" w:rsidRDefault="00292029"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tc>
        <w:tc>
          <w:tcPr>
            <w:tcW w:w="1244" w:type="dxa"/>
            <w:vMerge/>
            <w:tcBorders>
              <w:left w:val="none" w:sz="0" w:space="0" w:color="auto"/>
              <w:right w:val="none" w:sz="0" w:space="0" w:color="auto"/>
            </w:tcBorders>
            <w:shd w:val="clear" w:color="auto" w:fill="F2F2F2" w:themeFill="background1" w:themeFillShade="F2"/>
          </w:tcPr>
          <w:p w:rsidR="00292029" w:rsidRPr="00292029" w:rsidRDefault="00292029"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tc>
        <w:tc>
          <w:tcPr>
            <w:tcW w:w="1244" w:type="dxa"/>
            <w:tcBorders>
              <w:left w:val="none" w:sz="0" w:space="0" w:color="auto"/>
              <w:right w:val="none" w:sz="0" w:space="0" w:color="auto"/>
            </w:tcBorders>
            <w:shd w:val="clear" w:color="auto" w:fill="F2F2F2" w:themeFill="background1" w:themeFillShade="F2"/>
          </w:tcPr>
          <w:p w:rsidR="00292029" w:rsidRPr="00292029" w:rsidRDefault="00292029"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r w:rsidRPr="00292029">
              <w:rPr>
                <w:rFonts w:asciiTheme="minorHAnsi" w:hAnsiTheme="minorHAnsi" w:cstheme="minorHAnsi"/>
                <w:sz w:val="14"/>
                <w:szCs w:val="14"/>
              </w:rPr>
              <w:sym w:font="Wingdings" w:char="F0FC"/>
            </w:r>
          </w:p>
        </w:tc>
        <w:tc>
          <w:tcPr>
            <w:tcW w:w="1244" w:type="dxa"/>
            <w:vMerge/>
            <w:tcBorders>
              <w:left w:val="none" w:sz="0" w:space="0" w:color="auto"/>
              <w:right w:val="none" w:sz="0" w:space="0" w:color="auto"/>
            </w:tcBorders>
          </w:tcPr>
          <w:p w:rsidR="00292029" w:rsidRPr="00292029" w:rsidRDefault="00292029"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tc>
        <w:tc>
          <w:tcPr>
            <w:tcW w:w="1244" w:type="dxa"/>
            <w:vMerge/>
            <w:tcBorders>
              <w:left w:val="none" w:sz="0" w:space="0" w:color="auto"/>
              <w:right w:val="none" w:sz="0" w:space="0" w:color="auto"/>
            </w:tcBorders>
          </w:tcPr>
          <w:p w:rsidR="00292029" w:rsidRPr="00292029" w:rsidRDefault="00292029"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tc>
        <w:tc>
          <w:tcPr>
            <w:tcW w:w="1245" w:type="dxa"/>
            <w:vMerge/>
            <w:tcBorders>
              <w:left w:val="none" w:sz="0" w:space="0" w:color="auto"/>
              <w:right w:val="none" w:sz="0" w:space="0" w:color="auto"/>
            </w:tcBorders>
          </w:tcPr>
          <w:p w:rsidR="00292029" w:rsidRPr="00292029" w:rsidRDefault="00292029" w:rsidP="0029202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4"/>
                <w:szCs w:val="14"/>
              </w:rPr>
            </w:pPr>
          </w:p>
        </w:tc>
      </w:tr>
    </w:tbl>
    <w:p w:rsidR="00292029" w:rsidRDefault="00292029" w:rsidP="00292029">
      <w:pPr>
        <w:spacing w:after="120" w:line="360" w:lineRule="auto"/>
        <w:sectPr w:rsidR="00292029" w:rsidSect="00292029">
          <w:pgSz w:w="16838" w:h="11906" w:orient="landscape"/>
          <w:pgMar w:top="1440" w:right="1276" w:bottom="1440" w:left="1440" w:header="708" w:footer="708" w:gutter="0"/>
          <w:cols w:space="708"/>
          <w:titlePg/>
          <w:docGrid w:linePitch="360"/>
        </w:sectPr>
      </w:pPr>
    </w:p>
    <w:p w:rsidR="00292029" w:rsidRPr="003F0AE7" w:rsidRDefault="00292029" w:rsidP="00292029">
      <w:pPr>
        <w:pStyle w:val="Heading2"/>
      </w:pPr>
      <w:r>
        <w:lastRenderedPageBreak/>
        <w:t xml:space="preserve">Consistent </w:t>
      </w:r>
      <w:r w:rsidR="00AF40DA">
        <w:t xml:space="preserve">Remedies </w:t>
      </w:r>
      <w:r>
        <w:t>within the CCA and ACL</w:t>
      </w:r>
    </w:p>
    <w:p w:rsidR="00292029" w:rsidRDefault="00292029" w:rsidP="00292029">
      <w:pPr>
        <w:pStyle w:val="Heading3"/>
      </w:pPr>
      <w:r>
        <w:t>Disqualification orders</w:t>
      </w:r>
    </w:p>
    <w:p w:rsidR="00292029" w:rsidRDefault="00292029" w:rsidP="00292029">
      <w:r w:rsidRPr="00115EEA">
        <w:t>Disqualification orders are available for breaches of the</w:t>
      </w:r>
      <w:r>
        <w:t xml:space="preserve"> CCA and</w:t>
      </w:r>
      <w:r w:rsidRPr="00115EEA">
        <w:t xml:space="preserve"> </w:t>
      </w:r>
      <w:r>
        <w:t>ACL</w:t>
      </w:r>
      <w:r w:rsidRPr="00115EEA">
        <w:t xml:space="preserve">. </w:t>
      </w:r>
      <w:r>
        <w:t xml:space="preserve">This allows the Court to impose a time period during which the person cannot be involved in the management of a company. To impose a disqualification order the Court must be satisfied that a person has breached the CCA </w:t>
      </w:r>
      <w:r w:rsidR="00843FE1">
        <w:t xml:space="preserve">(or ACL) </w:t>
      </w:r>
      <w:bookmarkStart w:id="2" w:name="_GoBack"/>
      <w:bookmarkEnd w:id="2"/>
      <w:r>
        <w:t xml:space="preserve">and that the order is justified in all the circumstances. </w:t>
      </w:r>
    </w:p>
    <w:p w:rsidR="00292029" w:rsidRPr="00292029" w:rsidRDefault="00292029" w:rsidP="00292029">
      <w:pPr>
        <w:pStyle w:val="Heading3"/>
      </w:pPr>
      <w:r w:rsidRPr="00292029">
        <w:t>Other Court orders</w:t>
      </w:r>
    </w:p>
    <w:p w:rsidR="00292029" w:rsidRDefault="00292029" w:rsidP="00292029">
      <w:r>
        <w:t>The Court can impose any other orders that it considers necessary to resolve the matter or address the harm. These include injunctions, remedial orders or the obligation to undertake compliance training and other orders that are appropriate.</w:t>
      </w:r>
    </w:p>
    <w:p w:rsidR="00292029" w:rsidRPr="00292029" w:rsidRDefault="00292029" w:rsidP="00292029">
      <w:pPr>
        <w:pStyle w:val="Heading3"/>
      </w:pPr>
      <w:r w:rsidRPr="00292029">
        <w:t>Rights of private action</w:t>
      </w:r>
    </w:p>
    <w:p w:rsidR="00292029" w:rsidRDefault="00292029" w:rsidP="00292029">
      <w:r>
        <w:t>The CCA and ACL provide for a right of private action for corporations and individuals that have suffered loss or damage as a result of a civil breach of the competition or consumer protection provisions can seek injunctions, damages and remedial orders in their own right.</w:t>
      </w:r>
    </w:p>
    <w:p w:rsidR="00292029" w:rsidRPr="00292029" w:rsidRDefault="00292029" w:rsidP="00292029">
      <w:pPr>
        <w:pStyle w:val="Heading3"/>
      </w:pPr>
      <w:r w:rsidRPr="00292029">
        <w:t xml:space="preserve">Follow on actions </w:t>
      </w:r>
    </w:p>
    <w:p w:rsidR="00292029" w:rsidRDefault="00292029" w:rsidP="00292029">
      <w:r>
        <w:t xml:space="preserve">Where the ACCC has established a breach of the CCA or ACL in a contested proceeding, the findings of fact by the Court can be used as </w:t>
      </w:r>
      <w:r>
        <w:rPr>
          <w:i/>
        </w:rPr>
        <w:t>prima facie</w:t>
      </w:r>
      <w:r>
        <w:t xml:space="preserve"> evidence of that fact in any ‘follow-on’ private proceedings.</w:t>
      </w:r>
    </w:p>
    <w:p w:rsidR="00292029" w:rsidRPr="00292029" w:rsidRDefault="00292029" w:rsidP="00292029">
      <w:pPr>
        <w:pStyle w:val="Heading3"/>
      </w:pPr>
      <w:r w:rsidRPr="00292029">
        <w:t>Representative actions</w:t>
      </w:r>
    </w:p>
    <w:p w:rsidR="00292029" w:rsidRPr="00292029" w:rsidRDefault="00292029" w:rsidP="00292029">
      <w:r>
        <w:t>The ACCC can make an application on behalf of one or more identified people seeking to obtain damages for a breach of most of the competition and consumer protection provisions.</w:t>
      </w:r>
      <w:r w:rsidRPr="004A55BA">
        <w:t xml:space="preserve"> </w:t>
      </w:r>
      <w:r>
        <w:t xml:space="preserve">The ACCC can also seek a redress order for non-party consumers for certain breaches of the ACL, including misleading or deceptive conduct, unfair practices (such as false misrepresentations) and failure to honour the statutory consumer guarantees. </w:t>
      </w:r>
    </w:p>
    <w:p w:rsidR="00303C4A" w:rsidRPr="00600D71" w:rsidRDefault="00303C4A">
      <w:pPr>
        <w:rPr>
          <w:lang w:val="en"/>
        </w:rPr>
      </w:pPr>
    </w:p>
    <w:sectPr w:rsidR="00303C4A" w:rsidRPr="00600D71" w:rsidSect="00292029">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DBC" w:rsidRDefault="00223DBC" w:rsidP="004B4412">
      <w:pPr>
        <w:spacing w:before="0"/>
      </w:pPr>
      <w:r>
        <w:separator/>
      </w:r>
    </w:p>
  </w:endnote>
  <w:endnote w:type="continuationSeparator" w:id="0">
    <w:p w:rsidR="00223DBC" w:rsidRDefault="00223DBC"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029" w:rsidRDefault="002920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020290"/>
      <w:docPartObj>
        <w:docPartGallery w:val="Page Numbers (Bottom of Page)"/>
        <w:docPartUnique/>
      </w:docPartObj>
    </w:sdtPr>
    <w:sdtEndPr>
      <w:rPr>
        <w:noProof/>
      </w:rPr>
    </w:sdtEndPr>
    <w:sdtContent>
      <w:p w:rsidR="00292029" w:rsidRDefault="00292029">
        <w:pPr>
          <w:pStyle w:val="Footer"/>
          <w:jc w:val="right"/>
        </w:pPr>
        <w:r>
          <w:fldChar w:fldCharType="begin"/>
        </w:r>
        <w:r>
          <w:instrText xml:space="preserve"> PAGE   \* MERGEFORMAT </w:instrText>
        </w:r>
        <w:r>
          <w:fldChar w:fldCharType="separate"/>
        </w:r>
        <w:r w:rsidR="00AF40DA">
          <w:rPr>
            <w:noProof/>
          </w:rPr>
          <w:t>16</w:t>
        </w:r>
        <w:r>
          <w:rPr>
            <w:noProof/>
          </w:rPr>
          <w:fldChar w:fldCharType="end"/>
        </w:r>
      </w:p>
    </w:sdtContent>
  </w:sdt>
  <w:p w:rsidR="00292029" w:rsidRDefault="002920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737597"/>
      <w:docPartObj>
        <w:docPartGallery w:val="Page Numbers (Bottom of Page)"/>
        <w:docPartUnique/>
      </w:docPartObj>
    </w:sdtPr>
    <w:sdtEndPr>
      <w:rPr>
        <w:noProof/>
      </w:rPr>
    </w:sdtEndPr>
    <w:sdtContent>
      <w:p w:rsidR="00292029" w:rsidRDefault="00292029">
        <w:pPr>
          <w:pStyle w:val="Footer"/>
          <w:jc w:val="right"/>
        </w:pPr>
        <w:r>
          <w:fldChar w:fldCharType="begin"/>
        </w:r>
        <w:r>
          <w:instrText xml:space="preserve"> PAGE   \* MERGEFORMAT </w:instrText>
        </w:r>
        <w:r>
          <w:fldChar w:fldCharType="separate"/>
        </w:r>
        <w:r w:rsidR="00843FE1">
          <w:rPr>
            <w:noProof/>
          </w:rPr>
          <w:t>17</w:t>
        </w:r>
        <w:r>
          <w:rPr>
            <w:noProof/>
          </w:rPr>
          <w:fldChar w:fldCharType="end"/>
        </w:r>
      </w:p>
    </w:sdtContent>
  </w:sdt>
  <w:p w:rsidR="00223DBC" w:rsidRDefault="00223D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DBC" w:rsidRDefault="00223DBC" w:rsidP="004B4412">
      <w:pPr>
        <w:spacing w:before="0"/>
      </w:pPr>
      <w:r>
        <w:separator/>
      </w:r>
    </w:p>
  </w:footnote>
  <w:footnote w:type="continuationSeparator" w:id="0">
    <w:p w:rsidR="00223DBC" w:rsidRDefault="00223DBC" w:rsidP="004B4412">
      <w:pPr>
        <w:spacing w:before="0"/>
      </w:pPr>
      <w:r>
        <w:continuationSeparator/>
      </w:r>
    </w:p>
  </w:footnote>
  <w:footnote w:id="1">
    <w:p w:rsidR="00223DBC" w:rsidRPr="00D73CF3" w:rsidRDefault="00223DBC" w:rsidP="006843E1">
      <w:pPr>
        <w:pStyle w:val="FootnoteText"/>
        <w:rPr>
          <w:rFonts w:cs="Arial"/>
          <w:szCs w:val="16"/>
        </w:rPr>
      </w:pPr>
      <w:r w:rsidRPr="00D73CF3">
        <w:rPr>
          <w:rStyle w:val="FootnoteReference"/>
          <w:rFonts w:cs="Arial"/>
          <w:szCs w:val="16"/>
        </w:rPr>
        <w:footnoteRef/>
      </w:r>
      <w:r w:rsidRPr="00D73CF3">
        <w:rPr>
          <w:rFonts w:cs="Arial"/>
          <w:szCs w:val="16"/>
        </w:rPr>
        <w:t xml:space="preserve"> </w:t>
      </w:r>
      <w:proofErr w:type="gramStart"/>
      <w:r w:rsidRPr="00A119B5">
        <w:rPr>
          <w:rFonts w:cs="Arial"/>
          <w:i/>
          <w:szCs w:val="16"/>
        </w:rPr>
        <w:t>Competition and Consumer Act 2010</w:t>
      </w:r>
      <w:r>
        <w:rPr>
          <w:rFonts w:cs="Arial"/>
          <w:szCs w:val="16"/>
        </w:rPr>
        <w:t xml:space="preserve"> (</w:t>
      </w:r>
      <w:proofErr w:type="spellStart"/>
      <w:r>
        <w:rPr>
          <w:rFonts w:cs="Arial"/>
          <w:szCs w:val="16"/>
        </w:rPr>
        <w:t>Cth</w:t>
      </w:r>
      <w:proofErr w:type="spellEnd"/>
      <w:r>
        <w:rPr>
          <w:rFonts w:cs="Arial"/>
          <w:szCs w:val="16"/>
        </w:rPr>
        <w:t>)</w:t>
      </w:r>
      <w:r w:rsidRPr="00D73CF3">
        <w:rPr>
          <w:rFonts w:cs="Arial"/>
          <w:szCs w:val="16"/>
        </w:rPr>
        <w:t xml:space="preserve"> s 87B</w:t>
      </w:r>
      <w:r>
        <w:rPr>
          <w:rFonts w:cs="Arial"/>
          <w:szCs w:val="16"/>
        </w:rPr>
        <w:t xml:space="preserve"> (CCA)</w:t>
      </w:r>
      <w:r w:rsidRPr="00D73CF3">
        <w:rPr>
          <w:rFonts w:cs="Arial"/>
          <w:szCs w:val="16"/>
        </w:rPr>
        <w:t>.</w:t>
      </w:r>
      <w:proofErr w:type="gramEnd"/>
      <w:r w:rsidRPr="00D73CF3">
        <w:rPr>
          <w:rFonts w:cs="Arial"/>
          <w:szCs w:val="16"/>
        </w:rPr>
        <w:t xml:space="preserve"> </w:t>
      </w:r>
    </w:p>
  </w:footnote>
  <w:footnote w:id="2">
    <w:p w:rsidR="00223DBC" w:rsidRPr="00D73CF3" w:rsidRDefault="00223DBC" w:rsidP="006843E1">
      <w:pPr>
        <w:pStyle w:val="FootnoteText"/>
        <w:rPr>
          <w:rFonts w:cs="Arial"/>
          <w:szCs w:val="16"/>
        </w:rPr>
      </w:pPr>
      <w:r w:rsidRPr="00D73CF3">
        <w:rPr>
          <w:rStyle w:val="FootnoteReference"/>
          <w:rFonts w:cs="Arial"/>
          <w:szCs w:val="16"/>
        </w:rPr>
        <w:footnoteRef/>
      </w:r>
      <w:r w:rsidRPr="00D73CF3">
        <w:rPr>
          <w:rFonts w:cs="Arial"/>
          <w:szCs w:val="16"/>
        </w:rPr>
        <w:t xml:space="preserve"> </w:t>
      </w:r>
      <w:r>
        <w:rPr>
          <w:rFonts w:cs="Arial"/>
          <w:szCs w:val="16"/>
        </w:rPr>
        <w:t>Ibid</w:t>
      </w:r>
      <w:r w:rsidRPr="00D73CF3">
        <w:rPr>
          <w:rFonts w:cs="Arial"/>
          <w:szCs w:val="16"/>
        </w:rPr>
        <w:t xml:space="preserve"> s </w:t>
      </w:r>
      <w:proofErr w:type="gramStart"/>
      <w:r w:rsidRPr="00D73CF3">
        <w:rPr>
          <w:rFonts w:cs="Arial"/>
          <w:szCs w:val="16"/>
        </w:rPr>
        <w:t>87B(</w:t>
      </w:r>
      <w:proofErr w:type="gramEnd"/>
      <w:r w:rsidRPr="00D73CF3">
        <w:rPr>
          <w:rFonts w:cs="Arial"/>
          <w:szCs w:val="16"/>
        </w:rPr>
        <w:t xml:space="preserve">4). </w:t>
      </w:r>
    </w:p>
  </w:footnote>
  <w:footnote w:id="3">
    <w:p w:rsidR="00223DBC" w:rsidRPr="00D73CF3" w:rsidRDefault="00223DBC" w:rsidP="006843E1">
      <w:pPr>
        <w:pStyle w:val="FootnoteText"/>
        <w:rPr>
          <w:rFonts w:cs="Arial"/>
          <w:szCs w:val="16"/>
        </w:rPr>
      </w:pPr>
      <w:r w:rsidRPr="00D73CF3">
        <w:rPr>
          <w:rStyle w:val="FootnoteReference"/>
          <w:rFonts w:cs="Arial"/>
          <w:szCs w:val="16"/>
        </w:rPr>
        <w:footnoteRef/>
      </w:r>
      <w:r w:rsidRPr="00D73CF3">
        <w:rPr>
          <w:rFonts w:cs="Arial"/>
          <w:szCs w:val="16"/>
        </w:rPr>
        <w:t xml:space="preserve"> </w:t>
      </w:r>
      <w:proofErr w:type="gramStart"/>
      <w:r>
        <w:rPr>
          <w:rFonts w:cs="Arial"/>
          <w:szCs w:val="16"/>
        </w:rPr>
        <w:t>Ibid</w:t>
      </w:r>
      <w:r w:rsidRPr="00D73CF3">
        <w:rPr>
          <w:rFonts w:cs="Arial"/>
          <w:szCs w:val="16"/>
        </w:rPr>
        <w:t xml:space="preserve"> s 134A and 134C.</w:t>
      </w:r>
      <w:proofErr w:type="gramEnd"/>
      <w:r w:rsidRPr="00D73CF3">
        <w:rPr>
          <w:rFonts w:cs="Arial"/>
          <w:szCs w:val="16"/>
        </w:rPr>
        <w:t xml:space="preserve"> </w:t>
      </w:r>
    </w:p>
  </w:footnote>
  <w:footnote w:id="4">
    <w:p w:rsidR="00223DBC" w:rsidRPr="00FC18E9" w:rsidRDefault="00223DBC" w:rsidP="006843E1">
      <w:pPr>
        <w:pStyle w:val="FootnoteText"/>
        <w:rPr>
          <w:rFonts w:cs="Arial"/>
          <w:szCs w:val="16"/>
        </w:rPr>
      </w:pPr>
      <w:r w:rsidRPr="00D73CF3">
        <w:rPr>
          <w:rStyle w:val="FootnoteReference"/>
          <w:rFonts w:cs="Arial"/>
          <w:szCs w:val="16"/>
        </w:rPr>
        <w:footnoteRef/>
      </w:r>
      <w:r w:rsidRPr="00D73CF3">
        <w:rPr>
          <w:rFonts w:cs="Arial"/>
          <w:szCs w:val="16"/>
        </w:rPr>
        <w:t xml:space="preserve"> </w:t>
      </w:r>
      <w:r>
        <w:rPr>
          <w:rFonts w:cs="Arial"/>
          <w:szCs w:val="16"/>
        </w:rPr>
        <w:t xml:space="preserve">ACCC, </w:t>
      </w:r>
      <w:r>
        <w:rPr>
          <w:rFonts w:cs="Arial"/>
          <w:i/>
          <w:szCs w:val="16"/>
        </w:rPr>
        <w:t>2016 ACCC Compliance and Enforcement Policy</w:t>
      </w:r>
      <w:r>
        <w:rPr>
          <w:rFonts w:cs="Arial"/>
          <w:szCs w:val="16"/>
        </w:rPr>
        <w:t xml:space="preserve"> 2016</w:t>
      </w:r>
      <w:proofErr w:type="gramStart"/>
      <w:r>
        <w:rPr>
          <w:rFonts w:cs="Arial"/>
          <w:szCs w:val="16"/>
        </w:rPr>
        <w:t>,viewed</w:t>
      </w:r>
      <w:proofErr w:type="gramEnd"/>
      <w:r>
        <w:rPr>
          <w:rFonts w:cs="Arial"/>
          <w:szCs w:val="16"/>
        </w:rPr>
        <w:t xml:space="preserve"> 2 March 2016, </w:t>
      </w:r>
      <w:r w:rsidRPr="00D73CF3">
        <w:rPr>
          <w:rFonts w:cs="Arial"/>
          <w:szCs w:val="16"/>
        </w:rPr>
        <w:t>http://www.accc.gov.au/about-us/australian-competition-consumer-commission/compliance-enforcement-policy.</w:t>
      </w:r>
      <w:r>
        <w:rPr>
          <w:rFonts w:cs="Arial"/>
          <w:szCs w:val="16"/>
        </w:rPr>
        <w:t xml:space="preserve"> </w:t>
      </w:r>
    </w:p>
  </w:footnote>
  <w:footnote w:id="5">
    <w:p w:rsidR="00223DBC" w:rsidRPr="00433334" w:rsidRDefault="00223DBC" w:rsidP="006843E1">
      <w:pPr>
        <w:pStyle w:val="FootnoteText"/>
        <w:rPr>
          <w:rFonts w:cs="Arial"/>
          <w:szCs w:val="16"/>
        </w:rPr>
      </w:pPr>
      <w:r w:rsidRPr="00433334">
        <w:rPr>
          <w:rStyle w:val="FootnoteReference"/>
          <w:rFonts w:cs="Arial"/>
          <w:szCs w:val="16"/>
        </w:rPr>
        <w:footnoteRef/>
      </w:r>
      <w:r>
        <w:rPr>
          <w:rFonts w:cs="Arial"/>
          <w:szCs w:val="16"/>
        </w:rPr>
        <w:t xml:space="preserve"> CCA s 76; </w:t>
      </w:r>
      <w:r>
        <w:rPr>
          <w:rFonts w:cs="Arial"/>
          <w:i/>
          <w:szCs w:val="16"/>
        </w:rPr>
        <w:t xml:space="preserve">Competition and Consumer Act 2010 </w:t>
      </w:r>
      <w:r>
        <w:rPr>
          <w:rFonts w:cs="Arial"/>
          <w:szCs w:val="16"/>
        </w:rPr>
        <w:t>(</w:t>
      </w:r>
      <w:proofErr w:type="spellStart"/>
      <w:r>
        <w:rPr>
          <w:rFonts w:cs="Arial"/>
          <w:szCs w:val="16"/>
        </w:rPr>
        <w:t>Cth</w:t>
      </w:r>
      <w:proofErr w:type="spellEnd"/>
      <w:r>
        <w:rPr>
          <w:rFonts w:cs="Arial"/>
          <w:szCs w:val="16"/>
        </w:rPr>
        <w:t xml:space="preserve">) Schedule 2 (ACL) s 224. </w:t>
      </w:r>
    </w:p>
  </w:footnote>
  <w:footnote w:id="6">
    <w:p w:rsidR="00223DBC" w:rsidRPr="00E12332" w:rsidRDefault="00223DBC" w:rsidP="006843E1">
      <w:pPr>
        <w:pStyle w:val="FootnoteText"/>
        <w:rPr>
          <w:rFonts w:cs="Arial"/>
          <w:szCs w:val="16"/>
        </w:rPr>
      </w:pPr>
      <w:r w:rsidRPr="00E12332">
        <w:rPr>
          <w:rStyle w:val="FootnoteReference"/>
          <w:rFonts w:cs="Arial"/>
          <w:szCs w:val="16"/>
        </w:rPr>
        <w:footnoteRef/>
      </w:r>
      <w:r w:rsidRPr="00E12332">
        <w:rPr>
          <w:rFonts w:cs="Arial"/>
          <w:szCs w:val="16"/>
        </w:rPr>
        <w:t xml:space="preserve"> </w:t>
      </w:r>
      <w:proofErr w:type="spellStart"/>
      <w:proofErr w:type="gramStart"/>
      <w:r w:rsidRPr="00E12332">
        <w:rPr>
          <w:rFonts w:cs="Arial"/>
          <w:i/>
          <w:szCs w:val="16"/>
        </w:rPr>
        <w:t>Briginshaw</w:t>
      </w:r>
      <w:proofErr w:type="spellEnd"/>
      <w:r w:rsidRPr="00E12332">
        <w:rPr>
          <w:rFonts w:cs="Arial"/>
          <w:i/>
          <w:szCs w:val="16"/>
        </w:rPr>
        <w:t xml:space="preserve"> v </w:t>
      </w:r>
      <w:proofErr w:type="spellStart"/>
      <w:r w:rsidRPr="00E12332">
        <w:rPr>
          <w:rFonts w:cs="Arial"/>
          <w:i/>
          <w:szCs w:val="16"/>
        </w:rPr>
        <w:t>Briginshaw</w:t>
      </w:r>
      <w:proofErr w:type="spellEnd"/>
      <w:r w:rsidRPr="00E12332">
        <w:rPr>
          <w:rFonts w:cs="Arial"/>
          <w:i/>
          <w:szCs w:val="16"/>
        </w:rPr>
        <w:t xml:space="preserve"> </w:t>
      </w:r>
      <w:r w:rsidRPr="00E12332">
        <w:rPr>
          <w:rFonts w:cs="Arial"/>
          <w:szCs w:val="16"/>
        </w:rPr>
        <w:t>(1938) 60 CLR 336 at 361-362.</w:t>
      </w:r>
      <w:proofErr w:type="gramEnd"/>
      <w:r w:rsidRPr="00E12332">
        <w:rPr>
          <w:rFonts w:cs="Arial"/>
          <w:szCs w:val="16"/>
        </w:rPr>
        <w:t xml:space="preserve"> </w:t>
      </w:r>
    </w:p>
  </w:footnote>
  <w:footnote w:id="7">
    <w:p w:rsidR="00223DBC" w:rsidRPr="00D73CF3" w:rsidRDefault="00223DBC" w:rsidP="006843E1">
      <w:pPr>
        <w:pStyle w:val="FootnoteText"/>
        <w:rPr>
          <w:rFonts w:cs="Arial"/>
          <w:szCs w:val="16"/>
        </w:rPr>
      </w:pPr>
      <w:r w:rsidRPr="00D73CF3">
        <w:rPr>
          <w:rStyle w:val="FootnoteReference"/>
          <w:rFonts w:cs="Arial"/>
          <w:szCs w:val="16"/>
        </w:rPr>
        <w:footnoteRef/>
      </w:r>
      <w:r w:rsidRPr="00D73CF3">
        <w:rPr>
          <w:rFonts w:cs="Arial"/>
          <w:szCs w:val="16"/>
        </w:rPr>
        <w:t xml:space="preserve"> </w:t>
      </w:r>
      <w:r w:rsidRPr="00D73CF3">
        <w:rPr>
          <w:rFonts w:cs="Arial"/>
          <w:i/>
          <w:szCs w:val="16"/>
        </w:rPr>
        <w:t xml:space="preserve">Safe Breast Imaging Pty Ltd </w:t>
      </w:r>
      <w:r w:rsidRPr="00D73CF3">
        <w:rPr>
          <w:rFonts w:cs="Arial"/>
          <w:szCs w:val="16"/>
        </w:rPr>
        <w:t xml:space="preserve">[2014] FCA 238. </w:t>
      </w:r>
    </w:p>
  </w:footnote>
  <w:footnote w:id="8">
    <w:p w:rsidR="00223DBC" w:rsidRPr="00D73CF3" w:rsidRDefault="00223DBC" w:rsidP="006843E1">
      <w:pPr>
        <w:pStyle w:val="FootnoteText"/>
        <w:rPr>
          <w:rFonts w:cs="Arial"/>
          <w:szCs w:val="16"/>
        </w:rPr>
      </w:pPr>
      <w:r w:rsidRPr="00D73CF3">
        <w:rPr>
          <w:rStyle w:val="FootnoteReference"/>
          <w:rFonts w:cs="Arial"/>
          <w:szCs w:val="16"/>
        </w:rPr>
        <w:footnoteRef/>
      </w:r>
      <w:r w:rsidRPr="00D73CF3">
        <w:rPr>
          <w:rFonts w:cs="Arial"/>
          <w:szCs w:val="16"/>
        </w:rPr>
        <w:t xml:space="preserve"> </w:t>
      </w:r>
      <w:proofErr w:type="gramStart"/>
      <w:r w:rsidRPr="00D73CF3">
        <w:rPr>
          <w:rFonts w:cs="Arial"/>
          <w:i/>
          <w:szCs w:val="16"/>
        </w:rPr>
        <w:t>ACCC v</w:t>
      </w:r>
      <w:r w:rsidRPr="00D73CF3">
        <w:rPr>
          <w:rFonts w:cs="Arial"/>
          <w:szCs w:val="16"/>
        </w:rPr>
        <w:t xml:space="preserve"> </w:t>
      </w:r>
      <w:proofErr w:type="spellStart"/>
      <w:r w:rsidRPr="00D73CF3">
        <w:rPr>
          <w:rFonts w:cs="Arial"/>
          <w:i/>
          <w:szCs w:val="16"/>
        </w:rPr>
        <w:t>Halkalia</w:t>
      </w:r>
      <w:proofErr w:type="spellEnd"/>
      <w:r w:rsidRPr="00D73CF3">
        <w:rPr>
          <w:rFonts w:cs="Arial"/>
          <w:i/>
          <w:szCs w:val="16"/>
        </w:rPr>
        <w:t xml:space="preserve"> Pty Ltd (No 2) </w:t>
      </w:r>
      <w:r w:rsidRPr="00D73CF3">
        <w:rPr>
          <w:rFonts w:cs="Arial"/>
          <w:szCs w:val="16"/>
        </w:rPr>
        <w:t>[2012] FCA 535.</w:t>
      </w:r>
      <w:proofErr w:type="gramEnd"/>
      <w:r w:rsidRPr="00D73CF3">
        <w:rPr>
          <w:rFonts w:cs="Arial"/>
          <w:szCs w:val="16"/>
        </w:rPr>
        <w:t xml:space="preserve"> </w:t>
      </w:r>
    </w:p>
  </w:footnote>
  <w:footnote w:id="9">
    <w:p w:rsidR="00223DBC" w:rsidRPr="00D73CF3" w:rsidRDefault="00223DBC" w:rsidP="006843E1">
      <w:pPr>
        <w:pStyle w:val="FootnoteText"/>
        <w:rPr>
          <w:rFonts w:cs="Arial"/>
          <w:szCs w:val="16"/>
        </w:rPr>
      </w:pPr>
      <w:r w:rsidRPr="00D73CF3">
        <w:rPr>
          <w:rStyle w:val="FootnoteReference"/>
          <w:rFonts w:cs="Arial"/>
          <w:szCs w:val="16"/>
        </w:rPr>
        <w:footnoteRef/>
      </w:r>
      <w:r w:rsidRPr="00D73CF3">
        <w:rPr>
          <w:rFonts w:cs="Arial"/>
          <w:szCs w:val="16"/>
        </w:rPr>
        <w:t xml:space="preserve"> </w:t>
      </w:r>
      <w:r w:rsidRPr="00D73CF3">
        <w:rPr>
          <w:rFonts w:cs="Arial"/>
          <w:i/>
          <w:szCs w:val="16"/>
        </w:rPr>
        <w:t xml:space="preserve">Safe Breast Imaging Pty Ltd </w:t>
      </w:r>
      <w:r w:rsidRPr="00D73CF3">
        <w:rPr>
          <w:rFonts w:cs="Arial"/>
          <w:szCs w:val="16"/>
        </w:rPr>
        <w:t xml:space="preserve">[2014] FCA 238. </w:t>
      </w:r>
    </w:p>
  </w:footnote>
  <w:footnote w:id="10">
    <w:p w:rsidR="00223DBC" w:rsidRDefault="00223DBC" w:rsidP="006843E1">
      <w:pPr>
        <w:pStyle w:val="FootnoteText"/>
      </w:pPr>
      <w:r w:rsidRPr="00D73CF3">
        <w:rPr>
          <w:rStyle w:val="FootnoteReference"/>
          <w:rFonts w:cs="Arial"/>
          <w:szCs w:val="16"/>
        </w:rPr>
        <w:footnoteRef/>
      </w:r>
      <w:r w:rsidRPr="00D73CF3">
        <w:rPr>
          <w:rFonts w:cs="Arial"/>
          <w:szCs w:val="16"/>
        </w:rPr>
        <w:t xml:space="preserve"> </w:t>
      </w:r>
      <w:proofErr w:type="gramStart"/>
      <w:r w:rsidRPr="00D73CF3">
        <w:rPr>
          <w:rFonts w:cs="Arial"/>
          <w:szCs w:val="16"/>
        </w:rPr>
        <w:t>CCA s 76.</w:t>
      </w:r>
      <w:proofErr w:type="gramEnd"/>
      <w:r w:rsidRPr="00D73CF3">
        <w:rPr>
          <w:rFonts w:cs="Arial"/>
          <w:szCs w:val="16"/>
        </w:rPr>
        <w:t xml:space="preserve"> This framework was introduced in January 2007.</w:t>
      </w:r>
      <w:r>
        <w:t xml:space="preserve"> </w:t>
      </w:r>
    </w:p>
  </w:footnote>
  <w:footnote w:id="11">
    <w:p w:rsidR="00223DBC" w:rsidRPr="00D73CF3" w:rsidRDefault="00223DBC" w:rsidP="006843E1">
      <w:pPr>
        <w:pStyle w:val="FootnoteText"/>
        <w:rPr>
          <w:rFonts w:cs="Arial"/>
          <w:szCs w:val="16"/>
        </w:rPr>
      </w:pPr>
      <w:r w:rsidRPr="00D73CF3">
        <w:rPr>
          <w:rStyle w:val="FootnoteReference"/>
          <w:rFonts w:cs="Arial"/>
          <w:szCs w:val="16"/>
        </w:rPr>
        <w:footnoteRef/>
      </w:r>
      <w:r w:rsidRPr="00D73CF3">
        <w:rPr>
          <w:rFonts w:cs="Arial"/>
          <w:szCs w:val="16"/>
        </w:rPr>
        <w:t xml:space="preserve"> These provisions were considered by Justice Logan in </w:t>
      </w:r>
      <w:r w:rsidRPr="00D73CF3">
        <w:rPr>
          <w:rFonts w:cs="Arial"/>
          <w:i/>
          <w:szCs w:val="16"/>
        </w:rPr>
        <w:t xml:space="preserve">ACCC v Flight Centre Limited (No 3) </w:t>
      </w:r>
      <w:r>
        <w:rPr>
          <w:rFonts w:cs="Arial"/>
          <w:szCs w:val="16"/>
        </w:rPr>
        <w:t xml:space="preserve">[2014] FCA 292. </w:t>
      </w:r>
    </w:p>
  </w:footnote>
  <w:footnote w:id="12">
    <w:p w:rsidR="00223DBC" w:rsidRPr="00DC4FD0" w:rsidRDefault="00223DBC" w:rsidP="006843E1">
      <w:pPr>
        <w:pStyle w:val="FootnoteText"/>
        <w:rPr>
          <w:rFonts w:cs="Arial"/>
          <w:szCs w:val="16"/>
        </w:rPr>
      </w:pPr>
      <w:r w:rsidRPr="00DC4FD0">
        <w:rPr>
          <w:rStyle w:val="FootnoteReference"/>
          <w:rFonts w:cs="Arial"/>
          <w:szCs w:val="16"/>
        </w:rPr>
        <w:footnoteRef/>
      </w:r>
      <w:r w:rsidRPr="00DC4FD0">
        <w:rPr>
          <w:rFonts w:cs="Arial"/>
          <w:szCs w:val="16"/>
        </w:rPr>
        <w:t xml:space="preserve"> This table depicts penalties awarded against one company, although in some cases many companies may have been found liable in relation to the same conduct. </w:t>
      </w:r>
    </w:p>
  </w:footnote>
  <w:footnote w:id="13">
    <w:p w:rsidR="00223DBC" w:rsidRPr="00DC4FD0" w:rsidRDefault="00223DBC" w:rsidP="006843E1">
      <w:pPr>
        <w:pStyle w:val="FootnoteText"/>
        <w:rPr>
          <w:rFonts w:cs="Arial"/>
          <w:szCs w:val="16"/>
        </w:rPr>
      </w:pPr>
      <w:r w:rsidRPr="00DC4FD0">
        <w:rPr>
          <w:rStyle w:val="FootnoteReference"/>
          <w:rFonts w:cs="Arial"/>
          <w:szCs w:val="16"/>
        </w:rPr>
        <w:footnoteRef/>
      </w:r>
      <w:r w:rsidRPr="00DC4FD0">
        <w:rPr>
          <w:rFonts w:cs="Arial"/>
          <w:szCs w:val="16"/>
        </w:rPr>
        <w:t xml:space="preserve"> </w:t>
      </w:r>
      <w:proofErr w:type="gramStart"/>
      <w:r w:rsidRPr="00DC4FD0">
        <w:rPr>
          <w:rFonts w:cs="Arial"/>
          <w:szCs w:val="16"/>
        </w:rPr>
        <w:t xml:space="preserve">ACCC, </w:t>
      </w:r>
      <w:r w:rsidRPr="00DC4FD0">
        <w:rPr>
          <w:rFonts w:cs="Arial"/>
          <w:i/>
          <w:szCs w:val="16"/>
        </w:rPr>
        <w:t>$3 million penalty for bearings cartel case</w:t>
      </w:r>
      <w:r w:rsidRPr="00DC4FD0">
        <w:rPr>
          <w:rFonts w:cs="Arial"/>
          <w:szCs w:val="16"/>
        </w:rPr>
        <w:t>, media release, 13 May 2014 &lt;</w:t>
      </w:r>
      <w:hyperlink r:id="rId1" w:history="1">
        <w:r w:rsidRPr="00DC4FD0">
          <w:rPr>
            <w:rStyle w:val="Hyperlink"/>
            <w:rFonts w:cs="Arial"/>
            <w:color w:val="auto"/>
            <w:sz w:val="16"/>
            <w:szCs w:val="16"/>
          </w:rPr>
          <w:t>http://www.accc.gov.au/media-release/3-million-penalty-for-bearings-cartel-conduct</w:t>
        </w:r>
      </w:hyperlink>
      <w:r w:rsidRPr="00DC4FD0">
        <w:rPr>
          <w:rStyle w:val="Hyperlink"/>
          <w:rFonts w:cs="Arial"/>
          <w:color w:val="auto"/>
          <w:sz w:val="16"/>
          <w:szCs w:val="16"/>
        </w:rPr>
        <w:t>&gt;</w:t>
      </w:r>
      <w:r w:rsidRPr="00DC4FD0">
        <w:rPr>
          <w:rFonts w:cs="Arial"/>
          <w:szCs w:val="16"/>
        </w:rPr>
        <w:t>.</w:t>
      </w:r>
      <w:proofErr w:type="gramEnd"/>
      <w:r w:rsidRPr="00DC4FD0">
        <w:rPr>
          <w:rFonts w:cs="Arial"/>
          <w:szCs w:val="16"/>
        </w:rPr>
        <w:t xml:space="preserve"> </w:t>
      </w:r>
    </w:p>
  </w:footnote>
  <w:footnote w:id="14">
    <w:p w:rsidR="00223DBC" w:rsidRPr="00DC4FD0" w:rsidRDefault="00223DBC" w:rsidP="006843E1">
      <w:pPr>
        <w:pStyle w:val="FootnoteText"/>
        <w:rPr>
          <w:rFonts w:cs="Arial"/>
          <w:szCs w:val="16"/>
        </w:rPr>
      </w:pPr>
      <w:r w:rsidRPr="00DC4FD0">
        <w:rPr>
          <w:rStyle w:val="FootnoteReference"/>
          <w:rFonts w:cs="Arial"/>
          <w:szCs w:val="16"/>
        </w:rPr>
        <w:footnoteRef/>
      </w:r>
      <w:r w:rsidRPr="00DC4FD0">
        <w:rPr>
          <w:rFonts w:cs="Arial"/>
          <w:szCs w:val="16"/>
        </w:rPr>
        <w:t xml:space="preserve"> Competition Bureau, </w:t>
      </w:r>
      <w:r w:rsidRPr="00DC4FD0">
        <w:rPr>
          <w:rFonts w:cs="Arial"/>
          <w:i/>
          <w:szCs w:val="16"/>
        </w:rPr>
        <w:t xml:space="preserve">Japanese auto </w:t>
      </w:r>
      <w:proofErr w:type="gramStart"/>
      <w:r w:rsidRPr="00DC4FD0">
        <w:rPr>
          <w:rFonts w:cs="Arial"/>
          <w:i/>
          <w:szCs w:val="16"/>
        </w:rPr>
        <w:t>parts company</w:t>
      </w:r>
      <w:proofErr w:type="gramEnd"/>
      <w:r w:rsidRPr="00DC4FD0">
        <w:rPr>
          <w:rFonts w:cs="Arial"/>
          <w:i/>
          <w:szCs w:val="16"/>
        </w:rPr>
        <w:t xml:space="preserve"> fined $13 million for participating in a bid-rigging conspiracy, </w:t>
      </w:r>
      <w:r w:rsidRPr="00DC4FD0">
        <w:rPr>
          <w:rFonts w:cs="Arial"/>
          <w:szCs w:val="16"/>
        </w:rPr>
        <w:t>media release, 1 April 2016</w:t>
      </w:r>
      <w:r w:rsidRPr="00DC4FD0">
        <w:rPr>
          <w:rFonts w:cs="Arial"/>
          <w:i/>
          <w:szCs w:val="16"/>
        </w:rPr>
        <w:t xml:space="preserve"> </w:t>
      </w:r>
      <w:r w:rsidRPr="00AE6C39">
        <w:rPr>
          <w:rStyle w:val="Hyperlink"/>
          <w:color w:val="auto"/>
          <w:sz w:val="16"/>
        </w:rPr>
        <w:t>&lt;http://www.competitionbureau.gc.ca/eic/site/cb-bc.nsf/eng/04058.html&gt;.</w:t>
      </w:r>
      <w:r w:rsidRPr="00DC4FD0">
        <w:rPr>
          <w:rFonts w:cs="Arial"/>
          <w:szCs w:val="16"/>
        </w:rPr>
        <w:t xml:space="preserve"> </w:t>
      </w:r>
    </w:p>
  </w:footnote>
  <w:footnote w:id="15">
    <w:p w:rsidR="00223DBC" w:rsidRPr="00DC4FD0" w:rsidRDefault="00223DBC" w:rsidP="006843E1">
      <w:pPr>
        <w:pStyle w:val="FootnoteText"/>
        <w:rPr>
          <w:rFonts w:cs="Arial"/>
          <w:szCs w:val="16"/>
        </w:rPr>
      </w:pPr>
      <w:r w:rsidRPr="00DC4FD0">
        <w:rPr>
          <w:rStyle w:val="FootnoteReference"/>
          <w:rFonts w:cs="Arial"/>
          <w:szCs w:val="16"/>
        </w:rPr>
        <w:footnoteRef/>
      </w:r>
      <w:r w:rsidRPr="00DC4FD0">
        <w:rPr>
          <w:rFonts w:cs="Arial"/>
          <w:szCs w:val="16"/>
        </w:rPr>
        <w:t xml:space="preserve"> European Commission, </w:t>
      </w:r>
      <w:r w:rsidRPr="00DC4FD0">
        <w:rPr>
          <w:rFonts w:cs="Arial"/>
          <w:i/>
          <w:szCs w:val="16"/>
        </w:rPr>
        <w:t xml:space="preserve">Antitrust: Commission fines car parts producers €137 789 000 in cartel settlement, </w:t>
      </w:r>
      <w:r w:rsidRPr="00DC4FD0">
        <w:rPr>
          <w:rFonts w:cs="Arial"/>
          <w:szCs w:val="16"/>
        </w:rPr>
        <w:t>press release, 27 January 2016 &lt;</w:t>
      </w:r>
      <w:hyperlink r:id="rId2" w:history="1">
        <w:r w:rsidRPr="00DC4FD0">
          <w:rPr>
            <w:rStyle w:val="Hyperlink"/>
            <w:rFonts w:cs="Arial"/>
            <w:color w:val="auto"/>
            <w:sz w:val="16"/>
            <w:szCs w:val="16"/>
          </w:rPr>
          <w:t>http://europa.eu/rapid/press-release_IP-16-173_en.htm</w:t>
        </w:r>
      </w:hyperlink>
      <w:r w:rsidRPr="00DC4FD0">
        <w:rPr>
          <w:rStyle w:val="Hyperlink"/>
          <w:rFonts w:cs="Arial"/>
          <w:color w:val="auto"/>
          <w:sz w:val="16"/>
          <w:szCs w:val="16"/>
        </w:rPr>
        <w:t>&gt;</w:t>
      </w:r>
      <w:r w:rsidRPr="00DC4FD0">
        <w:rPr>
          <w:rFonts w:cs="Arial"/>
          <w:szCs w:val="16"/>
        </w:rPr>
        <w:t xml:space="preserve">. </w:t>
      </w:r>
    </w:p>
  </w:footnote>
  <w:footnote w:id="16">
    <w:p w:rsidR="00223DBC" w:rsidRPr="00DC4FD0" w:rsidRDefault="00223DBC" w:rsidP="006843E1">
      <w:pPr>
        <w:pStyle w:val="FootnoteText"/>
        <w:rPr>
          <w:rFonts w:cs="Arial"/>
          <w:szCs w:val="16"/>
        </w:rPr>
      </w:pPr>
      <w:r w:rsidRPr="00DC4FD0">
        <w:rPr>
          <w:rStyle w:val="FootnoteReference"/>
          <w:rFonts w:cs="Arial"/>
          <w:szCs w:val="16"/>
        </w:rPr>
        <w:footnoteRef/>
      </w:r>
      <w:r w:rsidRPr="00DC4FD0">
        <w:rPr>
          <w:rFonts w:cs="Arial"/>
          <w:szCs w:val="16"/>
        </w:rPr>
        <w:t xml:space="preserve"> Competition and Markets Authority, </w:t>
      </w:r>
      <w:r w:rsidRPr="00DC4FD0">
        <w:rPr>
          <w:rFonts w:cs="Arial"/>
          <w:i/>
          <w:szCs w:val="16"/>
        </w:rPr>
        <w:t xml:space="preserve">CMA fines pharma companies £45 million, </w:t>
      </w:r>
      <w:r w:rsidRPr="00DC4FD0">
        <w:rPr>
          <w:rFonts w:cs="Arial"/>
          <w:szCs w:val="16"/>
        </w:rPr>
        <w:t>press release, 12 February 2016</w:t>
      </w:r>
      <w:r w:rsidRPr="00DC4FD0">
        <w:rPr>
          <w:rFonts w:cs="Arial"/>
          <w:i/>
          <w:szCs w:val="16"/>
        </w:rPr>
        <w:t xml:space="preserve"> &lt;</w:t>
      </w:r>
      <w:hyperlink r:id="rId3" w:history="1">
        <w:r w:rsidRPr="00DC4FD0">
          <w:rPr>
            <w:rStyle w:val="Hyperlink"/>
            <w:rFonts w:cs="Arial"/>
            <w:color w:val="auto"/>
            <w:sz w:val="16"/>
            <w:szCs w:val="16"/>
          </w:rPr>
          <w:t>https://www.gov.uk/government/news/cma-fines-pharma-companies-45-million</w:t>
        </w:r>
      </w:hyperlink>
      <w:r w:rsidRPr="00DC4FD0">
        <w:rPr>
          <w:rStyle w:val="Hyperlink"/>
          <w:rFonts w:cs="Arial"/>
          <w:color w:val="auto"/>
          <w:sz w:val="16"/>
          <w:szCs w:val="16"/>
        </w:rPr>
        <w:t>&gt;</w:t>
      </w:r>
      <w:r w:rsidRPr="00DC4FD0">
        <w:rPr>
          <w:rFonts w:cs="Arial"/>
          <w:szCs w:val="16"/>
        </w:rPr>
        <w:t xml:space="preserve">. </w:t>
      </w:r>
    </w:p>
  </w:footnote>
  <w:footnote w:id="17">
    <w:p w:rsidR="00223DBC" w:rsidRPr="00DC4FD0" w:rsidRDefault="00223DBC" w:rsidP="006843E1">
      <w:pPr>
        <w:pStyle w:val="FootnoteText"/>
        <w:rPr>
          <w:rFonts w:cs="Arial"/>
          <w:szCs w:val="16"/>
        </w:rPr>
      </w:pPr>
      <w:r w:rsidRPr="00DC4FD0">
        <w:rPr>
          <w:rStyle w:val="FootnoteReference"/>
          <w:rFonts w:cs="Arial"/>
          <w:szCs w:val="16"/>
        </w:rPr>
        <w:footnoteRef/>
      </w:r>
      <w:r w:rsidRPr="00DC4FD0">
        <w:rPr>
          <w:rFonts w:cs="Arial"/>
          <w:szCs w:val="16"/>
        </w:rPr>
        <w:t xml:space="preserve"> The penalty can be increased above $100 million. A judge first determines the volume of commerce affected by the conduct. If this is over the $100 million maximum, the fine is then based on twice the gain or loss, or 20% of the volume of affected commerce. </w:t>
      </w:r>
    </w:p>
  </w:footnote>
  <w:footnote w:id="18">
    <w:p w:rsidR="00223DBC" w:rsidRPr="006952A5" w:rsidRDefault="00223DBC" w:rsidP="006843E1">
      <w:pPr>
        <w:pStyle w:val="FootnoteText"/>
        <w:rPr>
          <w:rFonts w:cs="Arial"/>
          <w:szCs w:val="16"/>
        </w:rPr>
      </w:pPr>
      <w:r w:rsidRPr="00DC4FD0">
        <w:rPr>
          <w:rStyle w:val="FootnoteReference"/>
          <w:rFonts w:cs="Arial"/>
          <w:szCs w:val="16"/>
        </w:rPr>
        <w:footnoteRef/>
      </w:r>
      <w:r w:rsidRPr="00DC4FD0">
        <w:rPr>
          <w:rFonts w:cs="Arial"/>
          <w:szCs w:val="16"/>
        </w:rPr>
        <w:t xml:space="preserve"> Department of Justice, </w:t>
      </w:r>
      <w:r w:rsidRPr="00DC4FD0">
        <w:rPr>
          <w:rFonts w:cs="Arial"/>
          <w:i/>
          <w:szCs w:val="16"/>
        </w:rPr>
        <w:t xml:space="preserve">KYB agrees to plead guilty and pay $62 million criminal fines for fixing price of shock absorbers, </w:t>
      </w:r>
      <w:r w:rsidRPr="00DC4FD0">
        <w:rPr>
          <w:rFonts w:cs="Arial"/>
          <w:szCs w:val="16"/>
        </w:rPr>
        <w:t>press release, 16 September 2015 &lt;</w:t>
      </w:r>
      <w:hyperlink r:id="rId4" w:history="1">
        <w:r w:rsidRPr="00DC4FD0">
          <w:rPr>
            <w:rStyle w:val="Hyperlink"/>
            <w:rFonts w:cs="Arial"/>
            <w:color w:val="auto"/>
            <w:sz w:val="16"/>
            <w:szCs w:val="16"/>
          </w:rPr>
          <w:t>https://www.justice.gov/opa/pr/kyb-agrees-plead-guilty-and-pay-62-million-criminal-fine-fixing-price-shock-absorbers</w:t>
        </w:r>
      </w:hyperlink>
      <w:r w:rsidRPr="00DC4FD0">
        <w:rPr>
          <w:rStyle w:val="Hyperlink"/>
          <w:rFonts w:cs="Arial"/>
          <w:color w:val="auto"/>
          <w:sz w:val="16"/>
          <w:szCs w:val="16"/>
        </w:rPr>
        <w:t>&gt;</w:t>
      </w:r>
      <w:r w:rsidRPr="00DC4FD0">
        <w:rPr>
          <w:rFonts w:cs="Arial"/>
          <w:szCs w:val="16"/>
        </w:rPr>
        <w:t>.</w:t>
      </w:r>
      <w:r w:rsidRPr="006952A5">
        <w:rPr>
          <w:rFonts w:cs="Arial"/>
          <w:szCs w:val="16"/>
        </w:rPr>
        <w:t xml:space="preserve"> </w:t>
      </w:r>
    </w:p>
  </w:footnote>
  <w:footnote w:id="19">
    <w:p w:rsidR="00223DBC" w:rsidRPr="00A41D04" w:rsidRDefault="00223DBC" w:rsidP="006843E1">
      <w:pPr>
        <w:pStyle w:val="FootnoteText"/>
        <w:rPr>
          <w:rFonts w:cs="Arial"/>
          <w:szCs w:val="16"/>
        </w:rPr>
      </w:pPr>
      <w:r w:rsidRPr="006952A5">
        <w:rPr>
          <w:rStyle w:val="FootnoteReference"/>
          <w:rFonts w:cs="Arial"/>
          <w:szCs w:val="16"/>
        </w:rPr>
        <w:footnoteRef/>
      </w:r>
      <w:r w:rsidRPr="006952A5">
        <w:rPr>
          <w:rFonts w:cs="Arial"/>
          <w:szCs w:val="16"/>
        </w:rPr>
        <w:t xml:space="preserve"> This is roughly the amount of </w:t>
      </w:r>
      <w:r w:rsidRPr="00A41D04">
        <w:rPr>
          <w:rFonts w:cs="Arial"/>
          <w:szCs w:val="16"/>
        </w:rPr>
        <w:t xml:space="preserve">sales for the period during which the conduct took place, multiplied by a percentage which is determined based on the size of the business and industry engaged in. </w:t>
      </w:r>
    </w:p>
  </w:footnote>
  <w:footnote w:id="20">
    <w:p w:rsidR="00223DBC" w:rsidRPr="00DC4FD0" w:rsidRDefault="00223DBC" w:rsidP="006843E1">
      <w:pPr>
        <w:pStyle w:val="FootnoteText"/>
        <w:rPr>
          <w:rFonts w:cs="Arial"/>
          <w:szCs w:val="16"/>
        </w:rPr>
      </w:pPr>
      <w:r w:rsidRPr="00DC4FD0">
        <w:rPr>
          <w:rStyle w:val="FootnoteReference"/>
          <w:rFonts w:cs="Arial"/>
          <w:szCs w:val="16"/>
        </w:rPr>
        <w:footnoteRef/>
      </w:r>
      <w:r w:rsidRPr="00DC4FD0">
        <w:rPr>
          <w:rFonts w:cs="Arial"/>
          <w:szCs w:val="16"/>
        </w:rPr>
        <w:t xml:space="preserve"> </w:t>
      </w:r>
      <w:proofErr w:type="gramStart"/>
      <w:r w:rsidRPr="00DC4FD0">
        <w:rPr>
          <w:rFonts w:cs="Arial"/>
          <w:szCs w:val="16"/>
        </w:rPr>
        <w:t xml:space="preserve">Japan Fair Trade Commission, </w:t>
      </w:r>
      <w:r w:rsidRPr="00DC4FD0">
        <w:rPr>
          <w:rFonts w:cs="Arial"/>
          <w:i/>
          <w:szCs w:val="16"/>
        </w:rPr>
        <w:t xml:space="preserve">The JFTC Issued Cease and Desist Orders and Surcharge Payment Orders to the Manufacturing Distributors Selling Poly </w:t>
      </w:r>
      <w:proofErr w:type="spellStart"/>
      <w:r w:rsidRPr="00DC4FD0">
        <w:rPr>
          <w:rFonts w:cs="Arial"/>
          <w:i/>
          <w:szCs w:val="16"/>
        </w:rPr>
        <w:t>Aluminum</w:t>
      </w:r>
      <w:proofErr w:type="spellEnd"/>
      <w:r w:rsidRPr="00DC4FD0">
        <w:rPr>
          <w:rFonts w:cs="Arial"/>
          <w:i/>
          <w:szCs w:val="16"/>
        </w:rPr>
        <w:t xml:space="preserve"> Chloride Ordered by the Local Governments in Tohoku District, Niigata District and Hokuriku District</w:t>
      </w:r>
      <w:r w:rsidRPr="00DC4FD0">
        <w:rPr>
          <w:rFonts w:cs="Arial"/>
          <w:szCs w:val="16"/>
        </w:rPr>
        <w:t xml:space="preserve">, press release, 5 February 2016 </w:t>
      </w:r>
      <w:r w:rsidRPr="00AE6C39">
        <w:rPr>
          <w:rStyle w:val="Hyperlink"/>
          <w:color w:val="auto"/>
          <w:sz w:val="16"/>
        </w:rPr>
        <w:t>&lt;</w:t>
      </w:r>
      <w:hyperlink r:id="rId5" w:history="1">
        <w:r w:rsidRPr="00AE6C39">
          <w:rPr>
            <w:rStyle w:val="Hyperlink"/>
            <w:color w:val="auto"/>
            <w:sz w:val="16"/>
          </w:rPr>
          <w:t>http://www.jftc.go.jp/en/pressreleases/yearly-2016/February/160205.html</w:t>
        </w:r>
      </w:hyperlink>
      <w:r w:rsidRPr="00AE6C39">
        <w:rPr>
          <w:rStyle w:val="Hyperlink"/>
          <w:color w:val="auto"/>
          <w:sz w:val="16"/>
        </w:rPr>
        <w:t>&gt;.</w:t>
      </w:r>
      <w:proofErr w:type="gramEnd"/>
      <w:r w:rsidRPr="00AE6C39">
        <w:rPr>
          <w:rStyle w:val="Hyperlink"/>
          <w:color w:val="auto"/>
          <w:sz w:val="16"/>
        </w:rPr>
        <w:t xml:space="preserve"> </w:t>
      </w:r>
    </w:p>
  </w:footnote>
  <w:footnote w:id="21">
    <w:p w:rsidR="00223DBC" w:rsidRPr="00DC4FD0" w:rsidRDefault="00223DBC" w:rsidP="006843E1">
      <w:pPr>
        <w:pStyle w:val="FootnoteText"/>
        <w:rPr>
          <w:rFonts w:cs="Arial"/>
          <w:szCs w:val="16"/>
        </w:rPr>
      </w:pPr>
      <w:r w:rsidRPr="00DC4FD0">
        <w:rPr>
          <w:rStyle w:val="FootnoteReference"/>
          <w:rFonts w:cs="Arial"/>
          <w:szCs w:val="16"/>
        </w:rPr>
        <w:footnoteRef/>
      </w:r>
      <w:r w:rsidRPr="00DC4FD0">
        <w:rPr>
          <w:rFonts w:cs="Arial"/>
          <w:szCs w:val="16"/>
        </w:rPr>
        <w:t xml:space="preserve"> The specific percentage relevant is determined based on the provision breached and severity. </w:t>
      </w:r>
    </w:p>
  </w:footnote>
  <w:footnote w:id="22">
    <w:p w:rsidR="00223DBC" w:rsidRPr="00DC4FD0" w:rsidRDefault="00223DBC" w:rsidP="006843E1">
      <w:pPr>
        <w:pStyle w:val="FootnoteText"/>
        <w:rPr>
          <w:rFonts w:cs="Arial"/>
          <w:szCs w:val="16"/>
        </w:rPr>
      </w:pPr>
      <w:r w:rsidRPr="00DC4FD0">
        <w:rPr>
          <w:rStyle w:val="FootnoteReference"/>
          <w:rFonts w:cs="Arial"/>
          <w:szCs w:val="16"/>
        </w:rPr>
        <w:footnoteRef/>
      </w:r>
      <w:r w:rsidRPr="00DC4FD0">
        <w:rPr>
          <w:rFonts w:cs="Arial"/>
          <w:szCs w:val="16"/>
        </w:rPr>
        <w:t xml:space="preserve"> Authority for Consumers and Markets, </w:t>
      </w:r>
      <w:r w:rsidRPr="00DC4FD0">
        <w:rPr>
          <w:rFonts w:cs="Arial"/>
          <w:i/>
          <w:szCs w:val="16"/>
        </w:rPr>
        <w:t xml:space="preserve">ACM imposed fines of EUR 12.5 million cold-storage firms, </w:t>
      </w:r>
      <w:r w:rsidRPr="00DC4FD0">
        <w:rPr>
          <w:rFonts w:cs="Arial"/>
          <w:szCs w:val="16"/>
        </w:rPr>
        <w:t>news, 23 March 2016 &lt;</w:t>
      </w:r>
      <w:hyperlink r:id="rId6" w:history="1">
        <w:r w:rsidRPr="00DC4FD0">
          <w:rPr>
            <w:rStyle w:val="Hyperlink"/>
            <w:rFonts w:cs="Arial"/>
            <w:color w:val="auto"/>
            <w:sz w:val="16"/>
            <w:szCs w:val="16"/>
          </w:rPr>
          <w:t>https://www.acm.nl/en/publications/publication/15609/ACM-imposed-fines-of-EUR-125-million-on-cold-storage-firms/</w:t>
        </w:r>
      </w:hyperlink>
      <w:r w:rsidRPr="00DC4FD0">
        <w:rPr>
          <w:rStyle w:val="Hyperlink"/>
          <w:rFonts w:cs="Arial"/>
          <w:color w:val="auto"/>
          <w:sz w:val="16"/>
          <w:szCs w:val="16"/>
        </w:rPr>
        <w:t>&gt;</w:t>
      </w:r>
      <w:r w:rsidRPr="00DC4FD0">
        <w:rPr>
          <w:rFonts w:cs="Arial"/>
          <w:szCs w:val="16"/>
        </w:rPr>
        <w:t xml:space="preserve">. </w:t>
      </w:r>
    </w:p>
  </w:footnote>
  <w:footnote w:id="23">
    <w:p w:rsidR="00223DBC" w:rsidRPr="00DC4FD0" w:rsidRDefault="00223DBC" w:rsidP="006843E1">
      <w:pPr>
        <w:pStyle w:val="FootnoteText"/>
        <w:rPr>
          <w:rFonts w:cs="Arial"/>
          <w:szCs w:val="16"/>
        </w:rPr>
      </w:pPr>
      <w:r w:rsidRPr="00DC4FD0">
        <w:rPr>
          <w:rStyle w:val="FootnoteReference"/>
          <w:rFonts w:cs="Arial"/>
          <w:szCs w:val="16"/>
        </w:rPr>
        <w:footnoteRef/>
      </w:r>
      <w:r w:rsidRPr="00DC4FD0">
        <w:rPr>
          <w:rFonts w:cs="Arial"/>
          <w:szCs w:val="16"/>
        </w:rPr>
        <w:t xml:space="preserve"> The penalty is determined based on the provision breaches: 3 times the gain from the conduct applies to abuse of power, 10% of annual turnover for the years engaged in the conduct applies to cartel conduct and 2% of turnover for the years engaged in the conduct applies to unfair trading practices or r</w:t>
      </w:r>
      <w:r w:rsidR="00780577">
        <w:rPr>
          <w:rFonts w:cs="Arial"/>
          <w:szCs w:val="16"/>
        </w:rPr>
        <w:t xml:space="preserve">esale </w:t>
      </w:r>
      <w:r w:rsidRPr="00DC4FD0">
        <w:rPr>
          <w:rFonts w:cs="Arial"/>
          <w:szCs w:val="16"/>
        </w:rPr>
        <w:t>p</w:t>
      </w:r>
      <w:r w:rsidR="00780577">
        <w:rPr>
          <w:rFonts w:cs="Arial"/>
          <w:szCs w:val="16"/>
        </w:rPr>
        <w:t xml:space="preserve">rice </w:t>
      </w:r>
      <w:r w:rsidRPr="00DC4FD0">
        <w:rPr>
          <w:rFonts w:cs="Arial"/>
          <w:szCs w:val="16"/>
        </w:rPr>
        <w:t>m</w:t>
      </w:r>
      <w:r w:rsidR="00780577">
        <w:rPr>
          <w:rFonts w:cs="Arial"/>
          <w:szCs w:val="16"/>
        </w:rPr>
        <w:t>aintenance</w:t>
      </w:r>
      <w:r w:rsidRPr="00DC4FD0">
        <w:rPr>
          <w:rFonts w:cs="Arial"/>
          <w:szCs w:val="16"/>
        </w:rPr>
        <w:t xml:space="preserve">. </w:t>
      </w:r>
    </w:p>
  </w:footnote>
  <w:footnote w:id="24">
    <w:p w:rsidR="00223DBC" w:rsidRPr="00DC4FD0" w:rsidRDefault="00223DBC" w:rsidP="006843E1">
      <w:pPr>
        <w:pStyle w:val="FootnoteText"/>
        <w:rPr>
          <w:rFonts w:cs="Arial"/>
          <w:szCs w:val="16"/>
        </w:rPr>
      </w:pPr>
      <w:r w:rsidRPr="00DC4FD0">
        <w:rPr>
          <w:rStyle w:val="FootnoteReference"/>
          <w:rFonts w:cs="Arial"/>
          <w:szCs w:val="16"/>
        </w:rPr>
        <w:footnoteRef/>
      </w:r>
      <w:r w:rsidRPr="00DC4FD0">
        <w:rPr>
          <w:rFonts w:cs="Arial"/>
          <w:szCs w:val="16"/>
        </w:rPr>
        <w:t xml:space="preserve"> Korea Fair Trade Commission, </w:t>
      </w:r>
      <w:r w:rsidRPr="00DC4FD0">
        <w:rPr>
          <w:rFonts w:cs="Arial"/>
          <w:i/>
          <w:szCs w:val="16"/>
        </w:rPr>
        <w:t xml:space="preserve">Abuse of Market Dominance, </w:t>
      </w:r>
      <w:r w:rsidRPr="00DC4FD0">
        <w:rPr>
          <w:rFonts w:cs="Arial"/>
          <w:szCs w:val="16"/>
        </w:rPr>
        <w:t>cases, 14 January 2013 &lt;</w:t>
      </w:r>
      <w:hyperlink r:id="rId7" w:history="1">
        <w:r w:rsidRPr="00DC4FD0">
          <w:rPr>
            <w:rStyle w:val="Hyperlink"/>
            <w:rFonts w:cs="Arial"/>
            <w:color w:val="auto"/>
            <w:sz w:val="16"/>
            <w:szCs w:val="16"/>
          </w:rPr>
          <w:t>http://eng.ftc.go.kr/bbs.do?command=getList&amp;type_cd=54&amp;pageId=0302</w:t>
        </w:r>
      </w:hyperlink>
      <w:r w:rsidRPr="00DC4FD0">
        <w:rPr>
          <w:rStyle w:val="Hyperlink"/>
          <w:rFonts w:cs="Arial"/>
          <w:color w:val="auto"/>
          <w:sz w:val="16"/>
          <w:szCs w:val="16"/>
        </w:rPr>
        <w:t>&gt;</w:t>
      </w:r>
      <w:r w:rsidRPr="00DC4FD0">
        <w:rPr>
          <w:rFonts w:cs="Arial"/>
          <w:szCs w:val="16"/>
        </w:rPr>
        <w:t xml:space="preserve">. </w:t>
      </w:r>
    </w:p>
  </w:footnote>
  <w:footnote w:id="25">
    <w:p w:rsidR="003A4CBE" w:rsidRPr="003A4CBE" w:rsidRDefault="003A4CBE">
      <w:pPr>
        <w:pStyle w:val="FootnoteText"/>
        <w:rPr>
          <w:i/>
        </w:rPr>
      </w:pPr>
      <w:r>
        <w:rPr>
          <w:rStyle w:val="FootnoteReference"/>
        </w:rPr>
        <w:footnoteRef/>
      </w:r>
      <w:r>
        <w:t xml:space="preserve"> Competition Commission Singapore, </w:t>
      </w:r>
      <w:r w:rsidRPr="003A4CBE">
        <w:rPr>
          <w:i/>
        </w:rPr>
        <w:t>CCS Imposes Penalties on Ball Bearings Manufacturers involved in International Cartel</w:t>
      </w:r>
      <w:r>
        <w:t>, media release, 27 May 2014, &lt;</w:t>
      </w:r>
      <w:r w:rsidRPr="003A4CBE">
        <w:t>https://www.ccs.gov.sg/media-and-publications/media-releases/ccs-imposes-penalties-on-ball-bearings-manufacturers-involved-in-international-cartel</w:t>
      </w:r>
      <w:r>
        <w:t>&gt;.</w:t>
      </w:r>
    </w:p>
  </w:footnote>
  <w:footnote w:id="26">
    <w:p w:rsidR="00223DBC" w:rsidRPr="00DC4FD0" w:rsidRDefault="00223DBC" w:rsidP="00141698">
      <w:pPr>
        <w:pStyle w:val="FootnoteText"/>
        <w:rPr>
          <w:rFonts w:cs="Arial"/>
          <w:szCs w:val="16"/>
        </w:rPr>
      </w:pPr>
      <w:r w:rsidRPr="00DC4FD0">
        <w:rPr>
          <w:rStyle w:val="FootnoteReference"/>
          <w:rFonts w:cs="Arial"/>
          <w:szCs w:val="16"/>
        </w:rPr>
        <w:footnoteRef/>
      </w:r>
      <w:r w:rsidRPr="00DC4FD0">
        <w:rPr>
          <w:rFonts w:cs="Arial"/>
          <w:szCs w:val="16"/>
        </w:rPr>
        <w:t xml:space="preserve"> </w:t>
      </w:r>
      <w:proofErr w:type="gramStart"/>
      <w:r w:rsidRPr="00DC4FD0">
        <w:rPr>
          <w:rFonts w:cs="Arial"/>
          <w:szCs w:val="16"/>
        </w:rPr>
        <w:t xml:space="preserve">ACCC, </w:t>
      </w:r>
      <w:r w:rsidRPr="00DC4FD0">
        <w:rPr>
          <w:rFonts w:cs="Arial"/>
          <w:i/>
          <w:szCs w:val="16"/>
        </w:rPr>
        <w:t xml:space="preserve">Electronic Bazaar operator to pay penalties of $100,000 for misleading consumers, </w:t>
      </w:r>
      <w:r w:rsidRPr="00DC4FD0">
        <w:rPr>
          <w:rFonts w:cs="Arial"/>
          <w:szCs w:val="16"/>
        </w:rPr>
        <w:t>media release, 13 May 2015</w:t>
      </w:r>
      <w:r w:rsidRPr="00DC4FD0">
        <w:rPr>
          <w:rFonts w:cs="Arial"/>
          <w:i/>
          <w:szCs w:val="16"/>
        </w:rPr>
        <w:t xml:space="preserve"> &lt;</w:t>
      </w:r>
      <w:hyperlink r:id="rId8" w:history="1">
        <w:r w:rsidRPr="00DC4FD0">
          <w:rPr>
            <w:rStyle w:val="Hyperlink"/>
            <w:rFonts w:cs="Arial"/>
            <w:color w:val="auto"/>
            <w:sz w:val="16"/>
            <w:szCs w:val="16"/>
          </w:rPr>
          <w:t>http://www.accc.gov.au/media-release/electronic-bazaar-operator-to-pay-penalties-of-100000-for-misleading-consumers</w:t>
        </w:r>
      </w:hyperlink>
      <w:r w:rsidRPr="00DC4FD0">
        <w:rPr>
          <w:rStyle w:val="Hyperlink"/>
          <w:rFonts w:cs="Arial"/>
          <w:color w:val="auto"/>
          <w:sz w:val="16"/>
          <w:szCs w:val="16"/>
        </w:rPr>
        <w:t>&gt;</w:t>
      </w:r>
      <w:r w:rsidRPr="00DC4FD0">
        <w:rPr>
          <w:rFonts w:cs="Arial"/>
          <w:szCs w:val="16"/>
        </w:rPr>
        <w:t>.</w:t>
      </w:r>
      <w:proofErr w:type="gramEnd"/>
      <w:r w:rsidRPr="00DC4FD0">
        <w:rPr>
          <w:rFonts w:cs="Arial"/>
          <w:szCs w:val="16"/>
        </w:rPr>
        <w:t xml:space="preserve"> </w:t>
      </w:r>
    </w:p>
  </w:footnote>
  <w:footnote w:id="27">
    <w:p w:rsidR="00223DBC" w:rsidRPr="00DC4FD0" w:rsidRDefault="00223DBC" w:rsidP="00141698">
      <w:pPr>
        <w:pStyle w:val="FootnoteText"/>
        <w:rPr>
          <w:rFonts w:cs="Arial"/>
          <w:szCs w:val="16"/>
        </w:rPr>
      </w:pPr>
      <w:r w:rsidRPr="00DC4FD0">
        <w:rPr>
          <w:rStyle w:val="FootnoteReference"/>
          <w:rFonts w:cs="Arial"/>
          <w:szCs w:val="16"/>
        </w:rPr>
        <w:footnoteRef/>
      </w:r>
      <w:r w:rsidRPr="00DC4FD0">
        <w:rPr>
          <w:rFonts w:cs="Arial"/>
          <w:szCs w:val="16"/>
        </w:rPr>
        <w:t xml:space="preserve"> Competition Bureau, </w:t>
      </w:r>
      <w:r w:rsidRPr="00DC4FD0">
        <w:rPr>
          <w:rFonts w:cs="Arial"/>
          <w:i/>
          <w:szCs w:val="16"/>
        </w:rPr>
        <w:t xml:space="preserve">Michaels to pay $3.5 M penalty to settle frames and custom framing services price advertising case, </w:t>
      </w:r>
      <w:r w:rsidRPr="00DC4FD0">
        <w:rPr>
          <w:rFonts w:cs="Arial"/>
          <w:szCs w:val="16"/>
        </w:rPr>
        <w:t xml:space="preserve">media release, 6 May 2015 </w:t>
      </w:r>
      <w:r w:rsidRPr="00AE6C39">
        <w:rPr>
          <w:rStyle w:val="Hyperlink"/>
          <w:color w:val="auto"/>
          <w:sz w:val="16"/>
        </w:rPr>
        <w:t>&lt;</w:t>
      </w:r>
      <w:hyperlink r:id="rId9" w:history="1">
        <w:r w:rsidRPr="00AE6C39">
          <w:rPr>
            <w:rStyle w:val="Hyperlink"/>
            <w:color w:val="auto"/>
            <w:sz w:val="16"/>
          </w:rPr>
          <w:t>http://www.competitionbureau.gc.ca/eic/site/cb-bc.nsf/eng/03923.html</w:t>
        </w:r>
      </w:hyperlink>
      <w:r w:rsidRPr="00AE6C39">
        <w:rPr>
          <w:rStyle w:val="Hyperlink"/>
          <w:color w:val="auto"/>
          <w:sz w:val="16"/>
        </w:rPr>
        <w:t>&gt;.</w:t>
      </w:r>
      <w:r w:rsidRPr="00DC4FD0">
        <w:rPr>
          <w:rFonts w:cs="Arial"/>
          <w:szCs w:val="16"/>
        </w:rPr>
        <w:t xml:space="preserve"> </w:t>
      </w:r>
    </w:p>
  </w:footnote>
  <w:footnote w:id="28">
    <w:p w:rsidR="00223DBC" w:rsidRPr="00DC4FD0" w:rsidRDefault="00223DBC" w:rsidP="00141698">
      <w:pPr>
        <w:pStyle w:val="FootnoteText"/>
        <w:rPr>
          <w:rFonts w:cs="Arial"/>
          <w:szCs w:val="16"/>
        </w:rPr>
      </w:pPr>
      <w:r w:rsidRPr="00DC4FD0">
        <w:rPr>
          <w:rStyle w:val="FootnoteReference"/>
          <w:rFonts w:cs="Arial"/>
          <w:szCs w:val="16"/>
        </w:rPr>
        <w:footnoteRef/>
      </w:r>
      <w:r w:rsidRPr="00DC4FD0">
        <w:rPr>
          <w:rFonts w:cs="Arial"/>
          <w:szCs w:val="16"/>
        </w:rPr>
        <w:t xml:space="preserve"> Competition and Markets Authority, </w:t>
      </w:r>
      <w:r w:rsidRPr="00DC4FD0">
        <w:rPr>
          <w:rFonts w:cs="Arial"/>
          <w:i/>
          <w:szCs w:val="16"/>
        </w:rPr>
        <w:t>Pyramid scheme organisers ordered to pay over £500,000</w:t>
      </w:r>
      <w:r w:rsidRPr="00DC4FD0">
        <w:rPr>
          <w:rFonts w:cs="Arial"/>
          <w:szCs w:val="16"/>
        </w:rPr>
        <w:t xml:space="preserve">, press release, 21 July 2015 </w:t>
      </w:r>
      <w:r w:rsidRPr="00AE6C39">
        <w:rPr>
          <w:rStyle w:val="Hyperlink"/>
          <w:color w:val="auto"/>
          <w:sz w:val="16"/>
        </w:rPr>
        <w:t>&lt;</w:t>
      </w:r>
      <w:hyperlink r:id="rId10" w:history="1">
        <w:r w:rsidRPr="00AE6C39">
          <w:rPr>
            <w:rStyle w:val="Hyperlink"/>
            <w:color w:val="auto"/>
            <w:sz w:val="16"/>
          </w:rPr>
          <w:t>https://www.gov.uk/government/news/pyramid-scheme-organisers-ordered-to-pay-over-500000</w:t>
        </w:r>
      </w:hyperlink>
      <w:r w:rsidRPr="00AE6C39">
        <w:rPr>
          <w:rStyle w:val="Hyperlink"/>
          <w:color w:val="auto"/>
          <w:sz w:val="16"/>
        </w:rPr>
        <w:t>&gt;.</w:t>
      </w:r>
      <w:r w:rsidRPr="00DC4FD0">
        <w:rPr>
          <w:rFonts w:cs="Arial"/>
          <w:szCs w:val="16"/>
        </w:rPr>
        <w:t xml:space="preserve"> </w:t>
      </w:r>
    </w:p>
  </w:footnote>
  <w:footnote w:id="29">
    <w:p w:rsidR="00223DBC" w:rsidRPr="00DC4FD0" w:rsidRDefault="00223DBC" w:rsidP="00141698">
      <w:pPr>
        <w:pStyle w:val="FootnoteText"/>
        <w:rPr>
          <w:rFonts w:cs="Arial"/>
          <w:szCs w:val="16"/>
        </w:rPr>
      </w:pPr>
      <w:r w:rsidRPr="00DC4FD0">
        <w:rPr>
          <w:rStyle w:val="FootnoteReference"/>
          <w:rFonts w:cs="Arial"/>
          <w:szCs w:val="16"/>
        </w:rPr>
        <w:footnoteRef/>
      </w:r>
      <w:r w:rsidRPr="00DC4FD0">
        <w:rPr>
          <w:rFonts w:cs="Arial"/>
          <w:szCs w:val="16"/>
        </w:rPr>
        <w:t xml:space="preserve"> US consumer protection laws focus on providing redress to affected consumers rather than pecuniary penalties available by application to a Court by a regulator. </w:t>
      </w:r>
    </w:p>
  </w:footnote>
  <w:footnote w:id="30">
    <w:p w:rsidR="00223DBC" w:rsidRPr="00DC4FD0" w:rsidRDefault="00223DBC" w:rsidP="00141698">
      <w:pPr>
        <w:pStyle w:val="FootnoteText"/>
        <w:rPr>
          <w:rFonts w:cs="Arial"/>
          <w:szCs w:val="16"/>
        </w:rPr>
      </w:pPr>
      <w:r w:rsidRPr="00DC4FD0">
        <w:rPr>
          <w:rStyle w:val="FootnoteReference"/>
          <w:rFonts w:cs="Arial"/>
          <w:szCs w:val="16"/>
        </w:rPr>
        <w:footnoteRef/>
      </w:r>
      <w:r w:rsidRPr="00DC4FD0">
        <w:rPr>
          <w:rFonts w:cs="Arial"/>
          <w:szCs w:val="16"/>
        </w:rPr>
        <w:t xml:space="preserve"> Federal Trade Commission, </w:t>
      </w:r>
      <w:r w:rsidRPr="00DC4FD0">
        <w:rPr>
          <w:rFonts w:cs="Arial"/>
          <w:i/>
          <w:szCs w:val="16"/>
        </w:rPr>
        <w:t xml:space="preserve">New Jersey-Based Telephone Fundraisers Banned from Soliciting Donations; Will Pay $18.8 Million for Violating FTC Order, </w:t>
      </w:r>
      <w:r w:rsidRPr="00DC4FD0">
        <w:rPr>
          <w:rFonts w:cs="Arial"/>
          <w:szCs w:val="16"/>
        </w:rPr>
        <w:t xml:space="preserve">press release 31 March 2010 </w:t>
      </w:r>
      <w:r w:rsidRPr="00B26352">
        <w:rPr>
          <w:rStyle w:val="Hyperlink"/>
          <w:color w:val="auto"/>
          <w:sz w:val="16"/>
        </w:rPr>
        <w:t>&lt;</w:t>
      </w:r>
      <w:hyperlink r:id="rId11" w:history="1">
        <w:r w:rsidRPr="00B26352">
          <w:rPr>
            <w:rStyle w:val="Hyperlink"/>
            <w:color w:val="auto"/>
            <w:sz w:val="16"/>
          </w:rPr>
          <w:t>https://www.ftc.gov/news-events/press-releases/2010/03/new-jersey-based-telephone-fundraisers-banned-soliciting</w:t>
        </w:r>
      </w:hyperlink>
      <w:r w:rsidRPr="00B26352">
        <w:rPr>
          <w:rStyle w:val="Hyperlink"/>
          <w:color w:val="auto"/>
          <w:sz w:val="16"/>
        </w:rPr>
        <w:t>&gt;.</w:t>
      </w:r>
      <w:r w:rsidRPr="00DC4FD0">
        <w:rPr>
          <w:rFonts w:cs="Arial"/>
          <w:szCs w:val="16"/>
        </w:rPr>
        <w:t xml:space="preserve"> </w:t>
      </w:r>
    </w:p>
  </w:footnote>
  <w:footnote w:id="31">
    <w:p w:rsidR="00223DBC" w:rsidRPr="00DC4FD0" w:rsidRDefault="00223DBC" w:rsidP="00141698">
      <w:pPr>
        <w:pStyle w:val="FootnoteText"/>
        <w:rPr>
          <w:rFonts w:cs="Arial"/>
          <w:szCs w:val="16"/>
        </w:rPr>
      </w:pPr>
      <w:r w:rsidRPr="00DC4FD0">
        <w:rPr>
          <w:rStyle w:val="FootnoteReference"/>
          <w:rFonts w:cs="Arial"/>
          <w:szCs w:val="16"/>
        </w:rPr>
        <w:footnoteRef/>
      </w:r>
      <w:r w:rsidRPr="00DC4FD0">
        <w:rPr>
          <w:rFonts w:cs="Arial"/>
          <w:szCs w:val="16"/>
        </w:rPr>
        <w:t xml:space="preserve"> Consumer protection is largely dealt with through the Consumer Affairs Agency which facilitates mediation between consumers and corporations. </w:t>
      </w:r>
    </w:p>
  </w:footnote>
  <w:footnote w:id="32">
    <w:p w:rsidR="00223DBC" w:rsidRPr="00DC4FD0" w:rsidRDefault="00223DBC" w:rsidP="00141698">
      <w:pPr>
        <w:pStyle w:val="FootnoteText"/>
        <w:rPr>
          <w:rFonts w:cs="Arial"/>
          <w:szCs w:val="16"/>
        </w:rPr>
      </w:pPr>
      <w:r w:rsidRPr="00DC4FD0">
        <w:rPr>
          <w:rStyle w:val="FootnoteReference"/>
          <w:rFonts w:cs="Arial"/>
          <w:szCs w:val="16"/>
        </w:rPr>
        <w:footnoteRef/>
      </w:r>
      <w:r w:rsidRPr="00DC4FD0">
        <w:rPr>
          <w:rFonts w:cs="Arial"/>
          <w:szCs w:val="16"/>
        </w:rPr>
        <w:t xml:space="preserve"> The specific percentage relevant is determined based on the provision breached and severity. </w:t>
      </w:r>
    </w:p>
  </w:footnote>
  <w:footnote w:id="33">
    <w:p w:rsidR="00223DBC" w:rsidRPr="00DC4FD0" w:rsidRDefault="00223DBC" w:rsidP="00141698">
      <w:pPr>
        <w:pStyle w:val="FootnoteText"/>
        <w:rPr>
          <w:rFonts w:cs="Arial"/>
          <w:szCs w:val="16"/>
        </w:rPr>
      </w:pPr>
      <w:r w:rsidRPr="00DC4FD0">
        <w:rPr>
          <w:rStyle w:val="FootnoteReference"/>
          <w:rFonts w:cs="Arial"/>
          <w:szCs w:val="16"/>
        </w:rPr>
        <w:footnoteRef/>
      </w:r>
      <w:r w:rsidRPr="00DC4FD0">
        <w:rPr>
          <w:rFonts w:cs="Arial"/>
          <w:szCs w:val="16"/>
        </w:rPr>
        <w:t xml:space="preserve"> International Consumer Protection and Enforcement Network, </w:t>
      </w:r>
      <w:r w:rsidRPr="00DC4FD0">
        <w:rPr>
          <w:rFonts w:cs="Arial"/>
          <w:i/>
          <w:szCs w:val="16"/>
        </w:rPr>
        <w:t xml:space="preserve">The Netherlands- Consumer </w:t>
      </w:r>
      <w:r w:rsidR="00AB0417">
        <w:rPr>
          <w:rFonts w:cs="Arial"/>
          <w:i/>
          <w:szCs w:val="16"/>
        </w:rPr>
        <w:t xml:space="preserve">Authority fines provider of SMS </w:t>
      </w:r>
      <w:r w:rsidRPr="00DC4FD0">
        <w:rPr>
          <w:rFonts w:cs="Arial"/>
          <w:i/>
          <w:szCs w:val="16"/>
        </w:rPr>
        <w:t xml:space="preserve">services, </w:t>
      </w:r>
      <w:r w:rsidRPr="00DC4FD0">
        <w:rPr>
          <w:rFonts w:cs="Arial"/>
          <w:szCs w:val="16"/>
        </w:rPr>
        <w:t>news, 2 August 2010 &lt;</w:t>
      </w:r>
      <w:hyperlink r:id="rId12" w:history="1">
        <w:r w:rsidRPr="00DC4FD0">
          <w:rPr>
            <w:rStyle w:val="Hyperlink"/>
            <w:rFonts w:cs="Arial"/>
            <w:color w:val="auto"/>
            <w:sz w:val="16"/>
            <w:szCs w:val="16"/>
          </w:rPr>
          <w:t>https://www.icpen.org/news/the-netherlands-consumer-authority-fines-provider-of-sms-services.html</w:t>
        </w:r>
      </w:hyperlink>
      <w:r w:rsidRPr="00DC4FD0">
        <w:rPr>
          <w:rStyle w:val="Hyperlink"/>
          <w:rFonts w:cs="Arial"/>
          <w:color w:val="auto"/>
          <w:sz w:val="16"/>
          <w:szCs w:val="16"/>
        </w:rPr>
        <w:t>&gt;</w:t>
      </w:r>
      <w:r w:rsidRPr="00DC4FD0">
        <w:rPr>
          <w:rFonts w:cs="Arial"/>
          <w:szCs w:val="16"/>
        </w:rPr>
        <w:t xml:space="preserve">. </w:t>
      </w:r>
    </w:p>
  </w:footnote>
  <w:footnote w:id="34">
    <w:p w:rsidR="00223DBC" w:rsidRPr="006952A5" w:rsidRDefault="00223DBC" w:rsidP="00141698">
      <w:pPr>
        <w:pStyle w:val="FootnoteText"/>
        <w:rPr>
          <w:rFonts w:cs="Arial"/>
          <w:szCs w:val="16"/>
        </w:rPr>
      </w:pPr>
      <w:r w:rsidRPr="00DC4FD0">
        <w:rPr>
          <w:rStyle w:val="FootnoteReference"/>
          <w:rFonts w:cs="Arial"/>
          <w:szCs w:val="16"/>
        </w:rPr>
        <w:footnoteRef/>
      </w:r>
      <w:r w:rsidRPr="00DC4FD0">
        <w:rPr>
          <w:rFonts w:cs="Arial"/>
          <w:szCs w:val="16"/>
        </w:rPr>
        <w:t xml:space="preserve"> Korea Fair Trade Commission, </w:t>
      </w:r>
      <w:r w:rsidRPr="00DC4FD0">
        <w:rPr>
          <w:rFonts w:cs="Arial"/>
          <w:i/>
          <w:szCs w:val="16"/>
        </w:rPr>
        <w:t xml:space="preserve">Abuse of Market Dominance, </w:t>
      </w:r>
      <w:r w:rsidRPr="00DC4FD0">
        <w:rPr>
          <w:rFonts w:cs="Arial"/>
          <w:szCs w:val="16"/>
        </w:rPr>
        <w:t>cases, 14 January 2013 &lt;</w:t>
      </w:r>
      <w:hyperlink r:id="rId13" w:history="1">
        <w:r w:rsidRPr="00DC4FD0">
          <w:rPr>
            <w:rStyle w:val="Hyperlink"/>
            <w:rFonts w:cs="Arial"/>
            <w:color w:val="auto"/>
            <w:sz w:val="16"/>
            <w:szCs w:val="16"/>
          </w:rPr>
          <w:t>http://eng.ftc.go.kr/bbs.do</w:t>
        </w:r>
      </w:hyperlink>
      <w:r w:rsidRPr="00DC4FD0">
        <w:rPr>
          <w:rStyle w:val="Hyperlink"/>
          <w:rFonts w:cs="Arial"/>
          <w:color w:val="auto"/>
          <w:sz w:val="16"/>
          <w:szCs w:val="16"/>
        </w:rPr>
        <w:t>&gt;</w:t>
      </w:r>
      <w:r w:rsidRPr="00DC4FD0">
        <w:rPr>
          <w:rFonts w:cs="Arial"/>
          <w:szCs w:val="16"/>
        </w:rPr>
        <w:t>.</w:t>
      </w:r>
      <w:r w:rsidRPr="006952A5">
        <w:rPr>
          <w:rFonts w:cs="Arial"/>
          <w:szCs w:val="16"/>
        </w:rPr>
        <w:t xml:space="preserve"> </w:t>
      </w:r>
    </w:p>
  </w:footnote>
  <w:footnote w:id="35">
    <w:p w:rsidR="00223DBC" w:rsidRPr="006952A5" w:rsidRDefault="00223DBC" w:rsidP="00141698">
      <w:pPr>
        <w:pStyle w:val="FootnoteText"/>
        <w:rPr>
          <w:rFonts w:cs="Arial"/>
          <w:szCs w:val="16"/>
        </w:rPr>
      </w:pPr>
      <w:r w:rsidRPr="006952A5">
        <w:rPr>
          <w:rStyle w:val="FootnoteReference"/>
          <w:rFonts w:cs="Arial"/>
          <w:szCs w:val="16"/>
        </w:rPr>
        <w:footnoteRef/>
      </w:r>
      <w:r w:rsidRPr="006952A5">
        <w:rPr>
          <w:rFonts w:cs="Arial"/>
          <w:szCs w:val="16"/>
        </w:rPr>
        <w:t xml:space="preserve"> OECD, </w:t>
      </w:r>
      <w:r w:rsidRPr="006952A5">
        <w:rPr>
          <w:rFonts w:cs="Arial"/>
          <w:i/>
          <w:szCs w:val="16"/>
        </w:rPr>
        <w:t xml:space="preserve">Cartel Sanctions Against Individuals 2003, </w:t>
      </w:r>
      <w:r w:rsidRPr="006952A5">
        <w:rPr>
          <w:rFonts w:cs="Arial"/>
          <w:szCs w:val="16"/>
        </w:rPr>
        <w:t>Policy Roundtables</w:t>
      </w:r>
      <w:r w:rsidRPr="006952A5">
        <w:rPr>
          <w:rFonts w:cs="Arial"/>
          <w:i/>
          <w:szCs w:val="16"/>
        </w:rPr>
        <w:t xml:space="preserve">. </w:t>
      </w:r>
    </w:p>
  </w:footnote>
  <w:footnote w:id="36">
    <w:p w:rsidR="00223DBC" w:rsidRPr="006952A5" w:rsidRDefault="00223DBC" w:rsidP="00141698">
      <w:pPr>
        <w:pStyle w:val="FootnoteText"/>
        <w:rPr>
          <w:rFonts w:cs="Arial"/>
          <w:szCs w:val="16"/>
        </w:rPr>
      </w:pPr>
      <w:r w:rsidRPr="006952A5">
        <w:rPr>
          <w:rStyle w:val="FootnoteReference"/>
          <w:rFonts w:cs="Arial"/>
          <w:szCs w:val="16"/>
        </w:rPr>
        <w:footnoteRef/>
      </w:r>
      <w:r w:rsidRPr="006952A5">
        <w:rPr>
          <w:rFonts w:cs="Arial"/>
          <w:szCs w:val="16"/>
        </w:rPr>
        <w:t xml:space="preserve"> US Department of Justice, </w:t>
      </w:r>
      <w:r w:rsidRPr="006952A5">
        <w:rPr>
          <w:rFonts w:cs="Arial"/>
          <w:i/>
          <w:szCs w:val="16"/>
        </w:rPr>
        <w:t xml:space="preserve">Individual Accountability for Corporate Wrongdoing </w:t>
      </w:r>
      <w:r w:rsidRPr="006952A5">
        <w:rPr>
          <w:rFonts w:cs="Arial"/>
          <w:szCs w:val="16"/>
        </w:rPr>
        <w:t xml:space="preserve">(9 September 2015).  </w:t>
      </w:r>
    </w:p>
  </w:footnote>
  <w:footnote w:id="37">
    <w:p w:rsidR="00223DBC" w:rsidRPr="0055234A" w:rsidRDefault="00223DBC" w:rsidP="00141698">
      <w:pPr>
        <w:pStyle w:val="FootnoteText"/>
        <w:rPr>
          <w:rFonts w:cs="Arial"/>
          <w:szCs w:val="16"/>
        </w:rPr>
      </w:pPr>
      <w:r w:rsidRPr="006952A5">
        <w:rPr>
          <w:rStyle w:val="FootnoteReference"/>
          <w:rFonts w:cs="Arial"/>
          <w:szCs w:val="16"/>
        </w:rPr>
        <w:footnoteRef/>
      </w:r>
      <w:r w:rsidRPr="006952A5">
        <w:rPr>
          <w:rFonts w:cs="Arial"/>
          <w:szCs w:val="16"/>
        </w:rPr>
        <w:t xml:space="preserve"> </w:t>
      </w:r>
      <w:proofErr w:type="gramStart"/>
      <w:r w:rsidRPr="006952A5">
        <w:rPr>
          <w:rFonts w:cs="Arial"/>
          <w:szCs w:val="16"/>
        </w:rPr>
        <w:t>CCA s 77A; ACL s 229.</w:t>
      </w:r>
      <w:proofErr w:type="gramEnd"/>
      <w:r>
        <w:rPr>
          <w:rFonts w:cs="Arial"/>
          <w:szCs w:val="16"/>
        </w:rPr>
        <w:t xml:space="preserve"> </w:t>
      </w:r>
    </w:p>
  </w:footnote>
  <w:footnote w:id="38">
    <w:p w:rsidR="00223DBC" w:rsidRPr="00D73CF3" w:rsidRDefault="00223DBC" w:rsidP="00141698">
      <w:pPr>
        <w:pStyle w:val="NormalWeb"/>
        <w:spacing w:after="0"/>
        <w:rPr>
          <w:rFonts w:ascii="Arial" w:hAnsi="Arial" w:cs="Arial"/>
          <w:color w:val="000000"/>
          <w:sz w:val="16"/>
          <w:szCs w:val="16"/>
          <w:lang w:val="en"/>
        </w:rPr>
      </w:pPr>
      <w:r w:rsidRPr="00D73CF3">
        <w:rPr>
          <w:rStyle w:val="FootnoteReference"/>
          <w:rFonts w:ascii="Arial" w:hAnsi="Arial" w:cs="Arial"/>
          <w:sz w:val="16"/>
          <w:szCs w:val="16"/>
        </w:rPr>
        <w:footnoteRef/>
      </w:r>
      <w:r w:rsidRPr="00D73CF3">
        <w:rPr>
          <w:rFonts w:ascii="Arial" w:hAnsi="Arial" w:cs="Arial"/>
          <w:sz w:val="16"/>
          <w:szCs w:val="16"/>
        </w:rPr>
        <w:t xml:space="preserve"> </w:t>
      </w:r>
      <w:proofErr w:type="gramStart"/>
      <w:r w:rsidRPr="00D73CF3">
        <w:rPr>
          <w:rStyle w:val="italic1"/>
          <w:rFonts w:ascii="Arial" w:hAnsi="Arial" w:cs="Arial"/>
          <w:color w:val="000000"/>
          <w:sz w:val="16"/>
          <w:szCs w:val="16"/>
          <w:lang w:val="en"/>
        </w:rPr>
        <w:t>Trade Practices Commission v CSR Ltd</w:t>
      </w:r>
      <w:r w:rsidRPr="00D73CF3">
        <w:rPr>
          <w:rFonts w:ascii="Arial" w:hAnsi="Arial" w:cs="Arial"/>
          <w:color w:val="000000"/>
          <w:sz w:val="16"/>
          <w:szCs w:val="16"/>
          <w:lang w:val="en"/>
        </w:rPr>
        <w:t xml:space="preserve"> [1991] ATPR 41-076 at 52,152.</w:t>
      </w:r>
      <w:proofErr w:type="gramEnd"/>
    </w:p>
  </w:footnote>
  <w:footnote w:id="39">
    <w:p w:rsidR="00223DBC" w:rsidRPr="00D73CF3" w:rsidRDefault="00223DBC" w:rsidP="00141698">
      <w:pPr>
        <w:pStyle w:val="FootnoteText"/>
        <w:rPr>
          <w:rFonts w:cs="Arial"/>
          <w:szCs w:val="16"/>
        </w:rPr>
      </w:pPr>
      <w:r w:rsidRPr="00D73CF3">
        <w:rPr>
          <w:rStyle w:val="FootnoteReference"/>
          <w:rFonts w:cs="Arial"/>
          <w:szCs w:val="16"/>
        </w:rPr>
        <w:footnoteRef/>
      </w:r>
      <w:r w:rsidRPr="00D73CF3">
        <w:rPr>
          <w:rFonts w:cs="Arial"/>
          <w:szCs w:val="16"/>
        </w:rPr>
        <w:t xml:space="preserve"> </w:t>
      </w:r>
      <w:proofErr w:type="gramStart"/>
      <w:r w:rsidRPr="00D73CF3">
        <w:rPr>
          <w:rFonts w:cs="Arial"/>
          <w:i/>
          <w:szCs w:val="16"/>
        </w:rPr>
        <w:t xml:space="preserve">Trade Practices Commission v CSR Ltd </w:t>
      </w:r>
      <w:r>
        <w:rPr>
          <w:rFonts w:cs="Arial"/>
          <w:szCs w:val="16"/>
        </w:rPr>
        <w:t>(1991) ATPR 41-</w:t>
      </w:r>
      <w:r w:rsidRPr="00D73CF3">
        <w:rPr>
          <w:rFonts w:cs="Arial"/>
          <w:szCs w:val="16"/>
        </w:rPr>
        <w:t>076 at 52, 153.</w:t>
      </w:r>
      <w:proofErr w:type="gramEnd"/>
    </w:p>
  </w:footnote>
  <w:footnote w:id="40">
    <w:p w:rsidR="00223DBC" w:rsidRPr="00C66252" w:rsidRDefault="00223DBC" w:rsidP="00141698">
      <w:pPr>
        <w:pStyle w:val="FootnoteText"/>
        <w:rPr>
          <w:rFonts w:cs="Arial"/>
          <w:szCs w:val="16"/>
        </w:rPr>
      </w:pPr>
      <w:r w:rsidRPr="00C66252">
        <w:rPr>
          <w:rStyle w:val="FootnoteReference"/>
          <w:rFonts w:cs="Arial"/>
          <w:szCs w:val="16"/>
        </w:rPr>
        <w:footnoteRef/>
      </w:r>
      <w:r w:rsidRPr="00C66252">
        <w:rPr>
          <w:rFonts w:cs="Arial"/>
          <w:szCs w:val="16"/>
        </w:rPr>
        <w:t xml:space="preserve"> </w:t>
      </w:r>
      <w:r>
        <w:rPr>
          <w:rFonts w:cs="Arial"/>
          <w:szCs w:val="16"/>
        </w:rPr>
        <w:t xml:space="preserve">ACCC, </w:t>
      </w:r>
      <w:r>
        <w:rPr>
          <w:rFonts w:cs="Arial"/>
          <w:i/>
          <w:szCs w:val="16"/>
        </w:rPr>
        <w:t xml:space="preserve">ACCC Submissions, </w:t>
      </w:r>
      <w:r>
        <w:rPr>
          <w:rFonts w:cs="Arial"/>
          <w:szCs w:val="16"/>
        </w:rPr>
        <w:t xml:space="preserve">viewed on 24 February 2016 </w:t>
      </w:r>
      <w:hyperlink r:id="rId14" w:history="1">
        <w:r w:rsidRPr="00C66252">
          <w:rPr>
            <w:rStyle w:val="Hyperlink"/>
            <w:rFonts w:cs="Arial"/>
            <w:color w:val="auto"/>
            <w:sz w:val="16"/>
            <w:szCs w:val="16"/>
          </w:rPr>
          <w:t>https://www.accc.gov.au/about-us/consultations-submissions/accc-submissions</w:t>
        </w:r>
      </w:hyperlink>
      <w:r w:rsidRPr="00C66252">
        <w:rPr>
          <w:rFonts w:cs="Arial"/>
          <w:szCs w:val="16"/>
        </w:rPr>
        <w:t xml:space="preserve">. </w:t>
      </w:r>
    </w:p>
  </w:footnote>
  <w:footnote w:id="41">
    <w:p w:rsidR="00223DBC" w:rsidRPr="00C66252" w:rsidRDefault="00223DBC" w:rsidP="00141698">
      <w:pPr>
        <w:pStyle w:val="FootnoteText"/>
        <w:rPr>
          <w:rFonts w:cs="Arial"/>
          <w:szCs w:val="16"/>
        </w:rPr>
      </w:pPr>
      <w:r w:rsidRPr="00C66252">
        <w:rPr>
          <w:rStyle w:val="FootnoteReference"/>
          <w:rFonts w:cs="Arial"/>
          <w:szCs w:val="16"/>
        </w:rPr>
        <w:footnoteRef/>
      </w:r>
      <w:r w:rsidRPr="00C66252">
        <w:rPr>
          <w:rFonts w:cs="Arial"/>
          <w:szCs w:val="16"/>
        </w:rPr>
        <w:t xml:space="preserve"> </w:t>
      </w:r>
      <w:r w:rsidR="005713C2">
        <w:rPr>
          <w:rFonts w:cs="Arial"/>
          <w:szCs w:val="16"/>
        </w:rPr>
        <w:t xml:space="preserve">This </w:t>
      </w:r>
      <w:proofErr w:type="gramStart"/>
      <w:r w:rsidR="005713C2">
        <w:rPr>
          <w:rFonts w:cs="Arial"/>
          <w:szCs w:val="16"/>
        </w:rPr>
        <w:t>criteria</w:t>
      </w:r>
      <w:proofErr w:type="gramEnd"/>
      <w:r w:rsidR="005713C2">
        <w:rPr>
          <w:rFonts w:cs="Arial"/>
          <w:szCs w:val="16"/>
        </w:rPr>
        <w:t xml:space="preserve"> often includes requirements for f</w:t>
      </w:r>
      <w:r w:rsidRPr="00C66252">
        <w:rPr>
          <w:rFonts w:cs="Arial"/>
          <w:szCs w:val="16"/>
        </w:rPr>
        <w:t>ull and frank</w:t>
      </w:r>
      <w:r w:rsidR="005713C2">
        <w:rPr>
          <w:rFonts w:cs="Arial"/>
          <w:szCs w:val="16"/>
        </w:rPr>
        <w:t xml:space="preserve"> disclosure and full</w:t>
      </w:r>
      <w:r>
        <w:rPr>
          <w:rFonts w:cs="Arial"/>
          <w:szCs w:val="16"/>
        </w:rPr>
        <w:t xml:space="preserve"> </w:t>
      </w:r>
      <w:r w:rsidRPr="00C66252">
        <w:rPr>
          <w:rFonts w:cs="Arial"/>
          <w:szCs w:val="16"/>
        </w:rPr>
        <w:t xml:space="preserve">cooperation with the investigation and any subsequent legal proceedings etc. </w:t>
      </w:r>
    </w:p>
  </w:footnote>
  <w:footnote w:id="42">
    <w:p w:rsidR="00223DBC" w:rsidRPr="00C66252" w:rsidRDefault="00223DBC" w:rsidP="00141698">
      <w:pPr>
        <w:pStyle w:val="FootnoteText"/>
        <w:rPr>
          <w:rFonts w:cs="Arial"/>
          <w:szCs w:val="16"/>
        </w:rPr>
      </w:pPr>
      <w:r w:rsidRPr="00C66252">
        <w:rPr>
          <w:rStyle w:val="FootnoteReference"/>
          <w:rFonts w:cs="Arial"/>
          <w:szCs w:val="16"/>
        </w:rPr>
        <w:footnoteRef/>
      </w:r>
      <w:r w:rsidRPr="00C66252">
        <w:rPr>
          <w:rFonts w:cs="Arial"/>
          <w:szCs w:val="16"/>
        </w:rPr>
        <w:t xml:space="preserve"> </w:t>
      </w:r>
      <w:r>
        <w:rPr>
          <w:rFonts w:cs="Arial"/>
          <w:szCs w:val="16"/>
        </w:rPr>
        <w:t xml:space="preserve">ACCC, </w:t>
      </w:r>
      <w:r>
        <w:rPr>
          <w:rFonts w:cs="Arial"/>
          <w:i/>
          <w:szCs w:val="16"/>
        </w:rPr>
        <w:t xml:space="preserve">ACCC Submissions, </w:t>
      </w:r>
      <w:r>
        <w:rPr>
          <w:rFonts w:cs="Arial"/>
          <w:szCs w:val="16"/>
        </w:rPr>
        <w:t xml:space="preserve">viewed on 24 February 2016 </w:t>
      </w:r>
      <w:hyperlink r:id="rId15" w:history="1">
        <w:r w:rsidRPr="00C66252">
          <w:rPr>
            <w:rStyle w:val="Hyperlink"/>
            <w:rFonts w:cs="Arial"/>
            <w:color w:val="auto"/>
            <w:sz w:val="16"/>
            <w:szCs w:val="16"/>
          </w:rPr>
          <w:t>https://www.accc.gov.au/about-us/consultations-submissions/accc-submissions</w:t>
        </w:r>
      </w:hyperlink>
      <w:r w:rsidRPr="00C66252">
        <w:rPr>
          <w:rFonts w:cs="Arial"/>
          <w:szCs w:val="16"/>
        </w:rPr>
        <w:t>.</w:t>
      </w:r>
    </w:p>
  </w:footnote>
  <w:footnote w:id="43">
    <w:p w:rsidR="00223DBC" w:rsidRPr="001327ED" w:rsidRDefault="00223DBC" w:rsidP="00141698">
      <w:pPr>
        <w:pStyle w:val="FootnoteText"/>
      </w:pPr>
      <w:r w:rsidRPr="00C66252">
        <w:rPr>
          <w:rStyle w:val="FootnoteReference"/>
          <w:rFonts w:cs="Arial"/>
          <w:szCs w:val="16"/>
        </w:rPr>
        <w:footnoteRef/>
      </w:r>
      <w:r w:rsidRPr="00C66252">
        <w:rPr>
          <w:rFonts w:cs="Arial"/>
          <w:szCs w:val="16"/>
        </w:rPr>
        <w:t xml:space="preserve"> </w:t>
      </w:r>
      <w:r>
        <w:rPr>
          <w:rFonts w:cs="Arial"/>
          <w:szCs w:val="16"/>
        </w:rPr>
        <w:t xml:space="preserve">Attorney-General’s Department, </w:t>
      </w:r>
      <w:r>
        <w:rPr>
          <w:rFonts w:cs="Arial"/>
          <w:i/>
          <w:szCs w:val="16"/>
        </w:rPr>
        <w:t xml:space="preserve">Deferred Prosecution Agreements, </w:t>
      </w:r>
      <w:r>
        <w:rPr>
          <w:rFonts w:cs="Arial"/>
          <w:szCs w:val="16"/>
        </w:rPr>
        <w:t xml:space="preserve">viewed on 30 March 2016, </w:t>
      </w:r>
      <w:hyperlink r:id="rId16" w:history="1">
        <w:r w:rsidRPr="00C66252">
          <w:rPr>
            <w:rStyle w:val="Hyperlink"/>
            <w:rFonts w:cs="Arial"/>
            <w:color w:val="auto"/>
            <w:sz w:val="16"/>
            <w:szCs w:val="16"/>
          </w:rPr>
          <w:t>https://www.ag.gov.au/Consultations/Pages/Deferred-prosecution-agreements-public-consultation.aspx</w:t>
        </w:r>
      </w:hyperlink>
      <w:r w:rsidRPr="00C66252">
        <w:rPr>
          <w:rFonts w:cs="Arial"/>
          <w:szCs w:val="16"/>
        </w:rPr>
        <w:t>.</w:t>
      </w:r>
      <w:r w:rsidRPr="001327ED">
        <w:t xml:space="preserve"> </w:t>
      </w:r>
    </w:p>
  </w:footnote>
  <w:footnote w:id="44">
    <w:p w:rsidR="00223DBC" w:rsidRPr="00D73CF3" w:rsidRDefault="00223DBC" w:rsidP="00141698">
      <w:pPr>
        <w:pStyle w:val="FootnoteText"/>
        <w:rPr>
          <w:rFonts w:cs="Arial"/>
          <w:szCs w:val="16"/>
        </w:rPr>
      </w:pPr>
      <w:r w:rsidRPr="00D73CF3">
        <w:rPr>
          <w:rStyle w:val="FootnoteReference"/>
          <w:rFonts w:cs="Arial"/>
          <w:szCs w:val="16"/>
        </w:rPr>
        <w:footnoteRef/>
      </w:r>
      <w:r w:rsidRPr="00D73CF3">
        <w:rPr>
          <w:rFonts w:cs="Arial"/>
          <w:szCs w:val="16"/>
        </w:rPr>
        <w:t xml:space="preserve"> </w:t>
      </w:r>
      <w:proofErr w:type="gramStart"/>
      <w:r>
        <w:rPr>
          <w:rFonts w:cs="Arial"/>
          <w:szCs w:val="16"/>
        </w:rPr>
        <w:t>ACL s</w:t>
      </w:r>
      <w:r w:rsidRPr="00D73CF3">
        <w:rPr>
          <w:rFonts w:cs="Arial"/>
          <w:szCs w:val="16"/>
        </w:rPr>
        <w:t xml:space="preserve"> 22</w:t>
      </w:r>
      <w:r w:rsidRPr="00D73CF3">
        <w:rPr>
          <w:rFonts w:cs="Arial"/>
          <w:i/>
          <w:szCs w:val="16"/>
        </w:rPr>
        <w:t>.</w:t>
      </w:r>
      <w:proofErr w:type="gramEnd"/>
    </w:p>
  </w:footnote>
  <w:footnote w:id="45">
    <w:p w:rsidR="00223DBC" w:rsidRPr="00DC4FD0" w:rsidRDefault="00223DBC" w:rsidP="00141698">
      <w:pPr>
        <w:pStyle w:val="FootnoteText"/>
        <w:rPr>
          <w:rFonts w:cs="Arial"/>
          <w:szCs w:val="16"/>
        </w:rPr>
      </w:pPr>
      <w:r w:rsidRPr="00DC4FD0">
        <w:rPr>
          <w:rStyle w:val="FootnoteReference"/>
          <w:rFonts w:cs="Arial"/>
          <w:szCs w:val="16"/>
        </w:rPr>
        <w:footnoteRef/>
      </w:r>
      <w:r w:rsidRPr="00DC4FD0">
        <w:rPr>
          <w:rFonts w:cs="Arial"/>
          <w:szCs w:val="16"/>
        </w:rPr>
        <w:t xml:space="preserve"> </w:t>
      </w:r>
      <w:proofErr w:type="gramStart"/>
      <w:r w:rsidRPr="00DC4FD0">
        <w:rPr>
          <w:rFonts w:cs="Arial"/>
          <w:i/>
          <w:szCs w:val="16"/>
          <w:lang w:val="en"/>
        </w:rPr>
        <w:t>ACCC v Coles Supermarkets Australia Pty Ltd</w:t>
      </w:r>
      <w:r w:rsidRPr="00DC4FD0">
        <w:rPr>
          <w:rFonts w:cs="Arial"/>
          <w:szCs w:val="16"/>
          <w:lang w:val="en"/>
        </w:rPr>
        <w:t xml:space="preserve"> [2014] FCA 1405, at 106.</w:t>
      </w:r>
      <w:proofErr w:type="gramEnd"/>
      <w:r w:rsidRPr="00DC4FD0">
        <w:rPr>
          <w:rFonts w:cs="Arial"/>
          <w:szCs w:val="16"/>
          <w:lang w:val="en"/>
        </w:rPr>
        <w:t xml:space="preserve"> </w:t>
      </w:r>
    </w:p>
  </w:footnote>
  <w:footnote w:id="46">
    <w:p w:rsidR="00223DBC" w:rsidRPr="00D73CF3" w:rsidRDefault="00223DBC" w:rsidP="00141698">
      <w:pPr>
        <w:pStyle w:val="FootnoteText"/>
        <w:rPr>
          <w:rFonts w:cs="Arial"/>
          <w:szCs w:val="16"/>
        </w:rPr>
      </w:pPr>
      <w:r w:rsidRPr="00DC4FD0">
        <w:rPr>
          <w:rStyle w:val="FootnoteReference"/>
          <w:rFonts w:cs="Arial"/>
          <w:szCs w:val="16"/>
        </w:rPr>
        <w:footnoteRef/>
      </w:r>
      <w:r w:rsidRPr="00DC4FD0">
        <w:rPr>
          <w:rFonts w:cs="Arial"/>
          <w:szCs w:val="16"/>
        </w:rPr>
        <w:t xml:space="preserve"> See ACL Issues paper at </w:t>
      </w:r>
      <w:hyperlink r:id="rId17" w:history="1">
        <w:r w:rsidRPr="00DC4FD0">
          <w:rPr>
            <w:rStyle w:val="Hyperlink"/>
            <w:rFonts w:cs="Arial"/>
            <w:color w:val="auto"/>
            <w:sz w:val="16"/>
            <w:szCs w:val="16"/>
          </w:rPr>
          <w:t>http://consumerlaw.gov.au/review-of-the-australian-consumer-law/have-your-say/</w:t>
        </w:r>
      </w:hyperlink>
      <w:r w:rsidRPr="00DC4FD0">
        <w:rPr>
          <w:rFonts w:cs="Arial"/>
          <w:szCs w:val="16"/>
        </w:rPr>
        <w:t>.</w:t>
      </w:r>
      <w:r>
        <w:rPr>
          <w:rFonts w:cs="Arial"/>
          <w:szCs w:val="16"/>
        </w:rPr>
        <w:t xml:space="preserve"> </w:t>
      </w:r>
    </w:p>
  </w:footnote>
  <w:footnote w:id="47">
    <w:p w:rsidR="00292029" w:rsidRPr="008D09F3" w:rsidRDefault="00292029" w:rsidP="00292029">
      <w:pPr>
        <w:pStyle w:val="FootnoteText"/>
        <w:rPr>
          <w:rFonts w:cs="Arial"/>
          <w:szCs w:val="16"/>
        </w:rPr>
      </w:pPr>
      <w:r w:rsidRPr="008D09F3">
        <w:rPr>
          <w:rStyle w:val="FootnoteReference"/>
          <w:rFonts w:cs="Arial"/>
          <w:szCs w:val="16"/>
        </w:rPr>
        <w:footnoteRef/>
      </w:r>
      <w:r w:rsidRPr="008D09F3">
        <w:rPr>
          <w:rFonts w:cs="Arial"/>
          <w:szCs w:val="16"/>
        </w:rPr>
        <w:t xml:space="preserve"> </w:t>
      </w:r>
      <w:proofErr w:type="gramStart"/>
      <w:r w:rsidRPr="008D09F3">
        <w:rPr>
          <w:rFonts w:cs="Arial"/>
          <w:szCs w:val="16"/>
        </w:rPr>
        <w:t>CCA s 76.</w:t>
      </w:r>
      <w:proofErr w:type="gramEnd"/>
    </w:p>
  </w:footnote>
  <w:footnote w:id="48">
    <w:p w:rsidR="00292029" w:rsidRPr="008D09F3" w:rsidRDefault="00292029" w:rsidP="00292029">
      <w:pPr>
        <w:pStyle w:val="FootnoteText"/>
        <w:rPr>
          <w:rFonts w:cs="Arial"/>
          <w:szCs w:val="16"/>
        </w:rPr>
      </w:pPr>
      <w:r w:rsidRPr="008D09F3">
        <w:rPr>
          <w:rStyle w:val="FootnoteReference"/>
          <w:rFonts w:cs="Arial"/>
          <w:szCs w:val="16"/>
        </w:rPr>
        <w:footnoteRef/>
      </w:r>
      <w:r w:rsidRPr="008D09F3">
        <w:rPr>
          <w:rFonts w:cs="Arial"/>
          <w:szCs w:val="16"/>
        </w:rPr>
        <w:t xml:space="preserve"> </w:t>
      </w:r>
      <w:proofErr w:type="gramStart"/>
      <w:r>
        <w:rPr>
          <w:rFonts w:cs="Arial"/>
          <w:szCs w:val="16"/>
        </w:rPr>
        <w:t>Ibid</w:t>
      </w:r>
      <w:r w:rsidRPr="008D09F3">
        <w:rPr>
          <w:rFonts w:cs="Arial"/>
          <w:szCs w:val="16"/>
        </w:rPr>
        <w:t xml:space="preserve"> s 76.</w:t>
      </w:r>
      <w:proofErr w:type="gramEnd"/>
    </w:p>
  </w:footnote>
  <w:footnote w:id="49">
    <w:p w:rsidR="00292029" w:rsidRPr="008D09F3" w:rsidRDefault="00292029" w:rsidP="00292029">
      <w:pPr>
        <w:pStyle w:val="FootnoteText"/>
        <w:rPr>
          <w:rFonts w:cs="Arial"/>
          <w:szCs w:val="16"/>
        </w:rPr>
      </w:pPr>
      <w:r w:rsidRPr="008D09F3">
        <w:rPr>
          <w:rStyle w:val="FootnoteReference"/>
          <w:rFonts w:cs="Arial"/>
          <w:szCs w:val="16"/>
        </w:rPr>
        <w:footnoteRef/>
      </w:r>
      <w:r w:rsidRPr="008D09F3">
        <w:rPr>
          <w:rFonts w:cs="Arial"/>
          <w:szCs w:val="16"/>
        </w:rPr>
        <w:t xml:space="preserve"> </w:t>
      </w:r>
      <w:proofErr w:type="gramStart"/>
      <w:r>
        <w:rPr>
          <w:rFonts w:cs="Arial"/>
          <w:szCs w:val="16"/>
        </w:rPr>
        <w:t>Ibid</w:t>
      </w:r>
      <w:r w:rsidRPr="008D09F3">
        <w:rPr>
          <w:rFonts w:cs="Arial"/>
          <w:szCs w:val="16"/>
        </w:rPr>
        <w:t xml:space="preserve"> s 80.</w:t>
      </w:r>
      <w:proofErr w:type="gramEnd"/>
    </w:p>
  </w:footnote>
  <w:footnote w:id="50">
    <w:p w:rsidR="00292029" w:rsidRPr="008D09F3" w:rsidRDefault="00292029" w:rsidP="00292029">
      <w:pPr>
        <w:pStyle w:val="FootnoteText"/>
        <w:rPr>
          <w:rFonts w:cs="Arial"/>
          <w:szCs w:val="16"/>
        </w:rPr>
      </w:pPr>
      <w:r w:rsidRPr="008D09F3">
        <w:rPr>
          <w:rStyle w:val="FootnoteReference"/>
          <w:rFonts w:cs="Arial"/>
          <w:szCs w:val="16"/>
        </w:rPr>
        <w:footnoteRef/>
      </w:r>
      <w:r w:rsidRPr="008D09F3">
        <w:rPr>
          <w:rFonts w:cs="Arial"/>
          <w:szCs w:val="16"/>
        </w:rPr>
        <w:t xml:space="preserve"> </w:t>
      </w:r>
      <w:r>
        <w:rPr>
          <w:rFonts w:cs="Arial"/>
          <w:szCs w:val="16"/>
        </w:rPr>
        <w:t>Ibid</w:t>
      </w:r>
      <w:r w:rsidRPr="008D09F3">
        <w:rPr>
          <w:rFonts w:cs="Arial"/>
          <w:szCs w:val="16"/>
        </w:rPr>
        <w:t xml:space="preserve"> s </w:t>
      </w:r>
      <w:proofErr w:type="gramStart"/>
      <w:r w:rsidRPr="008D09F3">
        <w:rPr>
          <w:rFonts w:cs="Arial"/>
          <w:szCs w:val="16"/>
        </w:rPr>
        <w:t>86E(</w:t>
      </w:r>
      <w:proofErr w:type="gramEnd"/>
      <w:r w:rsidRPr="008D09F3">
        <w:rPr>
          <w:rFonts w:cs="Arial"/>
          <w:szCs w:val="16"/>
        </w:rPr>
        <w:t>1).</w:t>
      </w:r>
    </w:p>
  </w:footnote>
  <w:footnote w:id="51">
    <w:p w:rsidR="00292029" w:rsidRDefault="00292029" w:rsidP="00292029">
      <w:pPr>
        <w:pStyle w:val="FootnoteText"/>
      </w:pPr>
      <w:r w:rsidRPr="008D09F3">
        <w:rPr>
          <w:rStyle w:val="FootnoteReference"/>
          <w:rFonts w:cs="Arial"/>
          <w:szCs w:val="16"/>
        </w:rPr>
        <w:footnoteRef/>
      </w:r>
      <w:r w:rsidRPr="008D09F3">
        <w:rPr>
          <w:rFonts w:cs="Arial"/>
          <w:szCs w:val="16"/>
        </w:rPr>
        <w:t xml:space="preserve"> </w:t>
      </w:r>
      <w:proofErr w:type="gramStart"/>
      <w:r>
        <w:rPr>
          <w:rFonts w:cs="Arial"/>
          <w:szCs w:val="16"/>
        </w:rPr>
        <w:t>Ibid</w:t>
      </w:r>
      <w:r w:rsidRPr="008D09F3">
        <w:rPr>
          <w:rFonts w:cs="Arial"/>
          <w:szCs w:val="16"/>
        </w:rPr>
        <w:t xml:space="preserve"> s 87B.</w:t>
      </w:r>
      <w:proofErr w:type="gramEnd"/>
      <w:r>
        <w:t xml:space="preserve"> </w:t>
      </w:r>
    </w:p>
  </w:footnote>
  <w:footnote w:id="52">
    <w:p w:rsidR="00292029" w:rsidRPr="008D09F3" w:rsidRDefault="00292029" w:rsidP="00292029">
      <w:pPr>
        <w:pStyle w:val="FootnoteText"/>
        <w:rPr>
          <w:rFonts w:cs="Arial"/>
          <w:szCs w:val="16"/>
        </w:rPr>
      </w:pPr>
      <w:r w:rsidRPr="008D09F3">
        <w:rPr>
          <w:rStyle w:val="FootnoteReference"/>
          <w:rFonts w:cs="Arial"/>
          <w:szCs w:val="16"/>
        </w:rPr>
        <w:footnoteRef/>
      </w:r>
      <w:r w:rsidRPr="008D09F3">
        <w:rPr>
          <w:rFonts w:cs="Arial"/>
          <w:szCs w:val="16"/>
        </w:rPr>
        <w:t xml:space="preserve"> </w:t>
      </w:r>
      <w:proofErr w:type="gramStart"/>
      <w:r w:rsidRPr="008D09F3">
        <w:rPr>
          <w:rFonts w:cs="Arial"/>
          <w:szCs w:val="16"/>
        </w:rPr>
        <w:t>ACL s 224.</w:t>
      </w:r>
      <w:proofErr w:type="gramEnd"/>
    </w:p>
  </w:footnote>
  <w:footnote w:id="53">
    <w:p w:rsidR="00292029" w:rsidRPr="008D09F3" w:rsidRDefault="00292029" w:rsidP="00292029">
      <w:pPr>
        <w:pStyle w:val="FootnoteText"/>
        <w:rPr>
          <w:rFonts w:cs="Arial"/>
          <w:szCs w:val="16"/>
        </w:rPr>
      </w:pPr>
      <w:r w:rsidRPr="008D09F3">
        <w:rPr>
          <w:rStyle w:val="FootnoteReference"/>
          <w:rFonts w:cs="Arial"/>
          <w:szCs w:val="16"/>
        </w:rPr>
        <w:footnoteRef/>
      </w:r>
      <w:r w:rsidRPr="008D09F3">
        <w:rPr>
          <w:rFonts w:cs="Arial"/>
          <w:szCs w:val="16"/>
        </w:rPr>
        <w:t xml:space="preserve"> </w:t>
      </w:r>
      <w:proofErr w:type="gramStart"/>
      <w:r>
        <w:rPr>
          <w:rFonts w:cs="Arial"/>
          <w:szCs w:val="16"/>
        </w:rPr>
        <w:t>Ibid</w:t>
      </w:r>
      <w:r w:rsidRPr="008D09F3">
        <w:rPr>
          <w:rFonts w:cs="Arial"/>
          <w:szCs w:val="16"/>
        </w:rPr>
        <w:t xml:space="preserve"> s 224.</w:t>
      </w:r>
      <w:proofErr w:type="gramEnd"/>
    </w:p>
  </w:footnote>
  <w:footnote w:id="54">
    <w:p w:rsidR="00292029" w:rsidRPr="008D09F3" w:rsidRDefault="00292029" w:rsidP="00292029">
      <w:pPr>
        <w:pStyle w:val="FootnoteText"/>
        <w:rPr>
          <w:rFonts w:cs="Arial"/>
          <w:szCs w:val="16"/>
        </w:rPr>
      </w:pPr>
      <w:r w:rsidRPr="008D09F3">
        <w:rPr>
          <w:rStyle w:val="FootnoteReference"/>
          <w:rFonts w:cs="Arial"/>
          <w:szCs w:val="16"/>
        </w:rPr>
        <w:footnoteRef/>
      </w:r>
      <w:r w:rsidRPr="008D09F3">
        <w:rPr>
          <w:rFonts w:cs="Arial"/>
          <w:szCs w:val="16"/>
        </w:rPr>
        <w:t xml:space="preserve"> </w:t>
      </w:r>
      <w:proofErr w:type="gramStart"/>
      <w:r>
        <w:rPr>
          <w:rFonts w:cs="Arial"/>
          <w:szCs w:val="16"/>
        </w:rPr>
        <w:t>Ibid</w:t>
      </w:r>
      <w:r w:rsidRPr="008D09F3">
        <w:rPr>
          <w:rFonts w:cs="Arial"/>
          <w:szCs w:val="16"/>
        </w:rPr>
        <w:t xml:space="preserve"> s 248(1).</w:t>
      </w:r>
      <w:proofErr w:type="gramEnd"/>
    </w:p>
  </w:footnote>
  <w:footnote w:id="55">
    <w:p w:rsidR="00292029" w:rsidRPr="008D09F3" w:rsidRDefault="00292029" w:rsidP="00292029">
      <w:pPr>
        <w:pStyle w:val="FootnoteText"/>
        <w:rPr>
          <w:rFonts w:cs="Arial"/>
          <w:szCs w:val="16"/>
        </w:rPr>
      </w:pPr>
      <w:r w:rsidRPr="008D09F3">
        <w:rPr>
          <w:rStyle w:val="FootnoteReference"/>
          <w:rFonts w:cs="Arial"/>
          <w:szCs w:val="16"/>
        </w:rPr>
        <w:footnoteRef/>
      </w:r>
      <w:r w:rsidRPr="008D09F3">
        <w:rPr>
          <w:rFonts w:cs="Arial"/>
          <w:szCs w:val="16"/>
        </w:rPr>
        <w:t xml:space="preserve"> </w:t>
      </w:r>
      <w:proofErr w:type="gramStart"/>
      <w:r>
        <w:rPr>
          <w:rFonts w:cs="Arial"/>
          <w:szCs w:val="16"/>
        </w:rPr>
        <w:t>Ibid</w:t>
      </w:r>
      <w:r w:rsidRPr="008D09F3">
        <w:rPr>
          <w:rFonts w:cs="Arial"/>
          <w:szCs w:val="16"/>
        </w:rPr>
        <w:t xml:space="preserve"> s 134.</w:t>
      </w:r>
      <w:proofErr w:type="gramEnd"/>
    </w:p>
  </w:footnote>
  <w:footnote w:id="56">
    <w:p w:rsidR="00292029" w:rsidRPr="008D09F3" w:rsidRDefault="00292029" w:rsidP="00292029">
      <w:pPr>
        <w:pStyle w:val="FootnoteText"/>
        <w:rPr>
          <w:rFonts w:cs="Arial"/>
          <w:szCs w:val="16"/>
        </w:rPr>
      </w:pPr>
      <w:r w:rsidRPr="008D09F3">
        <w:rPr>
          <w:rStyle w:val="FootnoteReference"/>
          <w:rFonts w:cs="Arial"/>
          <w:szCs w:val="16"/>
        </w:rPr>
        <w:footnoteRef/>
      </w:r>
      <w:r w:rsidRPr="008D09F3">
        <w:rPr>
          <w:rFonts w:cs="Arial"/>
          <w:szCs w:val="16"/>
        </w:rPr>
        <w:t xml:space="preserve"> </w:t>
      </w:r>
      <w:proofErr w:type="gramStart"/>
      <w:r>
        <w:rPr>
          <w:rFonts w:cs="Arial"/>
          <w:szCs w:val="16"/>
        </w:rPr>
        <w:t>Ibid</w:t>
      </w:r>
      <w:r w:rsidRPr="008D09F3">
        <w:rPr>
          <w:rFonts w:cs="Arial"/>
          <w:szCs w:val="16"/>
        </w:rPr>
        <w:t xml:space="preserve"> s 218 and 87B.</w:t>
      </w:r>
      <w:proofErr w:type="gramEnd"/>
    </w:p>
  </w:footnote>
  <w:footnote w:id="57">
    <w:p w:rsidR="00292029" w:rsidRDefault="00292029" w:rsidP="00292029">
      <w:pPr>
        <w:pStyle w:val="FootnoteText"/>
      </w:pPr>
      <w:r w:rsidRPr="008D09F3">
        <w:rPr>
          <w:rStyle w:val="FootnoteReference"/>
          <w:rFonts w:cs="Arial"/>
          <w:szCs w:val="16"/>
        </w:rPr>
        <w:footnoteRef/>
      </w:r>
      <w:r w:rsidRPr="008D09F3">
        <w:rPr>
          <w:rFonts w:cs="Arial"/>
          <w:szCs w:val="16"/>
        </w:rPr>
        <w:t xml:space="preserve"> </w:t>
      </w:r>
      <w:proofErr w:type="gramStart"/>
      <w:r>
        <w:rPr>
          <w:rFonts w:cs="Arial"/>
          <w:szCs w:val="16"/>
        </w:rPr>
        <w:t>Ibid</w:t>
      </w:r>
      <w:r w:rsidRPr="008D09F3">
        <w:rPr>
          <w:rFonts w:cs="Arial"/>
          <w:szCs w:val="16"/>
        </w:rPr>
        <w:t xml:space="preserve"> s 239(1).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029" w:rsidRDefault="002920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029" w:rsidRDefault="002920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029" w:rsidRDefault="002920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2651B1F"/>
    <w:multiLevelType w:val="hybridMultilevel"/>
    <w:tmpl w:val="7A6E4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8AD023D"/>
    <w:multiLevelType w:val="hybridMultilevel"/>
    <w:tmpl w:val="FFA4C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3">
    <w:nsid w:val="165A289D"/>
    <w:multiLevelType w:val="hybridMultilevel"/>
    <w:tmpl w:val="2444B9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5">
    <w:nsid w:val="19504AB5"/>
    <w:multiLevelType w:val="multilevel"/>
    <w:tmpl w:val="98103B4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7">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8">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9">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9262E67"/>
    <w:multiLevelType w:val="multilevel"/>
    <w:tmpl w:val="C778FB5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2">
    <w:nsid w:val="40B114CB"/>
    <w:multiLevelType w:val="hybridMultilevel"/>
    <w:tmpl w:val="DBBC403C"/>
    <w:lvl w:ilvl="0" w:tplc="0C090001">
      <w:start w:val="1"/>
      <w:numFmt w:val="bullet"/>
      <w:lvlText w:val=""/>
      <w:lvlJc w:val="left"/>
      <w:pPr>
        <w:ind w:left="1080" w:hanging="720"/>
      </w:pPr>
      <w:rPr>
        <w:rFonts w:ascii="Symbol" w:hAnsi="Symbol"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1F5161F"/>
    <w:multiLevelType w:val="hybridMultilevel"/>
    <w:tmpl w:val="C24A1840"/>
    <w:lvl w:ilvl="0" w:tplc="BC6856D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7AE2F65"/>
    <w:multiLevelType w:val="hybridMultilevel"/>
    <w:tmpl w:val="DCD45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B041870"/>
    <w:multiLevelType w:val="hybridMultilevel"/>
    <w:tmpl w:val="BE86C1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E4874C5"/>
    <w:multiLevelType w:val="hybridMultilevel"/>
    <w:tmpl w:val="5DCE0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9">
    <w:nsid w:val="5F1A37B0"/>
    <w:multiLevelType w:val="hybridMultilevel"/>
    <w:tmpl w:val="45C4C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33">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34">
    <w:nsid w:val="71F173A5"/>
    <w:multiLevelType w:val="hybridMultilevel"/>
    <w:tmpl w:val="87E86F7C"/>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5">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36">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37">
    <w:nsid w:val="77B47B30"/>
    <w:multiLevelType w:val="hybridMultilevel"/>
    <w:tmpl w:val="C9544F4C"/>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39">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39"/>
  </w:num>
  <w:num w:numId="3">
    <w:abstractNumId w:val="7"/>
  </w:num>
  <w:num w:numId="4">
    <w:abstractNumId w:val="6"/>
  </w:num>
  <w:num w:numId="5">
    <w:abstractNumId w:val="5"/>
  </w:num>
  <w:num w:numId="6">
    <w:abstractNumId w:val="4"/>
  </w:num>
  <w:num w:numId="7">
    <w:abstractNumId w:val="1"/>
  </w:num>
  <w:num w:numId="8">
    <w:abstractNumId w:val="0"/>
  </w:num>
  <w:num w:numId="9">
    <w:abstractNumId w:val="32"/>
  </w:num>
  <w:num w:numId="10">
    <w:abstractNumId w:val="19"/>
  </w:num>
  <w:num w:numId="11">
    <w:abstractNumId w:val="11"/>
  </w:num>
  <w:num w:numId="12">
    <w:abstractNumId w:val="16"/>
  </w:num>
  <w:num w:numId="13">
    <w:abstractNumId w:val="18"/>
  </w:num>
  <w:num w:numId="14">
    <w:abstractNumId w:val="2"/>
  </w:num>
  <w:num w:numId="15">
    <w:abstractNumId w:val="33"/>
  </w:num>
  <w:num w:numId="16">
    <w:abstractNumId w:val="38"/>
  </w:num>
  <w:num w:numId="17">
    <w:abstractNumId w:val="36"/>
  </w:num>
  <w:num w:numId="18">
    <w:abstractNumId w:val="28"/>
  </w:num>
  <w:num w:numId="19">
    <w:abstractNumId w:val="17"/>
  </w:num>
  <w:num w:numId="20">
    <w:abstractNumId w:val="21"/>
  </w:num>
  <w:num w:numId="21">
    <w:abstractNumId w:val="35"/>
  </w:num>
  <w:num w:numId="22">
    <w:abstractNumId w:val="30"/>
  </w:num>
  <w:num w:numId="23">
    <w:abstractNumId w:val="8"/>
  </w:num>
  <w:num w:numId="24">
    <w:abstractNumId w:val="3"/>
  </w:num>
  <w:num w:numId="25">
    <w:abstractNumId w:val="25"/>
  </w:num>
  <w:num w:numId="26">
    <w:abstractNumId w:val="14"/>
  </w:num>
  <w:num w:numId="27">
    <w:abstractNumId w:val="31"/>
  </w:num>
  <w:num w:numId="28">
    <w:abstractNumId w:val="10"/>
  </w:num>
  <w:num w:numId="29">
    <w:abstractNumId w:val="24"/>
  </w:num>
  <w:num w:numId="30">
    <w:abstractNumId w:val="26"/>
  </w:num>
  <w:num w:numId="31">
    <w:abstractNumId w:val="20"/>
  </w:num>
  <w:num w:numId="32">
    <w:abstractNumId w:val="37"/>
  </w:num>
  <w:num w:numId="33">
    <w:abstractNumId w:val="34"/>
  </w:num>
  <w:num w:numId="34">
    <w:abstractNumId w:val="23"/>
  </w:num>
  <w:num w:numId="35">
    <w:abstractNumId w:val="13"/>
  </w:num>
  <w:num w:numId="36">
    <w:abstractNumId w:val="29"/>
  </w:num>
  <w:num w:numId="37">
    <w:abstractNumId w:val="15"/>
  </w:num>
  <w:num w:numId="38">
    <w:abstractNumId w:val="9"/>
  </w:num>
  <w:num w:numId="39">
    <w:abstractNumId w:val="22"/>
  </w:num>
  <w:num w:numId="40">
    <w:abstractNumId w:val="25"/>
    <w:lvlOverride w:ilvl="0">
      <w:startOverride w:val="1"/>
    </w:lvlOverride>
  </w:num>
  <w:num w:numId="41">
    <w:abstractNumId w:val="27"/>
  </w:num>
  <w:num w:numId="42">
    <w:abstractNumId w:val="39"/>
  </w:num>
  <w:num w:numId="43">
    <w:abstractNumId w:val="3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Users\kabake\AppData\Local\Microsoft\Windows\Temporary Internet Files\Content.Outlook\J33EC0MB\LRCA - White Collar Crime Submission - 07042016-SCB (3).docx"/>
  </w:docVars>
  <w:rsids>
    <w:rsidRoot w:val="006843E1"/>
    <w:rsid w:val="0002115F"/>
    <w:rsid w:val="00021202"/>
    <w:rsid w:val="000225C4"/>
    <w:rsid w:val="0003578C"/>
    <w:rsid w:val="00063247"/>
    <w:rsid w:val="00070F9F"/>
    <w:rsid w:val="0007137B"/>
    <w:rsid w:val="00085663"/>
    <w:rsid w:val="00085EBF"/>
    <w:rsid w:val="000C50F0"/>
    <w:rsid w:val="000D122C"/>
    <w:rsid w:val="000E1819"/>
    <w:rsid w:val="000E6C72"/>
    <w:rsid w:val="000F2368"/>
    <w:rsid w:val="000F5176"/>
    <w:rsid w:val="00116EB2"/>
    <w:rsid w:val="00124609"/>
    <w:rsid w:val="00141698"/>
    <w:rsid w:val="001573E4"/>
    <w:rsid w:val="00160756"/>
    <w:rsid w:val="0017232E"/>
    <w:rsid w:val="00174102"/>
    <w:rsid w:val="00180157"/>
    <w:rsid w:val="00181223"/>
    <w:rsid w:val="00186F77"/>
    <w:rsid w:val="001926A4"/>
    <w:rsid w:val="001A3A19"/>
    <w:rsid w:val="001B246B"/>
    <w:rsid w:val="001B45A0"/>
    <w:rsid w:val="001C18EE"/>
    <w:rsid w:val="001D055E"/>
    <w:rsid w:val="001F492E"/>
    <w:rsid w:val="001F6DA3"/>
    <w:rsid w:val="00212737"/>
    <w:rsid w:val="00223DBC"/>
    <w:rsid w:val="00224DB9"/>
    <w:rsid w:val="00251745"/>
    <w:rsid w:val="00263AC0"/>
    <w:rsid w:val="0026772D"/>
    <w:rsid w:val="00273CF7"/>
    <w:rsid w:val="00286874"/>
    <w:rsid w:val="00292029"/>
    <w:rsid w:val="00296B65"/>
    <w:rsid w:val="002A7DEF"/>
    <w:rsid w:val="002F7986"/>
    <w:rsid w:val="00300BDE"/>
    <w:rsid w:val="00303C4A"/>
    <w:rsid w:val="00307F6D"/>
    <w:rsid w:val="003177A2"/>
    <w:rsid w:val="003271B5"/>
    <w:rsid w:val="003301BA"/>
    <w:rsid w:val="0033090B"/>
    <w:rsid w:val="00330CA0"/>
    <w:rsid w:val="00331264"/>
    <w:rsid w:val="00334C8D"/>
    <w:rsid w:val="00340655"/>
    <w:rsid w:val="003459E6"/>
    <w:rsid w:val="003518B3"/>
    <w:rsid w:val="00371641"/>
    <w:rsid w:val="0037783B"/>
    <w:rsid w:val="003846F1"/>
    <w:rsid w:val="003A2633"/>
    <w:rsid w:val="003A4CBE"/>
    <w:rsid w:val="003A673F"/>
    <w:rsid w:val="003B582D"/>
    <w:rsid w:val="003B5A70"/>
    <w:rsid w:val="00475DDE"/>
    <w:rsid w:val="00480B4B"/>
    <w:rsid w:val="00485DC4"/>
    <w:rsid w:val="004B4412"/>
    <w:rsid w:val="004C348C"/>
    <w:rsid w:val="004D55BA"/>
    <w:rsid w:val="005038DB"/>
    <w:rsid w:val="00514726"/>
    <w:rsid w:val="0052379B"/>
    <w:rsid w:val="00530128"/>
    <w:rsid w:val="00532467"/>
    <w:rsid w:val="00547BA2"/>
    <w:rsid w:val="00547CCF"/>
    <w:rsid w:val="00564A4D"/>
    <w:rsid w:val="005713C2"/>
    <w:rsid w:val="00571B35"/>
    <w:rsid w:val="00571C9F"/>
    <w:rsid w:val="00577A09"/>
    <w:rsid w:val="00580B78"/>
    <w:rsid w:val="00584D8F"/>
    <w:rsid w:val="00596D42"/>
    <w:rsid w:val="005A404D"/>
    <w:rsid w:val="005B1E3C"/>
    <w:rsid w:val="005C24AC"/>
    <w:rsid w:val="005C26CC"/>
    <w:rsid w:val="005E6C0E"/>
    <w:rsid w:val="00600D71"/>
    <w:rsid w:val="00615C6B"/>
    <w:rsid w:val="006320B3"/>
    <w:rsid w:val="00632D6D"/>
    <w:rsid w:val="00642C3E"/>
    <w:rsid w:val="00646025"/>
    <w:rsid w:val="00655590"/>
    <w:rsid w:val="00663DAD"/>
    <w:rsid w:val="00676679"/>
    <w:rsid w:val="006843E1"/>
    <w:rsid w:val="00691616"/>
    <w:rsid w:val="00691E8F"/>
    <w:rsid w:val="006B4CF9"/>
    <w:rsid w:val="006B7AC8"/>
    <w:rsid w:val="006D550F"/>
    <w:rsid w:val="006D77F3"/>
    <w:rsid w:val="00701CAB"/>
    <w:rsid w:val="00707563"/>
    <w:rsid w:val="007151DB"/>
    <w:rsid w:val="0072348C"/>
    <w:rsid w:val="00724A37"/>
    <w:rsid w:val="007303C3"/>
    <w:rsid w:val="00743223"/>
    <w:rsid w:val="00746E01"/>
    <w:rsid w:val="00763E5D"/>
    <w:rsid w:val="00767740"/>
    <w:rsid w:val="00770FDC"/>
    <w:rsid w:val="00777EE6"/>
    <w:rsid w:val="00780577"/>
    <w:rsid w:val="00782EEA"/>
    <w:rsid w:val="007A1675"/>
    <w:rsid w:val="007B2C72"/>
    <w:rsid w:val="007C1C53"/>
    <w:rsid w:val="007E26A9"/>
    <w:rsid w:val="007E4904"/>
    <w:rsid w:val="007E4CB5"/>
    <w:rsid w:val="007E7B2A"/>
    <w:rsid w:val="007F066B"/>
    <w:rsid w:val="008033C4"/>
    <w:rsid w:val="00806C88"/>
    <w:rsid w:val="0081034E"/>
    <w:rsid w:val="00827AF4"/>
    <w:rsid w:val="008344F6"/>
    <w:rsid w:val="0083510F"/>
    <w:rsid w:val="00843FE1"/>
    <w:rsid w:val="00851209"/>
    <w:rsid w:val="0086280E"/>
    <w:rsid w:val="0088007E"/>
    <w:rsid w:val="008837AC"/>
    <w:rsid w:val="008945B4"/>
    <w:rsid w:val="008A587D"/>
    <w:rsid w:val="008C40C7"/>
    <w:rsid w:val="008C5486"/>
    <w:rsid w:val="008E7031"/>
    <w:rsid w:val="00922C95"/>
    <w:rsid w:val="009233EE"/>
    <w:rsid w:val="0093161A"/>
    <w:rsid w:val="009661DE"/>
    <w:rsid w:val="009856B7"/>
    <w:rsid w:val="0098602B"/>
    <w:rsid w:val="00991B3B"/>
    <w:rsid w:val="009962BA"/>
    <w:rsid w:val="009B74B0"/>
    <w:rsid w:val="009D4414"/>
    <w:rsid w:val="009D6B46"/>
    <w:rsid w:val="009F4940"/>
    <w:rsid w:val="00A1665B"/>
    <w:rsid w:val="00A4478A"/>
    <w:rsid w:val="00A44852"/>
    <w:rsid w:val="00A57D04"/>
    <w:rsid w:val="00A60A26"/>
    <w:rsid w:val="00A61598"/>
    <w:rsid w:val="00A84F46"/>
    <w:rsid w:val="00A871F4"/>
    <w:rsid w:val="00AB0417"/>
    <w:rsid w:val="00AC1B2C"/>
    <w:rsid w:val="00AC3264"/>
    <w:rsid w:val="00AC6A2C"/>
    <w:rsid w:val="00AC6F01"/>
    <w:rsid w:val="00AE0FE2"/>
    <w:rsid w:val="00AE1BF1"/>
    <w:rsid w:val="00AE6C39"/>
    <w:rsid w:val="00AF0DD2"/>
    <w:rsid w:val="00AF40DA"/>
    <w:rsid w:val="00B10314"/>
    <w:rsid w:val="00B1178C"/>
    <w:rsid w:val="00B13048"/>
    <w:rsid w:val="00B15998"/>
    <w:rsid w:val="00B1716D"/>
    <w:rsid w:val="00B17A1D"/>
    <w:rsid w:val="00B207A0"/>
    <w:rsid w:val="00B26352"/>
    <w:rsid w:val="00B56E03"/>
    <w:rsid w:val="00B60F5D"/>
    <w:rsid w:val="00B67E91"/>
    <w:rsid w:val="00B8080B"/>
    <w:rsid w:val="00B87C39"/>
    <w:rsid w:val="00BA4665"/>
    <w:rsid w:val="00BB2FB2"/>
    <w:rsid w:val="00BB3304"/>
    <w:rsid w:val="00BD3446"/>
    <w:rsid w:val="00BE1F1B"/>
    <w:rsid w:val="00BE47B5"/>
    <w:rsid w:val="00BE4C99"/>
    <w:rsid w:val="00C058AB"/>
    <w:rsid w:val="00C06739"/>
    <w:rsid w:val="00C2183D"/>
    <w:rsid w:val="00C538A9"/>
    <w:rsid w:val="00C53B5A"/>
    <w:rsid w:val="00C54F5A"/>
    <w:rsid w:val="00C755AD"/>
    <w:rsid w:val="00C86679"/>
    <w:rsid w:val="00CB666B"/>
    <w:rsid w:val="00CC25D9"/>
    <w:rsid w:val="00CF799E"/>
    <w:rsid w:val="00D01CF0"/>
    <w:rsid w:val="00D0442A"/>
    <w:rsid w:val="00D203E1"/>
    <w:rsid w:val="00D544B8"/>
    <w:rsid w:val="00D61388"/>
    <w:rsid w:val="00D61A54"/>
    <w:rsid w:val="00D64DEA"/>
    <w:rsid w:val="00D80893"/>
    <w:rsid w:val="00D92CF1"/>
    <w:rsid w:val="00D92D38"/>
    <w:rsid w:val="00D950F5"/>
    <w:rsid w:val="00DB0F93"/>
    <w:rsid w:val="00DC542F"/>
    <w:rsid w:val="00DC7981"/>
    <w:rsid w:val="00DE4EFA"/>
    <w:rsid w:val="00DE5520"/>
    <w:rsid w:val="00E04818"/>
    <w:rsid w:val="00E06442"/>
    <w:rsid w:val="00E23993"/>
    <w:rsid w:val="00E25B8C"/>
    <w:rsid w:val="00E4674F"/>
    <w:rsid w:val="00E65C85"/>
    <w:rsid w:val="00E66199"/>
    <w:rsid w:val="00E755EC"/>
    <w:rsid w:val="00E7624D"/>
    <w:rsid w:val="00EA3BF5"/>
    <w:rsid w:val="00EA3D42"/>
    <w:rsid w:val="00EA6B1B"/>
    <w:rsid w:val="00EE28F3"/>
    <w:rsid w:val="00EF5110"/>
    <w:rsid w:val="00F15882"/>
    <w:rsid w:val="00F20BD3"/>
    <w:rsid w:val="00F373A5"/>
    <w:rsid w:val="00F47559"/>
    <w:rsid w:val="00F60BE4"/>
    <w:rsid w:val="00F61B84"/>
    <w:rsid w:val="00F64C7B"/>
    <w:rsid w:val="00F676DD"/>
    <w:rsid w:val="00F74D87"/>
    <w:rsid w:val="00F75A26"/>
    <w:rsid w:val="00F83FAD"/>
    <w:rsid w:val="00F91DC6"/>
    <w:rsid w:val="00F952A0"/>
    <w:rsid w:val="00FA3C7F"/>
    <w:rsid w:val="00FB52D7"/>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6843E1"/>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99"/>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99"/>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customStyle="1" w:styleId="Default">
    <w:name w:val="Default"/>
    <w:rsid w:val="006843E1"/>
    <w:pPr>
      <w:autoSpaceDE w:val="0"/>
      <w:autoSpaceDN w:val="0"/>
      <w:adjustRightInd w:val="0"/>
      <w:spacing w:before="0"/>
    </w:pPr>
    <w:rPr>
      <w:rFonts w:ascii="Arial" w:hAnsi="Arial" w:cs="Arial"/>
      <w:color w:val="000000"/>
      <w:sz w:val="24"/>
      <w:szCs w:val="24"/>
    </w:rPr>
  </w:style>
  <w:style w:type="paragraph" w:styleId="NormalWeb">
    <w:name w:val="Normal (Web)"/>
    <w:basedOn w:val="Normal"/>
    <w:uiPriority w:val="99"/>
    <w:unhideWhenUsed/>
    <w:rsid w:val="00141698"/>
    <w:pPr>
      <w:spacing w:before="0" w:after="107"/>
    </w:pPr>
    <w:rPr>
      <w:rFonts w:ascii="Times New Roman" w:eastAsia="Times New Roman" w:hAnsi="Times New Roman" w:cs="Times New Roman"/>
      <w:sz w:val="24"/>
      <w:szCs w:val="24"/>
      <w:lang w:eastAsia="en-AU"/>
    </w:rPr>
  </w:style>
  <w:style w:type="character" w:customStyle="1" w:styleId="italic1">
    <w:name w:val="italic1"/>
    <w:basedOn w:val="DefaultParagraphFont"/>
    <w:rsid w:val="0014169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6843E1"/>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99"/>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99"/>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customStyle="1" w:styleId="Default">
    <w:name w:val="Default"/>
    <w:rsid w:val="006843E1"/>
    <w:pPr>
      <w:autoSpaceDE w:val="0"/>
      <w:autoSpaceDN w:val="0"/>
      <w:adjustRightInd w:val="0"/>
      <w:spacing w:before="0"/>
    </w:pPr>
    <w:rPr>
      <w:rFonts w:ascii="Arial" w:hAnsi="Arial" w:cs="Arial"/>
      <w:color w:val="000000"/>
      <w:sz w:val="24"/>
      <w:szCs w:val="24"/>
    </w:rPr>
  </w:style>
  <w:style w:type="paragraph" w:styleId="NormalWeb">
    <w:name w:val="Normal (Web)"/>
    <w:basedOn w:val="Normal"/>
    <w:uiPriority w:val="99"/>
    <w:unhideWhenUsed/>
    <w:rsid w:val="00141698"/>
    <w:pPr>
      <w:spacing w:before="0" w:after="107"/>
    </w:pPr>
    <w:rPr>
      <w:rFonts w:ascii="Times New Roman" w:eastAsia="Times New Roman" w:hAnsi="Times New Roman" w:cs="Times New Roman"/>
      <w:sz w:val="24"/>
      <w:szCs w:val="24"/>
      <w:lang w:eastAsia="en-AU"/>
    </w:rPr>
  </w:style>
  <w:style w:type="character" w:customStyle="1" w:styleId="italic1">
    <w:name w:val="italic1"/>
    <w:basedOn w:val="DefaultParagraphFont"/>
    <w:rsid w:val="001416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g.gov.au/Consultations/Pages/Deferred-prosecution-agreements-public-consultation.aspx" TargetMode="External"/><Relationship Id="rId18" Type="http://schemas.openxmlformats.org/officeDocument/2006/relationships/hyperlink" Target="http://www.accc.gov.au/business/anti-competitive-behaviour/cartels/market-sharing-output-restrictions"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accc.gov.au/about-us/consultations-submissions/accc-submissions" TargetMode="External"/><Relationship Id="rId17" Type="http://schemas.openxmlformats.org/officeDocument/2006/relationships/hyperlink" Target="http://www.accc.gov.au/business/anti-competitive-behaviour/cartels/price-fixin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accc.gov.au/media-release/peter-foster-sentenced-for-contempt-of-court" TargetMode="External"/><Relationship Id="rId20" Type="http://schemas.openxmlformats.org/officeDocument/2006/relationships/hyperlink" Target="http://www.accc.gov.au/business/anti-competitive-behaviour/cartels/output-restricti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cc.gov.au/publications/accc-immunity-cooperation-policy-for-cartel-conduct" TargetMode="Externa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consumerlaw.gov.au/review-of-the-australian-consumer-law/have-your-say/"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accc.gov.au/business/anti-competitive-behaviour/cartels/bid-riggin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consumerlaw.gov.au/review-of-the-australian-consumer-law/have-your-say/"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accc.gov.au/media-release/electronic-bazaar-operator-to-pay-penalties-of-100000-for-misleading-consumers" TargetMode="External"/><Relationship Id="rId13" Type="http://schemas.openxmlformats.org/officeDocument/2006/relationships/hyperlink" Target="http://eng.ftc.go.kr/bbs.do" TargetMode="External"/><Relationship Id="rId3" Type="http://schemas.openxmlformats.org/officeDocument/2006/relationships/hyperlink" Target="https://www.gov.uk/government/news/cma-fines-pharma-companies-45-million" TargetMode="External"/><Relationship Id="rId7" Type="http://schemas.openxmlformats.org/officeDocument/2006/relationships/hyperlink" Target="http://eng.ftc.go.kr/bbs.do?command=getList&amp;type_cd=54&amp;pageId=0302" TargetMode="External"/><Relationship Id="rId12" Type="http://schemas.openxmlformats.org/officeDocument/2006/relationships/hyperlink" Target="https://www.icpen.org/news/the-netherlands-consumer-authority-fines-provider-of-sms-services.html" TargetMode="External"/><Relationship Id="rId17" Type="http://schemas.openxmlformats.org/officeDocument/2006/relationships/hyperlink" Target="http://consumerlaw.gov.au/review-of-the-australian-consumer-law/have-your-say/" TargetMode="External"/><Relationship Id="rId2" Type="http://schemas.openxmlformats.org/officeDocument/2006/relationships/hyperlink" Target="http://europa.eu/rapid/press-release_IP-16-173_en.htm" TargetMode="External"/><Relationship Id="rId16" Type="http://schemas.openxmlformats.org/officeDocument/2006/relationships/hyperlink" Target="https://www.ag.gov.au/Consultations/Pages/Deferred-prosecution-agreements-public-consultation.aspx" TargetMode="External"/><Relationship Id="rId1" Type="http://schemas.openxmlformats.org/officeDocument/2006/relationships/hyperlink" Target="http://www.accc.gov.au/media-release/3-million-penalty-for-bearings-cartel-conduct" TargetMode="External"/><Relationship Id="rId6" Type="http://schemas.openxmlformats.org/officeDocument/2006/relationships/hyperlink" Target="https://www.acm.nl/en/publications/publication/15609/ACM-imposed-fines-of-EUR-125-million-on-cold-storage-firms/" TargetMode="External"/><Relationship Id="rId11" Type="http://schemas.openxmlformats.org/officeDocument/2006/relationships/hyperlink" Target="https://www.ftc.gov/news-events/press-releases/2010/03/new-jersey-based-telephone-fundraisers-banned-soliciting" TargetMode="External"/><Relationship Id="rId5" Type="http://schemas.openxmlformats.org/officeDocument/2006/relationships/hyperlink" Target="http://www.jftc.go.jp/en/pressreleases/yearly-2016/February/160205.html" TargetMode="External"/><Relationship Id="rId15" Type="http://schemas.openxmlformats.org/officeDocument/2006/relationships/hyperlink" Target="https://www.accc.gov.au/about-us/consultations-submissions/accc-submissions" TargetMode="External"/><Relationship Id="rId10" Type="http://schemas.openxmlformats.org/officeDocument/2006/relationships/hyperlink" Target="https://www.gov.uk/government/news/pyramid-scheme-organisers-ordered-to-pay-over-500000" TargetMode="External"/><Relationship Id="rId4" Type="http://schemas.openxmlformats.org/officeDocument/2006/relationships/hyperlink" Target="https://www.justice.gov/opa/pr/kyb-agrees-plead-guilty-and-pay-62-million-criminal-fine-fixing-price-shock-absorbers" TargetMode="External"/><Relationship Id="rId9" Type="http://schemas.openxmlformats.org/officeDocument/2006/relationships/hyperlink" Target="http://www.competitionbureau.gc.ca/eic/site/cb-bc.nsf/eng/03923.html" TargetMode="External"/><Relationship Id="rId14" Type="http://schemas.openxmlformats.org/officeDocument/2006/relationships/hyperlink" Target="https://www.accc.gov.au/about-us/consultations-submissions/accc-submissions"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E306D6-7A35-4759-A827-B484F705B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20D1ED7D</Template>
  <TotalTime>54</TotalTime>
  <Pages>18</Pages>
  <Words>5353</Words>
  <Characters>30513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35795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Smith, Deanne</dc:creator>
  <cp:lastModifiedBy>Baker, Kerin</cp:lastModifiedBy>
  <cp:revision>40</cp:revision>
  <dcterms:created xsi:type="dcterms:W3CDTF">2016-04-07T05:38:00Z</dcterms:created>
  <dcterms:modified xsi:type="dcterms:W3CDTF">2016-04-08T00:35:00Z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I">
    <vt:lpwstr>8656952</vt:lpwstr>
  </property>
  <property fmtid="{D5CDD505-2E9C-101B-9397-08002B2CF9AE}" pid="3" name="currfile">
    <vt:lpwstr>\\cdchnas-evs02\home$\kabake\lrca- submission to the inquiry into white collar crime penalties- final version (D2016-00043328).docx</vt:lpwstr>
  </property>
</Properties>
</file>