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6" w:rsidRDefault="00E40C46" w:rsidP="00E40C46">
      <w:r>
        <w:rPr>
          <w:noProof/>
          <w:lang w:eastAsia="en-AU"/>
        </w:rPr>
        <w:drawing>
          <wp:inline distT="0" distB="0" distL="0" distR="0" wp14:anchorId="30A189AE" wp14:editId="402B9547">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E40C46" w:rsidRDefault="00962322" w:rsidP="005B3E92">
      <w:pPr>
        <w:pStyle w:val="ACCCreporttitle1"/>
      </w:pPr>
      <w:r>
        <w:t xml:space="preserve">NBN Co Special Access Undertaking </w:t>
      </w:r>
    </w:p>
    <w:p w:rsidR="005B3E92" w:rsidRDefault="005B3E92" w:rsidP="005B3E92">
      <w:pPr>
        <w:pStyle w:val="ACCCreporttitle1"/>
      </w:pPr>
    </w:p>
    <w:p w:rsidR="00CD4EFF" w:rsidRDefault="00962322" w:rsidP="005B3E92">
      <w:pPr>
        <w:pStyle w:val="ACCCreporttitle1"/>
      </w:pPr>
      <w:r>
        <w:t xml:space="preserve">Long Term Revenue Constraint Methodology </w:t>
      </w:r>
      <w:r w:rsidR="003A453C">
        <w:t>2014</w:t>
      </w:r>
      <w:r w:rsidR="003A453C">
        <w:softHyphen/>
        <w:t>–15</w:t>
      </w:r>
      <w:r>
        <w:t xml:space="preserve">: </w:t>
      </w:r>
      <w:r w:rsidR="00784E68">
        <w:t>Final</w:t>
      </w:r>
      <w:r>
        <w:t xml:space="preserve"> Determination</w:t>
      </w:r>
    </w:p>
    <w:p w:rsidR="005B3E92" w:rsidRDefault="005B3E92" w:rsidP="005B3E92">
      <w:pPr>
        <w:pStyle w:val="ACCCreporttitle1"/>
      </w:pPr>
    </w:p>
    <w:p w:rsidR="005B3E92" w:rsidRDefault="005B3E92" w:rsidP="005B3E92">
      <w:pPr>
        <w:pStyle w:val="ACCCreporttitle1"/>
      </w:pPr>
      <w:proofErr w:type="gramStart"/>
      <w:r>
        <w:t>and</w:t>
      </w:r>
      <w:proofErr w:type="gramEnd"/>
    </w:p>
    <w:p w:rsidR="003A453C" w:rsidRDefault="003A453C" w:rsidP="005B3E92">
      <w:pPr>
        <w:pStyle w:val="ACCCreporttitle1"/>
      </w:pPr>
    </w:p>
    <w:p w:rsidR="003A453C" w:rsidRDefault="007B1EC8" w:rsidP="005B3E92">
      <w:pPr>
        <w:pStyle w:val="ACCCreporttitle1"/>
      </w:pPr>
      <w:r>
        <w:t>Price compliance r</w:t>
      </w:r>
      <w:r w:rsidR="00962322">
        <w:t xml:space="preserve">eporting </w:t>
      </w:r>
      <w:r w:rsidR="003A453C">
        <w:t>2014–15</w:t>
      </w:r>
      <w:r w:rsidR="00962322">
        <w:t xml:space="preserve"> </w:t>
      </w:r>
    </w:p>
    <w:p w:rsidR="003A453C" w:rsidRDefault="003A453C" w:rsidP="005B3E92">
      <w:pPr>
        <w:pStyle w:val="ACCCreporttitle1"/>
      </w:pPr>
    </w:p>
    <w:p w:rsidR="00B05A7A" w:rsidRDefault="00B05A7A" w:rsidP="005B3E92">
      <w:pPr>
        <w:pStyle w:val="ACCCreporttitle1"/>
      </w:pPr>
    </w:p>
    <w:p w:rsidR="003A453C" w:rsidRDefault="003A453C" w:rsidP="005B3E92">
      <w:pPr>
        <w:pStyle w:val="ACCCreporttitle1"/>
      </w:pPr>
    </w:p>
    <w:p w:rsidR="005B3E92" w:rsidRDefault="005B3E92" w:rsidP="005B3E92">
      <w:pPr>
        <w:pStyle w:val="ACCCreporttitle1"/>
      </w:pPr>
    </w:p>
    <w:p w:rsidR="005B3E92" w:rsidRDefault="005B3E92" w:rsidP="005B3E92">
      <w:pPr>
        <w:pStyle w:val="ACCCreporttitle1"/>
      </w:pPr>
    </w:p>
    <w:p w:rsidR="003A453C" w:rsidRDefault="003A453C" w:rsidP="005B3E92">
      <w:pPr>
        <w:pStyle w:val="ACCCreporttitle1"/>
      </w:pPr>
    </w:p>
    <w:p w:rsidR="00B05A7A" w:rsidRDefault="00B05A7A" w:rsidP="005B3E92">
      <w:pPr>
        <w:pStyle w:val="ACCCreporttitle1"/>
      </w:pPr>
    </w:p>
    <w:p w:rsidR="00E40C46" w:rsidRPr="005B3E92" w:rsidRDefault="00784E68" w:rsidP="005B3E92">
      <w:pPr>
        <w:pStyle w:val="ACCCreporttitle1"/>
      </w:pPr>
      <w:r w:rsidRPr="005B3E92">
        <w:t>June</w:t>
      </w:r>
      <w:r w:rsidR="00067D11" w:rsidRPr="005B3E92">
        <w:t xml:space="preserve"> </w:t>
      </w:r>
      <w:r w:rsidR="00962322" w:rsidRPr="005B3E92">
        <w:t>201</w:t>
      </w:r>
      <w:r w:rsidR="003A453C" w:rsidRPr="005B3E92">
        <w:t>6</w:t>
      </w: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p>
    <w:p w:rsidR="00E40C46" w:rsidRDefault="00E40C46" w:rsidP="003B74EA">
      <w:pPr>
        <w:pStyle w:val="ACCCcopyrighttext"/>
      </w:pPr>
      <w:r>
        <w:rPr>
          <w:noProof/>
          <w:lang w:eastAsia="en-AU"/>
        </w:rPr>
        <w:drawing>
          <wp:inline distT="0" distB="0" distL="0" distR="0" wp14:anchorId="630AA00E" wp14:editId="29AB1C11">
            <wp:extent cx="1181100" cy="914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4346BF" w:rsidRPr="004346BF" w:rsidRDefault="004346BF" w:rsidP="004346BF">
      <w:pPr>
        <w:pStyle w:val="Copyrighttext"/>
        <w:rPr>
          <w:color w:val="auto"/>
        </w:rPr>
      </w:pPr>
      <w:bookmarkStart w:id="0" w:name="_Toc377396309"/>
      <w:bookmarkStart w:id="1" w:name="_Toc352671883"/>
      <w:r w:rsidRPr="004346BF">
        <w:rPr>
          <w:color w:val="auto"/>
        </w:rPr>
        <w:t>Australian Competition and Consumer Commission</w:t>
      </w:r>
    </w:p>
    <w:p w:rsidR="004346BF" w:rsidRPr="004346BF" w:rsidRDefault="004346BF" w:rsidP="004346BF">
      <w:pPr>
        <w:pStyle w:val="Copyrighttext"/>
        <w:rPr>
          <w:color w:val="auto"/>
        </w:rPr>
      </w:pPr>
      <w:r w:rsidRPr="004346BF">
        <w:rPr>
          <w:color w:val="auto"/>
        </w:rPr>
        <w:t>23 Marcus Clarke Street, Canberra, Australian Capital Territory 2601</w:t>
      </w:r>
    </w:p>
    <w:p w:rsidR="004346BF" w:rsidRPr="004346BF" w:rsidRDefault="004346BF" w:rsidP="004346BF">
      <w:pPr>
        <w:pStyle w:val="Copyrighttext"/>
        <w:rPr>
          <w:color w:val="auto"/>
        </w:rPr>
      </w:pPr>
      <w:r w:rsidRPr="004346BF">
        <w:rPr>
          <w:color w:val="auto"/>
        </w:rPr>
        <w:t>© Commonwealth of Australia 201</w:t>
      </w:r>
      <w:r w:rsidR="003A453C">
        <w:rPr>
          <w:color w:val="auto"/>
        </w:rPr>
        <w:t>6</w:t>
      </w:r>
    </w:p>
    <w:p w:rsidR="004346BF" w:rsidRPr="004346BF" w:rsidRDefault="004346BF" w:rsidP="004346BF">
      <w:pPr>
        <w:pStyle w:val="Copyrighttext"/>
        <w:rPr>
          <w:color w:val="auto"/>
        </w:rPr>
      </w:pPr>
      <w:r w:rsidRPr="004346BF">
        <w:rPr>
          <w:color w:val="auto"/>
        </w:rPr>
        <w:t>ISBN 978-1-921973-73-4</w:t>
      </w:r>
    </w:p>
    <w:p w:rsidR="004346BF" w:rsidRPr="004346BF" w:rsidRDefault="004346BF" w:rsidP="004346BF">
      <w:pPr>
        <w:pStyle w:val="Copyrighttext"/>
        <w:rPr>
          <w:color w:val="auto"/>
        </w:rPr>
      </w:pPr>
      <w:r w:rsidRPr="004346BF">
        <w:rPr>
          <w:color w:val="auto"/>
        </w:rPr>
        <w:t>This work is copyright. Apart from any use permitted by the Copyright Act 1968,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 or by email to publishing.unit@accc.gov.au.</w:t>
      </w:r>
    </w:p>
    <w:p w:rsidR="004346BF" w:rsidRPr="004346BF" w:rsidRDefault="00063A6D" w:rsidP="004346BF">
      <w:pPr>
        <w:pStyle w:val="Copyrighttext"/>
        <w:rPr>
          <w:color w:val="auto"/>
        </w:rPr>
      </w:pPr>
      <w:hyperlink r:id="rId11" w:history="1">
        <w:r w:rsidR="004346BF" w:rsidRPr="004346BF">
          <w:rPr>
            <w:rStyle w:val="Hyperlink"/>
            <w:color w:val="auto"/>
          </w:rPr>
          <w:t>www.accc.gov.au</w:t>
        </w:r>
      </w:hyperlink>
      <w:r w:rsidR="004346BF">
        <w:rPr>
          <w:rStyle w:val="Hyperlink"/>
          <w:color w:val="auto"/>
        </w:rPr>
        <w:t xml:space="preserve"> </w:t>
      </w:r>
    </w:p>
    <w:p w:rsidR="00FA0722" w:rsidRPr="00A20E5A" w:rsidRDefault="00A70A39" w:rsidP="00BA7D3B">
      <w:pPr>
        <w:pStyle w:val="Non-NumberedStyle"/>
      </w:pPr>
      <w:r>
        <w:lastRenderedPageBreak/>
        <w:t>Contents</w:t>
      </w:r>
      <w:bookmarkEnd w:id="0"/>
    </w:p>
    <w:p w:rsidR="00737912" w:rsidRDefault="00FA0722">
      <w:pPr>
        <w:pStyle w:val="TOC1"/>
        <w:rPr>
          <w:rFonts w:asciiTheme="minorHAnsi" w:eastAsiaTheme="minorEastAsia" w:hAnsiTheme="minorHAnsi"/>
          <w:b w:val="0"/>
          <w:sz w:val="22"/>
          <w:lang w:eastAsia="en-AU"/>
        </w:rPr>
      </w:pPr>
      <w:r>
        <w:fldChar w:fldCharType="begin"/>
      </w:r>
      <w:r>
        <w:instrText xml:space="preserve"> TOC \o "1-2" \h \z \u </w:instrText>
      </w:r>
      <w:r>
        <w:fldChar w:fldCharType="separate"/>
      </w:r>
      <w:hyperlink w:anchor="_Toc452626337" w:history="1">
        <w:r w:rsidR="00737912" w:rsidRPr="00A75020">
          <w:rPr>
            <w:rStyle w:val="Hyperlink"/>
          </w:rPr>
          <w:t>List of abbreviations and acronyms</w:t>
        </w:r>
        <w:r w:rsidR="00737912">
          <w:rPr>
            <w:webHidden/>
          </w:rPr>
          <w:tab/>
        </w:r>
        <w:r w:rsidR="00737912">
          <w:rPr>
            <w:webHidden/>
          </w:rPr>
          <w:fldChar w:fldCharType="begin"/>
        </w:r>
        <w:r w:rsidR="00737912">
          <w:rPr>
            <w:webHidden/>
          </w:rPr>
          <w:instrText xml:space="preserve"> PAGEREF _Toc452626337 \h </w:instrText>
        </w:r>
        <w:r w:rsidR="00737912">
          <w:rPr>
            <w:webHidden/>
          </w:rPr>
        </w:r>
        <w:r w:rsidR="00737912">
          <w:rPr>
            <w:webHidden/>
          </w:rPr>
          <w:fldChar w:fldCharType="separate"/>
        </w:r>
        <w:r w:rsidR="00063A6D">
          <w:rPr>
            <w:webHidden/>
          </w:rPr>
          <w:t>i</w:t>
        </w:r>
        <w:r w:rsidR="00737912">
          <w:rPr>
            <w:webHidden/>
          </w:rPr>
          <w:fldChar w:fldCharType="end"/>
        </w:r>
      </w:hyperlink>
    </w:p>
    <w:p w:rsidR="00737912" w:rsidRDefault="00063A6D">
      <w:pPr>
        <w:pStyle w:val="TOC1"/>
        <w:rPr>
          <w:rFonts w:asciiTheme="minorHAnsi" w:eastAsiaTheme="minorEastAsia" w:hAnsiTheme="minorHAnsi"/>
          <w:b w:val="0"/>
          <w:sz w:val="22"/>
          <w:lang w:eastAsia="en-AU"/>
        </w:rPr>
      </w:pPr>
      <w:hyperlink w:anchor="_Toc452626338" w:history="1">
        <w:r w:rsidR="00737912" w:rsidRPr="00A75020">
          <w:rPr>
            <w:rStyle w:val="Hyperlink"/>
          </w:rPr>
          <w:t>Executive Summary</w:t>
        </w:r>
        <w:r w:rsidR="00737912">
          <w:rPr>
            <w:webHidden/>
          </w:rPr>
          <w:tab/>
        </w:r>
        <w:r w:rsidR="00737912">
          <w:rPr>
            <w:webHidden/>
          </w:rPr>
          <w:fldChar w:fldCharType="begin"/>
        </w:r>
        <w:r w:rsidR="00737912">
          <w:rPr>
            <w:webHidden/>
          </w:rPr>
          <w:instrText xml:space="preserve"> PAGEREF _Toc452626338 \h </w:instrText>
        </w:r>
        <w:r w:rsidR="00737912">
          <w:rPr>
            <w:webHidden/>
          </w:rPr>
        </w:r>
        <w:r w:rsidR="00737912">
          <w:rPr>
            <w:webHidden/>
          </w:rPr>
          <w:fldChar w:fldCharType="separate"/>
        </w:r>
        <w:r>
          <w:rPr>
            <w:webHidden/>
          </w:rPr>
          <w:t>2</w:t>
        </w:r>
        <w:r w:rsidR="00737912">
          <w:rPr>
            <w:webHidden/>
          </w:rPr>
          <w:fldChar w:fldCharType="end"/>
        </w:r>
      </w:hyperlink>
    </w:p>
    <w:p w:rsidR="00737912" w:rsidRDefault="00063A6D">
      <w:pPr>
        <w:pStyle w:val="TOC1"/>
        <w:rPr>
          <w:rFonts w:asciiTheme="minorHAnsi" w:eastAsiaTheme="minorEastAsia" w:hAnsiTheme="minorHAnsi"/>
          <w:b w:val="0"/>
          <w:sz w:val="22"/>
          <w:lang w:eastAsia="en-AU"/>
        </w:rPr>
      </w:pPr>
      <w:hyperlink w:anchor="_Toc452626339" w:history="1">
        <w:r w:rsidR="00737912" w:rsidRPr="00A75020">
          <w:rPr>
            <w:rStyle w:val="Hyperlink"/>
          </w:rPr>
          <w:t>1</w:t>
        </w:r>
        <w:r w:rsidR="00737912">
          <w:rPr>
            <w:rFonts w:asciiTheme="minorHAnsi" w:eastAsiaTheme="minorEastAsia" w:hAnsiTheme="minorHAnsi"/>
            <w:b w:val="0"/>
            <w:sz w:val="22"/>
            <w:lang w:eastAsia="en-AU"/>
          </w:rPr>
          <w:tab/>
        </w:r>
        <w:r w:rsidR="00737912" w:rsidRPr="00A75020">
          <w:rPr>
            <w:rStyle w:val="Hyperlink"/>
          </w:rPr>
          <w:t>Introduction</w:t>
        </w:r>
        <w:r w:rsidR="00737912">
          <w:rPr>
            <w:webHidden/>
          </w:rPr>
          <w:tab/>
        </w:r>
        <w:r w:rsidR="00737912">
          <w:rPr>
            <w:webHidden/>
          </w:rPr>
          <w:fldChar w:fldCharType="begin"/>
        </w:r>
        <w:r w:rsidR="00737912">
          <w:rPr>
            <w:webHidden/>
          </w:rPr>
          <w:instrText xml:space="preserve"> PAGEREF _Toc452626339 \h </w:instrText>
        </w:r>
        <w:r w:rsidR="00737912">
          <w:rPr>
            <w:webHidden/>
          </w:rPr>
        </w:r>
        <w:r w:rsidR="00737912">
          <w:rPr>
            <w:webHidden/>
          </w:rPr>
          <w:fldChar w:fldCharType="separate"/>
        </w:r>
        <w:r>
          <w:rPr>
            <w:webHidden/>
          </w:rPr>
          <w:t>3</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0" w:history="1">
        <w:r w:rsidR="00737912" w:rsidRPr="00A75020">
          <w:rPr>
            <w:rStyle w:val="Hyperlink"/>
          </w:rPr>
          <w:t>1.1</w:t>
        </w:r>
        <w:r w:rsidR="00737912">
          <w:rPr>
            <w:rFonts w:asciiTheme="minorHAnsi" w:eastAsiaTheme="minorEastAsia" w:hAnsiTheme="minorHAnsi"/>
            <w:sz w:val="22"/>
            <w:lang w:eastAsia="en-AU"/>
          </w:rPr>
          <w:tab/>
        </w:r>
        <w:r w:rsidR="00737912" w:rsidRPr="00A75020">
          <w:rPr>
            <w:rStyle w:val="Hyperlink"/>
          </w:rPr>
          <w:t>Background</w:t>
        </w:r>
        <w:r w:rsidR="00737912">
          <w:rPr>
            <w:webHidden/>
          </w:rPr>
          <w:tab/>
        </w:r>
        <w:r w:rsidR="00737912">
          <w:rPr>
            <w:webHidden/>
          </w:rPr>
          <w:fldChar w:fldCharType="begin"/>
        </w:r>
        <w:r w:rsidR="00737912">
          <w:rPr>
            <w:webHidden/>
          </w:rPr>
          <w:instrText xml:space="preserve"> PAGEREF _Toc452626340 \h </w:instrText>
        </w:r>
        <w:r w:rsidR="00737912">
          <w:rPr>
            <w:webHidden/>
          </w:rPr>
        </w:r>
        <w:r w:rsidR="00737912">
          <w:rPr>
            <w:webHidden/>
          </w:rPr>
          <w:fldChar w:fldCharType="separate"/>
        </w:r>
        <w:r>
          <w:rPr>
            <w:webHidden/>
          </w:rPr>
          <w:t>3</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1" w:history="1">
        <w:r w:rsidR="00737912" w:rsidRPr="00A75020">
          <w:rPr>
            <w:rStyle w:val="Hyperlink"/>
          </w:rPr>
          <w:t>1.2</w:t>
        </w:r>
        <w:r w:rsidR="00737912">
          <w:rPr>
            <w:rFonts w:asciiTheme="minorHAnsi" w:eastAsiaTheme="minorEastAsia" w:hAnsiTheme="minorHAnsi"/>
            <w:sz w:val="22"/>
            <w:lang w:eastAsia="en-AU"/>
          </w:rPr>
          <w:tab/>
        </w:r>
        <w:r w:rsidR="00737912" w:rsidRPr="00A75020">
          <w:rPr>
            <w:rStyle w:val="Hyperlink"/>
          </w:rPr>
          <w:t>Consultation process</w:t>
        </w:r>
        <w:r w:rsidR="00737912">
          <w:rPr>
            <w:webHidden/>
          </w:rPr>
          <w:tab/>
        </w:r>
        <w:r w:rsidR="00737912">
          <w:rPr>
            <w:webHidden/>
          </w:rPr>
          <w:fldChar w:fldCharType="begin"/>
        </w:r>
        <w:r w:rsidR="00737912">
          <w:rPr>
            <w:webHidden/>
          </w:rPr>
          <w:instrText xml:space="preserve"> PAGEREF _Toc452626341 \h </w:instrText>
        </w:r>
        <w:r w:rsidR="00737912">
          <w:rPr>
            <w:webHidden/>
          </w:rPr>
        </w:r>
        <w:r w:rsidR="00737912">
          <w:rPr>
            <w:webHidden/>
          </w:rPr>
          <w:fldChar w:fldCharType="separate"/>
        </w:r>
        <w:r>
          <w:rPr>
            <w:webHidden/>
          </w:rPr>
          <w:t>5</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2" w:history="1">
        <w:r w:rsidR="00737912" w:rsidRPr="00A75020">
          <w:rPr>
            <w:rStyle w:val="Hyperlink"/>
          </w:rPr>
          <w:t>1.3</w:t>
        </w:r>
        <w:r w:rsidR="00737912">
          <w:rPr>
            <w:rFonts w:asciiTheme="minorHAnsi" w:eastAsiaTheme="minorEastAsia" w:hAnsiTheme="minorHAnsi"/>
            <w:sz w:val="22"/>
            <w:lang w:eastAsia="en-AU"/>
          </w:rPr>
          <w:tab/>
        </w:r>
        <w:r w:rsidR="00737912" w:rsidRPr="00A75020">
          <w:rPr>
            <w:rStyle w:val="Hyperlink"/>
          </w:rPr>
          <w:t>Structure of the report</w:t>
        </w:r>
        <w:r w:rsidR="00737912">
          <w:rPr>
            <w:webHidden/>
          </w:rPr>
          <w:tab/>
        </w:r>
        <w:r w:rsidR="00737912">
          <w:rPr>
            <w:webHidden/>
          </w:rPr>
          <w:fldChar w:fldCharType="begin"/>
        </w:r>
        <w:r w:rsidR="00737912">
          <w:rPr>
            <w:webHidden/>
          </w:rPr>
          <w:instrText xml:space="preserve"> PAGEREF _Toc452626342 \h </w:instrText>
        </w:r>
        <w:r w:rsidR="00737912">
          <w:rPr>
            <w:webHidden/>
          </w:rPr>
        </w:r>
        <w:r w:rsidR="00737912">
          <w:rPr>
            <w:webHidden/>
          </w:rPr>
          <w:fldChar w:fldCharType="separate"/>
        </w:r>
        <w:r>
          <w:rPr>
            <w:webHidden/>
          </w:rPr>
          <w:t>5</w:t>
        </w:r>
        <w:r w:rsidR="00737912">
          <w:rPr>
            <w:webHidden/>
          </w:rPr>
          <w:fldChar w:fldCharType="end"/>
        </w:r>
      </w:hyperlink>
    </w:p>
    <w:p w:rsidR="00737912" w:rsidRDefault="00063A6D">
      <w:pPr>
        <w:pStyle w:val="TOC1"/>
        <w:rPr>
          <w:rFonts w:asciiTheme="minorHAnsi" w:eastAsiaTheme="minorEastAsia" w:hAnsiTheme="minorHAnsi"/>
          <w:b w:val="0"/>
          <w:sz w:val="22"/>
          <w:lang w:eastAsia="en-AU"/>
        </w:rPr>
      </w:pPr>
      <w:hyperlink w:anchor="_Toc452626343" w:history="1">
        <w:r w:rsidR="00737912" w:rsidRPr="00A75020">
          <w:rPr>
            <w:rStyle w:val="Hyperlink"/>
          </w:rPr>
          <w:t>2</w:t>
        </w:r>
        <w:r w:rsidR="00737912">
          <w:rPr>
            <w:rFonts w:asciiTheme="minorHAnsi" w:eastAsiaTheme="minorEastAsia" w:hAnsiTheme="minorHAnsi"/>
            <w:b w:val="0"/>
            <w:sz w:val="22"/>
            <w:lang w:eastAsia="en-AU"/>
          </w:rPr>
          <w:tab/>
        </w:r>
        <w:r w:rsidR="00737912" w:rsidRPr="00A75020">
          <w:rPr>
            <w:rStyle w:val="Hyperlink"/>
          </w:rPr>
          <w:t>NBN Co’s 2014–15 LTRCM proposal</w:t>
        </w:r>
        <w:r w:rsidR="00737912">
          <w:rPr>
            <w:webHidden/>
          </w:rPr>
          <w:tab/>
        </w:r>
        <w:r w:rsidR="00737912">
          <w:rPr>
            <w:webHidden/>
          </w:rPr>
          <w:fldChar w:fldCharType="begin"/>
        </w:r>
        <w:r w:rsidR="00737912">
          <w:rPr>
            <w:webHidden/>
          </w:rPr>
          <w:instrText xml:space="preserve"> PAGEREF _Toc452626343 \h </w:instrText>
        </w:r>
        <w:r w:rsidR="00737912">
          <w:rPr>
            <w:webHidden/>
          </w:rPr>
        </w:r>
        <w:r w:rsidR="00737912">
          <w:rPr>
            <w:webHidden/>
          </w:rPr>
          <w:fldChar w:fldCharType="separate"/>
        </w:r>
        <w:r>
          <w:rPr>
            <w:webHidden/>
          </w:rPr>
          <w:t>6</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4" w:history="1">
        <w:r w:rsidR="00737912" w:rsidRPr="00A75020">
          <w:rPr>
            <w:rStyle w:val="Hyperlink"/>
          </w:rPr>
          <w:t>2.1</w:t>
        </w:r>
        <w:r w:rsidR="00737912">
          <w:rPr>
            <w:rFonts w:asciiTheme="minorHAnsi" w:eastAsiaTheme="minorEastAsia" w:hAnsiTheme="minorHAnsi"/>
            <w:sz w:val="22"/>
            <w:lang w:eastAsia="en-AU"/>
          </w:rPr>
          <w:tab/>
        </w:r>
        <w:r w:rsidR="00737912" w:rsidRPr="00A75020">
          <w:rPr>
            <w:rStyle w:val="Hyperlink"/>
          </w:rPr>
          <w:t>Proposed amendment to 2013-14 LTRCM Determination</w:t>
        </w:r>
        <w:r w:rsidR="00737912">
          <w:rPr>
            <w:webHidden/>
          </w:rPr>
          <w:tab/>
        </w:r>
        <w:r w:rsidR="00737912">
          <w:rPr>
            <w:webHidden/>
          </w:rPr>
          <w:fldChar w:fldCharType="begin"/>
        </w:r>
        <w:r w:rsidR="00737912">
          <w:rPr>
            <w:webHidden/>
          </w:rPr>
          <w:instrText xml:space="preserve"> PAGEREF _Toc452626344 \h </w:instrText>
        </w:r>
        <w:r w:rsidR="00737912">
          <w:rPr>
            <w:webHidden/>
          </w:rPr>
        </w:r>
        <w:r w:rsidR="00737912">
          <w:rPr>
            <w:webHidden/>
          </w:rPr>
          <w:fldChar w:fldCharType="separate"/>
        </w:r>
        <w:r>
          <w:rPr>
            <w:webHidden/>
          </w:rPr>
          <w:t>6</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5" w:history="1">
        <w:r w:rsidR="00737912" w:rsidRPr="00A75020">
          <w:rPr>
            <w:rStyle w:val="Hyperlink"/>
          </w:rPr>
          <w:t>2.2</w:t>
        </w:r>
        <w:r w:rsidR="00737912">
          <w:rPr>
            <w:rFonts w:asciiTheme="minorHAnsi" w:eastAsiaTheme="minorEastAsia" w:hAnsiTheme="minorHAnsi"/>
            <w:sz w:val="22"/>
            <w:lang w:eastAsia="en-AU"/>
          </w:rPr>
          <w:tab/>
        </w:r>
        <w:r w:rsidR="00737912" w:rsidRPr="00A75020">
          <w:rPr>
            <w:rStyle w:val="Hyperlink"/>
          </w:rPr>
          <w:t>2014-15 LTRCM regulatory information</w:t>
        </w:r>
        <w:r w:rsidR="00737912">
          <w:rPr>
            <w:webHidden/>
          </w:rPr>
          <w:tab/>
        </w:r>
        <w:r w:rsidR="00737912">
          <w:rPr>
            <w:webHidden/>
          </w:rPr>
          <w:fldChar w:fldCharType="begin"/>
        </w:r>
        <w:r w:rsidR="00737912">
          <w:rPr>
            <w:webHidden/>
          </w:rPr>
          <w:instrText xml:space="preserve"> PAGEREF _Toc452626345 \h </w:instrText>
        </w:r>
        <w:r w:rsidR="00737912">
          <w:rPr>
            <w:webHidden/>
          </w:rPr>
        </w:r>
        <w:r w:rsidR="00737912">
          <w:rPr>
            <w:webHidden/>
          </w:rPr>
          <w:fldChar w:fldCharType="separate"/>
        </w:r>
        <w:r>
          <w:rPr>
            <w:webHidden/>
          </w:rPr>
          <w:t>6</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6" w:history="1">
        <w:r w:rsidR="00737912" w:rsidRPr="00A75020">
          <w:rPr>
            <w:rStyle w:val="Hyperlink"/>
          </w:rPr>
          <w:t>2.3</w:t>
        </w:r>
        <w:r w:rsidR="00737912">
          <w:rPr>
            <w:rFonts w:asciiTheme="minorHAnsi" w:eastAsiaTheme="minorEastAsia" w:hAnsiTheme="minorHAnsi"/>
            <w:sz w:val="22"/>
            <w:lang w:eastAsia="en-AU"/>
          </w:rPr>
          <w:tab/>
        </w:r>
        <w:r w:rsidR="00737912" w:rsidRPr="00A75020">
          <w:rPr>
            <w:rStyle w:val="Hyperlink"/>
          </w:rPr>
          <w:t>Price compliance reporting</w:t>
        </w:r>
        <w:r w:rsidR="00737912">
          <w:rPr>
            <w:webHidden/>
          </w:rPr>
          <w:tab/>
        </w:r>
        <w:r w:rsidR="00737912">
          <w:rPr>
            <w:webHidden/>
          </w:rPr>
          <w:fldChar w:fldCharType="begin"/>
        </w:r>
        <w:r w:rsidR="00737912">
          <w:rPr>
            <w:webHidden/>
          </w:rPr>
          <w:instrText xml:space="preserve"> PAGEREF _Toc452626346 \h </w:instrText>
        </w:r>
        <w:r w:rsidR="00737912">
          <w:rPr>
            <w:webHidden/>
          </w:rPr>
        </w:r>
        <w:r w:rsidR="00737912">
          <w:rPr>
            <w:webHidden/>
          </w:rPr>
          <w:fldChar w:fldCharType="separate"/>
        </w:r>
        <w:r>
          <w:rPr>
            <w:webHidden/>
          </w:rPr>
          <w:t>7</w:t>
        </w:r>
        <w:r w:rsidR="00737912">
          <w:rPr>
            <w:webHidden/>
          </w:rPr>
          <w:fldChar w:fldCharType="end"/>
        </w:r>
      </w:hyperlink>
    </w:p>
    <w:p w:rsidR="00737912" w:rsidRDefault="00063A6D">
      <w:pPr>
        <w:pStyle w:val="TOC1"/>
        <w:rPr>
          <w:rFonts w:asciiTheme="minorHAnsi" w:eastAsiaTheme="minorEastAsia" w:hAnsiTheme="minorHAnsi"/>
          <w:b w:val="0"/>
          <w:sz w:val="22"/>
          <w:lang w:eastAsia="en-AU"/>
        </w:rPr>
      </w:pPr>
      <w:hyperlink w:anchor="_Toc452626347" w:history="1">
        <w:r w:rsidR="00737912" w:rsidRPr="00A75020">
          <w:rPr>
            <w:rStyle w:val="Hyperlink"/>
          </w:rPr>
          <w:t>3</w:t>
        </w:r>
        <w:r w:rsidR="00737912">
          <w:rPr>
            <w:rFonts w:asciiTheme="minorHAnsi" w:eastAsiaTheme="minorEastAsia" w:hAnsiTheme="minorHAnsi"/>
            <w:b w:val="0"/>
            <w:sz w:val="22"/>
            <w:lang w:eastAsia="en-AU"/>
          </w:rPr>
          <w:tab/>
        </w:r>
        <w:r w:rsidR="00737912" w:rsidRPr="00A75020">
          <w:rPr>
            <w:rStyle w:val="Hyperlink"/>
          </w:rPr>
          <w:t>ACCC assessment of NBN Co’s LTRCM proposal</w:t>
        </w:r>
        <w:r w:rsidR="00737912">
          <w:rPr>
            <w:webHidden/>
          </w:rPr>
          <w:tab/>
        </w:r>
        <w:r w:rsidR="00737912">
          <w:rPr>
            <w:webHidden/>
          </w:rPr>
          <w:fldChar w:fldCharType="begin"/>
        </w:r>
        <w:r w:rsidR="00737912">
          <w:rPr>
            <w:webHidden/>
          </w:rPr>
          <w:instrText xml:space="preserve"> PAGEREF _Toc452626347 \h </w:instrText>
        </w:r>
        <w:r w:rsidR="00737912">
          <w:rPr>
            <w:webHidden/>
          </w:rPr>
        </w:r>
        <w:r w:rsidR="00737912">
          <w:rPr>
            <w:webHidden/>
          </w:rPr>
          <w:fldChar w:fldCharType="separate"/>
        </w:r>
        <w:r>
          <w:rPr>
            <w:webHidden/>
          </w:rPr>
          <w:t>8</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8" w:history="1">
        <w:r w:rsidR="00737912" w:rsidRPr="00A75020">
          <w:rPr>
            <w:rStyle w:val="Hyperlink"/>
          </w:rPr>
          <w:t>3.1</w:t>
        </w:r>
        <w:r w:rsidR="00737912">
          <w:rPr>
            <w:rFonts w:asciiTheme="minorHAnsi" w:eastAsiaTheme="minorEastAsia" w:hAnsiTheme="minorHAnsi"/>
            <w:sz w:val="22"/>
            <w:lang w:eastAsia="en-AU"/>
          </w:rPr>
          <w:tab/>
        </w:r>
        <w:r w:rsidR="00737912" w:rsidRPr="00A75020">
          <w:rPr>
            <w:rStyle w:val="Hyperlink"/>
          </w:rPr>
          <w:t>Proposed amendment to the 2013-14 LTRCM Determination</w:t>
        </w:r>
        <w:r w:rsidR="00737912">
          <w:rPr>
            <w:webHidden/>
          </w:rPr>
          <w:tab/>
        </w:r>
        <w:r w:rsidR="00737912">
          <w:rPr>
            <w:webHidden/>
          </w:rPr>
          <w:fldChar w:fldCharType="begin"/>
        </w:r>
        <w:r w:rsidR="00737912">
          <w:rPr>
            <w:webHidden/>
          </w:rPr>
          <w:instrText xml:space="preserve"> PAGEREF _Toc452626348 \h </w:instrText>
        </w:r>
        <w:r w:rsidR="00737912">
          <w:rPr>
            <w:webHidden/>
          </w:rPr>
        </w:r>
        <w:r w:rsidR="00737912">
          <w:rPr>
            <w:webHidden/>
          </w:rPr>
          <w:fldChar w:fldCharType="separate"/>
        </w:r>
        <w:r>
          <w:rPr>
            <w:webHidden/>
          </w:rPr>
          <w:t>8</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49" w:history="1">
        <w:r w:rsidR="00737912" w:rsidRPr="00A75020">
          <w:rPr>
            <w:rStyle w:val="Hyperlink"/>
          </w:rPr>
          <w:t>3.2</w:t>
        </w:r>
        <w:r w:rsidR="00737912">
          <w:rPr>
            <w:rFonts w:asciiTheme="minorHAnsi" w:eastAsiaTheme="minorEastAsia" w:hAnsiTheme="minorHAnsi"/>
            <w:sz w:val="22"/>
            <w:lang w:eastAsia="en-AU"/>
          </w:rPr>
          <w:tab/>
        </w:r>
        <w:r w:rsidR="00737912" w:rsidRPr="00A75020">
          <w:rPr>
            <w:rStyle w:val="Hyperlink"/>
          </w:rPr>
          <w:t>LTRCM 2014-15 determination</w:t>
        </w:r>
        <w:r w:rsidR="00737912">
          <w:rPr>
            <w:webHidden/>
          </w:rPr>
          <w:tab/>
        </w:r>
        <w:r w:rsidR="00737912">
          <w:rPr>
            <w:webHidden/>
          </w:rPr>
          <w:fldChar w:fldCharType="begin"/>
        </w:r>
        <w:r w:rsidR="00737912">
          <w:rPr>
            <w:webHidden/>
          </w:rPr>
          <w:instrText xml:space="preserve"> PAGEREF _Toc452626349 \h </w:instrText>
        </w:r>
        <w:r w:rsidR="00737912">
          <w:rPr>
            <w:webHidden/>
          </w:rPr>
        </w:r>
        <w:r w:rsidR="00737912">
          <w:rPr>
            <w:webHidden/>
          </w:rPr>
          <w:fldChar w:fldCharType="separate"/>
        </w:r>
        <w:r>
          <w:rPr>
            <w:webHidden/>
          </w:rPr>
          <w:t>9</w:t>
        </w:r>
        <w:r w:rsidR="00737912">
          <w:rPr>
            <w:webHidden/>
          </w:rPr>
          <w:fldChar w:fldCharType="end"/>
        </w:r>
      </w:hyperlink>
    </w:p>
    <w:p w:rsidR="00737912" w:rsidRDefault="00063A6D">
      <w:pPr>
        <w:pStyle w:val="TOC2"/>
        <w:rPr>
          <w:rFonts w:asciiTheme="minorHAnsi" w:eastAsiaTheme="minorEastAsia" w:hAnsiTheme="minorHAnsi"/>
          <w:sz w:val="22"/>
          <w:lang w:eastAsia="en-AU"/>
        </w:rPr>
      </w:pPr>
      <w:hyperlink w:anchor="_Toc452626350" w:history="1">
        <w:r w:rsidR="00737912" w:rsidRPr="00A75020">
          <w:rPr>
            <w:rStyle w:val="Hyperlink"/>
          </w:rPr>
          <w:t>3.3</w:t>
        </w:r>
        <w:r w:rsidR="00737912">
          <w:rPr>
            <w:rFonts w:asciiTheme="minorHAnsi" w:eastAsiaTheme="minorEastAsia" w:hAnsiTheme="minorHAnsi"/>
            <w:sz w:val="22"/>
            <w:lang w:eastAsia="en-AU"/>
          </w:rPr>
          <w:tab/>
        </w:r>
        <w:r w:rsidR="00737912" w:rsidRPr="00A75020">
          <w:rPr>
            <w:rStyle w:val="Hyperlink"/>
          </w:rPr>
          <w:t>Price compliance reporting</w:t>
        </w:r>
        <w:r w:rsidR="00737912">
          <w:rPr>
            <w:webHidden/>
          </w:rPr>
          <w:tab/>
        </w:r>
        <w:r w:rsidR="00737912">
          <w:rPr>
            <w:webHidden/>
          </w:rPr>
          <w:fldChar w:fldCharType="begin"/>
        </w:r>
        <w:r w:rsidR="00737912">
          <w:rPr>
            <w:webHidden/>
          </w:rPr>
          <w:instrText xml:space="preserve"> PAGEREF _Toc452626350 \h </w:instrText>
        </w:r>
        <w:r w:rsidR="00737912">
          <w:rPr>
            <w:webHidden/>
          </w:rPr>
        </w:r>
        <w:r w:rsidR="00737912">
          <w:rPr>
            <w:webHidden/>
          </w:rPr>
          <w:fldChar w:fldCharType="separate"/>
        </w:r>
        <w:r>
          <w:rPr>
            <w:webHidden/>
          </w:rPr>
          <w:t>10</w:t>
        </w:r>
        <w:r w:rsidR="00737912">
          <w:rPr>
            <w:webHidden/>
          </w:rPr>
          <w:fldChar w:fldCharType="end"/>
        </w:r>
      </w:hyperlink>
    </w:p>
    <w:p w:rsidR="00737912" w:rsidRDefault="00063A6D">
      <w:pPr>
        <w:pStyle w:val="TOC1"/>
        <w:rPr>
          <w:rFonts w:asciiTheme="minorHAnsi" w:eastAsiaTheme="minorEastAsia" w:hAnsiTheme="minorHAnsi"/>
          <w:b w:val="0"/>
          <w:sz w:val="22"/>
          <w:lang w:eastAsia="en-AU"/>
        </w:rPr>
      </w:pPr>
      <w:hyperlink w:anchor="_Toc452626351" w:history="1">
        <w:r w:rsidR="00737912" w:rsidRPr="00A75020">
          <w:rPr>
            <w:rStyle w:val="Hyperlink"/>
          </w:rPr>
          <w:t>4</w:t>
        </w:r>
        <w:r w:rsidR="00737912">
          <w:rPr>
            <w:rFonts w:asciiTheme="minorHAnsi" w:eastAsiaTheme="minorEastAsia" w:hAnsiTheme="minorHAnsi"/>
            <w:b w:val="0"/>
            <w:sz w:val="22"/>
            <w:lang w:eastAsia="en-AU"/>
          </w:rPr>
          <w:tab/>
        </w:r>
        <w:r w:rsidR="00737912" w:rsidRPr="00A75020">
          <w:rPr>
            <w:rStyle w:val="Hyperlink"/>
          </w:rPr>
          <w:t>ACCC final decision on the amendment to the 2013</w:t>
        </w:r>
        <w:r w:rsidR="00737912" w:rsidRPr="00A75020">
          <w:rPr>
            <w:rStyle w:val="Hyperlink"/>
          </w:rPr>
          <w:noBreakHyphen/>
          <w:t>14 LTRCM determination</w:t>
        </w:r>
        <w:r w:rsidR="00737912">
          <w:rPr>
            <w:webHidden/>
          </w:rPr>
          <w:tab/>
        </w:r>
        <w:r w:rsidR="00737912">
          <w:rPr>
            <w:webHidden/>
          </w:rPr>
          <w:fldChar w:fldCharType="begin"/>
        </w:r>
        <w:r w:rsidR="00737912">
          <w:rPr>
            <w:webHidden/>
          </w:rPr>
          <w:instrText xml:space="preserve"> PAGEREF _Toc452626351 \h </w:instrText>
        </w:r>
        <w:r w:rsidR="00737912">
          <w:rPr>
            <w:webHidden/>
          </w:rPr>
        </w:r>
        <w:r w:rsidR="00737912">
          <w:rPr>
            <w:webHidden/>
          </w:rPr>
          <w:fldChar w:fldCharType="separate"/>
        </w:r>
        <w:r>
          <w:rPr>
            <w:webHidden/>
          </w:rPr>
          <w:t>12</w:t>
        </w:r>
        <w:r w:rsidR="00737912">
          <w:rPr>
            <w:webHidden/>
          </w:rPr>
          <w:fldChar w:fldCharType="end"/>
        </w:r>
      </w:hyperlink>
    </w:p>
    <w:p w:rsidR="00737912" w:rsidRDefault="00063A6D">
      <w:pPr>
        <w:pStyle w:val="TOC1"/>
        <w:rPr>
          <w:rFonts w:asciiTheme="minorHAnsi" w:eastAsiaTheme="minorEastAsia" w:hAnsiTheme="minorHAnsi"/>
          <w:b w:val="0"/>
          <w:sz w:val="22"/>
          <w:lang w:eastAsia="en-AU"/>
        </w:rPr>
      </w:pPr>
      <w:hyperlink w:anchor="_Toc452626352" w:history="1">
        <w:r w:rsidR="00737912" w:rsidRPr="00A75020">
          <w:rPr>
            <w:rStyle w:val="Hyperlink"/>
          </w:rPr>
          <w:t>5</w:t>
        </w:r>
        <w:r w:rsidR="00737912">
          <w:rPr>
            <w:rFonts w:asciiTheme="minorHAnsi" w:eastAsiaTheme="minorEastAsia" w:hAnsiTheme="minorHAnsi"/>
            <w:b w:val="0"/>
            <w:sz w:val="22"/>
            <w:lang w:eastAsia="en-AU"/>
          </w:rPr>
          <w:tab/>
        </w:r>
        <w:r w:rsidR="00737912" w:rsidRPr="00A75020">
          <w:rPr>
            <w:rStyle w:val="Hyperlink"/>
          </w:rPr>
          <w:t>ACCC 2014-15 LTRCM final determination and price compliance assessment</w:t>
        </w:r>
        <w:r w:rsidR="00737912">
          <w:rPr>
            <w:webHidden/>
          </w:rPr>
          <w:tab/>
        </w:r>
        <w:r w:rsidR="00737912">
          <w:rPr>
            <w:webHidden/>
          </w:rPr>
          <w:fldChar w:fldCharType="begin"/>
        </w:r>
        <w:r w:rsidR="00737912">
          <w:rPr>
            <w:webHidden/>
          </w:rPr>
          <w:instrText xml:space="preserve"> PAGEREF _Toc452626352 \h </w:instrText>
        </w:r>
        <w:r w:rsidR="00737912">
          <w:rPr>
            <w:webHidden/>
          </w:rPr>
        </w:r>
        <w:r w:rsidR="00737912">
          <w:rPr>
            <w:webHidden/>
          </w:rPr>
          <w:fldChar w:fldCharType="separate"/>
        </w:r>
        <w:r>
          <w:rPr>
            <w:webHidden/>
          </w:rPr>
          <w:t>15</w:t>
        </w:r>
        <w:r w:rsidR="00737912">
          <w:rPr>
            <w:webHidden/>
          </w:rPr>
          <w:fldChar w:fldCharType="end"/>
        </w:r>
      </w:hyperlink>
    </w:p>
    <w:p w:rsidR="00A20E5A" w:rsidRPr="00A20E5A" w:rsidRDefault="00FA0722" w:rsidP="00A66A44">
      <w:r>
        <w:fldChar w:fldCharType="end"/>
      </w:r>
    </w:p>
    <w:p w:rsidR="00E91311" w:rsidRDefault="00E91311" w:rsidP="00BA7D3B">
      <w:pPr>
        <w:pStyle w:val="Non-NumberedStyle"/>
        <w:sectPr w:rsidR="00E91311" w:rsidSect="00E91311">
          <w:footerReference w:type="default" r:id="rId12"/>
          <w:pgSz w:w="11906" w:h="16838"/>
          <w:pgMar w:top="1440" w:right="1729" w:bottom="1582" w:left="1729" w:header="709" w:footer="709" w:gutter="0"/>
          <w:pgNumType w:start="1"/>
          <w:cols w:space="708"/>
          <w:docGrid w:linePitch="360"/>
        </w:sectPr>
      </w:pPr>
      <w:bookmarkStart w:id="2" w:name="_Toc377396310"/>
    </w:p>
    <w:p w:rsidR="00697431" w:rsidRDefault="00697431" w:rsidP="00BA7D3B">
      <w:pPr>
        <w:pStyle w:val="HeadingLevel1"/>
        <w:numPr>
          <w:ilvl w:val="0"/>
          <w:numId w:val="0"/>
        </w:numPr>
      </w:pPr>
      <w:bookmarkStart w:id="3" w:name="_Toc452626337"/>
      <w:r>
        <w:lastRenderedPageBreak/>
        <w:t>List of abbreviations and acronyms</w:t>
      </w:r>
      <w:bookmarkEnd w:id="3"/>
    </w:p>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5"/>
        <w:gridCol w:w="7194"/>
      </w:tblGrid>
      <w:tr w:rsidR="004346BF" w:rsidRPr="00A92C6F" w:rsidTr="00020459">
        <w:trPr>
          <w:trHeight w:val="144"/>
        </w:trPr>
        <w:tc>
          <w:tcPr>
            <w:tcW w:w="2335" w:type="dxa"/>
          </w:tcPr>
          <w:p w:rsidR="004346BF" w:rsidRPr="00A92C6F" w:rsidRDefault="004346BF" w:rsidP="00020459">
            <w:pPr>
              <w:spacing w:before="120"/>
            </w:pPr>
            <w:r w:rsidRPr="00A92C6F">
              <w:t>ABBRR</w:t>
            </w:r>
          </w:p>
        </w:tc>
        <w:tc>
          <w:tcPr>
            <w:tcW w:w="7194" w:type="dxa"/>
          </w:tcPr>
          <w:p w:rsidR="004346BF" w:rsidRPr="00A92C6F" w:rsidRDefault="004346BF" w:rsidP="00020459">
            <w:pPr>
              <w:spacing w:before="120"/>
            </w:pPr>
            <w:r w:rsidRPr="00A92C6F">
              <w:t>Annual Building Block Revenue Requirement</w:t>
            </w:r>
          </w:p>
        </w:tc>
      </w:tr>
      <w:tr w:rsidR="004346BF" w:rsidRPr="00A92C6F" w:rsidTr="00020459">
        <w:trPr>
          <w:trHeight w:val="144"/>
        </w:trPr>
        <w:tc>
          <w:tcPr>
            <w:tcW w:w="2335" w:type="dxa"/>
          </w:tcPr>
          <w:p w:rsidR="004346BF" w:rsidRPr="00A92C6F" w:rsidRDefault="004346BF" w:rsidP="00020459">
            <w:pPr>
              <w:spacing w:before="120"/>
            </w:pPr>
            <w:r w:rsidRPr="00A92C6F">
              <w:t>ACCC</w:t>
            </w:r>
          </w:p>
        </w:tc>
        <w:tc>
          <w:tcPr>
            <w:tcW w:w="7194" w:type="dxa"/>
          </w:tcPr>
          <w:p w:rsidR="004346BF" w:rsidRPr="00A92C6F" w:rsidRDefault="004346BF" w:rsidP="00020459">
            <w:pPr>
              <w:spacing w:before="120"/>
            </w:pPr>
            <w:r w:rsidRPr="00A92C6F">
              <w:t>Australian Competition and Consumer Commission</w:t>
            </w:r>
          </w:p>
        </w:tc>
      </w:tr>
      <w:tr w:rsidR="00EE411F" w:rsidRPr="00A92C6F" w:rsidTr="00020459">
        <w:trPr>
          <w:trHeight w:val="144"/>
        </w:trPr>
        <w:tc>
          <w:tcPr>
            <w:tcW w:w="2335" w:type="dxa"/>
          </w:tcPr>
          <w:p w:rsidR="00EE411F" w:rsidRPr="00A92C6F" w:rsidRDefault="00EE411F" w:rsidP="00020459">
            <w:pPr>
              <w:spacing w:before="120"/>
            </w:pPr>
            <w:r>
              <w:t>ACIPA</w:t>
            </w:r>
          </w:p>
        </w:tc>
        <w:tc>
          <w:tcPr>
            <w:tcW w:w="7194" w:type="dxa"/>
          </w:tcPr>
          <w:p w:rsidR="00EE411F" w:rsidRPr="00EE411F" w:rsidRDefault="00EE411F" w:rsidP="00F554B1">
            <w:pPr>
              <w:spacing w:before="120"/>
              <w:rPr>
                <w:iCs/>
              </w:rPr>
            </w:pPr>
            <w:r>
              <w:rPr>
                <w:iCs/>
              </w:rPr>
              <w:t xml:space="preserve">Annual </w:t>
            </w:r>
            <w:r w:rsidR="00F554B1">
              <w:rPr>
                <w:iCs/>
              </w:rPr>
              <w:t>C</w:t>
            </w:r>
            <w:r>
              <w:rPr>
                <w:iCs/>
              </w:rPr>
              <w:t xml:space="preserve">onstruction in </w:t>
            </w:r>
            <w:r w:rsidR="00F554B1">
              <w:rPr>
                <w:iCs/>
              </w:rPr>
              <w:t>P</w:t>
            </w:r>
            <w:r>
              <w:rPr>
                <w:iCs/>
              </w:rPr>
              <w:t xml:space="preserve">rogress </w:t>
            </w:r>
            <w:r w:rsidR="00F554B1">
              <w:rPr>
                <w:iCs/>
              </w:rPr>
              <w:t>A</w:t>
            </w:r>
            <w:r>
              <w:rPr>
                <w:iCs/>
              </w:rPr>
              <w:t>llowance</w:t>
            </w:r>
          </w:p>
        </w:tc>
      </w:tr>
      <w:tr w:rsidR="004346BF" w:rsidRPr="00A92C6F" w:rsidTr="00020459">
        <w:trPr>
          <w:trHeight w:val="144"/>
        </w:trPr>
        <w:tc>
          <w:tcPr>
            <w:tcW w:w="2335" w:type="dxa"/>
          </w:tcPr>
          <w:p w:rsidR="004346BF" w:rsidRPr="00A92C6F" w:rsidRDefault="004346BF" w:rsidP="00020459">
            <w:pPr>
              <w:spacing w:before="120"/>
            </w:pPr>
            <w:r w:rsidRPr="00A92C6F">
              <w:t>CCA</w:t>
            </w:r>
          </w:p>
        </w:tc>
        <w:tc>
          <w:tcPr>
            <w:tcW w:w="7194" w:type="dxa"/>
          </w:tcPr>
          <w:p w:rsidR="004346BF" w:rsidRPr="00A92C6F" w:rsidRDefault="004346BF" w:rsidP="00020459">
            <w:pPr>
              <w:spacing w:before="120"/>
              <w:rPr>
                <w:iCs/>
              </w:rPr>
            </w:pPr>
            <w:r w:rsidRPr="00A92C6F">
              <w:rPr>
                <w:i/>
                <w:iCs/>
              </w:rPr>
              <w:t>Competition and Consumer Act 2010</w:t>
            </w:r>
            <w:r w:rsidRPr="00A92C6F">
              <w:rPr>
                <w:iCs/>
              </w:rPr>
              <w:t xml:space="preserve"> (Commonwealth)</w:t>
            </w:r>
          </w:p>
        </w:tc>
      </w:tr>
      <w:tr w:rsidR="004346BF" w:rsidRPr="00A92C6F" w:rsidTr="00020459">
        <w:trPr>
          <w:trHeight w:val="144"/>
        </w:trPr>
        <w:tc>
          <w:tcPr>
            <w:tcW w:w="2335" w:type="dxa"/>
          </w:tcPr>
          <w:p w:rsidR="004346BF" w:rsidRPr="00A92C6F" w:rsidRDefault="004346BF" w:rsidP="00020459">
            <w:pPr>
              <w:spacing w:before="120"/>
            </w:pPr>
            <w:r w:rsidRPr="00A92C6F">
              <w:t>CFO</w:t>
            </w:r>
          </w:p>
        </w:tc>
        <w:tc>
          <w:tcPr>
            <w:tcW w:w="7194" w:type="dxa"/>
          </w:tcPr>
          <w:p w:rsidR="004346BF" w:rsidRPr="00A92C6F" w:rsidRDefault="004346BF" w:rsidP="00020459">
            <w:pPr>
              <w:spacing w:before="120"/>
            </w:pPr>
            <w:r w:rsidRPr="00A92C6F">
              <w:t>Chief Financial Officer</w:t>
            </w:r>
          </w:p>
        </w:tc>
      </w:tr>
      <w:tr w:rsidR="00BA7622" w:rsidRPr="00A92C6F" w:rsidTr="00020459">
        <w:trPr>
          <w:trHeight w:val="144"/>
        </w:trPr>
        <w:tc>
          <w:tcPr>
            <w:tcW w:w="2335" w:type="dxa"/>
          </w:tcPr>
          <w:p w:rsidR="00BA7622" w:rsidRPr="00A92C6F" w:rsidRDefault="00BA7622" w:rsidP="00020459">
            <w:pPr>
              <w:spacing w:before="120"/>
            </w:pPr>
            <w:r>
              <w:t>CIF</w:t>
            </w:r>
          </w:p>
        </w:tc>
        <w:tc>
          <w:tcPr>
            <w:tcW w:w="7194" w:type="dxa"/>
          </w:tcPr>
          <w:p w:rsidR="00BA7622" w:rsidRPr="00A92C6F" w:rsidRDefault="00BA7622" w:rsidP="00020459">
            <w:pPr>
              <w:spacing w:before="120"/>
            </w:pPr>
            <w:r>
              <w:t>Cumulative Inflation Factor</w:t>
            </w:r>
          </w:p>
        </w:tc>
      </w:tr>
      <w:tr w:rsidR="004346BF" w:rsidRPr="00A92C6F" w:rsidTr="00020459">
        <w:trPr>
          <w:trHeight w:val="144"/>
        </w:trPr>
        <w:tc>
          <w:tcPr>
            <w:tcW w:w="2335" w:type="dxa"/>
          </w:tcPr>
          <w:p w:rsidR="004346BF" w:rsidRPr="00A92C6F" w:rsidRDefault="004346BF" w:rsidP="00020459">
            <w:pPr>
              <w:spacing w:before="120"/>
            </w:pPr>
            <w:r w:rsidRPr="00A92C6F">
              <w:t>CIP</w:t>
            </w:r>
          </w:p>
        </w:tc>
        <w:tc>
          <w:tcPr>
            <w:tcW w:w="7194" w:type="dxa"/>
          </w:tcPr>
          <w:p w:rsidR="004346BF" w:rsidRPr="00A92C6F" w:rsidRDefault="004346BF" w:rsidP="00020459">
            <w:pPr>
              <w:spacing w:before="120"/>
            </w:pPr>
            <w:r w:rsidRPr="00A92C6F">
              <w:t>Construction in Progress</w:t>
            </w:r>
          </w:p>
        </w:tc>
      </w:tr>
      <w:tr w:rsidR="004346BF" w:rsidRPr="00A92C6F" w:rsidTr="00020459">
        <w:trPr>
          <w:trHeight w:val="144"/>
        </w:trPr>
        <w:tc>
          <w:tcPr>
            <w:tcW w:w="2335" w:type="dxa"/>
          </w:tcPr>
          <w:p w:rsidR="004346BF" w:rsidRPr="00A92C6F" w:rsidRDefault="004346BF" w:rsidP="00020459">
            <w:pPr>
              <w:spacing w:before="120"/>
            </w:pPr>
            <w:r w:rsidRPr="00A92C6F">
              <w:t>CPI</w:t>
            </w:r>
          </w:p>
        </w:tc>
        <w:tc>
          <w:tcPr>
            <w:tcW w:w="7194" w:type="dxa"/>
          </w:tcPr>
          <w:p w:rsidR="004346BF" w:rsidRPr="00A92C6F" w:rsidRDefault="004346BF" w:rsidP="00020459">
            <w:pPr>
              <w:spacing w:before="120"/>
            </w:pPr>
            <w:r w:rsidRPr="00A92C6F">
              <w:t>Consumer Price Index</w:t>
            </w:r>
          </w:p>
        </w:tc>
      </w:tr>
      <w:tr w:rsidR="008941DB" w:rsidRPr="00A92C6F" w:rsidTr="00020459">
        <w:trPr>
          <w:trHeight w:val="144"/>
        </w:trPr>
        <w:tc>
          <w:tcPr>
            <w:tcW w:w="2335" w:type="dxa"/>
          </w:tcPr>
          <w:p w:rsidR="008941DB" w:rsidRPr="00A92C6F" w:rsidRDefault="008941DB" w:rsidP="00020459">
            <w:pPr>
              <w:spacing w:before="120"/>
            </w:pPr>
            <w:r>
              <w:t>CPO</w:t>
            </w:r>
          </w:p>
        </w:tc>
        <w:tc>
          <w:tcPr>
            <w:tcW w:w="7194" w:type="dxa"/>
          </w:tcPr>
          <w:p w:rsidR="008941DB" w:rsidRPr="00A92C6F" w:rsidRDefault="008941DB" w:rsidP="00020459">
            <w:pPr>
              <w:spacing w:before="120"/>
            </w:pPr>
            <w:r>
              <w:t>Chief Procurement Officer</w:t>
            </w:r>
          </w:p>
        </w:tc>
      </w:tr>
      <w:tr w:rsidR="004346BF" w:rsidRPr="00A92C6F" w:rsidTr="00020459">
        <w:trPr>
          <w:trHeight w:val="144"/>
        </w:trPr>
        <w:tc>
          <w:tcPr>
            <w:tcW w:w="2335" w:type="dxa"/>
          </w:tcPr>
          <w:p w:rsidR="004346BF" w:rsidRPr="00A92C6F" w:rsidRDefault="004346BF" w:rsidP="00020459">
            <w:pPr>
              <w:spacing w:before="120"/>
            </w:pPr>
            <w:r w:rsidRPr="00A92C6F">
              <w:t>ICRA</w:t>
            </w:r>
          </w:p>
        </w:tc>
        <w:tc>
          <w:tcPr>
            <w:tcW w:w="7194" w:type="dxa"/>
          </w:tcPr>
          <w:p w:rsidR="004346BF" w:rsidRPr="00A92C6F" w:rsidRDefault="004346BF" w:rsidP="00020459">
            <w:pPr>
              <w:spacing w:before="120"/>
            </w:pPr>
            <w:r w:rsidRPr="00A92C6F">
              <w:t>Initial Cost Recovery Account</w:t>
            </w:r>
          </w:p>
        </w:tc>
      </w:tr>
      <w:tr w:rsidR="004346BF" w:rsidRPr="00A92C6F" w:rsidTr="00020459">
        <w:trPr>
          <w:trHeight w:val="144"/>
        </w:trPr>
        <w:tc>
          <w:tcPr>
            <w:tcW w:w="2335" w:type="dxa"/>
          </w:tcPr>
          <w:p w:rsidR="004346BF" w:rsidRPr="00A92C6F" w:rsidRDefault="004346BF" w:rsidP="00020459">
            <w:pPr>
              <w:spacing w:before="120"/>
            </w:pPr>
            <w:r w:rsidRPr="00A92C6F">
              <w:t>LTRCM</w:t>
            </w:r>
          </w:p>
        </w:tc>
        <w:tc>
          <w:tcPr>
            <w:tcW w:w="7194" w:type="dxa"/>
          </w:tcPr>
          <w:p w:rsidR="004346BF" w:rsidRPr="00A92C6F" w:rsidRDefault="004346BF" w:rsidP="00020459">
            <w:pPr>
              <w:spacing w:before="120"/>
            </w:pPr>
            <w:r w:rsidRPr="00A92C6F">
              <w:t>Long Term Revenue Constraint Methodology</w:t>
            </w:r>
          </w:p>
        </w:tc>
      </w:tr>
      <w:tr w:rsidR="004346BF" w:rsidRPr="00A92C6F" w:rsidTr="00020459">
        <w:trPr>
          <w:trHeight w:val="144"/>
        </w:trPr>
        <w:tc>
          <w:tcPr>
            <w:tcW w:w="2335" w:type="dxa"/>
          </w:tcPr>
          <w:p w:rsidR="004346BF" w:rsidRPr="00A92C6F" w:rsidRDefault="004346BF" w:rsidP="00020459">
            <w:pPr>
              <w:spacing w:before="120"/>
            </w:pPr>
            <w:r w:rsidRPr="00A92C6F">
              <w:t>NBN</w:t>
            </w:r>
          </w:p>
        </w:tc>
        <w:tc>
          <w:tcPr>
            <w:tcW w:w="7194" w:type="dxa"/>
          </w:tcPr>
          <w:p w:rsidR="004346BF" w:rsidRPr="00A92C6F" w:rsidRDefault="004346BF" w:rsidP="00020459">
            <w:pPr>
              <w:spacing w:before="120"/>
            </w:pPr>
            <w:r w:rsidRPr="00A92C6F">
              <w:t>National Broadband Network</w:t>
            </w:r>
          </w:p>
        </w:tc>
      </w:tr>
      <w:tr w:rsidR="004346BF" w:rsidRPr="00A92C6F" w:rsidTr="00020459">
        <w:trPr>
          <w:trHeight w:val="144"/>
        </w:trPr>
        <w:tc>
          <w:tcPr>
            <w:tcW w:w="2335" w:type="dxa"/>
          </w:tcPr>
          <w:p w:rsidR="004346BF" w:rsidRPr="00A92C6F" w:rsidRDefault="004346BF" w:rsidP="00020459">
            <w:pPr>
              <w:spacing w:before="120"/>
            </w:pPr>
            <w:r w:rsidRPr="00A92C6F">
              <w:t>RAB</w:t>
            </w:r>
          </w:p>
        </w:tc>
        <w:tc>
          <w:tcPr>
            <w:tcW w:w="7194" w:type="dxa"/>
          </w:tcPr>
          <w:p w:rsidR="004346BF" w:rsidRPr="00A92C6F" w:rsidRDefault="004346BF" w:rsidP="00020459">
            <w:pPr>
              <w:spacing w:before="120"/>
            </w:pPr>
            <w:r w:rsidRPr="00A92C6F">
              <w:t>Regulatory Asset Base</w:t>
            </w:r>
          </w:p>
        </w:tc>
      </w:tr>
      <w:tr w:rsidR="004346BF" w:rsidRPr="00A92C6F" w:rsidTr="00020459">
        <w:trPr>
          <w:trHeight w:val="144"/>
        </w:trPr>
        <w:tc>
          <w:tcPr>
            <w:tcW w:w="2335" w:type="dxa"/>
          </w:tcPr>
          <w:p w:rsidR="004346BF" w:rsidRPr="00A92C6F" w:rsidRDefault="004346BF" w:rsidP="00020459">
            <w:pPr>
              <w:spacing w:before="120"/>
            </w:pPr>
            <w:r w:rsidRPr="00A92C6F">
              <w:t>SAU</w:t>
            </w:r>
          </w:p>
        </w:tc>
        <w:tc>
          <w:tcPr>
            <w:tcW w:w="7194" w:type="dxa"/>
          </w:tcPr>
          <w:p w:rsidR="004346BF" w:rsidRPr="00A92C6F" w:rsidRDefault="004346BF" w:rsidP="00020459">
            <w:pPr>
              <w:spacing w:before="120"/>
            </w:pPr>
            <w:r w:rsidRPr="00A92C6F">
              <w:t>Special Access Undertaking</w:t>
            </w:r>
          </w:p>
        </w:tc>
      </w:tr>
      <w:tr w:rsidR="004346BF" w:rsidRPr="00A92C6F" w:rsidTr="00020459">
        <w:trPr>
          <w:trHeight w:val="144"/>
        </w:trPr>
        <w:tc>
          <w:tcPr>
            <w:tcW w:w="2335" w:type="dxa"/>
          </w:tcPr>
          <w:p w:rsidR="004346BF" w:rsidRPr="00A92C6F" w:rsidRDefault="004346BF" w:rsidP="00020459">
            <w:r w:rsidRPr="00A92C6F">
              <w:t>WBA</w:t>
            </w:r>
          </w:p>
        </w:tc>
        <w:tc>
          <w:tcPr>
            <w:tcW w:w="7194" w:type="dxa"/>
          </w:tcPr>
          <w:p w:rsidR="004346BF" w:rsidRPr="00A92C6F" w:rsidRDefault="004346BF" w:rsidP="00020459">
            <w:pPr>
              <w:spacing w:before="120"/>
            </w:pPr>
            <w:r w:rsidRPr="00A92C6F">
              <w:t>Wholesale Broadband Agreement</w:t>
            </w:r>
          </w:p>
        </w:tc>
      </w:tr>
    </w:tbl>
    <w:p w:rsidR="00812464" w:rsidRDefault="00812464" w:rsidP="00697431">
      <w:pPr>
        <w:sectPr w:rsidR="00812464" w:rsidSect="00E91311">
          <w:footerReference w:type="default" r:id="rId13"/>
          <w:pgSz w:w="11906" w:h="16838"/>
          <w:pgMar w:top="1440" w:right="1729" w:bottom="1582" w:left="1729" w:header="709" w:footer="709" w:gutter="0"/>
          <w:pgNumType w:fmt="lowerRoman" w:start="1"/>
          <w:cols w:space="708"/>
          <w:docGrid w:linePitch="360"/>
        </w:sectPr>
      </w:pPr>
    </w:p>
    <w:p w:rsidR="00A70A39" w:rsidRDefault="00962322" w:rsidP="00BA7D3B">
      <w:pPr>
        <w:pStyle w:val="HeadingLevel1"/>
        <w:numPr>
          <w:ilvl w:val="0"/>
          <w:numId w:val="0"/>
        </w:numPr>
      </w:pPr>
      <w:bookmarkStart w:id="4" w:name="_Toc452626338"/>
      <w:r>
        <w:lastRenderedPageBreak/>
        <w:t xml:space="preserve">Executive </w:t>
      </w:r>
      <w:r w:rsidR="00A70A39">
        <w:t>Summary</w:t>
      </w:r>
      <w:bookmarkEnd w:id="2"/>
      <w:bookmarkEnd w:id="4"/>
      <w:r w:rsidR="00E91311">
        <w:t xml:space="preserve"> </w:t>
      </w:r>
    </w:p>
    <w:p w:rsidR="004929EB" w:rsidRDefault="006A0DBB" w:rsidP="009C55E3">
      <w:r>
        <w:t xml:space="preserve">This report sets out the Australian Competition and Consumer Commission’s (ACCC) </w:t>
      </w:r>
      <w:r w:rsidR="00D121D4">
        <w:t>final</w:t>
      </w:r>
      <w:r>
        <w:t xml:space="preserve"> determination in relation to NBN </w:t>
      </w:r>
      <w:proofErr w:type="spellStart"/>
      <w:r>
        <w:t>Co’s</w:t>
      </w:r>
      <w:proofErr w:type="spellEnd"/>
      <w:r>
        <w:t xml:space="preserve"> Long Term Revenue Constraint Methodology (LTRCM) and its view on NBN </w:t>
      </w:r>
      <w:proofErr w:type="spellStart"/>
      <w:r>
        <w:t>Co’s</w:t>
      </w:r>
      <w:proofErr w:type="spellEnd"/>
      <w:r>
        <w:t xml:space="preserve"> price compliance for the 2014-15 financial year.</w:t>
      </w:r>
      <w:r w:rsidR="004929EB">
        <w:t xml:space="preserve"> This report also sets out the ACCC’s final decision on a proposed amendment </w:t>
      </w:r>
      <w:proofErr w:type="gramStart"/>
      <w:r w:rsidR="004929EB">
        <w:t>to the 2013-14 LTRCM Determination</w:t>
      </w:r>
      <w:proofErr w:type="gramEnd"/>
      <w:r w:rsidR="004929EB">
        <w:t>.</w:t>
      </w:r>
    </w:p>
    <w:p w:rsidR="006A0DBB" w:rsidRDefault="006A0DBB" w:rsidP="009C55E3">
      <w:r>
        <w:t xml:space="preserve">The LTRCM is a component of NBN </w:t>
      </w:r>
      <w:proofErr w:type="spellStart"/>
      <w:r>
        <w:t>Co’s</w:t>
      </w:r>
      <w:proofErr w:type="spellEnd"/>
      <w:r>
        <w:t xml:space="preserve"> Special Access Undertaking (SAU), which forms part of the regulatory framework for the National Broadband Network (NBN). The SAU was accepted by the ACCC on 13 December 2013. </w:t>
      </w:r>
    </w:p>
    <w:p w:rsidR="006A0DBB" w:rsidRDefault="006A0DBB" w:rsidP="006A0DBB">
      <w:r>
        <w:t>The LTRCM is a methodology for determining the amount of revenue NBN Co is allowed to earn via its prices over the term of the SAU. The purpose of the LTRCM is to provide NBN Co with the opportunity to recover its prudent and efficient costs of supply, including an appropriate return on investment. The LTRCM is one of various incentives in the SAU to encourage NBN</w:t>
      </w:r>
      <w:r w:rsidR="00A74A9A">
        <w:t> </w:t>
      </w:r>
      <w:r>
        <w:t>Co to operate and invest prudently and efficiently.</w:t>
      </w:r>
    </w:p>
    <w:p w:rsidR="006A0DBB" w:rsidRDefault="006A0DBB" w:rsidP="009C55E3">
      <w:r>
        <w:t>Schedule 1F of the SAU requires NBN Co to submit certain regulatory information for each financial year, including financial information required to determine the revenue NBN Co is allow</w:t>
      </w:r>
      <w:r w:rsidR="00DE0656">
        <w:t>ed</w:t>
      </w:r>
      <w:r>
        <w:t xml:space="preserve"> to earn via its long term revenue constraint. NBN Co is also required to certify that it has complied with the price controls set out in Schedule 1C of the SAU.</w:t>
      </w:r>
      <w:r w:rsidR="000B1848">
        <w:t xml:space="preserve"> NBN Co submitted this information on 30 October 2015, and it has been used by the ACCC to inform this </w:t>
      </w:r>
      <w:r w:rsidR="00D121D4">
        <w:t>final</w:t>
      </w:r>
      <w:r w:rsidR="000B1848">
        <w:t xml:space="preserve"> </w:t>
      </w:r>
      <w:r w:rsidR="00903C36">
        <w:t>determination</w:t>
      </w:r>
      <w:r w:rsidR="000B1848">
        <w:t>.</w:t>
      </w:r>
    </w:p>
    <w:p w:rsidR="006A0DBB" w:rsidRDefault="006A0DBB" w:rsidP="009C55E3">
      <w:r>
        <w:t xml:space="preserve">The ACCC’s </w:t>
      </w:r>
      <w:r w:rsidR="00D121D4">
        <w:t>final</w:t>
      </w:r>
      <w:r>
        <w:t xml:space="preserve"> LTRCM determination is to accept without modification NBN </w:t>
      </w:r>
      <w:proofErr w:type="spellStart"/>
      <w:r>
        <w:t>Co’s</w:t>
      </w:r>
      <w:proofErr w:type="spellEnd"/>
      <w:r>
        <w:t xml:space="preserve"> proposed values (and the inputs to those values) for the Annual Building Block Revenue Requirement (ABBRR), Regulatory Asset Base (RAB) and Initial Cost Recovery Account (ICRA) in accordance with clause 1E.1.2 of NBN </w:t>
      </w:r>
      <w:proofErr w:type="spellStart"/>
      <w:r>
        <w:t>Co’s</w:t>
      </w:r>
      <w:proofErr w:type="spellEnd"/>
      <w:r>
        <w:t xml:space="preserve"> SAU. </w:t>
      </w:r>
      <w:r w:rsidR="00414CEA">
        <w:t xml:space="preserve">The </w:t>
      </w:r>
      <w:r w:rsidR="00DE0656">
        <w:t>decision is consistent with the ACCC’s draft determination, which was published in March 2016</w:t>
      </w:r>
      <w:r w:rsidR="00414CEA">
        <w:t>.</w:t>
      </w:r>
    </w:p>
    <w:p w:rsidR="006A0DBB" w:rsidRDefault="006A0DBB" w:rsidP="009C55E3">
      <w:r>
        <w:t xml:space="preserve">With regards to price compliance, the ACCC is satisfied that NBN </w:t>
      </w:r>
      <w:proofErr w:type="spellStart"/>
      <w:r>
        <w:t>Co’s</w:t>
      </w:r>
      <w:proofErr w:type="spellEnd"/>
      <w:r>
        <w:t xml:space="preserve"> prices for 2014-15 did not exceed the maximum regulated prices applicable at the relevant point in time in accordance with Schedule 1C of the SAU.</w:t>
      </w:r>
    </w:p>
    <w:p w:rsidR="006A0DBB" w:rsidRDefault="005406A7" w:rsidP="009C55E3">
      <w:r>
        <w:t xml:space="preserve">In its 2014-15 LTRCM submission, NBN Co requested an amendment to the ACCC’s </w:t>
      </w:r>
      <w:proofErr w:type="gramStart"/>
      <w:r>
        <w:t>2013-14 LTRCM Determination to correct for an inadvertent omission</w:t>
      </w:r>
      <w:proofErr w:type="gramEnd"/>
      <w:r>
        <w:t>. The ACCC consider</w:t>
      </w:r>
      <w:r w:rsidR="00D121D4">
        <w:t>ed</w:t>
      </w:r>
      <w:r>
        <w:t xml:space="preserve"> NBN</w:t>
      </w:r>
      <w:r w:rsidR="00667B40">
        <w:t> </w:t>
      </w:r>
      <w:proofErr w:type="spellStart"/>
      <w:r>
        <w:t>Co’s</w:t>
      </w:r>
      <w:proofErr w:type="spellEnd"/>
      <w:r>
        <w:t xml:space="preserve"> proposed amendment </w:t>
      </w:r>
      <w:r w:rsidR="00B05A7A">
        <w:t>during</w:t>
      </w:r>
      <w:r w:rsidR="00FF18C3">
        <w:t xml:space="preserve"> </w:t>
      </w:r>
      <w:r w:rsidR="00903C36">
        <w:t>th</w:t>
      </w:r>
      <w:r w:rsidR="00D121D4">
        <w:t>e</w:t>
      </w:r>
      <w:r>
        <w:t xml:space="preserve"> LTRCM</w:t>
      </w:r>
      <w:r w:rsidR="00903C36">
        <w:t xml:space="preserve"> </w:t>
      </w:r>
      <w:r w:rsidR="00D121D4">
        <w:t xml:space="preserve">draft determination </w:t>
      </w:r>
      <w:r w:rsidR="00903C36">
        <w:t>consultation</w:t>
      </w:r>
      <w:r>
        <w:t xml:space="preserve"> process. The ACCC </w:t>
      </w:r>
      <w:r w:rsidR="00D121D4">
        <w:t>has</w:t>
      </w:r>
      <w:r>
        <w:t xml:space="preserve"> accept</w:t>
      </w:r>
      <w:r w:rsidR="00D121D4">
        <w:t>ed</w:t>
      </w:r>
      <w:r>
        <w:t xml:space="preserve"> NBN </w:t>
      </w:r>
      <w:proofErr w:type="spellStart"/>
      <w:r>
        <w:t>Co’s</w:t>
      </w:r>
      <w:proofErr w:type="spellEnd"/>
      <w:r>
        <w:t xml:space="preserve"> proposed amendment</w:t>
      </w:r>
      <w:r w:rsidR="00414CEA">
        <w:t xml:space="preserve"> for the reasons </w:t>
      </w:r>
      <w:r w:rsidR="00B05A7A">
        <w:t xml:space="preserve">outlined in section 3 of this report and </w:t>
      </w:r>
      <w:r w:rsidR="00414CEA">
        <w:t xml:space="preserve">discussed in </w:t>
      </w:r>
      <w:r w:rsidR="00DE0656">
        <w:t>detail in the draft determination. The amendment</w:t>
      </w:r>
      <w:r w:rsidRPr="00B739C8">
        <w:t xml:space="preserve"> result</w:t>
      </w:r>
      <w:r w:rsidR="00B05A7A">
        <w:t>s</w:t>
      </w:r>
      <w:r w:rsidRPr="00B739C8">
        <w:t xml:space="preserve"> in an adjustment to the ABBRR and ICRA values in the 2013-14 LTRCM Determination, and subsequently impact</w:t>
      </w:r>
      <w:r w:rsidR="00B05A7A">
        <w:t>s</w:t>
      </w:r>
      <w:r w:rsidRPr="00B739C8">
        <w:t xml:space="preserve"> the values in the ACCC 2014-15 LTRCM Determination.</w:t>
      </w:r>
    </w:p>
    <w:p w:rsidR="00ED14CE" w:rsidRDefault="0020723B" w:rsidP="00BA7D3B">
      <w:pPr>
        <w:pStyle w:val="HeadingLevel1"/>
      </w:pPr>
      <w:bookmarkStart w:id="5" w:name="_Toc452626339"/>
      <w:bookmarkEnd w:id="1"/>
      <w:r>
        <w:lastRenderedPageBreak/>
        <w:t>Introduction</w:t>
      </w:r>
      <w:bookmarkEnd w:id="5"/>
      <w:r>
        <w:t xml:space="preserve"> </w:t>
      </w:r>
    </w:p>
    <w:p w:rsidR="00B61244" w:rsidRDefault="00B61244" w:rsidP="00B61244">
      <w:r>
        <w:t xml:space="preserve">On 13 December 2013, the ACCC accepted a Special Access Undertaking (SAU) from NBN Co. The SAU </w:t>
      </w:r>
      <w:r w:rsidR="004929EB">
        <w:t xml:space="preserve">is a long term undertaking that </w:t>
      </w:r>
      <w:r>
        <w:t>establishes the regulatory framework for the National Broadband Network (NBN)</w:t>
      </w:r>
      <w:r w:rsidR="004929EB">
        <w:t>.</w:t>
      </w:r>
      <w:r>
        <w:t xml:space="preserve"> The SAU will expire on 30 June 2040.</w:t>
      </w:r>
    </w:p>
    <w:p w:rsidR="00B61244" w:rsidRDefault="00B61244" w:rsidP="00B61244">
      <w:r>
        <w:t>The SAU requires NBN Co to submit certain regulatory information to the ACCC for each financial year, including financial information required to determine the revenues NBN Co is allowed to earn (its long term revenue constraint).</w:t>
      </w:r>
      <w:r>
        <w:rPr>
          <w:rStyle w:val="FootnoteReference"/>
        </w:rPr>
        <w:footnoteReference w:id="1"/>
      </w:r>
      <w:r>
        <w:t xml:space="preserve"> NBN Co is also required to certify that its prices have not exceeded the maximum regulated prices set by the SAU.</w:t>
      </w:r>
      <w:r>
        <w:rPr>
          <w:rStyle w:val="FootnoteReference"/>
        </w:rPr>
        <w:footnoteReference w:id="2"/>
      </w:r>
      <w:r>
        <w:t xml:space="preserve"> Following NBN </w:t>
      </w:r>
      <w:proofErr w:type="spellStart"/>
      <w:r>
        <w:t>Co’s</w:t>
      </w:r>
      <w:proofErr w:type="spellEnd"/>
      <w:r>
        <w:t xml:space="preserve"> submission, the ACCC must make a Long Term Revenue Constraint Methodology (LTRCM) determination within 12 months after the end of each financial year.</w:t>
      </w:r>
      <w:r>
        <w:rPr>
          <w:rStyle w:val="FootnoteReference"/>
        </w:rPr>
        <w:footnoteReference w:id="3"/>
      </w:r>
    </w:p>
    <w:p w:rsidR="004929EB" w:rsidRDefault="004929EB" w:rsidP="004929EB">
      <w:r>
        <w:t>The LTRCM is a methodology for determining the amount of revenue NBN Co is allowed to earn via its prices over the SAU term. The purpose of the LTRCM is to provide NBN Co with the opportunity to recover its prudent and efficient costs of supply (including an appropriate return on investment). The LTRCM</w:t>
      </w:r>
      <w:r w:rsidR="00BD06E8">
        <w:t xml:space="preserve"> works with other parts of the SAU to provide incentives to </w:t>
      </w:r>
      <w:r>
        <w:t>NBN</w:t>
      </w:r>
      <w:r w:rsidR="001A1306">
        <w:t> </w:t>
      </w:r>
      <w:r>
        <w:t>Co to operate and invest prudently and efficiently.</w:t>
      </w:r>
    </w:p>
    <w:p w:rsidR="00B61244" w:rsidRDefault="00B61244" w:rsidP="00706893">
      <w:pPr>
        <w:pStyle w:val="HeadingLevel2"/>
        <w:numPr>
          <w:ilvl w:val="1"/>
          <w:numId w:val="52"/>
        </w:numPr>
      </w:pPr>
      <w:bookmarkStart w:id="6" w:name="_Toc452626340"/>
      <w:r>
        <w:t>Background</w:t>
      </w:r>
      <w:bookmarkEnd w:id="6"/>
    </w:p>
    <w:p w:rsidR="00B61244" w:rsidRDefault="004929EB" w:rsidP="00706893">
      <w:pPr>
        <w:pStyle w:val="HeadingLevel5"/>
      </w:pPr>
      <w:r>
        <w:t>LTRCM determination</w:t>
      </w:r>
    </w:p>
    <w:p w:rsidR="00B61244" w:rsidRDefault="004929EB" w:rsidP="00B61244">
      <w:r>
        <w:t xml:space="preserve">The LTRCM determination will be prepared on </w:t>
      </w:r>
      <w:r w:rsidR="00B61244">
        <w:t xml:space="preserve">an </w:t>
      </w:r>
      <w:r w:rsidR="00B61244" w:rsidRPr="00CD4EFF">
        <w:rPr>
          <w:i/>
        </w:rPr>
        <w:t>ex-post</w:t>
      </w:r>
      <w:r w:rsidR="00B61244">
        <w:t xml:space="preserve"> basis during the first 10 years of the SAU (the Initial Regulatory Period)</w:t>
      </w:r>
      <w:r w:rsidR="00BD06E8">
        <w:t>. In subsequent regulatory periods, NBN Co will be subjected to the standard building block approach where the ACCC undertakes an</w:t>
      </w:r>
      <w:r w:rsidR="00B61244">
        <w:t xml:space="preserve"> </w:t>
      </w:r>
      <w:r w:rsidR="00B61244" w:rsidRPr="00CD4EFF">
        <w:rPr>
          <w:i/>
        </w:rPr>
        <w:t>ex-ante</w:t>
      </w:r>
      <w:r w:rsidR="00B61244">
        <w:t xml:space="preserve"> </w:t>
      </w:r>
      <w:r w:rsidR="00BD06E8">
        <w:t xml:space="preserve">assessment of NBN </w:t>
      </w:r>
      <w:proofErr w:type="spellStart"/>
      <w:r w:rsidR="00BD06E8">
        <w:t>Co’s</w:t>
      </w:r>
      <w:proofErr w:type="spellEnd"/>
      <w:r w:rsidR="00BD06E8">
        <w:t xml:space="preserve"> proposed expenditures and their prudency.  </w:t>
      </w:r>
    </w:p>
    <w:p w:rsidR="00B61244" w:rsidRDefault="00B61244" w:rsidP="00B61244">
      <w:pPr>
        <w:spacing w:after="120"/>
      </w:pPr>
      <w:r>
        <w:t>In making an LTRCM Determination, the ACCC must determine the following values (and the inputs to those values):</w:t>
      </w:r>
    </w:p>
    <w:p w:rsidR="00B61244" w:rsidRPr="00EE1F1F" w:rsidRDefault="00B61244" w:rsidP="00DE0656">
      <w:pPr>
        <w:pStyle w:val="Bulletb"/>
      </w:pPr>
      <w:r w:rsidRPr="00EE1F1F">
        <w:t>Annual Building Block Revenue Requirement (ABBRR)—this is the amount of revenue NBN Co is allowed to earn in each financial year</w:t>
      </w:r>
    </w:p>
    <w:p w:rsidR="00B61244" w:rsidRPr="00EE1F1F" w:rsidRDefault="00B61244" w:rsidP="00DE0656">
      <w:pPr>
        <w:pStyle w:val="Bulletb"/>
      </w:pPr>
      <w:r w:rsidRPr="00EE1F1F">
        <w:t xml:space="preserve">Regulatory Asset Base (RAB)—this is the net value of NBN </w:t>
      </w:r>
      <w:proofErr w:type="spellStart"/>
      <w:r w:rsidRPr="00EE1F1F">
        <w:t>Co’s</w:t>
      </w:r>
      <w:proofErr w:type="spellEnd"/>
      <w:r w:rsidRPr="00EE1F1F">
        <w:t xml:space="preserve"> regulated assets</w:t>
      </w:r>
    </w:p>
    <w:p w:rsidR="00B61244" w:rsidRPr="00EE1F1F" w:rsidRDefault="00B61244" w:rsidP="00DE0656">
      <w:pPr>
        <w:pStyle w:val="Bulletb"/>
      </w:pPr>
      <w:r w:rsidRPr="00EE1F1F">
        <w:t xml:space="preserve">Initial Cost Recovery Account (ICRA)—this is an account for accumulating (and rolling forward) NBN </w:t>
      </w:r>
      <w:proofErr w:type="spellStart"/>
      <w:r w:rsidRPr="00EE1F1F">
        <w:t>Co’s</w:t>
      </w:r>
      <w:proofErr w:type="spellEnd"/>
      <w:r w:rsidRPr="00EE1F1F">
        <w:t xml:space="preserve"> initial unrecovered costs.</w:t>
      </w:r>
    </w:p>
    <w:p w:rsidR="00B61244" w:rsidRDefault="00B61244" w:rsidP="00B61244">
      <w:pPr>
        <w:spacing w:before="240"/>
      </w:pPr>
      <w:r>
        <w:t xml:space="preserve">The LTRCM sets out a mechanism for determining NBN </w:t>
      </w:r>
      <w:proofErr w:type="spellStart"/>
      <w:r>
        <w:t>Co’s</w:t>
      </w:r>
      <w:proofErr w:type="spellEnd"/>
      <w:r>
        <w:t xml:space="preserve"> RAB and ABBRR based on a range of financial inputs that must be submitted by NBN Co. The ABBRR is in turn used, together with NBN </w:t>
      </w:r>
      <w:proofErr w:type="spellStart"/>
      <w:r>
        <w:t>Co’s</w:t>
      </w:r>
      <w:proofErr w:type="spellEnd"/>
      <w:r>
        <w:t xml:space="preserve"> actual revenue (as defined in the SAU), to calculate the extent of unrecovered costs in each year, the cumulative value of which is captured in the ICRA. Once NBN Co begins to earn sufficient revenue each year to meet its annual revenue requirement, the SAU permits NBN Co to recover more than its annual revenue requirement until the ICRA reaches zero (subject to the price controls set out in the SAU).</w:t>
      </w:r>
      <w:r>
        <w:rPr>
          <w:rStyle w:val="FootnoteReference"/>
        </w:rPr>
        <w:footnoteReference w:id="4"/>
      </w:r>
    </w:p>
    <w:p w:rsidR="00B61244" w:rsidRDefault="00B61244" w:rsidP="00706893">
      <w:pPr>
        <w:pStyle w:val="HeadingLevel5"/>
      </w:pPr>
      <w:r>
        <w:t>The ACCC’s role in the LTRCM process</w:t>
      </w:r>
    </w:p>
    <w:p w:rsidR="00B61244" w:rsidRDefault="00B61244" w:rsidP="00B61244">
      <w:r>
        <w:t xml:space="preserve">During the Initial Regulatory Period of the SAU, the ACCC’s role in making an LTRCM determination is to determine whether capital expenditure and operating expenditure meet the relevant requirements in the SAU for inclusion in the RAB and ABBRR, respectively. If the </w:t>
      </w:r>
      <w:r>
        <w:lastRenderedPageBreak/>
        <w:t xml:space="preserve">ACCC is not satisfied that NBN </w:t>
      </w:r>
      <w:proofErr w:type="spellStart"/>
      <w:r>
        <w:t>Co’s</w:t>
      </w:r>
      <w:proofErr w:type="spellEnd"/>
      <w:r>
        <w:t xml:space="preserve"> expenditure meets those requirements the ACCC can determine substitute values in its LTRCM determination.</w:t>
      </w:r>
    </w:p>
    <w:p w:rsidR="00B61244" w:rsidRDefault="00B61244" w:rsidP="00B61244">
      <w:pPr>
        <w:spacing w:after="120"/>
      </w:pPr>
      <w:r>
        <w:t>In making the LTRCM determination, capital expenditure may only be included in the RAB to the extent that the ACCC is satisfied that:</w:t>
      </w:r>
    </w:p>
    <w:p w:rsidR="00B61244" w:rsidRDefault="00B61244" w:rsidP="00DE0656">
      <w:pPr>
        <w:pStyle w:val="Bulletb"/>
      </w:pPr>
      <w:r>
        <w:t>it meets the Prudent Cost Condition</w:t>
      </w:r>
      <w:r>
        <w:rPr>
          <w:rStyle w:val="FootnoteReference"/>
        </w:rPr>
        <w:footnoteReference w:id="5"/>
      </w:r>
      <w:r>
        <w:t xml:space="preserve"> – broadly speaking, capital expenditure meets the Prudent Cost Condition if it was incurred in connection with the design, engineering and construction of the relevant assets under a ‘conforming contract’</w:t>
      </w:r>
      <w:r>
        <w:rPr>
          <w:rStyle w:val="FootnoteReference"/>
        </w:rPr>
        <w:footnoteReference w:id="6"/>
      </w:r>
      <w:r>
        <w:t xml:space="preserve"> (that is, generally, in accordance with the procurement rules); or in an open and competitive market; or through another ‘value for money’ process. The SAU requires NBN Co to develop procurement rules that establish procurement processes that seek to generate an efficient and competitive outcome and reflect good industry practice; and</w:t>
      </w:r>
    </w:p>
    <w:p w:rsidR="00B61244" w:rsidRDefault="00B61244" w:rsidP="00DE0656">
      <w:pPr>
        <w:pStyle w:val="Bulletb"/>
      </w:pPr>
      <w:r>
        <w:t>it meets the Prudent Design Condition</w:t>
      </w:r>
      <w:r>
        <w:rPr>
          <w:rStyle w:val="FootnoteReference"/>
        </w:rPr>
        <w:footnoteReference w:id="7"/>
      </w:r>
      <w:r>
        <w:t xml:space="preserve"> – capital expenditure meets the Prudent Design Condition if it is ‘materially consistent’ with the Network Design Rules</w:t>
      </w:r>
      <w:r>
        <w:rPr>
          <w:rStyle w:val="FootnoteReference"/>
        </w:rPr>
        <w:footnoteReference w:id="8"/>
      </w:r>
      <w:r>
        <w:t xml:space="preserve"> or a permitted variation, endorsed network change or ACCC approved network change to the Network Design Rules,</w:t>
      </w:r>
      <w:r>
        <w:rPr>
          <w:rStyle w:val="FootnoteReference"/>
        </w:rPr>
        <w:footnoteReference w:id="9"/>
      </w:r>
      <w:r>
        <w:t xml:space="preserve"> or</w:t>
      </w:r>
    </w:p>
    <w:p w:rsidR="00B61244" w:rsidRDefault="00B61244" w:rsidP="00DE0656">
      <w:pPr>
        <w:pStyle w:val="Bulletb"/>
      </w:pPr>
      <w:r>
        <w:t xml:space="preserve">capital expenditure was incurred in connection with the specific matters listed in clause </w:t>
      </w:r>
      <w:proofErr w:type="gramStart"/>
      <w:r>
        <w:t>1D.3.2(</w:t>
      </w:r>
      <w:proofErr w:type="gramEnd"/>
      <w:r>
        <w:t>a)(ii) of the SAU – that is, capital expenditure is considered to be prudent under the SAU if it relates to: the Telstra or Optus arrangements, interim satellite or transit arrangements, Tasmania tri-area service arrangements, trial sites, or third party funded network changes; or was incurred prior to the approval of the SAU on 13 December 2013.</w:t>
      </w:r>
      <w:r>
        <w:rPr>
          <w:rStyle w:val="FootnoteReference"/>
        </w:rPr>
        <w:footnoteReference w:id="10"/>
      </w:r>
    </w:p>
    <w:p w:rsidR="00B61244" w:rsidRDefault="00B61244" w:rsidP="00B61244">
      <w:pPr>
        <w:spacing w:after="120"/>
      </w:pPr>
      <w:r>
        <w:t>Operating expenditure may only be included in the ABBRR to the extent that the ACCC is satisfied that:</w:t>
      </w:r>
    </w:p>
    <w:p w:rsidR="00B61244" w:rsidRDefault="00B61244" w:rsidP="00DE0656">
      <w:pPr>
        <w:pStyle w:val="Bulletb"/>
      </w:pPr>
      <w:r>
        <w:t xml:space="preserve">it was incurred in accordance with NBN </w:t>
      </w:r>
      <w:proofErr w:type="spellStart"/>
      <w:r>
        <w:t>Co’s</w:t>
      </w:r>
      <w:proofErr w:type="spellEnd"/>
      <w:r>
        <w:t xml:space="preserve"> procurement processes (including in accordance with the </w:t>
      </w:r>
      <w:r w:rsidR="00FB2661">
        <w:t>p</w:t>
      </w:r>
      <w:r>
        <w:t xml:space="preserve">rocurement </w:t>
      </w:r>
      <w:r w:rsidR="00FB2661">
        <w:t>r</w:t>
      </w:r>
      <w:r>
        <w:t>ules), was incurred pursuant to a ‘conforming contract’, was procured in an open and competitive market, or was procured in a manner that is likely to achieve value for money,</w:t>
      </w:r>
      <w:r>
        <w:rPr>
          <w:rStyle w:val="FootnoteReference"/>
        </w:rPr>
        <w:footnoteReference w:id="11"/>
      </w:r>
      <w:r>
        <w:t xml:space="preserve"> or</w:t>
      </w:r>
    </w:p>
    <w:p w:rsidR="00B61244" w:rsidRDefault="00B61244" w:rsidP="00DE0656">
      <w:pPr>
        <w:pStyle w:val="Bulletb"/>
      </w:pPr>
      <w:r>
        <w:t>it was incurred in connection with the specific matters specified in clause 1E.8.2(a)(ii) of the SAU – that is, operating expenditure is considered to be prudent under the SAU if it relates to: the Telstra or Optus arrangements, interim satellite or transit arrangements, Tasmania tri-area service arrangements, trial sites, or third party funded network changes; or was incurred prior to the approval of the SAU on 13 December 2013; or it was required to address an urgent network issue or a force majeure event.</w:t>
      </w:r>
    </w:p>
    <w:p w:rsidR="00B61244" w:rsidRDefault="00B61244" w:rsidP="00B61244">
      <w:r>
        <w:t xml:space="preserve">The ACCC’s role is to assess whether NBN Co has incurred its expenditure in accordance with these criteria, and that the relevant LTRCM components have been calculated in accordance with the formulas set out in the SAU, and to determine whether those expenditures (as set out in NBN </w:t>
      </w:r>
      <w:proofErr w:type="spellStart"/>
      <w:r>
        <w:t>Co’s</w:t>
      </w:r>
      <w:proofErr w:type="spellEnd"/>
      <w:r>
        <w:t xml:space="preserve"> LTRCM proposal) should be included in the LTRCM determination. The ACCC may determine LTRCM values that are different from the values submitted by NBN Co, provided those values are determined in accordance with Schedule 1D and Schedule 1E of the </w:t>
      </w:r>
      <w:r>
        <w:lastRenderedPageBreak/>
        <w:t>SAU.</w:t>
      </w:r>
      <w:r w:rsidRPr="009625CC">
        <w:rPr>
          <w:vertAlign w:val="superscript"/>
        </w:rPr>
        <w:footnoteReference w:id="12"/>
      </w:r>
      <w:r>
        <w:t xml:space="preserve"> The SAU includes provisions which set out the factors to consider when determining a substitute amount of capital or operating expenditure.</w:t>
      </w:r>
      <w:r>
        <w:rPr>
          <w:rStyle w:val="FootnoteReference"/>
        </w:rPr>
        <w:footnoteReference w:id="13"/>
      </w:r>
    </w:p>
    <w:p w:rsidR="00B61244" w:rsidRDefault="00B61244" w:rsidP="00706893">
      <w:pPr>
        <w:pStyle w:val="HeadingLevel5"/>
      </w:pPr>
      <w:r>
        <w:t xml:space="preserve">Price compliance and reporting </w:t>
      </w:r>
    </w:p>
    <w:p w:rsidR="00B61244" w:rsidRPr="00877B69" w:rsidRDefault="00B61244" w:rsidP="00B61244">
      <w:r w:rsidRPr="00877B69">
        <w:t xml:space="preserve">One </w:t>
      </w:r>
      <w:r>
        <w:t xml:space="preserve">of the features of the SAU is to set binding price caps, which provide long term pricing commitments to NBN </w:t>
      </w:r>
      <w:proofErr w:type="spellStart"/>
      <w:r>
        <w:t>Co’s</w:t>
      </w:r>
      <w:proofErr w:type="spellEnd"/>
      <w:r>
        <w:t xml:space="preserve"> customers. The price controls act in conjunction with the LTRCM to provide incentives to ensure access seekers are not subject to unreasonable prices and to incentivise NBN Co to incur efficient expenditure. There are a number of pricing provisions in the SAU, the most important being an annual price increase limit of the Consumer Price Index (CPI) less 1.5 per cent.</w:t>
      </w:r>
      <w:r>
        <w:rPr>
          <w:rStyle w:val="FootnoteReference"/>
        </w:rPr>
        <w:footnoteReference w:id="14"/>
      </w:r>
    </w:p>
    <w:p w:rsidR="00B61244" w:rsidRDefault="00B61244" w:rsidP="00B61244">
      <w:r w:rsidRPr="00877B69">
        <w:t xml:space="preserve">By 31 October </w:t>
      </w:r>
      <w:r>
        <w:t xml:space="preserve">each year, NBN Co must submit a </w:t>
      </w:r>
      <w:r w:rsidR="00A30A8F">
        <w:t>p</w:t>
      </w:r>
      <w:r>
        <w:t xml:space="preserve">rice </w:t>
      </w:r>
      <w:r w:rsidR="00A30A8F">
        <w:t>c</w:t>
      </w:r>
      <w:r>
        <w:t xml:space="preserve">ompliance </w:t>
      </w:r>
      <w:r w:rsidR="00A30A8F">
        <w:t>r</w:t>
      </w:r>
      <w:r>
        <w:t xml:space="preserve">eport to the ACCC. The </w:t>
      </w:r>
      <w:r w:rsidR="00A30979">
        <w:t>p</w:t>
      </w:r>
      <w:r>
        <w:t>rice</w:t>
      </w:r>
      <w:r w:rsidR="00A30979">
        <w:t xml:space="preserve"> c</w:t>
      </w:r>
      <w:r>
        <w:t xml:space="preserve">ompliance </w:t>
      </w:r>
      <w:r w:rsidR="00A30979">
        <w:t>r</w:t>
      </w:r>
      <w:r>
        <w:t xml:space="preserve">eport includes certification from NBN </w:t>
      </w:r>
      <w:proofErr w:type="spellStart"/>
      <w:r>
        <w:t>Co’s</w:t>
      </w:r>
      <w:proofErr w:type="spellEnd"/>
      <w:r>
        <w:t xml:space="preserve"> Chief Financial Officer (CFO) that the prices charged during the preceding financial year did not exceed the maximum regulated prices set by the SAU.</w:t>
      </w:r>
      <w:r w:rsidR="00DE0656">
        <w:t xml:space="preserve"> </w:t>
      </w:r>
      <w:r>
        <w:t>The ACCC may</w:t>
      </w:r>
      <w:r w:rsidR="00DE0656">
        <w:t xml:space="preserve"> also</w:t>
      </w:r>
      <w:r>
        <w:t xml:space="preserve"> request information, at any time, from NBN Co that is reasonably necessary for the ACCC to determine NBN </w:t>
      </w:r>
      <w:proofErr w:type="spellStart"/>
      <w:r>
        <w:t>Co’s</w:t>
      </w:r>
      <w:proofErr w:type="spellEnd"/>
      <w:r>
        <w:t xml:space="preserve"> compliance with Schedule 1C of the SAU.</w:t>
      </w:r>
    </w:p>
    <w:p w:rsidR="00B61244" w:rsidRDefault="00B61244" w:rsidP="00706893">
      <w:pPr>
        <w:pStyle w:val="HeadingLevel2"/>
      </w:pPr>
      <w:bookmarkStart w:id="7" w:name="_Toc452626341"/>
      <w:r>
        <w:t>Consultation process</w:t>
      </w:r>
      <w:bookmarkEnd w:id="7"/>
    </w:p>
    <w:p w:rsidR="000F6DF0" w:rsidRDefault="000F6DF0" w:rsidP="00B61244">
      <w:r>
        <w:t xml:space="preserve">In accordance with the SAU, the ACCC has </w:t>
      </w:r>
      <w:r w:rsidR="00B05A7A">
        <w:t>invited submissions from</w:t>
      </w:r>
      <w:r>
        <w:t xml:space="preserve"> NBN Co and other interested parties in making this LTRCM determination.</w:t>
      </w:r>
    </w:p>
    <w:p w:rsidR="000F6DF0" w:rsidRDefault="000F6DF0" w:rsidP="00B61244">
      <w:r>
        <w:t xml:space="preserve">On 22 December 2015, the ACCC provided its preliminary view to NBN Co that it </w:t>
      </w:r>
      <w:r w:rsidR="00B05A7A">
        <w:t xml:space="preserve">did </w:t>
      </w:r>
      <w:r>
        <w:t>not intend to determine a substitute amount of capital expenditure in accordance with clause 1D.3.2(d) or a substitute amount of operating expenditure in accordance with clause 1E.8.2(c) of the SAU. The ACCC’s preliminary view is available on the ACCC website.</w:t>
      </w:r>
    </w:p>
    <w:p w:rsidR="00EA5151" w:rsidRDefault="000F6DF0" w:rsidP="00B61244">
      <w:r>
        <w:t>On 15 March 2016, the ACCC published a draft LTRCM determination for 2014-15 and the reasons for the draft determination for a four week consultation period. The ACCC</w:t>
      </w:r>
      <w:r w:rsidR="00EA5151">
        <w:t xml:space="preserve"> did not receive any written submissions during this time.</w:t>
      </w:r>
      <w:r>
        <w:t xml:space="preserve"> </w:t>
      </w:r>
      <w:r w:rsidR="00DE0656">
        <w:t xml:space="preserve">The ACCC’s draft determination </w:t>
      </w:r>
      <w:r w:rsidR="00B05A7A">
        <w:t xml:space="preserve">is </w:t>
      </w:r>
      <w:r w:rsidR="00DE0656">
        <w:t>available on the ACCC website.</w:t>
      </w:r>
      <w:r w:rsidR="00DE0656">
        <w:rPr>
          <w:rStyle w:val="FootnoteReference"/>
        </w:rPr>
        <w:footnoteReference w:id="15"/>
      </w:r>
    </w:p>
    <w:p w:rsidR="00B61244" w:rsidRDefault="00B61244" w:rsidP="00706893">
      <w:pPr>
        <w:pStyle w:val="HeadingLevel2"/>
      </w:pPr>
      <w:bookmarkStart w:id="8" w:name="_Toc452626342"/>
      <w:r>
        <w:t>Structure of the report</w:t>
      </w:r>
      <w:bookmarkEnd w:id="8"/>
    </w:p>
    <w:p w:rsidR="00C21C93" w:rsidRPr="00EA51E4" w:rsidRDefault="00903C36" w:rsidP="00D43BEA">
      <w:pPr>
        <w:spacing w:after="120"/>
      </w:pPr>
      <w:r w:rsidRPr="00EA51E4">
        <w:t>This</w:t>
      </w:r>
      <w:r w:rsidR="00C21C93" w:rsidRPr="00EA51E4">
        <w:t xml:space="preserve"> report sets out the ACCC’s </w:t>
      </w:r>
      <w:r w:rsidR="00B61244" w:rsidRPr="00EA51E4">
        <w:t>final</w:t>
      </w:r>
      <w:r w:rsidR="00C21C93" w:rsidRPr="00EA51E4">
        <w:t xml:space="preserve"> LTRCM determination and its view on NBN </w:t>
      </w:r>
      <w:proofErr w:type="spellStart"/>
      <w:r w:rsidR="00C21C93" w:rsidRPr="00EA51E4">
        <w:t>Co’s</w:t>
      </w:r>
      <w:proofErr w:type="spellEnd"/>
      <w:r w:rsidR="00C21C93" w:rsidRPr="00EA51E4">
        <w:t xml:space="preserve"> price compliance for the 2014–15 financial </w:t>
      </w:r>
      <w:proofErr w:type="gramStart"/>
      <w:r w:rsidR="00C21C93" w:rsidRPr="00EA51E4">
        <w:t>year</w:t>
      </w:r>
      <w:proofErr w:type="gramEnd"/>
      <w:r w:rsidR="00C21C93" w:rsidRPr="00EA51E4">
        <w:t>. The report is structured as follows:</w:t>
      </w:r>
    </w:p>
    <w:p w:rsidR="003D4DF1" w:rsidRPr="00EA51E4" w:rsidRDefault="00C21C93" w:rsidP="00DE0656">
      <w:pPr>
        <w:pStyle w:val="Bulletb"/>
      </w:pPr>
      <w:r w:rsidRPr="00EA51E4">
        <w:t xml:space="preserve">Section </w:t>
      </w:r>
      <w:r w:rsidR="00B25531" w:rsidRPr="00EA51E4">
        <w:t>2</w:t>
      </w:r>
      <w:r w:rsidRPr="00EA51E4">
        <w:t xml:space="preserve"> </w:t>
      </w:r>
      <w:r w:rsidR="003D4DF1" w:rsidRPr="00EA51E4">
        <w:t>provides and an overview of the regulatory information submitted by NBN Co</w:t>
      </w:r>
    </w:p>
    <w:p w:rsidR="00C21C93" w:rsidRPr="00EA51E4" w:rsidRDefault="003D4DF1" w:rsidP="00DE0656">
      <w:pPr>
        <w:pStyle w:val="Bulletb"/>
      </w:pPr>
      <w:r w:rsidRPr="00EA51E4">
        <w:t>S</w:t>
      </w:r>
      <w:r w:rsidR="00B25531" w:rsidRPr="00EA51E4">
        <w:t>ection 3</w:t>
      </w:r>
      <w:r w:rsidRPr="00EA51E4">
        <w:t xml:space="preserve"> summarises</w:t>
      </w:r>
      <w:r w:rsidR="00683BF0" w:rsidRPr="00EA51E4">
        <w:t xml:space="preserve"> the ACCC’s</w:t>
      </w:r>
      <w:r w:rsidRPr="00EA51E4">
        <w:t xml:space="preserve"> </w:t>
      </w:r>
      <w:r w:rsidR="00B05A7A">
        <w:t xml:space="preserve">assessment of NBN </w:t>
      </w:r>
      <w:proofErr w:type="spellStart"/>
      <w:r w:rsidR="00B05A7A">
        <w:t>Co’s</w:t>
      </w:r>
      <w:proofErr w:type="spellEnd"/>
      <w:r w:rsidR="00B05A7A">
        <w:t xml:space="preserve"> LTRCM proposal</w:t>
      </w:r>
    </w:p>
    <w:p w:rsidR="00C21C93" w:rsidRPr="00EA51E4" w:rsidRDefault="00683BF0" w:rsidP="00DE0656">
      <w:pPr>
        <w:pStyle w:val="Bulletb"/>
      </w:pPr>
      <w:r w:rsidRPr="00EA51E4">
        <w:t xml:space="preserve">Section </w:t>
      </w:r>
      <w:r w:rsidR="00EA51E4" w:rsidRPr="00EA51E4">
        <w:t>4</w:t>
      </w:r>
      <w:r w:rsidRPr="00EA51E4">
        <w:t xml:space="preserve"> </w:t>
      </w:r>
      <w:r w:rsidR="00EA51E4" w:rsidRPr="00EA51E4">
        <w:t>sets out</w:t>
      </w:r>
      <w:r w:rsidRPr="00EA51E4">
        <w:t xml:space="preserve"> the ACCC’s final decision regarding the amendment to the 2013-14 LTRCM determination</w:t>
      </w:r>
      <w:r w:rsidR="00C21C93" w:rsidRPr="00EA51E4">
        <w:t xml:space="preserve">, and </w:t>
      </w:r>
    </w:p>
    <w:p w:rsidR="00C21C93" w:rsidRPr="00EA51E4" w:rsidRDefault="00683BF0" w:rsidP="00DE0656">
      <w:pPr>
        <w:pStyle w:val="Bulletb"/>
      </w:pPr>
      <w:r w:rsidRPr="00EA51E4">
        <w:t xml:space="preserve">Section </w:t>
      </w:r>
      <w:r w:rsidR="00EA51E4" w:rsidRPr="00EA51E4">
        <w:t>5</w:t>
      </w:r>
      <w:r w:rsidRPr="00EA51E4">
        <w:t xml:space="preserve"> </w:t>
      </w:r>
      <w:r w:rsidR="00C21C93" w:rsidRPr="00EA51E4">
        <w:t xml:space="preserve">sets out the ACCC’s </w:t>
      </w:r>
      <w:r w:rsidRPr="00EA51E4">
        <w:t>final</w:t>
      </w:r>
      <w:r w:rsidR="00C21C93" w:rsidRPr="00EA51E4">
        <w:t xml:space="preserve"> LTRCM determination</w:t>
      </w:r>
      <w:r w:rsidR="00EA51E4" w:rsidRPr="00EA51E4">
        <w:t xml:space="preserve"> and decision on price compliance</w:t>
      </w:r>
      <w:r w:rsidR="00C21C93" w:rsidRPr="00EA51E4">
        <w:t xml:space="preserve"> for 2014–15.</w:t>
      </w:r>
    </w:p>
    <w:p w:rsidR="00784E68" w:rsidRDefault="003A453C" w:rsidP="00BA7D3B">
      <w:pPr>
        <w:pStyle w:val="HeadingLevel1"/>
      </w:pPr>
      <w:bookmarkStart w:id="9" w:name="_Toc452626343"/>
      <w:r>
        <w:lastRenderedPageBreak/>
        <w:t xml:space="preserve">NBN </w:t>
      </w:r>
      <w:proofErr w:type="spellStart"/>
      <w:r>
        <w:t>Co’s</w:t>
      </w:r>
      <w:proofErr w:type="spellEnd"/>
      <w:r>
        <w:t xml:space="preserve"> 2014–15 </w:t>
      </w:r>
      <w:r w:rsidR="00784E68">
        <w:t>LTRCM proposal</w:t>
      </w:r>
      <w:bookmarkEnd w:id="9"/>
    </w:p>
    <w:p w:rsidR="009D776F" w:rsidRDefault="009D776F" w:rsidP="00706893">
      <w:pPr>
        <w:pStyle w:val="HeadingLevel2"/>
        <w:numPr>
          <w:ilvl w:val="1"/>
          <w:numId w:val="46"/>
        </w:numPr>
      </w:pPr>
      <w:bookmarkStart w:id="10" w:name="_Toc452626344"/>
      <w:r>
        <w:t>Proposed amendment to 2013-14 LTRCM Determination</w:t>
      </w:r>
      <w:bookmarkEnd w:id="10"/>
    </w:p>
    <w:p w:rsidR="00166A3E" w:rsidRDefault="00B05A7A" w:rsidP="00166A3E">
      <w:r>
        <w:t>In the 2013-14 LTRCM</w:t>
      </w:r>
      <w:r w:rsidR="00737912">
        <w:t xml:space="preserve"> Determination</w:t>
      </w:r>
      <w:r>
        <w:t xml:space="preserve">, the ACCC adopted NBN </w:t>
      </w:r>
      <w:proofErr w:type="spellStart"/>
      <w:r>
        <w:t>Co’s</w:t>
      </w:r>
      <w:proofErr w:type="spellEnd"/>
      <w:r>
        <w:t xml:space="preserve"> proposed values for the ABBRR</w:t>
      </w:r>
      <w:r w:rsidR="00FB7182">
        <w:t>, RAB</w:t>
      </w:r>
      <w:r>
        <w:t xml:space="preserve"> and ICRA without modification. </w:t>
      </w:r>
      <w:r w:rsidR="009D776F">
        <w:t xml:space="preserve">In its LTRCM submission for 2014-15, NBN Co requested that the ACCC amend </w:t>
      </w:r>
      <w:proofErr w:type="gramStart"/>
      <w:r w:rsidR="009D776F">
        <w:t xml:space="preserve">the 2013-14 LTRCM Determination to </w:t>
      </w:r>
      <w:r w:rsidR="006E4D85">
        <w:t>address</w:t>
      </w:r>
      <w:r w:rsidR="00CE4781">
        <w:t xml:space="preserve"> </w:t>
      </w:r>
      <w:r w:rsidR="009D776F">
        <w:t xml:space="preserve">an error in the regulatory information </w:t>
      </w:r>
      <w:r w:rsidR="006E4D85">
        <w:t xml:space="preserve">NBN Co </w:t>
      </w:r>
      <w:r w:rsidR="009D776F">
        <w:t>submitted to the ACCC</w:t>
      </w:r>
      <w:proofErr w:type="gramEnd"/>
      <w:r w:rsidR="009D776F">
        <w:t xml:space="preserve">. NBN Co </w:t>
      </w:r>
      <w:r w:rsidR="00A8577E">
        <w:t xml:space="preserve">indicated </w:t>
      </w:r>
      <w:r w:rsidR="009D776F">
        <w:t>that it inadvertently omitted the value for ‘working inventory’ from its opening value of ‘construction in progress’ in its regulatory information for 2013-14</w:t>
      </w:r>
      <w:r w:rsidR="00A8577E">
        <w:t xml:space="preserve"> and that the LTRCM values </w:t>
      </w:r>
      <w:r w:rsidR="006E4D85">
        <w:t xml:space="preserve">would </w:t>
      </w:r>
      <w:r w:rsidR="00A8577E">
        <w:t>be affected for both</w:t>
      </w:r>
      <w:r w:rsidR="006E4D85">
        <w:t xml:space="preserve"> the</w:t>
      </w:r>
      <w:r w:rsidR="009D776F">
        <w:t xml:space="preserve"> </w:t>
      </w:r>
      <w:r w:rsidR="00166A3E">
        <w:t>2012-</w:t>
      </w:r>
      <w:r w:rsidR="00A8577E">
        <w:t>13 and 2013-14 financial years.</w:t>
      </w:r>
      <w:r w:rsidR="00A8577E">
        <w:rPr>
          <w:rStyle w:val="FootnoteReference"/>
        </w:rPr>
        <w:footnoteReference w:id="16"/>
      </w:r>
      <w:r w:rsidR="00E404B4" w:rsidRPr="00E404B4">
        <w:t xml:space="preserve"> </w:t>
      </w:r>
    </w:p>
    <w:p w:rsidR="009D776F" w:rsidRDefault="009D776F" w:rsidP="009D776F">
      <w:r>
        <w:t>NBN Co advised that working inventory comprises</w:t>
      </w:r>
      <w:r w:rsidR="008F0FF4">
        <w:t xml:space="preserve"> of</w:t>
      </w:r>
      <w:r>
        <w:t xml:space="preserve"> equipment held by NBN Co before being released into particular construction projects. NBN Co propose</w:t>
      </w:r>
      <w:r w:rsidR="000F2752">
        <w:t>d</w:t>
      </w:r>
      <w:r>
        <w:t xml:space="preserve"> that working inventory should form part of the construction in progress allowance. NBN Co further clarified that working inventory is distinct from ‘spares inventory’, which consists of equipment held for network maintenance purposes and is reflected in capital expenditure. As such, working inventory was not otherwise reflected in any other aspect of the LTRCM.</w:t>
      </w:r>
    </w:p>
    <w:p w:rsidR="00E404B4" w:rsidRDefault="00E404B4" w:rsidP="009D776F">
      <w:r w:rsidRPr="00137708">
        <w:t xml:space="preserve">NBN </w:t>
      </w:r>
      <w:proofErr w:type="spellStart"/>
      <w:r w:rsidRPr="00137708">
        <w:t>Co’s</w:t>
      </w:r>
      <w:proofErr w:type="spellEnd"/>
      <w:r w:rsidRPr="00137708">
        <w:t xml:space="preserve"> proposed amendment </w:t>
      </w:r>
      <w:proofErr w:type="gramStart"/>
      <w:r w:rsidRPr="00137708">
        <w:t xml:space="preserve">to the 2013-14 LTRCM Determination to include </w:t>
      </w:r>
      <w:r>
        <w:t>w</w:t>
      </w:r>
      <w:r w:rsidRPr="00137708">
        <w:t xml:space="preserve">orking </w:t>
      </w:r>
      <w:r>
        <w:t>i</w:t>
      </w:r>
      <w:r w:rsidRPr="00137708">
        <w:t xml:space="preserve">nventory in </w:t>
      </w:r>
      <w:r>
        <w:t>c</w:t>
      </w:r>
      <w:r w:rsidRPr="00137708">
        <w:t xml:space="preserve">onstruction in </w:t>
      </w:r>
      <w:r>
        <w:t>p</w:t>
      </w:r>
      <w:r w:rsidRPr="00137708">
        <w:t>rogress</w:t>
      </w:r>
      <w:proofErr w:type="gramEnd"/>
      <w:r w:rsidRPr="00137708">
        <w:t xml:space="preserve"> w</w:t>
      </w:r>
      <w:r w:rsidR="006E4D85">
        <w:t>ould</w:t>
      </w:r>
      <w:r w:rsidRPr="00137708">
        <w:t xml:space="preserve"> increase the ICRA by about $6 million as at 30 June 2014.</w:t>
      </w:r>
    </w:p>
    <w:p w:rsidR="00784E68" w:rsidRDefault="00683BF0" w:rsidP="00706893">
      <w:pPr>
        <w:pStyle w:val="HeadingLevel2"/>
      </w:pPr>
      <w:bookmarkStart w:id="11" w:name="_Toc452626345"/>
      <w:r>
        <w:t xml:space="preserve">2014-15 </w:t>
      </w:r>
      <w:r w:rsidR="00784E68">
        <w:t>LTRCM regulatory information</w:t>
      </w:r>
      <w:bookmarkEnd w:id="11"/>
    </w:p>
    <w:p w:rsidR="00784E68" w:rsidRDefault="00784E68" w:rsidP="00C668C0">
      <w:r>
        <w:t>On 30 October 2015, NBN Co submitted an LTRCM proposal to the ACCC as require</w:t>
      </w:r>
      <w:r w:rsidR="009A2AC1">
        <w:t>d under Schedule 1F of the SAU</w:t>
      </w:r>
      <w:r w:rsidR="009A02F8">
        <w:t xml:space="preserve">. NBN </w:t>
      </w:r>
      <w:proofErr w:type="spellStart"/>
      <w:r w:rsidR="009A02F8">
        <w:t>Co</w:t>
      </w:r>
      <w:r w:rsidR="009D3D11">
        <w:t>’s</w:t>
      </w:r>
      <w:proofErr w:type="spellEnd"/>
      <w:r w:rsidR="009A02F8">
        <w:t xml:space="preserve"> LTRCM proposal </w:t>
      </w:r>
      <w:r w:rsidR="009A2AC1">
        <w:t xml:space="preserve">consists of the following materials: </w:t>
      </w:r>
    </w:p>
    <w:p w:rsidR="00784E68" w:rsidRDefault="00784E68" w:rsidP="00DE0656">
      <w:pPr>
        <w:pStyle w:val="Bulletb"/>
      </w:pPr>
      <w:r>
        <w:t xml:space="preserve">NBN </w:t>
      </w:r>
      <w:proofErr w:type="spellStart"/>
      <w:r>
        <w:t>Co’s</w:t>
      </w:r>
      <w:proofErr w:type="spellEnd"/>
      <w:r>
        <w:t xml:space="preserve"> actual financial information – this </w:t>
      </w:r>
      <w:r w:rsidR="009D3D11">
        <w:t xml:space="preserve">information </w:t>
      </w:r>
      <w:r>
        <w:t xml:space="preserve">is based on NBN </w:t>
      </w:r>
      <w:proofErr w:type="spellStart"/>
      <w:r>
        <w:t>Co’s</w:t>
      </w:r>
      <w:proofErr w:type="spellEnd"/>
      <w:r>
        <w:t xml:space="preserve"> reported statutory accounts which are consistent with the definitions in the SAU</w:t>
      </w:r>
    </w:p>
    <w:p w:rsidR="00784E68" w:rsidRDefault="00784E68" w:rsidP="00DE0656">
      <w:pPr>
        <w:pStyle w:val="Bulletb"/>
      </w:pPr>
      <w:r>
        <w:t xml:space="preserve">NBN </w:t>
      </w:r>
      <w:proofErr w:type="spellStart"/>
      <w:r>
        <w:t>Co’s</w:t>
      </w:r>
      <w:proofErr w:type="spellEnd"/>
      <w:r>
        <w:t xml:space="preserve"> proposed financial information – this is NBN </w:t>
      </w:r>
      <w:proofErr w:type="spellStart"/>
      <w:r>
        <w:t>Co’s</w:t>
      </w:r>
      <w:proofErr w:type="spellEnd"/>
      <w:r>
        <w:t xml:space="preserve"> proposed values (and inputs to those values) for the ABBRR, RAB, ICRA and certain other inputs to the LTRCM</w:t>
      </w:r>
    </w:p>
    <w:p w:rsidR="00784E68" w:rsidRDefault="00784E68" w:rsidP="00DE0656">
      <w:pPr>
        <w:pStyle w:val="Bulletb"/>
      </w:pPr>
      <w:r>
        <w:t xml:space="preserve">an </w:t>
      </w:r>
      <w:r w:rsidR="00D75748">
        <w:t>e</w:t>
      </w:r>
      <w:r>
        <w:t xml:space="preserve">xpenditure </w:t>
      </w:r>
      <w:r w:rsidR="00D75748">
        <w:t>c</w:t>
      </w:r>
      <w:r>
        <w:t xml:space="preserve">ompliance </w:t>
      </w:r>
      <w:r w:rsidR="00D75748">
        <w:t>r</w:t>
      </w:r>
      <w:r>
        <w:t xml:space="preserve">eport – a report signed by NBN </w:t>
      </w:r>
      <w:proofErr w:type="spellStart"/>
      <w:r>
        <w:t>Co’s</w:t>
      </w:r>
      <w:proofErr w:type="spellEnd"/>
      <w:r>
        <w:t xml:space="preserve"> CFO certifying that NBN </w:t>
      </w:r>
      <w:proofErr w:type="spellStart"/>
      <w:r>
        <w:t>Co’s</w:t>
      </w:r>
      <w:proofErr w:type="spellEnd"/>
      <w:r>
        <w:t xml:space="preserve"> expenditure complies with the requirements of the SAU</w:t>
      </w:r>
    </w:p>
    <w:p w:rsidR="00784E68" w:rsidRDefault="00784E68" w:rsidP="00DE0656">
      <w:pPr>
        <w:pStyle w:val="Bulletb"/>
      </w:pPr>
      <w:r>
        <w:t xml:space="preserve">a </w:t>
      </w:r>
      <w:r w:rsidR="00D75748">
        <w:t>p</w:t>
      </w:r>
      <w:r>
        <w:t xml:space="preserve">rocurement </w:t>
      </w:r>
      <w:r w:rsidR="00D75748">
        <w:t>c</w:t>
      </w:r>
      <w:r>
        <w:t xml:space="preserve">ompliance </w:t>
      </w:r>
      <w:r w:rsidR="00D75748">
        <w:t>r</w:t>
      </w:r>
      <w:r>
        <w:t xml:space="preserve">eport – a report signed by NBN </w:t>
      </w:r>
      <w:proofErr w:type="spellStart"/>
      <w:r>
        <w:t>Co’s</w:t>
      </w:r>
      <w:proofErr w:type="spellEnd"/>
      <w:r>
        <w:t xml:space="preserve"> Chief Procurement Officer (CPO) certifying that NBN </w:t>
      </w:r>
      <w:proofErr w:type="spellStart"/>
      <w:r>
        <w:t>Co’s</w:t>
      </w:r>
      <w:proofErr w:type="spellEnd"/>
      <w:r>
        <w:t xml:space="preserve"> </w:t>
      </w:r>
      <w:r w:rsidR="002304D7">
        <w:t>p</w:t>
      </w:r>
      <w:r>
        <w:t xml:space="preserve">rocurement </w:t>
      </w:r>
      <w:r w:rsidR="002304D7">
        <w:t>r</w:t>
      </w:r>
      <w:r>
        <w:t>ules comply with the requirements of the SAU, and</w:t>
      </w:r>
    </w:p>
    <w:p w:rsidR="00784E68" w:rsidRDefault="00784E68" w:rsidP="00DE0656">
      <w:pPr>
        <w:pStyle w:val="Bulletb"/>
      </w:pPr>
      <w:r>
        <w:t xml:space="preserve">a </w:t>
      </w:r>
      <w:r w:rsidR="00D75748">
        <w:t>p</w:t>
      </w:r>
      <w:r>
        <w:t xml:space="preserve">rice </w:t>
      </w:r>
      <w:r w:rsidR="00D75748">
        <w:t>c</w:t>
      </w:r>
      <w:r>
        <w:t xml:space="preserve">ompliance </w:t>
      </w:r>
      <w:r w:rsidR="00D75748">
        <w:t>r</w:t>
      </w:r>
      <w:r>
        <w:t xml:space="preserve">eport – a report signed by NBN </w:t>
      </w:r>
      <w:proofErr w:type="spellStart"/>
      <w:r>
        <w:t>Co’s</w:t>
      </w:r>
      <w:proofErr w:type="spellEnd"/>
      <w:r>
        <w:t xml:space="preserve"> CFO certifying that NBN </w:t>
      </w:r>
      <w:proofErr w:type="spellStart"/>
      <w:r>
        <w:t>Co’s</w:t>
      </w:r>
      <w:proofErr w:type="spellEnd"/>
      <w:r>
        <w:t xml:space="preserve"> prices for the supply of its services comply with the requirements of the SAU.</w:t>
      </w:r>
    </w:p>
    <w:p w:rsidR="005B3970" w:rsidRDefault="00784E68" w:rsidP="00784E68">
      <w:r>
        <w:t xml:space="preserve">To support its submission, NBN Co also lodged three independent assurance reports from </w:t>
      </w:r>
      <w:r w:rsidRPr="007D75D7">
        <w:t>PricewaterhouseCoopers (PwC)</w:t>
      </w:r>
      <w:r>
        <w:t>, a price compliance spreadsheet, an LTRCM spreadsheet and a copy</w:t>
      </w:r>
      <w:r w:rsidR="00C668C0">
        <w:t xml:space="preserve"> of NBN </w:t>
      </w:r>
      <w:proofErr w:type="spellStart"/>
      <w:r w:rsidR="00C668C0">
        <w:t>Co’s</w:t>
      </w:r>
      <w:proofErr w:type="spellEnd"/>
      <w:r w:rsidR="00C668C0">
        <w:t xml:space="preserve"> Chart of Accounts</w:t>
      </w:r>
      <w:r>
        <w:t>.</w:t>
      </w:r>
      <w:r>
        <w:rPr>
          <w:rStyle w:val="FootnoteReference"/>
        </w:rPr>
        <w:footnoteReference w:id="17"/>
      </w:r>
    </w:p>
    <w:p w:rsidR="005B3970" w:rsidRDefault="005B3970" w:rsidP="00706893">
      <w:pPr>
        <w:pStyle w:val="HeadingLevel3"/>
      </w:pPr>
      <w:r>
        <w:lastRenderedPageBreak/>
        <w:t xml:space="preserve">Financial information </w:t>
      </w:r>
    </w:p>
    <w:p w:rsidR="005B3970" w:rsidRDefault="005B3970" w:rsidP="005B3970">
      <w:pPr>
        <w:spacing w:after="120"/>
      </w:pPr>
      <w:r>
        <w:t>The financial information provided by NBN Co</w:t>
      </w:r>
      <w:r w:rsidR="00CB2BB3">
        <w:t xml:space="preserve"> on 30 October 2015</w:t>
      </w:r>
      <w:r>
        <w:t xml:space="preserve"> includes the financial statements listed below.  </w:t>
      </w:r>
    </w:p>
    <w:p w:rsidR="005B3970" w:rsidRPr="00B75B4D" w:rsidRDefault="005B3970" w:rsidP="005B3970">
      <w:pPr>
        <w:numPr>
          <w:ilvl w:val="1"/>
          <w:numId w:val="1"/>
        </w:numPr>
        <w:spacing w:before="120" w:after="120"/>
      </w:pPr>
      <w:r w:rsidRPr="00B75B4D">
        <w:t>Schedule 6 – Statement of Capital Expenditure, Disposals, Construction in Progress, Asset Lifetimes and Taxation Asset Lifetimes</w:t>
      </w:r>
    </w:p>
    <w:p w:rsidR="005B3970" w:rsidRPr="00B75B4D" w:rsidRDefault="005B3970" w:rsidP="005B3970">
      <w:pPr>
        <w:numPr>
          <w:ilvl w:val="1"/>
          <w:numId w:val="1"/>
        </w:numPr>
        <w:spacing w:before="120" w:after="120"/>
      </w:pPr>
      <w:r w:rsidRPr="00B75B4D">
        <w:t>Schedule 7 – Statement of Operating Expenditure</w:t>
      </w:r>
    </w:p>
    <w:p w:rsidR="005B3970" w:rsidRPr="00B75B4D" w:rsidRDefault="005B3970" w:rsidP="005B3970">
      <w:pPr>
        <w:numPr>
          <w:ilvl w:val="1"/>
          <w:numId w:val="1"/>
        </w:numPr>
        <w:spacing w:before="120" w:after="120"/>
      </w:pPr>
      <w:r w:rsidRPr="00B75B4D">
        <w:t>Schedule 8 – Statement of Interest Expense</w:t>
      </w:r>
    </w:p>
    <w:p w:rsidR="005B3970" w:rsidRPr="00B75B4D" w:rsidRDefault="005B3970" w:rsidP="005B3970">
      <w:pPr>
        <w:numPr>
          <w:ilvl w:val="1"/>
          <w:numId w:val="1"/>
        </w:numPr>
        <w:spacing w:before="120" w:after="120"/>
      </w:pPr>
      <w:r w:rsidRPr="00B75B4D">
        <w:t>Schedule 9 – Statement of Revenue</w:t>
      </w:r>
    </w:p>
    <w:p w:rsidR="005B3970" w:rsidRPr="00B75B4D" w:rsidRDefault="005B3970" w:rsidP="005B3970">
      <w:pPr>
        <w:numPr>
          <w:ilvl w:val="1"/>
          <w:numId w:val="1"/>
        </w:numPr>
        <w:spacing w:before="120" w:after="120"/>
      </w:pPr>
      <w:r w:rsidRPr="00B75B4D">
        <w:t>Schedule 10 – Statement of LTRCM and RAB items, and</w:t>
      </w:r>
    </w:p>
    <w:p w:rsidR="005B3970" w:rsidRPr="00B75B4D" w:rsidRDefault="005B3970" w:rsidP="005B3970">
      <w:pPr>
        <w:numPr>
          <w:ilvl w:val="1"/>
          <w:numId w:val="1"/>
        </w:numPr>
        <w:spacing w:before="120" w:after="120"/>
      </w:pPr>
      <w:r>
        <w:t>Schedule</w:t>
      </w:r>
      <w:r w:rsidRPr="00B75B4D">
        <w:t xml:space="preserve"> 11 – Statement of Material Operating Expenditure, Capital Expenditure and Construction in Progress Variances.</w:t>
      </w:r>
    </w:p>
    <w:p w:rsidR="005B3970" w:rsidRPr="00B75B4D" w:rsidRDefault="005B3970" w:rsidP="005B3970">
      <w:pPr>
        <w:spacing w:before="240"/>
      </w:pPr>
      <w:r w:rsidRPr="00B75B4D">
        <w:t xml:space="preserve">This information was accompanied by an LTRCM spreadsheet, which provided the underlying calculations of NBN </w:t>
      </w:r>
      <w:proofErr w:type="spellStart"/>
      <w:r w:rsidRPr="00B75B4D">
        <w:t>Co’s</w:t>
      </w:r>
      <w:proofErr w:type="spellEnd"/>
      <w:r w:rsidRPr="00B75B4D">
        <w:t xml:space="preserve"> proposed RAB, ABBRR and ICRA values. NBN Co provided two versions of the LTRCM spreadsheet – one based on the current 2013–14 LTRCM Determination and another based on NBN </w:t>
      </w:r>
      <w:proofErr w:type="spellStart"/>
      <w:r w:rsidRPr="00B75B4D">
        <w:t>Co’s</w:t>
      </w:r>
      <w:proofErr w:type="spellEnd"/>
      <w:r w:rsidRPr="00B75B4D">
        <w:t xml:space="preserve"> proposed amendment to the 2013–14 Determination. </w:t>
      </w:r>
    </w:p>
    <w:p w:rsidR="00784E68" w:rsidRDefault="004129CC" w:rsidP="00784E68">
      <w:r>
        <w:t>Table 2.1</w:t>
      </w:r>
      <w:r w:rsidRPr="001B6F03">
        <w:t xml:space="preserve"> summarises</w:t>
      </w:r>
      <w:r>
        <w:t xml:space="preserve"> both </w:t>
      </w:r>
      <w:r w:rsidRPr="001B6F03">
        <w:t>the key financial information submitted by NBN Co for the 2014-15 LTRCM Determination</w:t>
      </w:r>
      <w:r>
        <w:t xml:space="preserve"> (without the amendment</w:t>
      </w:r>
      <w:r w:rsidR="00DE0656">
        <w:t xml:space="preserve"> to the 2013-14 determination</w:t>
      </w:r>
      <w:r>
        <w:t xml:space="preserve">) and the new financial information if the ACCC were to accept NBN </w:t>
      </w:r>
      <w:proofErr w:type="spellStart"/>
      <w:r>
        <w:t>Co’s</w:t>
      </w:r>
      <w:proofErr w:type="spellEnd"/>
      <w:r>
        <w:t xml:space="preserve"> </w:t>
      </w:r>
      <w:r w:rsidR="00DE0656">
        <w:t>proposed amendment to the 2013</w:t>
      </w:r>
      <w:r w:rsidR="00DE0656">
        <w:noBreakHyphen/>
      </w:r>
      <w:r w:rsidRPr="001B6F03">
        <w:t>14 LTRCM Determinatio</w:t>
      </w:r>
      <w:r>
        <w:t xml:space="preserve">n. </w:t>
      </w:r>
      <w:r w:rsidR="00784E68" w:rsidRPr="001B6F03">
        <w:t xml:space="preserve"> </w:t>
      </w:r>
    </w:p>
    <w:p w:rsidR="00784E68" w:rsidRPr="00B75B4D" w:rsidRDefault="0090502A" w:rsidP="0090502A">
      <w:pPr>
        <w:keepNext/>
        <w:rPr>
          <w:rFonts w:eastAsiaTheme="majorEastAsia" w:cstheme="majorBidi"/>
          <w:b/>
          <w:color w:val="002060"/>
          <w:szCs w:val="28"/>
        </w:rPr>
      </w:pPr>
      <w:r>
        <w:rPr>
          <w:rFonts w:eastAsiaTheme="majorEastAsia" w:cstheme="majorBidi"/>
          <w:b/>
          <w:color w:val="002060"/>
          <w:szCs w:val="28"/>
        </w:rPr>
        <w:t xml:space="preserve">Table 2.1 </w:t>
      </w:r>
      <w:r w:rsidR="00784E68" w:rsidRPr="00B75B4D">
        <w:rPr>
          <w:rFonts w:eastAsiaTheme="majorEastAsia" w:cstheme="majorBidi"/>
          <w:b/>
          <w:color w:val="002060"/>
          <w:szCs w:val="28"/>
        </w:rPr>
        <w:t>Summary of NBN Co financial information (nominal, $‘000)</w:t>
      </w:r>
    </w:p>
    <w:tbl>
      <w:tblPr>
        <w:tblW w:w="84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43" w:type="dxa"/>
        </w:tblCellMar>
        <w:tblLook w:val="04A0" w:firstRow="1" w:lastRow="0" w:firstColumn="1" w:lastColumn="0" w:noHBand="0" w:noVBand="1"/>
      </w:tblPr>
      <w:tblGrid>
        <w:gridCol w:w="3984"/>
        <w:gridCol w:w="2215"/>
        <w:gridCol w:w="2215"/>
      </w:tblGrid>
      <w:tr w:rsidR="00BF1C79" w:rsidRPr="00B75B4D" w:rsidTr="00BF1C79">
        <w:trPr>
          <w:trHeight w:val="315"/>
        </w:trPr>
        <w:tc>
          <w:tcPr>
            <w:tcW w:w="3984" w:type="dxa"/>
            <w:shd w:val="clear" w:color="000000" w:fill="BFBFBF" w:themeFill="background1" w:themeFillShade="BF"/>
            <w:noWrap/>
            <w:vAlign w:val="center"/>
            <w:hideMark/>
          </w:tcPr>
          <w:p w:rsidR="00BF1C79" w:rsidRPr="00903C36" w:rsidRDefault="00BF1C79" w:rsidP="00784E68">
            <w:pPr>
              <w:keepNext/>
              <w:spacing w:after="0"/>
              <w:rPr>
                <w:rFonts w:cs="Arial"/>
                <w:b/>
                <w:bCs/>
                <w:szCs w:val="20"/>
              </w:rPr>
            </w:pPr>
          </w:p>
        </w:tc>
        <w:tc>
          <w:tcPr>
            <w:tcW w:w="2215" w:type="dxa"/>
            <w:shd w:val="clear" w:color="000000" w:fill="BFBFBF" w:themeFill="background1" w:themeFillShade="BF"/>
          </w:tcPr>
          <w:p w:rsidR="00BF1C79" w:rsidRPr="00903C36" w:rsidRDefault="00BF1C79" w:rsidP="00784E68">
            <w:pPr>
              <w:keepNext/>
              <w:spacing w:after="0"/>
              <w:jc w:val="center"/>
              <w:rPr>
                <w:rFonts w:cs="Arial"/>
                <w:b/>
                <w:bCs/>
                <w:szCs w:val="20"/>
              </w:rPr>
            </w:pPr>
            <w:r w:rsidRPr="00903C36">
              <w:rPr>
                <w:rFonts w:cs="Arial"/>
                <w:b/>
                <w:bCs/>
                <w:szCs w:val="20"/>
              </w:rPr>
              <w:t>2014–15</w:t>
            </w:r>
          </w:p>
        </w:tc>
        <w:tc>
          <w:tcPr>
            <w:tcW w:w="2215" w:type="dxa"/>
            <w:shd w:val="clear" w:color="000000" w:fill="BFBFBF" w:themeFill="background1" w:themeFillShade="BF"/>
          </w:tcPr>
          <w:p w:rsidR="00BF1C79" w:rsidRPr="00903C36" w:rsidRDefault="00BF1C79" w:rsidP="00784E68">
            <w:pPr>
              <w:keepNext/>
              <w:spacing w:after="0"/>
              <w:jc w:val="center"/>
              <w:rPr>
                <w:rFonts w:cs="Arial"/>
                <w:b/>
                <w:bCs/>
                <w:szCs w:val="20"/>
              </w:rPr>
            </w:pPr>
            <w:r>
              <w:rPr>
                <w:rFonts w:cs="Arial"/>
                <w:b/>
                <w:bCs/>
                <w:szCs w:val="20"/>
              </w:rPr>
              <w:t>2014-15 (Amended)</w:t>
            </w:r>
          </w:p>
        </w:tc>
      </w:tr>
      <w:tr w:rsidR="00BF1C79" w:rsidRPr="00B75B4D" w:rsidTr="00BF1C79">
        <w:trPr>
          <w:trHeight w:val="240"/>
        </w:trPr>
        <w:tc>
          <w:tcPr>
            <w:tcW w:w="3984" w:type="dxa"/>
            <w:shd w:val="clear" w:color="auto" w:fill="FFFFFF" w:themeFill="background1"/>
            <w:noWrap/>
            <w:vAlign w:val="center"/>
          </w:tcPr>
          <w:p w:rsidR="00BF1C79" w:rsidRPr="00903C36" w:rsidRDefault="00BF1C79" w:rsidP="00784E68">
            <w:pPr>
              <w:keepNext/>
              <w:spacing w:after="0"/>
              <w:rPr>
                <w:rFonts w:cs="Arial"/>
                <w:szCs w:val="20"/>
              </w:rPr>
            </w:pPr>
            <w:r w:rsidRPr="00903C36">
              <w:rPr>
                <w:rFonts w:cs="Arial"/>
                <w:szCs w:val="20"/>
              </w:rPr>
              <w:t>Operating expenditure</w:t>
            </w:r>
          </w:p>
        </w:tc>
        <w:tc>
          <w:tcPr>
            <w:tcW w:w="2215" w:type="dxa"/>
            <w:shd w:val="clear" w:color="auto" w:fill="FFFFFF" w:themeFill="background1"/>
          </w:tcPr>
          <w:p w:rsidR="00BF1C79" w:rsidRPr="00903C36" w:rsidRDefault="00BF1C79" w:rsidP="00784E68">
            <w:pPr>
              <w:keepNext/>
              <w:spacing w:after="0"/>
              <w:jc w:val="right"/>
              <w:rPr>
                <w:rFonts w:cs="Arial"/>
                <w:szCs w:val="20"/>
              </w:rPr>
            </w:pPr>
            <w:r w:rsidRPr="00903C36">
              <w:rPr>
                <w:rFonts w:cs="Arial"/>
                <w:szCs w:val="20"/>
              </w:rPr>
              <w:t>1 591 220</w:t>
            </w:r>
          </w:p>
        </w:tc>
        <w:tc>
          <w:tcPr>
            <w:tcW w:w="2215" w:type="dxa"/>
            <w:shd w:val="clear" w:color="auto" w:fill="FFFFFF" w:themeFill="background1"/>
          </w:tcPr>
          <w:p w:rsidR="00BF1C79" w:rsidRPr="00903C36" w:rsidRDefault="00B9245D" w:rsidP="00784E68">
            <w:pPr>
              <w:keepNext/>
              <w:spacing w:after="0"/>
              <w:jc w:val="right"/>
              <w:rPr>
                <w:rFonts w:cs="Arial"/>
                <w:szCs w:val="20"/>
              </w:rPr>
            </w:pPr>
            <w:r w:rsidRPr="00903C36">
              <w:rPr>
                <w:rFonts w:cs="Arial"/>
                <w:szCs w:val="20"/>
              </w:rPr>
              <w:t>1 591 220</w:t>
            </w:r>
          </w:p>
        </w:tc>
      </w:tr>
      <w:tr w:rsidR="00BF1C79" w:rsidRPr="00B75B4D" w:rsidTr="00BF1C79">
        <w:trPr>
          <w:trHeight w:val="240"/>
        </w:trPr>
        <w:tc>
          <w:tcPr>
            <w:tcW w:w="3984" w:type="dxa"/>
            <w:shd w:val="clear" w:color="auto" w:fill="F2F2F2" w:themeFill="background1" w:themeFillShade="F2"/>
            <w:noWrap/>
            <w:vAlign w:val="center"/>
          </w:tcPr>
          <w:p w:rsidR="00BF1C79" w:rsidRPr="00903C36" w:rsidRDefault="00BF1C79" w:rsidP="00784E68">
            <w:pPr>
              <w:keepNext/>
              <w:spacing w:after="0"/>
              <w:rPr>
                <w:rFonts w:cs="Arial"/>
                <w:szCs w:val="20"/>
              </w:rPr>
            </w:pPr>
            <w:r w:rsidRPr="00903C36">
              <w:rPr>
                <w:rFonts w:cs="Arial"/>
                <w:szCs w:val="20"/>
              </w:rPr>
              <w:t>Capital expenditure</w:t>
            </w:r>
          </w:p>
        </w:tc>
        <w:tc>
          <w:tcPr>
            <w:tcW w:w="2215" w:type="dxa"/>
            <w:shd w:val="clear" w:color="auto" w:fill="F2F2F2" w:themeFill="background1" w:themeFillShade="F2"/>
          </w:tcPr>
          <w:p w:rsidR="00BF1C79" w:rsidRPr="00903C36" w:rsidRDefault="00BF1C79" w:rsidP="00784E68">
            <w:pPr>
              <w:keepNext/>
              <w:spacing w:after="0"/>
              <w:jc w:val="right"/>
              <w:rPr>
                <w:rFonts w:cs="Arial"/>
                <w:szCs w:val="20"/>
              </w:rPr>
            </w:pPr>
            <w:r w:rsidRPr="00903C36">
              <w:rPr>
                <w:rFonts w:cs="Arial"/>
                <w:szCs w:val="20"/>
              </w:rPr>
              <w:t>2 166 854</w:t>
            </w:r>
          </w:p>
        </w:tc>
        <w:tc>
          <w:tcPr>
            <w:tcW w:w="2215" w:type="dxa"/>
            <w:shd w:val="clear" w:color="auto" w:fill="F2F2F2" w:themeFill="background1" w:themeFillShade="F2"/>
          </w:tcPr>
          <w:p w:rsidR="00BF1C79" w:rsidRPr="00903C36" w:rsidRDefault="00B9245D" w:rsidP="00784E68">
            <w:pPr>
              <w:keepNext/>
              <w:spacing w:after="0"/>
              <w:jc w:val="right"/>
              <w:rPr>
                <w:rFonts w:cs="Arial"/>
                <w:szCs w:val="20"/>
              </w:rPr>
            </w:pPr>
            <w:r w:rsidRPr="00903C36">
              <w:rPr>
                <w:rFonts w:cs="Arial"/>
                <w:szCs w:val="20"/>
              </w:rPr>
              <w:t>2 166 854</w:t>
            </w:r>
          </w:p>
        </w:tc>
      </w:tr>
      <w:tr w:rsidR="00BF1C79" w:rsidRPr="00B75B4D" w:rsidTr="00BF1C79">
        <w:trPr>
          <w:trHeight w:val="240"/>
        </w:trPr>
        <w:tc>
          <w:tcPr>
            <w:tcW w:w="3984" w:type="dxa"/>
            <w:shd w:val="clear" w:color="auto" w:fill="FFFFFF" w:themeFill="background1"/>
            <w:noWrap/>
            <w:vAlign w:val="center"/>
          </w:tcPr>
          <w:p w:rsidR="00BF1C79" w:rsidRPr="00903C36" w:rsidRDefault="00BF1C79" w:rsidP="00737912">
            <w:pPr>
              <w:keepNext/>
              <w:spacing w:after="0"/>
              <w:rPr>
                <w:rFonts w:cs="Arial"/>
                <w:szCs w:val="20"/>
              </w:rPr>
            </w:pPr>
            <w:r w:rsidRPr="00903C36">
              <w:rPr>
                <w:rFonts w:cs="Arial"/>
                <w:szCs w:val="20"/>
              </w:rPr>
              <w:t xml:space="preserve">Construction in </w:t>
            </w:r>
            <w:r>
              <w:rPr>
                <w:rFonts w:cs="Arial"/>
                <w:szCs w:val="20"/>
              </w:rPr>
              <w:t>p</w:t>
            </w:r>
            <w:r w:rsidR="00737912">
              <w:rPr>
                <w:rFonts w:cs="Arial"/>
                <w:szCs w:val="20"/>
              </w:rPr>
              <w:t>rogress (openin</w:t>
            </w:r>
            <w:r w:rsidRPr="00903C36">
              <w:rPr>
                <w:rFonts w:cs="Arial"/>
                <w:szCs w:val="20"/>
              </w:rPr>
              <w:t>g)</w:t>
            </w:r>
          </w:p>
        </w:tc>
        <w:tc>
          <w:tcPr>
            <w:tcW w:w="2215" w:type="dxa"/>
            <w:shd w:val="clear" w:color="auto" w:fill="FFFFFF" w:themeFill="background1"/>
          </w:tcPr>
          <w:p w:rsidR="00BF1C79" w:rsidRPr="00903C36" w:rsidRDefault="00BF1C79" w:rsidP="00784E68">
            <w:pPr>
              <w:keepNext/>
              <w:spacing w:after="0"/>
              <w:jc w:val="right"/>
              <w:rPr>
                <w:rFonts w:cs="Arial"/>
                <w:szCs w:val="20"/>
              </w:rPr>
            </w:pPr>
            <w:r w:rsidRPr="00903C36">
              <w:rPr>
                <w:rFonts w:cs="Arial"/>
                <w:szCs w:val="20"/>
              </w:rPr>
              <w:t>2 315 416</w:t>
            </w:r>
          </w:p>
        </w:tc>
        <w:tc>
          <w:tcPr>
            <w:tcW w:w="2215" w:type="dxa"/>
            <w:shd w:val="clear" w:color="auto" w:fill="FFFFFF" w:themeFill="background1"/>
          </w:tcPr>
          <w:p w:rsidR="00BF1C79" w:rsidRPr="00903C36" w:rsidRDefault="00B9245D" w:rsidP="00784E68">
            <w:pPr>
              <w:keepNext/>
              <w:spacing w:after="0"/>
              <w:jc w:val="right"/>
              <w:rPr>
                <w:rFonts w:cs="Arial"/>
                <w:szCs w:val="20"/>
              </w:rPr>
            </w:pPr>
            <w:r w:rsidRPr="00903C36">
              <w:rPr>
                <w:rFonts w:cs="Arial"/>
                <w:szCs w:val="20"/>
              </w:rPr>
              <w:t>2 315 416</w:t>
            </w:r>
          </w:p>
        </w:tc>
      </w:tr>
      <w:tr w:rsidR="00BF1C79" w:rsidRPr="00B75B4D" w:rsidTr="00BF1C79">
        <w:trPr>
          <w:trHeight w:val="240"/>
        </w:trPr>
        <w:tc>
          <w:tcPr>
            <w:tcW w:w="3984" w:type="dxa"/>
            <w:shd w:val="clear" w:color="auto" w:fill="F2F2F2" w:themeFill="background1" w:themeFillShade="F2"/>
            <w:noWrap/>
            <w:vAlign w:val="center"/>
          </w:tcPr>
          <w:p w:rsidR="00BF1C79" w:rsidRPr="00903C36" w:rsidRDefault="00BF1C79" w:rsidP="00784E68">
            <w:pPr>
              <w:keepNext/>
              <w:spacing w:after="0"/>
              <w:rPr>
                <w:rFonts w:cs="Arial"/>
                <w:szCs w:val="20"/>
              </w:rPr>
            </w:pPr>
            <w:r w:rsidRPr="00903C36">
              <w:rPr>
                <w:rFonts w:cs="Arial"/>
                <w:szCs w:val="20"/>
              </w:rPr>
              <w:t>Interest expense</w:t>
            </w:r>
          </w:p>
        </w:tc>
        <w:tc>
          <w:tcPr>
            <w:tcW w:w="2215" w:type="dxa"/>
            <w:shd w:val="clear" w:color="auto" w:fill="F2F2F2" w:themeFill="background1" w:themeFillShade="F2"/>
          </w:tcPr>
          <w:p w:rsidR="00BF1C79" w:rsidRPr="00903C36" w:rsidRDefault="00BF1C79" w:rsidP="00784E68">
            <w:pPr>
              <w:keepNext/>
              <w:spacing w:after="0"/>
              <w:jc w:val="right"/>
              <w:rPr>
                <w:rFonts w:cs="Arial"/>
                <w:szCs w:val="20"/>
              </w:rPr>
            </w:pPr>
            <w:r w:rsidRPr="00903C36">
              <w:rPr>
                <w:rFonts w:cs="Arial"/>
                <w:szCs w:val="20"/>
              </w:rPr>
              <w:t>59</w:t>
            </w:r>
          </w:p>
        </w:tc>
        <w:tc>
          <w:tcPr>
            <w:tcW w:w="2215" w:type="dxa"/>
            <w:shd w:val="clear" w:color="auto" w:fill="F2F2F2" w:themeFill="background1" w:themeFillShade="F2"/>
          </w:tcPr>
          <w:p w:rsidR="00BF1C79" w:rsidRPr="00903C36" w:rsidRDefault="00B9245D" w:rsidP="00784E68">
            <w:pPr>
              <w:keepNext/>
              <w:spacing w:after="0"/>
              <w:jc w:val="right"/>
              <w:rPr>
                <w:rFonts w:cs="Arial"/>
                <w:szCs w:val="20"/>
              </w:rPr>
            </w:pPr>
            <w:r>
              <w:rPr>
                <w:rFonts w:cs="Arial"/>
                <w:szCs w:val="20"/>
              </w:rPr>
              <w:t>59</w:t>
            </w:r>
          </w:p>
        </w:tc>
      </w:tr>
      <w:tr w:rsidR="00BF1C79" w:rsidRPr="00B75B4D" w:rsidTr="00BF1C79">
        <w:trPr>
          <w:trHeight w:val="240"/>
        </w:trPr>
        <w:tc>
          <w:tcPr>
            <w:tcW w:w="3984" w:type="dxa"/>
            <w:shd w:val="clear" w:color="auto" w:fill="FFFFFF" w:themeFill="background1"/>
            <w:noWrap/>
            <w:vAlign w:val="center"/>
          </w:tcPr>
          <w:p w:rsidR="00BF1C79" w:rsidRPr="00903C36" w:rsidRDefault="00BF1C79" w:rsidP="00784E68">
            <w:pPr>
              <w:keepNext/>
              <w:spacing w:after="0"/>
              <w:rPr>
                <w:rFonts w:cs="Arial"/>
                <w:szCs w:val="20"/>
              </w:rPr>
            </w:pPr>
            <w:r w:rsidRPr="00903C36">
              <w:rPr>
                <w:rFonts w:cs="Arial"/>
                <w:szCs w:val="20"/>
              </w:rPr>
              <w:t>Revenue</w:t>
            </w:r>
          </w:p>
        </w:tc>
        <w:tc>
          <w:tcPr>
            <w:tcW w:w="2215" w:type="dxa"/>
            <w:shd w:val="clear" w:color="auto" w:fill="FFFFFF" w:themeFill="background1"/>
          </w:tcPr>
          <w:p w:rsidR="00BF1C79" w:rsidRPr="00903C36" w:rsidRDefault="00BF1C79" w:rsidP="00784E68">
            <w:pPr>
              <w:keepNext/>
              <w:spacing w:after="0"/>
              <w:jc w:val="right"/>
              <w:rPr>
                <w:rFonts w:cs="Arial"/>
                <w:szCs w:val="20"/>
              </w:rPr>
            </w:pPr>
            <w:r w:rsidRPr="00903C36">
              <w:rPr>
                <w:rFonts w:cs="Arial"/>
                <w:szCs w:val="20"/>
              </w:rPr>
              <w:t>163 867</w:t>
            </w:r>
          </w:p>
        </w:tc>
        <w:tc>
          <w:tcPr>
            <w:tcW w:w="2215" w:type="dxa"/>
            <w:shd w:val="clear" w:color="auto" w:fill="FFFFFF" w:themeFill="background1"/>
          </w:tcPr>
          <w:p w:rsidR="00BF1C79" w:rsidRPr="00903C36" w:rsidRDefault="00B9245D" w:rsidP="00784E68">
            <w:pPr>
              <w:keepNext/>
              <w:spacing w:after="0"/>
              <w:jc w:val="right"/>
              <w:rPr>
                <w:rFonts w:cs="Arial"/>
                <w:szCs w:val="20"/>
              </w:rPr>
            </w:pPr>
            <w:r>
              <w:rPr>
                <w:rFonts w:cs="Arial"/>
                <w:szCs w:val="20"/>
              </w:rPr>
              <w:t>163 867</w:t>
            </w:r>
          </w:p>
        </w:tc>
      </w:tr>
      <w:tr w:rsidR="00BF1C79" w:rsidRPr="00B75B4D" w:rsidTr="00BF1C79">
        <w:trPr>
          <w:trHeight w:val="240"/>
        </w:trPr>
        <w:tc>
          <w:tcPr>
            <w:tcW w:w="3984" w:type="dxa"/>
            <w:shd w:val="clear" w:color="auto" w:fill="F2F2F2" w:themeFill="background1" w:themeFillShade="F2"/>
            <w:noWrap/>
            <w:vAlign w:val="center"/>
          </w:tcPr>
          <w:p w:rsidR="00BF1C79" w:rsidRPr="00903C36" w:rsidRDefault="00BF1C79" w:rsidP="00784E68">
            <w:pPr>
              <w:keepNext/>
              <w:spacing w:after="0"/>
              <w:rPr>
                <w:rFonts w:cs="Arial"/>
                <w:szCs w:val="20"/>
              </w:rPr>
            </w:pPr>
            <w:r w:rsidRPr="00903C36">
              <w:rPr>
                <w:rFonts w:cs="Arial"/>
                <w:szCs w:val="20"/>
              </w:rPr>
              <w:t>RAB (closing)</w:t>
            </w:r>
          </w:p>
        </w:tc>
        <w:tc>
          <w:tcPr>
            <w:tcW w:w="2215" w:type="dxa"/>
            <w:shd w:val="clear" w:color="auto" w:fill="F2F2F2" w:themeFill="background1" w:themeFillShade="F2"/>
          </w:tcPr>
          <w:p w:rsidR="00BF1C79" w:rsidRPr="00903C36" w:rsidRDefault="00BF1C79" w:rsidP="00784E68">
            <w:pPr>
              <w:keepNext/>
              <w:spacing w:after="0"/>
              <w:jc w:val="right"/>
              <w:rPr>
                <w:rFonts w:cs="Arial"/>
                <w:szCs w:val="20"/>
              </w:rPr>
            </w:pPr>
            <w:r w:rsidRPr="00903C36">
              <w:rPr>
                <w:rFonts w:cs="Arial"/>
                <w:szCs w:val="20"/>
              </w:rPr>
              <w:t>4 818 889</w:t>
            </w:r>
          </w:p>
        </w:tc>
        <w:tc>
          <w:tcPr>
            <w:tcW w:w="2215" w:type="dxa"/>
            <w:shd w:val="clear" w:color="auto" w:fill="F2F2F2" w:themeFill="background1" w:themeFillShade="F2"/>
          </w:tcPr>
          <w:p w:rsidR="00BF1C79" w:rsidRPr="00903C36" w:rsidRDefault="00B9245D" w:rsidP="00784E68">
            <w:pPr>
              <w:keepNext/>
              <w:spacing w:after="0"/>
              <w:jc w:val="right"/>
              <w:rPr>
                <w:rFonts w:cs="Arial"/>
                <w:szCs w:val="20"/>
              </w:rPr>
            </w:pPr>
            <w:r>
              <w:rPr>
                <w:rFonts w:cs="Arial"/>
                <w:szCs w:val="20"/>
              </w:rPr>
              <w:t>4 818 889</w:t>
            </w:r>
          </w:p>
        </w:tc>
      </w:tr>
      <w:tr w:rsidR="00BF1C79" w:rsidRPr="00B75B4D" w:rsidTr="00BF1C79">
        <w:trPr>
          <w:trHeight w:val="240"/>
        </w:trPr>
        <w:tc>
          <w:tcPr>
            <w:tcW w:w="3984" w:type="dxa"/>
            <w:shd w:val="clear" w:color="auto" w:fill="FFFFFF" w:themeFill="background1"/>
            <w:noWrap/>
            <w:vAlign w:val="center"/>
          </w:tcPr>
          <w:p w:rsidR="00BF1C79" w:rsidRPr="00903C36" w:rsidRDefault="00BF1C79" w:rsidP="00784E68">
            <w:pPr>
              <w:keepNext/>
              <w:spacing w:after="0"/>
              <w:rPr>
                <w:rFonts w:cs="Arial"/>
                <w:szCs w:val="20"/>
              </w:rPr>
            </w:pPr>
            <w:r w:rsidRPr="00903C36">
              <w:rPr>
                <w:rFonts w:cs="Arial"/>
                <w:szCs w:val="20"/>
              </w:rPr>
              <w:t>ABBRR</w:t>
            </w:r>
          </w:p>
        </w:tc>
        <w:tc>
          <w:tcPr>
            <w:tcW w:w="2215" w:type="dxa"/>
            <w:shd w:val="clear" w:color="auto" w:fill="FFFFFF" w:themeFill="background1"/>
          </w:tcPr>
          <w:p w:rsidR="00BF1C79" w:rsidRPr="00903C36" w:rsidRDefault="00BF1C79" w:rsidP="00784E68">
            <w:pPr>
              <w:keepNext/>
              <w:spacing w:after="0"/>
              <w:jc w:val="right"/>
              <w:rPr>
                <w:rFonts w:cs="Arial"/>
                <w:szCs w:val="20"/>
              </w:rPr>
            </w:pPr>
            <w:r w:rsidRPr="00903C36">
              <w:rPr>
                <w:rFonts w:cs="Arial"/>
                <w:szCs w:val="20"/>
              </w:rPr>
              <w:t>2 218 490</w:t>
            </w:r>
          </w:p>
        </w:tc>
        <w:tc>
          <w:tcPr>
            <w:tcW w:w="2215" w:type="dxa"/>
            <w:shd w:val="clear" w:color="auto" w:fill="FFFFFF" w:themeFill="background1"/>
          </w:tcPr>
          <w:p w:rsidR="00BF1C79" w:rsidRPr="00903C36" w:rsidRDefault="00B9245D" w:rsidP="00784E68">
            <w:pPr>
              <w:keepNext/>
              <w:spacing w:after="0"/>
              <w:jc w:val="right"/>
              <w:rPr>
                <w:rFonts w:cs="Arial"/>
                <w:szCs w:val="20"/>
              </w:rPr>
            </w:pPr>
            <w:r>
              <w:rPr>
                <w:rFonts w:cs="Arial"/>
                <w:szCs w:val="20"/>
              </w:rPr>
              <w:t>2 218 490</w:t>
            </w:r>
          </w:p>
        </w:tc>
      </w:tr>
      <w:tr w:rsidR="00BF1C79" w:rsidRPr="00B75B4D" w:rsidTr="00BF1C79">
        <w:trPr>
          <w:trHeight w:val="255"/>
        </w:trPr>
        <w:tc>
          <w:tcPr>
            <w:tcW w:w="3984" w:type="dxa"/>
            <w:shd w:val="clear" w:color="auto" w:fill="F2F2F2" w:themeFill="background1" w:themeFillShade="F2"/>
            <w:noWrap/>
            <w:vAlign w:val="center"/>
          </w:tcPr>
          <w:p w:rsidR="00BF1C79" w:rsidRPr="00903C36" w:rsidRDefault="00BF1C79" w:rsidP="00784E68">
            <w:pPr>
              <w:keepNext/>
              <w:spacing w:after="0"/>
              <w:rPr>
                <w:rFonts w:cs="Arial"/>
                <w:szCs w:val="20"/>
              </w:rPr>
            </w:pPr>
            <w:r w:rsidRPr="00903C36">
              <w:rPr>
                <w:rFonts w:cs="Arial"/>
                <w:szCs w:val="20"/>
              </w:rPr>
              <w:t>ICRA - closing</w:t>
            </w:r>
          </w:p>
        </w:tc>
        <w:tc>
          <w:tcPr>
            <w:tcW w:w="2215" w:type="dxa"/>
            <w:shd w:val="clear" w:color="auto" w:fill="F2F2F2" w:themeFill="background1" w:themeFillShade="F2"/>
          </w:tcPr>
          <w:p w:rsidR="00BF1C79" w:rsidRPr="00903C36" w:rsidRDefault="00BF1C79" w:rsidP="00784E68">
            <w:pPr>
              <w:keepNext/>
              <w:spacing w:after="0"/>
              <w:jc w:val="right"/>
              <w:rPr>
                <w:rFonts w:cs="Arial"/>
                <w:szCs w:val="20"/>
              </w:rPr>
            </w:pPr>
            <w:r w:rsidRPr="00903C36">
              <w:rPr>
                <w:rFonts w:cs="Arial"/>
                <w:szCs w:val="20"/>
              </w:rPr>
              <w:t>6 236 825</w:t>
            </w:r>
          </w:p>
        </w:tc>
        <w:tc>
          <w:tcPr>
            <w:tcW w:w="2215" w:type="dxa"/>
            <w:shd w:val="clear" w:color="auto" w:fill="F2F2F2" w:themeFill="background1" w:themeFillShade="F2"/>
          </w:tcPr>
          <w:p w:rsidR="00BF1C79" w:rsidRPr="00903C36" w:rsidRDefault="00B9245D" w:rsidP="00784E68">
            <w:pPr>
              <w:keepNext/>
              <w:spacing w:after="0"/>
              <w:jc w:val="right"/>
              <w:rPr>
                <w:rFonts w:cs="Arial"/>
                <w:szCs w:val="20"/>
              </w:rPr>
            </w:pPr>
            <w:r>
              <w:rPr>
                <w:rFonts w:cs="Arial"/>
                <w:szCs w:val="20"/>
              </w:rPr>
              <w:t>6 243 728</w:t>
            </w:r>
          </w:p>
        </w:tc>
      </w:tr>
    </w:tbl>
    <w:p w:rsidR="00784E68" w:rsidRDefault="00784E68" w:rsidP="00706893">
      <w:pPr>
        <w:pStyle w:val="HeadingLevel2"/>
      </w:pPr>
      <w:bookmarkStart w:id="12" w:name="_Toc452626346"/>
      <w:r>
        <w:t>Price compliance reporting</w:t>
      </w:r>
      <w:bookmarkEnd w:id="12"/>
    </w:p>
    <w:p w:rsidR="00766C45" w:rsidRDefault="00784E68" w:rsidP="00766C45">
      <w:pPr>
        <w:rPr>
          <w:lang w:val="en-GB"/>
        </w:rPr>
      </w:pPr>
      <w:r>
        <w:t xml:space="preserve">On 30 October 2015, NBN Co provided the ACCC with a </w:t>
      </w:r>
      <w:r w:rsidR="00D75748">
        <w:t xml:space="preserve">price compliance report </w:t>
      </w:r>
      <w:r>
        <w:t xml:space="preserve">and a price compliance spreadsheet, pursuant to clause </w:t>
      </w:r>
      <w:proofErr w:type="gramStart"/>
      <w:r>
        <w:t>1F.3(</w:t>
      </w:r>
      <w:proofErr w:type="gramEnd"/>
      <w:r>
        <w:t>a) of the SAU for the period from 1 July 2014 to 30 June 2015. NBN Co also submitted an independent assurance report</w:t>
      </w:r>
      <w:r w:rsidR="00166A3E">
        <w:t xml:space="preserve"> by PwC</w:t>
      </w:r>
      <w:r>
        <w:t xml:space="preserve"> to complement NBN </w:t>
      </w:r>
      <w:proofErr w:type="spellStart"/>
      <w:r>
        <w:t>Co’s</w:t>
      </w:r>
      <w:proofErr w:type="spellEnd"/>
      <w:r>
        <w:t xml:space="preserve"> </w:t>
      </w:r>
      <w:r w:rsidR="00D75748">
        <w:t xml:space="preserve">price compliance report </w:t>
      </w:r>
      <w:r>
        <w:t>and supporting information in its supplementary submission.</w:t>
      </w:r>
      <w:r w:rsidR="00766C45" w:rsidRPr="00766C45">
        <w:t xml:space="preserve"> </w:t>
      </w:r>
      <w:r w:rsidR="00766C45">
        <w:t>The</w:t>
      </w:r>
      <w:r w:rsidR="00D75748" w:rsidRPr="00D75748">
        <w:t xml:space="preserve"> </w:t>
      </w:r>
      <w:r w:rsidR="00D75748">
        <w:t>price compliance report</w:t>
      </w:r>
      <w:r w:rsidR="00766C45">
        <w:t xml:space="preserve"> provides CFO certification that the pricing of NBN Offers and Other Charges, over the period from 1 July 2014 to 30 June 2015, satisfied the relevant requirements in Schedule 1C of the SAU.</w:t>
      </w:r>
      <w:r w:rsidR="00766C45" w:rsidRPr="00766C45">
        <w:rPr>
          <w:lang w:val="en-GB"/>
        </w:rPr>
        <w:t xml:space="preserve"> </w:t>
      </w:r>
    </w:p>
    <w:p w:rsidR="00784E68" w:rsidRPr="00766C45" w:rsidRDefault="00766C45" w:rsidP="00766C45">
      <w:r>
        <w:rPr>
          <w:lang w:val="en-GB"/>
        </w:rPr>
        <w:t xml:space="preserve">In addition, </w:t>
      </w:r>
      <w:r>
        <w:t xml:space="preserve">NBN Co </w:t>
      </w:r>
      <w:r w:rsidRPr="002C05AC">
        <w:t xml:space="preserve">lodged an independent assurance report by PwC </w:t>
      </w:r>
      <w:r>
        <w:t>on</w:t>
      </w:r>
      <w:r w:rsidRPr="002C05AC">
        <w:t xml:space="preserve"> </w:t>
      </w:r>
      <w:r>
        <w:t xml:space="preserve">NBN </w:t>
      </w:r>
      <w:proofErr w:type="spellStart"/>
      <w:r>
        <w:t>Co’s</w:t>
      </w:r>
      <w:proofErr w:type="spellEnd"/>
      <w:r>
        <w:t xml:space="preserve"> internal</w:t>
      </w:r>
      <w:r w:rsidRPr="002C05AC">
        <w:t xml:space="preserve"> controls </w:t>
      </w:r>
      <w:r>
        <w:t>in relation</w:t>
      </w:r>
      <w:r w:rsidRPr="002C05AC">
        <w:t xml:space="preserve"> to price compliance.</w:t>
      </w:r>
      <w:r>
        <w:t xml:space="preserve"> </w:t>
      </w:r>
      <w:r w:rsidRPr="002C05AC">
        <w:t xml:space="preserve">PwC’s limited assurance opinion is unqualified in nature and complements </w:t>
      </w:r>
      <w:r>
        <w:t xml:space="preserve">the </w:t>
      </w:r>
      <w:r w:rsidRPr="002C05AC">
        <w:t>NBN Co CFO’s certification.</w:t>
      </w:r>
      <w:r>
        <w:t xml:space="preserve"> </w:t>
      </w:r>
    </w:p>
    <w:p w:rsidR="00784E68" w:rsidRDefault="007E2A13" w:rsidP="00BA7D3B">
      <w:pPr>
        <w:pStyle w:val="HeadingLevel1"/>
      </w:pPr>
      <w:bookmarkStart w:id="13" w:name="_Toc452626347"/>
      <w:r>
        <w:lastRenderedPageBreak/>
        <w:t>ACCC a</w:t>
      </w:r>
      <w:r w:rsidR="00E466E1">
        <w:t>ssessment</w:t>
      </w:r>
      <w:r>
        <w:t xml:space="preserve"> of NBN </w:t>
      </w:r>
      <w:proofErr w:type="spellStart"/>
      <w:r>
        <w:t>Co’s</w:t>
      </w:r>
      <w:proofErr w:type="spellEnd"/>
      <w:r>
        <w:t xml:space="preserve"> LTRCM proposal</w:t>
      </w:r>
      <w:bookmarkEnd w:id="13"/>
      <w:r w:rsidR="00E466E1">
        <w:t xml:space="preserve"> </w:t>
      </w:r>
    </w:p>
    <w:p w:rsidR="004717B2" w:rsidRDefault="004717B2" w:rsidP="00C67BAB">
      <w:r>
        <w:t xml:space="preserve">The ACCC has assessed NBN </w:t>
      </w:r>
      <w:proofErr w:type="spellStart"/>
      <w:r>
        <w:t>Co’s</w:t>
      </w:r>
      <w:proofErr w:type="spellEnd"/>
      <w:r>
        <w:t xml:space="preserve"> LTRCM proposal, having regard to the relevant provisions of NBN </w:t>
      </w:r>
      <w:proofErr w:type="spellStart"/>
      <w:r>
        <w:t>Co’s</w:t>
      </w:r>
      <w:proofErr w:type="spellEnd"/>
      <w:r>
        <w:t xml:space="preserve"> SAU. </w:t>
      </w:r>
      <w:r w:rsidR="00F80276">
        <w:t>The following section provides an overview of the ACCC’s assessment.</w:t>
      </w:r>
    </w:p>
    <w:p w:rsidR="00C67BAB" w:rsidRDefault="00C67BAB" w:rsidP="00C67BAB">
      <w:r>
        <w:t xml:space="preserve">On </w:t>
      </w:r>
      <w:r w:rsidR="001A1306">
        <w:t>15</w:t>
      </w:r>
      <w:r>
        <w:t xml:space="preserve"> March 2016, the ACCC released </w:t>
      </w:r>
      <w:r w:rsidRPr="00C67BAB">
        <w:rPr>
          <w:i/>
        </w:rPr>
        <w:t xml:space="preserve">NBN </w:t>
      </w:r>
      <w:proofErr w:type="spellStart"/>
      <w:r w:rsidRPr="00C67BAB">
        <w:rPr>
          <w:i/>
        </w:rPr>
        <w:t>Co’s</w:t>
      </w:r>
      <w:proofErr w:type="spellEnd"/>
      <w:r w:rsidRPr="00C67BAB">
        <w:rPr>
          <w:i/>
        </w:rPr>
        <w:t xml:space="preserve"> Special Access Undertaking Long Term Revenue Constraint Methodology 2014-15: Draft Determination and Price Compliance Report 2014-15</w:t>
      </w:r>
      <w:r>
        <w:t xml:space="preserve"> (draft determination).</w:t>
      </w:r>
      <w:r w:rsidR="001B13F7">
        <w:t xml:space="preserve"> The draft determination also included the ACCC’s preliminary view on NBN </w:t>
      </w:r>
      <w:proofErr w:type="spellStart"/>
      <w:r w:rsidR="001B13F7">
        <w:t>Co’s</w:t>
      </w:r>
      <w:proofErr w:type="spellEnd"/>
      <w:r w:rsidR="001B13F7">
        <w:t xml:space="preserve"> proposed amendment to the 2013-14 LTRCM determination.</w:t>
      </w:r>
    </w:p>
    <w:p w:rsidR="00C67BAB" w:rsidRDefault="00C67BAB" w:rsidP="00DE0656">
      <w:pPr>
        <w:pStyle w:val="Bulletb"/>
        <w:numPr>
          <w:ilvl w:val="0"/>
          <w:numId w:val="0"/>
        </w:numPr>
      </w:pPr>
      <w:r>
        <w:t>In making its draft determination, the ACCC considered the regulatory information submitted by NBN Co under Schedule 1F of the SAU. The ACCC released its draft determination</w:t>
      </w:r>
      <w:r w:rsidR="00551202">
        <w:t xml:space="preserve"> for</w:t>
      </w:r>
      <w:r>
        <w:t xml:space="preserve"> public consultation for a period of four weeks.</w:t>
      </w:r>
      <w:r w:rsidR="00F80276">
        <w:t xml:space="preserve"> The ACCC did not receive any submissions in response to the draft determination.</w:t>
      </w:r>
    </w:p>
    <w:p w:rsidR="009D776F" w:rsidRDefault="009D776F" w:rsidP="00706893">
      <w:pPr>
        <w:pStyle w:val="HeadingLevel2"/>
        <w:numPr>
          <w:ilvl w:val="1"/>
          <w:numId w:val="45"/>
        </w:numPr>
      </w:pPr>
      <w:bookmarkStart w:id="14" w:name="_Toc452626348"/>
      <w:r>
        <w:t xml:space="preserve">Proposed amendment to </w:t>
      </w:r>
      <w:r w:rsidR="00F80276">
        <w:t xml:space="preserve">the </w:t>
      </w:r>
      <w:r>
        <w:t>2013-14 LTRCM Determination</w:t>
      </w:r>
      <w:bookmarkEnd w:id="14"/>
    </w:p>
    <w:p w:rsidR="008054E5" w:rsidRDefault="00520404" w:rsidP="008054E5">
      <w:r>
        <w:t xml:space="preserve">In its submission of regulatory information, NBN Co requested an amendment to the </w:t>
      </w:r>
      <w:r w:rsidR="000F2752">
        <w:t>ACCC</w:t>
      </w:r>
      <w:r w:rsidR="00737912">
        <w:t>’</w:t>
      </w:r>
      <w:r w:rsidR="000F2752">
        <w:t xml:space="preserve">s </w:t>
      </w:r>
      <w:r>
        <w:t>2013-14 LTRCM Determination to correct for an inadvertent omission</w:t>
      </w:r>
      <w:r w:rsidR="000F2752" w:rsidRPr="000F2752">
        <w:t xml:space="preserve"> </w:t>
      </w:r>
      <w:r w:rsidR="000F2752">
        <w:t>by NBN Co in the regulatory information that it submitted to the ACCC</w:t>
      </w:r>
      <w:r>
        <w:t xml:space="preserve">. </w:t>
      </w:r>
      <w:r w:rsidR="008054E5" w:rsidRPr="00137708">
        <w:rPr>
          <w:rFonts w:eastAsiaTheme="majorEastAsia" w:cs="Arial"/>
          <w:bCs/>
          <w:szCs w:val="26"/>
        </w:rPr>
        <w:t xml:space="preserve">NBN Co </w:t>
      </w:r>
      <w:r w:rsidR="008054E5">
        <w:rPr>
          <w:rFonts w:eastAsiaTheme="majorEastAsia" w:cs="Arial"/>
          <w:bCs/>
          <w:szCs w:val="26"/>
        </w:rPr>
        <w:t xml:space="preserve">submitted </w:t>
      </w:r>
      <w:r w:rsidR="008054E5" w:rsidRPr="00137708">
        <w:rPr>
          <w:rFonts w:eastAsiaTheme="majorEastAsia" w:cs="Arial"/>
          <w:bCs/>
          <w:szCs w:val="26"/>
        </w:rPr>
        <w:t xml:space="preserve">that </w:t>
      </w:r>
      <w:r w:rsidR="008054E5">
        <w:rPr>
          <w:rFonts w:eastAsiaTheme="majorEastAsia" w:cs="Arial"/>
          <w:bCs/>
          <w:szCs w:val="26"/>
        </w:rPr>
        <w:t>w</w:t>
      </w:r>
      <w:r w:rsidR="008054E5" w:rsidRPr="00137708">
        <w:rPr>
          <w:rFonts w:eastAsiaTheme="majorEastAsia" w:cs="Arial"/>
          <w:bCs/>
          <w:szCs w:val="26"/>
        </w:rPr>
        <w:t xml:space="preserve">orking </w:t>
      </w:r>
      <w:r w:rsidR="008054E5">
        <w:rPr>
          <w:rFonts w:eastAsiaTheme="majorEastAsia" w:cs="Arial"/>
          <w:bCs/>
          <w:szCs w:val="26"/>
        </w:rPr>
        <w:t>i</w:t>
      </w:r>
      <w:r w:rsidR="008054E5" w:rsidRPr="00137708">
        <w:rPr>
          <w:rFonts w:eastAsiaTheme="majorEastAsia" w:cs="Arial"/>
          <w:bCs/>
          <w:szCs w:val="26"/>
        </w:rPr>
        <w:t xml:space="preserve">nventory was inadvertently omitted </w:t>
      </w:r>
      <w:r w:rsidR="000F2752">
        <w:rPr>
          <w:rFonts w:eastAsiaTheme="majorEastAsia" w:cs="Arial"/>
          <w:bCs/>
          <w:szCs w:val="26"/>
        </w:rPr>
        <w:t xml:space="preserve">from construction in progress </w:t>
      </w:r>
      <w:r w:rsidR="008054E5" w:rsidRPr="00137708">
        <w:rPr>
          <w:rFonts w:eastAsiaTheme="majorEastAsia" w:cs="Arial"/>
          <w:bCs/>
          <w:szCs w:val="26"/>
        </w:rPr>
        <w:t>due to a misunderstanding arising</w:t>
      </w:r>
      <w:r w:rsidR="008054E5">
        <w:rPr>
          <w:rFonts w:eastAsiaTheme="majorEastAsia" w:cs="Arial"/>
          <w:bCs/>
          <w:szCs w:val="26"/>
        </w:rPr>
        <w:t xml:space="preserve"> from the name of this account. </w:t>
      </w:r>
      <w:r w:rsidR="008054E5">
        <w:t>Following further clarification regarding the nature of transactions included in the working inventory account, NBN Co became aware that it should have been included for the purposes of reporting under the SAU.</w:t>
      </w:r>
    </w:p>
    <w:p w:rsidR="000F2752" w:rsidRPr="008054E5" w:rsidRDefault="000F2752" w:rsidP="008054E5">
      <w:pPr>
        <w:rPr>
          <w:rFonts w:eastAsiaTheme="majorEastAsia" w:cs="Arial"/>
          <w:bCs/>
          <w:szCs w:val="26"/>
        </w:rPr>
      </w:pPr>
      <w:r>
        <w:t xml:space="preserve">The ACCC is of the view that it may amend the LTRCM Determination under clause 1E.1.3 of the SAU on this occasion.  The ACCC accepted the values proposed by NBN Co in its 2013-14 regulatory submission, and as a consequence the value of construction in progress </w:t>
      </w:r>
      <w:proofErr w:type="gramStart"/>
      <w:r>
        <w:t>in the 2013-14 LTRCM Determination</w:t>
      </w:r>
      <w:proofErr w:type="gramEnd"/>
      <w:r>
        <w:t xml:space="preserve"> did not include working inventory.</w:t>
      </w:r>
    </w:p>
    <w:p w:rsidR="007B7488" w:rsidRDefault="008054E5" w:rsidP="008054E5">
      <w:r>
        <w:t xml:space="preserve">The ACCC considered NBN </w:t>
      </w:r>
      <w:proofErr w:type="spellStart"/>
      <w:r>
        <w:t>Co’s</w:t>
      </w:r>
      <w:proofErr w:type="spellEnd"/>
      <w:r>
        <w:t xml:space="preserve"> explanation for the omission of working inventory and the descr</w:t>
      </w:r>
      <w:r w:rsidR="001332A0">
        <w:t xml:space="preserve">iption of the account. The ACCC’s draft view was </w:t>
      </w:r>
      <w:r>
        <w:t>that the descri</w:t>
      </w:r>
      <w:r w:rsidR="001332A0">
        <w:t>ption provided by NBN</w:t>
      </w:r>
      <w:r w:rsidR="0058519E">
        <w:t> </w:t>
      </w:r>
      <w:r w:rsidR="001332A0">
        <w:t>Co appeared</w:t>
      </w:r>
      <w:r>
        <w:t xml:space="preserve"> to be consistent with the nature of items that would be included in the construction in progress account as the working inventory expenditure relates to assets that are not yet in service.</w:t>
      </w:r>
      <w:r w:rsidRPr="008054E5">
        <w:t xml:space="preserve"> </w:t>
      </w:r>
      <w:r>
        <w:t xml:space="preserve">The ACCC understands that working inventory expenditure would have been subject to the same procurement processes and controls as other items of construction in progress that were included in the 2013-14 LTRCM Determination. The ACCC considered that it is reasonable to include the value of the working inventory account in construction in progress to the extent that it meets the requirements set out in clause 1D.3 of the SAU. </w:t>
      </w:r>
    </w:p>
    <w:p w:rsidR="00065A25" w:rsidRDefault="00065A25" w:rsidP="008054E5">
      <w:r w:rsidRPr="00054700">
        <w:t xml:space="preserve">In its submission of regulatory information for 2014-15, NBN Co demonstrated that the value of working inventory can be reconciled with the regulatory information submitted by NBN Co. The ACCC considered this reconciliation along with the assessment of compliance with the prudency provisions in the SAU </w:t>
      </w:r>
      <w:r w:rsidR="00167A1B">
        <w:t xml:space="preserve">in making its draft decision </w:t>
      </w:r>
      <w:r w:rsidRPr="00054700">
        <w:t xml:space="preserve">and </w:t>
      </w:r>
      <w:r w:rsidR="00167A1B">
        <w:t>wa</w:t>
      </w:r>
      <w:r w:rsidRPr="00054700">
        <w:t>s satisfied that the proposed value of working inventory complie</w:t>
      </w:r>
      <w:r w:rsidR="00167A1B">
        <w:t>d</w:t>
      </w:r>
      <w:r w:rsidRPr="00054700">
        <w:t xml:space="preserve"> with the relevant prudency requirements.  </w:t>
      </w:r>
      <w:r w:rsidR="008054E5">
        <w:rPr>
          <w:bCs/>
          <w:i/>
        </w:rPr>
        <w:t xml:space="preserve"> </w:t>
      </w:r>
    </w:p>
    <w:p w:rsidR="00F80276" w:rsidRDefault="00065A25" w:rsidP="000F2752">
      <w:r w:rsidRPr="00903548">
        <w:t>The ACCC checked the calculations provided by NBN Co in its submission and the additional LTRCM spreadsheet,</w:t>
      </w:r>
      <w:r>
        <w:t xml:space="preserve"> which recalculates the ABBRR and ICRA values for the period from 2008-09 to 2014-15 with the inclusion of working inventory.</w:t>
      </w:r>
      <w:r w:rsidR="00404291">
        <w:t xml:space="preserve"> </w:t>
      </w:r>
      <w:r>
        <w:t>On t</w:t>
      </w:r>
      <w:r w:rsidR="0092056D">
        <w:t>he basis that the ACCC considered</w:t>
      </w:r>
      <w:r>
        <w:t xml:space="preserve"> that the inclusion of working inventory would be consistent with the relevant clauses in the SAU, and </w:t>
      </w:r>
      <w:r w:rsidR="00D329DB">
        <w:t xml:space="preserve">did </w:t>
      </w:r>
      <w:r>
        <w:t xml:space="preserve">not </w:t>
      </w:r>
      <w:r w:rsidR="00066BD8">
        <w:t xml:space="preserve">identify </w:t>
      </w:r>
      <w:r>
        <w:t xml:space="preserve">any errors in NBN </w:t>
      </w:r>
      <w:proofErr w:type="spellStart"/>
      <w:r>
        <w:t>Co’s</w:t>
      </w:r>
      <w:proofErr w:type="spellEnd"/>
      <w:r>
        <w:t xml:space="preserve"> proposed amendment calculations, the ACCC</w:t>
      </w:r>
      <w:r w:rsidR="0092056D">
        <w:t>’</w:t>
      </w:r>
      <w:r w:rsidR="00FF028F">
        <w:t>s draft view wa</w:t>
      </w:r>
      <w:r w:rsidR="0092056D">
        <w:t xml:space="preserve">s that </w:t>
      </w:r>
      <w:r>
        <w:t xml:space="preserve">it </w:t>
      </w:r>
      <w:r w:rsidR="00404291">
        <w:t xml:space="preserve">would </w:t>
      </w:r>
      <w:r>
        <w:t xml:space="preserve">accept NBN </w:t>
      </w:r>
      <w:proofErr w:type="spellStart"/>
      <w:r>
        <w:t>Co’s</w:t>
      </w:r>
      <w:proofErr w:type="spellEnd"/>
      <w:r>
        <w:t xml:space="preserve"> proposed amendment. The ACCC’s draft decision on NBN </w:t>
      </w:r>
      <w:proofErr w:type="spellStart"/>
      <w:r>
        <w:t>Co’s</w:t>
      </w:r>
      <w:proofErr w:type="spellEnd"/>
      <w:r>
        <w:t xml:space="preserve"> proposed amendment </w:t>
      </w:r>
      <w:r w:rsidR="0058519E">
        <w:t>wa</w:t>
      </w:r>
      <w:r>
        <w:t xml:space="preserve">s to include working inventory for the years 2008-09 to 2013-14. </w:t>
      </w:r>
      <w:r w:rsidR="00E67CB5">
        <w:t xml:space="preserve">The ACCC did not receive any submissions in relation to NBN </w:t>
      </w:r>
      <w:proofErr w:type="spellStart"/>
      <w:r w:rsidR="00E67CB5">
        <w:t>Co’s</w:t>
      </w:r>
      <w:proofErr w:type="spellEnd"/>
      <w:r w:rsidR="00E67CB5">
        <w:t xml:space="preserve"> </w:t>
      </w:r>
      <w:r w:rsidR="00E67CB5">
        <w:lastRenderedPageBreak/>
        <w:t xml:space="preserve">proposed amendment and </w:t>
      </w:r>
      <w:r w:rsidR="00E67F2B">
        <w:t xml:space="preserve">therefore </w:t>
      </w:r>
      <w:r w:rsidR="00E67CB5">
        <w:t xml:space="preserve">confirms </w:t>
      </w:r>
      <w:r w:rsidR="00E67F2B">
        <w:t>its draft</w:t>
      </w:r>
      <w:r w:rsidR="00D75748">
        <w:t xml:space="preserve"> decision</w:t>
      </w:r>
      <w:r w:rsidR="000F2752">
        <w:t xml:space="preserve"> to accept the amendment to include the working inventory account in construction in progress</w:t>
      </w:r>
      <w:r w:rsidR="00E67F2B">
        <w:t xml:space="preserve">. </w:t>
      </w:r>
    </w:p>
    <w:p w:rsidR="009D776F" w:rsidRDefault="009D776F" w:rsidP="00706893">
      <w:pPr>
        <w:pStyle w:val="HeadingLevel2"/>
      </w:pPr>
      <w:bookmarkStart w:id="15" w:name="_Toc452626349"/>
      <w:r>
        <w:t>LTRCM 2014-15 determination</w:t>
      </w:r>
      <w:bookmarkEnd w:id="15"/>
    </w:p>
    <w:p w:rsidR="008865B1" w:rsidRDefault="008865B1" w:rsidP="00DE0656">
      <w:pPr>
        <w:spacing w:after="120"/>
      </w:pPr>
      <w:r>
        <w:t xml:space="preserve">The ACCC has completed its assessment of NBN </w:t>
      </w:r>
      <w:proofErr w:type="spellStart"/>
      <w:r>
        <w:t>Co’s</w:t>
      </w:r>
      <w:proofErr w:type="spellEnd"/>
      <w:r>
        <w:t xml:space="preserve"> </w:t>
      </w:r>
      <w:r w:rsidR="00FB7182">
        <w:t xml:space="preserve">2014-15 </w:t>
      </w:r>
      <w:r>
        <w:t xml:space="preserve">LTRCM </w:t>
      </w:r>
      <w:proofErr w:type="gramStart"/>
      <w:r>
        <w:t>proposal</w:t>
      </w:r>
      <w:proofErr w:type="gramEnd"/>
      <w:r>
        <w:t xml:space="preserve"> submitted on 30 October 2015 and has decided to accept NBN </w:t>
      </w:r>
      <w:proofErr w:type="spellStart"/>
      <w:r>
        <w:t>Co’s</w:t>
      </w:r>
      <w:proofErr w:type="spellEnd"/>
      <w:r>
        <w:t xml:space="preserve"> proposed values for the ABBRR, RAB and ICRA. This decision is consistent with the ACCC’s draft determination.</w:t>
      </w:r>
    </w:p>
    <w:p w:rsidR="001B13F7" w:rsidRDefault="001B13F7" w:rsidP="00DE0656">
      <w:pPr>
        <w:spacing w:after="120"/>
      </w:pPr>
      <w:r>
        <w:t xml:space="preserve">The ACCC’s draft determination </w:t>
      </w:r>
      <w:r w:rsidR="00FB7182">
        <w:t xml:space="preserve">proposed to </w:t>
      </w:r>
      <w:r>
        <w:t xml:space="preserve">accept NBN </w:t>
      </w:r>
      <w:proofErr w:type="spellStart"/>
      <w:r>
        <w:t>Co’s</w:t>
      </w:r>
      <w:proofErr w:type="spellEnd"/>
      <w:r>
        <w:t xml:space="preserve"> proposed values (and inputs to those values) set out in its LTRCM proposal for the ABBRR, RAB and ICRA. The ACCC’s draft determination </w:t>
      </w:r>
      <w:r w:rsidR="00DE0656">
        <w:t>concluded that</w:t>
      </w:r>
      <w:r>
        <w:t>:</w:t>
      </w:r>
    </w:p>
    <w:p w:rsidR="001B13F7" w:rsidRDefault="001B13F7" w:rsidP="00DE0656">
      <w:pPr>
        <w:pStyle w:val="Bulletb"/>
      </w:pPr>
      <w:r>
        <w:t>NBN Co had incurred capital and operating expenditure in accordance with the relevant provisions of the SAU</w:t>
      </w:r>
      <w:r w:rsidR="00DE0656">
        <w:t>, and</w:t>
      </w:r>
    </w:p>
    <w:p w:rsidR="001B13F7" w:rsidRDefault="001B13F7" w:rsidP="00DE0656">
      <w:pPr>
        <w:pStyle w:val="Bulletb"/>
      </w:pPr>
      <w:r>
        <w:t xml:space="preserve">NBN </w:t>
      </w:r>
      <w:proofErr w:type="spellStart"/>
      <w:r>
        <w:t>Co’s</w:t>
      </w:r>
      <w:proofErr w:type="spellEnd"/>
      <w:r>
        <w:t xml:space="preserve"> proposed LTRCM values had been calculated in accordance with Schedules 1D and 1E of the SAU</w:t>
      </w:r>
      <w:r w:rsidR="00DE0656">
        <w:t>.</w:t>
      </w:r>
    </w:p>
    <w:p w:rsidR="008865B1" w:rsidRDefault="008865B1" w:rsidP="00E052B0">
      <w:pPr>
        <w:pStyle w:val="Bulletb"/>
        <w:numPr>
          <w:ilvl w:val="0"/>
          <w:numId w:val="0"/>
        </w:numPr>
      </w:pPr>
      <w:r>
        <w:t>Further details of the ACCC’s assessment are set out below.</w:t>
      </w:r>
    </w:p>
    <w:p w:rsidR="009D776F" w:rsidRDefault="00D3265B" w:rsidP="00706893">
      <w:pPr>
        <w:pStyle w:val="HeadingLevel3"/>
      </w:pPr>
      <w:r>
        <w:t xml:space="preserve">ACCC </w:t>
      </w:r>
      <w:r w:rsidR="00EE0F17">
        <w:t>assessment of</w:t>
      </w:r>
      <w:r>
        <w:t xml:space="preserve"> NBN </w:t>
      </w:r>
      <w:proofErr w:type="spellStart"/>
      <w:r>
        <w:t>Co’s</w:t>
      </w:r>
      <w:proofErr w:type="spellEnd"/>
      <w:r>
        <w:t xml:space="preserve"> e</w:t>
      </w:r>
      <w:r w:rsidR="009D776F">
        <w:t xml:space="preserve">xpenditure compliance </w:t>
      </w:r>
    </w:p>
    <w:p w:rsidR="007109BC" w:rsidRDefault="00171096" w:rsidP="007109BC">
      <w:pPr>
        <w:widowControl w:val="0"/>
        <w:spacing w:before="120" w:after="120"/>
      </w:pPr>
      <w:r>
        <w:t>T</w:t>
      </w:r>
      <w:r w:rsidR="009D776F">
        <w:t xml:space="preserve">he SAU requires NBN Co to ensure that its expenditure complies with the relevant prudency conditions. </w:t>
      </w:r>
      <w:r w:rsidR="007F630A">
        <w:t xml:space="preserve">NBN Co provided its </w:t>
      </w:r>
      <w:r w:rsidR="00D75748">
        <w:t xml:space="preserve">expenditure compliance report </w:t>
      </w:r>
      <w:r w:rsidR="007F630A">
        <w:t xml:space="preserve">signed by NBN </w:t>
      </w:r>
      <w:proofErr w:type="spellStart"/>
      <w:r w:rsidR="007F630A">
        <w:t>Co’s</w:t>
      </w:r>
      <w:proofErr w:type="spellEnd"/>
      <w:r w:rsidR="007F630A">
        <w:t xml:space="preserve"> </w:t>
      </w:r>
      <w:proofErr w:type="gramStart"/>
      <w:r w:rsidR="007F630A">
        <w:t>CFO,</w:t>
      </w:r>
      <w:proofErr w:type="gramEnd"/>
      <w:r w:rsidR="007F630A">
        <w:t xml:space="preserve"> the PwC limited assurance reports (which </w:t>
      </w:r>
      <w:r w:rsidR="007F630A" w:rsidRPr="007A2081">
        <w:t>considered the design of controls applicable to capital expenditure and operating expenditure prudency</w:t>
      </w:r>
      <w:r w:rsidR="007F630A">
        <w:t xml:space="preserve">) and a supporting submission to assist the ACCC in its determination.   </w:t>
      </w:r>
    </w:p>
    <w:p w:rsidR="009D776F" w:rsidRDefault="00E509F2" w:rsidP="009D776F">
      <w:pPr>
        <w:widowControl w:val="0"/>
        <w:spacing w:before="120" w:after="120"/>
        <w:rPr>
          <w:szCs w:val="20"/>
        </w:rPr>
      </w:pPr>
      <w:r>
        <w:rPr>
          <w:szCs w:val="20"/>
        </w:rPr>
        <w:t>I</w:t>
      </w:r>
      <w:r w:rsidR="009D776F">
        <w:rPr>
          <w:szCs w:val="20"/>
        </w:rPr>
        <w:t xml:space="preserve">n forming its </w:t>
      </w:r>
      <w:r w:rsidR="00635767">
        <w:rPr>
          <w:szCs w:val="20"/>
        </w:rPr>
        <w:t xml:space="preserve">draft </w:t>
      </w:r>
      <w:r w:rsidR="009D776F">
        <w:rPr>
          <w:szCs w:val="20"/>
        </w:rPr>
        <w:t>view on expenditure compliance, the ACCC considered whether:</w:t>
      </w:r>
    </w:p>
    <w:p w:rsidR="009D776F" w:rsidRDefault="009D776F" w:rsidP="009D776F">
      <w:pPr>
        <w:pStyle w:val="Bulleta"/>
        <w:spacing w:after="120"/>
        <w:ind w:left="714" w:hanging="357"/>
      </w:pPr>
      <w:r>
        <w:t>NBN Co has developed adequate procurement rules</w:t>
      </w:r>
      <w:r w:rsidR="00635767">
        <w:t xml:space="preserve"> </w:t>
      </w:r>
    </w:p>
    <w:p w:rsidR="009D776F" w:rsidRDefault="009D776F" w:rsidP="009D776F">
      <w:pPr>
        <w:pStyle w:val="Bulleta"/>
        <w:spacing w:after="120"/>
        <w:ind w:left="714" w:hanging="357"/>
      </w:pPr>
      <w:r>
        <w:t>there are processes and controls in place to support compliance with the prudency conditions in the SAU, and</w:t>
      </w:r>
    </w:p>
    <w:p w:rsidR="008A2415" w:rsidRPr="007109BC" w:rsidRDefault="009D776F" w:rsidP="009D776F">
      <w:pPr>
        <w:pStyle w:val="Bulleta"/>
        <w:spacing w:after="120"/>
        <w:ind w:left="714" w:hanging="357"/>
      </w:pPr>
      <w:proofErr w:type="gramStart"/>
      <w:r>
        <w:t>th</w:t>
      </w:r>
      <w:r w:rsidR="00066BD8">
        <w:t>e</w:t>
      </w:r>
      <w:r>
        <w:t>se</w:t>
      </w:r>
      <w:proofErr w:type="gramEnd"/>
      <w:r>
        <w:t xml:space="preserve"> processes and cont</w:t>
      </w:r>
      <w:r w:rsidR="00E5765F">
        <w:t>rols are operating effectively.</w:t>
      </w:r>
    </w:p>
    <w:p w:rsidR="008A2415" w:rsidRDefault="008A2415" w:rsidP="009D776F">
      <w:pPr>
        <w:rPr>
          <w:szCs w:val="20"/>
        </w:rPr>
      </w:pPr>
      <w:r>
        <w:rPr>
          <w:szCs w:val="20"/>
        </w:rPr>
        <w:t xml:space="preserve">To assess the adequacy of NBN </w:t>
      </w:r>
      <w:proofErr w:type="spellStart"/>
      <w:r>
        <w:rPr>
          <w:szCs w:val="20"/>
        </w:rPr>
        <w:t>Co’s</w:t>
      </w:r>
      <w:proofErr w:type="spellEnd"/>
      <w:r>
        <w:rPr>
          <w:szCs w:val="20"/>
        </w:rPr>
        <w:t xml:space="preserve"> procurement rules, the ACCC checked that NBN </w:t>
      </w:r>
      <w:proofErr w:type="spellStart"/>
      <w:r>
        <w:rPr>
          <w:szCs w:val="20"/>
        </w:rPr>
        <w:t>Co’s</w:t>
      </w:r>
      <w:proofErr w:type="spellEnd"/>
      <w:r>
        <w:rPr>
          <w:szCs w:val="20"/>
        </w:rPr>
        <w:t xml:space="preserve"> Procurement Manual and Buying Guide complied with the relevant requirements in the SAU.   The ACCC has also considered NBN </w:t>
      </w:r>
      <w:proofErr w:type="spellStart"/>
      <w:r>
        <w:rPr>
          <w:szCs w:val="20"/>
        </w:rPr>
        <w:t>Co’s</w:t>
      </w:r>
      <w:proofErr w:type="spellEnd"/>
      <w:r>
        <w:rPr>
          <w:szCs w:val="20"/>
        </w:rPr>
        <w:t xml:space="preserve"> </w:t>
      </w:r>
      <w:r w:rsidR="00FF4D63">
        <w:rPr>
          <w:szCs w:val="20"/>
        </w:rPr>
        <w:t>p</w:t>
      </w:r>
      <w:r>
        <w:rPr>
          <w:szCs w:val="20"/>
        </w:rPr>
        <w:t xml:space="preserve">rocurement </w:t>
      </w:r>
      <w:r w:rsidR="00FF4D63">
        <w:rPr>
          <w:szCs w:val="20"/>
        </w:rPr>
        <w:t>r</w:t>
      </w:r>
      <w:r>
        <w:rPr>
          <w:szCs w:val="20"/>
        </w:rPr>
        <w:t xml:space="preserve">ules </w:t>
      </w:r>
      <w:r w:rsidR="00FF4D63">
        <w:rPr>
          <w:szCs w:val="20"/>
        </w:rPr>
        <w:t>c</w:t>
      </w:r>
      <w:r>
        <w:rPr>
          <w:szCs w:val="20"/>
        </w:rPr>
        <w:t xml:space="preserve">ompliance </w:t>
      </w:r>
      <w:r w:rsidR="00FF4D63">
        <w:rPr>
          <w:szCs w:val="20"/>
        </w:rPr>
        <w:t>r</w:t>
      </w:r>
      <w:r>
        <w:rPr>
          <w:szCs w:val="20"/>
        </w:rPr>
        <w:t>eport</w:t>
      </w:r>
      <w:r w:rsidR="007109BC">
        <w:rPr>
          <w:szCs w:val="20"/>
        </w:rPr>
        <w:t xml:space="preserve">. </w:t>
      </w:r>
      <w:r>
        <w:rPr>
          <w:szCs w:val="20"/>
        </w:rPr>
        <w:t xml:space="preserve"> </w:t>
      </w:r>
    </w:p>
    <w:p w:rsidR="00EC39BE" w:rsidRDefault="00F823ED" w:rsidP="009D776F">
      <w:pPr>
        <w:rPr>
          <w:szCs w:val="20"/>
        </w:rPr>
      </w:pPr>
      <w:r>
        <w:rPr>
          <w:szCs w:val="20"/>
        </w:rPr>
        <w:t xml:space="preserve">To determine whether there were processes and controls in place to encourage compliance with the prudency conditions in the SAU, the ACCC relied on PwC’s independent assurance report regarding the design of controls applicable to capital expenditure and operating expenditure. </w:t>
      </w:r>
      <w:r w:rsidR="00EC39BE">
        <w:rPr>
          <w:szCs w:val="20"/>
        </w:rPr>
        <w:t>As PwC provided an unqualified opinion, the ACCC is satisfied that NBN Co has processes and procedures in place that support compliance with the prudency conditions in the SAU.</w:t>
      </w:r>
    </w:p>
    <w:p w:rsidR="00EC39BE" w:rsidRDefault="00EC39BE" w:rsidP="009D776F">
      <w:pPr>
        <w:rPr>
          <w:szCs w:val="20"/>
        </w:rPr>
      </w:pPr>
      <w:r>
        <w:rPr>
          <w:szCs w:val="20"/>
        </w:rPr>
        <w:t xml:space="preserve">In assessing whether NBN Co had complied with these processes and procedures, the ACCC considered the additional information provided by NBN Co in its supporting submission regarding its internal audit work. </w:t>
      </w:r>
    </w:p>
    <w:p w:rsidR="009D776F" w:rsidRPr="00635767" w:rsidRDefault="009D776F" w:rsidP="009D776F">
      <w:r>
        <w:rPr>
          <w:szCs w:val="20"/>
        </w:rPr>
        <w:t>The ACCC</w:t>
      </w:r>
      <w:r w:rsidR="00635767">
        <w:rPr>
          <w:szCs w:val="20"/>
        </w:rPr>
        <w:t xml:space="preserve">’s draft decision </w:t>
      </w:r>
      <w:r w:rsidR="00EE6A1D">
        <w:rPr>
          <w:szCs w:val="20"/>
        </w:rPr>
        <w:t>wa</w:t>
      </w:r>
      <w:r w:rsidR="00635767">
        <w:rPr>
          <w:szCs w:val="20"/>
        </w:rPr>
        <w:t>s that it</w:t>
      </w:r>
      <w:r w:rsidR="00E5765F">
        <w:rPr>
          <w:szCs w:val="20"/>
        </w:rPr>
        <w:t xml:space="preserve"> wa</w:t>
      </w:r>
      <w:r>
        <w:rPr>
          <w:szCs w:val="20"/>
        </w:rPr>
        <w:t xml:space="preserve">s satisfied that the information provided by NBN Co </w:t>
      </w:r>
      <w:r w:rsidR="00EC39BE">
        <w:rPr>
          <w:szCs w:val="20"/>
        </w:rPr>
        <w:t>was</w:t>
      </w:r>
      <w:r>
        <w:rPr>
          <w:szCs w:val="20"/>
        </w:rPr>
        <w:t xml:space="preserve"> </w:t>
      </w:r>
      <w:r w:rsidR="00D329DB">
        <w:rPr>
          <w:szCs w:val="20"/>
        </w:rPr>
        <w:t xml:space="preserve">reasonable </w:t>
      </w:r>
      <w:r w:rsidR="00EC39BE">
        <w:rPr>
          <w:szCs w:val="20"/>
        </w:rPr>
        <w:t xml:space="preserve">for the purpose of demonstrating that it had </w:t>
      </w:r>
      <w:r>
        <w:rPr>
          <w:szCs w:val="20"/>
        </w:rPr>
        <w:t>procedures and processes in place to enable compliance with the prudency conditions and procurement rules set out by the SAU.</w:t>
      </w:r>
      <w:r w:rsidR="00D75748" w:rsidRPr="00D75748">
        <w:t xml:space="preserve"> </w:t>
      </w:r>
      <w:r w:rsidR="00D75748">
        <w:t xml:space="preserve">The ACCC did not receive any submissions </w:t>
      </w:r>
      <w:r w:rsidR="003C33D0">
        <w:t xml:space="preserve">in relation to NBN </w:t>
      </w:r>
      <w:proofErr w:type="spellStart"/>
      <w:r w:rsidR="003C33D0">
        <w:t>Co’s</w:t>
      </w:r>
      <w:proofErr w:type="spellEnd"/>
      <w:r w:rsidR="003C33D0">
        <w:t xml:space="preserve"> expenditure compliance </w:t>
      </w:r>
      <w:r w:rsidR="00D75748">
        <w:t>and therefore confirms its draft decision</w:t>
      </w:r>
      <w:r w:rsidR="00EC39BE">
        <w:t xml:space="preserve"> that NBN </w:t>
      </w:r>
      <w:proofErr w:type="spellStart"/>
      <w:r w:rsidR="00EC39BE">
        <w:t>Co’s</w:t>
      </w:r>
      <w:proofErr w:type="spellEnd"/>
      <w:r w:rsidR="00EC39BE">
        <w:t xml:space="preserve"> expenditure complies with the relevant prudency conditions set out in Schedule 1D of the SAU</w:t>
      </w:r>
      <w:r w:rsidR="00D75748">
        <w:t xml:space="preserve">. </w:t>
      </w:r>
    </w:p>
    <w:p w:rsidR="00D3265B" w:rsidRPr="00AB6963" w:rsidRDefault="00D3265B" w:rsidP="00706893">
      <w:pPr>
        <w:pStyle w:val="HeadingLevel3"/>
      </w:pPr>
      <w:r w:rsidRPr="00AB6963">
        <w:lastRenderedPageBreak/>
        <w:t xml:space="preserve">ACCC </w:t>
      </w:r>
      <w:r w:rsidR="00EE0F17">
        <w:t>assessment of</w:t>
      </w:r>
      <w:r w:rsidRPr="00AB6963">
        <w:t xml:space="preserve"> NBN </w:t>
      </w:r>
      <w:proofErr w:type="spellStart"/>
      <w:r w:rsidRPr="00AB6963">
        <w:t>Co’s</w:t>
      </w:r>
      <w:proofErr w:type="spellEnd"/>
      <w:r w:rsidRPr="00AB6963">
        <w:t xml:space="preserve"> compliance with </w:t>
      </w:r>
      <w:r w:rsidR="001F02E6">
        <w:t xml:space="preserve">the </w:t>
      </w:r>
      <w:r w:rsidRPr="00AB6963">
        <w:t>procurement requirements</w:t>
      </w:r>
    </w:p>
    <w:p w:rsidR="00977426" w:rsidRDefault="00171096" w:rsidP="00D3265B">
      <w:r>
        <w:t xml:space="preserve">The SAU requires </w:t>
      </w:r>
      <w:r w:rsidR="00977426">
        <w:t xml:space="preserve">NBN Co </w:t>
      </w:r>
      <w:r>
        <w:t xml:space="preserve">to </w:t>
      </w:r>
      <w:r w:rsidR="00DE0656">
        <w:t>develop procurement r</w:t>
      </w:r>
      <w:r w:rsidR="00977426">
        <w:t xml:space="preserve">ules to establish procurement processes that, in broad terms, generate an efficient and competitive outcome and reflect good industry practice. NBN Co must </w:t>
      </w:r>
      <w:r w:rsidR="00353C55">
        <w:t xml:space="preserve">also </w:t>
      </w:r>
      <w:r w:rsidR="00977426">
        <w:t xml:space="preserve">provide a copy of its </w:t>
      </w:r>
      <w:r w:rsidR="00DE0656">
        <w:t>p</w:t>
      </w:r>
      <w:r w:rsidR="00977426">
        <w:t xml:space="preserve">rocurement </w:t>
      </w:r>
      <w:r w:rsidR="00DE0656">
        <w:t>r</w:t>
      </w:r>
      <w:r w:rsidR="00977426">
        <w:t xml:space="preserve">ules within 30 days after the SAU commencement date and within 30 days after NBN Co makes any material changes to the </w:t>
      </w:r>
      <w:r w:rsidR="00DE0656">
        <w:t>p</w:t>
      </w:r>
      <w:r w:rsidR="00977426">
        <w:t xml:space="preserve">rocurement </w:t>
      </w:r>
      <w:r w:rsidR="00DE0656">
        <w:t>r</w:t>
      </w:r>
      <w:r w:rsidR="00977426">
        <w:t xml:space="preserve">ules. </w:t>
      </w:r>
      <w:r w:rsidR="000D08A5">
        <w:t xml:space="preserve"> </w:t>
      </w:r>
      <w:bookmarkStart w:id="16" w:name="_GoBack"/>
      <w:bookmarkEnd w:id="16"/>
      <w:r w:rsidR="000D08A5">
        <w:t xml:space="preserve"> </w:t>
      </w:r>
    </w:p>
    <w:p w:rsidR="00732F20" w:rsidRDefault="00B84B6E" w:rsidP="00D3265B">
      <w:r>
        <w:t>T</w:t>
      </w:r>
      <w:r w:rsidR="00551202">
        <w:t>he ACCC wa</w:t>
      </w:r>
      <w:r w:rsidR="00D3265B">
        <w:t>s satisfied that</w:t>
      </w:r>
      <w:r w:rsidR="0053170D">
        <w:t xml:space="preserve"> t</w:t>
      </w:r>
      <w:r w:rsidR="00D3265B">
        <w:t xml:space="preserve">he </w:t>
      </w:r>
      <w:r w:rsidR="00D75748">
        <w:t>p</w:t>
      </w:r>
      <w:r w:rsidR="00D3265B">
        <w:t xml:space="preserve">rocurement </w:t>
      </w:r>
      <w:r w:rsidR="00D75748">
        <w:t>r</w:t>
      </w:r>
      <w:r w:rsidR="00D3265B">
        <w:t xml:space="preserve">ules </w:t>
      </w:r>
      <w:r w:rsidR="00D75748">
        <w:t>c</w:t>
      </w:r>
      <w:r w:rsidR="00D3265B">
        <w:t xml:space="preserve">ompliance </w:t>
      </w:r>
      <w:r w:rsidR="00D75748">
        <w:t>r</w:t>
      </w:r>
      <w:r w:rsidR="00D3265B">
        <w:t>eport did not identify any exceptions during the period f</w:t>
      </w:r>
      <w:r w:rsidR="00AB6963">
        <w:t>rom 1 July 2014 to 30 June 2015</w:t>
      </w:r>
      <w:r w:rsidR="005A1736">
        <w:t xml:space="preserve">. </w:t>
      </w:r>
      <w:r w:rsidR="00DE0656">
        <w:t xml:space="preserve">In December 2013, </w:t>
      </w:r>
      <w:r w:rsidR="00732F20">
        <w:t>NBN Co provided</w:t>
      </w:r>
      <w:r w:rsidR="005E45AD">
        <w:t xml:space="preserve"> </w:t>
      </w:r>
      <w:r w:rsidR="00732F20">
        <w:t xml:space="preserve">the </w:t>
      </w:r>
      <w:r w:rsidR="00D3265B">
        <w:t xml:space="preserve">Procurement Manual v19 and Buying Guide v2.0 </w:t>
      </w:r>
      <w:r w:rsidR="00DE0656">
        <w:t>to the ACCC</w:t>
      </w:r>
      <w:r w:rsidR="00D3265B">
        <w:t xml:space="preserve">. </w:t>
      </w:r>
      <w:r w:rsidR="005E45AD">
        <w:t xml:space="preserve">Both the Procurement Manual v19 and Buying Guide v2.0 were updated on 1 August 2014 and updated versions of the documents were </w:t>
      </w:r>
      <w:r w:rsidR="00D3265B">
        <w:t xml:space="preserve">provided </w:t>
      </w:r>
      <w:r w:rsidR="005E45AD">
        <w:t xml:space="preserve">to the ACCC </w:t>
      </w:r>
      <w:r w:rsidR="00D3265B">
        <w:t xml:space="preserve">on 18 August 2014, which was within the 30 day timeframe required by clause 1D.5.2 of the SAU. </w:t>
      </w:r>
    </w:p>
    <w:p w:rsidR="0069623A" w:rsidRDefault="0069623A" w:rsidP="00D3265B">
      <w:r>
        <w:t>The ACCC</w:t>
      </w:r>
      <w:r w:rsidR="005E45AD">
        <w:t xml:space="preserve"> considered</w:t>
      </w:r>
      <w:r w:rsidR="00AB6963">
        <w:t xml:space="preserve"> the documents (and the</w:t>
      </w:r>
      <w:r w:rsidR="005E45AD">
        <w:t xml:space="preserve"> amendments</w:t>
      </w:r>
      <w:r w:rsidR="00AB6963">
        <w:t>)</w:t>
      </w:r>
      <w:r w:rsidR="005E45AD">
        <w:t xml:space="preserve"> and</w:t>
      </w:r>
      <w:r w:rsidR="002C7558">
        <w:t xml:space="preserve"> </w:t>
      </w:r>
      <w:r w:rsidR="00167A1B">
        <w:t xml:space="preserve">formed the </w:t>
      </w:r>
      <w:r w:rsidR="00017E14">
        <w:t xml:space="preserve">preliminary </w:t>
      </w:r>
      <w:r w:rsidR="002C7558">
        <w:t xml:space="preserve">view that </w:t>
      </w:r>
      <w:r>
        <w:t xml:space="preserve">the </w:t>
      </w:r>
      <w:r w:rsidR="00D75748">
        <w:t>p</w:t>
      </w:r>
      <w:r>
        <w:t xml:space="preserve">rocurement </w:t>
      </w:r>
      <w:r w:rsidR="00D75748">
        <w:t>r</w:t>
      </w:r>
      <w:r>
        <w:t xml:space="preserve">ules </w:t>
      </w:r>
      <w:r w:rsidR="00D75748">
        <w:t>c</w:t>
      </w:r>
      <w:r>
        <w:t xml:space="preserve">ompliance </w:t>
      </w:r>
      <w:r w:rsidR="00D75748">
        <w:t>r</w:t>
      </w:r>
      <w:r>
        <w:t xml:space="preserve">eport </w:t>
      </w:r>
      <w:r w:rsidR="005B09C5">
        <w:t>met</w:t>
      </w:r>
      <w:r>
        <w:t xml:space="preserve"> the</w:t>
      </w:r>
      <w:r w:rsidR="005B09C5">
        <w:t xml:space="preserve"> SAU requirements</w:t>
      </w:r>
      <w:r>
        <w:t>.</w:t>
      </w:r>
      <w:r>
        <w:rPr>
          <w:rStyle w:val="FootnoteReference"/>
        </w:rPr>
        <w:footnoteReference w:id="18"/>
      </w:r>
      <w:r w:rsidR="00D75748" w:rsidRPr="00D75748">
        <w:t xml:space="preserve"> </w:t>
      </w:r>
      <w:r w:rsidR="00D75748">
        <w:t xml:space="preserve">The ACCC did not receive any submissions </w:t>
      </w:r>
      <w:r w:rsidR="006B082C">
        <w:t xml:space="preserve">in relation to NBN </w:t>
      </w:r>
      <w:proofErr w:type="spellStart"/>
      <w:r w:rsidR="006B082C">
        <w:t>Co’s</w:t>
      </w:r>
      <w:proofErr w:type="spellEnd"/>
      <w:r w:rsidR="006B082C">
        <w:t xml:space="preserve"> compliance with the procurement requirements </w:t>
      </w:r>
      <w:r w:rsidR="00D75748">
        <w:t>and therefore confirms its draft decision</w:t>
      </w:r>
      <w:r w:rsidR="000F3AEF">
        <w:t xml:space="preserve"> that the procurement rules compliance report met the requirements</w:t>
      </w:r>
      <w:r w:rsidR="00241E0A">
        <w:t xml:space="preserve"> set out in clause 1F.2.3 of the SAU</w:t>
      </w:r>
      <w:r w:rsidR="00D75748">
        <w:t>.</w:t>
      </w:r>
    </w:p>
    <w:p w:rsidR="00D3265B" w:rsidRPr="00B75B4D" w:rsidRDefault="00D3265B" w:rsidP="00706893">
      <w:pPr>
        <w:pStyle w:val="HeadingLevel3"/>
      </w:pPr>
      <w:r w:rsidRPr="00B75B4D">
        <w:t xml:space="preserve">ACCC </w:t>
      </w:r>
      <w:r w:rsidR="00EE0F17">
        <w:t>assessment of</w:t>
      </w:r>
      <w:r w:rsidRPr="00B75B4D">
        <w:t xml:space="preserve"> financial information</w:t>
      </w:r>
    </w:p>
    <w:p w:rsidR="00E7497B" w:rsidRDefault="00E7497B" w:rsidP="00D3265B">
      <w:pPr>
        <w:rPr>
          <w:szCs w:val="20"/>
        </w:rPr>
      </w:pPr>
      <w:r>
        <w:rPr>
          <w:szCs w:val="20"/>
        </w:rPr>
        <w:t xml:space="preserve">The ACCC is required to ascertain whether NBN </w:t>
      </w:r>
      <w:proofErr w:type="spellStart"/>
      <w:r>
        <w:rPr>
          <w:szCs w:val="20"/>
        </w:rPr>
        <w:t>Co’s</w:t>
      </w:r>
      <w:proofErr w:type="spellEnd"/>
      <w:r>
        <w:rPr>
          <w:szCs w:val="20"/>
        </w:rPr>
        <w:t xml:space="preserve"> proposed LTRCM values had been calculated in accordance with Schedule 1D and Schedule 1E of the SAU.</w:t>
      </w:r>
    </w:p>
    <w:p w:rsidR="00981EC4" w:rsidRPr="00981EC4" w:rsidRDefault="00981EC4" w:rsidP="00D3265B">
      <w:r>
        <w:t xml:space="preserve">As required under the SAU, NBN Co provided the ACCC with its Actual Financial Information and Proposed Financial Information for 2014-15. In addition, </w:t>
      </w:r>
      <w:r w:rsidRPr="00914576">
        <w:t>NBN Co provided the ACCC with an LTRCM</w:t>
      </w:r>
      <w:r>
        <w:t xml:space="preserve"> spreadsheet</w:t>
      </w:r>
      <w:r w:rsidRPr="00914576">
        <w:t xml:space="preserve"> which sets out in detail the step-by-step calculations of </w:t>
      </w:r>
      <w:r w:rsidR="0037507C">
        <w:t xml:space="preserve">its </w:t>
      </w:r>
      <w:r w:rsidRPr="00914576">
        <w:t>proposed RAB, ABBRR and ICRA values</w:t>
      </w:r>
      <w:r>
        <w:t>. NBN Co</w:t>
      </w:r>
      <w:r w:rsidR="00DE0656">
        <w:t xml:space="preserve"> also</w:t>
      </w:r>
      <w:r>
        <w:t xml:space="preserve"> engaged PwC to conduct an audit of its financial information</w:t>
      </w:r>
      <w:r w:rsidR="00DE0656">
        <w:t xml:space="preserve"> and</w:t>
      </w:r>
      <w:r w:rsidRPr="00914576">
        <w:t xml:space="preserve"> to check that the input values in the spreadsheet were correctly extracted from the relevant financial statements and that the LTRCM calculations were undertaken in accordance with the SAU formulas. </w:t>
      </w:r>
    </w:p>
    <w:p w:rsidR="00AB6963" w:rsidRDefault="00E7497B" w:rsidP="00D3265B">
      <w:pPr>
        <w:rPr>
          <w:szCs w:val="20"/>
        </w:rPr>
      </w:pPr>
      <w:r>
        <w:rPr>
          <w:szCs w:val="20"/>
        </w:rPr>
        <w:t>In making its draft decision, the ACCC checked the calculations NBN Co s</w:t>
      </w:r>
      <w:r w:rsidR="001D1613">
        <w:rPr>
          <w:szCs w:val="20"/>
        </w:rPr>
        <w:t>ubmitted in its LTR</w:t>
      </w:r>
      <w:r>
        <w:rPr>
          <w:szCs w:val="20"/>
        </w:rPr>
        <w:t xml:space="preserve">CM spreadsheet and confirmed that the formulas used in the spreadsheet </w:t>
      </w:r>
      <w:r w:rsidR="00317197">
        <w:rPr>
          <w:szCs w:val="20"/>
        </w:rPr>
        <w:t>we</w:t>
      </w:r>
      <w:r>
        <w:rPr>
          <w:szCs w:val="20"/>
        </w:rPr>
        <w:t xml:space="preserve">re as set </w:t>
      </w:r>
      <w:r w:rsidR="00981EC4">
        <w:rPr>
          <w:szCs w:val="20"/>
        </w:rPr>
        <w:t xml:space="preserve">out in Schedule 1E of the SAU. </w:t>
      </w:r>
      <w:r>
        <w:rPr>
          <w:szCs w:val="20"/>
        </w:rPr>
        <w:t xml:space="preserve">The ACCC’s draft </w:t>
      </w:r>
      <w:r w:rsidR="00951DC5">
        <w:rPr>
          <w:szCs w:val="20"/>
        </w:rPr>
        <w:t xml:space="preserve">decision was </w:t>
      </w:r>
      <w:r w:rsidR="00981EC4">
        <w:t xml:space="preserve">to accept NBN </w:t>
      </w:r>
      <w:proofErr w:type="spellStart"/>
      <w:r w:rsidR="00981EC4">
        <w:t>Co’s</w:t>
      </w:r>
      <w:proofErr w:type="spellEnd"/>
      <w:r w:rsidR="00981EC4">
        <w:t xml:space="preserve"> LTRCM proposal for 2014-15 without modification.</w:t>
      </w:r>
      <w:r w:rsidR="00D75748" w:rsidRPr="00D75748">
        <w:t xml:space="preserve"> </w:t>
      </w:r>
      <w:r w:rsidR="00D75748">
        <w:t xml:space="preserve">The ACCC did not receive any submissions </w:t>
      </w:r>
      <w:r w:rsidR="006B082C">
        <w:t xml:space="preserve">regarding NBN </w:t>
      </w:r>
      <w:proofErr w:type="spellStart"/>
      <w:r w:rsidR="006B082C">
        <w:t>Co’s</w:t>
      </w:r>
      <w:proofErr w:type="spellEnd"/>
      <w:r w:rsidR="006B082C">
        <w:t xml:space="preserve"> financial information </w:t>
      </w:r>
      <w:r w:rsidR="00D75748">
        <w:t xml:space="preserve">and therefore </w:t>
      </w:r>
      <w:r w:rsidR="000F3AEF">
        <w:t xml:space="preserve">maintains the view that NBN </w:t>
      </w:r>
      <w:proofErr w:type="spellStart"/>
      <w:r w:rsidR="000F3AEF">
        <w:t>Co’s</w:t>
      </w:r>
      <w:proofErr w:type="spellEnd"/>
      <w:r w:rsidR="000F3AEF">
        <w:t xml:space="preserve"> </w:t>
      </w:r>
      <w:r w:rsidR="00FB7182">
        <w:t xml:space="preserve">proposed values for the ABBRR, RAB and ICRA </w:t>
      </w:r>
      <w:r w:rsidR="000F3AEF">
        <w:t>should be accepted without modification</w:t>
      </w:r>
      <w:r w:rsidR="00D75748">
        <w:t>.</w:t>
      </w:r>
    </w:p>
    <w:p w:rsidR="009D776F" w:rsidRDefault="009D776F" w:rsidP="00706893">
      <w:pPr>
        <w:pStyle w:val="HeadingLevel2"/>
      </w:pPr>
      <w:bookmarkStart w:id="17" w:name="_Toc452626350"/>
      <w:r>
        <w:t>Price compliance reporting</w:t>
      </w:r>
      <w:bookmarkEnd w:id="17"/>
    </w:p>
    <w:p w:rsidR="00F449F0" w:rsidRDefault="00F449F0" w:rsidP="00C57A5D">
      <w:pPr>
        <w:spacing w:after="120"/>
      </w:pPr>
      <w:r w:rsidRPr="008F44DC">
        <w:t xml:space="preserve">Under Schedule 1F of the SAU, NBN Co is required to submit certain price compliance information to the ACCC, to demonstrate that it has not exceeded the maximum regulated prices set by Schedule 1C </w:t>
      </w:r>
      <w:r>
        <w:t xml:space="preserve">(the pricing schedule) </w:t>
      </w:r>
      <w:r w:rsidRPr="008F44DC">
        <w:t>of the SAU</w:t>
      </w:r>
      <w:r>
        <w:t xml:space="preserve">. </w:t>
      </w:r>
    </w:p>
    <w:p w:rsidR="00C57A5D" w:rsidRDefault="00C57A5D" w:rsidP="00C57A5D">
      <w:pPr>
        <w:spacing w:after="120"/>
      </w:pPr>
      <w:r>
        <w:t xml:space="preserve">The ACCC’s </w:t>
      </w:r>
      <w:r w:rsidR="005E45AD">
        <w:t xml:space="preserve">draft </w:t>
      </w:r>
      <w:r>
        <w:t xml:space="preserve">view on price compliance was that NBN </w:t>
      </w:r>
      <w:proofErr w:type="spellStart"/>
      <w:r>
        <w:t>Co’s</w:t>
      </w:r>
      <w:proofErr w:type="spellEnd"/>
      <w:r>
        <w:t xml:space="preserve"> prices for 2014-15 did not exceed the maximum regulated prices applicable at the relevant point in time in accordance with Schedule 1C of the SAU. This preliminary view was informed by:</w:t>
      </w:r>
    </w:p>
    <w:p w:rsidR="00C57A5D" w:rsidRDefault="00C57A5D" w:rsidP="00C57A5D">
      <w:pPr>
        <w:pStyle w:val="ListParagraph"/>
        <w:numPr>
          <w:ilvl w:val="0"/>
          <w:numId w:val="36"/>
        </w:numPr>
        <w:spacing w:before="120" w:after="120"/>
        <w:ind w:left="714" w:hanging="357"/>
        <w:contextualSpacing w:val="0"/>
      </w:pPr>
      <w:r>
        <w:t xml:space="preserve">NBN </w:t>
      </w:r>
      <w:proofErr w:type="spellStart"/>
      <w:r>
        <w:t>Co’s</w:t>
      </w:r>
      <w:proofErr w:type="spellEnd"/>
      <w:r>
        <w:t xml:space="preserve"> </w:t>
      </w:r>
      <w:r w:rsidR="00D75748">
        <w:t>p</w:t>
      </w:r>
      <w:r>
        <w:t xml:space="preserve">rice </w:t>
      </w:r>
      <w:r w:rsidR="00D75748">
        <w:t>c</w:t>
      </w:r>
      <w:r>
        <w:t xml:space="preserve">ompliance </w:t>
      </w:r>
      <w:r w:rsidR="00D75748">
        <w:t>r</w:t>
      </w:r>
      <w:r>
        <w:t>eport, which provides some assurance that NBN Co has key control procedures in place to ensure that the prices for NBN Offers and Other Charges did not exceed the applicable maximum regulatory price during the year</w:t>
      </w:r>
    </w:p>
    <w:p w:rsidR="00C57A5D" w:rsidRDefault="00C57A5D" w:rsidP="00C57A5D">
      <w:pPr>
        <w:pStyle w:val="ListParagraph"/>
        <w:numPr>
          <w:ilvl w:val="0"/>
          <w:numId w:val="36"/>
        </w:numPr>
        <w:spacing w:before="120" w:after="120"/>
        <w:ind w:left="714" w:hanging="357"/>
        <w:contextualSpacing w:val="0"/>
      </w:pPr>
      <w:r>
        <w:lastRenderedPageBreak/>
        <w:t xml:space="preserve">ACCC analysis of </w:t>
      </w:r>
      <w:r w:rsidR="003D4DF1">
        <w:t xml:space="preserve">NBN </w:t>
      </w:r>
      <w:proofErr w:type="spellStart"/>
      <w:r w:rsidR="003D4DF1">
        <w:t>Co’s</w:t>
      </w:r>
      <w:proofErr w:type="spellEnd"/>
      <w:r>
        <w:t xml:space="preserve"> price compliance spreadsheet, which did not identify any instances where the listed prices exceed the applicable maximum regulated price, and</w:t>
      </w:r>
    </w:p>
    <w:p w:rsidR="00C57A5D" w:rsidRDefault="00C57A5D" w:rsidP="00C57A5D">
      <w:pPr>
        <w:pStyle w:val="ListParagraph"/>
        <w:numPr>
          <w:ilvl w:val="0"/>
          <w:numId w:val="36"/>
        </w:numPr>
        <w:spacing w:before="120" w:after="120"/>
        <w:ind w:left="714" w:hanging="357"/>
        <w:contextualSpacing w:val="0"/>
      </w:pPr>
      <w:r>
        <w:t xml:space="preserve">PwC’s limited assurance review of NBN </w:t>
      </w:r>
      <w:proofErr w:type="spellStart"/>
      <w:r>
        <w:t>Co’s</w:t>
      </w:r>
      <w:proofErr w:type="spellEnd"/>
      <w:r>
        <w:t xml:space="preserve"> price controls, which provides independent assurance that NBN </w:t>
      </w:r>
      <w:proofErr w:type="gramStart"/>
      <w:r>
        <w:t>Co</w:t>
      </w:r>
      <w:proofErr w:type="gramEnd"/>
      <w:r>
        <w:t xml:space="preserve"> has procedures in place to ensure that its prices do not exceed the maximum regulated prices in the SAU.</w:t>
      </w:r>
    </w:p>
    <w:p w:rsidR="000F3AEF" w:rsidRDefault="005F3C4B" w:rsidP="005F3C4B">
      <w:r w:rsidRPr="005F3C4B">
        <w:t xml:space="preserve">The ACCC found that there were some prices listed in the spreadsheet that were for new products. These new products do not have a price specified in the </w:t>
      </w:r>
      <w:proofErr w:type="gramStart"/>
      <w:r w:rsidRPr="005F3C4B">
        <w:t>SAU,</w:t>
      </w:r>
      <w:proofErr w:type="gramEnd"/>
      <w:r w:rsidRPr="005F3C4B">
        <w:t xml:space="preserve"> however, the ACCC recognised that NBN Co has the ability to determine the prices for new products</w:t>
      </w:r>
      <w:r w:rsidR="00317197">
        <w:t>.</w:t>
      </w:r>
      <w:r w:rsidR="00D75748">
        <w:t xml:space="preserve"> </w:t>
      </w:r>
    </w:p>
    <w:p w:rsidR="00784E68" w:rsidRDefault="00D75748" w:rsidP="00784E68">
      <w:r>
        <w:t>The ACCC did not receive any submissions</w:t>
      </w:r>
      <w:r w:rsidR="006B082C">
        <w:t xml:space="preserve"> in relation to NBN </w:t>
      </w:r>
      <w:proofErr w:type="spellStart"/>
      <w:r w:rsidR="006B082C">
        <w:t>Co’s</w:t>
      </w:r>
      <w:proofErr w:type="spellEnd"/>
      <w:r w:rsidR="006B082C">
        <w:t xml:space="preserve"> price compliance</w:t>
      </w:r>
      <w:r>
        <w:t xml:space="preserve"> and therefore confirms its draft </w:t>
      </w:r>
      <w:r w:rsidR="000F3AEF">
        <w:t xml:space="preserve">view that NBN </w:t>
      </w:r>
      <w:proofErr w:type="spellStart"/>
      <w:r w:rsidR="000F3AEF">
        <w:t>Co’s</w:t>
      </w:r>
      <w:proofErr w:type="spellEnd"/>
      <w:r w:rsidR="000F3AEF">
        <w:t xml:space="preserve"> prices for 2014-15 did not exceed the maximum regulated prices applicable at the relevant point in time in accordance with Schedule 1C of the SAU</w:t>
      </w:r>
      <w:r w:rsidR="00007F72">
        <w:t>.</w:t>
      </w:r>
      <w:r>
        <w:t xml:space="preserve"> </w:t>
      </w:r>
    </w:p>
    <w:p w:rsidR="00D121D4" w:rsidRDefault="00D121D4" w:rsidP="00BA7D3B">
      <w:pPr>
        <w:pStyle w:val="HeadingLevel1"/>
        <w:numPr>
          <w:ilvl w:val="0"/>
          <w:numId w:val="42"/>
        </w:numPr>
      </w:pPr>
      <w:bookmarkStart w:id="18" w:name="_Toc452626351"/>
      <w:r>
        <w:lastRenderedPageBreak/>
        <w:t xml:space="preserve">ACCC </w:t>
      </w:r>
      <w:r w:rsidR="00EA5151">
        <w:t xml:space="preserve">final </w:t>
      </w:r>
      <w:r>
        <w:t>de</w:t>
      </w:r>
      <w:r w:rsidR="00EA5151">
        <w:t>cision on</w:t>
      </w:r>
      <w:r w:rsidR="001B13F7">
        <w:t xml:space="preserve"> the</w:t>
      </w:r>
      <w:r w:rsidR="00EA5151">
        <w:t xml:space="preserve"> amendment to the 2013</w:t>
      </w:r>
      <w:r w:rsidR="00EA5151">
        <w:noBreakHyphen/>
      </w:r>
      <w:r>
        <w:t>14 LTRCM determination</w:t>
      </w:r>
      <w:bookmarkEnd w:id="18"/>
    </w:p>
    <w:p w:rsidR="00752D9B" w:rsidRDefault="00FB7182" w:rsidP="00C06FDD">
      <w:r>
        <w:t>In accordance with clause 1E.1.3 of the SAU, and for the reasons outlined above and set out in more detail in the ACCC’s draft determination, t</w:t>
      </w:r>
      <w:r w:rsidR="00752D9B">
        <w:t xml:space="preserve">he ACCC has decided to accept NBN </w:t>
      </w:r>
      <w:proofErr w:type="spellStart"/>
      <w:r w:rsidR="00752D9B">
        <w:t>Co’s</w:t>
      </w:r>
      <w:proofErr w:type="spellEnd"/>
      <w:r w:rsidR="00752D9B">
        <w:t xml:space="preserve"> </w:t>
      </w:r>
      <w:r>
        <w:t xml:space="preserve">proposal to </w:t>
      </w:r>
      <w:r w:rsidR="00752D9B">
        <w:t>amend</w:t>
      </w:r>
      <w:r>
        <w:t xml:space="preserve"> </w:t>
      </w:r>
      <w:r w:rsidR="00752D9B">
        <w:t xml:space="preserve">the 2013-14 LTRCM </w:t>
      </w:r>
      <w:r w:rsidR="00C06FDD">
        <w:t xml:space="preserve">determination. The ACCC has determined revised values for certain values in the ACCC’s LTRCM determination for the 2013-14 financial year, as set out in Table 4.1 below. </w:t>
      </w:r>
    </w:p>
    <w:p w:rsidR="000C155D" w:rsidRDefault="000C155D" w:rsidP="000C155D">
      <w:pPr>
        <w:pStyle w:val="HeadingLevel8table"/>
        <w:numPr>
          <w:ilvl w:val="7"/>
          <w:numId w:val="43"/>
        </w:numPr>
      </w:pPr>
      <w:r>
        <w:t>Amendments to the 2013-14 LTRCM Determination</w:t>
      </w:r>
    </w:p>
    <w:tbl>
      <w:tblPr>
        <w:tblStyle w:val="TableGrid"/>
        <w:tblW w:w="9322" w:type="dxa"/>
        <w:tblLayout w:type="fixed"/>
        <w:tblLook w:val="04A0" w:firstRow="1" w:lastRow="0" w:firstColumn="1" w:lastColumn="0" w:noHBand="0" w:noVBand="1"/>
      </w:tblPr>
      <w:tblGrid>
        <w:gridCol w:w="7338"/>
        <w:gridCol w:w="992"/>
        <w:gridCol w:w="992"/>
      </w:tblGrid>
      <w:tr w:rsidR="000C155D" w:rsidRPr="000E1C8E" w:rsidTr="00C4665C">
        <w:tc>
          <w:tcPr>
            <w:tcW w:w="7338" w:type="dxa"/>
            <w:shd w:val="clear" w:color="auto" w:fill="D9D9D9" w:themeFill="background1" w:themeFillShade="D9"/>
          </w:tcPr>
          <w:p w:rsidR="000C155D" w:rsidRPr="000E1C8E" w:rsidRDefault="000C155D" w:rsidP="005B3E92">
            <w:pPr>
              <w:spacing w:before="60" w:after="60"/>
              <w:rPr>
                <w:rFonts w:asciiTheme="minorHAnsi" w:hAnsiTheme="minorHAnsi"/>
                <w:b/>
                <w:sz w:val="18"/>
                <w:szCs w:val="18"/>
              </w:rPr>
            </w:pPr>
            <w:r w:rsidRPr="000E1C8E">
              <w:rPr>
                <w:rFonts w:asciiTheme="minorHAnsi" w:hAnsiTheme="minorHAnsi"/>
                <w:b/>
                <w:sz w:val="18"/>
                <w:szCs w:val="18"/>
              </w:rPr>
              <w:t>Year</w:t>
            </w:r>
          </w:p>
        </w:tc>
        <w:tc>
          <w:tcPr>
            <w:tcW w:w="992" w:type="dxa"/>
            <w:shd w:val="clear" w:color="auto" w:fill="D9D9D9" w:themeFill="background1" w:themeFillShade="D9"/>
          </w:tcPr>
          <w:p w:rsidR="000C155D" w:rsidRPr="000E1C8E" w:rsidRDefault="000C155D" w:rsidP="005B3E92">
            <w:pPr>
              <w:spacing w:before="60" w:after="60"/>
              <w:jc w:val="center"/>
              <w:rPr>
                <w:rFonts w:asciiTheme="minorHAnsi" w:hAnsiTheme="minorHAnsi"/>
                <w:b/>
                <w:sz w:val="18"/>
                <w:szCs w:val="18"/>
              </w:rPr>
            </w:pPr>
            <w:r w:rsidRPr="000E1C8E">
              <w:rPr>
                <w:rFonts w:asciiTheme="minorHAnsi" w:hAnsiTheme="minorHAnsi"/>
                <w:b/>
                <w:sz w:val="18"/>
                <w:szCs w:val="18"/>
              </w:rPr>
              <w:t>2012-13</w:t>
            </w:r>
          </w:p>
        </w:tc>
        <w:tc>
          <w:tcPr>
            <w:tcW w:w="992" w:type="dxa"/>
            <w:shd w:val="clear" w:color="auto" w:fill="D9D9D9" w:themeFill="background1" w:themeFillShade="D9"/>
          </w:tcPr>
          <w:p w:rsidR="000C155D" w:rsidRPr="000E1C8E" w:rsidRDefault="000C155D" w:rsidP="005B3E92">
            <w:pPr>
              <w:spacing w:before="60" w:after="60"/>
              <w:jc w:val="center"/>
              <w:rPr>
                <w:rFonts w:asciiTheme="minorHAnsi" w:hAnsiTheme="minorHAnsi"/>
                <w:b/>
                <w:sz w:val="18"/>
                <w:szCs w:val="18"/>
              </w:rPr>
            </w:pPr>
            <w:r w:rsidRPr="000E1C8E">
              <w:rPr>
                <w:rFonts w:asciiTheme="minorHAnsi" w:hAnsiTheme="minorHAnsi"/>
                <w:b/>
                <w:sz w:val="18"/>
                <w:szCs w:val="18"/>
              </w:rPr>
              <w:t>2013-14</w:t>
            </w:r>
          </w:p>
        </w:tc>
      </w:tr>
      <w:tr w:rsidR="000C155D" w:rsidRPr="000E1C8E" w:rsidTr="004479AE">
        <w:tc>
          <w:tcPr>
            <w:tcW w:w="9322" w:type="dxa"/>
            <w:gridSpan w:val="3"/>
            <w:shd w:val="clear" w:color="auto" w:fill="F2F2F2" w:themeFill="background1" w:themeFillShade="F2"/>
          </w:tcPr>
          <w:p w:rsidR="000C155D" w:rsidRPr="000E1C8E" w:rsidRDefault="000C155D" w:rsidP="000C155D">
            <w:pPr>
              <w:spacing w:before="60" w:after="60"/>
              <w:rPr>
                <w:rFonts w:asciiTheme="minorHAnsi" w:hAnsiTheme="minorHAnsi"/>
                <w:b/>
                <w:sz w:val="18"/>
                <w:szCs w:val="18"/>
              </w:rPr>
            </w:pPr>
            <w:r>
              <w:rPr>
                <w:rFonts w:asciiTheme="minorHAnsi" w:hAnsiTheme="minorHAnsi"/>
                <w:b/>
                <w:sz w:val="18"/>
                <w:szCs w:val="18"/>
              </w:rPr>
              <w:t>ABBRR ($’000 Nominal) – as per clause 1E.4.1</w:t>
            </w:r>
          </w:p>
        </w:tc>
      </w:tr>
      <w:tr w:rsidR="000C155D" w:rsidRPr="009D776F" w:rsidTr="00C4665C">
        <w:tc>
          <w:tcPr>
            <w:tcW w:w="7338" w:type="dxa"/>
            <w:vAlign w:val="bottom"/>
          </w:tcPr>
          <w:p w:rsidR="000C155D" w:rsidRPr="009D776F" w:rsidRDefault="000C155D" w:rsidP="004479AE">
            <w:pPr>
              <w:keepNext/>
              <w:spacing w:before="60" w:after="60"/>
              <w:rPr>
                <w:rFonts w:asciiTheme="minorHAnsi" w:hAnsiTheme="minorHAnsi" w:cs="Arial"/>
                <w:bCs/>
                <w:sz w:val="18"/>
                <w:szCs w:val="18"/>
              </w:rPr>
            </w:pPr>
            <w:r>
              <w:rPr>
                <w:rFonts w:asciiTheme="minorHAnsi" w:hAnsiTheme="minorHAnsi" w:cs="Arial"/>
                <w:bCs/>
                <w:sz w:val="18"/>
                <w:szCs w:val="18"/>
              </w:rPr>
              <w:t>A</w:t>
            </w:r>
            <w:r w:rsidR="004479AE">
              <w:rPr>
                <w:rFonts w:asciiTheme="minorHAnsi" w:hAnsiTheme="minorHAnsi" w:cs="Arial"/>
                <w:bCs/>
                <w:sz w:val="18"/>
                <w:szCs w:val="18"/>
              </w:rPr>
              <w:t>nnual construction in progress allowance – as per clause 1E.10</w:t>
            </w:r>
            <w:r>
              <w:rPr>
                <w:rFonts w:asciiTheme="minorHAnsi" w:hAnsiTheme="minorHAnsi" w:cs="Arial"/>
                <w:bCs/>
                <w:sz w:val="18"/>
                <w:szCs w:val="18"/>
              </w:rPr>
              <w:t xml:space="preserve"> (original 2013-14 determination)</w:t>
            </w:r>
          </w:p>
        </w:tc>
        <w:tc>
          <w:tcPr>
            <w:tcW w:w="992" w:type="dxa"/>
            <w:vAlign w:val="bottom"/>
          </w:tcPr>
          <w:p w:rsidR="000C155D" w:rsidRPr="000C155D" w:rsidRDefault="000C155D" w:rsidP="005B3E92">
            <w:pPr>
              <w:keepNext/>
              <w:spacing w:before="60" w:after="60"/>
              <w:jc w:val="right"/>
              <w:rPr>
                <w:rFonts w:asciiTheme="minorHAnsi" w:hAnsiTheme="minorHAnsi" w:cs="Arial"/>
                <w:sz w:val="18"/>
                <w:szCs w:val="18"/>
              </w:rPr>
            </w:pPr>
            <w:r w:rsidRPr="000C155D">
              <w:rPr>
                <w:rFonts w:asciiTheme="minorHAnsi" w:hAnsiTheme="minorHAnsi" w:cs="Arial"/>
                <w:sz w:val="18"/>
                <w:szCs w:val="18"/>
              </w:rPr>
              <w:t>39 340</w:t>
            </w:r>
          </w:p>
        </w:tc>
        <w:tc>
          <w:tcPr>
            <w:tcW w:w="992" w:type="dxa"/>
            <w:vAlign w:val="bottom"/>
          </w:tcPr>
          <w:p w:rsidR="000C155D" w:rsidRPr="000C155D" w:rsidRDefault="000C155D" w:rsidP="005B3E92">
            <w:pPr>
              <w:keepNext/>
              <w:spacing w:before="60" w:after="60"/>
              <w:jc w:val="right"/>
              <w:rPr>
                <w:rFonts w:asciiTheme="minorHAnsi" w:hAnsiTheme="minorHAnsi" w:cs="Arial"/>
                <w:sz w:val="18"/>
                <w:szCs w:val="18"/>
              </w:rPr>
            </w:pPr>
            <w:r w:rsidRPr="000C155D">
              <w:rPr>
                <w:rFonts w:asciiTheme="minorHAnsi" w:hAnsiTheme="minorHAnsi" w:cs="Arial"/>
                <w:sz w:val="18"/>
                <w:szCs w:val="18"/>
              </w:rPr>
              <w:t>94</w:t>
            </w:r>
            <w:r w:rsidR="00C06FDD">
              <w:rPr>
                <w:rFonts w:asciiTheme="minorHAnsi" w:hAnsiTheme="minorHAnsi" w:cs="Arial"/>
                <w:sz w:val="18"/>
                <w:szCs w:val="18"/>
              </w:rPr>
              <w:t xml:space="preserve"> </w:t>
            </w:r>
            <w:r w:rsidRPr="000C155D">
              <w:rPr>
                <w:rFonts w:asciiTheme="minorHAnsi" w:hAnsiTheme="minorHAnsi" w:cs="Arial"/>
                <w:sz w:val="18"/>
                <w:szCs w:val="18"/>
              </w:rPr>
              <w:t>345</w:t>
            </w:r>
          </w:p>
        </w:tc>
      </w:tr>
      <w:tr w:rsidR="000C155D" w:rsidRPr="009D776F" w:rsidTr="00C4665C">
        <w:tc>
          <w:tcPr>
            <w:tcW w:w="7338" w:type="dxa"/>
            <w:vAlign w:val="bottom"/>
          </w:tcPr>
          <w:p w:rsidR="000C155D" w:rsidRPr="000C155D" w:rsidRDefault="000C155D" w:rsidP="004479AE">
            <w:pPr>
              <w:keepNext/>
              <w:spacing w:before="60" w:after="60"/>
              <w:rPr>
                <w:rFonts w:asciiTheme="minorHAnsi" w:hAnsiTheme="minorHAnsi" w:cs="Arial"/>
                <w:b/>
                <w:bCs/>
                <w:i/>
                <w:sz w:val="18"/>
                <w:szCs w:val="18"/>
              </w:rPr>
            </w:pPr>
            <w:r w:rsidRPr="000C155D">
              <w:rPr>
                <w:rFonts w:asciiTheme="minorHAnsi" w:hAnsiTheme="minorHAnsi" w:cs="Arial"/>
                <w:b/>
                <w:bCs/>
                <w:i/>
                <w:sz w:val="18"/>
                <w:szCs w:val="18"/>
              </w:rPr>
              <w:t>A</w:t>
            </w:r>
            <w:r w:rsidR="004479AE">
              <w:rPr>
                <w:rFonts w:asciiTheme="minorHAnsi" w:hAnsiTheme="minorHAnsi" w:cs="Arial"/>
                <w:b/>
                <w:bCs/>
                <w:i/>
                <w:sz w:val="18"/>
                <w:szCs w:val="18"/>
              </w:rPr>
              <w:t>nnual construction in progress allowance – as per clause 1E.10</w:t>
            </w:r>
            <w:r w:rsidRPr="000C155D">
              <w:rPr>
                <w:rFonts w:asciiTheme="minorHAnsi" w:hAnsiTheme="minorHAnsi" w:cs="Arial"/>
                <w:b/>
                <w:bCs/>
                <w:i/>
                <w:sz w:val="18"/>
                <w:szCs w:val="18"/>
              </w:rPr>
              <w:t xml:space="preserve"> (amended determination)</w:t>
            </w:r>
          </w:p>
        </w:tc>
        <w:tc>
          <w:tcPr>
            <w:tcW w:w="992" w:type="dxa"/>
            <w:vAlign w:val="bottom"/>
          </w:tcPr>
          <w:p w:rsidR="000C155D" w:rsidRPr="000C155D" w:rsidRDefault="000C155D" w:rsidP="005B3E92">
            <w:pPr>
              <w:keepNext/>
              <w:spacing w:before="60" w:after="60"/>
              <w:jc w:val="right"/>
              <w:rPr>
                <w:rFonts w:asciiTheme="minorHAnsi" w:hAnsiTheme="minorHAnsi" w:cs="Arial"/>
                <w:b/>
                <w:i/>
                <w:sz w:val="18"/>
                <w:szCs w:val="18"/>
              </w:rPr>
            </w:pPr>
            <w:r w:rsidRPr="000C155D">
              <w:rPr>
                <w:rFonts w:asciiTheme="minorHAnsi" w:hAnsiTheme="minorHAnsi" w:cs="Arial"/>
                <w:b/>
                <w:i/>
                <w:sz w:val="18"/>
                <w:szCs w:val="18"/>
              </w:rPr>
              <w:t>41 096</w:t>
            </w:r>
          </w:p>
        </w:tc>
        <w:tc>
          <w:tcPr>
            <w:tcW w:w="992" w:type="dxa"/>
            <w:vAlign w:val="bottom"/>
          </w:tcPr>
          <w:p w:rsidR="000C155D" w:rsidRPr="000C155D" w:rsidRDefault="000C155D" w:rsidP="005B3E92">
            <w:pPr>
              <w:keepNext/>
              <w:spacing w:before="60" w:after="60"/>
              <w:jc w:val="right"/>
              <w:rPr>
                <w:rFonts w:asciiTheme="minorHAnsi" w:hAnsiTheme="minorHAnsi" w:cs="Arial"/>
                <w:b/>
                <w:i/>
                <w:sz w:val="18"/>
                <w:szCs w:val="18"/>
              </w:rPr>
            </w:pPr>
            <w:r w:rsidRPr="000C155D">
              <w:rPr>
                <w:rFonts w:asciiTheme="minorHAnsi" w:hAnsiTheme="minorHAnsi" w:cs="Arial"/>
                <w:b/>
                <w:i/>
                <w:sz w:val="18"/>
                <w:szCs w:val="18"/>
              </w:rPr>
              <w:t>98 902</w:t>
            </w:r>
          </w:p>
        </w:tc>
      </w:tr>
      <w:tr w:rsidR="000C155D" w:rsidRPr="009D776F" w:rsidTr="00C4665C">
        <w:tc>
          <w:tcPr>
            <w:tcW w:w="7338" w:type="dxa"/>
            <w:vAlign w:val="bottom"/>
          </w:tcPr>
          <w:p w:rsidR="000C155D" w:rsidRPr="000C155D" w:rsidRDefault="000C155D" w:rsidP="005B3E92">
            <w:pPr>
              <w:keepNext/>
              <w:spacing w:before="60" w:after="60"/>
              <w:rPr>
                <w:rFonts w:asciiTheme="minorHAnsi" w:hAnsiTheme="minorHAnsi" w:cs="Arial"/>
                <w:bCs/>
                <w:sz w:val="18"/>
                <w:szCs w:val="18"/>
              </w:rPr>
            </w:pPr>
            <w:r w:rsidRPr="000C155D">
              <w:rPr>
                <w:rFonts w:asciiTheme="minorHAnsi" w:hAnsiTheme="minorHAnsi" w:cs="Arial"/>
                <w:bCs/>
                <w:sz w:val="18"/>
                <w:szCs w:val="18"/>
              </w:rPr>
              <w:t>ABBRR</w:t>
            </w:r>
            <w:r>
              <w:rPr>
                <w:rFonts w:asciiTheme="minorHAnsi" w:hAnsiTheme="minorHAnsi" w:cs="Arial"/>
                <w:bCs/>
                <w:sz w:val="18"/>
                <w:szCs w:val="18"/>
              </w:rPr>
              <w:t xml:space="preserve"> (original 2013-14 determination)</w:t>
            </w:r>
          </w:p>
        </w:tc>
        <w:tc>
          <w:tcPr>
            <w:tcW w:w="992" w:type="dxa"/>
            <w:vAlign w:val="bottom"/>
          </w:tcPr>
          <w:p w:rsidR="000C155D" w:rsidRPr="000C155D" w:rsidRDefault="000C155D" w:rsidP="005B3E92">
            <w:pPr>
              <w:keepNext/>
              <w:spacing w:before="60" w:after="60"/>
              <w:jc w:val="right"/>
              <w:rPr>
                <w:rFonts w:asciiTheme="minorHAnsi" w:hAnsiTheme="minorHAnsi" w:cs="Arial"/>
                <w:sz w:val="18"/>
                <w:szCs w:val="18"/>
              </w:rPr>
            </w:pPr>
            <w:r w:rsidRPr="000C155D">
              <w:rPr>
                <w:rFonts w:asciiTheme="minorHAnsi" w:hAnsiTheme="minorHAnsi" w:cs="Arial"/>
                <w:sz w:val="18"/>
                <w:szCs w:val="18"/>
              </w:rPr>
              <w:t>1 015 902</w:t>
            </w:r>
          </w:p>
        </w:tc>
        <w:tc>
          <w:tcPr>
            <w:tcW w:w="992" w:type="dxa"/>
            <w:vAlign w:val="bottom"/>
          </w:tcPr>
          <w:p w:rsidR="000C155D" w:rsidRPr="000C155D" w:rsidRDefault="000C155D" w:rsidP="005B3E92">
            <w:pPr>
              <w:keepNext/>
              <w:spacing w:before="60" w:after="60"/>
              <w:jc w:val="right"/>
              <w:rPr>
                <w:rFonts w:asciiTheme="minorHAnsi" w:hAnsiTheme="minorHAnsi" w:cs="Arial"/>
                <w:sz w:val="18"/>
                <w:szCs w:val="18"/>
              </w:rPr>
            </w:pPr>
            <w:r w:rsidRPr="000C155D">
              <w:rPr>
                <w:rFonts w:asciiTheme="minorHAnsi" w:hAnsiTheme="minorHAnsi" w:cs="Arial"/>
                <w:sz w:val="18"/>
                <w:szCs w:val="18"/>
              </w:rPr>
              <w:t>1 681 744</w:t>
            </w:r>
          </w:p>
        </w:tc>
      </w:tr>
      <w:tr w:rsidR="000C155D" w:rsidRPr="009D776F" w:rsidTr="00C4665C">
        <w:tc>
          <w:tcPr>
            <w:tcW w:w="7338" w:type="dxa"/>
            <w:vAlign w:val="bottom"/>
          </w:tcPr>
          <w:p w:rsidR="000C155D" w:rsidRPr="000C155D" w:rsidRDefault="000C155D" w:rsidP="005B3E92">
            <w:pPr>
              <w:keepNext/>
              <w:spacing w:before="60" w:after="60"/>
              <w:rPr>
                <w:rFonts w:asciiTheme="minorHAnsi" w:hAnsiTheme="minorHAnsi" w:cs="Arial"/>
                <w:b/>
                <w:bCs/>
                <w:i/>
                <w:sz w:val="18"/>
                <w:szCs w:val="18"/>
              </w:rPr>
            </w:pPr>
            <w:r w:rsidRPr="000C155D">
              <w:rPr>
                <w:rFonts w:asciiTheme="minorHAnsi" w:hAnsiTheme="minorHAnsi" w:cs="Arial"/>
                <w:b/>
                <w:bCs/>
                <w:i/>
                <w:sz w:val="18"/>
                <w:szCs w:val="18"/>
              </w:rPr>
              <w:t>ABBRR (amended determination)</w:t>
            </w:r>
          </w:p>
        </w:tc>
        <w:tc>
          <w:tcPr>
            <w:tcW w:w="992" w:type="dxa"/>
            <w:vAlign w:val="bottom"/>
          </w:tcPr>
          <w:p w:rsidR="000C155D" w:rsidRPr="000C155D" w:rsidRDefault="000C155D" w:rsidP="005B3E92">
            <w:pPr>
              <w:keepNext/>
              <w:spacing w:before="60" w:after="60"/>
              <w:jc w:val="right"/>
              <w:rPr>
                <w:rFonts w:asciiTheme="minorHAnsi" w:hAnsiTheme="minorHAnsi" w:cs="Arial"/>
                <w:b/>
                <w:i/>
                <w:strike/>
                <w:sz w:val="18"/>
                <w:szCs w:val="18"/>
              </w:rPr>
            </w:pPr>
            <w:r w:rsidRPr="000C155D">
              <w:rPr>
                <w:rFonts w:asciiTheme="minorHAnsi" w:hAnsiTheme="minorHAnsi" w:cs="Arial"/>
                <w:b/>
                <w:i/>
                <w:sz w:val="18"/>
                <w:szCs w:val="18"/>
              </w:rPr>
              <w:t>1 017 657</w:t>
            </w:r>
          </w:p>
        </w:tc>
        <w:tc>
          <w:tcPr>
            <w:tcW w:w="992" w:type="dxa"/>
            <w:vAlign w:val="bottom"/>
          </w:tcPr>
          <w:p w:rsidR="000C155D" w:rsidRPr="000C155D" w:rsidRDefault="000C155D" w:rsidP="005B3E92">
            <w:pPr>
              <w:keepNext/>
              <w:spacing w:before="60" w:after="60"/>
              <w:jc w:val="right"/>
              <w:rPr>
                <w:rFonts w:asciiTheme="minorHAnsi" w:hAnsiTheme="minorHAnsi" w:cs="Arial"/>
                <w:b/>
                <w:i/>
                <w:strike/>
                <w:sz w:val="18"/>
                <w:szCs w:val="18"/>
              </w:rPr>
            </w:pPr>
            <w:r w:rsidRPr="000C155D">
              <w:rPr>
                <w:rFonts w:asciiTheme="minorHAnsi" w:hAnsiTheme="minorHAnsi" w:cs="Arial"/>
                <w:b/>
                <w:i/>
                <w:sz w:val="18"/>
                <w:szCs w:val="18"/>
              </w:rPr>
              <w:t>1 686 301</w:t>
            </w:r>
          </w:p>
        </w:tc>
      </w:tr>
    </w:tbl>
    <w:p w:rsidR="000C155D" w:rsidRDefault="000C155D" w:rsidP="00C4665C">
      <w:pPr>
        <w:spacing w:after="120"/>
      </w:pPr>
    </w:p>
    <w:tbl>
      <w:tblPr>
        <w:tblStyle w:val="TableGrid"/>
        <w:tblW w:w="9322" w:type="dxa"/>
        <w:tblLayout w:type="fixed"/>
        <w:tblLook w:val="04A0" w:firstRow="1" w:lastRow="0" w:firstColumn="1" w:lastColumn="0" w:noHBand="0" w:noVBand="1"/>
      </w:tblPr>
      <w:tblGrid>
        <w:gridCol w:w="7338"/>
        <w:gridCol w:w="992"/>
        <w:gridCol w:w="992"/>
      </w:tblGrid>
      <w:tr w:rsidR="00FA6116" w:rsidRPr="000E1C8E" w:rsidTr="00C4665C">
        <w:tc>
          <w:tcPr>
            <w:tcW w:w="7338" w:type="dxa"/>
            <w:shd w:val="clear" w:color="auto" w:fill="D9D9D9" w:themeFill="background1" w:themeFillShade="D9"/>
          </w:tcPr>
          <w:p w:rsidR="00FA6116" w:rsidRPr="000E1C8E" w:rsidRDefault="00FA6116" w:rsidP="005B3E92">
            <w:pPr>
              <w:spacing w:before="60" w:after="60"/>
              <w:rPr>
                <w:rFonts w:asciiTheme="minorHAnsi" w:hAnsiTheme="minorHAnsi"/>
                <w:b/>
                <w:sz w:val="18"/>
                <w:szCs w:val="18"/>
              </w:rPr>
            </w:pPr>
            <w:r w:rsidRPr="000E1C8E">
              <w:rPr>
                <w:rFonts w:asciiTheme="minorHAnsi" w:hAnsiTheme="minorHAnsi"/>
                <w:b/>
                <w:sz w:val="18"/>
                <w:szCs w:val="18"/>
              </w:rPr>
              <w:t>Year</w:t>
            </w:r>
          </w:p>
        </w:tc>
        <w:tc>
          <w:tcPr>
            <w:tcW w:w="992" w:type="dxa"/>
            <w:shd w:val="clear" w:color="auto" w:fill="D9D9D9" w:themeFill="background1" w:themeFillShade="D9"/>
          </w:tcPr>
          <w:p w:rsidR="00FA6116" w:rsidRPr="000E1C8E" w:rsidRDefault="00FA6116" w:rsidP="005B3E92">
            <w:pPr>
              <w:spacing w:before="60" w:after="60"/>
              <w:jc w:val="center"/>
              <w:rPr>
                <w:rFonts w:asciiTheme="minorHAnsi" w:hAnsiTheme="minorHAnsi"/>
                <w:b/>
                <w:sz w:val="18"/>
                <w:szCs w:val="18"/>
              </w:rPr>
            </w:pPr>
            <w:r w:rsidRPr="000E1C8E">
              <w:rPr>
                <w:rFonts w:asciiTheme="minorHAnsi" w:hAnsiTheme="minorHAnsi"/>
                <w:b/>
                <w:sz w:val="18"/>
                <w:szCs w:val="18"/>
              </w:rPr>
              <w:t>2012-13</w:t>
            </w:r>
          </w:p>
        </w:tc>
        <w:tc>
          <w:tcPr>
            <w:tcW w:w="992" w:type="dxa"/>
            <w:shd w:val="clear" w:color="auto" w:fill="D9D9D9" w:themeFill="background1" w:themeFillShade="D9"/>
          </w:tcPr>
          <w:p w:rsidR="00FA6116" w:rsidRPr="000E1C8E" w:rsidRDefault="00FA6116" w:rsidP="005B3E92">
            <w:pPr>
              <w:spacing w:before="60" w:after="60"/>
              <w:jc w:val="center"/>
              <w:rPr>
                <w:rFonts w:asciiTheme="minorHAnsi" w:hAnsiTheme="minorHAnsi"/>
                <w:b/>
                <w:sz w:val="18"/>
                <w:szCs w:val="18"/>
              </w:rPr>
            </w:pPr>
            <w:r w:rsidRPr="000E1C8E">
              <w:rPr>
                <w:rFonts w:asciiTheme="minorHAnsi" w:hAnsiTheme="minorHAnsi"/>
                <w:b/>
                <w:sz w:val="18"/>
                <w:szCs w:val="18"/>
              </w:rPr>
              <w:t>2013-14</w:t>
            </w:r>
          </w:p>
        </w:tc>
      </w:tr>
      <w:tr w:rsidR="00FA6116" w:rsidRPr="000E1C8E" w:rsidTr="004479AE">
        <w:tc>
          <w:tcPr>
            <w:tcW w:w="9322" w:type="dxa"/>
            <w:gridSpan w:val="3"/>
            <w:shd w:val="clear" w:color="auto" w:fill="F2F2F2" w:themeFill="background1" w:themeFillShade="F2"/>
          </w:tcPr>
          <w:p w:rsidR="00FA6116" w:rsidRPr="000E1C8E" w:rsidRDefault="00FA6116" w:rsidP="005B3E92">
            <w:pPr>
              <w:spacing w:before="60" w:after="60"/>
              <w:rPr>
                <w:rFonts w:asciiTheme="minorHAnsi" w:hAnsiTheme="minorHAnsi"/>
                <w:b/>
                <w:sz w:val="18"/>
                <w:szCs w:val="18"/>
              </w:rPr>
            </w:pPr>
            <w:r w:rsidRPr="00F51994">
              <w:rPr>
                <w:rFonts w:asciiTheme="minorHAnsi" w:hAnsiTheme="minorHAnsi" w:cs="Arial"/>
                <w:b/>
                <w:sz w:val="18"/>
                <w:szCs w:val="18"/>
              </w:rPr>
              <w:t>ICRA and CFRA ($'000 NOMINAL) – as per Clause 1E.5</w:t>
            </w:r>
          </w:p>
        </w:tc>
      </w:tr>
      <w:tr w:rsidR="00FA6116" w:rsidRPr="009D776F" w:rsidTr="00C4665C">
        <w:tc>
          <w:tcPr>
            <w:tcW w:w="7338" w:type="dxa"/>
            <w:vAlign w:val="bottom"/>
          </w:tcPr>
          <w:p w:rsidR="00FA6116" w:rsidRPr="009D776F" w:rsidRDefault="00FA6116" w:rsidP="005B3E92">
            <w:pPr>
              <w:keepNext/>
              <w:spacing w:before="60" w:after="60"/>
              <w:rPr>
                <w:rFonts w:asciiTheme="minorHAnsi" w:hAnsiTheme="minorHAnsi" w:cs="Arial"/>
                <w:bCs/>
                <w:sz w:val="18"/>
                <w:szCs w:val="18"/>
              </w:rPr>
            </w:pPr>
            <w:r w:rsidRPr="009D776F">
              <w:rPr>
                <w:rFonts w:asciiTheme="minorHAnsi" w:hAnsiTheme="minorHAnsi" w:cs="Arial"/>
                <w:sz w:val="18"/>
                <w:szCs w:val="18"/>
              </w:rPr>
              <w:t>ICRA (start period)</w:t>
            </w:r>
            <w:r w:rsidR="004479AE">
              <w:rPr>
                <w:rFonts w:asciiTheme="minorHAnsi" w:hAnsiTheme="minorHAnsi" w:cs="Arial"/>
                <w:sz w:val="18"/>
                <w:szCs w:val="18"/>
              </w:rPr>
              <w:t xml:space="preserve"> – as per clause 1E.5.2</w:t>
            </w:r>
            <w:r w:rsidRPr="009D776F">
              <w:rPr>
                <w:rFonts w:asciiTheme="minorHAnsi" w:hAnsiTheme="minorHAnsi" w:cs="Arial"/>
                <w:sz w:val="18"/>
                <w:szCs w:val="18"/>
              </w:rPr>
              <w:t xml:space="preserve"> </w:t>
            </w:r>
            <w:r>
              <w:rPr>
                <w:rFonts w:asciiTheme="minorHAnsi" w:hAnsiTheme="minorHAnsi" w:cs="Arial"/>
                <w:sz w:val="18"/>
                <w:szCs w:val="18"/>
              </w:rPr>
              <w:t>(original 2013-14 determination)</w:t>
            </w:r>
          </w:p>
        </w:tc>
        <w:tc>
          <w:tcPr>
            <w:tcW w:w="992" w:type="dxa"/>
            <w:vAlign w:val="bottom"/>
          </w:tcPr>
          <w:p w:rsidR="00FA6116" w:rsidRPr="000C155D" w:rsidRDefault="00FA6116" w:rsidP="005B3E92">
            <w:pPr>
              <w:keepNext/>
              <w:spacing w:before="60" w:after="60"/>
              <w:jc w:val="right"/>
              <w:rPr>
                <w:rFonts w:asciiTheme="minorHAnsi" w:hAnsiTheme="minorHAnsi" w:cs="Arial"/>
                <w:sz w:val="18"/>
                <w:szCs w:val="18"/>
              </w:rPr>
            </w:pPr>
            <w:r>
              <w:rPr>
                <w:rFonts w:asciiTheme="minorHAnsi" w:hAnsiTheme="minorHAnsi" w:cs="Arial"/>
                <w:sz w:val="18"/>
                <w:szCs w:val="18"/>
              </w:rPr>
              <w:t>1 060 024</w:t>
            </w:r>
          </w:p>
        </w:tc>
        <w:tc>
          <w:tcPr>
            <w:tcW w:w="992" w:type="dxa"/>
            <w:vAlign w:val="bottom"/>
          </w:tcPr>
          <w:p w:rsidR="00FA6116" w:rsidRPr="000C155D" w:rsidRDefault="00FA6116" w:rsidP="005B3E92">
            <w:pPr>
              <w:keepNext/>
              <w:spacing w:before="60" w:after="60"/>
              <w:jc w:val="right"/>
              <w:rPr>
                <w:rFonts w:asciiTheme="minorHAnsi" w:hAnsiTheme="minorHAnsi" w:cs="Arial"/>
                <w:sz w:val="18"/>
                <w:szCs w:val="18"/>
              </w:rPr>
            </w:pPr>
            <w:r>
              <w:rPr>
                <w:rFonts w:asciiTheme="minorHAnsi" w:hAnsiTheme="minorHAnsi" w:cs="Arial"/>
                <w:sz w:val="18"/>
                <w:szCs w:val="18"/>
              </w:rPr>
              <w:t>2 128 102</w:t>
            </w:r>
          </w:p>
        </w:tc>
      </w:tr>
      <w:tr w:rsidR="00FA6116" w:rsidRPr="00FA6116" w:rsidTr="00C4665C">
        <w:tc>
          <w:tcPr>
            <w:tcW w:w="7338" w:type="dxa"/>
            <w:vAlign w:val="bottom"/>
          </w:tcPr>
          <w:p w:rsidR="00FA6116" w:rsidRPr="00FA6116" w:rsidRDefault="00FA6116" w:rsidP="005B3E92">
            <w:pPr>
              <w:keepNext/>
              <w:spacing w:before="60" w:after="60"/>
              <w:rPr>
                <w:rFonts w:asciiTheme="minorHAnsi" w:hAnsiTheme="minorHAnsi" w:cs="Arial"/>
                <w:b/>
                <w:bCs/>
                <w:i/>
                <w:sz w:val="18"/>
                <w:szCs w:val="18"/>
              </w:rPr>
            </w:pPr>
            <w:r w:rsidRPr="00FA6116">
              <w:rPr>
                <w:rFonts w:asciiTheme="minorHAnsi" w:hAnsiTheme="minorHAnsi" w:cs="Arial"/>
                <w:b/>
                <w:i/>
                <w:sz w:val="18"/>
                <w:szCs w:val="18"/>
              </w:rPr>
              <w:t>ICRA (start period)</w:t>
            </w:r>
            <w:r w:rsidR="004479AE">
              <w:rPr>
                <w:rFonts w:asciiTheme="minorHAnsi" w:hAnsiTheme="minorHAnsi" w:cs="Arial"/>
                <w:b/>
                <w:i/>
                <w:sz w:val="18"/>
                <w:szCs w:val="18"/>
              </w:rPr>
              <w:t xml:space="preserve"> – as per clause 1E.5.2</w:t>
            </w:r>
            <w:r w:rsidRPr="00FA6116">
              <w:rPr>
                <w:rFonts w:asciiTheme="minorHAnsi" w:hAnsiTheme="minorHAnsi" w:cs="Arial"/>
                <w:b/>
                <w:i/>
                <w:sz w:val="18"/>
                <w:szCs w:val="18"/>
              </w:rPr>
              <w:t xml:space="preserve"> (amended determination)</w:t>
            </w:r>
          </w:p>
        </w:tc>
        <w:tc>
          <w:tcPr>
            <w:tcW w:w="992" w:type="dxa"/>
            <w:vAlign w:val="bottom"/>
          </w:tcPr>
          <w:p w:rsidR="00FA6116" w:rsidRPr="00FA6116" w:rsidRDefault="00FA6116" w:rsidP="005B3E92">
            <w:pPr>
              <w:keepNext/>
              <w:spacing w:before="60" w:after="60"/>
              <w:jc w:val="right"/>
              <w:rPr>
                <w:rFonts w:asciiTheme="minorHAnsi" w:hAnsiTheme="minorHAnsi" w:cs="Arial"/>
                <w:b/>
                <w:i/>
                <w:sz w:val="18"/>
                <w:szCs w:val="18"/>
              </w:rPr>
            </w:pPr>
            <w:r w:rsidRPr="00FA6116">
              <w:rPr>
                <w:rFonts w:asciiTheme="minorHAnsi" w:hAnsiTheme="minorHAnsi" w:cs="Arial"/>
                <w:b/>
                <w:i/>
                <w:sz w:val="18"/>
                <w:szCs w:val="18"/>
              </w:rPr>
              <w:t>1 060 024</w:t>
            </w:r>
          </w:p>
        </w:tc>
        <w:tc>
          <w:tcPr>
            <w:tcW w:w="992" w:type="dxa"/>
            <w:vAlign w:val="bottom"/>
          </w:tcPr>
          <w:p w:rsidR="00FA6116" w:rsidRPr="00FA6116" w:rsidRDefault="00FA6116" w:rsidP="005B3E92">
            <w:pPr>
              <w:keepNext/>
              <w:spacing w:before="60" w:after="60"/>
              <w:jc w:val="right"/>
              <w:rPr>
                <w:rFonts w:asciiTheme="minorHAnsi" w:hAnsiTheme="minorHAnsi" w:cs="Arial"/>
                <w:b/>
                <w:i/>
                <w:sz w:val="18"/>
                <w:szCs w:val="18"/>
              </w:rPr>
            </w:pPr>
            <w:r w:rsidRPr="00FA6116">
              <w:rPr>
                <w:rFonts w:asciiTheme="minorHAnsi" w:hAnsiTheme="minorHAnsi" w:cs="Arial"/>
                <w:b/>
                <w:i/>
                <w:sz w:val="18"/>
                <w:szCs w:val="18"/>
              </w:rPr>
              <w:t>2 129 857</w:t>
            </w:r>
          </w:p>
        </w:tc>
      </w:tr>
      <w:tr w:rsidR="00FA6116" w:rsidRPr="009D776F" w:rsidTr="00C4665C">
        <w:tc>
          <w:tcPr>
            <w:tcW w:w="7338" w:type="dxa"/>
            <w:vAlign w:val="bottom"/>
          </w:tcPr>
          <w:p w:rsidR="00FA6116" w:rsidRPr="000C155D" w:rsidRDefault="00FA6116" w:rsidP="005B3E92">
            <w:pPr>
              <w:keepNext/>
              <w:spacing w:before="60" w:after="60"/>
              <w:rPr>
                <w:rFonts w:asciiTheme="minorHAnsi" w:hAnsiTheme="minorHAnsi" w:cs="Arial"/>
                <w:bCs/>
                <w:sz w:val="18"/>
                <w:szCs w:val="18"/>
              </w:rPr>
            </w:pPr>
            <w:r w:rsidRPr="009D776F">
              <w:rPr>
                <w:rFonts w:asciiTheme="minorHAnsi" w:hAnsiTheme="minorHAnsi" w:cs="Arial"/>
                <w:sz w:val="18"/>
                <w:szCs w:val="18"/>
              </w:rPr>
              <w:t>Unrecovered Cost</w:t>
            </w:r>
            <w:r>
              <w:rPr>
                <w:rFonts w:asciiTheme="minorHAnsi" w:hAnsiTheme="minorHAnsi" w:cs="Arial"/>
                <w:sz w:val="18"/>
                <w:szCs w:val="18"/>
              </w:rPr>
              <w:t xml:space="preserve"> </w:t>
            </w:r>
            <w:r w:rsidR="004479AE">
              <w:rPr>
                <w:rFonts w:asciiTheme="minorHAnsi" w:hAnsiTheme="minorHAnsi" w:cs="Arial"/>
                <w:sz w:val="18"/>
                <w:szCs w:val="18"/>
              </w:rPr>
              <w:t xml:space="preserve">– as per clause 1E.5.1 </w:t>
            </w:r>
            <w:r>
              <w:rPr>
                <w:rFonts w:asciiTheme="minorHAnsi" w:hAnsiTheme="minorHAnsi" w:cs="Arial"/>
                <w:sz w:val="18"/>
                <w:szCs w:val="18"/>
              </w:rPr>
              <w:t>(original 2013-14 determination)</w:t>
            </w:r>
          </w:p>
        </w:tc>
        <w:tc>
          <w:tcPr>
            <w:tcW w:w="992" w:type="dxa"/>
            <w:vAlign w:val="bottom"/>
          </w:tcPr>
          <w:p w:rsidR="00FA6116" w:rsidRPr="000C155D" w:rsidRDefault="00FA6116" w:rsidP="005B3E92">
            <w:pPr>
              <w:keepNext/>
              <w:spacing w:before="60" w:after="60"/>
              <w:jc w:val="right"/>
              <w:rPr>
                <w:rFonts w:asciiTheme="minorHAnsi" w:hAnsiTheme="minorHAnsi" w:cs="Arial"/>
                <w:sz w:val="18"/>
                <w:szCs w:val="18"/>
              </w:rPr>
            </w:pPr>
            <w:r>
              <w:rPr>
                <w:rFonts w:asciiTheme="minorHAnsi" w:hAnsiTheme="minorHAnsi" w:cs="Arial"/>
                <w:sz w:val="18"/>
                <w:szCs w:val="18"/>
              </w:rPr>
              <w:t>999 078</w:t>
            </w:r>
          </w:p>
        </w:tc>
        <w:tc>
          <w:tcPr>
            <w:tcW w:w="992" w:type="dxa"/>
            <w:vAlign w:val="bottom"/>
          </w:tcPr>
          <w:p w:rsidR="00FA6116" w:rsidRPr="000C155D" w:rsidRDefault="00FA6116" w:rsidP="005B3E92">
            <w:pPr>
              <w:keepNext/>
              <w:spacing w:before="60" w:after="60"/>
              <w:jc w:val="right"/>
              <w:rPr>
                <w:rFonts w:asciiTheme="minorHAnsi" w:hAnsiTheme="minorHAnsi" w:cs="Arial"/>
                <w:sz w:val="18"/>
                <w:szCs w:val="18"/>
              </w:rPr>
            </w:pPr>
            <w:r>
              <w:rPr>
                <w:rFonts w:asciiTheme="minorHAnsi" w:hAnsiTheme="minorHAnsi" w:cs="Arial"/>
                <w:sz w:val="18"/>
                <w:szCs w:val="18"/>
              </w:rPr>
              <w:t>1 620 786</w:t>
            </w:r>
          </w:p>
        </w:tc>
      </w:tr>
      <w:tr w:rsidR="00FA6116" w:rsidRPr="00FA6116" w:rsidTr="00C4665C">
        <w:tc>
          <w:tcPr>
            <w:tcW w:w="7338" w:type="dxa"/>
            <w:vAlign w:val="bottom"/>
          </w:tcPr>
          <w:p w:rsidR="00FA6116" w:rsidRPr="00FA6116" w:rsidRDefault="00FA6116" w:rsidP="005B3E92">
            <w:pPr>
              <w:keepNext/>
              <w:spacing w:before="60" w:after="60"/>
              <w:rPr>
                <w:rFonts w:asciiTheme="minorHAnsi" w:hAnsiTheme="minorHAnsi" w:cs="Arial"/>
                <w:b/>
                <w:bCs/>
                <w:i/>
                <w:sz w:val="18"/>
                <w:szCs w:val="18"/>
              </w:rPr>
            </w:pPr>
            <w:r w:rsidRPr="00FA6116">
              <w:rPr>
                <w:rFonts w:asciiTheme="minorHAnsi" w:hAnsiTheme="minorHAnsi" w:cs="Arial"/>
                <w:b/>
                <w:i/>
                <w:sz w:val="18"/>
                <w:szCs w:val="18"/>
              </w:rPr>
              <w:t xml:space="preserve">Unrecovered Cost </w:t>
            </w:r>
            <w:r w:rsidR="004479AE">
              <w:rPr>
                <w:rFonts w:asciiTheme="minorHAnsi" w:hAnsiTheme="minorHAnsi" w:cs="Arial"/>
                <w:b/>
                <w:i/>
                <w:sz w:val="18"/>
                <w:szCs w:val="18"/>
              </w:rPr>
              <w:t xml:space="preserve">– as per clause 1E.5.1 </w:t>
            </w:r>
            <w:r w:rsidRPr="00FA6116">
              <w:rPr>
                <w:rFonts w:asciiTheme="minorHAnsi" w:hAnsiTheme="minorHAnsi" w:cs="Arial"/>
                <w:b/>
                <w:i/>
                <w:sz w:val="18"/>
                <w:szCs w:val="18"/>
              </w:rPr>
              <w:t>(amended determination)</w:t>
            </w:r>
          </w:p>
        </w:tc>
        <w:tc>
          <w:tcPr>
            <w:tcW w:w="992" w:type="dxa"/>
            <w:vAlign w:val="bottom"/>
          </w:tcPr>
          <w:p w:rsidR="00FA6116" w:rsidRPr="00FA6116" w:rsidRDefault="00FA6116" w:rsidP="005B3E92">
            <w:pPr>
              <w:keepNext/>
              <w:spacing w:before="60" w:after="60"/>
              <w:jc w:val="right"/>
              <w:rPr>
                <w:rFonts w:asciiTheme="minorHAnsi" w:hAnsiTheme="minorHAnsi" w:cs="Arial"/>
                <w:b/>
                <w:i/>
                <w:strike/>
                <w:sz w:val="18"/>
                <w:szCs w:val="18"/>
              </w:rPr>
            </w:pPr>
            <w:r w:rsidRPr="00FA6116">
              <w:rPr>
                <w:rFonts w:asciiTheme="minorHAnsi" w:hAnsiTheme="minorHAnsi" w:cs="Arial"/>
                <w:b/>
                <w:i/>
                <w:sz w:val="18"/>
                <w:szCs w:val="18"/>
              </w:rPr>
              <w:t>1 000 833</w:t>
            </w:r>
          </w:p>
        </w:tc>
        <w:tc>
          <w:tcPr>
            <w:tcW w:w="992" w:type="dxa"/>
            <w:vAlign w:val="bottom"/>
          </w:tcPr>
          <w:p w:rsidR="00FA6116" w:rsidRPr="00FA6116" w:rsidRDefault="00FA6116" w:rsidP="005B3E92">
            <w:pPr>
              <w:keepNext/>
              <w:spacing w:before="60" w:after="60"/>
              <w:jc w:val="right"/>
              <w:rPr>
                <w:rFonts w:asciiTheme="minorHAnsi" w:hAnsiTheme="minorHAnsi" w:cs="Arial"/>
                <w:b/>
                <w:i/>
                <w:strike/>
                <w:sz w:val="18"/>
                <w:szCs w:val="18"/>
              </w:rPr>
            </w:pPr>
            <w:r w:rsidRPr="00FA6116">
              <w:rPr>
                <w:rFonts w:asciiTheme="minorHAnsi" w:hAnsiTheme="minorHAnsi" w:cs="Arial"/>
                <w:b/>
                <w:i/>
                <w:sz w:val="18"/>
                <w:szCs w:val="18"/>
              </w:rPr>
              <w:t>1 625 343</w:t>
            </w:r>
          </w:p>
        </w:tc>
      </w:tr>
      <w:tr w:rsidR="00FA6116" w:rsidRPr="009D776F" w:rsidTr="00C4665C">
        <w:tc>
          <w:tcPr>
            <w:tcW w:w="7338" w:type="dxa"/>
            <w:vAlign w:val="bottom"/>
          </w:tcPr>
          <w:p w:rsidR="00FA6116" w:rsidRPr="000C155D" w:rsidRDefault="00FA6116" w:rsidP="005B3E92">
            <w:pPr>
              <w:keepNext/>
              <w:spacing w:before="60" w:after="60"/>
              <w:rPr>
                <w:rFonts w:asciiTheme="minorHAnsi" w:hAnsiTheme="minorHAnsi" w:cs="Arial"/>
                <w:b/>
                <w:bCs/>
                <w:i/>
                <w:sz w:val="18"/>
                <w:szCs w:val="18"/>
              </w:rPr>
            </w:pPr>
            <w:r w:rsidRPr="009D776F">
              <w:rPr>
                <w:rFonts w:asciiTheme="minorHAnsi" w:hAnsiTheme="minorHAnsi" w:cs="Arial"/>
                <w:sz w:val="18"/>
                <w:szCs w:val="18"/>
              </w:rPr>
              <w:t>ICRA (end period)</w:t>
            </w:r>
            <w:r w:rsidR="004479AE">
              <w:rPr>
                <w:rFonts w:asciiTheme="minorHAnsi" w:hAnsiTheme="minorHAnsi" w:cs="Arial"/>
                <w:sz w:val="18"/>
                <w:szCs w:val="18"/>
              </w:rPr>
              <w:t xml:space="preserve"> – as per clause 1E.5.2</w:t>
            </w:r>
            <w:r>
              <w:rPr>
                <w:rFonts w:asciiTheme="minorHAnsi" w:hAnsiTheme="minorHAnsi" w:cs="Arial"/>
                <w:sz w:val="18"/>
                <w:szCs w:val="18"/>
              </w:rPr>
              <w:t xml:space="preserve"> (original 2013-14 determination)</w:t>
            </w:r>
          </w:p>
        </w:tc>
        <w:tc>
          <w:tcPr>
            <w:tcW w:w="992" w:type="dxa"/>
            <w:vAlign w:val="bottom"/>
          </w:tcPr>
          <w:p w:rsidR="00FA6116" w:rsidRPr="00FA6116" w:rsidRDefault="00FA6116" w:rsidP="005B3E92">
            <w:pPr>
              <w:keepNext/>
              <w:spacing w:before="60" w:after="60"/>
              <w:jc w:val="right"/>
              <w:rPr>
                <w:rFonts w:asciiTheme="minorHAnsi" w:hAnsiTheme="minorHAnsi" w:cs="Arial"/>
                <w:sz w:val="18"/>
                <w:szCs w:val="18"/>
              </w:rPr>
            </w:pPr>
            <w:r w:rsidRPr="00FA6116">
              <w:rPr>
                <w:rFonts w:asciiTheme="minorHAnsi" w:hAnsiTheme="minorHAnsi" w:cs="Arial"/>
                <w:sz w:val="18"/>
                <w:szCs w:val="18"/>
              </w:rPr>
              <w:t>2 128 102</w:t>
            </w:r>
          </w:p>
        </w:tc>
        <w:tc>
          <w:tcPr>
            <w:tcW w:w="992" w:type="dxa"/>
            <w:vAlign w:val="bottom"/>
          </w:tcPr>
          <w:p w:rsidR="00FA6116" w:rsidRPr="00FA6116" w:rsidRDefault="00FA6116" w:rsidP="005B3E92">
            <w:pPr>
              <w:keepNext/>
              <w:spacing w:before="60" w:after="60"/>
              <w:jc w:val="right"/>
              <w:rPr>
                <w:rFonts w:asciiTheme="minorHAnsi" w:hAnsiTheme="minorHAnsi" w:cs="Arial"/>
                <w:sz w:val="18"/>
                <w:szCs w:val="18"/>
              </w:rPr>
            </w:pPr>
            <w:r w:rsidRPr="00FA6116">
              <w:rPr>
                <w:rFonts w:asciiTheme="minorHAnsi" w:hAnsiTheme="minorHAnsi" w:cs="Arial"/>
                <w:sz w:val="18"/>
                <w:szCs w:val="18"/>
              </w:rPr>
              <w:t>3 899 511</w:t>
            </w:r>
          </w:p>
        </w:tc>
      </w:tr>
      <w:tr w:rsidR="00FA6116" w:rsidRPr="009D776F" w:rsidTr="00C4665C">
        <w:tc>
          <w:tcPr>
            <w:tcW w:w="7338" w:type="dxa"/>
            <w:vAlign w:val="bottom"/>
          </w:tcPr>
          <w:p w:rsidR="00FA6116" w:rsidRPr="00FA6116" w:rsidRDefault="00FA6116" w:rsidP="005B3E92">
            <w:pPr>
              <w:keepNext/>
              <w:spacing w:before="60" w:after="60"/>
              <w:rPr>
                <w:rFonts w:asciiTheme="minorHAnsi" w:hAnsiTheme="minorHAnsi" w:cs="Arial"/>
                <w:b/>
                <w:bCs/>
                <w:i/>
                <w:sz w:val="18"/>
                <w:szCs w:val="18"/>
              </w:rPr>
            </w:pPr>
            <w:r w:rsidRPr="00FA6116">
              <w:rPr>
                <w:rFonts w:asciiTheme="minorHAnsi" w:hAnsiTheme="minorHAnsi" w:cs="Arial"/>
                <w:b/>
                <w:i/>
                <w:sz w:val="18"/>
                <w:szCs w:val="18"/>
              </w:rPr>
              <w:t xml:space="preserve">ICRA (end period) </w:t>
            </w:r>
            <w:r w:rsidR="004479AE">
              <w:rPr>
                <w:rFonts w:asciiTheme="minorHAnsi" w:hAnsiTheme="minorHAnsi" w:cs="Arial"/>
                <w:b/>
                <w:i/>
                <w:sz w:val="18"/>
                <w:szCs w:val="18"/>
              </w:rPr>
              <w:t xml:space="preserve">– as per clause 1E.5.2 </w:t>
            </w:r>
            <w:r w:rsidRPr="00FA6116">
              <w:rPr>
                <w:rFonts w:asciiTheme="minorHAnsi" w:hAnsiTheme="minorHAnsi" w:cs="Arial"/>
                <w:b/>
                <w:i/>
                <w:sz w:val="18"/>
                <w:szCs w:val="18"/>
              </w:rPr>
              <w:t>(amended determination)</w:t>
            </w:r>
          </w:p>
        </w:tc>
        <w:tc>
          <w:tcPr>
            <w:tcW w:w="992" w:type="dxa"/>
            <w:vAlign w:val="bottom"/>
          </w:tcPr>
          <w:p w:rsidR="00FA6116" w:rsidRPr="00FA6116" w:rsidRDefault="00FA6116" w:rsidP="005B3E92">
            <w:pPr>
              <w:keepNext/>
              <w:spacing w:before="60" w:after="60"/>
              <w:jc w:val="right"/>
              <w:rPr>
                <w:rFonts w:asciiTheme="minorHAnsi" w:hAnsiTheme="minorHAnsi" w:cs="Arial"/>
                <w:b/>
                <w:i/>
                <w:strike/>
                <w:sz w:val="18"/>
                <w:szCs w:val="18"/>
              </w:rPr>
            </w:pPr>
            <w:r w:rsidRPr="00FA6116">
              <w:rPr>
                <w:rFonts w:asciiTheme="minorHAnsi" w:hAnsiTheme="minorHAnsi" w:cs="Arial"/>
                <w:b/>
                <w:i/>
                <w:sz w:val="18"/>
                <w:szCs w:val="18"/>
              </w:rPr>
              <w:t>2 129 857</w:t>
            </w:r>
          </w:p>
        </w:tc>
        <w:tc>
          <w:tcPr>
            <w:tcW w:w="992" w:type="dxa"/>
            <w:vAlign w:val="bottom"/>
          </w:tcPr>
          <w:p w:rsidR="00FA6116" w:rsidRPr="00FA6116" w:rsidRDefault="00FA6116" w:rsidP="005B3E92">
            <w:pPr>
              <w:keepNext/>
              <w:spacing w:before="60" w:after="60"/>
              <w:jc w:val="right"/>
              <w:rPr>
                <w:rFonts w:asciiTheme="minorHAnsi" w:hAnsiTheme="minorHAnsi" w:cs="Arial"/>
                <w:b/>
                <w:i/>
                <w:strike/>
                <w:sz w:val="18"/>
                <w:szCs w:val="18"/>
              </w:rPr>
            </w:pPr>
            <w:r w:rsidRPr="00FA6116">
              <w:rPr>
                <w:rFonts w:asciiTheme="minorHAnsi" w:hAnsiTheme="minorHAnsi" w:cs="Arial"/>
                <w:b/>
                <w:i/>
                <w:sz w:val="18"/>
                <w:szCs w:val="18"/>
              </w:rPr>
              <w:t>3 905 948</w:t>
            </w:r>
          </w:p>
        </w:tc>
      </w:tr>
    </w:tbl>
    <w:p w:rsidR="004479AE" w:rsidRDefault="004479AE" w:rsidP="00C4665C">
      <w:pPr>
        <w:spacing w:after="0"/>
      </w:pPr>
    </w:p>
    <w:p w:rsidR="004479AE" w:rsidRDefault="004479AE" w:rsidP="00752D9B">
      <w:r>
        <w:t>For ease of reading, a consolidated version of the 2013-14 determination incorporating these amendments is provided at Table 4.2 below.</w:t>
      </w:r>
    </w:p>
    <w:p w:rsidR="00752D9B" w:rsidRDefault="000C155D" w:rsidP="00706893">
      <w:pPr>
        <w:pStyle w:val="HeadingLevel8table"/>
        <w:numPr>
          <w:ilvl w:val="7"/>
          <w:numId w:val="43"/>
        </w:numPr>
      </w:pPr>
      <w:r>
        <w:t xml:space="preserve">Consolidated </w:t>
      </w:r>
      <w:r w:rsidR="00752D9B">
        <w:t>2013-14 LTRCM Determination</w:t>
      </w:r>
      <w:r>
        <w:t xml:space="preserve"> (as amended)</w:t>
      </w:r>
    </w:p>
    <w:tbl>
      <w:tblPr>
        <w:tblStyle w:val="TableGrid"/>
        <w:tblW w:w="9180" w:type="dxa"/>
        <w:tblLook w:val="04A0" w:firstRow="1" w:lastRow="0" w:firstColumn="1" w:lastColumn="0" w:noHBand="0" w:noVBand="1"/>
      </w:tblPr>
      <w:tblGrid>
        <w:gridCol w:w="2518"/>
        <w:gridCol w:w="951"/>
        <w:gridCol w:w="952"/>
        <w:gridCol w:w="952"/>
        <w:gridCol w:w="951"/>
        <w:gridCol w:w="952"/>
        <w:gridCol w:w="952"/>
        <w:gridCol w:w="952"/>
      </w:tblGrid>
      <w:tr w:rsidR="00752D9B" w:rsidRPr="000E1C8E" w:rsidTr="004479AE">
        <w:tc>
          <w:tcPr>
            <w:tcW w:w="2518" w:type="dxa"/>
            <w:shd w:val="clear" w:color="auto" w:fill="D9D9D9" w:themeFill="background1" w:themeFillShade="D9"/>
          </w:tcPr>
          <w:p w:rsidR="00752D9B" w:rsidRPr="000E1C8E" w:rsidRDefault="00752D9B" w:rsidP="00B61244">
            <w:pPr>
              <w:rPr>
                <w:rFonts w:asciiTheme="minorHAnsi" w:hAnsiTheme="minorHAnsi"/>
                <w:b/>
                <w:sz w:val="18"/>
                <w:szCs w:val="18"/>
              </w:rPr>
            </w:pPr>
            <w:r w:rsidRPr="000E1C8E">
              <w:rPr>
                <w:rFonts w:asciiTheme="minorHAnsi" w:hAnsiTheme="minorHAnsi"/>
                <w:b/>
                <w:sz w:val="18"/>
                <w:szCs w:val="18"/>
              </w:rPr>
              <w:t>Year</w:t>
            </w:r>
          </w:p>
        </w:tc>
        <w:tc>
          <w:tcPr>
            <w:tcW w:w="951" w:type="dxa"/>
            <w:shd w:val="clear" w:color="auto" w:fill="D9D9D9" w:themeFill="background1" w:themeFillShade="D9"/>
          </w:tcPr>
          <w:p w:rsidR="00752D9B" w:rsidRPr="000E1C8E" w:rsidRDefault="00752D9B" w:rsidP="00B61244">
            <w:pPr>
              <w:jc w:val="center"/>
              <w:rPr>
                <w:rFonts w:asciiTheme="minorHAnsi" w:hAnsiTheme="minorHAnsi"/>
                <w:b/>
                <w:sz w:val="18"/>
                <w:szCs w:val="18"/>
              </w:rPr>
            </w:pPr>
            <w:r w:rsidRPr="000E1C8E">
              <w:rPr>
                <w:rFonts w:asciiTheme="minorHAnsi" w:hAnsiTheme="minorHAnsi"/>
                <w:b/>
                <w:sz w:val="18"/>
                <w:szCs w:val="18"/>
              </w:rPr>
              <w:t>2007-08</w:t>
            </w:r>
          </w:p>
        </w:tc>
        <w:tc>
          <w:tcPr>
            <w:tcW w:w="952" w:type="dxa"/>
            <w:shd w:val="clear" w:color="auto" w:fill="D9D9D9" w:themeFill="background1" w:themeFillShade="D9"/>
          </w:tcPr>
          <w:p w:rsidR="00752D9B" w:rsidRPr="000E1C8E" w:rsidRDefault="00752D9B" w:rsidP="00B61244">
            <w:pPr>
              <w:jc w:val="center"/>
              <w:rPr>
                <w:rFonts w:asciiTheme="minorHAnsi" w:hAnsiTheme="minorHAnsi"/>
                <w:b/>
                <w:sz w:val="18"/>
                <w:szCs w:val="18"/>
              </w:rPr>
            </w:pPr>
            <w:r w:rsidRPr="000E1C8E">
              <w:rPr>
                <w:rFonts w:asciiTheme="minorHAnsi" w:hAnsiTheme="minorHAnsi"/>
                <w:b/>
                <w:sz w:val="18"/>
                <w:szCs w:val="18"/>
              </w:rPr>
              <w:t>2008-09</w:t>
            </w:r>
          </w:p>
        </w:tc>
        <w:tc>
          <w:tcPr>
            <w:tcW w:w="952" w:type="dxa"/>
            <w:shd w:val="clear" w:color="auto" w:fill="D9D9D9" w:themeFill="background1" w:themeFillShade="D9"/>
          </w:tcPr>
          <w:p w:rsidR="00752D9B" w:rsidRPr="000E1C8E" w:rsidRDefault="00752D9B" w:rsidP="00B61244">
            <w:pPr>
              <w:jc w:val="center"/>
              <w:rPr>
                <w:rFonts w:asciiTheme="minorHAnsi" w:hAnsiTheme="minorHAnsi"/>
                <w:b/>
                <w:sz w:val="18"/>
                <w:szCs w:val="18"/>
              </w:rPr>
            </w:pPr>
            <w:r w:rsidRPr="000E1C8E">
              <w:rPr>
                <w:rFonts w:asciiTheme="minorHAnsi" w:hAnsiTheme="minorHAnsi"/>
                <w:b/>
                <w:sz w:val="18"/>
                <w:szCs w:val="18"/>
              </w:rPr>
              <w:t>2009-10</w:t>
            </w:r>
          </w:p>
        </w:tc>
        <w:tc>
          <w:tcPr>
            <w:tcW w:w="951" w:type="dxa"/>
            <w:shd w:val="clear" w:color="auto" w:fill="D9D9D9" w:themeFill="background1" w:themeFillShade="D9"/>
          </w:tcPr>
          <w:p w:rsidR="00752D9B" w:rsidRPr="000E1C8E" w:rsidRDefault="00752D9B" w:rsidP="00B61244">
            <w:pPr>
              <w:jc w:val="center"/>
              <w:rPr>
                <w:rFonts w:asciiTheme="minorHAnsi" w:hAnsiTheme="minorHAnsi"/>
                <w:b/>
                <w:sz w:val="18"/>
                <w:szCs w:val="18"/>
              </w:rPr>
            </w:pPr>
            <w:r w:rsidRPr="000E1C8E">
              <w:rPr>
                <w:rFonts w:asciiTheme="minorHAnsi" w:hAnsiTheme="minorHAnsi"/>
                <w:b/>
                <w:sz w:val="18"/>
                <w:szCs w:val="18"/>
              </w:rPr>
              <w:t>2010-11</w:t>
            </w:r>
          </w:p>
        </w:tc>
        <w:tc>
          <w:tcPr>
            <w:tcW w:w="952" w:type="dxa"/>
            <w:shd w:val="clear" w:color="auto" w:fill="D9D9D9" w:themeFill="background1" w:themeFillShade="D9"/>
          </w:tcPr>
          <w:p w:rsidR="00752D9B" w:rsidRPr="000E1C8E" w:rsidRDefault="00752D9B" w:rsidP="00B61244">
            <w:pPr>
              <w:jc w:val="center"/>
              <w:rPr>
                <w:rFonts w:asciiTheme="minorHAnsi" w:hAnsiTheme="minorHAnsi"/>
                <w:b/>
                <w:sz w:val="18"/>
                <w:szCs w:val="18"/>
              </w:rPr>
            </w:pPr>
            <w:r w:rsidRPr="000E1C8E">
              <w:rPr>
                <w:rFonts w:asciiTheme="minorHAnsi" w:hAnsiTheme="minorHAnsi"/>
                <w:b/>
                <w:sz w:val="18"/>
                <w:szCs w:val="18"/>
              </w:rPr>
              <w:t>2011-12</w:t>
            </w:r>
          </w:p>
        </w:tc>
        <w:tc>
          <w:tcPr>
            <w:tcW w:w="952" w:type="dxa"/>
            <w:shd w:val="clear" w:color="auto" w:fill="D9D9D9" w:themeFill="background1" w:themeFillShade="D9"/>
          </w:tcPr>
          <w:p w:rsidR="00752D9B" w:rsidRPr="000E1C8E" w:rsidRDefault="00752D9B" w:rsidP="00B61244">
            <w:pPr>
              <w:jc w:val="center"/>
              <w:rPr>
                <w:rFonts w:asciiTheme="minorHAnsi" w:hAnsiTheme="minorHAnsi"/>
                <w:b/>
                <w:sz w:val="18"/>
                <w:szCs w:val="18"/>
              </w:rPr>
            </w:pPr>
            <w:r w:rsidRPr="000E1C8E">
              <w:rPr>
                <w:rFonts w:asciiTheme="minorHAnsi" w:hAnsiTheme="minorHAnsi"/>
                <w:b/>
                <w:sz w:val="18"/>
                <w:szCs w:val="18"/>
              </w:rPr>
              <w:t>2012-13</w:t>
            </w:r>
          </w:p>
        </w:tc>
        <w:tc>
          <w:tcPr>
            <w:tcW w:w="952" w:type="dxa"/>
            <w:shd w:val="clear" w:color="auto" w:fill="D9D9D9" w:themeFill="background1" w:themeFillShade="D9"/>
          </w:tcPr>
          <w:p w:rsidR="00752D9B" w:rsidRPr="000E1C8E" w:rsidRDefault="00752D9B" w:rsidP="00B61244">
            <w:pPr>
              <w:jc w:val="center"/>
              <w:rPr>
                <w:rFonts w:asciiTheme="minorHAnsi" w:hAnsiTheme="minorHAnsi"/>
                <w:b/>
                <w:sz w:val="18"/>
                <w:szCs w:val="18"/>
              </w:rPr>
            </w:pPr>
            <w:r w:rsidRPr="000E1C8E">
              <w:rPr>
                <w:rFonts w:asciiTheme="minorHAnsi" w:hAnsiTheme="minorHAnsi"/>
                <w:b/>
                <w:sz w:val="18"/>
                <w:szCs w:val="18"/>
              </w:rPr>
              <w:t>2013-14</w:t>
            </w:r>
          </w:p>
        </w:tc>
      </w:tr>
      <w:tr w:rsidR="00752D9B" w:rsidTr="004479AE">
        <w:tc>
          <w:tcPr>
            <w:tcW w:w="2518" w:type="dxa"/>
          </w:tcPr>
          <w:p w:rsidR="00752D9B" w:rsidRPr="000E1C8E" w:rsidRDefault="00752D9B" w:rsidP="00B61244">
            <w:pPr>
              <w:spacing w:before="60" w:after="60"/>
              <w:rPr>
                <w:rFonts w:asciiTheme="minorHAnsi" w:hAnsiTheme="minorHAnsi"/>
                <w:sz w:val="18"/>
                <w:szCs w:val="18"/>
              </w:rPr>
            </w:pPr>
            <w:r>
              <w:rPr>
                <w:rFonts w:asciiTheme="minorHAnsi" w:hAnsiTheme="minorHAnsi"/>
                <w:sz w:val="18"/>
                <w:szCs w:val="18"/>
              </w:rPr>
              <w:t xml:space="preserve">June </w:t>
            </w:r>
            <w:proofErr w:type="spellStart"/>
            <w:r>
              <w:rPr>
                <w:rFonts w:asciiTheme="minorHAnsi" w:hAnsiTheme="minorHAnsi"/>
                <w:sz w:val="18"/>
                <w:szCs w:val="18"/>
              </w:rPr>
              <w:t>Qtr</w:t>
            </w:r>
            <w:proofErr w:type="spellEnd"/>
            <w:r>
              <w:rPr>
                <w:rFonts w:asciiTheme="minorHAnsi" w:hAnsiTheme="minorHAnsi"/>
                <w:sz w:val="18"/>
                <w:szCs w:val="18"/>
              </w:rPr>
              <w:t xml:space="preserve"> CPI (annual % change)</w:t>
            </w:r>
          </w:p>
        </w:tc>
        <w:tc>
          <w:tcPr>
            <w:tcW w:w="95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3.1%</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3.5%</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1.2%</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2.4%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3.0%</w:t>
            </w:r>
          </w:p>
        </w:tc>
      </w:tr>
      <w:tr w:rsidR="00752D9B" w:rsidTr="004479AE">
        <w:tc>
          <w:tcPr>
            <w:tcW w:w="2518" w:type="dxa"/>
          </w:tcPr>
          <w:p w:rsidR="00752D9B" w:rsidRPr="000E1C8E" w:rsidRDefault="00752D9B" w:rsidP="00B61244">
            <w:pPr>
              <w:spacing w:before="60" w:after="60"/>
              <w:rPr>
                <w:rFonts w:asciiTheme="minorHAnsi" w:hAnsiTheme="minorHAnsi"/>
                <w:sz w:val="18"/>
                <w:szCs w:val="18"/>
              </w:rPr>
            </w:pPr>
            <w:r>
              <w:rPr>
                <w:rFonts w:asciiTheme="minorHAnsi" w:hAnsiTheme="minorHAnsi"/>
                <w:sz w:val="18"/>
                <w:szCs w:val="18"/>
              </w:rPr>
              <w:t>Cumulative inflation factor</w:t>
            </w:r>
          </w:p>
        </w:tc>
        <w:tc>
          <w:tcPr>
            <w:tcW w:w="95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0.891</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0.904</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0.932</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0.965</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0.977</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1.000</w:t>
            </w:r>
          </w:p>
        </w:tc>
      </w:tr>
      <w:tr w:rsidR="00752D9B" w:rsidTr="00B61244">
        <w:tc>
          <w:tcPr>
            <w:tcW w:w="9180" w:type="dxa"/>
            <w:gridSpan w:val="8"/>
            <w:shd w:val="clear" w:color="auto" w:fill="D9D9D9" w:themeFill="background1" w:themeFillShade="D9"/>
          </w:tcPr>
          <w:p w:rsidR="00752D9B" w:rsidRPr="000E1C8E" w:rsidRDefault="00752D9B" w:rsidP="00B61244">
            <w:pPr>
              <w:spacing w:before="60" w:after="60"/>
              <w:rPr>
                <w:rFonts w:asciiTheme="minorHAnsi" w:hAnsiTheme="minorHAnsi"/>
                <w:sz w:val="18"/>
                <w:szCs w:val="18"/>
              </w:rPr>
            </w:pPr>
            <w:r>
              <w:rPr>
                <w:rFonts w:asciiTheme="minorHAnsi" w:hAnsiTheme="minorHAnsi"/>
                <w:sz w:val="18"/>
                <w:szCs w:val="18"/>
              </w:rPr>
              <w:t>Rate of Return – as per clause 1E.7.1</w:t>
            </w:r>
          </w:p>
        </w:tc>
      </w:tr>
      <w:tr w:rsidR="00752D9B" w:rsidTr="004479AE">
        <w:tc>
          <w:tcPr>
            <w:tcW w:w="2518" w:type="dxa"/>
          </w:tcPr>
          <w:p w:rsidR="00752D9B" w:rsidRPr="000E1C8E" w:rsidRDefault="00752D9B" w:rsidP="00B61244">
            <w:pPr>
              <w:spacing w:before="60" w:after="60"/>
              <w:rPr>
                <w:rFonts w:asciiTheme="minorHAnsi" w:hAnsiTheme="minorHAnsi"/>
                <w:sz w:val="18"/>
                <w:szCs w:val="18"/>
              </w:rPr>
            </w:pPr>
            <w:r>
              <w:rPr>
                <w:rFonts w:asciiTheme="minorHAnsi" w:hAnsiTheme="minorHAnsi"/>
                <w:sz w:val="18"/>
                <w:szCs w:val="18"/>
              </w:rPr>
              <w:t>Risk free rate</w:t>
            </w:r>
          </w:p>
        </w:tc>
        <w:tc>
          <w:tcPr>
            <w:tcW w:w="95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6.699%</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5.675%</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5.404%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5.224%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3.009%</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3.578%</w:t>
            </w:r>
          </w:p>
        </w:tc>
      </w:tr>
      <w:tr w:rsidR="00752D9B" w:rsidTr="004479AE">
        <w:tc>
          <w:tcPr>
            <w:tcW w:w="2518" w:type="dxa"/>
          </w:tcPr>
          <w:p w:rsidR="00752D9B" w:rsidRPr="000E1C8E" w:rsidRDefault="00752D9B" w:rsidP="00B61244">
            <w:pPr>
              <w:spacing w:before="60" w:after="60"/>
              <w:rPr>
                <w:rFonts w:asciiTheme="minorHAnsi" w:hAnsiTheme="minorHAnsi"/>
                <w:sz w:val="18"/>
                <w:szCs w:val="18"/>
              </w:rPr>
            </w:pPr>
            <w:r>
              <w:rPr>
                <w:rFonts w:asciiTheme="minorHAnsi" w:hAnsiTheme="minorHAnsi"/>
                <w:sz w:val="18"/>
                <w:szCs w:val="18"/>
              </w:rPr>
              <w:t>Nominal rate of return</w:t>
            </w:r>
          </w:p>
        </w:tc>
        <w:tc>
          <w:tcPr>
            <w:tcW w:w="95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10.199%</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9.175%</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8.904%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8.724%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6.509%</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7.078%</w:t>
            </w:r>
          </w:p>
        </w:tc>
      </w:tr>
    </w:tbl>
    <w:p w:rsidR="004479AE" w:rsidRDefault="004479AE" w:rsidP="00C4665C">
      <w:pPr>
        <w:spacing w:after="120"/>
      </w:pPr>
    </w:p>
    <w:tbl>
      <w:tblPr>
        <w:tblStyle w:val="TableGrid"/>
        <w:tblW w:w="9224" w:type="dxa"/>
        <w:tblLayout w:type="fixed"/>
        <w:tblLook w:val="04A0" w:firstRow="1" w:lastRow="0" w:firstColumn="1" w:lastColumn="0" w:noHBand="0" w:noVBand="1"/>
      </w:tblPr>
      <w:tblGrid>
        <w:gridCol w:w="2518"/>
        <w:gridCol w:w="911"/>
        <w:gridCol w:w="911"/>
        <w:gridCol w:w="911"/>
        <w:gridCol w:w="912"/>
        <w:gridCol w:w="911"/>
        <w:gridCol w:w="1075"/>
        <w:gridCol w:w="1075"/>
      </w:tblGrid>
      <w:tr w:rsidR="00752D9B" w:rsidRPr="000E1C8E" w:rsidTr="00B61244">
        <w:tc>
          <w:tcPr>
            <w:tcW w:w="2518" w:type="dxa"/>
            <w:shd w:val="clear" w:color="auto" w:fill="D9D9D9" w:themeFill="background1" w:themeFillShade="D9"/>
          </w:tcPr>
          <w:p w:rsidR="00752D9B" w:rsidRPr="000E1C8E" w:rsidRDefault="00752D9B" w:rsidP="00B61244">
            <w:pPr>
              <w:spacing w:before="60" w:after="60"/>
              <w:rPr>
                <w:rFonts w:asciiTheme="minorHAnsi" w:hAnsiTheme="minorHAnsi"/>
                <w:b/>
                <w:sz w:val="18"/>
                <w:szCs w:val="18"/>
              </w:rPr>
            </w:pPr>
            <w:r w:rsidRPr="000E1C8E">
              <w:rPr>
                <w:rFonts w:asciiTheme="minorHAnsi" w:hAnsiTheme="minorHAnsi"/>
                <w:b/>
                <w:sz w:val="18"/>
                <w:szCs w:val="18"/>
              </w:rPr>
              <w:t>Year</w:t>
            </w:r>
          </w:p>
        </w:tc>
        <w:tc>
          <w:tcPr>
            <w:tcW w:w="91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2007-08</w:t>
            </w:r>
          </w:p>
        </w:tc>
        <w:tc>
          <w:tcPr>
            <w:tcW w:w="91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2008-09</w:t>
            </w:r>
          </w:p>
        </w:tc>
        <w:tc>
          <w:tcPr>
            <w:tcW w:w="91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2009-10</w:t>
            </w:r>
          </w:p>
        </w:tc>
        <w:tc>
          <w:tcPr>
            <w:tcW w:w="91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2010-11</w:t>
            </w:r>
          </w:p>
        </w:tc>
        <w:tc>
          <w:tcPr>
            <w:tcW w:w="91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2011-12</w:t>
            </w:r>
          </w:p>
        </w:tc>
        <w:tc>
          <w:tcPr>
            <w:tcW w:w="1075"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2012-13</w:t>
            </w:r>
          </w:p>
        </w:tc>
        <w:tc>
          <w:tcPr>
            <w:tcW w:w="1075"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2013-14</w:t>
            </w:r>
          </w:p>
        </w:tc>
      </w:tr>
      <w:tr w:rsidR="00752D9B" w:rsidRPr="000E1C8E" w:rsidTr="00B61244">
        <w:tc>
          <w:tcPr>
            <w:tcW w:w="9224" w:type="dxa"/>
            <w:gridSpan w:val="8"/>
            <w:shd w:val="clear" w:color="auto" w:fill="F2F2F2" w:themeFill="background1" w:themeFillShade="F2"/>
          </w:tcPr>
          <w:p w:rsidR="00752D9B" w:rsidRPr="000E1C8E" w:rsidRDefault="00752D9B" w:rsidP="00B61244">
            <w:pPr>
              <w:spacing w:before="60" w:after="60"/>
              <w:rPr>
                <w:rFonts w:asciiTheme="minorHAnsi" w:hAnsiTheme="minorHAnsi"/>
                <w:b/>
                <w:sz w:val="18"/>
                <w:szCs w:val="18"/>
              </w:rPr>
            </w:pPr>
            <w:r>
              <w:rPr>
                <w:rFonts w:asciiTheme="minorHAnsi" w:hAnsiTheme="minorHAnsi"/>
                <w:b/>
                <w:sz w:val="18"/>
                <w:szCs w:val="18"/>
              </w:rPr>
              <w:t>Regulatory Asset Base ($’000 Real) – as per clause 1D.2.1</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sz w:val="18"/>
                <w:szCs w:val="18"/>
              </w:rPr>
            </w:pPr>
            <w:r w:rsidRPr="00F51994">
              <w:rPr>
                <w:rFonts w:asciiTheme="minorHAnsi" w:hAnsiTheme="minorHAnsi" w:cs="Arial"/>
                <w:sz w:val="18"/>
                <w:szCs w:val="18"/>
              </w:rPr>
              <w:lastRenderedPageBreak/>
              <w:t xml:space="preserve">Real RAB (start period) </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8 </w:t>
            </w:r>
            <w:r w:rsidRPr="00F51994">
              <w:rPr>
                <w:rFonts w:asciiTheme="minorHAnsi" w:hAnsiTheme="minorHAnsi" w:cs="Arial"/>
                <w:sz w:val="18"/>
                <w:szCs w:val="18"/>
              </w:rPr>
              <w:t xml:space="preserve">411 </w:t>
            </w:r>
          </w:p>
        </w:tc>
        <w:tc>
          <w:tcPr>
            <w:tcW w:w="91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 xml:space="preserve"> 280</w:t>
            </w:r>
            <w:r>
              <w:rPr>
                <w:rFonts w:asciiTheme="minorHAnsi" w:hAnsiTheme="minorHAnsi" w:cs="Arial"/>
                <w:sz w:val="18"/>
                <w:szCs w:val="18"/>
              </w:rPr>
              <w:t xml:space="preserve"> </w:t>
            </w:r>
            <w:r w:rsidRPr="00F51994">
              <w:rPr>
                <w:rFonts w:asciiTheme="minorHAnsi" w:hAnsiTheme="minorHAnsi" w:cs="Arial"/>
                <w:sz w:val="18"/>
                <w:szCs w:val="18"/>
              </w:rPr>
              <w:t xml:space="preserve">613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726 </w:t>
            </w:r>
            <w:r w:rsidRPr="00F51994">
              <w:rPr>
                <w:rFonts w:asciiTheme="minorHAnsi" w:hAnsiTheme="minorHAnsi" w:cs="Arial"/>
                <w:sz w:val="18"/>
                <w:szCs w:val="18"/>
              </w:rPr>
              <w:t xml:space="preserve">286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1 612 </w:t>
            </w:r>
            <w:r w:rsidRPr="00F51994">
              <w:rPr>
                <w:rFonts w:asciiTheme="minorHAnsi" w:hAnsiTheme="minorHAnsi" w:cs="Arial"/>
                <w:sz w:val="18"/>
                <w:szCs w:val="18"/>
              </w:rPr>
              <w:t xml:space="preserve">525 </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sz w:val="18"/>
                <w:szCs w:val="18"/>
              </w:rPr>
            </w:pPr>
            <w:r w:rsidRPr="00F51994">
              <w:rPr>
                <w:rFonts w:asciiTheme="minorHAnsi" w:hAnsiTheme="minorHAnsi" w:cs="Arial"/>
                <w:sz w:val="18"/>
                <w:szCs w:val="18"/>
              </w:rPr>
              <w:t>Real Capital Expenditure</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8 </w:t>
            </w:r>
            <w:r w:rsidRPr="00F51994">
              <w:rPr>
                <w:rFonts w:asciiTheme="minorHAnsi" w:hAnsiTheme="minorHAnsi" w:cs="Arial"/>
                <w:sz w:val="18"/>
                <w:szCs w:val="18"/>
              </w:rPr>
              <w:t xml:space="preserve">411 </w:t>
            </w:r>
          </w:p>
        </w:tc>
        <w:tc>
          <w:tcPr>
            <w:tcW w:w="91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273 </w:t>
            </w:r>
            <w:r w:rsidRPr="00F51994">
              <w:rPr>
                <w:rFonts w:asciiTheme="minorHAnsi" w:hAnsiTheme="minorHAnsi" w:cs="Arial"/>
                <w:sz w:val="18"/>
                <w:szCs w:val="18"/>
              </w:rPr>
              <w:t xml:space="preserve">580 </w:t>
            </w:r>
          </w:p>
        </w:tc>
        <w:tc>
          <w:tcPr>
            <w:tcW w:w="91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507 </w:t>
            </w:r>
            <w:r w:rsidRPr="00F51994">
              <w:rPr>
                <w:rFonts w:asciiTheme="minorHAnsi" w:hAnsiTheme="minorHAnsi" w:cs="Arial"/>
                <w:sz w:val="18"/>
                <w:szCs w:val="18"/>
              </w:rPr>
              <w:t xml:space="preserve">876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1 059 </w:t>
            </w:r>
            <w:r w:rsidRPr="00F51994">
              <w:rPr>
                <w:rFonts w:asciiTheme="minorHAnsi" w:hAnsiTheme="minorHAnsi" w:cs="Arial"/>
                <w:sz w:val="18"/>
                <w:szCs w:val="18"/>
              </w:rPr>
              <w:t xml:space="preserve">300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1 596 </w:t>
            </w:r>
            <w:r w:rsidRPr="00F51994">
              <w:rPr>
                <w:rFonts w:asciiTheme="minorHAnsi" w:hAnsiTheme="minorHAnsi" w:cs="Arial"/>
                <w:sz w:val="18"/>
                <w:szCs w:val="18"/>
              </w:rPr>
              <w:t xml:space="preserve">522 </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sz w:val="18"/>
                <w:szCs w:val="18"/>
              </w:rPr>
            </w:pPr>
            <w:r w:rsidRPr="00F51994">
              <w:rPr>
                <w:rFonts w:asciiTheme="minorHAnsi" w:hAnsiTheme="minorHAnsi" w:cs="Arial"/>
                <w:sz w:val="18"/>
                <w:szCs w:val="18"/>
              </w:rPr>
              <w:t>Real Disposals</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1075"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1075"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sz w:val="18"/>
                <w:szCs w:val="18"/>
              </w:rPr>
            </w:pPr>
            <w:r w:rsidRPr="00F51994">
              <w:rPr>
                <w:rFonts w:asciiTheme="minorHAnsi" w:hAnsiTheme="minorHAnsi" w:cs="Arial"/>
                <w:sz w:val="18"/>
                <w:szCs w:val="18"/>
              </w:rPr>
              <w:t>Real Straight Line Depreciation</w:t>
            </w:r>
          </w:p>
        </w:tc>
        <w:tc>
          <w:tcPr>
            <w:tcW w:w="911" w:type="dxa"/>
            <w:vAlign w:val="bottom"/>
          </w:tcPr>
          <w:p w:rsidR="00752D9B" w:rsidRPr="00F51994" w:rsidRDefault="00752D9B" w:rsidP="00B61244">
            <w:pPr>
              <w:keepNext/>
              <w:spacing w:before="60" w:after="60"/>
              <w:jc w:val="center"/>
              <w:rPr>
                <w:rFonts w:asciiTheme="minorHAnsi" w:hAnsiTheme="minorHAnsi" w:cs="Arial"/>
                <w:b/>
                <w:bCs/>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1 </w:t>
            </w:r>
            <w:r w:rsidRPr="00F51994">
              <w:rPr>
                <w:rFonts w:asciiTheme="minorHAnsi" w:hAnsiTheme="minorHAnsi" w:cs="Arial"/>
                <w:sz w:val="18"/>
                <w:szCs w:val="18"/>
              </w:rPr>
              <w:t xml:space="preserve">378 </w:t>
            </w:r>
          </w:p>
        </w:tc>
        <w:tc>
          <w:tcPr>
            <w:tcW w:w="91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62 </w:t>
            </w:r>
            <w:r w:rsidRPr="00F51994">
              <w:rPr>
                <w:rFonts w:asciiTheme="minorHAnsi" w:hAnsiTheme="minorHAnsi" w:cs="Arial"/>
                <w:sz w:val="18"/>
                <w:szCs w:val="18"/>
              </w:rPr>
              <w:t xml:space="preserve">204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173</w:t>
            </w:r>
            <w:r>
              <w:rPr>
                <w:rFonts w:asciiTheme="minorHAnsi" w:hAnsiTheme="minorHAnsi" w:cs="Arial"/>
                <w:sz w:val="18"/>
                <w:szCs w:val="18"/>
              </w:rPr>
              <w:t xml:space="preserve"> </w:t>
            </w:r>
            <w:r w:rsidRPr="00F51994">
              <w:rPr>
                <w:rFonts w:asciiTheme="minorHAnsi" w:hAnsiTheme="minorHAnsi" w:cs="Arial"/>
                <w:sz w:val="18"/>
                <w:szCs w:val="18"/>
              </w:rPr>
              <w:t xml:space="preserve">061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307</w:t>
            </w:r>
            <w:r>
              <w:rPr>
                <w:rFonts w:asciiTheme="minorHAnsi" w:hAnsiTheme="minorHAnsi" w:cs="Arial"/>
                <w:sz w:val="18"/>
                <w:szCs w:val="18"/>
              </w:rPr>
              <w:t xml:space="preserve"> </w:t>
            </w:r>
            <w:r w:rsidRPr="00F51994">
              <w:rPr>
                <w:rFonts w:asciiTheme="minorHAnsi" w:hAnsiTheme="minorHAnsi" w:cs="Arial"/>
                <w:sz w:val="18"/>
                <w:szCs w:val="18"/>
              </w:rPr>
              <w:t xml:space="preserve">909 </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sz w:val="18"/>
                <w:szCs w:val="18"/>
              </w:rPr>
            </w:pPr>
            <w:r w:rsidRPr="00F51994">
              <w:rPr>
                <w:rFonts w:asciiTheme="minorHAnsi" w:hAnsiTheme="minorHAnsi" w:cs="Arial"/>
                <w:sz w:val="18"/>
                <w:szCs w:val="18"/>
              </w:rPr>
              <w:t xml:space="preserve">Real RAB (end period) </w:t>
            </w:r>
          </w:p>
        </w:tc>
        <w:tc>
          <w:tcPr>
            <w:tcW w:w="911" w:type="dxa"/>
            <w:vAlign w:val="bottom"/>
          </w:tcPr>
          <w:p w:rsidR="00752D9B" w:rsidRPr="00F51994" w:rsidRDefault="00752D9B" w:rsidP="00B61244">
            <w:pPr>
              <w:keepNext/>
              <w:spacing w:before="60" w:after="60"/>
              <w:jc w:val="center"/>
              <w:rPr>
                <w:rFonts w:asciiTheme="minorHAnsi" w:hAnsiTheme="minorHAnsi" w:cs="Arial"/>
                <w:b/>
                <w:bCs/>
                <w:sz w:val="18"/>
                <w:szCs w:val="18"/>
              </w:rPr>
            </w:pPr>
            <w:r w:rsidRPr="00F51994">
              <w:rPr>
                <w:rFonts w:asciiTheme="minorHAnsi" w:hAnsiTheme="minorHAnsi" w:cs="Arial"/>
                <w:sz w:val="18"/>
                <w:szCs w:val="18"/>
              </w:rPr>
              <w:t xml:space="preserve">- </w:t>
            </w:r>
          </w:p>
        </w:tc>
        <w:tc>
          <w:tcPr>
            <w:tcW w:w="91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1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8 </w:t>
            </w:r>
            <w:r w:rsidRPr="00F51994">
              <w:rPr>
                <w:rFonts w:asciiTheme="minorHAnsi" w:hAnsiTheme="minorHAnsi" w:cs="Arial"/>
                <w:sz w:val="18"/>
                <w:szCs w:val="18"/>
              </w:rPr>
              <w:t xml:space="preserve">411 </w:t>
            </w:r>
          </w:p>
        </w:tc>
        <w:tc>
          <w:tcPr>
            <w:tcW w:w="91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280</w:t>
            </w:r>
            <w:r>
              <w:rPr>
                <w:rFonts w:asciiTheme="minorHAnsi" w:hAnsiTheme="minorHAnsi" w:cs="Arial"/>
                <w:sz w:val="18"/>
                <w:szCs w:val="18"/>
              </w:rPr>
              <w:t xml:space="preserve"> </w:t>
            </w:r>
            <w:r w:rsidRPr="00F51994">
              <w:rPr>
                <w:rFonts w:asciiTheme="minorHAnsi" w:hAnsiTheme="minorHAnsi" w:cs="Arial"/>
                <w:sz w:val="18"/>
                <w:szCs w:val="18"/>
              </w:rPr>
              <w:t xml:space="preserve">613 </w:t>
            </w:r>
          </w:p>
        </w:tc>
        <w:tc>
          <w:tcPr>
            <w:tcW w:w="91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726 </w:t>
            </w:r>
            <w:r w:rsidRPr="00F51994">
              <w:rPr>
                <w:rFonts w:asciiTheme="minorHAnsi" w:hAnsiTheme="minorHAnsi" w:cs="Arial"/>
                <w:sz w:val="18"/>
                <w:szCs w:val="18"/>
              </w:rPr>
              <w:t xml:space="preserve">286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1 612 </w:t>
            </w:r>
            <w:r w:rsidRPr="00F51994">
              <w:rPr>
                <w:rFonts w:asciiTheme="minorHAnsi" w:hAnsiTheme="minorHAnsi" w:cs="Arial"/>
                <w:sz w:val="18"/>
                <w:szCs w:val="18"/>
              </w:rPr>
              <w:t xml:space="preserve">525 </w:t>
            </w:r>
          </w:p>
        </w:tc>
        <w:tc>
          <w:tcPr>
            <w:tcW w:w="1075"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2 901 </w:t>
            </w:r>
            <w:r w:rsidRPr="00F51994">
              <w:rPr>
                <w:rFonts w:asciiTheme="minorHAnsi" w:hAnsiTheme="minorHAnsi" w:cs="Arial"/>
                <w:sz w:val="18"/>
                <w:szCs w:val="18"/>
              </w:rPr>
              <w:t xml:space="preserve">139 </w:t>
            </w:r>
          </w:p>
        </w:tc>
      </w:tr>
    </w:tbl>
    <w:p w:rsidR="00752D9B" w:rsidRDefault="00752D9B" w:rsidP="00752D9B"/>
    <w:tbl>
      <w:tblPr>
        <w:tblStyle w:val="TableGrid"/>
        <w:tblW w:w="9180" w:type="dxa"/>
        <w:tblLayout w:type="fixed"/>
        <w:tblLook w:val="04A0" w:firstRow="1" w:lastRow="0" w:firstColumn="1" w:lastColumn="0" w:noHBand="0" w:noVBand="1"/>
      </w:tblPr>
      <w:tblGrid>
        <w:gridCol w:w="2518"/>
        <w:gridCol w:w="951"/>
        <w:gridCol w:w="952"/>
        <w:gridCol w:w="952"/>
        <w:gridCol w:w="951"/>
        <w:gridCol w:w="952"/>
        <w:gridCol w:w="952"/>
        <w:gridCol w:w="952"/>
      </w:tblGrid>
      <w:tr w:rsidR="00752D9B" w:rsidRPr="000E1C8E" w:rsidTr="00B61244">
        <w:tc>
          <w:tcPr>
            <w:tcW w:w="2518" w:type="dxa"/>
            <w:shd w:val="clear" w:color="auto" w:fill="D9D9D9" w:themeFill="background1" w:themeFillShade="D9"/>
          </w:tcPr>
          <w:p w:rsidR="00752D9B" w:rsidRPr="000E1C8E" w:rsidRDefault="00752D9B" w:rsidP="00B61244">
            <w:pPr>
              <w:spacing w:before="60" w:after="60"/>
              <w:rPr>
                <w:rFonts w:asciiTheme="minorHAnsi" w:hAnsiTheme="minorHAnsi"/>
                <w:b/>
                <w:sz w:val="18"/>
                <w:szCs w:val="18"/>
              </w:rPr>
            </w:pPr>
            <w:r w:rsidRPr="000E1C8E">
              <w:rPr>
                <w:rFonts w:asciiTheme="minorHAnsi" w:hAnsiTheme="minorHAnsi"/>
                <w:b/>
                <w:sz w:val="18"/>
                <w:szCs w:val="18"/>
              </w:rPr>
              <w:t>Year</w:t>
            </w:r>
          </w:p>
        </w:tc>
        <w:tc>
          <w:tcPr>
            <w:tcW w:w="95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2007-08</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2008-09</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2009-10</w:t>
            </w:r>
          </w:p>
        </w:tc>
        <w:tc>
          <w:tcPr>
            <w:tcW w:w="95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2010-11</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2011-12</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2012-13</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2013-14</w:t>
            </w:r>
          </w:p>
        </w:tc>
      </w:tr>
      <w:tr w:rsidR="00752D9B" w:rsidRPr="000E1C8E" w:rsidTr="00B61244">
        <w:tc>
          <w:tcPr>
            <w:tcW w:w="9180" w:type="dxa"/>
            <w:gridSpan w:val="8"/>
            <w:shd w:val="clear" w:color="auto" w:fill="F2F2F2" w:themeFill="background1" w:themeFillShade="F2"/>
          </w:tcPr>
          <w:p w:rsidR="00752D9B" w:rsidRPr="000E1C8E" w:rsidRDefault="00752D9B" w:rsidP="00B61244">
            <w:pPr>
              <w:spacing w:before="60" w:after="60"/>
              <w:rPr>
                <w:rFonts w:asciiTheme="minorHAnsi" w:hAnsiTheme="minorHAnsi"/>
                <w:b/>
                <w:sz w:val="18"/>
                <w:szCs w:val="18"/>
              </w:rPr>
            </w:pPr>
            <w:r>
              <w:rPr>
                <w:rFonts w:asciiTheme="minorHAnsi" w:hAnsiTheme="minorHAnsi"/>
                <w:b/>
                <w:sz w:val="18"/>
                <w:szCs w:val="18"/>
              </w:rPr>
              <w:t>Regulatory Asset Base ($’000 Nominal) – as per clause 1D.2.2</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bCs/>
                <w:sz w:val="18"/>
                <w:szCs w:val="18"/>
              </w:rPr>
            </w:pPr>
            <w:r w:rsidRPr="00F51994">
              <w:rPr>
                <w:rFonts w:asciiTheme="minorHAnsi" w:hAnsiTheme="minorHAnsi" w:cs="Arial"/>
                <w:bCs/>
                <w:sz w:val="18"/>
                <w:szCs w:val="18"/>
              </w:rPr>
              <w:t xml:space="preserve">Nominal RAB (start period) </w:t>
            </w:r>
          </w:p>
        </w:tc>
        <w:tc>
          <w:tcPr>
            <w:tcW w:w="951" w:type="dxa"/>
            <w:vAlign w:val="bottom"/>
          </w:tcPr>
          <w:p w:rsidR="00752D9B" w:rsidRPr="00F51994" w:rsidRDefault="00752D9B" w:rsidP="00B61244">
            <w:pPr>
              <w:keepNext/>
              <w:spacing w:before="60" w:after="60"/>
              <w:jc w:val="center"/>
              <w:rPr>
                <w:rFonts w:asciiTheme="minorHAnsi" w:hAnsiTheme="minorHAnsi" w:cs="Arial"/>
                <w:b/>
                <w:bCs/>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7</w:t>
            </w:r>
            <w:r>
              <w:rPr>
                <w:rFonts w:asciiTheme="minorHAnsi" w:hAnsiTheme="minorHAnsi" w:cs="Arial"/>
                <w:sz w:val="18"/>
                <w:szCs w:val="18"/>
              </w:rPr>
              <w:t xml:space="preserve"> </w:t>
            </w:r>
            <w:r w:rsidRPr="00F51994">
              <w:rPr>
                <w:rFonts w:asciiTheme="minorHAnsi" w:hAnsiTheme="minorHAnsi" w:cs="Arial"/>
                <w:sz w:val="18"/>
                <w:szCs w:val="18"/>
              </w:rPr>
              <w:t>601</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261</w:t>
            </w:r>
            <w:r>
              <w:rPr>
                <w:rFonts w:asciiTheme="minorHAnsi" w:hAnsiTheme="minorHAnsi" w:cs="Arial"/>
                <w:sz w:val="18"/>
                <w:szCs w:val="18"/>
              </w:rPr>
              <w:t xml:space="preserve"> </w:t>
            </w:r>
            <w:r w:rsidRPr="00F51994">
              <w:rPr>
                <w:rFonts w:asciiTheme="minorHAnsi" w:hAnsiTheme="minorHAnsi" w:cs="Arial"/>
                <w:sz w:val="18"/>
                <w:szCs w:val="18"/>
              </w:rPr>
              <w:t>506</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700</w:t>
            </w:r>
            <w:r>
              <w:rPr>
                <w:rFonts w:asciiTheme="minorHAnsi" w:hAnsiTheme="minorHAnsi" w:cs="Arial"/>
                <w:sz w:val="18"/>
                <w:szCs w:val="18"/>
              </w:rPr>
              <w:t xml:space="preserve"> </w:t>
            </w:r>
            <w:r w:rsidRPr="00F51994">
              <w:rPr>
                <w:rFonts w:asciiTheme="minorHAnsi" w:hAnsiTheme="minorHAnsi" w:cs="Arial"/>
                <w:sz w:val="18"/>
                <w:szCs w:val="18"/>
              </w:rPr>
              <w:t>852</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w:t>
            </w:r>
            <w:r>
              <w:rPr>
                <w:rFonts w:asciiTheme="minorHAnsi" w:hAnsiTheme="minorHAnsi" w:cs="Arial"/>
                <w:sz w:val="18"/>
                <w:szCs w:val="18"/>
              </w:rPr>
              <w:t xml:space="preserve"> </w:t>
            </w:r>
            <w:r w:rsidRPr="00F51994">
              <w:rPr>
                <w:rFonts w:asciiTheme="minorHAnsi" w:hAnsiTheme="minorHAnsi" w:cs="Arial"/>
                <w:sz w:val="18"/>
                <w:szCs w:val="18"/>
              </w:rPr>
              <w:t>574</w:t>
            </w:r>
            <w:r>
              <w:rPr>
                <w:rFonts w:asciiTheme="minorHAnsi" w:hAnsiTheme="minorHAnsi" w:cs="Arial"/>
                <w:sz w:val="18"/>
                <w:szCs w:val="18"/>
              </w:rPr>
              <w:t xml:space="preserve"> </w:t>
            </w:r>
            <w:r w:rsidRPr="00F51994">
              <w:rPr>
                <w:rFonts w:asciiTheme="minorHAnsi" w:hAnsiTheme="minorHAnsi" w:cs="Arial"/>
                <w:sz w:val="18"/>
                <w:szCs w:val="18"/>
              </w:rPr>
              <w:t>878</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sz w:val="18"/>
                <w:szCs w:val="18"/>
              </w:rPr>
            </w:pPr>
            <w:r w:rsidRPr="00F51994">
              <w:rPr>
                <w:rFonts w:asciiTheme="minorHAnsi" w:hAnsiTheme="minorHAnsi" w:cs="Arial"/>
                <w:sz w:val="18"/>
                <w:szCs w:val="18"/>
              </w:rPr>
              <w:t xml:space="preserve">Nominal Straight Line Depreciation </w:t>
            </w:r>
          </w:p>
        </w:tc>
        <w:tc>
          <w:tcPr>
            <w:tcW w:w="951" w:type="dxa"/>
            <w:vAlign w:val="bottom"/>
          </w:tcPr>
          <w:p w:rsidR="00752D9B" w:rsidRPr="00F51994" w:rsidRDefault="00752D9B" w:rsidP="00B61244">
            <w:pPr>
              <w:keepNext/>
              <w:spacing w:before="60" w:after="60"/>
              <w:jc w:val="center"/>
              <w:rPr>
                <w:rFonts w:asciiTheme="minorHAnsi" w:hAnsiTheme="minorHAnsi" w:cs="Arial"/>
                <w:b/>
                <w:bCs/>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 xml:space="preserve"> 1</w:t>
            </w:r>
            <w:r>
              <w:rPr>
                <w:rFonts w:asciiTheme="minorHAnsi" w:hAnsiTheme="minorHAnsi" w:cs="Arial"/>
                <w:sz w:val="18"/>
                <w:szCs w:val="18"/>
              </w:rPr>
              <w:t xml:space="preserve"> </w:t>
            </w:r>
            <w:r w:rsidRPr="00F51994">
              <w:rPr>
                <w:rFonts w:asciiTheme="minorHAnsi" w:hAnsiTheme="minorHAnsi" w:cs="Arial"/>
                <w:sz w:val="18"/>
                <w:szCs w:val="18"/>
              </w:rPr>
              <w:t xml:space="preserve">284 </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 xml:space="preserve"> 60</w:t>
            </w:r>
            <w:r>
              <w:rPr>
                <w:rFonts w:asciiTheme="minorHAnsi" w:hAnsiTheme="minorHAnsi" w:cs="Arial"/>
                <w:sz w:val="18"/>
                <w:szCs w:val="18"/>
              </w:rPr>
              <w:t xml:space="preserve"> </w:t>
            </w:r>
            <w:r w:rsidRPr="00F51994">
              <w:rPr>
                <w:rFonts w:asciiTheme="minorHAnsi" w:hAnsiTheme="minorHAnsi" w:cs="Arial"/>
                <w:sz w:val="18"/>
                <w:szCs w:val="18"/>
              </w:rPr>
              <w:t xml:space="preserve">026 </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169</w:t>
            </w:r>
            <w:r>
              <w:rPr>
                <w:rFonts w:asciiTheme="minorHAnsi" w:hAnsiTheme="minorHAnsi" w:cs="Arial"/>
                <w:sz w:val="18"/>
                <w:szCs w:val="18"/>
              </w:rPr>
              <w:t xml:space="preserve"> </w:t>
            </w:r>
            <w:r w:rsidRPr="00F51994">
              <w:rPr>
                <w:rFonts w:asciiTheme="minorHAnsi" w:hAnsiTheme="minorHAnsi" w:cs="Arial"/>
                <w:sz w:val="18"/>
                <w:szCs w:val="18"/>
              </w:rPr>
              <w:t xml:space="preserve">021 </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307 </w:t>
            </w:r>
            <w:r w:rsidRPr="00F51994">
              <w:rPr>
                <w:rFonts w:asciiTheme="minorHAnsi" w:hAnsiTheme="minorHAnsi" w:cs="Arial"/>
                <w:sz w:val="18"/>
                <w:szCs w:val="18"/>
              </w:rPr>
              <w:t xml:space="preserve">909 </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i/>
                <w:iCs/>
                <w:sz w:val="18"/>
                <w:szCs w:val="18"/>
              </w:rPr>
            </w:pPr>
            <w:r w:rsidRPr="00F51994">
              <w:rPr>
                <w:rFonts w:asciiTheme="minorHAnsi" w:hAnsiTheme="minorHAnsi" w:cs="Arial"/>
                <w:bCs/>
                <w:sz w:val="18"/>
                <w:szCs w:val="18"/>
              </w:rPr>
              <w:t>Nominal RAB (end period)</w:t>
            </w:r>
          </w:p>
        </w:tc>
        <w:tc>
          <w:tcPr>
            <w:tcW w:w="951" w:type="dxa"/>
            <w:vAlign w:val="bottom"/>
          </w:tcPr>
          <w:p w:rsidR="00752D9B" w:rsidRPr="00F51994" w:rsidRDefault="00752D9B" w:rsidP="00B61244">
            <w:pPr>
              <w:keepNext/>
              <w:spacing w:before="60" w:after="60"/>
              <w:jc w:val="center"/>
              <w:rPr>
                <w:rFonts w:asciiTheme="minorHAnsi" w:hAnsiTheme="minorHAnsi" w:cs="Arial"/>
                <w:b/>
                <w:bCs/>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 xml:space="preserve"> 7</w:t>
            </w:r>
            <w:r>
              <w:rPr>
                <w:rFonts w:asciiTheme="minorHAnsi" w:hAnsiTheme="minorHAnsi" w:cs="Arial"/>
                <w:sz w:val="18"/>
                <w:szCs w:val="18"/>
              </w:rPr>
              <w:t xml:space="preserve"> </w:t>
            </w:r>
            <w:r w:rsidRPr="00F51994">
              <w:rPr>
                <w:rFonts w:asciiTheme="minorHAnsi" w:hAnsiTheme="minorHAnsi" w:cs="Arial"/>
                <w:sz w:val="18"/>
                <w:szCs w:val="18"/>
              </w:rPr>
              <w:t xml:space="preserve">601 </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261 </w:t>
            </w:r>
            <w:r w:rsidRPr="00F51994">
              <w:rPr>
                <w:rFonts w:asciiTheme="minorHAnsi" w:hAnsiTheme="minorHAnsi" w:cs="Arial"/>
                <w:sz w:val="18"/>
                <w:szCs w:val="18"/>
              </w:rPr>
              <w:t xml:space="preserve">506 </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 700 </w:t>
            </w:r>
            <w:r w:rsidRPr="00F51994">
              <w:rPr>
                <w:rFonts w:asciiTheme="minorHAnsi" w:hAnsiTheme="minorHAnsi" w:cs="Arial"/>
                <w:sz w:val="18"/>
                <w:szCs w:val="18"/>
              </w:rPr>
              <w:t xml:space="preserve">852 </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1 574 </w:t>
            </w:r>
            <w:r w:rsidRPr="00F51994">
              <w:rPr>
                <w:rFonts w:asciiTheme="minorHAnsi" w:hAnsiTheme="minorHAnsi" w:cs="Arial"/>
                <w:sz w:val="18"/>
                <w:szCs w:val="18"/>
              </w:rPr>
              <w:t xml:space="preserve">878 </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2 901 </w:t>
            </w:r>
            <w:r w:rsidRPr="00F51994">
              <w:rPr>
                <w:rFonts w:asciiTheme="minorHAnsi" w:hAnsiTheme="minorHAnsi" w:cs="Arial"/>
                <w:sz w:val="18"/>
                <w:szCs w:val="18"/>
              </w:rPr>
              <w:t xml:space="preserve">139 </w:t>
            </w:r>
          </w:p>
        </w:tc>
      </w:tr>
    </w:tbl>
    <w:p w:rsidR="00EA5151" w:rsidRDefault="00EA5151">
      <w:pPr>
        <w:spacing w:after="200" w:line="276" w:lineRule="auto"/>
        <w:rPr>
          <w:rFonts w:asciiTheme="minorHAnsi" w:hAnsiTheme="minorHAnsi"/>
          <w:szCs w:val="20"/>
        </w:rPr>
      </w:pPr>
    </w:p>
    <w:tbl>
      <w:tblPr>
        <w:tblStyle w:val="TableGrid"/>
        <w:tblW w:w="9180" w:type="dxa"/>
        <w:tblLayout w:type="fixed"/>
        <w:tblLook w:val="04A0" w:firstRow="1" w:lastRow="0" w:firstColumn="1" w:lastColumn="0" w:noHBand="0" w:noVBand="1"/>
      </w:tblPr>
      <w:tblGrid>
        <w:gridCol w:w="2518"/>
        <w:gridCol w:w="951"/>
        <w:gridCol w:w="952"/>
        <w:gridCol w:w="952"/>
        <w:gridCol w:w="951"/>
        <w:gridCol w:w="952"/>
        <w:gridCol w:w="952"/>
        <w:gridCol w:w="952"/>
      </w:tblGrid>
      <w:tr w:rsidR="00752D9B" w:rsidRPr="000E1C8E" w:rsidTr="00B61244">
        <w:tc>
          <w:tcPr>
            <w:tcW w:w="2518" w:type="dxa"/>
            <w:shd w:val="clear" w:color="auto" w:fill="D9D9D9" w:themeFill="background1" w:themeFillShade="D9"/>
          </w:tcPr>
          <w:p w:rsidR="00752D9B" w:rsidRPr="000E1C8E" w:rsidRDefault="00752D9B" w:rsidP="00B61244">
            <w:pPr>
              <w:spacing w:before="60" w:after="60"/>
              <w:rPr>
                <w:rFonts w:asciiTheme="minorHAnsi" w:hAnsiTheme="minorHAnsi"/>
                <w:b/>
                <w:sz w:val="18"/>
                <w:szCs w:val="18"/>
              </w:rPr>
            </w:pPr>
            <w:r w:rsidRPr="000E1C8E">
              <w:rPr>
                <w:rFonts w:asciiTheme="minorHAnsi" w:hAnsiTheme="minorHAnsi"/>
                <w:b/>
                <w:sz w:val="18"/>
                <w:szCs w:val="18"/>
              </w:rPr>
              <w:t>Year</w:t>
            </w:r>
          </w:p>
        </w:tc>
        <w:tc>
          <w:tcPr>
            <w:tcW w:w="95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2007-08</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2008-09</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2009-10</w:t>
            </w:r>
          </w:p>
        </w:tc>
        <w:tc>
          <w:tcPr>
            <w:tcW w:w="951"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2010-11</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2011-12</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2012-13</w:t>
            </w:r>
          </w:p>
        </w:tc>
        <w:tc>
          <w:tcPr>
            <w:tcW w:w="95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2013-14</w:t>
            </w:r>
          </w:p>
        </w:tc>
      </w:tr>
      <w:tr w:rsidR="00752D9B" w:rsidRPr="000E1C8E" w:rsidTr="00B61244">
        <w:tc>
          <w:tcPr>
            <w:tcW w:w="9180" w:type="dxa"/>
            <w:gridSpan w:val="8"/>
            <w:shd w:val="clear" w:color="auto" w:fill="F2F2F2" w:themeFill="background1" w:themeFillShade="F2"/>
          </w:tcPr>
          <w:p w:rsidR="00752D9B" w:rsidRPr="000E1C8E" w:rsidRDefault="00752D9B" w:rsidP="00B61244">
            <w:pPr>
              <w:spacing w:before="60" w:after="60"/>
              <w:rPr>
                <w:rFonts w:asciiTheme="minorHAnsi" w:hAnsiTheme="minorHAnsi"/>
                <w:b/>
                <w:sz w:val="18"/>
                <w:szCs w:val="18"/>
              </w:rPr>
            </w:pPr>
            <w:r>
              <w:rPr>
                <w:rFonts w:asciiTheme="minorHAnsi" w:hAnsiTheme="minorHAnsi"/>
                <w:b/>
                <w:sz w:val="18"/>
                <w:szCs w:val="18"/>
              </w:rPr>
              <w:t>ABBRR ($’000 Nominal) – as per clause 1E.4.1</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bCs/>
                <w:sz w:val="18"/>
                <w:szCs w:val="18"/>
              </w:rPr>
            </w:pPr>
            <w:r w:rsidRPr="00F51994">
              <w:rPr>
                <w:rFonts w:asciiTheme="minorHAnsi" w:hAnsiTheme="minorHAnsi" w:cs="Arial"/>
                <w:bCs/>
                <w:sz w:val="18"/>
                <w:szCs w:val="18"/>
              </w:rPr>
              <w:t>Return on capital</w:t>
            </w:r>
          </w:p>
        </w:tc>
        <w:tc>
          <w:tcPr>
            <w:tcW w:w="951" w:type="dxa"/>
            <w:vAlign w:val="bottom"/>
          </w:tcPr>
          <w:p w:rsidR="00752D9B" w:rsidRPr="00F51994" w:rsidRDefault="00752D9B" w:rsidP="00B61244">
            <w:pPr>
              <w:keepNext/>
              <w:spacing w:before="60" w:after="60"/>
              <w:jc w:val="center"/>
              <w:rPr>
                <w:rFonts w:asciiTheme="minorHAnsi" w:hAnsiTheme="minorHAnsi" w:cs="Arial"/>
                <w:b/>
                <w:bCs/>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677</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22 </w:t>
            </w:r>
            <w:r w:rsidRPr="00F51994">
              <w:rPr>
                <w:rFonts w:asciiTheme="minorHAnsi" w:hAnsiTheme="minorHAnsi" w:cs="Arial"/>
                <w:sz w:val="18"/>
                <w:szCs w:val="18"/>
              </w:rPr>
              <w:t>814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45</w:t>
            </w:r>
            <w:r>
              <w:rPr>
                <w:rFonts w:asciiTheme="minorHAnsi" w:hAnsiTheme="minorHAnsi" w:cs="Arial"/>
                <w:sz w:val="18"/>
                <w:szCs w:val="18"/>
              </w:rPr>
              <w:t xml:space="preserve"> </w:t>
            </w:r>
            <w:r w:rsidRPr="00F51994">
              <w:rPr>
                <w:rFonts w:asciiTheme="minorHAnsi" w:hAnsiTheme="minorHAnsi" w:cs="Arial"/>
                <w:sz w:val="18"/>
                <w:szCs w:val="18"/>
              </w:rPr>
              <w:t>621</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111 </w:t>
            </w:r>
            <w:r w:rsidRPr="00F51994">
              <w:rPr>
                <w:rFonts w:asciiTheme="minorHAnsi" w:hAnsiTheme="minorHAnsi" w:cs="Arial"/>
                <w:sz w:val="18"/>
                <w:szCs w:val="18"/>
              </w:rPr>
              <w:t>467</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bCs/>
                <w:sz w:val="18"/>
                <w:szCs w:val="18"/>
              </w:rPr>
            </w:pPr>
            <w:r w:rsidRPr="00F51994">
              <w:rPr>
                <w:rFonts w:asciiTheme="minorHAnsi" w:hAnsiTheme="minorHAnsi" w:cs="Arial"/>
                <w:bCs/>
                <w:sz w:val="18"/>
                <w:szCs w:val="18"/>
              </w:rPr>
              <w:t xml:space="preserve">Nominal Regulatory Depreciation </w:t>
            </w:r>
          </w:p>
        </w:tc>
        <w:tc>
          <w:tcPr>
            <w:tcW w:w="95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 </w:t>
            </w:r>
            <w:r w:rsidRPr="00F51994">
              <w:rPr>
                <w:rFonts w:asciiTheme="minorHAnsi" w:hAnsiTheme="minorHAnsi" w:cs="Arial"/>
                <w:sz w:val="18"/>
                <w:szCs w:val="18"/>
              </w:rPr>
              <w:t>014</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56 </w:t>
            </w:r>
            <w:r w:rsidRPr="00F51994">
              <w:rPr>
                <w:rFonts w:asciiTheme="minorHAnsi" w:hAnsiTheme="minorHAnsi" w:cs="Arial"/>
                <w:sz w:val="18"/>
                <w:szCs w:val="18"/>
              </w:rPr>
              <w:t>862</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152 </w:t>
            </w:r>
            <w:r w:rsidRPr="00F51994">
              <w:rPr>
                <w:rFonts w:asciiTheme="minorHAnsi" w:hAnsiTheme="minorHAnsi" w:cs="Arial"/>
                <w:sz w:val="18"/>
                <w:szCs w:val="18"/>
              </w:rPr>
              <w:t>267</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260 </w:t>
            </w:r>
            <w:r w:rsidRPr="00F51994">
              <w:rPr>
                <w:rFonts w:asciiTheme="minorHAnsi" w:hAnsiTheme="minorHAnsi" w:cs="Arial"/>
                <w:sz w:val="18"/>
                <w:szCs w:val="18"/>
              </w:rPr>
              <w:t>417</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bCs/>
                <w:sz w:val="18"/>
                <w:szCs w:val="18"/>
              </w:rPr>
            </w:pPr>
            <w:r w:rsidRPr="00F51994">
              <w:rPr>
                <w:rFonts w:asciiTheme="minorHAnsi" w:hAnsiTheme="minorHAnsi" w:cs="Arial"/>
                <w:bCs/>
                <w:sz w:val="18"/>
                <w:szCs w:val="18"/>
              </w:rPr>
              <w:t xml:space="preserve">Nominal </w:t>
            </w:r>
            <w:proofErr w:type="spellStart"/>
            <w:r w:rsidRPr="00F51994">
              <w:rPr>
                <w:rFonts w:asciiTheme="minorHAnsi" w:hAnsiTheme="minorHAnsi" w:cs="Arial"/>
                <w:bCs/>
                <w:sz w:val="18"/>
                <w:szCs w:val="18"/>
              </w:rPr>
              <w:t>Opex</w:t>
            </w:r>
            <w:proofErr w:type="spellEnd"/>
          </w:p>
        </w:tc>
        <w:tc>
          <w:tcPr>
            <w:tcW w:w="95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sidRPr="00F51994">
              <w:rPr>
                <w:rFonts w:asciiTheme="minorHAnsi" w:hAnsiTheme="minorHAnsi" w:cs="Arial"/>
                <w:sz w:val="18"/>
                <w:szCs w:val="18"/>
              </w:rPr>
              <w:t>139</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82 </w:t>
            </w:r>
            <w:r w:rsidRPr="00F51994">
              <w:rPr>
                <w:rFonts w:asciiTheme="minorHAnsi" w:hAnsiTheme="minorHAnsi" w:cs="Arial"/>
                <w:sz w:val="18"/>
                <w:szCs w:val="18"/>
              </w:rPr>
              <w:t>255</w:t>
            </w:r>
          </w:p>
        </w:tc>
        <w:tc>
          <w:tcPr>
            <w:tcW w:w="951"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330 </w:t>
            </w:r>
            <w:r w:rsidRPr="00F51994">
              <w:rPr>
                <w:rFonts w:asciiTheme="minorHAnsi" w:hAnsiTheme="minorHAnsi" w:cs="Arial"/>
                <w:sz w:val="18"/>
                <w:szCs w:val="18"/>
              </w:rPr>
              <w:t>865</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499 </w:t>
            </w:r>
            <w:r w:rsidRPr="00F51994">
              <w:rPr>
                <w:rFonts w:asciiTheme="minorHAnsi" w:hAnsiTheme="minorHAnsi" w:cs="Arial"/>
                <w:sz w:val="18"/>
                <w:szCs w:val="18"/>
              </w:rPr>
              <w:t>419</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778 </w:t>
            </w:r>
            <w:r w:rsidRPr="00F51994">
              <w:rPr>
                <w:rFonts w:asciiTheme="minorHAnsi" w:hAnsiTheme="minorHAnsi" w:cs="Arial"/>
                <w:sz w:val="18"/>
                <w:szCs w:val="18"/>
              </w:rPr>
              <w:t>673</w:t>
            </w:r>
          </w:p>
        </w:tc>
        <w:tc>
          <w:tcPr>
            <w:tcW w:w="952" w:type="dxa"/>
            <w:vAlign w:val="bottom"/>
          </w:tcPr>
          <w:p w:rsidR="00752D9B" w:rsidRPr="00F51994" w:rsidRDefault="00752D9B" w:rsidP="00B61244">
            <w:pPr>
              <w:keepNext/>
              <w:spacing w:before="60" w:after="60"/>
              <w:jc w:val="right"/>
              <w:rPr>
                <w:rFonts w:asciiTheme="minorHAnsi" w:hAnsiTheme="minorHAnsi" w:cs="Arial"/>
                <w:sz w:val="18"/>
                <w:szCs w:val="18"/>
              </w:rPr>
            </w:pPr>
            <w:r>
              <w:rPr>
                <w:rFonts w:asciiTheme="minorHAnsi" w:hAnsiTheme="minorHAnsi" w:cs="Arial"/>
                <w:sz w:val="18"/>
                <w:szCs w:val="18"/>
              </w:rPr>
              <w:t xml:space="preserve">1 215 </w:t>
            </w:r>
            <w:r w:rsidRPr="00F51994">
              <w:rPr>
                <w:rFonts w:asciiTheme="minorHAnsi" w:hAnsiTheme="minorHAnsi" w:cs="Arial"/>
                <w:sz w:val="18"/>
                <w:szCs w:val="18"/>
              </w:rPr>
              <w:t>514</w:t>
            </w:r>
          </w:p>
        </w:tc>
      </w:tr>
      <w:tr w:rsidR="00752D9B" w:rsidTr="00B61244">
        <w:tc>
          <w:tcPr>
            <w:tcW w:w="2518" w:type="dxa"/>
            <w:vAlign w:val="bottom"/>
          </w:tcPr>
          <w:p w:rsidR="00752D9B" w:rsidRPr="00F51994" w:rsidRDefault="00752D9B" w:rsidP="00B61244">
            <w:pPr>
              <w:keepNext/>
              <w:spacing w:before="60" w:after="60"/>
              <w:rPr>
                <w:rFonts w:asciiTheme="minorHAnsi" w:hAnsiTheme="minorHAnsi" w:cs="Arial"/>
                <w:bCs/>
                <w:sz w:val="18"/>
                <w:szCs w:val="18"/>
              </w:rPr>
            </w:pPr>
            <w:r w:rsidRPr="00F51994">
              <w:rPr>
                <w:rFonts w:asciiTheme="minorHAnsi" w:hAnsiTheme="minorHAnsi" w:cs="Arial"/>
                <w:bCs/>
                <w:sz w:val="18"/>
                <w:szCs w:val="18"/>
              </w:rPr>
              <w:t xml:space="preserve">Net Tax Allowance </w:t>
            </w:r>
          </w:p>
        </w:tc>
        <w:tc>
          <w:tcPr>
            <w:tcW w:w="951" w:type="dxa"/>
            <w:vAlign w:val="bottom"/>
          </w:tcPr>
          <w:p w:rsidR="00752D9B" w:rsidRPr="00F51994" w:rsidRDefault="00752D9B" w:rsidP="00B61244">
            <w:pPr>
              <w:keepNext/>
              <w:spacing w:before="60" w:after="60"/>
              <w:jc w:val="center"/>
              <w:rPr>
                <w:rFonts w:asciiTheme="minorHAnsi" w:hAnsiTheme="minorHAnsi" w:cs="Arial"/>
                <w:b/>
                <w:bCs/>
                <w:i/>
                <w:iCs/>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1"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52" w:type="dxa"/>
            <w:vAlign w:val="bottom"/>
          </w:tcPr>
          <w:p w:rsidR="00752D9B" w:rsidRPr="00F51994" w:rsidRDefault="00752D9B" w:rsidP="00B61244">
            <w:pPr>
              <w:keepNext/>
              <w:spacing w:before="60" w:after="60"/>
              <w:jc w:val="center"/>
              <w:rPr>
                <w:rFonts w:asciiTheme="minorHAnsi" w:hAnsiTheme="minorHAnsi" w:cs="Arial"/>
                <w:sz w:val="18"/>
                <w:szCs w:val="18"/>
              </w:rPr>
            </w:pPr>
            <w:r w:rsidRPr="00F51994">
              <w:rPr>
                <w:rFonts w:asciiTheme="minorHAnsi" w:hAnsiTheme="minorHAnsi" w:cs="Arial"/>
                <w:sz w:val="18"/>
                <w:szCs w:val="18"/>
              </w:rPr>
              <w:t>-</w:t>
            </w:r>
          </w:p>
        </w:tc>
      </w:tr>
      <w:tr w:rsidR="00752D9B" w:rsidRPr="009D776F" w:rsidTr="00B61244">
        <w:tc>
          <w:tcPr>
            <w:tcW w:w="2518" w:type="dxa"/>
            <w:vAlign w:val="bottom"/>
          </w:tcPr>
          <w:p w:rsidR="00752D9B" w:rsidRPr="009D776F" w:rsidRDefault="00737912" w:rsidP="00737912">
            <w:pPr>
              <w:keepNext/>
              <w:spacing w:before="60" w:after="60"/>
              <w:rPr>
                <w:rFonts w:asciiTheme="minorHAnsi" w:hAnsiTheme="minorHAnsi" w:cs="Arial"/>
                <w:bCs/>
                <w:sz w:val="18"/>
                <w:szCs w:val="18"/>
              </w:rPr>
            </w:pPr>
            <w:r>
              <w:rPr>
                <w:rFonts w:asciiTheme="minorHAnsi" w:hAnsiTheme="minorHAnsi" w:cs="Arial"/>
                <w:bCs/>
                <w:sz w:val="18"/>
                <w:szCs w:val="18"/>
              </w:rPr>
              <w:t>ACIPA</w:t>
            </w:r>
          </w:p>
        </w:tc>
        <w:tc>
          <w:tcPr>
            <w:tcW w:w="951" w:type="dxa"/>
            <w:vAlign w:val="bottom"/>
          </w:tcPr>
          <w:p w:rsidR="00752D9B" w:rsidRPr="009D776F" w:rsidRDefault="00752D9B" w:rsidP="00B61244">
            <w:pPr>
              <w:keepNext/>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952" w:type="dxa"/>
            <w:vAlign w:val="bottom"/>
          </w:tcPr>
          <w:p w:rsidR="00752D9B" w:rsidRPr="009D776F" w:rsidRDefault="00752D9B" w:rsidP="00B61244">
            <w:pPr>
              <w:keepNext/>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952" w:type="dxa"/>
            <w:vAlign w:val="bottom"/>
          </w:tcPr>
          <w:p w:rsidR="00752D9B" w:rsidRPr="009D776F" w:rsidRDefault="00752D9B" w:rsidP="00B61244">
            <w:pPr>
              <w:keepNext/>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951" w:type="dxa"/>
            <w:vAlign w:val="bottom"/>
          </w:tcPr>
          <w:p w:rsidR="00752D9B" w:rsidRPr="009D776F" w:rsidRDefault="00752D9B" w:rsidP="00B61244">
            <w:pPr>
              <w:keepNext/>
              <w:spacing w:before="60" w:after="60"/>
              <w:jc w:val="right"/>
              <w:rPr>
                <w:rFonts w:asciiTheme="minorHAnsi" w:hAnsiTheme="minorHAnsi" w:cs="Arial"/>
                <w:sz w:val="18"/>
                <w:szCs w:val="18"/>
              </w:rPr>
            </w:pPr>
            <w:r w:rsidRPr="009D776F">
              <w:rPr>
                <w:rFonts w:asciiTheme="minorHAnsi" w:hAnsiTheme="minorHAnsi" w:cs="Arial"/>
                <w:sz w:val="18"/>
                <w:szCs w:val="18"/>
              </w:rPr>
              <w:t>2 996</w:t>
            </w:r>
          </w:p>
        </w:tc>
        <w:tc>
          <w:tcPr>
            <w:tcW w:w="952" w:type="dxa"/>
            <w:vAlign w:val="bottom"/>
          </w:tcPr>
          <w:p w:rsidR="00752D9B" w:rsidRPr="009D776F" w:rsidRDefault="00752D9B" w:rsidP="00B61244">
            <w:pPr>
              <w:keepNext/>
              <w:spacing w:before="60" w:after="60"/>
              <w:jc w:val="right"/>
              <w:rPr>
                <w:rFonts w:asciiTheme="minorHAnsi" w:hAnsiTheme="minorHAnsi" w:cs="Arial"/>
                <w:sz w:val="18"/>
                <w:szCs w:val="18"/>
              </w:rPr>
            </w:pPr>
            <w:r w:rsidRPr="009D776F">
              <w:rPr>
                <w:rFonts w:asciiTheme="minorHAnsi" w:hAnsiTheme="minorHAnsi" w:cs="Arial"/>
                <w:sz w:val="18"/>
                <w:szCs w:val="18"/>
              </w:rPr>
              <w:t>20 473</w:t>
            </w:r>
          </w:p>
        </w:tc>
        <w:tc>
          <w:tcPr>
            <w:tcW w:w="952" w:type="dxa"/>
            <w:vAlign w:val="bottom"/>
          </w:tcPr>
          <w:p w:rsidR="00752D9B" w:rsidRPr="009D776F" w:rsidRDefault="00752D9B" w:rsidP="00B61244">
            <w:pPr>
              <w:keepNext/>
              <w:spacing w:before="60" w:after="60"/>
              <w:jc w:val="right"/>
              <w:rPr>
                <w:rFonts w:asciiTheme="minorHAnsi" w:hAnsiTheme="minorHAnsi" w:cs="Arial"/>
                <w:strike/>
                <w:sz w:val="18"/>
                <w:szCs w:val="18"/>
              </w:rPr>
            </w:pPr>
            <w:r w:rsidRPr="009D776F">
              <w:rPr>
                <w:rFonts w:asciiTheme="minorHAnsi" w:hAnsiTheme="minorHAnsi" w:cs="Arial"/>
                <w:sz w:val="18"/>
                <w:szCs w:val="18"/>
              </w:rPr>
              <w:t>41 096</w:t>
            </w:r>
          </w:p>
        </w:tc>
        <w:tc>
          <w:tcPr>
            <w:tcW w:w="952" w:type="dxa"/>
            <w:vAlign w:val="bottom"/>
          </w:tcPr>
          <w:p w:rsidR="00752D9B" w:rsidRPr="009D776F" w:rsidRDefault="00752D9B" w:rsidP="00B61244">
            <w:pPr>
              <w:keepNext/>
              <w:spacing w:before="60" w:after="60"/>
              <w:jc w:val="right"/>
              <w:rPr>
                <w:rFonts w:asciiTheme="minorHAnsi" w:hAnsiTheme="minorHAnsi" w:cs="Arial"/>
                <w:strike/>
                <w:sz w:val="18"/>
                <w:szCs w:val="18"/>
              </w:rPr>
            </w:pPr>
            <w:r w:rsidRPr="009D776F">
              <w:rPr>
                <w:rFonts w:asciiTheme="minorHAnsi" w:hAnsiTheme="minorHAnsi" w:cs="Arial"/>
                <w:sz w:val="18"/>
                <w:szCs w:val="18"/>
              </w:rPr>
              <w:t>98 902</w:t>
            </w:r>
          </w:p>
        </w:tc>
      </w:tr>
      <w:tr w:rsidR="00752D9B" w:rsidRPr="009D776F" w:rsidTr="00B61244">
        <w:tc>
          <w:tcPr>
            <w:tcW w:w="2518" w:type="dxa"/>
            <w:vAlign w:val="bottom"/>
          </w:tcPr>
          <w:p w:rsidR="00752D9B" w:rsidRPr="009D776F" w:rsidRDefault="009D776F" w:rsidP="009D776F">
            <w:pPr>
              <w:keepNext/>
              <w:spacing w:before="60" w:after="60"/>
              <w:rPr>
                <w:rFonts w:asciiTheme="minorHAnsi" w:hAnsiTheme="minorHAnsi" w:cs="Arial"/>
                <w:bCs/>
                <w:sz w:val="18"/>
                <w:szCs w:val="18"/>
              </w:rPr>
            </w:pPr>
            <w:r>
              <w:rPr>
                <w:rFonts w:asciiTheme="minorHAnsi" w:hAnsiTheme="minorHAnsi" w:cs="Arial"/>
                <w:bCs/>
                <w:sz w:val="18"/>
                <w:szCs w:val="18"/>
              </w:rPr>
              <w:t>ABBRR</w:t>
            </w:r>
          </w:p>
        </w:tc>
        <w:tc>
          <w:tcPr>
            <w:tcW w:w="951" w:type="dxa"/>
            <w:vAlign w:val="bottom"/>
          </w:tcPr>
          <w:p w:rsidR="00752D9B" w:rsidRPr="009D776F" w:rsidRDefault="00752D9B" w:rsidP="00B61244">
            <w:pPr>
              <w:keepNext/>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952" w:type="dxa"/>
            <w:vAlign w:val="bottom"/>
          </w:tcPr>
          <w:p w:rsidR="00752D9B" w:rsidRPr="009D776F" w:rsidRDefault="00752D9B" w:rsidP="00B61244">
            <w:pPr>
              <w:keepNext/>
              <w:spacing w:before="60" w:after="60"/>
              <w:jc w:val="right"/>
              <w:rPr>
                <w:rFonts w:asciiTheme="minorHAnsi" w:hAnsiTheme="minorHAnsi" w:cs="Arial"/>
                <w:sz w:val="18"/>
                <w:szCs w:val="18"/>
              </w:rPr>
            </w:pPr>
            <w:r w:rsidRPr="009D776F">
              <w:rPr>
                <w:rFonts w:asciiTheme="minorHAnsi" w:hAnsiTheme="minorHAnsi" w:cs="Arial"/>
                <w:sz w:val="18"/>
                <w:szCs w:val="18"/>
              </w:rPr>
              <w:t>139</w:t>
            </w:r>
          </w:p>
        </w:tc>
        <w:tc>
          <w:tcPr>
            <w:tcW w:w="952" w:type="dxa"/>
            <w:vAlign w:val="bottom"/>
          </w:tcPr>
          <w:p w:rsidR="00752D9B" w:rsidRPr="009D776F" w:rsidRDefault="00752D9B" w:rsidP="00B61244">
            <w:pPr>
              <w:keepNext/>
              <w:spacing w:before="60" w:after="60"/>
              <w:jc w:val="right"/>
              <w:rPr>
                <w:rFonts w:asciiTheme="minorHAnsi" w:hAnsiTheme="minorHAnsi" w:cs="Arial"/>
                <w:sz w:val="18"/>
                <w:szCs w:val="18"/>
              </w:rPr>
            </w:pPr>
            <w:r w:rsidRPr="009D776F">
              <w:rPr>
                <w:rFonts w:asciiTheme="minorHAnsi" w:hAnsiTheme="minorHAnsi" w:cs="Arial"/>
                <w:sz w:val="18"/>
                <w:szCs w:val="18"/>
              </w:rPr>
              <w:t>82 255</w:t>
            </w:r>
          </w:p>
        </w:tc>
        <w:tc>
          <w:tcPr>
            <w:tcW w:w="951" w:type="dxa"/>
            <w:vAlign w:val="bottom"/>
          </w:tcPr>
          <w:p w:rsidR="00752D9B" w:rsidRPr="009D776F" w:rsidRDefault="00752D9B" w:rsidP="00B61244">
            <w:pPr>
              <w:keepNext/>
              <w:spacing w:before="60" w:after="60"/>
              <w:jc w:val="right"/>
              <w:rPr>
                <w:rFonts w:asciiTheme="minorHAnsi" w:hAnsiTheme="minorHAnsi" w:cs="Arial"/>
                <w:sz w:val="18"/>
                <w:szCs w:val="18"/>
              </w:rPr>
            </w:pPr>
            <w:r w:rsidRPr="009D776F">
              <w:rPr>
                <w:rFonts w:asciiTheme="minorHAnsi" w:hAnsiTheme="minorHAnsi" w:cs="Arial"/>
                <w:sz w:val="18"/>
                <w:szCs w:val="18"/>
              </w:rPr>
              <w:t>335 551</w:t>
            </w:r>
          </w:p>
        </w:tc>
        <w:tc>
          <w:tcPr>
            <w:tcW w:w="952" w:type="dxa"/>
            <w:vAlign w:val="bottom"/>
          </w:tcPr>
          <w:p w:rsidR="00752D9B" w:rsidRPr="009D776F" w:rsidRDefault="00752D9B" w:rsidP="00B61244">
            <w:pPr>
              <w:keepNext/>
              <w:spacing w:before="60" w:after="60"/>
              <w:jc w:val="right"/>
              <w:rPr>
                <w:rFonts w:asciiTheme="minorHAnsi" w:hAnsiTheme="minorHAnsi" w:cs="Arial"/>
                <w:sz w:val="18"/>
                <w:szCs w:val="18"/>
              </w:rPr>
            </w:pPr>
            <w:r w:rsidRPr="009D776F">
              <w:rPr>
                <w:rFonts w:asciiTheme="minorHAnsi" w:hAnsiTheme="minorHAnsi" w:cs="Arial"/>
                <w:sz w:val="18"/>
                <w:szCs w:val="18"/>
              </w:rPr>
              <w:t>599 568</w:t>
            </w:r>
          </w:p>
        </w:tc>
        <w:tc>
          <w:tcPr>
            <w:tcW w:w="952" w:type="dxa"/>
            <w:vAlign w:val="bottom"/>
          </w:tcPr>
          <w:p w:rsidR="00752D9B" w:rsidRPr="009D776F" w:rsidRDefault="00752D9B" w:rsidP="00B61244">
            <w:pPr>
              <w:keepNext/>
              <w:spacing w:before="60" w:after="60"/>
              <w:jc w:val="right"/>
              <w:rPr>
                <w:rFonts w:asciiTheme="minorHAnsi" w:hAnsiTheme="minorHAnsi" w:cs="Arial"/>
                <w:strike/>
                <w:sz w:val="18"/>
                <w:szCs w:val="18"/>
              </w:rPr>
            </w:pPr>
            <w:r w:rsidRPr="009D776F">
              <w:rPr>
                <w:rFonts w:asciiTheme="minorHAnsi" w:hAnsiTheme="minorHAnsi" w:cs="Arial"/>
                <w:sz w:val="18"/>
                <w:szCs w:val="18"/>
              </w:rPr>
              <w:t>1 017 657</w:t>
            </w:r>
          </w:p>
        </w:tc>
        <w:tc>
          <w:tcPr>
            <w:tcW w:w="952" w:type="dxa"/>
            <w:vAlign w:val="bottom"/>
          </w:tcPr>
          <w:p w:rsidR="00752D9B" w:rsidRPr="009D776F" w:rsidRDefault="00752D9B" w:rsidP="00B61244">
            <w:pPr>
              <w:keepNext/>
              <w:spacing w:before="60" w:after="60"/>
              <w:jc w:val="right"/>
              <w:rPr>
                <w:rFonts w:asciiTheme="minorHAnsi" w:hAnsiTheme="minorHAnsi" w:cs="Arial"/>
                <w:strike/>
                <w:sz w:val="18"/>
                <w:szCs w:val="18"/>
              </w:rPr>
            </w:pPr>
            <w:r w:rsidRPr="009D776F">
              <w:rPr>
                <w:rFonts w:asciiTheme="minorHAnsi" w:hAnsiTheme="minorHAnsi" w:cs="Arial"/>
                <w:sz w:val="18"/>
                <w:szCs w:val="18"/>
              </w:rPr>
              <w:t>1 686 301</w:t>
            </w:r>
          </w:p>
        </w:tc>
      </w:tr>
    </w:tbl>
    <w:p w:rsidR="00752D9B" w:rsidRDefault="00752D9B" w:rsidP="00752D9B">
      <w:pPr>
        <w:spacing w:after="200" w:line="276" w:lineRule="auto"/>
        <w:rPr>
          <w:rFonts w:asciiTheme="minorHAnsi" w:hAnsiTheme="minorHAnsi"/>
          <w:szCs w:val="20"/>
        </w:rPr>
      </w:pPr>
    </w:p>
    <w:tbl>
      <w:tblPr>
        <w:tblStyle w:val="TableGrid"/>
        <w:tblW w:w="9236" w:type="dxa"/>
        <w:tblLayout w:type="fixed"/>
        <w:tblLook w:val="04A0" w:firstRow="1" w:lastRow="0" w:firstColumn="1" w:lastColumn="0" w:noHBand="0" w:noVBand="1"/>
      </w:tblPr>
      <w:tblGrid>
        <w:gridCol w:w="2093"/>
        <w:gridCol w:w="973"/>
        <w:gridCol w:w="973"/>
        <w:gridCol w:w="973"/>
        <w:gridCol w:w="973"/>
        <w:gridCol w:w="973"/>
        <w:gridCol w:w="1144"/>
        <w:gridCol w:w="1134"/>
      </w:tblGrid>
      <w:tr w:rsidR="00752D9B" w:rsidRPr="000E1C8E" w:rsidTr="00B61244">
        <w:tc>
          <w:tcPr>
            <w:tcW w:w="2093" w:type="dxa"/>
            <w:shd w:val="clear" w:color="auto" w:fill="D9D9D9" w:themeFill="background1" w:themeFillShade="D9"/>
          </w:tcPr>
          <w:p w:rsidR="00752D9B" w:rsidRPr="000E1C8E" w:rsidRDefault="00752D9B" w:rsidP="00B61244">
            <w:pPr>
              <w:spacing w:before="60" w:after="60"/>
              <w:rPr>
                <w:rFonts w:asciiTheme="minorHAnsi" w:hAnsiTheme="minorHAnsi"/>
                <w:b/>
                <w:sz w:val="18"/>
                <w:szCs w:val="18"/>
              </w:rPr>
            </w:pPr>
            <w:r w:rsidRPr="000E1C8E">
              <w:rPr>
                <w:rFonts w:asciiTheme="minorHAnsi" w:hAnsiTheme="minorHAnsi"/>
                <w:b/>
                <w:sz w:val="18"/>
                <w:szCs w:val="18"/>
              </w:rPr>
              <w:t>Year</w:t>
            </w:r>
          </w:p>
        </w:tc>
        <w:tc>
          <w:tcPr>
            <w:tcW w:w="97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2007-08</w:t>
            </w:r>
          </w:p>
        </w:tc>
        <w:tc>
          <w:tcPr>
            <w:tcW w:w="97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2008-09</w:t>
            </w:r>
          </w:p>
        </w:tc>
        <w:tc>
          <w:tcPr>
            <w:tcW w:w="97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2009-10</w:t>
            </w:r>
          </w:p>
        </w:tc>
        <w:tc>
          <w:tcPr>
            <w:tcW w:w="97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2010-11</w:t>
            </w:r>
          </w:p>
        </w:tc>
        <w:tc>
          <w:tcPr>
            <w:tcW w:w="97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2011-12</w:t>
            </w:r>
          </w:p>
        </w:tc>
        <w:tc>
          <w:tcPr>
            <w:tcW w:w="1144"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2012-13</w:t>
            </w:r>
          </w:p>
        </w:tc>
        <w:tc>
          <w:tcPr>
            <w:tcW w:w="1134"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2013-14</w:t>
            </w:r>
          </w:p>
        </w:tc>
      </w:tr>
      <w:tr w:rsidR="00752D9B" w:rsidRPr="000E1C8E" w:rsidTr="00B61244">
        <w:tc>
          <w:tcPr>
            <w:tcW w:w="9236" w:type="dxa"/>
            <w:gridSpan w:val="8"/>
            <w:shd w:val="clear" w:color="auto" w:fill="F2F2F2" w:themeFill="background1" w:themeFillShade="F2"/>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b/>
                <w:sz w:val="18"/>
                <w:szCs w:val="18"/>
              </w:rPr>
              <w:t>Taxation Calculations ($'000 NOMINAL) - as per Clause 1E.9.3</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bCs/>
                <w:sz w:val="18"/>
                <w:szCs w:val="18"/>
              </w:rPr>
            </w:pPr>
            <w:r w:rsidRPr="00F51994">
              <w:rPr>
                <w:rFonts w:asciiTheme="minorHAnsi" w:hAnsiTheme="minorHAnsi" w:cs="Arial"/>
                <w:bCs/>
                <w:sz w:val="18"/>
                <w:szCs w:val="18"/>
              </w:rPr>
              <w:t>Nominal Revenue</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1 </w:t>
            </w:r>
            <w:r w:rsidRPr="00F51994">
              <w:rPr>
                <w:rFonts w:asciiTheme="minorHAnsi" w:hAnsiTheme="minorHAnsi" w:cs="Arial"/>
                <w:sz w:val="18"/>
                <w:szCs w:val="18"/>
              </w:rPr>
              <w:t>944</w:t>
            </w:r>
          </w:p>
        </w:tc>
        <w:tc>
          <w:tcPr>
            <w:tcW w:w="114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16 </w:t>
            </w:r>
            <w:r w:rsidRPr="00F51994">
              <w:rPr>
                <w:rFonts w:asciiTheme="minorHAnsi" w:hAnsiTheme="minorHAnsi" w:cs="Arial"/>
                <w:sz w:val="18"/>
                <w:szCs w:val="18"/>
              </w:rPr>
              <w:t>824</w:t>
            </w:r>
          </w:p>
        </w:tc>
        <w:tc>
          <w:tcPr>
            <w:tcW w:w="113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60</w:t>
            </w:r>
            <w:r>
              <w:rPr>
                <w:rFonts w:asciiTheme="minorHAnsi" w:hAnsiTheme="minorHAnsi" w:cs="Arial"/>
                <w:sz w:val="18"/>
                <w:szCs w:val="18"/>
              </w:rPr>
              <w:t xml:space="preserve"> </w:t>
            </w:r>
            <w:r w:rsidRPr="00F51994">
              <w:rPr>
                <w:rFonts w:asciiTheme="minorHAnsi" w:hAnsiTheme="minorHAnsi" w:cs="Arial"/>
                <w:sz w:val="18"/>
                <w:szCs w:val="18"/>
              </w:rPr>
              <w:t>958</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sz w:val="18"/>
                <w:szCs w:val="18"/>
              </w:rPr>
              <w:t>+Value of Assets Received for Nil Consideration</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114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122 </w:t>
            </w:r>
            <w:r w:rsidRPr="00F51994">
              <w:rPr>
                <w:rFonts w:asciiTheme="minorHAnsi" w:hAnsiTheme="minorHAnsi" w:cs="Arial"/>
                <w:sz w:val="18"/>
                <w:szCs w:val="18"/>
              </w:rPr>
              <w:t>854</w:t>
            </w:r>
          </w:p>
        </w:tc>
        <w:tc>
          <w:tcPr>
            <w:tcW w:w="113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67 </w:t>
            </w:r>
            <w:r w:rsidRPr="00F51994">
              <w:rPr>
                <w:rFonts w:asciiTheme="minorHAnsi" w:hAnsiTheme="minorHAnsi" w:cs="Arial"/>
                <w:sz w:val="18"/>
                <w:szCs w:val="18"/>
              </w:rPr>
              <w:t>251</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sz w:val="18"/>
                <w:szCs w:val="18"/>
              </w:rPr>
              <w:t>-Nominal Operating Expenditure</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139</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82</w:t>
            </w:r>
            <w:r>
              <w:rPr>
                <w:rFonts w:asciiTheme="minorHAnsi" w:hAnsiTheme="minorHAnsi" w:cs="Arial"/>
                <w:sz w:val="18"/>
                <w:szCs w:val="18"/>
              </w:rPr>
              <w:t xml:space="preserve"> </w:t>
            </w:r>
            <w:r w:rsidRPr="00F51994">
              <w:rPr>
                <w:rFonts w:asciiTheme="minorHAnsi" w:hAnsiTheme="minorHAnsi" w:cs="Arial"/>
                <w:sz w:val="18"/>
                <w:szCs w:val="18"/>
              </w:rPr>
              <w:t>255</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330 </w:t>
            </w:r>
            <w:r w:rsidRPr="00F51994">
              <w:rPr>
                <w:rFonts w:asciiTheme="minorHAnsi" w:hAnsiTheme="minorHAnsi" w:cs="Arial"/>
                <w:sz w:val="18"/>
                <w:szCs w:val="18"/>
              </w:rPr>
              <w:t>865</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499 </w:t>
            </w:r>
            <w:r w:rsidRPr="00F51994">
              <w:rPr>
                <w:rFonts w:asciiTheme="minorHAnsi" w:hAnsiTheme="minorHAnsi" w:cs="Arial"/>
                <w:sz w:val="18"/>
                <w:szCs w:val="18"/>
              </w:rPr>
              <w:t>419</w:t>
            </w:r>
          </w:p>
        </w:tc>
        <w:tc>
          <w:tcPr>
            <w:tcW w:w="114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778 </w:t>
            </w:r>
            <w:r w:rsidRPr="00F51994">
              <w:rPr>
                <w:rFonts w:asciiTheme="minorHAnsi" w:hAnsiTheme="minorHAnsi" w:cs="Arial"/>
                <w:sz w:val="18"/>
                <w:szCs w:val="18"/>
              </w:rPr>
              <w:t>673</w:t>
            </w:r>
          </w:p>
        </w:tc>
        <w:tc>
          <w:tcPr>
            <w:tcW w:w="113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1 215 </w:t>
            </w:r>
            <w:r w:rsidRPr="00F51994">
              <w:rPr>
                <w:rFonts w:asciiTheme="minorHAnsi" w:hAnsiTheme="minorHAnsi" w:cs="Arial"/>
                <w:sz w:val="18"/>
                <w:szCs w:val="18"/>
              </w:rPr>
              <w:t>514</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sz w:val="18"/>
                <w:szCs w:val="18"/>
              </w:rPr>
              <w:t>-Nominal Tax Depreciation</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1 </w:t>
            </w:r>
            <w:r w:rsidRPr="00F51994">
              <w:rPr>
                <w:rFonts w:asciiTheme="minorHAnsi" w:hAnsiTheme="minorHAnsi" w:cs="Arial"/>
                <w:sz w:val="18"/>
                <w:szCs w:val="18"/>
              </w:rPr>
              <w:t>245</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57 </w:t>
            </w:r>
            <w:r w:rsidRPr="00F51994">
              <w:rPr>
                <w:rFonts w:asciiTheme="minorHAnsi" w:hAnsiTheme="minorHAnsi" w:cs="Arial"/>
                <w:sz w:val="18"/>
                <w:szCs w:val="18"/>
              </w:rPr>
              <w:t>929</w:t>
            </w:r>
          </w:p>
        </w:tc>
        <w:tc>
          <w:tcPr>
            <w:tcW w:w="114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Pr>
                <w:rFonts w:asciiTheme="minorHAnsi" w:hAnsiTheme="minorHAnsi" w:cs="Arial"/>
                <w:sz w:val="18"/>
                <w:szCs w:val="18"/>
              </w:rPr>
              <w:t xml:space="preserve">164 </w:t>
            </w:r>
            <w:r w:rsidRPr="00F51994">
              <w:rPr>
                <w:rFonts w:asciiTheme="minorHAnsi" w:hAnsiTheme="minorHAnsi" w:cs="Arial"/>
                <w:sz w:val="18"/>
                <w:szCs w:val="18"/>
              </w:rPr>
              <w:t>904</w:t>
            </w:r>
          </w:p>
        </w:tc>
        <w:tc>
          <w:tcPr>
            <w:tcW w:w="113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300</w:t>
            </w:r>
            <w:r>
              <w:rPr>
                <w:rFonts w:asciiTheme="minorHAnsi" w:hAnsiTheme="minorHAnsi" w:cs="Arial"/>
                <w:sz w:val="18"/>
                <w:szCs w:val="18"/>
              </w:rPr>
              <w:t xml:space="preserve"> </w:t>
            </w:r>
            <w:r w:rsidRPr="00F51994">
              <w:rPr>
                <w:rFonts w:asciiTheme="minorHAnsi" w:hAnsiTheme="minorHAnsi" w:cs="Arial"/>
                <w:sz w:val="18"/>
                <w:szCs w:val="18"/>
              </w:rPr>
              <w:t>744</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sz w:val="18"/>
                <w:szCs w:val="18"/>
              </w:rPr>
              <w:t>-Interest Expense</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0</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0</w:t>
            </w:r>
          </w:p>
        </w:tc>
        <w:tc>
          <w:tcPr>
            <w:tcW w:w="97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15</w:t>
            </w:r>
          </w:p>
        </w:tc>
        <w:tc>
          <w:tcPr>
            <w:tcW w:w="114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123</w:t>
            </w:r>
          </w:p>
        </w:tc>
        <w:tc>
          <w:tcPr>
            <w:tcW w:w="1134"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1</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bCs/>
                <w:sz w:val="18"/>
                <w:szCs w:val="18"/>
              </w:rPr>
            </w:pPr>
            <w:r w:rsidRPr="00F51994">
              <w:rPr>
                <w:rFonts w:asciiTheme="minorHAnsi" w:hAnsiTheme="minorHAnsi" w:cs="Arial"/>
                <w:bCs/>
                <w:sz w:val="18"/>
                <w:szCs w:val="18"/>
              </w:rPr>
              <w:t xml:space="preserve">Taxable Profit </w:t>
            </w:r>
          </w:p>
        </w:tc>
        <w:tc>
          <w:tcPr>
            <w:tcW w:w="973" w:type="dxa"/>
            <w:vAlign w:val="bottom"/>
          </w:tcPr>
          <w:p w:rsidR="00752D9B" w:rsidRPr="00F51994" w:rsidRDefault="00752D9B" w:rsidP="00B61244">
            <w:pPr>
              <w:keepNext/>
              <w:keepLines/>
              <w:spacing w:before="60" w:after="60"/>
              <w:jc w:val="center"/>
              <w:rPr>
                <w:rFonts w:asciiTheme="minorHAnsi" w:hAnsiTheme="minorHAnsi" w:cs="Arial"/>
                <w:bCs/>
                <w:i/>
                <w:iCs/>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sidRPr="00F51994">
              <w:rPr>
                <w:rFonts w:asciiTheme="minorHAnsi" w:hAnsiTheme="minorHAnsi" w:cs="Arial"/>
                <w:bCs/>
                <w:sz w:val="18"/>
                <w:szCs w:val="18"/>
              </w:rPr>
              <w:t>(139)</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sidRPr="00F51994">
              <w:rPr>
                <w:rFonts w:asciiTheme="minorHAnsi" w:hAnsiTheme="minorHAnsi" w:cs="Arial"/>
                <w:bCs/>
                <w:sz w:val="18"/>
                <w:szCs w:val="18"/>
              </w:rPr>
              <w:t>(82</w:t>
            </w:r>
            <w:r>
              <w:rPr>
                <w:rFonts w:asciiTheme="minorHAnsi" w:hAnsiTheme="minorHAnsi" w:cs="Arial"/>
                <w:bCs/>
                <w:sz w:val="18"/>
                <w:szCs w:val="18"/>
              </w:rPr>
              <w:t xml:space="preserve"> </w:t>
            </w:r>
            <w:r w:rsidRPr="00F51994">
              <w:rPr>
                <w:rFonts w:asciiTheme="minorHAnsi" w:hAnsiTheme="minorHAnsi" w:cs="Arial"/>
                <w:bCs/>
                <w:sz w:val="18"/>
                <w:szCs w:val="18"/>
              </w:rPr>
              <w:t>256)</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(332 </w:t>
            </w:r>
            <w:r w:rsidRPr="00F51994">
              <w:rPr>
                <w:rFonts w:asciiTheme="minorHAnsi" w:hAnsiTheme="minorHAnsi" w:cs="Arial"/>
                <w:bCs/>
                <w:sz w:val="18"/>
                <w:szCs w:val="18"/>
              </w:rPr>
              <w:t>110)</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(555 </w:t>
            </w:r>
            <w:r w:rsidRPr="00F51994">
              <w:rPr>
                <w:rFonts w:asciiTheme="minorHAnsi" w:hAnsiTheme="minorHAnsi" w:cs="Arial"/>
                <w:bCs/>
                <w:sz w:val="18"/>
                <w:szCs w:val="18"/>
              </w:rPr>
              <w:t>420)</w:t>
            </w:r>
          </w:p>
        </w:tc>
        <w:tc>
          <w:tcPr>
            <w:tcW w:w="1144"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(804 </w:t>
            </w:r>
            <w:r w:rsidRPr="00F51994">
              <w:rPr>
                <w:rFonts w:asciiTheme="minorHAnsi" w:hAnsiTheme="minorHAnsi" w:cs="Arial"/>
                <w:bCs/>
                <w:sz w:val="18"/>
                <w:szCs w:val="18"/>
              </w:rPr>
              <w:t>023)</w:t>
            </w:r>
          </w:p>
        </w:tc>
        <w:tc>
          <w:tcPr>
            <w:tcW w:w="1134"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sidRPr="00F51994">
              <w:rPr>
                <w:rFonts w:asciiTheme="minorHAnsi" w:hAnsiTheme="minorHAnsi" w:cs="Arial"/>
                <w:bCs/>
                <w:sz w:val="18"/>
                <w:szCs w:val="18"/>
              </w:rPr>
              <w:t>(1</w:t>
            </w:r>
            <w:r>
              <w:rPr>
                <w:rFonts w:asciiTheme="minorHAnsi" w:hAnsiTheme="minorHAnsi" w:cs="Arial"/>
                <w:bCs/>
                <w:sz w:val="18"/>
                <w:szCs w:val="18"/>
              </w:rPr>
              <w:t xml:space="preserve"> </w:t>
            </w:r>
            <w:r w:rsidRPr="00F51994">
              <w:rPr>
                <w:rFonts w:asciiTheme="minorHAnsi" w:hAnsiTheme="minorHAnsi" w:cs="Arial"/>
                <w:bCs/>
                <w:sz w:val="18"/>
                <w:szCs w:val="18"/>
              </w:rPr>
              <w:t>388</w:t>
            </w:r>
            <w:r>
              <w:rPr>
                <w:rFonts w:asciiTheme="minorHAnsi" w:hAnsiTheme="minorHAnsi" w:cs="Arial"/>
                <w:bCs/>
                <w:sz w:val="18"/>
                <w:szCs w:val="18"/>
              </w:rPr>
              <w:t xml:space="preserve"> </w:t>
            </w:r>
            <w:r w:rsidRPr="00F51994">
              <w:rPr>
                <w:rFonts w:asciiTheme="minorHAnsi" w:hAnsiTheme="minorHAnsi" w:cs="Arial"/>
                <w:bCs/>
                <w:sz w:val="18"/>
                <w:szCs w:val="18"/>
              </w:rPr>
              <w:t>050)</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bCs/>
                <w:sz w:val="18"/>
                <w:szCs w:val="18"/>
              </w:rPr>
              <w:t>Tax Loss Carried Forward (</w:t>
            </w:r>
            <w:r w:rsidRPr="00F51994">
              <w:rPr>
                <w:rFonts w:asciiTheme="minorHAnsi" w:hAnsiTheme="minorHAnsi" w:cs="Arial"/>
                <w:sz w:val="18"/>
                <w:szCs w:val="18"/>
              </w:rPr>
              <w:t xml:space="preserve">Start period) </w:t>
            </w:r>
          </w:p>
        </w:tc>
        <w:tc>
          <w:tcPr>
            <w:tcW w:w="973" w:type="dxa"/>
            <w:vAlign w:val="bottom"/>
          </w:tcPr>
          <w:p w:rsidR="00752D9B" w:rsidRPr="00F51994" w:rsidRDefault="00752D9B" w:rsidP="00B61244">
            <w:pPr>
              <w:keepNext/>
              <w:keepLines/>
              <w:spacing w:before="60" w:after="60"/>
              <w:jc w:val="center"/>
              <w:rPr>
                <w:rFonts w:asciiTheme="minorHAnsi" w:hAnsiTheme="minorHAnsi" w:cs="Arial"/>
                <w:bCs/>
                <w:i/>
                <w:iCs/>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bCs/>
                <w:sz w:val="18"/>
                <w:szCs w:val="18"/>
              </w:rPr>
            </w:pPr>
            <w:r w:rsidRPr="00F51994">
              <w:rPr>
                <w:rFonts w:asciiTheme="minorHAnsi" w:hAnsiTheme="minorHAnsi" w:cs="Arial"/>
                <w:bCs/>
                <w:sz w:val="18"/>
                <w:szCs w:val="18"/>
              </w:rPr>
              <w:t>-</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sidRPr="00F51994">
              <w:rPr>
                <w:rFonts w:asciiTheme="minorHAnsi" w:hAnsiTheme="minorHAnsi" w:cs="Arial"/>
                <w:bCs/>
                <w:sz w:val="18"/>
                <w:szCs w:val="18"/>
              </w:rPr>
              <w:t>(139)</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(82 </w:t>
            </w:r>
            <w:r w:rsidRPr="00F51994">
              <w:rPr>
                <w:rFonts w:asciiTheme="minorHAnsi" w:hAnsiTheme="minorHAnsi" w:cs="Arial"/>
                <w:bCs/>
                <w:sz w:val="18"/>
                <w:szCs w:val="18"/>
              </w:rPr>
              <w:t>395)</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(414 </w:t>
            </w:r>
            <w:r w:rsidRPr="00F51994">
              <w:rPr>
                <w:rFonts w:asciiTheme="minorHAnsi" w:hAnsiTheme="minorHAnsi" w:cs="Arial"/>
                <w:bCs/>
                <w:sz w:val="18"/>
                <w:szCs w:val="18"/>
              </w:rPr>
              <w:t>505)</w:t>
            </w:r>
          </w:p>
        </w:tc>
        <w:tc>
          <w:tcPr>
            <w:tcW w:w="1144"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(969 </w:t>
            </w:r>
            <w:r w:rsidRPr="00F51994">
              <w:rPr>
                <w:rFonts w:asciiTheme="minorHAnsi" w:hAnsiTheme="minorHAnsi" w:cs="Arial"/>
                <w:bCs/>
                <w:sz w:val="18"/>
                <w:szCs w:val="18"/>
              </w:rPr>
              <w:t>924)</w:t>
            </w:r>
          </w:p>
        </w:tc>
        <w:tc>
          <w:tcPr>
            <w:tcW w:w="1134"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(1 </w:t>
            </w:r>
            <w:r w:rsidRPr="00F51994">
              <w:rPr>
                <w:rFonts w:asciiTheme="minorHAnsi" w:hAnsiTheme="minorHAnsi" w:cs="Arial"/>
                <w:bCs/>
                <w:sz w:val="18"/>
                <w:szCs w:val="18"/>
              </w:rPr>
              <w:t>773</w:t>
            </w:r>
            <w:r>
              <w:rPr>
                <w:rFonts w:asciiTheme="minorHAnsi" w:hAnsiTheme="minorHAnsi" w:cs="Arial"/>
                <w:bCs/>
                <w:sz w:val="18"/>
                <w:szCs w:val="18"/>
              </w:rPr>
              <w:t xml:space="preserve"> </w:t>
            </w:r>
            <w:r w:rsidRPr="00F51994">
              <w:rPr>
                <w:rFonts w:asciiTheme="minorHAnsi" w:hAnsiTheme="minorHAnsi" w:cs="Arial"/>
                <w:bCs/>
                <w:sz w:val="18"/>
                <w:szCs w:val="18"/>
              </w:rPr>
              <w:t>947)</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bCs/>
                <w:sz w:val="18"/>
                <w:szCs w:val="18"/>
              </w:rPr>
              <w:t>Tax Loss Carried Forward (</w:t>
            </w:r>
            <w:r w:rsidRPr="00F51994">
              <w:rPr>
                <w:rFonts w:asciiTheme="minorHAnsi" w:hAnsiTheme="minorHAnsi" w:cs="Arial"/>
                <w:sz w:val="18"/>
                <w:szCs w:val="18"/>
              </w:rPr>
              <w:t>End period)</w:t>
            </w:r>
            <w:r w:rsidRPr="00F51994">
              <w:rPr>
                <w:rFonts w:asciiTheme="minorHAnsi" w:hAnsiTheme="minorHAnsi" w:cs="Arial"/>
                <w:bCs/>
                <w:sz w:val="18"/>
                <w:szCs w:val="18"/>
              </w:rPr>
              <w:t xml:space="preserve"> </w:t>
            </w:r>
          </w:p>
        </w:tc>
        <w:tc>
          <w:tcPr>
            <w:tcW w:w="973" w:type="dxa"/>
            <w:vAlign w:val="bottom"/>
          </w:tcPr>
          <w:p w:rsidR="00752D9B" w:rsidRPr="00F51994" w:rsidRDefault="00752D9B" w:rsidP="00B61244">
            <w:pPr>
              <w:keepNext/>
              <w:keepLines/>
              <w:spacing w:before="60" w:after="60"/>
              <w:jc w:val="center"/>
              <w:rPr>
                <w:rFonts w:asciiTheme="minorHAnsi" w:hAnsiTheme="minorHAnsi" w:cs="Arial"/>
                <w:bCs/>
                <w:i/>
                <w:iCs/>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sidRPr="00F51994">
              <w:rPr>
                <w:rFonts w:asciiTheme="minorHAnsi" w:hAnsiTheme="minorHAnsi" w:cs="Arial"/>
                <w:bCs/>
                <w:sz w:val="18"/>
                <w:szCs w:val="18"/>
              </w:rPr>
              <w:t>(139)</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(82 </w:t>
            </w:r>
            <w:r w:rsidRPr="00F51994">
              <w:rPr>
                <w:rFonts w:asciiTheme="minorHAnsi" w:hAnsiTheme="minorHAnsi" w:cs="Arial"/>
                <w:bCs/>
                <w:sz w:val="18"/>
                <w:szCs w:val="18"/>
              </w:rPr>
              <w:t>395)</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(414 </w:t>
            </w:r>
            <w:r w:rsidRPr="00F51994">
              <w:rPr>
                <w:rFonts w:asciiTheme="minorHAnsi" w:hAnsiTheme="minorHAnsi" w:cs="Arial"/>
                <w:bCs/>
                <w:sz w:val="18"/>
                <w:szCs w:val="18"/>
              </w:rPr>
              <w:t>505)</w:t>
            </w:r>
          </w:p>
        </w:tc>
        <w:tc>
          <w:tcPr>
            <w:tcW w:w="973"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(969 </w:t>
            </w:r>
            <w:r w:rsidRPr="00F51994">
              <w:rPr>
                <w:rFonts w:asciiTheme="minorHAnsi" w:hAnsiTheme="minorHAnsi" w:cs="Arial"/>
                <w:bCs/>
                <w:sz w:val="18"/>
                <w:szCs w:val="18"/>
              </w:rPr>
              <w:t>924)</w:t>
            </w:r>
          </w:p>
        </w:tc>
        <w:tc>
          <w:tcPr>
            <w:tcW w:w="1144"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(1 773 </w:t>
            </w:r>
            <w:r w:rsidRPr="00F51994">
              <w:rPr>
                <w:rFonts w:asciiTheme="minorHAnsi" w:hAnsiTheme="minorHAnsi" w:cs="Arial"/>
                <w:bCs/>
                <w:sz w:val="18"/>
                <w:szCs w:val="18"/>
              </w:rPr>
              <w:t>947)</w:t>
            </w:r>
          </w:p>
        </w:tc>
        <w:tc>
          <w:tcPr>
            <w:tcW w:w="1134" w:type="dxa"/>
            <w:vAlign w:val="bottom"/>
          </w:tcPr>
          <w:p w:rsidR="00752D9B" w:rsidRPr="00F51994" w:rsidRDefault="00752D9B" w:rsidP="00B61244">
            <w:pPr>
              <w:keepNext/>
              <w:keepLines/>
              <w:spacing w:before="60" w:after="60"/>
              <w:jc w:val="right"/>
              <w:rPr>
                <w:rFonts w:asciiTheme="minorHAnsi" w:hAnsiTheme="minorHAnsi" w:cs="Arial"/>
                <w:bCs/>
                <w:sz w:val="18"/>
                <w:szCs w:val="18"/>
              </w:rPr>
            </w:pPr>
            <w:r>
              <w:rPr>
                <w:rFonts w:asciiTheme="minorHAnsi" w:hAnsiTheme="minorHAnsi" w:cs="Arial"/>
                <w:bCs/>
                <w:sz w:val="18"/>
                <w:szCs w:val="18"/>
              </w:rPr>
              <w:t xml:space="preserve">(3 161 </w:t>
            </w:r>
            <w:r w:rsidRPr="00F51994">
              <w:rPr>
                <w:rFonts w:asciiTheme="minorHAnsi" w:hAnsiTheme="minorHAnsi" w:cs="Arial"/>
                <w:bCs/>
                <w:sz w:val="18"/>
                <w:szCs w:val="18"/>
              </w:rPr>
              <w:t>997)</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bCs/>
                <w:sz w:val="18"/>
                <w:szCs w:val="18"/>
              </w:rPr>
            </w:pPr>
            <w:r w:rsidRPr="00F51994">
              <w:rPr>
                <w:rFonts w:asciiTheme="minorHAnsi" w:hAnsiTheme="minorHAnsi" w:cs="Arial"/>
                <w:bCs/>
                <w:sz w:val="18"/>
                <w:szCs w:val="18"/>
              </w:rPr>
              <w:t xml:space="preserve">Net Tax Allowance </w:t>
            </w:r>
          </w:p>
        </w:tc>
        <w:tc>
          <w:tcPr>
            <w:tcW w:w="973"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b/>
                <w:bCs/>
                <w:sz w:val="18"/>
                <w:szCs w:val="18"/>
              </w:rPr>
            </w:pPr>
            <w:r w:rsidRPr="00F51994">
              <w:rPr>
                <w:rFonts w:asciiTheme="minorHAnsi" w:hAnsiTheme="minorHAnsi" w:cs="Arial"/>
                <w:b/>
                <w:bCs/>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b/>
                <w:bCs/>
                <w:sz w:val="18"/>
                <w:szCs w:val="18"/>
              </w:rPr>
            </w:pPr>
            <w:r w:rsidRPr="00F51994">
              <w:rPr>
                <w:rFonts w:asciiTheme="minorHAnsi" w:hAnsiTheme="minorHAnsi" w:cs="Arial"/>
                <w:b/>
                <w:bCs/>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b/>
                <w:bCs/>
                <w:sz w:val="18"/>
                <w:szCs w:val="18"/>
              </w:rPr>
            </w:pPr>
            <w:r w:rsidRPr="00F51994">
              <w:rPr>
                <w:rFonts w:asciiTheme="minorHAnsi" w:hAnsiTheme="minorHAnsi" w:cs="Arial"/>
                <w:b/>
                <w:bCs/>
                <w:sz w:val="18"/>
                <w:szCs w:val="18"/>
              </w:rPr>
              <w:t>-</w:t>
            </w:r>
          </w:p>
        </w:tc>
        <w:tc>
          <w:tcPr>
            <w:tcW w:w="973" w:type="dxa"/>
            <w:vAlign w:val="bottom"/>
          </w:tcPr>
          <w:p w:rsidR="00752D9B" w:rsidRPr="00F51994" w:rsidRDefault="00752D9B" w:rsidP="00B61244">
            <w:pPr>
              <w:keepNext/>
              <w:keepLines/>
              <w:spacing w:before="60" w:after="60"/>
              <w:jc w:val="center"/>
              <w:rPr>
                <w:rFonts w:asciiTheme="minorHAnsi" w:hAnsiTheme="minorHAnsi" w:cs="Arial"/>
                <w:b/>
                <w:bCs/>
                <w:sz w:val="18"/>
                <w:szCs w:val="18"/>
              </w:rPr>
            </w:pPr>
            <w:r w:rsidRPr="00F51994">
              <w:rPr>
                <w:rFonts w:asciiTheme="minorHAnsi" w:hAnsiTheme="minorHAnsi" w:cs="Arial"/>
                <w:b/>
                <w:bCs/>
                <w:sz w:val="18"/>
                <w:szCs w:val="18"/>
              </w:rPr>
              <w:t>-</w:t>
            </w:r>
          </w:p>
        </w:tc>
        <w:tc>
          <w:tcPr>
            <w:tcW w:w="1144" w:type="dxa"/>
            <w:vAlign w:val="bottom"/>
          </w:tcPr>
          <w:p w:rsidR="00752D9B" w:rsidRPr="00F51994" w:rsidRDefault="00752D9B" w:rsidP="00B61244">
            <w:pPr>
              <w:keepNext/>
              <w:keepLines/>
              <w:spacing w:before="60" w:after="60"/>
              <w:jc w:val="center"/>
              <w:rPr>
                <w:rFonts w:asciiTheme="minorHAnsi" w:hAnsiTheme="minorHAnsi" w:cs="Arial"/>
                <w:b/>
                <w:bCs/>
                <w:sz w:val="18"/>
                <w:szCs w:val="18"/>
              </w:rPr>
            </w:pPr>
            <w:r w:rsidRPr="00F51994">
              <w:rPr>
                <w:rFonts w:asciiTheme="minorHAnsi" w:hAnsiTheme="minorHAnsi" w:cs="Arial"/>
                <w:b/>
                <w:bCs/>
                <w:sz w:val="18"/>
                <w:szCs w:val="18"/>
              </w:rPr>
              <w:t>-</w:t>
            </w:r>
          </w:p>
        </w:tc>
        <w:tc>
          <w:tcPr>
            <w:tcW w:w="1134" w:type="dxa"/>
            <w:vAlign w:val="bottom"/>
          </w:tcPr>
          <w:p w:rsidR="00752D9B" w:rsidRPr="00F51994" w:rsidRDefault="00752D9B" w:rsidP="00B61244">
            <w:pPr>
              <w:keepNext/>
              <w:keepLines/>
              <w:spacing w:before="60" w:after="60"/>
              <w:jc w:val="center"/>
              <w:rPr>
                <w:rFonts w:asciiTheme="minorHAnsi" w:hAnsiTheme="minorHAnsi" w:cs="Arial"/>
                <w:b/>
                <w:bCs/>
                <w:sz w:val="18"/>
                <w:szCs w:val="18"/>
              </w:rPr>
            </w:pPr>
            <w:r w:rsidRPr="00F51994">
              <w:rPr>
                <w:rFonts w:asciiTheme="minorHAnsi" w:hAnsiTheme="minorHAnsi" w:cs="Arial"/>
                <w:b/>
                <w:bCs/>
                <w:sz w:val="18"/>
                <w:szCs w:val="18"/>
              </w:rPr>
              <w:t>-</w:t>
            </w:r>
          </w:p>
        </w:tc>
      </w:tr>
    </w:tbl>
    <w:p w:rsidR="00752D9B" w:rsidRDefault="00752D9B" w:rsidP="00752D9B">
      <w:pPr>
        <w:spacing w:after="200" w:line="276" w:lineRule="auto"/>
        <w:rPr>
          <w:rFonts w:asciiTheme="minorHAnsi" w:hAnsiTheme="minorHAnsi"/>
          <w:szCs w:val="20"/>
        </w:rPr>
      </w:pPr>
    </w:p>
    <w:tbl>
      <w:tblPr>
        <w:tblStyle w:val="TableGrid"/>
        <w:tblW w:w="9180" w:type="dxa"/>
        <w:tblLook w:val="04A0" w:firstRow="1" w:lastRow="0" w:firstColumn="1" w:lastColumn="0" w:noHBand="0" w:noVBand="1"/>
      </w:tblPr>
      <w:tblGrid>
        <w:gridCol w:w="2093"/>
        <w:gridCol w:w="1012"/>
        <w:gridCol w:w="1012"/>
        <w:gridCol w:w="1013"/>
        <w:gridCol w:w="1012"/>
        <w:gridCol w:w="1013"/>
        <w:gridCol w:w="1012"/>
        <w:gridCol w:w="1013"/>
      </w:tblGrid>
      <w:tr w:rsidR="00752D9B" w:rsidRPr="000E1C8E" w:rsidTr="00B61244">
        <w:tc>
          <w:tcPr>
            <w:tcW w:w="2093" w:type="dxa"/>
            <w:shd w:val="clear" w:color="auto" w:fill="D9D9D9" w:themeFill="background1" w:themeFillShade="D9"/>
          </w:tcPr>
          <w:p w:rsidR="00752D9B" w:rsidRPr="000E1C8E" w:rsidRDefault="00752D9B" w:rsidP="00B61244">
            <w:pPr>
              <w:spacing w:before="60" w:after="60"/>
              <w:rPr>
                <w:rFonts w:asciiTheme="minorHAnsi" w:hAnsiTheme="minorHAnsi"/>
                <w:b/>
                <w:sz w:val="18"/>
                <w:szCs w:val="18"/>
              </w:rPr>
            </w:pPr>
            <w:r w:rsidRPr="000E1C8E">
              <w:rPr>
                <w:rFonts w:asciiTheme="minorHAnsi" w:hAnsiTheme="minorHAnsi"/>
                <w:b/>
                <w:sz w:val="18"/>
                <w:szCs w:val="18"/>
              </w:rPr>
              <w:lastRenderedPageBreak/>
              <w:t>Year</w:t>
            </w:r>
          </w:p>
        </w:tc>
        <w:tc>
          <w:tcPr>
            <w:tcW w:w="101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2007-08</w:t>
            </w:r>
          </w:p>
        </w:tc>
        <w:tc>
          <w:tcPr>
            <w:tcW w:w="101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2008-09</w:t>
            </w:r>
          </w:p>
        </w:tc>
        <w:tc>
          <w:tcPr>
            <w:tcW w:w="101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2009-10</w:t>
            </w:r>
          </w:p>
        </w:tc>
        <w:tc>
          <w:tcPr>
            <w:tcW w:w="101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2010-11</w:t>
            </w:r>
          </w:p>
        </w:tc>
        <w:tc>
          <w:tcPr>
            <w:tcW w:w="101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2011-12</w:t>
            </w:r>
          </w:p>
        </w:tc>
        <w:tc>
          <w:tcPr>
            <w:tcW w:w="1012"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2012-13</w:t>
            </w:r>
          </w:p>
        </w:tc>
        <w:tc>
          <w:tcPr>
            <w:tcW w:w="1013" w:type="dxa"/>
            <w:shd w:val="clear" w:color="auto" w:fill="D9D9D9" w:themeFill="background1" w:themeFillShade="D9"/>
          </w:tcPr>
          <w:p w:rsidR="00752D9B" w:rsidRPr="000E1C8E" w:rsidRDefault="00752D9B" w:rsidP="00B61244">
            <w:pPr>
              <w:spacing w:before="60" w:after="60"/>
              <w:jc w:val="center"/>
              <w:rPr>
                <w:rFonts w:asciiTheme="minorHAnsi" w:hAnsiTheme="minorHAnsi"/>
                <w:b/>
                <w:sz w:val="18"/>
                <w:szCs w:val="18"/>
              </w:rPr>
            </w:pPr>
            <w:r w:rsidRPr="000E1C8E">
              <w:rPr>
                <w:rFonts w:asciiTheme="minorHAnsi" w:hAnsiTheme="minorHAnsi"/>
                <w:b/>
                <w:sz w:val="18"/>
                <w:szCs w:val="18"/>
              </w:rPr>
              <w:t>2013-14</w:t>
            </w:r>
          </w:p>
        </w:tc>
      </w:tr>
      <w:tr w:rsidR="00752D9B" w:rsidRPr="000E1C8E" w:rsidTr="00B61244">
        <w:tc>
          <w:tcPr>
            <w:tcW w:w="9180" w:type="dxa"/>
            <w:gridSpan w:val="8"/>
            <w:shd w:val="clear" w:color="auto" w:fill="F2F2F2" w:themeFill="background1" w:themeFillShade="F2"/>
          </w:tcPr>
          <w:p w:rsidR="00752D9B" w:rsidRPr="000E1C8E" w:rsidRDefault="00752D9B" w:rsidP="00B61244">
            <w:pPr>
              <w:spacing w:before="60" w:after="60"/>
              <w:rPr>
                <w:rFonts w:asciiTheme="minorHAnsi" w:hAnsiTheme="minorHAnsi"/>
                <w:b/>
                <w:sz w:val="18"/>
                <w:szCs w:val="18"/>
              </w:rPr>
            </w:pPr>
            <w:r w:rsidRPr="00F51994">
              <w:rPr>
                <w:rFonts w:asciiTheme="minorHAnsi" w:hAnsiTheme="minorHAnsi" w:cs="Arial"/>
                <w:b/>
                <w:sz w:val="18"/>
                <w:szCs w:val="18"/>
              </w:rPr>
              <w:t>ICRA and CFRA ($'000 NOMINAL) – as per Clause 1E.5</w:t>
            </w:r>
          </w:p>
        </w:tc>
      </w:tr>
      <w:tr w:rsidR="00752D9B" w:rsidRPr="009D776F" w:rsidTr="00B61244">
        <w:tc>
          <w:tcPr>
            <w:tcW w:w="2093" w:type="dxa"/>
            <w:vAlign w:val="bottom"/>
          </w:tcPr>
          <w:p w:rsidR="00752D9B" w:rsidRPr="009D776F" w:rsidRDefault="009D776F" w:rsidP="009D776F">
            <w:pPr>
              <w:keepNext/>
              <w:keepLines/>
              <w:spacing w:before="60" w:after="60"/>
              <w:rPr>
                <w:rFonts w:asciiTheme="minorHAnsi" w:hAnsiTheme="minorHAnsi" w:cs="Arial"/>
                <w:sz w:val="18"/>
                <w:szCs w:val="18"/>
              </w:rPr>
            </w:pPr>
            <w:r w:rsidRPr="009D776F">
              <w:rPr>
                <w:rFonts w:asciiTheme="minorHAnsi" w:hAnsiTheme="minorHAnsi" w:cs="Arial"/>
                <w:sz w:val="18"/>
                <w:szCs w:val="18"/>
              </w:rPr>
              <w:t xml:space="preserve">ICRA (start period) </w:t>
            </w:r>
          </w:p>
        </w:tc>
        <w:tc>
          <w:tcPr>
            <w:tcW w:w="1012" w:type="dxa"/>
            <w:vAlign w:val="bottom"/>
          </w:tcPr>
          <w:p w:rsidR="00752D9B" w:rsidRPr="009D776F" w:rsidRDefault="00752D9B" w:rsidP="00B61244">
            <w:pPr>
              <w:keepNext/>
              <w:keepLines/>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1012" w:type="dxa"/>
            <w:vAlign w:val="bottom"/>
          </w:tcPr>
          <w:p w:rsidR="00752D9B" w:rsidRPr="009D776F" w:rsidRDefault="00752D9B" w:rsidP="00B61244">
            <w:pPr>
              <w:keepNext/>
              <w:keepLines/>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1013"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139</w:t>
            </w:r>
          </w:p>
        </w:tc>
        <w:tc>
          <w:tcPr>
            <w:tcW w:w="1012"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82 407</w:t>
            </w:r>
          </w:p>
        </w:tc>
        <w:tc>
          <w:tcPr>
            <w:tcW w:w="1013"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425 296</w:t>
            </w:r>
          </w:p>
        </w:tc>
        <w:tc>
          <w:tcPr>
            <w:tcW w:w="1012"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1 060 024</w:t>
            </w:r>
          </w:p>
        </w:tc>
        <w:tc>
          <w:tcPr>
            <w:tcW w:w="1013" w:type="dxa"/>
            <w:vAlign w:val="bottom"/>
          </w:tcPr>
          <w:p w:rsidR="00752D9B" w:rsidRPr="009D776F" w:rsidRDefault="00752D9B" w:rsidP="00B61244">
            <w:pPr>
              <w:keepNext/>
              <w:keepLines/>
              <w:spacing w:before="60" w:after="60"/>
              <w:jc w:val="right"/>
              <w:rPr>
                <w:rFonts w:asciiTheme="minorHAnsi" w:hAnsiTheme="minorHAnsi" w:cs="Arial"/>
                <w:strike/>
                <w:sz w:val="18"/>
                <w:szCs w:val="18"/>
              </w:rPr>
            </w:pPr>
            <w:r w:rsidRPr="009D776F">
              <w:rPr>
                <w:rFonts w:asciiTheme="minorHAnsi" w:hAnsiTheme="minorHAnsi" w:cs="Arial"/>
                <w:sz w:val="18"/>
                <w:szCs w:val="18"/>
              </w:rPr>
              <w:t>2 129 857</w:t>
            </w:r>
          </w:p>
        </w:tc>
      </w:tr>
      <w:tr w:rsidR="00752D9B" w:rsidRPr="009D776F" w:rsidTr="00B61244">
        <w:tc>
          <w:tcPr>
            <w:tcW w:w="2093" w:type="dxa"/>
            <w:vAlign w:val="bottom"/>
          </w:tcPr>
          <w:p w:rsidR="00752D9B" w:rsidRPr="009D776F" w:rsidRDefault="009D776F" w:rsidP="009D776F">
            <w:pPr>
              <w:keepNext/>
              <w:keepLines/>
              <w:spacing w:before="60" w:after="60"/>
              <w:rPr>
                <w:rFonts w:asciiTheme="minorHAnsi" w:hAnsiTheme="minorHAnsi" w:cs="Arial"/>
                <w:sz w:val="18"/>
                <w:szCs w:val="18"/>
              </w:rPr>
            </w:pPr>
            <w:r w:rsidRPr="009D776F">
              <w:rPr>
                <w:rFonts w:asciiTheme="minorHAnsi" w:hAnsiTheme="minorHAnsi" w:cs="Arial"/>
                <w:sz w:val="18"/>
                <w:szCs w:val="18"/>
              </w:rPr>
              <w:t xml:space="preserve">Unrecovered Cost </w:t>
            </w:r>
          </w:p>
        </w:tc>
        <w:tc>
          <w:tcPr>
            <w:tcW w:w="1012" w:type="dxa"/>
            <w:vAlign w:val="bottom"/>
          </w:tcPr>
          <w:p w:rsidR="00752D9B" w:rsidRPr="009D776F" w:rsidRDefault="00752D9B" w:rsidP="00B61244">
            <w:pPr>
              <w:keepNext/>
              <w:keepLines/>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1012"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139</w:t>
            </w:r>
          </w:p>
        </w:tc>
        <w:tc>
          <w:tcPr>
            <w:tcW w:w="1013"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82 255</w:t>
            </w:r>
          </w:p>
        </w:tc>
        <w:tc>
          <w:tcPr>
            <w:tcW w:w="1012"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335 551</w:t>
            </w:r>
          </w:p>
        </w:tc>
        <w:tc>
          <w:tcPr>
            <w:tcW w:w="1013"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597 625</w:t>
            </w:r>
          </w:p>
        </w:tc>
        <w:tc>
          <w:tcPr>
            <w:tcW w:w="1012" w:type="dxa"/>
            <w:vAlign w:val="bottom"/>
          </w:tcPr>
          <w:p w:rsidR="00752D9B" w:rsidRPr="009D776F" w:rsidRDefault="00752D9B" w:rsidP="00B61244">
            <w:pPr>
              <w:keepNext/>
              <w:keepLines/>
              <w:spacing w:before="60" w:after="60"/>
              <w:jc w:val="right"/>
              <w:rPr>
                <w:rFonts w:asciiTheme="minorHAnsi" w:hAnsiTheme="minorHAnsi" w:cs="Arial"/>
                <w:strike/>
                <w:sz w:val="18"/>
                <w:szCs w:val="18"/>
              </w:rPr>
            </w:pPr>
            <w:r w:rsidRPr="009D776F">
              <w:rPr>
                <w:rFonts w:asciiTheme="minorHAnsi" w:hAnsiTheme="minorHAnsi" w:cs="Arial"/>
                <w:sz w:val="18"/>
                <w:szCs w:val="18"/>
              </w:rPr>
              <w:t>1 000 833</w:t>
            </w:r>
          </w:p>
        </w:tc>
        <w:tc>
          <w:tcPr>
            <w:tcW w:w="1013" w:type="dxa"/>
            <w:vAlign w:val="bottom"/>
          </w:tcPr>
          <w:p w:rsidR="00752D9B" w:rsidRPr="009D776F" w:rsidRDefault="00752D9B" w:rsidP="00B61244">
            <w:pPr>
              <w:keepNext/>
              <w:keepLines/>
              <w:spacing w:before="60" w:after="60"/>
              <w:jc w:val="right"/>
              <w:rPr>
                <w:rFonts w:asciiTheme="minorHAnsi" w:hAnsiTheme="minorHAnsi" w:cs="Arial"/>
                <w:strike/>
                <w:sz w:val="18"/>
                <w:szCs w:val="18"/>
              </w:rPr>
            </w:pPr>
            <w:r w:rsidRPr="009D776F">
              <w:rPr>
                <w:rFonts w:asciiTheme="minorHAnsi" w:hAnsiTheme="minorHAnsi" w:cs="Arial"/>
                <w:sz w:val="18"/>
                <w:szCs w:val="18"/>
              </w:rPr>
              <w:t>1 625 343</w:t>
            </w:r>
          </w:p>
        </w:tc>
      </w:tr>
      <w:tr w:rsidR="00752D9B" w:rsidRPr="009D776F" w:rsidTr="00B61244">
        <w:tc>
          <w:tcPr>
            <w:tcW w:w="2093" w:type="dxa"/>
            <w:vAlign w:val="bottom"/>
          </w:tcPr>
          <w:p w:rsidR="00752D9B" w:rsidRPr="009D776F" w:rsidRDefault="00752D9B" w:rsidP="009D776F">
            <w:pPr>
              <w:keepNext/>
              <w:keepLines/>
              <w:spacing w:before="60" w:after="60"/>
              <w:rPr>
                <w:rFonts w:asciiTheme="minorHAnsi" w:hAnsiTheme="minorHAnsi" w:cs="Arial"/>
                <w:sz w:val="18"/>
                <w:szCs w:val="18"/>
              </w:rPr>
            </w:pPr>
            <w:r w:rsidRPr="009D776F">
              <w:rPr>
                <w:rFonts w:asciiTheme="minorHAnsi" w:hAnsiTheme="minorHAnsi" w:cs="Arial"/>
                <w:sz w:val="18"/>
                <w:szCs w:val="18"/>
              </w:rPr>
              <w:t xml:space="preserve">ICRA (end period) </w:t>
            </w:r>
          </w:p>
        </w:tc>
        <w:tc>
          <w:tcPr>
            <w:tcW w:w="1012" w:type="dxa"/>
            <w:vAlign w:val="bottom"/>
          </w:tcPr>
          <w:p w:rsidR="00752D9B" w:rsidRPr="009D776F" w:rsidRDefault="00752D9B" w:rsidP="00B61244">
            <w:pPr>
              <w:keepNext/>
              <w:keepLines/>
              <w:spacing w:before="60" w:after="60"/>
              <w:jc w:val="center"/>
              <w:rPr>
                <w:rFonts w:asciiTheme="minorHAnsi" w:hAnsiTheme="minorHAnsi" w:cs="Arial"/>
                <w:sz w:val="18"/>
                <w:szCs w:val="18"/>
              </w:rPr>
            </w:pPr>
            <w:r w:rsidRPr="009D776F">
              <w:rPr>
                <w:rFonts w:asciiTheme="minorHAnsi" w:hAnsiTheme="minorHAnsi" w:cs="Arial"/>
                <w:sz w:val="18"/>
                <w:szCs w:val="18"/>
              </w:rPr>
              <w:t>-</w:t>
            </w:r>
          </w:p>
        </w:tc>
        <w:tc>
          <w:tcPr>
            <w:tcW w:w="1012"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139</w:t>
            </w:r>
          </w:p>
        </w:tc>
        <w:tc>
          <w:tcPr>
            <w:tcW w:w="1013"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82 407</w:t>
            </w:r>
          </w:p>
        </w:tc>
        <w:tc>
          <w:tcPr>
            <w:tcW w:w="1012"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425 296</w:t>
            </w:r>
          </w:p>
        </w:tc>
        <w:tc>
          <w:tcPr>
            <w:tcW w:w="1013" w:type="dxa"/>
            <w:vAlign w:val="bottom"/>
          </w:tcPr>
          <w:p w:rsidR="00752D9B" w:rsidRPr="009D776F" w:rsidRDefault="00752D9B" w:rsidP="00B61244">
            <w:pPr>
              <w:keepNext/>
              <w:keepLines/>
              <w:spacing w:before="60" w:after="60"/>
              <w:jc w:val="right"/>
              <w:rPr>
                <w:rFonts w:asciiTheme="minorHAnsi" w:hAnsiTheme="minorHAnsi" w:cs="Arial"/>
                <w:sz w:val="18"/>
                <w:szCs w:val="18"/>
              </w:rPr>
            </w:pPr>
            <w:r w:rsidRPr="009D776F">
              <w:rPr>
                <w:rFonts w:asciiTheme="minorHAnsi" w:hAnsiTheme="minorHAnsi" w:cs="Arial"/>
                <w:sz w:val="18"/>
                <w:szCs w:val="18"/>
              </w:rPr>
              <w:t>1 060 024</w:t>
            </w:r>
          </w:p>
        </w:tc>
        <w:tc>
          <w:tcPr>
            <w:tcW w:w="1012" w:type="dxa"/>
            <w:vAlign w:val="bottom"/>
          </w:tcPr>
          <w:p w:rsidR="00752D9B" w:rsidRPr="009D776F" w:rsidRDefault="00752D9B" w:rsidP="00B61244">
            <w:pPr>
              <w:keepNext/>
              <w:keepLines/>
              <w:spacing w:before="60" w:after="60"/>
              <w:jc w:val="right"/>
              <w:rPr>
                <w:rFonts w:asciiTheme="minorHAnsi" w:hAnsiTheme="minorHAnsi" w:cs="Arial"/>
                <w:strike/>
                <w:sz w:val="18"/>
                <w:szCs w:val="18"/>
              </w:rPr>
            </w:pPr>
            <w:r w:rsidRPr="009D776F">
              <w:rPr>
                <w:rFonts w:asciiTheme="minorHAnsi" w:hAnsiTheme="minorHAnsi" w:cs="Arial"/>
                <w:sz w:val="18"/>
                <w:szCs w:val="18"/>
              </w:rPr>
              <w:t>2 129 857</w:t>
            </w:r>
          </w:p>
        </w:tc>
        <w:tc>
          <w:tcPr>
            <w:tcW w:w="1013" w:type="dxa"/>
            <w:vAlign w:val="bottom"/>
          </w:tcPr>
          <w:p w:rsidR="00752D9B" w:rsidRPr="009D776F" w:rsidRDefault="00752D9B" w:rsidP="00B61244">
            <w:pPr>
              <w:keepNext/>
              <w:keepLines/>
              <w:spacing w:before="60" w:after="60"/>
              <w:jc w:val="right"/>
              <w:rPr>
                <w:rFonts w:asciiTheme="minorHAnsi" w:hAnsiTheme="minorHAnsi" w:cs="Arial"/>
                <w:strike/>
                <w:sz w:val="18"/>
                <w:szCs w:val="18"/>
              </w:rPr>
            </w:pPr>
            <w:r w:rsidRPr="009D776F">
              <w:rPr>
                <w:rFonts w:asciiTheme="minorHAnsi" w:hAnsiTheme="minorHAnsi" w:cs="Arial"/>
                <w:sz w:val="18"/>
                <w:szCs w:val="18"/>
              </w:rPr>
              <w:t>3 905 948</w:t>
            </w:r>
          </w:p>
        </w:tc>
      </w:tr>
      <w:tr w:rsidR="00752D9B" w:rsidTr="00B61244">
        <w:tc>
          <w:tcPr>
            <w:tcW w:w="2093" w:type="dxa"/>
            <w:vAlign w:val="bottom"/>
          </w:tcPr>
          <w:p w:rsidR="00752D9B" w:rsidRPr="00F51994" w:rsidRDefault="00752D9B" w:rsidP="00B61244">
            <w:pPr>
              <w:keepNext/>
              <w:keepLines/>
              <w:spacing w:before="60" w:after="60"/>
              <w:rPr>
                <w:rFonts w:asciiTheme="minorHAnsi" w:hAnsiTheme="minorHAnsi" w:cs="Arial"/>
                <w:sz w:val="18"/>
                <w:szCs w:val="18"/>
              </w:rPr>
            </w:pPr>
            <w:r w:rsidRPr="00F51994">
              <w:rPr>
                <w:rFonts w:asciiTheme="minorHAnsi" w:hAnsiTheme="minorHAnsi" w:cs="Arial"/>
                <w:sz w:val="18"/>
                <w:szCs w:val="18"/>
              </w:rPr>
              <w:t xml:space="preserve">Carry Forward Revenue Adjustment </w:t>
            </w:r>
          </w:p>
        </w:tc>
        <w:tc>
          <w:tcPr>
            <w:tcW w:w="1012" w:type="dxa"/>
            <w:vAlign w:val="bottom"/>
          </w:tcPr>
          <w:p w:rsidR="00752D9B" w:rsidRPr="00F51994" w:rsidRDefault="00752D9B" w:rsidP="00B61244">
            <w:pPr>
              <w:keepNext/>
              <w:keepLines/>
              <w:spacing w:before="60" w:after="60"/>
              <w:jc w:val="center"/>
              <w:rPr>
                <w:rFonts w:asciiTheme="minorHAnsi" w:hAnsiTheme="minorHAnsi" w:cs="Arial"/>
                <w:sz w:val="18"/>
                <w:szCs w:val="18"/>
              </w:rPr>
            </w:pPr>
            <w:r w:rsidRPr="00F51994">
              <w:rPr>
                <w:rFonts w:asciiTheme="minorHAnsi" w:hAnsiTheme="minorHAnsi" w:cs="Arial"/>
                <w:sz w:val="18"/>
                <w:szCs w:val="18"/>
              </w:rPr>
              <w:t>-</w:t>
            </w:r>
          </w:p>
        </w:tc>
        <w:tc>
          <w:tcPr>
            <w:tcW w:w="1012" w:type="dxa"/>
            <w:vAlign w:val="bottom"/>
          </w:tcPr>
          <w:p w:rsidR="00752D9B" w:rsidRPr="00094A62" w:rsidRDefault="00752D9B" w:rsidP="00B61244">
            <w:pPr>
              <w:keepNext/>
              <w:keepLines/>
              <w:spacing w:before="60" w:after="60"/>
              <w:jc w:val="right"/>
              <w:rPr>
                <w:rFonts w:asciiTheme="minorHAnsi" w:hAnsiTheme="minorHAnsi" w:cs="Arial"/>
                <w:sz w:val="18"/>
                <w:szCs w:val="18"/>
              </w:rPr>
            </w:pPr>
            <w:r w:rsidRPr="00094A62">
              <w:rPr>
                <w:rFonts w:asciiTheme="minorHAnsi" w:hAnsiTheme="minorHAnsi" w:cs="Arial"/>
                <w:sz w:val="18"/>
                <w:szCs w:val="18"/>
              </w:rPr>
              <w:t>n/a</w:t>
            </w:r>
          </w:p>
        </w:tc>
        <w:tc>
          <w:tcPr>
            <w:tcW w:w="1013" w:type="dxa"/>
            <w:vAlign w:val="bottom"/>
          </w:tcPr>
          <w:p w:rsidR="00752D9B" w:rsidRPr="00094A62" w:rsidRDefault="00752D9B" w:rsidP="00B61244">
            <w:pPr>
              <w:keepNext/>
              <w:keepLines/>
              <w:spacing w:before="60" w:after="60"/>
              <w:jc w:val="right"/>
              <w:rPr>
                <w:rFonts w:asciiTheme="minorHAnsi" w:hAnsiTheme="minorHAnsi" w:cs="Arial"/>
                <w:sz w:val="18"/>
                <w:szCs w:val="18"/>
              </w:rPr>
            </w:pPr>
            <w:r w:rsidRPr="00094A62">
              <w:rPr>
                <w:rFonts w:asciiTheme="minorHAnsi" w:hAnsiTheme="minorHAnsi" w:cs="Arial"/>
                <w:sz w:val="18"/>
                <w:szCs w:val="18"/>
              </w:rPr>
              <w:t>n/a</w:t>
            </w:r>
          </w:p>
        </w:tc>
        <w:tc>
          <w:tcPr>
            <w:tcW w:w="1012"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n/a</w:t>
            </w:r>
          </w:p>
        </w:tc>
        <w:tc>
          <w:tcPr>
            <w:tcW w:w="101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n/a</w:t>
            </w:r>
          </w:p>
        </w:tc>
        <w:tc>
          <w:tcPr>
            <w:tcW w:w="1012"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n/a</w:t>
            </w:r>
          </w:p>
        </w:tc>
        <w:tc>
          <w:tcPr>
            <w:tcW w:w="1013" w:type="dxa"/>
            <w:vAlign w:val="bottom"/>
          </w:tcPr>
          <w:p w:rsidR="00752D9B" w:rsidRPr="00F51994" w:rsidRDefault="00752D9B" w:rsidP="00B61244">
            <w:pPr>
              <w:keepNext/>
              <w:keepLines/>
              <w:spacing w:before="60" w:after="60"/>
              <w:jc w:val="right"/>
              <w:rPr>
                <w:rFonts w:asciiTheme="minorHAnsi" w:hAnsiTheme="minorHAnsi" w:cs="Arial"/>
                <w:sz w:val="18"/>
                <w:szCs w:val="18"/>
              </w:rPr>
            </w:pPr>
            <w:r w:rsidRPr="00F51994">
              <w:rPr>
                <w:rFonts w:asciiTheme="minorHAnsi" w:hAnsiTheme="minorHAnsi" w:cs="Arial"/>
                <w:sz w:val="18"/>
                <w:szCs w:val="18"/>
              </w:rPr>
              <w:t>n/a</w:t>
            </w:r>
          </w:p>
        </w:tc>
      </w:tr>
    </w:tbl>
    <w:p w:rsidR="00752D9B" w:rsidRPr="00752D9B" w:rsidRDefault="00752D9B" w:rsidP="00752D9B"/>
    <w:p w:rsidR="00D121D4" w:rsidRDefault="00D121D4" w:rsidP="00BA7D3B">
      <w:pPr>
        <w:pStyle w:val="HeadingLevel1"/>
      </w:pPr>
      <w:bookmarkStart w:id="19" w:name="_Toc452626352"/>
      <w:r>
        <w:lastRenderedPageBreak/>
        <w:t xml:space="preserve">ACCC 2014-15 LTRCM </w:t>
      </w:r>
      <w:r w:rsidR="00EA5151">
        <w:t xml:space="preserve">final </w:t>
      </w:r>
      <w:r>
        <w:t>determination</w:t>
      </w:r>
      <w:r w:rsidR="00752D9B">
        <w:t xml:space="preserve"> and price compliance assessment</w:t>
      </w:r>
      <w:bookmarkEnd w:id="19"/>
    </w:p>
    <w:p w:rsidR="00D121D4" w:rsidRDefault="00752D9B" w:rsidP="00D121D4">
      <w:r>
        <w:t xml:space="preserve">In accordance with clause 1E.1.2 of the SAU, the ACCC has determined the values set out in </w:t>
      </w:r>
      <w:r w:rsidRPr="00317197">
        <w:t xml:space="preserve">Table </w:t>
      </w:r>
      <w:r w:rsidR="00EA5151" w:rsidRPr="00317197">
        <w:t>5</w:t>
      </w:r>
      <w:r w:rsidRPr="00317197">
        <w:t xml:space="preserve">.1 below for the ACCC’s LTRCM determination for the 2014-15 financial </w:t>
      </w:r>
      <w:proofErr w:type="gramStart"/>
      <w:r w:rsidRPr="00317197">
        <w:t>year</w:t>
      </w:r>
      <w:proofErr w:type="gramEnd"/>
      <w:r w:rsidRPr="00317197">
        <w:t>.</w:t>
      </w:r>
      <w:r w:rsidR="00317197">
        <w:t xml:space="preserve"> </w:t>
      </w:r>
    </w:p>
    <w:p w:rsidR="00752D9B" w:rsidRDefault="00752D9B" w:rsidP="00D121D4">
      <w:r>
        <w:t xml:space="preserve">The ACCC is </w:t>
      </w:r>
      <w:r w:rsidR="00317197">
        <w:t xml:space="preserve">also </w:t>
      </w:r>
      <w:r>
        <w:t xml:space="preserve">satisfied that NBN </w:t>
      </w:r>
      <w:proofErr w:type="spellStart"/>
      <w:r>
        <w:t>Co’s</w:t>
      </w:r>
      <w:proofErr w:type="spellEnd"/>
      <w:r>
        <w:t xml:space="preserve"> prices for 2014-15 did not exceed the maximum regulated prices applicable at the relevant point in time in accordance with Schedule 1C of the SAU.</w:t>
      </w:r>
    </w:p>
    <w:p w:rsidR="00D121D4" w:rsidRDefault="00D121D4" w:rsidP="00706893">
      <w:pPr>
        <w:pStyle w:val="HeadingLevel8table"/>
        <w:numPr>
          <w:ilvl w:val="7"/>
          <w:numId w:val="44"/>
        </w:numPr>
      </w:pPr>
      <w:r>
        <w:t>2014–15 LTRCM Determination</w:t>
      </w:r>
      <w:r>
        <w:rPr>
          <w:rStyle w:val="FootnoteReference"/>
        </w:rPr>
        <w:footnoteReference w:id="19"/>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6111"/>
        <w:gridCol w:w="1984"/>
      </w:tblGrid>
      <w:tr w:rsidR="00D121D4" w:rsidRPr="00020459" w:rsidTr="00B61244">
        <w:trPr>
          <w:trHeight w:val="315"/>
        </w:trPr>
        <w:tc>
          <w:tcPr>
            <w:tcW w:w="6111" w:type="dxa"/>
            <w:shd w:val="clear" w:color="000000" w:fill="BFBFBF" w:themeFill="background1" w:themeFillShade="BF"/>
            <w:noWrap/>
            <w:vAlign w:val="center"/>
            <w:hideMark/>
          </w:tcPr>
          <w:p w:rsidR="00D121D4" w:rsidRPr="00020459" w:rsidRDefault="00D121D4" w:rsidP="00B61244">
            <w:pPr>
              <w:keepNext/>
              <w:spacing w:after="0"/>
              <w:rPr>
                <w:rFonts w:cs="Arial"/>
                <w:b/>
                <w:bCs/>
              </w:rPr>
            </w:pPr>
            <w:r w:rsidRPr="00020459">
              <w:rPr>
                <w:rFonts w:cs="Arial"/>
                <w:b/>
                <w:bCs/>
              </w:rPr>
              <w:t>Year </w:t>
            </w:r>
          </w:p>
        </w:tc>
        <w:tc>
          <w:tcPr>
            <w:tcW w:w="1984" w:type="dxa"/>
            <w:shd w:val="clear" w:color="000000" w:fill="BFBFBF" w:themeFill="background1" w:themeFillShade="BF"/>
            <w:noWrap/>
            <w:vAlign w:val="center"/>
          </w:tcPr>
          <w:p w:rsidR="00D121D4" w:rsidRPr="00020459" w:rsidRDefault="00D121D4" w:rsidP="00B61244">
            <w:pPr>
              <w:keepNext/>
              <w:spacing w:after="0"/>
              <w:jc w:val="center"/>
              <w:rPr>
                <w:rFonts w:cs="Arial"/>
                <w:b/>
                <w:bCs/>
              </w:rPr>
            </w:pPr>
            <w:r>
              <w:rPr>
                <w:rFonts w:cs="Arial"/>
                <w:b/>
                <w:bCs/>
              </w:rPr>
              <w:t>2014–15</w:t>
            </w:r>
          </w:p>
        </w:tc>
      </w:tr>
      <w:tr w:rsidR="00D121D4" w:rsidRPr="0054655E" w:rsidTr="00B61244">
        <w:trPr>
          <w:trHeight w:val="240"/>
        </w:trPr>
        <w:tc>
          <w:tcPr>
            <w:tcW w:w="8095" w:type="dxa"/>
            <w:gridSpan w:val="2"/>
            <w:shd w:val="clear" w:color="auto" w:fill="D9D9D9" w:themeFill="background1" w:themeFillShade="D9"/>
            <w:noWrap/>
            <w:vAlign w:val="center"/>
          </w:tcPr>
          <w:p w:rsidR="00D121D4" w:rsidRPr="0054655E" w:rsidRDefault="00D121D4" w:rsidP="00B61244">
            <w:pPr>
              <w:keepNext/>
              <w:spacing w:after="0"/>
              <w:jc w:val="both"/>
              <w:rPr>
                <w:rFonts w:cs="Arial"/>
                <w:b/>
                <w:bCs/>
              </w:rPr>
            </w:pPr>
            <w:r w:rsidRPr="0054655E">
              <w:rPr>
                <w:rFonts w:cs="Arial"/>
                <w:b/>
                <w:bCs/>
              </w:rPr>
              <w:t>CPI and Cumulative Inflation Factor</w:t>
            </w:r>
          </w:p>
        </w:tc>
      </w:tr>
      <w:tr w:rsidR="00D121D4" w:rsidRPr="00020459" w:rsidTr="00B61244">
        <w:trPr>
          <w:trHeight w:val="240"/>
        </w:trPr>
        <w:tc>
          <w:tcPr>
            <w:tcW w:w="6111" w:type="dxa"/>
            <w:shd w:val="clear" w:color="auto" w:fill="FFFFFF" w:themeFill="background1"/>
            <w:noWrap/>
            <w:vAlign w:val="center"/>
            <w:hideMark/>
          </w:tcPr>
          <w:p w:rsidR="00D121D4" w:rsidRDefault="00D121D4" w:rsidP="00B61244">
            <w:pPr>
              <w:keepNext/>
              <w:spacing w:after="0"/>
              <w:rPr>
                <w:rFonts w:cs="Arial"/>
              </w:rPr>
            </w:pPr>
            <w:r w:rsidRPr="00020459">
              <w:rPr>
                <w:rFonts w:cs="Arial"/>
              </w:rPr>
              <w:t xml:space="preserve">June Quarter CPI (annual percentage change) </w:t>
            </w:r>
            <w:r>
              <w:rPr>
                <w:rFonts w:cs="Arial"/>
              </w:rPr>
              <w:t>–</w:t>
            </w:r>
            <w:r w:rsidRPr="00020459">
              <w:rPr>
                <w:rFonts w:cs="Arial"/>
              </w:rPr>
              <w:t xml:space="preserve"> </w:t>
            </w:r>
          </w:p>
          <w:p w:rsidR="00D121D4" w:rsidRPr="00020459" w:rsidRDefault="00D121D4" w:rsidP="00B61244">
            <w:pPr>
              <w:keepNext/>
              <w:spacing w:after="0"/>
              <w:rPr>
                <w:rFonts w:cs="Arial"/>
              </w:rPr>
            </w:pPr>
            <w:r w:rsidRPr="00020459">
              <w:rPr>
                <w:rFonts w:cs="Arial"/>
              </w:rPr>
              <w:t>as per Attachment C to the SAU</w:t>
            </w:r>
          </w:p>
        </w:tc>
        <w:tc>
          <w:tcPr>
            <w:tcW w:w="1984" w:type="dxa"/>
            <w:shd w:val="clear" w:color="auto" w:fill="FFFFFF" w:themeFill="background1"/>
            <w:noWrap/>
            <w:vAlign w:val="center"/>
          </w:tcPr>
          <w:p w:rsidR="00D121D4" w:rsidRPr="00020459" w:rsidRDefault="00D121D4" w:rsidP="00B61244">
            <w:pPr>
              <w:keepNext/>
              <w:spacing w:after="0"/>
              <w:jc w:val="right"/>
              <w:rPr>
                <w:rFonts w:cs="Arial"/>
              </w:rPr>
            </w:pPr>
            <w:r>
              <w:rPr>
                <w:rFonts w:cs="Arial"/>
              </w:rPr>
              <w:t>1.511%</w:t>
            </w:r>
          </w:p>
        </w:tc>
      </w:tr>
      <w:tr w:rsidR="00D121D4" w:rsidRPr="00020459" w:rsidTr="00B61244">
        <w:trPr>
          <w:trHeight w:val="255"/>
        </w:trPr>
        <w:tc>
          <w:tcPr>
            <w:tcW w:w="6111" w:type="dxa"/>
            <w:shd w:val="clear" w:color="auto" w:fill="F2F2F2" w:themeFill="background1" w:themeFillShade="F2"/>
            <w:noWrap/>
            <w:vAlign w:val="center"/>
            <w:hideMark/>
          </w:tcPr>
          <w:p w:rsidR="00D121D4" w:rsidRPr="00020459" w:rsidRDefault="00D121D4" w:rsidP="00B61244">
            <w:pPr>
              <w:keepNext/>
              <w:spacing w:after="0"/>
              <w:rPr>
                <w:rFonts w:cs="Arial"/>
              </w:rPr>
            </w:pPr>
            <w:r w:rsidRPr="00020459">
              <w:rPr>
                <w:rFonts w:cs="Arial"/>
              </w:rPr>
              <w:t xml:space="preserve">Cumulative Inflation Factor - as per Clauses 1E.9.4(b) and (c) </w:t>
            </w:r>
          </w:p>
        </w:tc>
        <w:tc>
          <w:tcPr>
            <w:tcW w:w="1984" w:type="dxa"/>
            <w:shd w:val="clear" w:color="auto" w:fill="F2F2F2" w:themeFill="background1" w:themeFillShade="F2"/>
            <w:noWrap/>
            <w:vAlign w:val="center"/>
          </w:tcPr>
          <w:p w:rsidR="00D121D4" w:rsidRPr="00020459" w:rsidRDefault="00D121D4" w:rsidP="00B61244">
            <w:pPr>
              <w:keepNext/>
              <w:spacing w:after="0"/>
              <w:jc w:val="right"/>
              <w:rPr>
                <w:rFonts w:cs="Arial"/>
              </w:rPr>
            </w:pPr>
            <w:r>
              <w:rPr>
                <w:rFonts w:cs="Arial"/>
              </w:rPr>
              <w:t>1.015</w:t>
            </w:r>
          </w:p>
        </w:tc>
      </w:tr>
    </w:tbl>
    <w:p w:rsidR="00D121D4" w:rsidRDefault="00D121D4" w:rsidP="00D121D4">
      <w:pPr>
        <w:spacing w:after="200" w:line="276" w:lineRule="auto"/>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6111"/>
        <w:gridCol w:w="1984"/>
      </w:tblGrid>
      <w:tr w:rsidR="00D121D4" w:rsidRPr="00020459" w:rsidTr="00B61244">
        <w:trPr>
          <w:trHeight w:val="315"/>
        </w:trPr>
        <w:tc>
          <w:tcPr>
            <w:tcW w:w="6111" w:type="dxa"/>
            <w:shd w:val="clear" w:color="000000" w:fill="BFBFBF" w:themeFill="background1" w:themeFillShade="BF"/>
            <w:noWrap/>
            <w:vAlign w:val="center"/>
            <w:hideMark/>
          </w:tcPr>
          <w:p w:rsidR="00D121D4" w:rsidRPr="00020459" w:rsidRDefault="00D121D4" w:rsidP="00B61244">
            <w:pPr>
              <w:keepNext/>
              <w:spacing w:after="0"/>
              <w:rPr>
                <w:rFonts w:cs="Arial"/>
                <w:b/>
                <w:bCs/>
              </w:rPr>
            </w:pPr>
            <w:r w:rsidRPr="00020459">
              <w:rPr>
                <w:rFonts w:cs="Arial"/>
                <w:b/>
                <w:bCs/>
              </w:rPr>
              <w:t>Year </w:t>
            </w:r>
          </w:p>
        </w:tc>
        <w:tc>
          <w:tcPr>
            <w:tcW w:w="1984" w:type="dxa"/>
            <w:shd w:val="clear" w:color="000000" w:fill="BFBFBF" w:themeFill="background1" w:themeFillShade="BF"/>
            <w:noWrap/>
            <w:vAlign w:val="center"/>
          </w:tcPr>
          <w:p w:rsidR="00D121D4" w:rsidRPr="00020459" w:rsidRDefault="00D121D4" w:rsidP="00B61244">
            <w:pPr>
              <w:keepNext/>
              <w:spacing w:after="0"/>
              <w:jc w:val="center"/>
              <w:rPr>
                <w:rFonts w:cs="Arial"/>
                <w:b/>
                <w:bCs/>
              </w:rPr>
            </w:pPr>
            <w:r>
              <w:rPr>
                <w:rFonts w:cs="Arial"/>
                <w:b/>
                <w:bCs/>
              </w:rPr>
              <w:t>2014–15</w:t>
            </w:r>
          </w:p>
        </w:tc>
      </w:tr>
      <w:tr w:rsidR="00D121D4" w:rsidRPr="00020459" w:rsidTr="00B61244">
        <w:trPr>
          <w:trHeight w:val="255"/>
        </w:trPr>
        <w:tc>
          <w:tcPr>
            <w:tcW w:w="8095" w:type="dxa"/>
            <w:gridSpan w:val="2"/>
            <w:shd w:val="clear" w:color="auto" w:fill="D9D9D9" w:themeFill="background1" w:themeFillShade="D9"/>
            <w:noWrap/>
            <w:vAlign w:val="center"/>
          </w:tcPr>
          <w:p w:rsidR="00D121D4" w:rsidRPr="00020459" w:rsidRDefault="00D121D4" w:rsidP="00B61244">
            <w:pPr>
              <w:keepNext/>
              <w:spacing w:after="0"/>
              <w:rPr>
                <w:rFonts w:cs="Arial"/>
              </w:rPr>
            </w:pPr>
            <w:r w:rsidRPr="00020459">
              <w:rPr>
                <w:rFonts w:cs="Arial"/>
                <w:b/>
                <w:bCs/>
              </w:rPr>
              <w:t>Rate of Return – as per Clause 1E.7.1</w:t>
            </w:r>
          </w:p>
        </w:tc>
      </w:tr>
      <w:tr w:rsidR="00D121D4" w:rsidRPr="00020459" w:rsidTr="00B61244">
        <w:trPr>
          <w:trHeight w:val="255"/>
        </w:trPr>
        <w:tc>
          <w:tcPr>
            <w:tcW w:w="6111" w:type="dxa"/>
            <w:shd w:val="clear" w:color="000000" w:fill="FFFFFF"/>
            <w:noWrap/>
            <w:vAlign w:val="center"/>
            <w:hideMark/>
          </w:tcPr>
          <w:p w:rsidR="00D121D4" w:rsidRPr="00020459" w:rsidRDefault="00D121D4" w:rsidP="00B61244">
            <w:pPr>
              <w:keepNext/>
              <w:spacing w:after="0"/>
              <w:rPr>
                <w:rFonts w:cs="Arial"/>
              </w:rPr>
            </w:pPr>
            <w:r w:rsidRPr="00020459">
              <w:rPr>
                <w:rFonts w:cs="Arial"/>
              </w:rPr>
              <w:t xml:space="preserve">Risk free rate of interest - as per Clause 1E.7.1(b) and (c) </w:t>
            </w:r>
          </w:p>
        </w:tc>
        <w:tc>
          <w:tcPr>
            <w:tcW w:w="1984" w:type="dxa"/>
            <w:shd w:val="clear" w:color="000000" w:fill="FFFFFF"/>
            <w:noWrap/>
            <w:vAlign w:val="center"/>
          </w:tcPr>
          <w:p w:rsidR="00D121D4" w:rsidRPr="00020459" w:rsidRDefault="00D121D4" w:rsidP="00B61244">
            <w:pPr>
              <w:keepNext/>
              <w:spacing w:after="0"/>
              <w:jc w:val="right"/>
              <w:rPr>
                <w:rFonts w:cs="Arial"/>
              </w:rPr>
            </w:pPr>
            <w:r>
              <w:rPr>
                <w:rFonts w:cs="Arial"/>
              </w:rPr>
              <w:t>3.749%</w:t>
            </w:r>
          </w:p>
        </w:tc>
      </w:tr>
      <w:tr w:rsidR="00D121D4" w:rsidRPr="00020459" w:rsidTr="00B61244">
        <w:trPr>
          <w:trHeight w:val="255"/>
        </w:trPr>
        <w:tc>
          <w:tcPr>
            <w:tcW w:w="6111" w:type="dxa"/>
            <w:shd w:val="clear" w:color="auto" w:fill="F2F2F2" w:themeFill="background1" w:themeFillShade="F2"/>
            <w:noWrap/>
            <w:vAlign w:val="center"/>
            <w:hideMark/>
          </w:tcPr>
          <w:p w:rsidR="00D121D4" w:rsidRPr="00020459" w:rsidRDefault="00D121D4" w:rsidP="00B61244">
            <w:pPr>
              <w:keepNext/>
              <w:spacing w:after="0"/>
              <w:rPr>
                <w:rFonts w:cs="Arial"/>
              </w:rPr>
            </w:pPr>
            <w:r w:rsidRPr="00020459">
              <w:rPr>
                <w:rFonts w:cs="Arial"/>
              </w:rPr>
              <w:t>Nominal rate of return - as per Clause 1E.7.1(a)</w:t>
            </w:r>
          </w:p>
        </w:tc>
        <w:tc>
          <w:tcPr>
            <w:tcW w:w="1984" w:type="dxa"/>
            <w:shd w:val="clear" w:color="auto" w:fill="F2F2F2" w:themeFill="background1" w:themeFillShade="F2"/>
            <w:noWrap/>
            <w:vAlign w:val="center"/>
          </w:tcPr>
          <w:p w:rsidR="00D121D4" w:rsidRPr="00020459" w:rsidRDefault="00D121D4" w:rsidP="00B61244">
            <w:pPr>
              <w:keepNext/>
              <w:spacing w:after="0"/>
              <w:jc w:val="right"/>
              <w:rPr>
                <w:rFonts w:cs="Arial"/>
              </w:rPr>
            </w:pPr>
            <w:r>
              <w:rPr>
                <w:rFonts w:cs="Arial"/>
              </w:rPr>
              <w:t>7.249%</w:t>
            </w:r>
          </w:p>
        </w:tc>
      </w:tr>
    </w:tbl>
    <w:p w:rsidR="00D121D4" w:rsidRDefault="00D121D4" w:rsidP="00D121D4">
      <w:pPr>
        <w:spacing w:after="200" w:line="276" w:lineRule="auto"/>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6096"/>
        <w:gridCol w:w="1984"/>
      </w:tblGrid>
      <w:tr w:rsidR="00D121D4" w:rsidRPr="00020459" w:rsidTr="00B61244">
        <w:trPr>
          <w:trHeight w:val="270"/>
        </w:trPr>
        <w:tc>
          <w:tcPr>
            <w:tcW w:w="6096" w:type="dxa"/>
            <w:tcBorders>
              <w:bottom w:val="single" w:sz="4" w:space="0" w:color="auto"/>
            </w:tcBorders>
            <w:shd w:val="clear" w:color="000000" w:fill="BFBFBF" w:themeFill="background1" w:themeFillShade="BF"/>
            <w:noWrap/>
            <w:vAlign w:val="center"/>
            <w:hideMark/>
          </w:tcPr>
          <w:p w:rsidR="00D121D4" w:rsidRPr="00020459" w:rsidRDefault="00D121D4" w:rsidP="00B61244">
            <w:pPr>
              <w:keepNext/>
              <w:spacing w:after="0"/>
              <w:rPr>
                <w:rFonts w:cs="Arial"/>
                <w:b/>
                <w:bCs/>
              </w:rPr>
            </w:pPr>
            <w:r w:rsidRPr="00020459">
              <w:rPr>
                <w:rFonts w:cs="Arial"/>
                <w:b/>
                <w:bCs/>
              </w:rPr>
              <w:t>Year</w:t>
            </w:r>
          </w:p>
        </w:tc>
        <w:tc>
          <w:tcPr>
            <w:tcW w:w="1984" w:type="dxa"/>
            <w:tcBorders>
              <w:bottom w:val="single" w:sz="4" w:space="0" w:color="auto"/>
            </w:tcBorders>
            <w:shd w:val="clear" w:color="000000" w:fill="BFBFBF" w:themeFill="background1" w:themeFillShade="BF"/>
            <w:noWrap/>
            <w:vAlign w:val="center"/>
          </w:tcPr>
          <w:p w:rsidR="00D121D4" w:rsidRPr="00020459" w:rsidRDefault="00D121D4" w:rsidP="00B61244">
            <w:pPr>
              <w:keepNext/>
              <w:spacing w:after="0"/>
              <w:jc w:val="center"/>
              <w:rPr>
                <w:rFonts w:cs="Arial"/>
                <w:b/>
                <w:bCs/>
              </w:rPr>
            </w:pPr>
            <w:r>
              <w:rPr>
                <w:rFonts w:cs="Arial"/>
                <w:b/>
                <w:bCs/>
              </w:rPr>
              <w:t>2014–15</w:t>
            </w:r>
          </w:p>
        </w:tc>
      </w:tr>
      <w:tr w:rsidR="00D121D4" w:rsidRPr="00020459" w:rsidTr="00B61244">
        <w:trPr>
          <w:trHeight w:val="255"/>
        </w:trPr>
        <w:tc>
          <w:tcPr>
            <w:tcW w:w="8080" w:type="dxa"/>
            <w:gridSpan w:val="2"/>
            <w:shd w:val="clear" w:color="auto" w:fill="D9D9D9" w:themeFill="background1" w:themeFillShade="D9"/>
            <w:noWrap/>
            <w:vAlign w:val="center"/>
          </w:tcPr>
          <w:p w:rsidR="00D121D4" w:rsidRPr="00020459" w:rsidRDefault="00D121D4" w:rsidP="00B61244">
            <w:pPr>
              <w:keepNext/>
              <w:spacing w:after="0"/>
              <w:rPr>
                <w:rFonts w:cs="Arial"/>
              </w:rPr>
            </w:pPr>
            <w:r w:rsidRPr="00020459">
              <w:rPr>
                <w:rFonts w:cs="Arial"/>
                <w:b/>
              </w:rPr>
              <w:t>Regulatory Asset Base ($'000 REAL) – as per Clause 1D.2.1</w:t>
            </w: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spacing w:after="0"/>
              <w:rPr>
                <w:rFonts w:cs="Arial"/>
              </w:rPr>
            </w:pPr>
            <w:r w:rsidRPr="00020459">
              <w:rPr>
                <w:rFonts w:cs="Arial"/>
              </w:rPr>
              <w:t>Real RAB (start period) - as per Clause 1D.2.1(a) and (b)</w:t>
            </w:r>
          </w:p>
        </w:tc>
        <w:tc>
          <w:tcPr>
            <w:tcW w:w="1984" w:type="dxa"/>
            <w:shd w:val="clear" w:color="000000" w:fill="FFFFFF"/>
            <w:noWrap/>
            <w:vAlign w:val="center"/>
          </w:tcPr>
          <w:p w:rsidR="00D121D4" w:rsidRPr="00020459" w:rsidRDefault="00D121D4" w:rsidP="00B61244">
            <w:pPr>
              <w:keepNext/>
              <w:spacing w:after="0"/>
              <w:jc w:val="right"/>
              <w:rPr>
                <w:rFonts w:cs="Arial"/>
              </w:rPr>
            </w:pPr>
            <w:r>
              <w:rPr>
                <w:rFonts w:cs="Arial"/>
              </w:rPr>
              <w:t>2 901 139</w:t>
            </w:r>
          </w:p>
        </w:tc>
      </w:tr>
      <w:tr w:rsidR="00D121D4" w:rsidRPr="00020459" w:rsidTr="00B61244">
        <w:trPr>
          <w:trHeight w:val="255"/>
        </w:trPr>
        <w:tc>
          <w:tcPr>
            <w:tcW w:w="6096" w:type="dxa"/>
            <w:shd w:val="clear" w:color="auto" w:fill="F2F2F2" w:themeFill="background1" w:themeFillShade="F2"/>
            <w:noWrap/>
            <w:vAlign w:val="center"/>
            <w:hideMark/>
          </w:tcPr>
          <w:p w:rsidR="00D121D4" w:rsidRPr="00020459" w:rsidRDefault="00D121D4" w:rsidP="00B61244">
            <w:pPr>
              <w:keepNext/>
              <w:spacing w:after="0"/>
              <w:rPr>
                <w:rFonts w:cs="Arial"/>
              </w:rPr>
            </w:pPr>
            <w:r w:rsidRPr="00020459">
              <w:rPr>
                <w:rFonts w:cs="Arial"/>
              </w:rPr>
              <w:t xml:space="preserve">Real </w:t>
            </w:r>
            <w:r>
              <w:rPr>
                <w:rFonts w:cs="Arial"/>
              </w:rPr>
              <w:t>c</w:t>
            </w:r>
            <w:r w:rsidRPr="00020459">
              <w:rPr>
                <w:rFonts w:cs="Arial"/>
              </w:rPr>
              <w:t xml:space="preserve">apital </w:t>
            </w:r>
            <w:r>
              <w:rPr>
                <w:rFonts w:cs="Arial"/>
              </w:rPr>
              <w:t>e</w:t>
            </w:r>
            <w:r w:rsidRPr="00020459">
              <w:rPr>
                <w:rFonts w:cs="Arial"/>
              </w:rPr>
              <w:t>xpenditure</w:t>
            </w:r>
          </w:p>
        </w:tc>
        <w:tc>
          <w:tcPr>
            <w:tcW w:w="1984" w:type="dxa"/>
            <w:shd w:val="clear" w:color="auto" w:fill="F2F2F2" w:themeFill="background1" w:themeFillShade="F2"/>
            <w:noWrap/>
            <w:vAlign w:val="center"/>
          </w:tcPr>
          <w:p w:rsidR="00D121D4" w:rsidRPr="00020459" w:rsidRDefault="00D121D4" w:rsidP="00B61244">
            <w:pPr>
              <w:keepNext/>
              <w:spacing w:after="0"/>
              <w:jc w:val="right"/>
              <w:rPr>
                <w:rFonts w:cs="Arial"/>
              </w:rPr>
            </w:pPr>
            <w:r>
              <w:rPr>
                <w:rFonts w:cs="Arial"/>
              </w:rPr>
              <w:t>2 134 603</w:t>
            </w: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spacing w:after="0"/>
              <w:rPr>
                <w:rFonts w:cs="Arial"/>
              </w:rPr>
            </w:pPr>
            <w:r w:rsidRPr="00020459">
              <w:rPr>
                <w:rFonts w:cs="Arial"/>
              </w:rPr>
              <w:t xml:space="preserve">Real </w:t>
            </w:r>
            <w:r>
              <w:rPr>
                <w:rFonts w:cs="Arial"/>
              </w:rPr>
              <w:t>d</w:t>
            </w:r>
            <w:r w:rsidRPr="00020459">
              <w:rPr>
                <w:rFonts w:cs="Arial"/>
              </w:rPr>
              <w:t>isposals</w:t>
            </w:r>
          </w:p>
        </w:tc>
        <w:tc>
          <w:tcPr>
            <w:tcW w:w="1984" w:type="dxa"/>
            <w:shd w:val="clear" w:color="000000" w:fill="FFFFFF"/>
            <w:noWrap/>
            <w:vAlign w:val="center"/>
          </w:tcPr>
          <w:p w:rsidR="00D121D4" w:rsidRPr="00020459" w:rsidRDefault="00D121D4" w:rsidP="00B61244">
            <w:pPr>
              <w:keepNext/>
              <w:spacing w:after="0"/>
              <w:jc w:val="right"/>
              <w:rPr>
                <w:rFonts w:cs="Arial"/>
              </w:rPr>
            </w:pPr>
            <w:r>
              <w:rPr>
                <w:rFonts w:cs="Arial"/>
              </w:rPr>
              <w:t>-</w:t>
            </w:r>
          </w:p>
        </w:tc>
      </w:tr>
      <w:tr w:rsidR="00D121D4" w:rsidRPr="00020459" w:rsidTr="00B61244">
        <w:trPr>
          <w:trHeight w:val="255"/>
        </w:trPr>
        <w:tc>
          <w:tcPr>
            <w:tcW w:w="6096" w:type="dxa"/>
            <w:shd w:val="clear" w:color="auto" w:fill="F2F2F2" w:themeFill="background1" w:themeFillShade="F2"/>
            <w:noWrap/>
            <w:vAlign w:val="center"/>
            <w:hideMark/>
          </w:tcPr>
          <w:p w:rsidR="00D121D4" w:rsidRPr="00020459" w:rsidRDefault="00D121D4" w:rsidP="00B61244">
            <w:pPr>
              <w:keepNext/>
              <w:spacing w:after="0"/>
              <w:rPr>
                <w:rFonts w:cs="Arial"/>
              </w:rPr>
            </w:pPr>
            <w:r>
              <w:rPr>
                <w:rFonts w:cs="Arial"/>
              </w:rPr>
              <w:t>Real s</w:t>
            </w:r>
            <w:r w:rsidRPr="00020459">
              <w:rPr>
                <w:rFonts w:cs="Arial"/>
              </w:rPr>
              <w:t xml:space="preserve">traight </w:t>
            </w:r>
            <w:r>
              <w:rPr>
                <w:rFonts w:cs="Arial"/>
              </w:rPr>
              <w:t>l</w:t>
            </w:r>
            <w:r w:rsidRPr="00020459">
              <w:rPr>
                <w:rFonts w:cs="Arial"/>
              </w:rPr>
              <w:t xml:space="preserve">ine </w:t>
            </w:r>
            <w:r>
              <w:rPr>
                <w:rFonts w:cs="Arial"/>
              </w:rPr>
              <w:t>d</w:t>
            </w:r>
            <w:r w:rsidRPr="00020459">
              <w:rPr>
                <w:rFonts w:cs="Arial"/>
              </w:rPr>
              <w:t>epreciation</w:t>
            </w:r>
          </w:p>
        </w:tc>
        <w:tc>
          <w:tcPr>
            <w:tcW w:w="1984" w:type="dxa"/>
            <w:shd w:val="clear" w:color="auto" w:fill="F2F2F2" w:themeFill="background1" w:themeFillShade="F2"/>
            <w:noWrap/>
            <w:vAlign w:val="center"/>
          </w:tcPr>
          <w:p w:rsidR="00D121D4" w:rsidRPr="00020459" w:rsidRDefault="00D121D4" w:rsidP="00B61244">
            <w:pPr>
              <w:keepNext/>
              <w:spacing w:after="0"/>
              <w:jc w:val="right"/>
              <w:rPr>
                <w:rFonts w:cs="Arial"/>
                <w:bCs/>
              </w:rPr>
            </w:pPr>
            <w:r>
              <w:rPr>
                <w:rFonts w:cs="Arial"/>
                <w:bCs/>
              </w:rPr>
              <w:t>288 575</w:t>
            </w: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spacing w:after="0"/>
              <w:rPr>
                <w:rFonts w:cs="Arial"/>
              </w:rPr>
            </w:pPr>
            <w:r w:rsidRPr="00020459">
              <w:rPr>
                <w:rFonts w:cs="Arial"/>
              </w:rPr>
              <w:t>Real RAB (end period) - as per Clause 1D.2.1(b)</w:t>
            </w:r>
          </w:p>
        </w:tc>
        <w:tc>
          <w:tcPr>
            <w:tcW w:w="1984" w:type="dxa"/>
            <w:shd w:val="clear" w:color="000000" w:fill="FFFFFF"/>
            <w:noWrap/>
            <w:vAlign w:val="center"/>
          </w:tcPr>
          <w:p w:rsidR="00D121D4" w:rsidRPr="00020459" w:rsidRDefault="00D121D4" w:rsidP="00B61244">
            <w:pPr>
              <w:keepNext/>
              <w:spacing w:after="0"/>
              <w:jc w:val="right"/>
              <w:rPr>
                <w:rFonts w:cs="Arial"/>
                <w:bCs/>
              </w:rPr>
            </w:pPr>
            <w:r>
              <w:rPr>
                <w:rFonts w:cs="Arial"/>
                <w:bCs/>
              </w:rPr>
              <w:t>4 747 166</w:t>
            </w:r>
          </w:p>
        </w:tc>
      </w:tr>
    </w:tbl>
    <w:p w:rsidR="00D121D4" w:rsidRDefault="00D121D4" w:rsidP="00D121D4">
      <w:pPr>
        <w:spacing w:after="200" w:line="276" w:lineRule="auto"/>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15"/>
        <w:gridCol w:w="1345"/>
        <w:gridCol w:w="4751"/>
        <w:gridCol w:w="1984"/>
      </w:tblGrid>
      <w:tr w:rsidR="00D121D4" w:rsidRPr="00020459" w:rsidTr="00B61244">
        <w:trPr>
          <w:gridBefore w:val="1"/>
          <w:wBefore w:w="15" w:type="dxa"/>
          <w:trHeight w:val="270"/>
        </w:trPr>
        <w:tc>
          <w:tcPr>
            <w:tcW w:w="6096" w:type="dxa"/>
            <w:gridSpan w:val="2"/>
            <w:tcBorders>
              <w:bottom w:val="single" w:sz="4" w:space="0" w:color="auto"/>
            </w:tcBorders>
            <w:shd w:val="clear" w:color="000000" w:fill="BFBFBF" w:themeFill="background1" w:themeFillShade="BF"/>
            <w:noWrap/>
            <w:vAlign w:val="center"/>
            <w:hideMark/>
          </w:tcPr>
          <w:p w:rsidR="00D121D4" w:rsidRPr="00020459" w:rsidRDefault="00D121D4" w:rsidP="00B61244">
            <w:pPr>
              <w:keepNext/>
              <w:spacing w:after="0"/>
              <w:rPr>
                <w:rFonts w:cs="Arial"/>
                <w:b/>
                <w:bCs/>
              </w:rPr>
            </w:pPr>
            <w:r w:rsidRPr="00020459">
              <w:rPr>
                <w:rFonts w:cs="Arial"/>
                <w:b/>
                <w:bCs/>
              </w:rPr>
              <w:t>Year</w:t>
            </w:r>
          </w:p>
        </w:tc>
        <w:tc>
          <w:tcPr>
            <w:tcW w:w="1984" w:type="dxa"/>
            <w:tcBorders>
              <w:bottom w:val="single" w:sz="4" w:space="0" w:color="auto"/>
            </w:tcBorders>
            <w:shd w:val="clear" w:color="000000" w:fill="BFBFBF" w:themeFill="background1" w:themeFillShade="BF"/>
            <w:noWrap/>
            <w:vAlign w:val="center"/>
          </w:tcPr>
          <w:p w:rsidR="00D121D4" w:rsidRPr="00020459" w:rsidRDefault="00D121D4" w:rsidP="00B61244">
            <w:pPr>
              <w:keepNext/>
              <w:spacing w:after="0"/>
              <w:jc w:val="center"/>
              <w:rPr>
                <w:rFonts w:cs="Arial"/>
                <w:b/>
                <w:bCs/>
              </w:rPr>
            </w:pPr>
            <w:r>
              <w:rPr>
                <w:rFonts w:cs="Arial"/>
                <w:b/>
                <w:bCs/>
              </w:rPr>
              <w:t>2014–15</w:t>
            </w:r>
          </w:p>
        </w:tc>
      </w:tr>
      <w:tr w:rsidR="00D121D4" w:rsidRPr="00020459" w:rsidTr="00B61244">
        <w:trPr>
          <w:gridBefore w:val="1"/>
          <w:wBefore w:w="15" w:type="dxa"/>
          <w:trHeight w:val="255"/>
        </w:trPr>
        <w:tc>
          <w:tcPr>
            <w:tcW w:w="8080" w:type="dxa"/>
            <w:gridSpan w:val="3"/>
            <w:shd w:val="clear" w:color="auto" w:fill="D9D9D9" w:themeFill="background1" w:themeFillShade="D9"/>
            <w:noWrap/>
            <w:vAlign w:val="center"/>
          </w:tcPr>
          <w:p w:rsidR="00D121D4" w:rsidRPr="00020459" w:rsidRDefault="00D121D4" w:rsidP="00B61244">
            <w:pPr>
              <w:keepNext/>
              <w:spacing w:after="0"/>
              <w:rPr>
                <w:rFonts w:cs="Arial"/>
                <w:bCs/>
              </w:rPr>
            </w:pPr>
            <w:r w:rsidRPr="00020459">
              <w:rPr>
                <w:rFonts w:cs="Arial"/>
                <w:b/>
              </w:rPr>
              <w:t>Regulatory Asset Base ($'000 NOMINAL) – as per Clause 1D.2.2</w:t>
            </w:r>
          </w:p>
        </w:tc>
      </w:tr>
      <w:tr w:rsidR="00D121D4" w:rsidRPr="00020459" w:rsidTr="00B61244">
        <w:trPr>
          <w:gridBefore w:val="1"/>
          <w:wBefore w:w="15" w:type="dxa"/>
          <w:trHeight w:val="255"/>
        </w:trPr>
        <w:tc>
          <w:tcPr>
            <w:tcW w:w="6096" w:type="dxa"/>
            <w:gridSpan w:val="2"/>
            <w:shd w:val="clear" w:color="000000" w:fill="FFFFFF"/>
            <w:noWrap/>
            <w:vAlign w:val="center"/>
            <w:hideMark/>
          </w:tcPr>
          <w:p w:rsidR="00D121D4" w:rsidRPr="00020459" w:rsidRDefault="00D121D4" w:rsidP="00B61244">
            <w:pPr>
              <w:keepNext/>
              <w:spacing w:after="0"/>
              <w:rPr>
                <w:rFonts w:cs="Arial"/>
                <w:bCs/>
              </w:rPr>
            </w:pPr>
            <w:r w:rsidRPr="00020459">
              <w:rPr>
                <w:rFonts w:cs="Arial"/>
                <w:bCs/>
              </w:rPr>
              <w:t>Nominal RAB (start period) - as per Clauses 1D.2.1(a) and 1D.2.2</w:t>
            </w:r>
          </w:p>
        </w:tc>
        <w:tc>
          <w:tcPr>
            <w:tcW w:w="1984" w:type="dxa"/>
            <w:shd w:val="clear" w:color="000000" w:fill="FFFFFF"/>
            <w:noWrap/>
            <w:vAlign w:val="center"/>
          </w:tcPr>
          <w:p w:rsidR="00D121D4" w:rsidRPr="00020459" w:rsidRDefault="00D121D4" w:rsidP="00B61244">
            <w:pPr>
              <w:keepNext/>
              <w:spacing w:after="0"/>
              <w:jc w:val="right"/>
              <w:rPr>
                <w:rFonts w:cs="Arial"/>
                <w:bCs/>
              </w:rPr>
            </w:pPr>
            <w:r>
              <w:rPr>
                <w:rFonts w:cs="Arial"/>
                <w:bCs/>
              </w:rPr>
              <w:t>2 901 139</w:t>
            </w:r>
          </w:p>
        </w:tc>
      </w:tr>
      <w:tr w:rsidR="00D121D4" w:rsidRPr="00020459" w:rsidTr="00B61244">
        <w:trPr>
          <w:gridBefore w:val="1"/>
          <w:wBefore w:w="15" w:type="dxa"/>
          <w:trHeight w:val="255"/>
        </w:trPr>
        <w:tc>
          <w:tcPr>
            <w:tcW w:w="6096" w:type="dxa"/>
            <w:gridSpan w:val="2"/>
            <w:shd w:val="clear" w:color="auto" w:fill="F2F2F2" w:themeFill="background1" w:themeFillShade="F2"/>
            <w:noWrap/>
            <w:vAlign w:val="center"/>
            <w:hideMark/>
          </w:tcPr>
          <w:p w:rsidR="00D121D4" w:rsidRPr="00020459" w:rsidRDefault="00D121D4" w:rsidP="00B61244">
            <w:pPr>
              <w:keepNext/>
              <w:spacing w:after="0"/>
              <w:rPr>
                <w:rFonts w:cs="Arial"/>
              </w:rPr>
            </w:pPr>
            <w:r w:rsidRPr="00020459">
              <w:rPr>
                <w:rFonts w:cs="Arial"/>
              </w:rPr>
              <w:t xml:space="preserve">Nominal </w:t>
            </w:r>
            <w:r>
              <w:rPr>
                <w:rFonts w:cs="Arial"/>
              </w:rPr>
              <w:t>s</w:t>
            </w:r>
            <w:r w:rsidRPr="00020459">
              <w:rPr>
                <w:rFonts w:cs="Arial"/>
              </w:rPr>
              <w:t xml:space="preserve">traight </w:t>
            </w:r>
            <w:r>
              <w:rPr>
                <w:rFonts w:cs="Arial"/>
              </w:rPr>
              <w:t>l</w:t>
            </w:r>
            <w:r w:rsidRPr="00020459">
              <w:rPr>
                <w:rFonts w:cs="Arial"/>
              </w:rPr>
              <w:t xml:space="preserve">ine </w:t>
            </w:r>
            <w:r>
              <w:rPr>
                <w:rFonts w:cs="Arial"/>
              </w:rPr>
              <w:t>d</w:t>
            </w:r>
            <w:r w:rsidRPr="00020459">
              <w:rPr>
                <w:rFonts w:cs="Arial"/>
              </w:rPr>
              <w:t>epreciation (as per Clause 1E.9.1(b)</w:t>
            </w:r>
          </w:p>
        </w:tc>
        <w:tc>
          <w:tcPr>
            <w:tcW w:w="1984" w:type="dxa"/>
            <w:shd w:val="clear" w:color="auto" w:fill="F2F2F2" w:themeFill="background1" w:themeFillShade="F2"/>
            <w:noWrap/>
            <w:vAlign w:val="center"/>
          </w:tcPr>
          <w:p w:rsidR="00D121D4" w:rsidRPr="00020459" w:rsidRDefault="00D121D4" w:rsidP="00B61244">
            <w:pPr>
              <w:keepNext/>
              <w:spacing w:after="0"/>
              <w:jc w:val="right"/>
              <w:rPr>
                <w:rFonts w:cs="Arial"/>
                <w:bCs/>
              </w:rPr>
            </w:pPr>
            <w:r>
              <w:rPr>
                <w:rFonts w:cs="Arial"/>
                <w:bCs/>
              </w:rPr>
              <w:t>292 935</w:t>
            </w:r>
          </w:p>
        </w:tc>
      </w:tr>
      <w:tr w:rsidR="00D121D4" w:rsidRPr="00020459" w:rsidTr="00B61244">
        <w:trPr>
          <w:gridBefore w:val="1"/>
          <w:wBefore w:w="15" w:type="dxa"/>
          <w:trHeight w:val="255"/>
        </w:trPr>
        <w:tc>
          <w:tcPr>
            <w:tcW w:w="6096" w:type="dxa"/>
            <w:gridSpan w:val="2"/>
            <w:shd w:val="clear" w:color="000000" w:fill="FFFFFF"/>
            <w:noWrap/>
            <w:vAlign w:val="center"/>
            <w:hideMark/>
          </w:tcPr>
          <w:p w:rsidR="00D121D4" w:rsidRPr="00020459" w:rsidRDefault="00D121D4" w:rsidP="00B61244">
            <w:pPr>
              <w:keepNext/>
              <w:spacing w:after="0"/>
              <w:rPr>
                <w:rFonts w:cs="Arial"/>
                <w:i/>
                <w:iCs/>
              </w:rPr>
            </w:pPr>
            <w:r w:rsidRPr="00020459">
              <w:rPr>
                <w:rFonts w:cs="Arial"/>
                <w:bCs/>
              </w:rPr>
              <w:t>Nominal RAB (end period) - as per Clause 1D.2.2</w:t>
            </w:r>
          </w:p>
        </w:tc>
        <w:tc>
          <w:tcPr>
            <w:tcW w:w="1984" w:type="dxa"/>
            <w:shd w:val="clear" w:color="000000" w:fill="FFFFFF"/>
            <w:noWrap/>
            <w:vAlign w:val="center"/>
          </w:tcPr>
          <w:p w:rsidR="00D121D4" w:rsidRPr="00020459" w:rsidRDefault="00D121D4" w:rsidP="00B61244">
            <w:pPr>
              <w:keepNext/>
              <w:spacing w:after="0"/>
              <w:jc w:val="right"/>
              <w:rPr>
                <w:rFonts w:cs="Arial"/>
                <w:bCs/>
              </w:rPr>
            </w:pPr>
            <w:r>
              <w:rPr>
                <w:rFonts w:cs="Arial"/>
                <w:bCs/>
              </w:rPr>
              <w:t>4 818 889</w:t>
            </w:r>
          </w:p>
        </w:tc>
      </w:tr>
      <w:tr w:rsidR="00D121D4" w:rsidRPr="009B6210" w:rsidTr="00B6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6735" w:type="dxa"/>
          <w:trHeight w:val="255"/>
        </w:trPr>
        <w:tc>
          <w:tcPr>
            <w:tcW w:w="1360" w:type="dxa"/>
            <w:gridSpan w:val="2"/>
            <w:tcBorders>
              <w:top w:val="single" w:sz="4" w:space="0" w:color="auto"/>
              <w:left w:val="nil"/>
              <w:bottom w:val="nil"/>
              <w:right w:val="nil"/>
            </w:tcBorders>
            <w:shd w:val="clear" w:color="000000" w:fill="FFFFFF"/>
            <w:noWrap/>
            <w:vAlign w:val="bottom"/>
            <w:hideMark/>
          </w:tcPr>
          <w:p w:rsidR="00D121D4" w:rsidRPr="009B6210" w:rsidRDefault="00D121D4" w:rsidP="00B61244">
            <w:pPr>
              <w:spacing w:after="0"/>
              <w:jc w:val="center"/>
              <w:rPr>
                <w:rFonts w:eastAsia="Times New Roman" w:cs="Arial"/>
                <w:b/>
                <w:bCs/>
                <w:sz w:val="18"/>
                <w:szCs w:val="18"/>
                <w:lang w:eastAsia="en-AU"/>
              </w:rPr>
            </w:pPr>
            <w:r w:rsidRPr="009B6210">
              <w:rPr>
                <w:rFonts w:eastAsia="Times New Roman" w:cs="Arial"/>
                <w:b/>
                <w:bCs/>
                <w:sz w:val="18"/>
                <w:szCs w:val="18"/>
                <w:lang w:eastAsia="en-AU"/>
              </w:rPr>
              <w:t> </w:t>
            </w:r>
          </w:p>
        </w:tc>
      </w:tr>
    </w:tbl>
    <w:p w:rsidR="00D121D4" w:rsidRDefault="00D121D4" w:rsidP="00D121D4">
      <w:pPr>
        <w:spacing w:after="200" w:line="276" w:lineRule="auto"/>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bottom w:w="48" w:type="dxa"/>
        </w:tblCellMar>
        <w:tblLook w:val="04A0" w:firstRow="1" w:lastRow="0" w:firstColumn="1" w:lastColumn="0" w:noHBand="0" w:noVBand="1"/>
      </w:tblPr>
      <w:tblGrid>
        <w:gridCol w:w="6111"/>
        <w:gridCol w:w="1984"/>
      </w:tblGrid>
      <w:tr w:rsidR="00D121D4" w:rsidRPr="00020459" w:rsidTr="00B61244">
        <w:trPr>
          <w:trHeight w:val="315"/>
        </w:trPr>
        <w:tc>
          <w:tcPr>
            <w:tcW w:w="6111" w:type="dxa"/>
            <w:tcBorders>
              <w:bottom w:val="single" w:sz="4" w:space="0" w:color="auto"/>
            </w:tcBorders>
            <w:shd w:val="clear" w:color="000000" w:fill="BFBFBF" w:themeFill="background1" w:themeFillShade="BF"/>
            <w:noWrap/>
            <w:vAlign w:val="center"/>
            <w:hideMark/>
          </w:tcPr>
          <w:p w:rsidR="00D121D4" w:rsidRPr="00020459" w:rsidRDefault="00D121D4" w:rsidP="00B61244">
            <w:pPr>
              <w:keepNext/>
              <w:spacing w:after="0"/>
              <w:rPr>
                <w:rFonts w:cs="Arial"/>
                <w:b/>
                <w:bCs/>
              </w:rPr>
            </w:pPr>
            <w:r w:rsidRPr="00020459">
              <w:rPr>
                <w:rFonts w:cs="Arial"/>
                <w:b/>
                <w:bCs/>
              </w:rPr>
              <w:lastRenderedPageBreak/>
              <w:t>Year</w:t>
            </w:r>
          </w:p>
        </w:tc>
        <w:tc>
          <w:tcPr>
            <w:tcW w:w="1984" w:type="dxa"/>
            <w:tcBorders>
              <w:bottom w:val="single" w:sz="4" w:space="0" w:color="auto"/>
            </w:tcBorders>
            <w:shd w:val="clear" w:color="000000" w:fill="BFBFBF" w:themeFill="background1" w:themeFillShade="BF"/>
            <w:noWrap/>
            <w:vAlign w:val="center"/>
          </w:tcPr>
          <w:p w:rsidR="00D121D4" w:rsidRPr="00020459" w:rsidRDefault="00D121D4" w:rsidP="00B61244">
            <w:pPr>
              <w:keepNext/>
              <w:spacing w:after="0"/>
              <w:jc w:val="center"/>
              <w:rPr>
                <w:rFonts w:cs="Arial"/>
                <w:b/>
                <w:bCs/>
              </w:rPr>
            </w:pPr>
            <w:r>
              <w:rPr>
                <w:rFonts w:cs="Arial"/>
                <w:b/>
                <w:bCs/>
              </w:rPr>
              <w:t>2014–15</w:t>
            </w:r>
          </w:p>
        </w:tc>
      </w:tr>
      <w:tr w:rsidR="00D121D4" w:rsidRPr="00020459" w:rsidTr="00B61244">
        <w:trPr>
          <w:trHeight w:val="255"/>
        </w:trPr>
        <w:tc>
          <w:tcPr>
            <w:tcW w:w="8095" w:type="dxa"/>
            <w:gridSpan w:val="2"/>
            <w:shd w:val="clear" w:color="auto" w:fill="D9D9D9" w:themeFill="background1" w:themeFillShade="D9"/>
            <w:noWrap/>
            <w:vAlign w:val="center"/>
          </w:tcPr>
          <w:p w:rsidR="00D121D4" w:rsidRPr="00020459" w:rsidRDefault="00D121D4" w:rsidP="00B61244">
            <w:pPr>
              <w:keepNext/>
              <w:spacing w:after="0"/>
              <w:rPr>
                <w:rFonts w:cs="Arial"/>
                <w:bCs/>
              </w:rPr>
            </w:pPr>
            <w:r w:rsidRPr="00020459">
              <w:rPr>
                <w:rFonts w:cs="Arial"/>
                <w:b/>
              </w:rPr>
              <w:t>ABBRR ($'000 NOMINAL)</w:t>
            </w:r>
            <w:r>
              <w:rPr>
                <w:rFonts w:cs="Arial"/>
                <w:b/>
              </w:rPr>
              <w:t xml:space="preserve"> </w:t>
            </w:r>
            <w:r w:rsidRPr="00020459">
              <w:rPr>
                <w:rFonts w:cs="Arial"/>
                <w:b/>
              </w:rPr>
              <w:t>- as</w:t>
            </w:r>
            <w:r>
              <w:rPr>
                <w:rFonts w:cs="Arial"/>
                <w:b/>
              </w:rPr>
              <w:t xml:space="preserve"> </w:t>
            </w:r>
            <w:r w:rsidRPr="00020459">
              <w:rPr>
                <w:rFonts w:cs="Arial"/>
                <w:b/>
              </w:rPr>
              <w:t>per Clause 1E.4.1</w:t>
            </w:r>
          </w:p>
        </w:tc>
      </w:tr>
      <w:tr w:rsidR="00D121D4" w:rsidRPr="00020459" w:rsidTr="00B61244">
        <w:trPr>
          <w:trHeight w:val="255"/>
        </w:trPr>
        <w:tc>
          <w:tcPr>
            <w:tcW w:w="6111" w:type="dxa"/>
            <w:shd w:val="clear" w:color="000000" w:fill="FFFFFF"/>
            <w:noWrap/>
            <w:vAlign w:val="center"/>
            <w:hideMark/>
          </w:tcPr>
          <w:p w:rsidR="00D121D4" w:rsidRPr="00020459" w:rsidRDefault="00D121D4" w:rsidP="00B61244">
            <w:pPr>
              <w:keepNext/>
              <w:spacing w:after="0"/>
              <w:rPr>
                <w:rFonts w:cs="Arial"/>
                <w:bCs/>
              </w:rPr>
            </w:pPr>
            <w:r w:rsidRPr="00020459">
              <w:rPr>
                <w:rFonts w:cs="Arial"/>
                <w:bCs/>
              </w:rPr>
              <w:t>Return on capital</w:t>
            </w:r>
          </w:p>
        </w:tc>
        <w:tc>
          <w:tcPr>
            <w:tcW w:w="1984" w:type="dxa"/>
            <w:shd w:val="clear" w:color="000000" w:fill="FFFFFF"/>
            <w:noWrap/>
            <w:vAlign w:val="center"/>
          </w:tcPr>
          <w:p w:rsidR="00D121D4" w:rsidRPr="00020459" w:rsidRDefault="00D121D4" w:rsidP="00B61244">
            <w:pPr>
              <w:keepNext/>
              <w:spacing w:after="0"/>
              <w:jc w:val="right"/>
              <w:rPr>
                <w:rFonts w:cs="Arial"/>
                <w:bCs/>
              </w:rPr>
            </w:pPr>
            <w:r>
              <w:rPr>
                <w:rFonts w:cs="Arial"/>
                <w:bCs/>
              </w:rPr>
              <w:t>210 314</w:t>
            </w:r>
          </w:p>
        </w:tc>
      </w:tr>
      <w:tr w:rsidR="00D121D4" w:rsidRPr="00020459" w:rsidTr="00B61244">
        <w:trPr>
          <w:trHeight w:val="255"/>
        </w:trPr>
        <w:tc>
          <w:tcPr>
            <w:tcW w:w="6111" w:type="dxa"/>
            <w:shd w:val="clear" w:color="auto" w:fill="F2F2F2" w:themeFill="background1" w:themeFillShade="F2"/>
            <w:noWrap/>
            <w:vAlign w:val="center"/>
            <w:hideMark/>
          </w:tcPr>
          <w:p w:rsidR="00D121D4" w:rsidRPr="00020459" w:rsidRDefault="00D121D4" w:rsidP="00B61244">
            <w:pPr>
              <w:keepNext/>
              <w:spacing w:after="0"/>
              <w:rPr>
                <w:rFonts w:cs="Arial"/>
                <w:bCs/>
              </w:rPr>
            </w:pPr>
            <w:r w:rsidRPr="00020459">
              <w:rPr>
                <w:rFonts w:cs="Arial"/>
                <w:bCs/>
              </w:rPr>
              <w:t xml:space="preserve">Nominal </w:t>
            </w:r>
            <w:r>
              <w:rPr>
                <w:rFonts w:cs="Arial"/>
                <w:bCs/>
              </w:rPr>
              <w:t>regulatory d</w:t>
            </w:r>
            <w:r w:rsidRPr="00020459">
              <w:rPr>
                <w:rFonts w:cs="Arial"/>
                <w:bCs/>
              </w:rPr>
              <w:t>epreciation –</w:t>
            </w:r>
            <w:r>
              <w:rPr>
                <w:rFonts w:cs="Arial"/>
                <w:bCs/>
              </w:rPr>
              <w:t xml:space="preserve"> </w:t>
            </w:r>
            <w:r w:rsidRPr="00020459">
              <w:rPr>
                <w:rFonts w:cs="Arial"/>
                <w:bCs/>
              </w:rPr>
              <w:t>as per clause 1E.9.1(c)</w:t>
            </w:r>
          </w:p>
        </w:tc>
        <w:tc>
          <w:tcPr>
            <w:tcW w:w="1984" w:type="dxa"/>
            <w:shd w:val="clear" w:color="auto" w:fill="F2F2F2" w:themeFill="background1" w:themeFillShade="F2"/>
            <w:noWrap/>
            <w:vAlign w:val="center"/>
          </w:tcPr>
          <w:p w:rsidR="00D121D4" w:rsidRPr="00020459" w:rsidRDefault="00D121D4" w:rsidP="00B61244">
            <w:pPr>
              <w:keepNext/>
              <w:spacing w:after="0"/>
              <w:jc w:val="right"/>
              <w:rPr>
                <w:rFonts w:cs="Arial"/>
              </w:rPr>
            </w:pPr>
            <w:r>
              <w:rPr>
                <w:rFonts w:cs="Arial"/>
              </w:rPr>
              <w:t>249 103</w:t>
            </w:r>
          </w:p>
        </w:tc>
      </w:tr>
      <w:tr w:rsidR="00D121D4" w:rsidRPr="00020459" w:rsidTr="00B61244">
        <w:trPr>
          <w:trHeight w:val="255"/>
        </w:trPr>
        <w:tc>
          <w:tcPr>
            <w:tcW w:w="6111" w:type="dxa"/>
            <w:shd w:val="clear" w:color="000000" w:fill="FFFFFF"/>
            <w:noWrap/>
            <w:vAlign w:val="center"/>
            <w:hideMark/>
          </w:tcPr>
          <w:p w:rsidR="00D121D4" w:rsidRPr="00020459" w:rsidRDefault="00D121D4" w:rsidP="00B61244">
            <w:pPr>
              <w:keepNext/>
              <w:spacing w:after="0"/>
              <w:rPr>
                <w:rFonts w:cs="Arial"/>
                <w:bCs/>
              </w:rPr>
            </w:pPr>
            <w:r w:rsidRPr="00020459">
              <w:rPr>
                <w:rFonts w:cs="Arial"/>
                <w:bCs/>
              </w:rPr>
              <w:t xml:space="preserve">Nominal </w:t>
            </w:r>
            <w:r>
              <w:rPr>
                <w:rFonts w:cs="Arial"/>
                <w:bCs/>
              </w:rPr>
              <w:t>o</w:t>
            </w:r>
            <w:r w:rsidRPr="00020459">
              <w:rPr>
                <w:rFonts w:cs="Arial"/>
                <w:bCs/>
              </w:rPr>
              <w:t>p</w:t>
            </w:r>
            <w:r>
              <w:rPr>
                <w:rFonts w:cs="Arial"/>
                <w:bCs/>
              </w:rPr>
              <w:t>erating expenditure</w:t>
            </w:r>
          </w:p>
        </w:tc>
        <w:tc>
          <w:tcPr>
            <w:tcW w:w="1984" w:type="dxa"/>
            <w:shd w:val="clear" w:color="000000" w:fill="FFFFFF"/>
            <w:noWrap/>
            <w:vAlign w:val="center"/>
          </w:tcPr>
          <w:p w:rsidR="00D121D4" w:rsidRPr="00020459" w:rsidRDefault="00D121D4" w:rsidP="00B61244">
            <w:pPr>
              <w:keepNext/>
              <w:spacing w:after="0"/>
              <w:jc w:val="right"/>
              <w:rPr>
                <w:rFonts w:cs="Arial"/>
              </w:rPr>
            </w:pPr>
            <w:r>
              <w:rPr>
                <w:rFonts w:cs="Arial"/>
              </w:rPr>
              <w:t>1 591 219</w:t>
            </w:r>
          </w:p>
        </w:tc>
      </w:tr>
      <w:tr w:rsidR="00D121D4" w:rsidRPr="00020459" w:rsidTr="00B61244">
        <w:trPr>
          <w:trHeight w:val="255"/>
        </w:trPr>
        <w:tc>
          <w:tcPr>
            <w:tcW w:w="6111" w:type="dxa"/>
            <w:shd w:val="clear" w:color="auto" w:fill="F2F2F2" w:themeFill="background1" w:themeFillShade="F2"/>
            <w:noWrap/>
            <w:vAlign w:val="center"/>
            <w:hideMark/>
          </w:tcPr>
          <w:p w:rsidR="00D121D4" w:rsidRPr="00020459" w:rsidRDefault="00D121D4" w:rsidP="00B61244">
            <w:pPr>
              <w:keepNext/>
              <w:spacing w:after="0"/>
              <w:rPr>
                <w:rFonts w:cs="Arial"/>
                <w:bCs/>
              </w:rPr>
            </w:pPr>
            <w:r w:rsidRPr="00020459">
              <w:rPr>
                <w:rFonts w:cs="Arial"/>
                <w:bCs/>
              </w:rPr>
              <w:t xml:space="preserve">Net </w:t>
            </w:r>
            <w:r>
              <w:rPr>
                <w:rFonts w:cs="Arial"/>
                <w:bCs/>
              </w:rPr>
              <w:t>tax a</w:t>
            </w:r>
            <w:r w:rsidRPr="00020459">
              <w:rPr>
                <w:rFonts w:cs="Arial"/>
                <w:bCs/>
              </w:rPr>
              <w:t xml:space="preserve">llowance </w:t>
            </w:r>
          </w:p>
        </w:tc>
        <w:tc>
          <w:tcPr>
            <w:tcW w:w="1984" w:type="dxa"/>
            <w:shd w:val="clear" w:color="auto" w:fill="F2F2F2" w:themeFill="background1" w:themeFillShade="F2"/>
            <w:noWrap/>
            <w:vAlign w:val="center"/>
          </w:tcPr>
          <w:p w:rsidR="00D121D4" w:rsidRPr="00C73A43" w:rsidRDefault="00D121D4" w:rsidP="00B61244">
            <w:pPr>
              <w:keepNext/>
              <w:spacing w:after="0"/>
              <w:jc w:val="right"/>
              <w:rPr>
                <w:rFonts w:cs="Arial"/>
                <w:bCs/>
                <w:iCs/>
              </w:rPr>
            </w:pPr>
            <w:r w:rsidRPr="00C73A43">
              <w:rPr>
                <w:rFonts w:cs="Arial"/>
                <w:bCs/>
                <w:iCs/>
              </w:rPr>
              <w:t>-</w:t>
            </w:r>
          </w:p>
        </w:tc>
      </w:tr>
      <w:tr w:rsidR="00D121D4" w:rsidRPr="00020459" w:rsidTr="00B61244">
        <w:trPr>
          <w:trHeight w:val="255"/>
        </w:trPr>
        <w:tc>
          <w:tcPr>
            <w:tcW w:w="6111" w:type="dxa"/>
            <w:shd w:val="clear" w:color="000000" w:fill="FFFFFF"/>
            <w:noWrap/>
            <w:vAlign w:val="center"/>
            <w:hideMark/>
          </w:tcPr>
          <w:p w:rsidR="00D121D4" w:rsidRPr="00020459" w:rsidRDefault="00D121D4" w:rsidP="00B61244">
            <w:pPr>
              <w:keepNext/>
              <w:spacing w:after="0"/>
              <w:rPr>
                <w:rFonts w:cs="Arial"/>
                <w:bCs/>
              </w:rPr>
            </w:pPr>
            <w:r>
              <w:rPr>
                <w:rFonts w:cs="Arial"/>
                <w:bCs/>
              </w:rPr>
              <w:t>Annual c</w:t>
            </w:r>
            <w:r w:rsidRPr="00020459">
              <w:rPr>
                <w:rFonts w:cs="Arial"/>
                <w:bCs/>
              </w:rPr>
              <w:t xml:space="preserve">onstruction in </w:t>
            </w:r>
            <w:r>
              <w:rPr>
                <w:rFonts w:cs="Arial"/>
                <w:bCs/>
              </w:rPr>
              <w:t>p</w:t>
            </w:r>
            <w:r w:rsidRPr="00020459">
              <w:rPr>
                <w:rFonts w:cs="Arial"/>
                <w:bCs/>
              </w:rPr>
              <w:t xml:space="preserve">rogress </w:t>
            </w:r>
            <w:r>
              <w:rPr>
                <w:rFonts w:cs="Arial"/>
                <w:bCs/>
              </w:rPr>
              <w:t>a</w:t>
            </w:r>
            <w:r w:rsidRPr="00020459">
              <w:rPr>
                <w:rFonts w:cs="Arial"/>
                <w:bCs/>
              </w:rPr>
              <w:t>llowance – as per Clause 1E.10</w:t>
            </w:r>
          </w:p>
        </w:tc>
        <w:tc>
          <w:tcPr>
            <w:tcW w:w="1984" w:type="dxa"/>
            <w:shd w:val="clear" w:color="000000" w:fill="FFFFFF"/>
            <w:noWrap/>
            <w:vAlign w:val="center"/>
          </w:tcPr>
          <w:p w:rsidR="00D121D4" w:rsidRPr="00C73A43" w:rsidRDefault="00D121D4" w:rsidP="00B61244">
            <w:pPr>
              <w:keepNext/>
              <w:spacing w:after="0"/>
              <w:jc w:val="right"/>
              <w:rPr>
                <w:rFonts w:cs="Arial"/>
                <w:bCs/>
                <w:iCs/>
              </w:rPr>
            </w:pPr>
            <w:r>
              <w:rPr>
                <w:rFonts w:cs="Arial"/>
                <w:bCs/>
                <w:iCs/>
              </w:rPr>
              <w:t>167 853</w:t>
            </w:r>
          </w:p>
        </w:tc>
      </w:tr>
      <w:tr w:rsidR="00D121D4" w:rsidRPr="00020459" w:rsidTr="00B61244">
        <w:trPr>
          <w:trHeight w:val="255"/>
        </w:trPr>
        <w:tc>
          <w:tcPr>
            <w:tcW w:w="6111" w:type="dxa"/>
            <w:shd w:val="clear" w:color="auto" w:fill="F2F2F2" w:themeFill="background1" w:themeFillShade="F2"/>
            <w:noWrap/>
            <w:vAlign w:val="center"/>
            <w:hideMark/>
          </w:tcPr>
          <w:p w:rsidR="00D121D4" w:rsidRPr="00020459" w:rsidRDefault="00D121D4" w:rsidP="00B61244">
            <w:pPr>
              <w:keepNext/>
              <w:spacing w:after="0"/>
              <w:rPr>
                <w:rFonts w:cs="Arial"/>
                <w:bCs/>
              </w:rPr>
            </w:pPr>
            <w:r w:rsidRPr="00020459">
              <w:rPr>
                <w:rFonts w:cs="Arial"/>
                <w:bCs/>
              </w:rPr>
              <w:t>ABBRR</w:t>
            </w:r>
          </w:p>
        </w:tc>
        <w:tc>
          <w:tcPr>
            <w:tcW w:w="1984" w:type="dxa"/>
            <w:shd w:val="clear" w:color="auto" w:fill="F2F2F2" w:themeFill="background1" w:themeFillShade="F2"/>
            <w:noWrap/>
            <w:vAlign w:val="center"/>
          </w:tcPr>
          <w:p w:rsidR="00D121D4" w:rsidRPr="00B10F0F" w:rsidRDefault="00D121D4" w:rsidP="00B61244">
            <w:pPr>
              <w:keepNext/>
              <w:spacing w:after="0"/>
              <w:jc w:val="right"/>
              <w:rPr>
                <w:rFonts w:cs="Arial"/>
                <w:bCs/>
                <w:iCs/>
              </w:rPr>
            </w:pPr>
            <w:r>
              <w:rPr>
                <w:rFonts w:cs="Arial"/>
                <w:bCs/>
                <w:iCs/>
              </w:rPr>
              <w:t>2 218 490</w:t>
            </w:r>
          </w:p>
        </w:tc>
      </w:tr>
    </w:tbl>
    <w:p w:rsidR="00D121D4" w:rsidRDefault="00D121D4" w:rsidP="00D121D4">
      <w:pPr>
        <w:spacing w:after="200" w:line="276" w:lineRule="auto"/>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4A0" w:firstRow="1" w:lastRow="0" w:firstColumn="1" w:lastColumn="0" w:noHBand="0" w:noVBand="1"/>
      </w:tblPr>
      <w:tblGrid>
        <w:gridCol w:w="6096"/>
        <w:gridCol w:w="1984"/>
      </w:tblGrid>
      <w:tr w:rsidR="00D121D4" w:rsidRPr="00020459" w:rsidTr="00B61244">
        <w:trPr>
          <w:trHeight w:val="270"/>
        </w:trPr>
        <w:tc>
          <w:tcPr>
            <w:tcW w:w="6096" w:type="dxa"/>
            <w:tcBorders>
              <w:bottom w:val="single" w:sz="4" w:space="0" w:color="auto"/>
            </w:tcBorders>
            <w:shd w:val="clear" w:color="000000" w:fill="BFBFBF" w:themeFill="background1" w:themeFillShade="BF"/>
            <w:noWrap/>
            <w:vAlign w:val="center"/>
            <w:hideMark/>
          </w:tcPr>
          <w:p w:rsidR="00D121D4" w:rsidRPr="00020459" w:rsidRDefault="00D121D4" w:rsidP="00B61244">
            <w:pPr>
              <w:keepNext/>
              <w:keepLines/>
              <w:spacing w:after="0"/>
              <w:rPr>
                <w:rFonts w:cs="Arial"/>
                <w:b/>
                <w:bCs/>
              </w:rPr>
            </w:pPr>
            <w:r w:rsidRPr="00020459">
              <w:rPr>
                <w:rFonts w:cs="Arial"/>
                <w:b/>
                <w:bCs/>
              </w:rPr>
              <w:t>Year</w:t>
            </w:r>
          </w:p>
        </w:tc>
        <w:tc>
          <w:tcPr>
            <w:tcW w:w="1984" w:type="dxa"/>
            <w:tcBorders>
              <w:bottom w:val="single" w:sz="4" w:space="0" w:color="auto"/>
            </w:tcBorders>
            <w:shd w:val="clear" w:color="000000" w:fill="BFBFBF" w:themeFill="background1" w:themeFillShade="BF"/>
            <w:noWrap/>
            <w:vAlign w:val="center"/>
          </w:tcPr>
          <w:p w:rsidR="00D121D4" w:rsidRPr="00020459" w:rsidRDefault="00D121D4" w:rsidP="00B61244">
            <w:pPr>
              <w:keepNext/>
              <w:keepLines/>
              <w:spacing w:after="0"/>
              <w:jc w:val="center"/>
              <w:rPr>
                <w:rFonts w:cs="Arial"/>
                <w:b/>
                <w:bCs/>
              </w:rPr>
            </w:pPr>
            <w:r>
              <w:rPr>
                <w:rFonts w:cs="Arial"/>
                <w:b/>
                <w:bCs/>
              </w:rPr>
              <w:t>2014–15</w:t>
            </w:r>
          </w:p>
        </w:tc>
      </w:tr>
      <w:tr w:rsidR="00D121D4" w:rsidRPr="00020459" w:rsidTr="00B61244">
        <w:trPr>
          <w:trHeight w:val="255"/>
        </w:trPr>
        <w:tc>
          <w:tcPr>
            <w:tcW w:w="6096" w:type="dxa"/>
            <w:shd w:val="clear" w:color="auto" w:fill="D9D9D9" w:themeFill="background1" w:themeFillShade="D9"/>
            <w:noWrap/>
            <w:vAlign w:val="center"/>
          </w:tcPr>
          <w:p w:rsidR="00D121D4" w:rsidRPr="00020459" w:rsidRDefault="00D121D4" w:rsidP="00B61244">
            <w:pPr>
              <w:keepNext/>
              <w:keepLines/>
              <w:spacing w:after="0"/>
              <w:rPr>
                <w:rFonts w:cs="Arial"/>
                <w:bCs/>
              </w:rPr>
            </w:pPr>
            <w:r w:rsidRPr="00020459">
              <w:rPr>
                <w:rFonts w:cs="Arial"/>
                <w:b/>
              </w:rPr>
              <w:t xml:space="preserve">Taxation </w:t>
            </w:r>
            <w:r>
              <w:rPr>
                <w:rFonts w:cs="Arial"/>
                <w:b/>
              </w:rPr>
              <w:t>c</w:t>
            </w:r>
            <w:r w:rsidRPr="00020459">
              <w:rPr>
                <w:rFonts w:cs="Arial"/>
                <w:b/>
              </w:rPr>
              <w:t>alculations ($'000 NOMINAL) - as per Clause 1E.9.3</w:t>
            </w:r>
          </w:p>
        </w:tc>
        <w:tc>
          <w:tcPr>
            <w:tcW w:w="1984" w:type="dxa"/>
            <w:shd w:val="clear" w:color="auto" w:fill="D9D9D9" w:themeFill="background1" w:themeFillShade="D9"/>
            <w:noWrap/>
            <w:vAlign w:val="center"/>
          </w:tcPr>
          <w:p w:rsidR="00D121D4" w:rsidRPr="00020459" w:rsidRDefault="00D121D4" w:rsidP="00B61244">
            <w:pPr>
              <w:keepNext/>
              <w:keepLines/>
              <w:spacing w:after="0"/>
              <w:jc w:val="center"/>
              <w:rPr>
                <w:rFonts w:cs="Arial"/>
              </w:rPr>
            </w:pP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keepLines/>
              <w:spacing w:after="0"/>
              <w:rPr>
                <w:rFonts w:cs="Arial"/>
                <w:bCs/>
              </w:rPr>
            </w:pPr>
            <w:r>
              <w:rPr>
                <w:rFonts w:cs="Arial"/>
                <w:bCs/>
              </w:rPr>
              <w:t>Nominal r</w:t>
            </w:r>
            <w:r w:rsidRPr="00020459">
              <w:rPr>
                <w:rFonts w:cs="Arial"/>
                <w:bCs/>
              </w:rPr>
              <w:t>evenue</w:t>
            </w:r>
          </w:p>
        </w:tc>
        <w:tc>
          <w:tcPr>
            <w:tcW w:w="1984" w:type="dxa"/>
            <w:shd w:val="clear" w:color="000000" w:fill="FFFFFF"/>
            <w:noWrap/>
            <w:vAlign w:val="center"/>
          </w:tcPr>
          <w:p w:rsidR="00D121D4" w:rsidRPr="00020459" w:rsidRDefault="00D121D4" w:rsidP="00B61244">
            <w:pPr>
              <w:keepNext/>
              <w:keepLines/>
              <w:spacing w:after="0"/>
              <w:jc w:val="right"/>
              <w:rPr>
                <w:rFonts w:cs="Arial"/>
              </w:rPr>
            </w:pPr>
            <w:r>
              <w:rPr>
                <w:rFonts w:cs="Arial"/>
              </w:rPr>
              <w:t>163 867</w:t>
            </w:r>
          </w:p>
        </w:tc>
      </w:tr>
      <w:tr w:rsidR="00D121D4" w:rsidRPr="00020459" w:rsidTr="00B61244">
        <w:trPr>
          <w:trHeight w:val="255"/>
        </w:trPr>
        <w:tc>
          <w:tcPr>
            <w:tcW w:w="6096" w:type="dxa"/>
            <w:shd w:val="clear" w:color="auto" w:fill="F2F2F2" w:themeFill="background1" w:themeFillShade="F2"/>
            <w:noWrap/>
            <w:vAlign w:val="center"/>
            <w:hideMark/>
          </w:tcPr>
          <w:p w:rsidR="00D121D4" w:rsidRPr="00020459" w:rsidRDefault="00D121D4" w:rsidP="00B61244">
            <w:pPr>
              <w:keepNext/>
              <w:keepLines/>
              <w:spacing w:after="0"/>
              <w:rPr>
                <w:rFonts w:cs="Arial"/>
              </w:rPr>
            </w:pPr>
            <w:r w:rsidRPr="00CC766A">
              <w:rPr>
                <w:rFonts w:cs="Arial"/>
                <w:i/>
              </w:rPr>
              <w:t>Add</w:t>
            </w:r>
            <w:r>
              <w:rPr>
                <w:rFonts w:cs="Arial"/>
              </w:rPr>
              <w:t xml:space="preserve"> v</w:t>
            </w:r>
            <w:r w:rsidRPr="00020459">
              <w:rPr>
                <w:rFonts w:cs="Arial"/>
              </w:rPr>
              <w:t xml:space="preserve">alue of </w:t>
            </w:r>
            <w:r>
              <w:rPr>
                <w:rFonts w:cs="Arial"/>
              </w:rPr>
              <w:t>a</w:t>
            </w:r>
            <w:r w:rsidRPr="00020459">
              <w:rPr>
                <w:rFonts w:cs="Arial"/>
              </w:rPr>
              <w:t xml:space="preserve">ssets </w:t>
            </w:r>
            <w:r>
              <w:rPr>
                <w:rFonts w:cs="Arial"/>
              </w:rPr>
              <w:t>r</w:t>
            </w:r>
            <w:r w:rsidRPr="00020459">
              <w:rPr>
                <w:rFonts w:cs="Arial"/>
              </w:rPr>
              <w:t xml:space="preserve">eceived for </w:t>
            </w:r>
            <w:r>
              <w:rPr>
                <w:rFonts w:cs="Arial"/>
              </w:rPr>
              <w:t>n</w:t>
            </w:r>
            <w:r w:rsidRPr="00020459">
              <w:rPr>
                <w:rFonts w:cs="Arial"/>
              </w:rPr>
              <w:t xml:space="preserve">il </w:t>
            </w:r>
            <w:r>
              <w:rPr>
                <w:rFonts w:cs="Arial"/>
              </w:rPr>
              <w:t>c</w:t>
            </w:r>
            <w:r w:rsidRPr="00020459">
              <w:rPr>
                <w:rFonts w:cs="Arial"/>
              </w:rPr>
              <w:t>onsideration</w:t>
            </w:r>
          </w:p>
        </w:tc>
        <w:tc>
          <w:tcPr>
            <w:tcW w:w="1984" w:type="dxa"/>
            <w:shd w:val="clear" w:color="auto" w:fill="F2F2F2" w:themeFill="background1" w:themeFillShade="F2"/>
            <w:noWrap/>
            <w:vAlign w:val="center"/>
          </w:tcPr>
          <w:p w:rsidR="00D121D4" w:rsidRPr="00020459" w:rsidRDefault="00D121D4" w:rsidP="00B61244">
            <w:pPr>
              <w:keepNext/>
              <w:keepLines/>
              <w:spacing w:after="0"/>
              <w:jc w:val="right"/>
              <w:rPr>
                <w:rFonts w:cs="Arial"/>
              </w:rPr>
            </w:pPr>
            <w:r>
              <w:rPr>
                <w:rFonts w:cs="Arial"/>
              </w:rPr>
              <w:t>117 429</w:t>
            </w: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keepLines/>
              <w:spacing w:after="0"/>
              <w:rPr>
                <w:rFonts w:cs="Arial"/>
              </w:rPr>
            </w:pPr>
            <w:r w:rsidRPr="00CC766A">
              <w:rPr>
                <w:rFonts w:cs="Arial"/>
                <w:i/>
              </w:rPr>
              <w:t>Less</w:t>
            </w:r>
            <w:r>
              <w:rPr>
                <w:rFonts w:cs="Arial"/>
              </w:rPr>
              <w:t xml:space="preserve"> n</w:t>
            </w:r>
            <w:r w:rsidRPr="00020459">
              <w:rPr>
                <w:rFonts w:cs="Arial"/>
              </w:rPr>
              <w:t xml:space="preserve">ominal </w:t>
            </w:r>
            <w:r>
              <w:rPr>
                <w:rFonts w:cs="Arial"/>
              </w:rPr>
              <w:t>o</w:t>
            </w:r>
            <w:r w:rsidRPr="00020459">
              <w:rPr>
                <w:rFonts w:cs="Arial"/>
              </w:rPr>
              <w:t xml:space="preserve">perating </w:t>
            </w:r>
            <w:r>
              <w:rPr>
                <w:rFonts w:cs="Arial"/>
              </w:rPr>
              <w:t>e</w:t>
            </w:r>
            <w:r w:rsidRPr="00020459">
              <w:rPr>
                <w:rFonts w:cs="Arial"/>
              </w:rPr>
              <w:t>xpenditure</w:t>
            </w:r>
          </w:p>
        </w:tc>
        <w:tc>
          <w:tcPr>
            <w:tcW w:w="1984" w:type="dxa"/>
            <w:shd w:val="clear" w:color="000000" w:fill="FFFFFF"/>
            <w:noWrap/>
            <w:vAlign w:val="center"/>
          </w:tcPr>
          <w:p w:rsidR="00D121D4" w:rsidRPr="00020459" w:rsidRDefault="00D121D4" w:rsidP="00B61244">
            <w:pPr>
              <w:keepNext/>
              <w:keepLines/>
              <w:spacing w:after="0"/>
              <w:jc w:val="right"/>
              <w:rPr>
                <w:rFonts w:cs="Arial"/>
              </w:rPr>
            </w:pPr>
            <w:r>
              <w:rPr>
                <w:rFonts w:cs="Arial"/>
              </w:rPr>
              <w:t>(1 591 219)</w:t>
            </w:r>
          </w:p>
        </w:tc>
      </w:tr>
      <w:tr w:rsidR="00D121D4" w:rsidRPr="00020459" w:rsidTr="00B61244">
        <w:trPr>
          <w:trHeight w:val="255"/>
        </w:trPr>
        <w:tc>
          <w:tcPr>
            <w:tcW w:w="6096" w:type="dxa"/>
            <w:shd w:val="clear" w:color="auto" w:fill="F2F2F2" w:themeFill="background1" w:themeFillShade="F2"/>
            <w:noWrap/>
            <w:vAlign w:val="center"/>
            <w:hideMark/>
          </w:tcPr>
          <w:p w:rsidR="00D121D4" w:rsidRPr="00020459" w:rsidRDefault="00D121D4" w:rsidP="00B61244">
            <w:pPr>
              <w:keepNext/>
              <w:keepLines/>
              <w:spacing w:after="0"/>
              <w:rPr>
                <w:rFonts w:cs="Arial"/>
              </w:rPr>
            </w:pPr>
            <w:r w:rsidRPr="00CC766A">
              <w:rPr>
                <w:rFonts w:cs="Arial"/>
                <w:i/>
              </w:rPr>
              <w:t>Less</w:t>
            </w:r>
            <w:r>
              <w:rPr>
                <w:rFonts w:cs="Arial"/>
              </w:rPr>
              <w:t xml:space="preserve"> n</w:t>
            </w:r>
            <w:r w:rsidRPr="00020459">
              <w:rPr>
                <w:rFonts w:cs="Arial"/>
              </w:rPr>
              <w:t xml:space="preserve">ominal </w:t>
            </w:r>
            <w:r>
              <w:rPr>
                <w:rFonts w:cs="Arial"/>
              </w:rPr>
              <w:t>tax d</w:t>
            </w:r>
            <w:r w:rsidRPr="00020459">
              <w:rPr>
                <w:rFonts w:cs="Arial"/>
              </w:rPr>
              <w:t>epreciation</w:t>
            </w:r>
          </w:p>
        </w:tc>
        <w:tc>
          <w:tcPr>
            <w:tcW w:w="1984" w:type="dxa"/>
            <w:shd w:val="clear" w:color="auto" w:fill="F2F2F2" w:themeFill="background1" w:themeFillShade="F2"/>
            <w:noWrap/>
            <w:vAlign w:val="center"/>
          </w:tcPr>
          <w:p w:rsidR="00D121D4" w:rsidRPr="00020459" w:rsidRDefault="00D121D4" w:rsidP="00B61244">
            <w:pPr>
              <w:keepNext/>
              <w:keepLines/>
              <w:spacing w:after="0"/>
              <w:jc w:val="right"/>
              <w:rPr>
                <w:rFonts w:cs="Arial"/>
              </w:rPr>
            </w:pPr>
            <w:r>
              <w:rPr>
                <w:rFonts w:cs="Arial"/>
              </w:rPr>
              <w:t>(288 228)</w:t>
            </w: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keepLines/>
              <w:spacing w:after="0"/>
              <w:rPr>
                <w:rFonts w:cs="Arial"/>
              </w:rPr>
            </w:pPr>
            <w:r w:rsidRPr="00CC766A">
              <w:rPr>
                <w:rFonts w:cs="Arial"/>
                <w:i/>
              </w:rPr>
              <w:t>Less</w:t>
            </w:r>
            <w:r>
              <w:rPr>
                <w:rFonts w:cs="Arial"/>
              </w:rPr>
              <w:t xml:space="preserve"> i</w:t>
            </w:r>
            <w:r w:rsidRPr="00020459">
              <w:rPr>
                <w:rFonts w:cs="Arial"/>
              </w:rPr>
              <w:t xml:space="preserve">nterest </w:t>
            </w:r>
            <w:r>
              <w:rPr>
                <w:rFonts w:cs="Arial"/>
              </w:rPr>
              <w:t>e</w:t>
            </w:r>
            <w:r w:rsidRPr="00020459">
              <w:rPr>
                <w:rFonts w:cs="Arial"/>
              </w:rPr>
              <w:t>xpense</w:t>
            </w:r>
          </w:p>
        </w:tc>
        <w:tc>
          <w:tcPr>
            <w:tcW w:w="1984" w:type="dxa"/>
            <w:shd w:val="clear" w:color="000000" w:fill="FFFFFF"/>
            <w:noWrap/>
            <w:vAlign w:val="center"/>
          </w:tcPr>
          <w:p w:rsidR="00D121D4" w:rsidRPr="00020459" w:rsidRDefault="00D121D4" w:rsidP="00B61244">
            <w:pPr>
              <w:keepNext/>
              <w:keepLines/>
              <w:spacing w:after="0"/>
              <w:jc w:val="right"/>
              <w:rPr>
                <w:rFonts w:cs="Arial"/>
              </w:rPr>
            </w:pPr>
            <w:r>
              <w:rPr>
                <w:rFonts w:cs="Arial"/>
              </w:rPr>
              <w:t>(59)</w:t>
            </w:r>
          </w:p>
        </w:tc>
      </w:tr>
      <w:tr w:rsidR="00D121D4" w:rsidRPr="00020459" w:rsidTr="00B61244">
        <w:trPr>
          <w:trHeight w:val="255"/>
        </w:trPr>
        <w:tc>
          <w:tcPr>
            <w:tcW w:w="6096" w:type="dxa"/>
            <w:shd w:val="clear" w:color="auto" w:fill="F2F2F2" w:themeFill="background1" w:themeFillShade="F2"/>
            <w:noWrap/>
            <w:vAlign w:val="center"/>
            <w:hideMark/>
          </w:tcPr>
          <w:p w:rsidR="00D121D4" w:rsidRPr="00020459" w:rsidRDefault="00D121D4" w:rsidP="00B61244">
            <w:pPr>
              <w:keepNext/>
              <w:keepLines/>
              <w:spacing w:after="0"/>
              <w:rPr>
                <w:rFonts w:cs="Arial"/>
                <w:bCs/>
              </w:rPr>
            </w:pPr>
            <w:r w:rsidRPr="00020459">
              <w:rPr>
                <w:rFonts w:cs="Arial"/>
                <w:bCs/>
              </w:rPr>
              <w:t xml:space="preserve">Taxable </w:t>
            </w:r>
            <w:r>
              <w:rPr>
                <w:rFonts w:cs="Arial"/>
                <w:bCs/>
              </w:rPr>
              <w:t>p</w:t>
            </w:r>
            <w:r w:rsidRPr="00020459">
              <w:rPr>
                <w:rFonts w:cs="Arial"/>
                <w:bCs/>
              </w:rPr>
              <w:t>rofit – as per Clause 1E.9.3</w:t>
            </w:r>
          </w:p>
        </w:tc>
        <w:tc>
          <w:tcPr>
            <w:tcW w:w="1984" w:type="dxa"/>
            <w:shd w:val="clear" w:color="auto" w:fill="F2F2F2" w:themeFill="background1" w:themeFillShade="F2"/>
            <w:noWrap/>
            <w:vAlign w:val="center"/>
          </w:tcPr>
          <w:p w:rsidR="00D121D4" w:rsidRPr="00C73A43" w:rsidRDefault="00D121D4" w:rsidP="00B61244">
            <w:pPr>
              <w:keepNext/>
              <w:keepLines/>
              <w:spacing w:after="0"/>
              <w:jc w:val="right"/>
              <w:rPr>
                <w:rFonts w:cs="Arial"/>
                <w:bCs/>
                <w:iCs/>
              </w:rPr>
            </w:pPr>
            <w:r>
              <w:rPr>
                <w:rFonts w:cs="Arial"/>
                <w:bCs/>
                <w:iCs/>
              </w:rPr>
              <w:t>(1 598 210)</w:t>
            </w: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keepLines/>
              <w:spacing w:after="0"/>
              <w:rPr>
                <w:rFonts w:cs="Arial"/>
              </w:rPr>
            </w:pPr>
            <w:r w:rsidRPr="00020459">
              <w:rPr>
                <w:rFonts w:cs="Arial"/>
                <w:bCs/>
              </w:rPr>
              <w:t xml:space="preserve">Tax </w:t>
            </w:r>
            <w:r>
              <w:rPr>
                <w:rFonts w:cs="Arial"/>
                <w:bCs/>
              </w:rPr>
              <w:t>loss carried f</w:t>
            </w:r>
            <w:r w:rsidRPr="00020459">
              <w:rPr>
                <w:rFonts w:cs="Arial"/>
                <w:bCs/>
              </w:rPr>
              <w:t>orward (</w:t>
            </w:r>
            <w:r w:rsidRPr="00020459">
              <w:rPr>
                <w:rFonts w:cs="Arial"/>
              </w:rPr>
              <w:t xml:space="preserve">Start period) </w:t>
            </w:r>
            <w:r w:rsidRPr="00020459">
              <w:rPr>
                <w:rFonts w:cs="Arial"/>
                <w:bCs/>
              </w:rPr>
              <w:t>– as per Clause 1E.9.3</w:t>
            </w:r>
          </w:p>
        </w:tc>
        <w:tc>
          <w:tcPr>
            <w:tcW w:w="1984" w:type="dxa"/>
            <w:shd w:val="clear" w:color="000000" w:fill="FFFFFF"/>
            <w:noWrap/>
            <w:vAlign w:val="center"/>
          </w:tcPr>
          <w:p w:rsidR="00D121D4" w:rsidRPr="00C73A43" w:rsidRDefault="00D121D4" w:rsidP="00B61244">
            <w:pPr>
              <w:keepNext/>
              <w:keepLines/>
              <w:spacing w:after="0"/>
              <w:jc w:val="right"/>
              <w:rPr>
                <w:rFonts w:cs="Arial"/>
                <w:bCs/>
                <w:iCs/>
              </w:rPr>
            </w:pPr>
            <w:r>
              <w:rPr>
                <w:rFonts w:cs="Arial"/>
                <w:bCs/>
                <w:iCs/>
              </w:rPr>
              <w:t>(3 161 997)</w:t>
            </w:r>
          </w:p>
        </w:tc>
      </w:tr>
      <w:tr w:rsidR="00D121D4" w:rsidRPr="00020459" w:rsidTr="00B61244">
        <w:trPr>
          <w:trHeight w:val="255"/>
        </w:trPr>
        <w:tc>
          <w:tcPr>
            <w:tcW w:w="6096" w:type="dxa"/>
            <w:shd w:val="clear" w:color="auto" w:fill="F2F2F2" w:themeFill="background1" w:themeFillShade="F2"/>
            <w:noWrap/>
            <w:vAlign w:val="center"/>
            <w:hideMark/>
          </w:tcPr>
          <w:p w:rsidR="00D121D4" w:rsidRPr="00020459" w:rsidRDefault="00D121D4" w:rsidP="00B61244">
            <w:pPr>
              <w:keepNext/>
              <w:keepLines/>
              <w:spacing w:after="0"/>
              <w:rPr>
                <w:rFonts w:cs="Arial"/>
              </w:rPr>
            </w:pPr>
            <w:r w:rsidRPr="00020459">
              <w:rPr>
                <w:rFonts w:cs="Arial"/>
                <w:bCs/>
              </w:rPr>
              <w:t xml:space="preserve">Tax </w:t>
            </w:r>
            <w:r>
              <w:rPr>
                <w:rFonts w:cs="Arial"/>
                <w:bCs/>
              </w:rPr>
              <w:t>l</w:t>
            </w:r>
            <w:r w:rsidRPr="00020459">
              <w:rPr>
                <w:rFonts w:cs="Arial"/>
                <w:bCs/>
              </w:rPr>
              <w:t xml:space="preserve">oss </w:t>
            </w:r>
            <w:r>
              <w:rPr>
                <w:rFonts w:cs="Arial"/>
                <w:bCs/>
              </w:rPr>
              <w:t>carried f</w:t>
            </w:r>
            <w:r w:rsidRPr="00020459">
              <w:rPr>
                <w:rFonts w:cs="Arial"/>
                <w:bCs/>
              </w:rPr>
              <w:t>orward (</w:t>
            </w:r>
            <w:r w:rsidRPr="00020459">
              <w:rPr>
                <w:rFonts w:cs="Arial"/>
              </w:rPr>
              <w:t>End period)</w:t>
            </w:r>
            <w:r w:rsidRPr="00020459">
              <w:rPr>
                <w:rFonts w:cs="Arial"/>
                <w:bCs/>
              </w:rPr>
              <w:t xml:space="preserve"> – as per Clause 1E.9.3</w:t>
            </w:r>
          </w:p>
        </w:tc>
        <w:tc>
          <w:tcPr>
            <w:tcW w:w="1984" w:type="dxa"/>
            <w:shd w:val="clear" w:color="auto" w:fill="F2F2F2" w:themeFill="background1" w:themeFillShade="F2"/>
            <w:noWrap/>
            <w:vAlign w:val="center"/>
          </w:tcPr>
          <w:p w:rsidR="00D121D4" w:rsidRPr="00C73A43" w:rsidRDefault="00D121D4" w:rsidP="00B61244">
            <w:pPr>
              <w:keepNext/>
              <w:keepLines/>
              <w:spacing w:after="0"/>
              <w:jc w:val="right"/>
              <w:rPr>
                <w:rFonts w:cs="Arial"/>
                <w:bCs/>
                <w:iCs/>
              </w:rPr>
            </w:pPr>
            <w:r>
              <w:rPr>
                <w:rFonts w:cs="Arial"/>
                <w:bCs/>
                <w:iCs/>
              </w:rPr>
              <w:t>(4 760 207)</w:t>
            </w:r>
          </w:p>
        </w:tc>
      </w:tr>
      <w:tr w:rsidR="00D121D4" w:rsidRPr="00020459" w:rsidTr="00B61244">
        <w:trPr>
          <w:trHeight w:val="255"/>
        </w:trPr>
        <w:tc>
          <w:tcPr>
            <w:tcW w:w="6096" w:type="dxa"/>
            <w:shd w:val="clear" w:color="000000" w:fill="FFFFFF"/>
            <w:noWrap/>
            <w:vAlign w:val="center"/>
            <w:hideMark/>
          </w:tcPr>
          <w:p w:rsidR="00D121D4" w:rsidRPr="00020459" w:rsidRDefault="00D121D4" w:rsidP="00B61244">
            <w:pPr>
              <w:keepNext/>
              <w:keepLines/>
              <w:spacing w:after="0"/>
              <w:rPr>
                <w:rFonts w:cs="Arial"/>
                <w:bCs/>
              </w:rPr>
            </w:pPr>
            <w:r w:rsidRPr="00020459">
              <w:rPr>
                <w:rFonts w:cs="Arial"/>
                <w:bCs/>
              </w:rPr>
              <w:t xml:space="preserve">Net </w:t>
            </w:r>
            <w:r>
              <w:rPr>
                <w:rFonts w:cs="Arial"/>
                <w:bCs/>
              </w:rPr>
              <w:t>t</w:t>
            </w:r>
            <w:r w:rsidRPr="00020459">
              <w:rPr>
                <w:rFonts w:cs="Arial"/>
                <w:bCs/>
              </w:rPr>
              <w:t xml:space="preserve">ax </w:t>
            </w:r>
            <w:r>
              <w:rPr>
                <w:rFonts w:cs="Arial"/>
                <w:bCs/>
              </w:rPr>
              <w:t>a</w:t>
            </w:r>
            <w:r w:rsidRPr="00020459">
              <w:rPr>
                <w:rFonts w:cs="Arial"/>
                <w:bCs/>
              </w:rPr>
              <w:t>llowance – as per Clause 1E.9.3</w:t>
            </w:r>
          </w:p>
        </w:tc>
        <w:tc>
          <w:tcPr>
            <w:tcW w:w="1984" w:type="dxa"/>
            <w:shd w:val="clear" w:color="000000" w:fill="FFFFFF"/>
            <w:noWrap/>
            <w:vAlign w:val="center"/>
          </w:tcPr>
          <w:p w:rsidR="00D121D4" w:rsidRPr="00C73A43" w:rsidRDefault="00D121D4" w:rsidP="00B61244">
            <w:pPr>
              <w:keepNext/>
              <w:keepLines/>
              <w:spacing w:after="0"/>
              <w:jc w:val="right"/>
              <w:rPr>
                <w:rFonts w:cs="Arial"/>
              </w:rPr>
            </w:pPr>
            <w:r>
              <w:rPr>
                <w:rFonts w:cs="Arial"/>
              </w:rPr>
              <w:t>-</w:t>
            </w:r>
          </w:p>
        </w:tc>
      </w:tr>
    </w:tbl>
    <w:p w:rsidR="00D121D4" w:rsidRDefault="00D121D4" w:rsidP="00D121D4">
      <w:pPr>
        <w:spacing w:after="200" w:line="276" w:lineRule="auto"/>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45" w:type="dxa"/>
        </w:tblCellMar>
        <w:tblLook w:val="04A0" w:firstRow="1" w:lastRow="0" w:firstColumn="1" w:lastColumn="0" w:noHBand="0" w:noVBand="1"/>
      </w:tblPr>
      <w:tblGrid>
        <w:gridCol w:w="6096"/>
        <w:gridCol w:w="1984"/>
      </w:tblGrid>
      <w:tr w:rsidR="00D121D4" w:rsidRPr="00020459" w:rsidTr="00B61244">
        <w:trPr>
          <w:trHeight w:val="270"/>
        </w:trPr>
        <w:tc>
          <w:tcPr>
            <w:tcW w:w="6096" w:type="dxa"/>
            <w:tcBorders>
              <w:bottom w:val="single" w:sz="4" w:space="0" w:color="auto"/>
            </w:tcBorders>
            <w:shd w:val="clear" w:color="000000" w:fill="BFBFBF" w:themeFill="background1" w:themeFillShade="BF"/>
            <w:noWrap/>
            <w:vAlign w:val="center"/>
            <w:hideMark/>
          </w:tcPr>
          <w:p w:rsidR="00D121D4" w:rsidRPr="00020459" w:rsidRDefault="00D121D4" w:rsidP="00B61244">
            <w:pPr>
              <w:keepNext/>
              <w:spacing w:after="0"/>
              <w:rPr>
                <w:rFonts w:cs="Arial"/>
                <w:b/>
                <w:bCs/>
              </w:rPr>
            </w:pPr>
            <w:r w:rsidRPr="00020459">
              <w:rPr>
                <w:rFonts w:cs="Arial"/>
                <w:b/>
                <w:bCs/>
              </w:rPr>
              <w:t>Year</w:t>
            </w:r>
          </w:p>
        </w:tc>
        <w:tc>
          <w:tcPr>
            <w:tcW w:w="1984" w:type="dxa"/>
            <w:tcBorders>
              <w:bottom w:val="single" w:sz="4" w:space="0" w:color="auto"/>
            </w:tcBorders>
            <w:shd w:val="clear" w:color="000000" w:fill="BFBFBF" w:themeFill="background1" w:themeFillShade="BF"/>
            <w:noWrap/>
            <w:vAlign w:val="center"/>
          </w:tcPr>
          <w:p w:rsidR="00D121D4" w:rsidRPr="00020459" w:rsidRDefault="00D121D4" w:rsidP="00B61244">
            <w:pPr>
              <w:keepNext/>
              <w:spacing w:after="0"/>
              <w:jc w:val="center"/>
              <w:rPr>
                <w:rFonts w:cs="Arial"/>
                <w:b/>
                <w:bCs/>
              </w:rPr>
            </w:pPr>
            <w:r>
              <w:rPr>
                <w:rFonts w:cs="Arial"/>
                <w:b/>
                <w:bCs/>
              </w:rPr>
              <w:t>2014–15</w:t>
            </w:r>
          </w:p>
        </w:tc>
      </w:tr>
      <w:tr w:rsidR="00D121D4" w:rsidRPr="00020459" w:rsidTr="00B61244">
        <w:trPr>
          <w:trHeight w:val="270"/>
        </w:trPr>
        <w:tc>
          <w:tcPr>
            <w:tcW w:w="6096" w:type="dxa"/>
            <w:shd w:val="clear" w:color="auto" w:fill="D9D9D9" w:themeFill="background1" w:themeFillShade="D9"/>
            <w:noWrap/>
            <w:vAlign w:val="center"/>
          </w:tcPr>
          <w:p w:rsidR="00D121D4" w:rsidRPr="00020459" w:rsidRDefault="00D121D4" w:rsidP="00B61244">
            <w:pPr>
              <w:keepNext/>
              <w:keepLines/>
              <w:spacing w:after="0"/>
              <w:rPr>
                <w:rFonts w:cs="Arial"/>
              </w:rPr>
            </w:pPr>
            <w:r w:rsidRPr="00020459">
              <w:rPr>
                <w:rFonts w:cs="Arial"/>
                <w:b/>
              </w:rPr>
              <w:t>ICRA and CFRA ($'000 NOMINAL) – as per Clause 1E.5</w:t>
            </w:r>
          </w:p>
        </w:tc>
        <w:tc>
          <w:tcPr>
            <w:tcW w:w="1984" w:type="dxa"/>
            <w:shd w:val="clear" w:color="auto" w:fill="D9D9D9" w:themeFill="background1" w:themeFillShade="D9"/>
            <w:noWrap/>
            <w:vAlign w:val="center"/>
          </w:tcPr>
          <w:p w:rsidR="00D121D4" w:rsidRPr="00020459" w:rsidRDefault="00D121D4" w:rsidP="00B61244">
            <w:pPr>
              <w:keepNext/>
              <w:keepLines/>
              <w:spacing w:after="0"/>
              <w:jc w:val="center"/>
              <w:rPr>
                <w:rFonts w:cs="Arial"/>
              </w:rPr>
            </w:pPr>
          </w:p>
        </w:tc>
      </w:tr>
      <w:tr w:rsidR="00D121D4" w:rsidRPr="00020459" w:rsidTr="00B61244">
        <w:trPr>
          <w:trHeight w:val="270"/>
        </w:trPr>
        <w:tc>
          <w:tcPr>
            <w:tcW w:w="6096" w:type="dxa"/>
            <w:shd w:val="clear" w:color="000000" w:fill="FFFFFF"/>
            <w:noWrap/>
            <w:vAlign w:val="center"/>
            <w:hideMark/>
          </w:tcPr>
          <w:p w:rsidR="00D121D4" w:rsidRPr="00020459" w:rsidRDefault="00D121D4" w:rsidP="00B61244">
            <w:pPr>
              <w:keepNext/>
              <w:keepLines/>
              <w:spacing w:after="0"/>
              <w:rPr>
                <w:rFonts w:cs="Arial"/>
              </w:rPr>
            </w:pPr>
            <w:r w:rsidRPr="00020459">
              <w:rPr>
                <w:rFonts w:cs="Arial"/>
              </w:rPr>
              <w:t>ICRA (start period) – as per Clause 1E.5.2</w:t>
            </w:r>
          </w:p>
        </w:tc>
        <w:tc>
          <w:tcPr>
            <w:tcW w:w="1984" w:type="dxa"/>
            <w:shd w:val="clear" w:color="000000" w:fill="FFFFFF"/>
            <w:noWrap/>
            <w:vAlign w:val="center"/>
          </w:tcPr>
          <w:p w:rsidR="00D121D4" w:rsidRPr="00D870B1" w:rsidRDefault="00D121D4" w:rsidP="00B61244">
            <w:pPr>
              <w:keepNext/>
              <w:keepLines/>
              <w:spacing w:after="0"/>
              <w:jc w:val="right"/>
              <w:rPr>
                <w:rFonts w:cs="Arial"/>
              </w:rPr>
            </w:pPr>
            <w:r w:rsidRPr="00D870B1">
              <w:rPr>
                <w:rFonts w:cs="Arial"/>
              </w:rPr>
              <w:t>3</w:t>
            </w:r>
            <w:r>
              <w:rPr>
                <w:rFonts w:cs="Arial"/>
              </w:rPr>
              <w:t xml:space="preserve"> </w:t>
            </w:r>
            <w:r w:rsidRPr="00D870B1">
              <w:rPr>
                <w:rFonts w:cs="Arial"/>
              </w:rPr>
              <w:t>905</w:t>
            </w:r>
            <w:r>
              <w:rPr>
                <w:rFonts w:cs="Arial"/>
              </w:rPr>
              <w:t xml:space="preserve"> </w:t>
            </w:r>
            <w:r w:rsidRPr="00D870B1">
              <w:rPr>
                <w:rFonts w:cs="Arial"/>
              </w:rPr>
              <w:t>948</w:t>
            </w:r>
          </w:p>
        </w:tc>
      </w:tr>
      <w:tr w:rsidR="00D121D4" w:rsidRPr="00020459" w:rsidTr="00B61244">
        <w:trPr>
          <w:trHeight w:val="270"/>
        </w:trPr>
        <w:tc>
          <w:tcPr>
            <w:tcW w:w="6096" w:type="dxa"/>
            <w:shd w:val="clear" w:color="auto" w:fill="F2F2F2" w:themeFill="background1" w:themeFillShade="F2"/>
            <w:noWrap/>
            <w:vAlign w:val="center"/>
            <w:hideMark/>
          </w:tcPr>
          <w:p w:rsidR="00D121D4" w:rsidRPr="00020459" w:rsidRDefault="00D121D4" w:rsidP="00B61244">
            <w:pPr>
              <w:keepNext/>
              <w:keepLines/>
              <w:spacing w:after="0"/>
              <w:rPr>
                <w:rFonts w:cs="Arial"/>
              </w:rPr>
            </w:pPr>
            <w:r w:rsidRPr="00020459">
              <w:rPr>
                <w:rFonts w:cs="Arial"/>
              </w:rPr>
              <w:t xml:space="preserve">Unrecovered </w:t>
            </w:r>
            <w:r>
              <w:rPr>
                <w:rFonts w:cs="Arial"/>
              </w:rPr>
              <w:t>c</w:t>
            </w:r>
            <w:r w:rsidRPr="00020459">
              <w:rPr>
                <w:rFonts w:cs="Arial"/>
              </w:rPr>
              <w:t>ost -as per Clause 1E.5.1</w:t>
            </w:r>
          </w:p>
        </w:tc>
        <w:tc>
          <w:tcPr>
            <w:tcW w:w="1984" w:type="dxa"/>
            <w:shd w:val="clear" w:color="auto" w:fill="F2F2F2" w:themeFill="background1" w:themeFillShade="F2"/>
            <w:noWrap/>
            <w:vAlign w:val="center"/>
          </w:tcPr>
          <w:p w:rsidR="00D121D4" w:rsidRPr="00D870B1" w:rsidRDefault="00D121D4" w:rsidP="00B61244">
            <w:pPr>
              <w:keepNext/>
              <w:keepLines/>
              <w:spacing w:after="0"/>
              <w:jc w:val="right"/>
              <w:rPr>
                <w:rFonts w:cs="Arial"/>
              </w:rPr>
            </w:pPr>
            <w:r>
              <w:rPr>
                <w:rFonts w:cs="Arial"/>
              </w:rPr>
              <w:t xml:space="preserve">2 054 </w:t>
            </w:r>
            <w:r w:rsidRPr="00D870B1">
              <w:rPr>
                <w:rFonts w:cs="Arial"/>
              </w:rPr>
              <w:t>623</w:t>
            </w:r>
          </w:p>
        </w:tc>
      </w:tr>
      <w:tr w:rsidR="00D121D4" w:rsidRPr="00020459" w:rsidTr="00B61244">
        <w:trPr>
          <w:trHeight w:val="270"/>
        </w:trPr>
        <w:tc>
          <w:tcPr>
            <w:tcW w:w="6096" w:type="dxa"/>
            <w:shd w:val="clear" w:color="000000" w:fill="FFFFFF"/>
            <w:noWrap/>
            <w:vAlign w:val="center"/>
            <w:hideMark/>
          </w:tcPr>
          <w:p w:rsidR="00D121D4" w:rsidRPr="00020459" w:rsidRDefault="00D121D4" w:rsidP="00B61244">
            <w:pPr>
              <w:keepNext/>
              <w:keepLines/>
              <w:spacing w:after="0"/>
              <w:rPr>
                <w:rFonts w:cs="Arial"/>
              </w:rPr>
            </w:pPr>
            <w:r w:rsidRPr="00020459">
              <w:rPr>
                <w:rFonts w:cs="Arial"/>
              </w:rPr>
              <w:t>ICRA (end period) – as per Clause 1E.5.2</w:t>
            </w:r>
          </w:p>
        </w:tc>
        <w:tc>
          <w:tcPr>
            <w:tcW w:w="1984" w:type="dxa"/>
            <w:shd w:val="clear" w:color="000000" w:fill="FFFFFF"/>
            <w:noWrap/>
            <w:vAlign w:val="center"/>
          </w:tcPr>
          <w:p w:rsidR="00D121D4" w:rsidRPr="00D870B1" w:rsidRDefault="00D121D4" w:rsidP="00B61244">
            <w:pPr>
              <w:keepNext/>
              <w:keepLines/>
              <w:spacing w:after="0"/>
              <w:jc w:val="right"/>
              <w:rPr>
                <w:rFonts w:cs="Arial"/>
              </w:rPr>
            </w:pPr>
            <w:r>
              <w:rPr>
                <w:rFonts w:cs="Arial"/>
              </w:rPr>
              <w:t xml:space="preserve">6 </w:t>
            </w:r>
            <w:r w:rsidRPr="00D870B1">
              <w:rPr>
                <w:rFonts w:cs="Arial"/>
              </w:rPr>
              <w:t>243</w:t>
            </w:r>
            <w:r>
              <w:rPr>
                <w:rFonts w:cs="Arial"/>
              </w:rPr>
              <w:t xml:space="preserve"> </w:t>
            </w:r>
            <w:r w:rsidRPr="00D870B1">
              <w:rPr>
                <w:rFonts w:cs="Arial"/>
              </w:rPr>
              <w:t>728</w:t>
            </w:r>
          </w:p>
        </w:tc>
      </w:tr>
      <w:tr w:rsidR="00D121D4" w:rsidRPr="00020459" w:rsidTr="00B61244">
        <w:trPr>
          <w:trHeight w:val="255"/>
        </w:trPr>
        <w:tc>
          <w:tcPr>
            <w:tcW w:w="6096" w:type="dxa"/>
            <w:shd w:val="clear" w:color="auto" w:fill="F2F2F2" w:themeFill="background1" w:themeFillShade="F2"/>
            <w:noWrap/>
            <w:vAlign w:val="center"/>
            <w:hideMark/>
          </w:tcPr>
          <w:p w:rsidR="00D121D4" w:rsidRPr="00020459" w:rsidRDefault="00D121D4" w:rsidP="00B61244">
            <w:pPr>
              <w:keepNext/>
              <w:keepLines/>
              <w:spacing w:after="0"/>
              <w:rPr>
                <w:rFonts w:cs="Arial"/>
              </w:rPr>
            </w:pPr>
            <w:r w:rsidRPr="00020459">
              <w:rPr>
                <w:rFonts w:cs="Arial"/>
              </w:rPr>
              <w:t xml:space="preserve">Carry </w:t>
            </w:r>
            <w:r>
              <w:rPr>
                <w:rFonts w:cs="Arial"/>
              </w:rPr>
              <w:t>f</w:t>
            </w:r>
            <w:r w:rsidRPr="00020459">
              <w:rPr>
                <w:rFonts w:cs="Arial"/>
              </w:rPr>
              <w:t xml:space="preserve">orward </w:t>
            </w:r>
            <w:r>
              <w:rPr>
                <w:rFonts w:cs="Arial"/>
              </w:rPr>
              <w:t>r</w:t>
            </w:r>
            <w:r w:rsidRPr="00020459">
              <w:rPr>
                <w:rFonts w:cs="Arial"/>
              </w:rPr>
              <w:t xml:space="preserve">evenue </w:t>
            </w:r>
            <w:r>
              <w:rPr>
                <w:rFonts w:cs="Arial"/>
              </w:rPr>
              <w:t>a</w:t>
            </w:r>
            <w:r w:rsidRPr="00020459">
              <w:rPr>
                <w:rFonts w:cs="Arial"/>
              </w:rPr>
              <w:t>djustment – as per Clause 1E.5.3</w:t>
            </w:r>
          </w:p>
        </w:tc>
        <w:tc>
          <w:tcPr>
            <w:tcW w:w="1984" w:type="dxa"/>
            <w:shd w:val="clear" w:color="auto" w:fill="F2F2F2" w:themeFill="background1" w:themeFillShade="F2"/>
            <w:noWrap/>
            <w:vAlign w:val="center"/>
          </w:tcPr>
          <w:p w:rsidR="00D121D4" w:rsidRPr="00020459" w:rsidRDefault="00D121D4" w:rsidP="00B61244">
            <w:pPr>
              <w:keepNext/>
              <w:keepLines/>
              <w:spacing w:after="0"/>
              <w:jc w:val="right"/>
              <w:rPr>
                <w:rFonts w:cs="Arial"/>
              </w:rPr>
            </w:pPr>
            <w:r>
              <w:rPr>
                <w:rFonts w:cs="Arial"/>
              </w:rPr>
              <w:t>n/a</w:t>
            </w:r>
          </w:p>
        </w:tc>
      </w:tr>
    </w:tbl>
    <w:p w:rsidR="00D121D4" w:rsidRDefault="00D121D4" w:rsidP="00D121D4"/>
    <w:p w:rsidR="00D121D4" w:rsidRPr="00020459" w:rsidRDefault="00D121D4" w:rsidP="00D121D4"/>
    <w:p w:rsidR="00D121D4" w:rsidRPr="00D121D4" w:rsidRDefault="00D121D4" w:rsidP="00D121D4"/>
    <w:p w:rsidR="009D776F" w:rsidRDefault="009D776F">
      <w:pPr>
        <w:spacing w:after="200" w:line="276" w:lineRule="auto"/>
        <w:rPr>
          <w:rFonts w:eastAsiaTheme="majorEastAsia" w:cstheme="majorBidi"/>
          <w:b/>
          <w:bCs/>
          <w:color w:val="002060"/>
          <w:sz w:val="36"/>
          <w:szCs w:val="28"/>
        </w:rPr>
      </w:pPr>
    </w:p>
    <w:sectPr w:rsidR="009D776F" w:rsidSect="00F51994">
      <w:pgSz w:w="11906" w:h="16838"/>
      <w:pgMar w:top="1440" w:right="1729" w:bottom="1582"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AE" w:rsidRDefault="004479AE" w:rsidP="00F01F5A">
      <w:pPr>
        <w:spacing w:after="0"/>
      </w:pPr>
      <w:r>
        <w:separator/>
      </w:r>
    </w:p>
    <w:p w:rsidR="004479AE" w:rsidRDefault="004479AE"/>
  </w:endnote>
  <w:endnote w:type="continuationSeparator" w:id="0">
    <w:p w:rsidR="004479AE" w:rsidRDefault="004479AE" w:rsidP="00F01F5A">
      <w:pPr>
        <w:spacing w:after="0"/>
      </w:pPr>
      <w:r>
        <w:continuationSeparator/>
      </w:r>
    </w:p>
    <w:p w:rsidR="004479AE" w:rsidRDefault="00447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E" w:rsidRDefault="004479AE" w:rsidP="00BA5A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6859"/>
      <w:docPartObj>
        <w:docPartGallery w:val="Page Numbers (Bottom of Page)"/>
        <w:docPartUnique/>
      </w:docPartObj>
    </w:sdtPr>
    <w:sdtEndPr>
      <w:rPr>
        <w:noProof/>
      </w:rPr>
    </w:sdtEndPr>
    <w:sdtContent>
      <w:p w:rsidR="004479AE" w:rsidRDefault="004479AE">
        <w:pPr>
          <w:pStyle w:val="Footer"/>
          <w:jc w:val="center"/>
        </w:pPr>
        <w:r>
          <w:fldChar w:fldCharType="begin"/>
        </w:r>
        <w:r>
          <w:instrText xml:space="preserve"> PAGE   \* MERGEFORMAT </w:instrText>
        </w:r>
        <w:r>
          <w:fldChar w:fldCharType="separate"/>
        </w:r>
        <w:r w:rsidR="00063A6D">
          <w:rPr>
            <w:noProof/>
          </w:rPr>
          <w:t>12</w:t>
        </w:r>
        <w:r>
          <w:rPr>
            <w:noProof/>
          </w:rPr>
          <w:fldChar w:fldCharType="end"/>
        </w:r>
      </w:p>
    </w:sdtContent>
  </w:sdt>
  <w:p w:rsidR="004479AE" w:rsidRDefault="004479AE" w:rsidP="00BA5A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AE" w:rsidRDefault="004479AE" w:rsidP="003A5B4C">
      <w:pPr>
        <w:spacing w:after="0"/>
      </w:pPr>
      <w:r>
        <w:separator/>
      </w:r>
    </w:p>
  </w:footnote>
  <w:footnote w:type="continuationSeparator" w:id="0">
    <w:p w:rsidR="004479AE" w:rsidRDefault="004479AE" w:rsidP="00F01F5A">
      <w:pPr>
        <w:spacing w:after="0"/>
      </w:pPr>
      <w:r>
        <w:continuationSeparator/>
      </w:r>
    </w:p>
    <w:p w:rsidR="004479AE" w:rsidRDefault="004479AE"/>
  </w:footnote>
  <w:footnote w:id="1">
    <w:p w:rsidR="004479AE" w:rsidRDefault="004479AE" w:rsidP="00B61244">
      <w:pPr>
        <w:pStyle w:val="FootnoteText"/>
      </w:pPr>
      <w:r>
        <w:rPr>
          <w:rStyle w:val="FootnoteReference"/>
        </w:rPr>
        <w:footnoteRef/>
      </w:r>
      <w:r>
        <w:t xml:space="preserve"> </w:t>
      </w:r>
      <w:proofErr w:type="gramStart"/>
      <w:r>
        <w:t>Schedule 1F of the SAU.</w:t>
      </w:r>
      <w:proofErr w:type="gramEnd"/>
    </w:p>
  </w:footnote>
  <w:footnote w:id="2">
    <w:p w:rsidR="004479AE" w:rsidRDefault="004479AE" w:rsidP="00B61244">
      <w:pPr>
        <w:pStyle w:val="FootnoteText"/>
      </w:pPr>
      <w:r>
        <w:rPr>
          <w:rStyle w:val="FootnoteReference"/>
        </w:rPr>
        <w:footnoteRef/>
      </w:r>
      <w:r>
        <w:t xml:space="preserve"> </w:t>
      </w:r>
      <w:proofErr w:type="gramStart"/>
      <w:r>
        <w:t>Schedule 1F.3 of the SAU.</w:t>
      </w:r>
      <w:proofErr w:type="gramEnd"/>
    </w:p>
  </w:footnote>
  <w:footnote w:id="3">
    <w:p w:rsidR="004479AE" w:rsidRDefault="004479AE" w:rsidP="00B61244">
      <w:pPr>
        <w:pStyle w:val="FootnoteText"/>
      </w:pPr>
      <w:r>
        <w:rPr>
          <w:rStyle w:val="FootnoteReference"/>
        </w:rPr>
        <w:footnoteRef/>
      </w:r>
      <w:r>
        <w:t xml:space="preserve"> </w:t>
      </w:r>
      <w:proofErr w:type="gramStart"/>
      <w:r>
        <w:t>Clause 1E.1.2 of the SAU.</w:t>
      </w:r>
      <w:proofErr w:type="gramEnd"/>
    </w:p>
  </w:footnote>
  <w:footnote w:id="4">
    <w:p w:rsidR="004479AE" w:rsidRDefault="004479AE" w:rsidP="00B61244">
      <w:pPr>
        <w:pStyle w:val="FootnoteText"/>
      </w:pPr>
      <w:r>
        <w:rPr>
          <w:rStyle w:val="FootnoteReference"/>
        </w:rPr>
        <w:footnoteRef/>
      </w:r>
      <w:r>
        <w:t xml:space="preserve"> See clause 1E.6.1 of the SAU.</w:t>
      </w:r>
    </w:p>
  </w:footnote>
  <w:footnote w:id="5">
    <w:p w:rsidR="004479AE" w:rsidRDefault="004479AE" w:rsidP="00B61244">
      <w:pPr>
        <w:pStyle w:val="FootnoteText"/>
      </w:pPr>
      <w:r>
        <w:rPr>
          <w:rStyle w:val="FootnoteReference"/>
        </w:rPr>
        <w:footnoteRef/>
      </w:r>
      <w:r>
        <w:t xml:space="preserve"> See clause 1D.3.2(a)(</w:t>
      </w:r>
      <w:proofErr w:type="spellStart"/>
      <w:r>
        <w:t>i</w:t>
      </w:r>
      <w:proofErr w:type="spellEnd"/>
      <w:r>
        <w:t>)(A)</w:t>
      </w:r>
    </w:p>
  </w:footnote>
  <w:footnote w:id="6">
    <w:p w:rsidR="004479AE" w:rsidRDefault="004479AE" w:rsidP="00B61244">
      <w:pPr>
        <w:pStyle w:val="FootnoteText"/>
      </w:pPr>
      <w:r>
        <w:rPr>
          <w:rStyle w:val="FootnoteReference"/>
        </w:rPr>
        <w:footnoteRef/>
      </w:r>
      <w:r>
        <w:t xml:space="preserve"> Clause </w:t>
      </w:r>
      <w:proofErr w:type="gramStart"/>
      <w:r>
        <w:t>1D.4.1(</w:t>
      </w:r>
      <w:proofErr w:type="gramEnd"/>
      <w:r>
        <w:t>a)(</w:t>
      </w:r>
      <w:proofErr w:type="spellStart"/>
      <w:r>
        <w:t>i</w:t>
      </w:r>
      <w:proofErr w:type="spellEnd"/>
      <w:r>
        <w:t>)(B) contains additional requirements where there is a material change of circumstances affecting the Conforming Contract.</w:t>
      </w:r>
    </w:p>
  </w:footnote>
  <w:footnote w:id="7">
    <w:p w:rsidR="004479AE" w:rsidRDefault="004479AE" w:rsidP="00B61244">
      <w:pPr>
        <w:pStyle w:val="FootnoteText"/>
      </w:pPr>
      <w:r>
        <w:rPr>
          <w:rStyle w:val="FootnoteReference"/>
        </w:rPr>
        <w:footnoteRef/>
      </w:r>
      <w:r>
        <w:t xml:space="preserve"> See clause 1D.3.2(a)(</w:t>
      </w:r>
      <w:proofErr w:type="spellStart"/>
      <w:r>
        <w:t>i</w:t>
      </w:r>
      <w:proofErr w:type="spellEnd"/>
      <w:r>
        <w:t>)(B)</w:t>
      </w:r>
    </w:p>
  </w:footnote>
  <w:footnote w:id="8">
    <w:p w:rsidR="004479AE" w:rsidRDefault="004479AE" w:rsidP="00B61244">
      <w:pPr>
        <w:pStyle w:val="FootnoteText"/>
        <w:ind w:left="142" w:hanging="142"/>
      </w:pPr>
      <w:r>
        <w:rPr>
          <w:rStyle w:val="FootnoteReference"/>
        </w:rPr>
        <w:footnoteRef/>
      </w:r>
      <w:r>
        <w:t xml:space="preserve"> </w:t>
      </w:r>
      <w:r w:rsidRPr="00444A15">
        <w:t xml:space="preserve">The document describes the design of NBN </w:t>
      </w:r>
      <w:proofErr w:type="spellStart"/>
      <w:r w:rsidRPr="00444A15">
        <w:t>Co’s</w:t>
      </w:r>
      <w:proofErr w:type="spellEnd"/>
      <w:r w:rsidRPr="00444A15">
        <w:t xml:space="preserve"> network</w:t>
      </w:r>
      <w:r>
        <w:t xml:space="preserve"> and network component</w:t>
      </w:r>
      <w:r w:rsidRPr="00444A15">
        <w:t>s. Capital expenditure must be in accordance with the Network Design Rules in order to be included in the Regulated Asset Base, in addition to meeting the ‘Prudent Cost’ condition.</w:t>
      </w:r>
      <w:r>
        <w:t xml:space="preserve"> The Network Design Rules were updated on 30 June 2015.</w:t>
      </w:r>
    </w:p>
  </w:footnote>
  <w:footnote w:id="9">
    <w:p w:rsidR="004479AE" w:rsidRDefault="004479AE" w:rsidP="00B61244">
      <w:pPr>
        <w:pStyle w:val="FootnoteText"/>
      </w:pPr>
      <w:r>
        <w:rPr>
          <w:rStyle w:val="FootnoteReference"/>
        </w:rPr>
        <w:footnoteRef/>
      </w:r>
      <w:r>
        <w:t xml:space="preserve"> </w:t>
      </w:r>
      <w:proofErr w:type="gramStart"/>
      <w:r>
        <w:t>Clause 1D.6 of the SAU.</w:t>
      </w:r>
      <w:proofErr w:type="gramEnd"/>
    </w:p>
  </w:footnote>
  <w:footnote w:id="10">
    <w:p w:rsidR="004479AE" w:rsidRDefault="004479AE" w:rsidP="00B61244">
      <w:pPr>
        <w:pStyle w:val="FootnoteText"/>
      </w:pPr>
      <w:r>
        <w:rPr>
          <w:rStyle w:val="FootnoteReference"/>
        </w:rPr>
        <w:footnoteRef/>
      </w:r>
      <w:r>
        <w:t xml:space="preserve"> Schedule 1D of the SAU.</w:t>
      </w:r>
    </w:p>
  </w:footnote>
  <w:footnote w:id="11">
    <w:p w:rsidR="004479AE" w:rsidRDefault="004479AE" w:rsidP="00B61244">
      <w:pPr>
        <w:pStyle w:val="FootnoteText"/>
      </w:pPr>
      <w:r>
        <w:rPr>
          <w:rStyle w:val="FootnoteReference"/>
        </w:rPr>
        <w:footnoteRef/>
      </w:r>
      <w:r>
        <w:t xml:space="preserve"> See clauses </w:t>
      </w:r>
      <w:proofErr w:type="gramStart"/>
      <w:r>
        <w:t>1E.8.2(</w:t>
      </w:r>
      <w:proofErr w:type="gramEnd"/>
      <w:r>
        <w:t>a)(</w:t>
      </w:r>
      <w:proofErr w:type="spellStart"/>
      <w:r>
        <w:t>i</w:t>
      </w:r>
      <w:proofErr w:type="spellEnd"/>
      <w:r>
        <w:t xml:space="preserve">) and 1E.8.3. </w:t>
      </w:r>
    </w:p>
  </w:footnote>
  <w:footnote w:id="12">
    <w:p w:rsidR="004479AE" w:rsidRDefault="004479AE" w:rsidP="00B61244">
      <w:pPr>
        <w:pStyle w:val="FootnoteText"/>
      </w:pPr>
      <w:r>
        <w:rPr>
          <w:rStyle w:val="FootnoteReference"/>
        </w:rPr>
        <w:footnoteRef/>
      </w:r>
      <w:r>
        <w:t xml:space="preserve"> See clause 1E.1.2(c</w:t>
      </w:r>
      <w:proofErr w:type="gramStart"/>
      <w:r>
        <w:t>)(</w:t>
      </w:r>
      <w:proofErr w:type="gramEnd"/>
      <w:r>
        <w:t xml:space="preserve">iv) of the SAU. </w:t>
      </w:r>
    </w:p>
  </w:footnote>
  <w:footnote w:id="13">
    <w:p w:rsidR="004479AE" w:rsidRDefault="004479AE" w:rsidP="00B61244">
      <w:pPr>
        <w:pStyle w:val="FootnoteText"/>
        <w:ind w:left="142" w:hanging="142"/>
      </w:pPr>
      <w:r>
        <w:rPr>
          <w:rStyle w:val="FootnoteReference"/>
        </w:rPr>
        <w:footnoteRef/>
      </w:r>
      <w:r>
        <w:t xml:space="preserve"> See clauses </w:t>
      </w:r>
      <w:proofErr w:type="gramStart"/>
      <w:r>
        <w:t>1D.3.2(</w:t>
      </w:r>
      <w:proofErr w:type="gramEnd"/>
      <w:r>
        <w:t>d) and 1E8.2(c). For example, a substitute amount of capital expenditure determined by the ACCC must meet the Prudent Design Condition and must be consistent with capital expenditure that has been included in the RAB in respect of any prior financial year, having regard to the relative amounts of capital expenditure incurred in those years, the relative cost of goods and services in those year, any relevant differences in the scale and scope of the relevant assets, the NBN Co Corporate Plan and any other matter the ACCC considers relevant.</w:t>
      </w:r>
    </w:p>
  </w:footnote>
  <w:footnote w:id="14">
    <w:p w:rsidR="004479AE" w:rsidRDefault="004479AE" w:rsidP="00B61244">
      <w:pPr>
        <w:pStyle w:val="FootnoteText"/>
      </w:pPr>
      <w:r>
        <w:rPr>
          <w:rStyle w:val="FootnoteReference"/>
        </w:rPr>
        <w:footnoteRef/>
      </w:r>
      <w:r>
        <w:t xml:space="preserve"> Schedules 1C.5 and 2B.2</w:t>
      </w:r>
    </w:p>
  </w:footnote>
  <w:footnote w:id="15">
    <w:p w:rsidR="004479AE" w:rsidRDefault="004479AE" w:rsidP="00DE0656">
      <w:pPr>
        <w:pStyle w:val="FootnoteText"/>
        <w:ind w:left="284" w:hanging="284"/>
      </w:pPr>
      <w:r>
        <w:rPr>
          <w:rStyle w:val="FootnoteReference"/>
        </w:rPr>
        <w:footnoteRef/>
      </w:r>
      <w:r>
        <w:t xml:space="preserve"> See: </w:t>
      </w:r>
      <w:hyperlink r:id="rId1" w:history="1">
        <w:r w:rsidRPr="00811F09">
          <w:rPr>
            <w:rStyle w:val="Hyperlink"/>
          </w:rPr>
          <w:t>http://www.accc.gov.au/regulated-infrastructure/communications/national-broadband-network-nbn/nbn-co-special-access-undertaking/ltrcm-2014-15</w:t>
        </w:r>
      </w:hyperlink>
      <w:r>
        <w:t xml:space="preserve"> </w:t>
      </w:r>
    </w:p>
  </w:footnote>
  <w:footnote w:id="16">
    <w:p w:rsidR="004479AE" w:rsidRDefault="004479AE" w:rsidP="00A8577E">
      <w:pPr>
        <w:pStyle w:val="FootnoteText"/>
      </w:pPr>
      <w:r>
        <w:rPr>
          <w:rStyle w:val="FootnoteReference"/>
        </w:rPr>
        <w:footnoteRef/>
      </w:r>
      <w:r>
        <w:t xml:space="preserve"> NBN submission to the ACCC – 2014-15 Regulatory Information and LTRCM Determination: Public version, 30 October 2015, p.19.</w:t>
      </w:r>
    </w:p>
  </w:footnote>
  <w:footnote w:id="17">
    <w:p w:rsidR="004479AE" w:rsidRDefault="004479AE" w:rsidP="00784E68">
      <w:pPr>
        <w:pStyle w:val="FootnoteText"/>
      </w:pPr>
      <w:r>
        <w:rPr>
          <w:rStyle w:val="FootnoteReference"/>
        </w:rPr>
        <w:footnoteRef/>
      </w:r>
      <w:r>
        <w:t xml:space="preserve"> See: </w:t>
      </w:r>
      <w:hyperlink r:id="rId2" w:history="1">
        <w:r w:rsidRPr="00633FBC">
          <w:rPr>
            <w:rStyle w:val="Hyperlink"/>
          </w:rPr>
          <w:t>http://www.accc.gov.au/regulated-infrastructure/communications/national-broadband-network-nbn/nbn-co-special-access-undertaking/ltrcm-2014-15</w:t>
        </w:r>
      </w:hyperlink>
      <w:r>
        <w:t xml:space="preserve"> </w:t>
      </w:r>
    </w:p>
  </w:footnote>
  <w:footnote w:id="18">
    <w:p w:rsidR="004479AE" w:rsidRDefault="004479AE" w:rsidP="0069623A">
      <w:pPr>
        <w:pStyle w:val="FootnoteText"/>
      </w:pPr>
      <w:r>
        <w:rPr>
          <w:rStyle w:val="FootnoteReference"/>
        </w:rPr>
        <w:footnoteRef/>
      </w:r>
      <w:r>
        <w:t xml:space="preserve"> </w:t>
      </w:r>
      <w:r>
        <w:tab/>
        <w:t>NBN Co was not required to submit the amendment to the Buying Guide on 18 March 2015 to the ACCC as the amendment was considered to be immaterial.</w:t>
      </w:r>
    </w:p>
  </w:footnote>
  <w:footnote w:id="19">
    <w:p w:rsidR="004479AE" w:rsidRDefault="004479AE" w:rsidP="00D121D4">
      <w:pPr>
        <w:pStyle w:val="FootnoteText"/>
      </w:pPr>
      <w:r>
        <w:rPr>
          <w:rStyle w:val="FootnoteReference"/>
        </w:rPr>
        <w:footnoteRef/>
      </w:r>
      <w:r>
        <w:t xml:space="preserve"> The clause references in this table refer to the formulas in the SAU.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523"/>
    <w:multiLevelType w:val="hybridMultilevel"/>
    <w:tmpl w:val="961A0CAC"/>
    <w:lvl w:ilvl="0" w:tplc="749E3A5A">
      <w:start w:val="1"/>
      <w:numFmt w:val="bullet"/>
      <w:pStyle w:val="Table3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DD19FB"/>
    <w:multiLevelType w:val="hybridMultilevel"/>
    <w:tmpl w:val="CF3A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54086"/>
    <w:multiLevelType w:val="hybridMultilevel"/>
    <w:tmpl w:val="3B382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E71D25"/>
    <w:multiLevelType w:val="hybridMultilevel"/>
    <w:tmpl w:val="9818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D6DF9"/>
    <w:multiLevelType w:val="multilevel"/>
    <w:tmpl w:val="1168227C"/>
    <w:lvl w:ilvl="0">
      <w:start w:val="1"/>
      <w:numFmt w:val="upperLetter"/>
      <w:pStyle w:val="AppendixLevel1"/>
      <w:lvlText w:val="%1"/>
      <w:lvlJc w:val="left"/>
      <w:pPr>
        <w:tabs>
          <w:tab w:val="num" w:pos="1922"/>
        </w:tabs>
        <w:ind w:left="0" w:hanging="964"/>
      </w:pPr>
      <w:rPr>
        <w:rFonts w:hint="default"/>
      </w:rPr>
    </w:lvl>
    <w:lvl w:ilvl="1">
      <w:start w:val="1"/>
      <w:numFmt w:val="decimal"/>
      <w:pStyle w:val="AppendixLevel2"/>
      <w:lvlText w:val="%1.%2"/>
      <w:lvlJc w:val="left"/>
      <w:pPr>
        <w:tabs>
          <w:tab w:val="num" w:pos="1922"/>
        </w:tabs>
        <w:ind w:left="0" w:hanging="964"/>
      </w:pPr>
      <w:rPr>
        <w:rFonts w:hint="default"/>
      </w:rPr>
    </w:lvl>
    <w:lvl w:ilvl="2">
      <w:start w:val="1"/>
      <w:numFmt w:val="decimal"/>
      <w:pStyle w:val="AppendixLevel3"/>
      <w:lvlText w:val="%1.%2.%3"/>
      <w:lvlJc w:val="left"/>
      <w:pPr>
        <w:tabs>
          <w:tab w:val="num" w:pos="1922"/>
        </w:tabs>
        <w:ind w:left="0" w:hanging="964"/>
      </w:pPr>
      <w:rPr>
        <w:rFonts w:hint="default"/>
      </w:rPr>
    </w:lvl>
    <w:lvl w:ilvl="3">
      <w:start w:val="1"/>
      <w:numFmt w:val="decimal"/>
      <w:pStyle w:val="AppendixLevel4"/>
      <w:lvlText w:val="%1.%2.%3.%4"/>
      <w:lvlJc w:val="left"/>
      <w:pPr>
        <w:tabs>
          <w:tab w:val="num" w:pos="1922"/>
        </w:tabs>
        <w:ind w:left="0" w:hanging="964"/>
      </w:pPr>
      <w:rPr>
        <w:rFonts w:hint="default"/>
      </w:rPr>
    </w:lvl>
    <w:lvl w:ilvl="4">
      <w:start w:val="1"/>
      <w:numFmt w:val="decimal"/>
      <w:lvlRestart w:val="1"/>
      <w:pStyle w:val="AppendixLevel5figure"/>
      <w:lvlText w:val="Figure %1.%5"/>
      <w:lvlJc w:val="left"/>
      <w:pPr>
        <w:ind w:left="964" w:hanging="964"/>
      </w:pPr>
      <w:rPr>
        <w:rFonts w:ascii="Arial" w:hAnsi="Arial" w:hint="default"/>
        <w:b/>
        <w:i w:val="0"/>
        <w:sz w:val="20"/>
      </w:rPr>
    </w:lvl>
    <w:lvl w:ilvl="5">
      <w:start w:val="1"/>
      <w:numFmt w:val="decimal"/>
      <w:pStyle w:val="AppendixLevel6table"/>
      <w:lvlText w:val="Table %1.%6"/>
      <w:lvlJc w:val="left"/>
      <w:pPr>
        <w:ind w:left="964" w:hanging="964"/>
      </w:pPr>
      <w:rPr>
        <w:rFonts w:hint="default"/>
      </w:rPr>
    </w:lvl>
    <w:lvl w:ilvl="6">
      <w:start w:val="1"/>
      <w:numFmt w:val="decimal"/>
      <w:lvlText w:val="%7."/>
      <w:lvlJc w:val="left"/>
      <w:pPr>
        <w:tabs>
          <w:tab w:val="num" w:pos="1922"/>
        </w:tabs>
        <w:ind w:left="0" w:hanging="964"/>
      </w:pPr>
      <w:rPr>
        <w:rFonts w:hint="default"/>
      </w:rPr>
    </w:lvl>
    <w:lvl w:ilvl="7">
      <w:start w:val="1"/>
      <w:numFmt w:val="lowerLetter"/>
      <w:lvlText w:val="%8."/>
      <w:lvlJc w:val="left"/>
      <w:pPr>
        <w:tabs>
          <w:tab w:val="num" w:pos="1922"/>
        </w:tabs>
        <w:ind w:left="0" w:hanging="964"/>
      </w:pPr>
      <w:rPr>
        <w:rFonts w:hint="default"/>
      </w:rPr>
    </w:lvl>
    <w:lvl w:ilvl="8">
      <w:start w:val="1"/>
      <w:numFmt w:val="lowerRoman"/>
      <w:lvlText w:val="%9."/>
      <w:lvlJc w:val="left"/>
      <w:pPr>
        <w:tabs>
          <w:tab w:val="num" w:pos="1922"/>
        </w:tabs>
        <w:ind w:left="0" w:hanging="964"/>
      </w:pPr>
      <w:rPr>
        <w:rFonts w:hint="default"/>
      </w:rPr>
    </w:lvl>
  </w:abstractNum>
  <w:abstractNum w:abstractNumId="5">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6">
    <w:nsid w:val="1EBA6F64"/>
    <w:multiLevelType w:val="multilevel"/>
    <w:tmpl w:val="83F007CE"/>
    <w:lvl w:ilvl="0">
      <w:start w:val="1"/>
      <w:numFmt w:val="decimal"/>
      <w:pStyle w:val="HeadingLevel1"/>
      <w:lvlText w:val="%1"/>
      <w:lvlJc w:val="left"/>
      <w:pPr>
        <w:ind w:left="0" w:hanging="964"/>
      </w:pPr>
      <w:rPr>
        <w:rFonts w:hint="default"/>
      </w:rPr>
    </w:lvl>
    <w:lvl w:ilvl="1">
      <w:start w:val="3"/>
      <w:numFmt w:val="decimal"/>
      <w:pStyle w:val="HeadingLevel2"/>
      <w:lvlText w:val="%1.%2"/>
      <w:lvlJc w:val="left"/>
      <w:pPr>
        <w:ind w:left="0" w:hanging="964"/>
      </w:pPr>
      <w:rPr>
        <w:rFonts w:hint="default"/>
      </w:rPr>
    </w:lvl>
    <w:lvl w:ilvl="2">
      <w:start w:val="1"/>
      <w:numFmt w:val="decimal"/>
      <w:pStyle w:val="HeadingLevel3"/>
      <w:lvlText w:val="%1.%2.%3"/>
      <w:lvlJc w:val="left"/>
      <w:pPr>
        <w:ind w:left="0" w:hanging="964"/>
      </w:pPr>
      <w:rPr>
        <w:rFonts w:hint="default"/>
      </w:rPr>
    </w:lvl>
    <w:lvl w:ilvl="3">
      <w:start w:val="1"/>
      <w:numFmt w:val="decimal"/>
      <w:pStyle w:val="HeadingLevel4"/>
      <w:lvlText w:val="%1.%2.%3.%4"/>
      <w:lvlJc w:val="left"/>
      <w:pPr>
        <w:ind w:left="0" w:hanging="964"/>
      </w:pPr>
      <w:rPr>
        <w:rFonts w:hint="default"/>
      </w:rPr>
    </w:lvl>
    <w:lvl w:ilvl="4">
      <w:start w:val="2"/>
      <w:numFmt w:val="none"/>
      <w:pStyle w:val="HeadingLevel5"/>
      <w:lvlText w:val=""/>
      <w:lvlJc w:val="left"/>
      <w:pPr>
        <w:ind w:left="0" w:hanging="964"/>
      </w:pPr>
      <w:rPr>
        <w:rFonts w:hint="default"/>
      </w:rPr>
    </w:lvl>
    <w:lvl w:ilvl="5">
      <w:start w:val="4"/>
      <w:numFmt w:val="none"/>
      <w:pStyle w:val="HeadingLevel6"/>
      <w:lvlText w:val=""/>
      <w:lvlJc w:val="left"/>
      <w:pPr>
        <w:ind w:left="0" w:hanging="964"/>
      </w:pPr>
      <w:rPr>
        <w:rFonts w:hint="default"/>
      </w:rPr>
    </w:lvl>
    <w:lvl w:ilvl="6">
      <w:start w:val="1"/>
      <w:numFmt w:val="decimal"/>
      <w:pStyle w:val="HeadingLevel7figure"/>
      <w:lvlText w:val="Figure %1.%7"/>
      <w:lvlJc w:val="left"/>
      <w:pPr>
        <w:ind w:left="0" w:firstLine="0"/>
      </w:pPr>
      <w:rPr>
        <w:rFonts w:hint="default"/>
      </w:rPr>
    </w:lvl>
    <w:lvl w:ilvl="7">
      <w:start w:val="3"/>
      <w:numFmt w:val="decimal"/>
      <w:pStyle w:val="HeadingLevel8table"/>
      <w:lvlText w:val="Table %1.%8"/>
      <w:lvlJc w:val="left"/>
      <w:pPr>
        <w:ind w:left="0" w:firstLine="0"/>
      </w:pPr>
      <w:rPr>
        <w:rFonts w:hint="default"/>
      </w:rPr>
    </w:lvl>
    <w:lvl w:ilvl="8">
      <w:start w:val="1"/>
      <w:numFmt w:val="none"/>
      <w:lvlText w:val=""/>
      <w:lvlJc w:val="left"/>
      <w:pPr>
        <w:ind w:left="0" w:hanging="964"/>
      </w:pPr>
      <w:rPr>
        <w:rFonts w:hint="default"/>
      </w:rPr>
    </w:lvl>
  </w:abstractNum>
  <w:abstractNum w:abstractNumId="7">
    <w:nsid w:val="2685724D"/>
    <w:multiLevelType w:val="hybridMultilevel"/>
    <w:tmpl w:val="8EBC4270"/>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8">
    <w:nsid w:val="27B333CB"/>
    <w:multiLevelType w:val="multilevel"/>
    <w:tmpl w:val="31448F3E"/>
    <w:lvl w:ilvl="0">
      <w:start w:val="1"/>
      <w:numFmt w:val="bullet"/>
      <w:lvlText w:val=""/>
      <w:lvlJc w:val="left"/>
      <w:pPr>
        <w:ind w:left="397" w:hanging="397"/>
      </w:pPr>
      <w:rPr>
        <w:rFonts w:ascii="Symbol" w:hAnsi="Symbol" w:hint="default"/>
        <w:color w:val="auto"/>
        <w:sz w:val="24"/>
      </w:rPr>
    </w:lvl>
    <w:lvl w:ilvl="1">
      <w:start w:val="1"/>
      <w:numFmt w:val="bullet"/>
      <w:pStyle w:val="Bulletb"/>
      <w:lvlText w:val=""/>
      <w:lvlJc w:val="left"/>
      <w:pPr>
        <w:ind w:left="794" w:hanging="397"/>
      </w:pPr>
      <w:rPr>
        <w:rFonts w:ascii="Symbol" w:hAnsi="Symbol" w:hint="default"/>
        <w:color w:val="auto"/>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6D41AF"/>
    <w:multiLevelType w:val="hybridMultilevel"/>
    <w:tmpl w:val="4BD2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F01F19"/>
    <w:multiLevelType w:val="hybridMultilevel"/>
    <w:tmpl w:val="8AD229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FE71F8"/>
    <w:multiLevelType w:val="hybridMultilevel"/>
    <w:tmpl w:val="0340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D47B72"/>
    <w:multiLevelType w:val="hybridMultilevel"/>
    <w:tmpl w:val="41B6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42710D"/>
    <w:multiLevelType w:val="multilevel"/>
    <w:tmpl w:val="07246ED6"/>
    <w:lvl w:ilvl="0">
      <w:start w:val="1"/>
      <w:numFmt w:val="decimal"/>
      <w:lvlText w:val="%1"/>
      <w:lvlJc w:val="left"/>
      <w:pPr>
        <w:tabs>
          <w:tab w:val="num" w:pos="958"/>
        </w:tabs>
        <w:ind w:left="958" w:hanging="958"/>
      </w:pPr>
      <w:rPr>
        <w:rFonts w:hint="default"/>
      </w:rPr>
    </w:lvl>
    <w:lvl w:ilvl="1">
      <w:start w:val="1"/>
      <w:numFmt w:val="decimal"/>
      <w:pStyle w:val="Heading2"/>
      <w:lvlText w:val="%1.%2"/>
      <w:lvlJc w:val="left"/>
      <w:pPr>
        <w:tabs>
          <w:tab w:val="num" w:pos="958"/>
        </w:tabs>
        <w:ind w:left="958" w:hanging="958"/>
      </w:pPr>
      <w:rPr>
        <w:rFonts w:hint="default"/>
      </w:rPr>
    </w:lvl>
    <w:lvl w:ilvl="2">
      <w:start w:val="1"/>
      <w:numFmt w:val="decimal"/>
      <w:pStyle w:val="Heading3"/>
      <w:lvlText w:val="%1.%2.%3"/>
      <w:lvlJc w:val="left"/>
      <w:pPr>
        <w:tabs>
          <w:tab w:val="num" w:pos="958"/>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Restart w:val="1"/>
      <w:lvlText w:val="Table %1.%5:"/>
      <w:lvlJc w:val="left"/>
      <w:pPr>
        <w:tabs>
          <w:tab w:val="num" w:pos="958"/>
        </w:tabs>
        <w:ind w:left="0" w:firstLine="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90C2458"/>
    <w:multiLevelType w:val="hybridMultilevel"/>
    <w:tmpl w:val="C93A3E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EA1061"/>
    <w:multiLevelType w:val="hybridMultilevel"/>
    <w:tmpl w:val="216E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9C7619"/>
    <w:multiLevelType w:val="hybridMultilevel"/>
    <w:tmpl w:val="FD401BAA"/>
    <w:lvl w:ilvl="0" w:tplc="9FE4904E">
      <w:start w:val="1"/>
      <w:numFmt w:val="bullet"/>
      <w:pStyle w:val="Bulleta"/>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024885"/>
    <w:multiLevelType w:val="hybridMultilevel"/>
    <w:tmpl w:val="B1383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9C0315"/>
    <w:multiLevelType w:val="hybridMultilevel"/>
    <w:tmpl w:val="110C3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3"/>
  </w:num>
  <w:num w:numId="5">
    <w:abstractNumId w:val="4"/>
  </w:num>
  <w:num w:numId="6">
    <w:abstractNumId w:val="14"/>
  </w:num>
  <w:num w:numId="7">
    <w:abstractNumId w:val="6"/>
  </w:num>
  <w:num w:numId="8">
    <w:abstractNumId w:val="6"/>
  </w:num>
  <w:num w:numId="9">
    <w:abstractNumId w:val="6"/>
  </w:num>
  <w:num w:numId="10">
    <w:abstractNumId w:val="12"/>
  </w:num>
  <w:num w:numId="11">
    <w:abstractNumId w:val="10"/>
  </w:num>
  <w:num w:numId="12">
    <w:abstractNumId w:val="6"/>
  </w:num>
  <w:num w:numId="13">
    <w:abstractNumId w:val="6"/>
  </w:num>
  <w:num w:numId="14">
    <w:abstractNumId w:val="1"/>
  </w:num>
  <w:num w:numId="15">
    <w:abstractNumId w:val="11"/>
  </w:num>
  <w:num w:numId="16">
    <w:abstractNumId w:val="9"/>
  </w:num>
  <w:num w:numId="17">
    <w:abstractNumId w:val="6"/>
    <w:lvlOverride w:ilvl="0">
      <w:startOverride w:val="5"/>
    </w:lvlOverride>
    <w:lvlOverride w:ilvl="1">
      <w:startOverride w:val="2"/>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3"/>
    </w:lvlOverride>
    <w:lvlOverride w:ilvl="8">
      <w:startOverride w:val="1"/>
    </w:lvlOverride>
  </w:num>
  <w:num w:numId="18">
    <w:abstractNumId w:val="6"/>
    <w:lvlOverride w:ilvl="0">
      <w:startOverride w:val="5"/>
    </w:lvlOverride>
    <w:lvlOverride w:ilvl="1">
      <w:startOverride w:val="2"/>
    </w:lvlOverride>
    <w:lvlOverride w:ilvl="2">
      <w:startOverride w:val="1"/>
    </w:lvlOverride>
    <w:lvlOverride w:ilvl="3">
      <w:startOverride w:val="1"/>
    </w:lvlOverride>
    <w:lvlOverride w:ilvl="4">
      <w:startOverride w:val="4"/>
    </w:lvlOverride>
    <w:lvlOverride w:ilvl="5">
      <w:startOverride w:val="3"/>
    </w:lvlOverride>
    <w:lvlOverride w:ilvl="6">
      <w:startOverride w:val="1"/>
    </w:lvlOverride>
    <w:lvlOverride w:ilvl="7">
      <w:startOverride w:val="3"/>
    </w:lvlOverride>
    <w:lvlOverride w:ilvl="8">
      <w:startOverride w:val="1"/>
    </w:lvlOverride>
  </w:num>
  <w:num w:numId="19">
    <w:abstractNumId w:val="6"/>
    <w:lvlOverride w:ilvl="0">
      <w:startOverride w:val="4"/>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3"/>
    </w:lvlOverride>
    <w:lvlOverride w:ilvl="8">
      <w:startOverride w:val="1"/>
    </w:lvlOverride>
  </w:num>
  <w:num w:numId="20">
    <w:abstractNumId w:val="6"/>
  </w:num>
  <w:num w:numId="21">
    <w:abstractNumId w:val="6"/>
  </w:num>
  <w:num w:numId="22">
    <w:abstractNumId w:val="8"/>
  </w:num>
  <w:num w:numId="23">
    <w:abstractNumId w:val="17"/>
  </w:num>
  <w:num w:numId="24">
    <w:abstractNumId w:val="16"/>
  </w:num>
  <w:num w:numId="25">
    <w:abstractNumId w:val="3"/>
  </w:num>
  <w:num w:numId="26">
    <w:abstractNumId w:val="6"/>
    <w:lvlOverride w:ilvl="0">
      <w:startOverride w:val="5"/>
    </w:lvlOverride>
    <w:lvlOverride w:ilvl="1">
      <w:startOverride w:val="2"/>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2"/>
    </w:lvlOverride>
    <w:lvlOverride w:ilvl="8">
      <w:startOverride w:val="1"/>
    </w:lvlOverride>
  </w:num>
  <w:num w:numId="27">
    <w:abstractNumId w:val="6"/>
    <w:lvlOverride w:ilvl="0">
      <w:startOverride w:val="5"/>
    </w:lvlOverride>
    <w:lvlOverride w:ilvl="1">
      <w:startOverride w:val="2"/>
    </w:lvlOverride>
    <w:lvlOverride w:ilvl="2">
      <w:startOverride w:val="1"/>
    </w:lvlOverride>
    <w:lvlOverride w:ilvl="3">
      <w:startOverride w:val="1"/>
    </w:lvlOverride>
    <w:lvlOverride w:ilvl="4">
      <w:startOverride w:val="4"/>
    </w:lvlOverride>
    <w:lvlOverride w:ilvl="5">
      <w:startOverride w:val="4"/>
    </w:lvlOverride>
    <w:lvlOverride w:ilvl="6">
      <w:startOverride w:val="1"/>
    </w:lvlOverride>
    <w:lvlOverride w:ilvl="7">
      <w:startOverride w:val="5"/>
    </w:lvlOverride>
    <w:lvlOverride w:ilvl="8">
      <w:startOverride w:val="1"/>
    </w:lvlOverride>
  </w:num>
  <w:num w:numId="28">
    <w:abstractNumId w:val="6"/>
    <w:lvlOverride w:ilvl="0">
      <w:startOverride w:val="4"/>
    </w:lvlOverride>
    <w:lvlOverride w:ilvl="1">
      <w:startOverride w:val="3"/>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29">
    <w:abstractNumId w:val="7"/>
  </w:num>
  <w:num w:numId="30">
    <w:abstractNumId w:val="6"/>
  </w:num>
  <w:num w:numId="31">
    <w:abstractNumId w:val="6"/>
  </w:num>
  <w:num w:numId="32">
    <w:abstractNumId w:val="6"/>
  </w:num>
  <w:num w:numId="33">
    <w:abstractNumId w:val="6"/>
  </w:num>
  <w:num w:numId="34">
    <w:abstractNumId w:val="6"/>
  </w:num>
  <w:num w:numId="35">
    <w:abstractNumId w:val="6"/>
  </w:num>
  <w:num w:numId="36">
    <w:abstractNumId w:val="15"/>
  </w:num>
  <w:num w:numId="37">
    <w:abstractNumId w:val="18"/>
  </w:num>
  <w:num w:numId="38">
    <w:abstractNumId w:val="6"/>
  </w:num>
  <w:num w:numId="39">
    <w:abstractNumId w:val="6"/>
  </w:num>
  <w:num w:numId="40">
    <w:abstractNumId w:val="6"/>
  </w:num>
  <w:num w:numId="41">
    <w:abstractNumId w:val="6"/>
    <w:lvlOverride w:ilvl="0">
      <w:startOverride w:val="4"/>
    </w:lvlOverride>
    <w:lvlOverride w:ilvl="1">
      <w:startOverride w:val="3"/>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42">
    <w:abstractNumId w:val="6"/>
    <w:lvlOverride w:ilvl="0">
      <w:startOverride w:val="4"/>
    </w:lvlOverride>
    <w:lvlOverride w:ilvl="1">
      <w:startOverride w:val="3"/>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43">
    <w:abstractNumId w:val="6"/>
    <w:lvlOverride w:ilvl="0">
      <w:startOverride w:val="4"/>
    </w:lvlOverride>
    <w:lvlOverride w:ilvl="1">
      <w:startOverride w:val="3"/>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1"/>
    </w:lvlOverride>
    <w:lvlOverride w:ilvl="8">
      <w:startOverride w:val="1"/>
    </w:lvlOverride>
  </w:num>
  <w:num w:numId="44">
    <w:abstractNumId w:val="6"/>
    <w:lvlOverride w:ilvl="0">
      <w:startOverride w:val="5"/>
    </w:lvlOverride>
    <w:lvlOverride w:ilvl="1">
      <w:startOverride w:val="3"/>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1"/>
    </w:lvlOverride>
    <w:lvlOverride w:ilvl="8">
      <w:startOverride w:val="1"/>
    </w:lvlOverride>
  </w:num>
  <w:num w:numId="45">
    <w:abstractNumId w:val="6"/>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47">
    <w:abstractNumId w:val="6"/>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1"/>
    </w:lvlOverride>
    <w:lvlOverride w:ilvl="8">
      <w:startOverride w:val="1"/>
    </w:lvlOverride>
  </w:num>
  <w:num w:numId="48">
    <w:abstractNumId w:val="2"/>
  </w:num>
  <w:num w:numId="49">
    <w:abstractNumId w:val="5"/>
  </w:num>
  <w:num w:numId="50">
    <w:abstractNumId w:val="6"/>
  </w:num>
  <w:num w:numId="51">
    <w:abstractNumId w:val="6"/>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styleLockTheme/>
  <w:styleLockQFSet/>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2"/>
  </w:compat>
  <w:rsids>
    <w:rsidRoot w:val="00962322"/>
    <w:rsid w:val="000013EF"/>
    <w:rsid w:val="00003446"/>
    <w:rsid w:val="00004E67"/>
    <w:rsid w:val="00005FA4"/>
    <w:rsid w:val="00006141"/>
    <w:rsid w:val="0000674D"/>
    <w:rsid w:val="00006C45"/>
    <w:rsid w:val="00007557"/>
    <w:rsid w:val="00007F72"/>
    <w:rsid w:val="0001027F"/>
    <w:rsid w:val="00010BAD"/>
    <w:rsid w:val="0001243A"/>
    <w:rsid w:val="00013415"/>
    <w:rsid w:val="00013497"/>
    <w:rsid w:val="00013595"/>
    <w:rsid w:val="00013D9C"/>
    <w:rsid w:val="000152E4"/>
    <w:rsid w:val="00015D59"/>
    <w:rsid w:val="00017E14"/>
    <w:rsid w:val="00020459"/>
    <w:rsid w:val="000218D3"/>
    <w:rsid w:val="00023CF6"/>
    <w:rsid w:val="00026F3E"/>
    <w:rsid w:val="00027A3F"/>
    <w:rsid w:val="00027DD0"/>
    <w:rsid w:val="000378E6"/>
    <w:rsid w:val="00040A9C"/>
    <w:rsid w:val="000428A5"/>
    <w:rsid w:val="00042E0A"/>
    <w:rsid w:val="00043C97"/>
    <w:rsid w:val="000443D5"/>
    <w:rsid w:val="00044707"/>
    <w:rsid w:val="00044B4E"/>
    <w:rsid w:val="000452A7"/>
    <w:rsid w:val="00045957"/>
    <w:rsid w:val="000466A8"/>
    <w:rsid w:val="000522D1"/>
    <w:rsid w:val="00053958"/>
    <w:rsid w:val="00054700"/>
    <w:rsid w:val="0005481F"/>
    <w:rsid w:val="00055045"/>
    <w:rsid w:val="000602FB"/>
    <w:rsid w:val="00063A52"/>
    <w:rsid w:val="00063A6D"/>
    <w:rsid w:val="0006549C"/>
    <w:rsid w:val="00065A25"/>
    <w:rsid w:val="00066BD8"/>
    <w:rsid w:val="00067D11"/>
    <w:rsid w:val="00070623"/>
    <w:rsid w:val="00071933"/>
    <w:rsid w:val="00072528"/>
    <w:rsid w:val="000736DA"/>
    <w:rsid w:val="00074BB8"/>
    <w:rsid w:val="00074D2A"/>
    <w:rsid w:val="00075D4D"/>
    <w:rsid w:val="000767D9"/>
    <w:rsid w:val="00076BB2"/>
    <w:rsid w:val="00081280"/>
    <w:rsid w:val="0008204C"/>
    <w:rsid w:val="00082A2C"/>
    <w:rsid w:val="0008331F"/>
    <w:rsid w:val="00084805"/>
    <w:rsid w:val="00085A72"/>
    <w:rsid w:val="00086032"/>
    <w:rsid w:val="00086847"/>
    <w:rsid w:val="00086FCA"/>
    <w:rsid w:val="000903E6"/>
    <w:rsid w:val="00091600"/>
    <w:rsid w:val="000932BD"/>
    <w:rsid w:val="00093B20"/>
    <w:rsid w:val="000941D6"/>
    <w:rsid w:val="00094A62"/>
    <w:rsid w:val="00094AEE"/>
    <w:rsid w:val="00094B55"/>
    <w:rsid w:val="00094B8C"/>
    <w:rsid w:val="000954F7"/>
    <w:rsid w:val="0009596D"/>
    <w:rsid w:val="000964F6"/>
    <w:rsid w:val="000967E7"/>
    <w:rsid w:val="00097951"/>
    <w:rsid w:val="000A0008"/>
    <w:rsid w:val="000A0701"/>
    <w:rsid w:val="000A0D2C"/>
    <w:rsid w:val="000A1734"/>
    <w:rsid w:val="000A29A2"/>
    <w:rsid w:val="000A3C76"/>
    <w:rsid w:val="000A49A0"/>
    <w:rsid w:val="000A50DE"/>
    <w:rsid w:val="000A57F4"/>
    <w:rsid w:val="000A5B4D"/>
    <w:rsid w:val="000A6FFB"/>
    <w:rsid w:val="000A7844"/>
    <w:rsid w:val="000A7C8C"/>
    <w:rsid w:val="000B05BF"/>
    <w:rsid w:val="000B1848"/>
    <w:rsid w:val="000B3766"/>
    <w:rsid w:val="000B4C22"/>
    <w:rsid w:val="000B4E2F"/>
    <w:rsid w:val="000B5376"/>
    <w:rsid w:val="000B580D"/>
    <w:rsid w:val="000B6689"/>
    <w:rsid w:val="000C155D"/>
    <w:rsid w:val="000C166A"/>
    <w:rsid w:val="000C16E6"/>
    <w:rsid w:val="000C28EA"/>
    <w:rsid w:val="000D08A5"/>
    <w:rsid w:val="000D0D36"/>
    <w:rsid w:val="000D1443"/>
    <w:rsid w:val="000D1832"/>
    <w:rsid w:val="000D42BA"/>
    <w:rsid w:val="000D5B5E"/>
    <w:rsid w:val="000D5D03"/>
    <w:rsid w:val="000D5DFB"/>
    <w:rsid w:val="000D66F2"/>
    <w:rsid w:val="000E0231"/>
    <w:rsid w:val="000E053B"/>
    <w:rsid w:val="000E1C8E"/>
    <w:rsid w:val="000E23D2"/>
    <w:rsid w:val="000E56A9"/>
    <w:rsid w:val="000E6030"/>
    <w:rsid w:val="000E74D5"/>
    <w:rsid w:val="000F0165"/>
    <w:rsid w:val="000F09F9"/>
    <w:rsid w:val="000F1B5A"/>
    <w:rsid w:val="000F2752"/>
    <w:rsid w:val="000F3088"/>
    <w:rsid w:val="000F3447"/>
    <w:rsid w:val="000F3AEF"/>
    <w:rsid w:val="000F3B9D"/>
    <w:rsid w:val="000F42CC"/>
    <w:rsid w:val="000F435A"/>
    <w:rsid w:val="000F5A5E"/>
    <w:rsid w:val="000F6DF0"/>
    <w:rsid w:val="000F78EA"/>
    <w:rsid w:val="001023D1"/>
    <w:rsid w:val="00102FAC"/>
    <w:rsid w:val="00105FFE"/>
    <w:rsid w:val="00106BB8"/>
    <w:rsid w:val="00107019"/>
    <w:rsid w:val="00107AB0"/>
    <w:rsid w:val="0011262D"/>
    <w:rsid w:val="00112902"/>
    <w:rsid w:val="0011290D"/>
    <w:rsid w:val="00112941"/>
    <w:rsid w:val="00112C4E"/>
    <w:rsid w:val="0011333F"/>
    <w:rsid w:val="00113A3F"/>
    <w:rsid w:val="00113C70"/>
    <w:rsid w:val="00117089"/>
    <w:rsid w:val="00117BC8"/>
    <w:rsid w:val="001209CE"/>
    <w:rsid w:val="0012128F"/>
    <w:rsid w:val="00121E08"/>
    <w:rsid w:val="00124025"/>
    <w:rsid w:val="001245A6"/>
    <w:rsid w:val="00125D75"/>
    <w:rsid w:val="00126B31"/>
    <w:rsid w:val="00126BD5"/>
    <w:rsid w:val="00127C1B"/>
    <w:rsid w:val="00132F76"/>
    <w:rsid w:val="001332A0"/>
    <w:rsid w:val="00133612"/>
    <w:rsid w:val="00136CA1"/>
    <w:rsid w:val="001400BA"/>
    <w:rsid w:val="00141BC8"/>
    <w:rsid w:val="00141C82"/>
    <w:rsid w:val="001449CB"/>
    <w:rsid w:val="00144E1A"/>
    <w:rsid w:val="001455A0"/>
    <w:rsid w:val="001465E4"/>
    <w:rsid w:val="00147056"/>
    <w:rsid w:val="00147B38"/>
    <w:rsid w:val="00150A1E"/>
    <w:rsid w:val="00151F43"/>
    <w:rsid w:val="00153FB0"/>
    <w:rsid w:val="00154DDC"/>
    <w:rsid w:val="00155557"/>
    <w:rsid w:val="00155933"/>
    <w:rsid w:val="00155F87"/>
    <w:rsid w:val="001563CE"/>
    <w:rsid w:val="00157A13"/>
    <w:rsid w:val="00157CF8"/>
    <w:rsid w:val="00160A23"/>
    <w:rsid w:val="00161588"/>
    <w:rsid w:val="001628C3"/>
    <w:rsid w:val="0016415D"/>
    <w:rsid w:val="00165EFB"/>
    <w:rsid w:val="00166256"/>
    <w:rsid w:val="00166A3E"/>
    <w:rsid w:val="00166E3E"/>
    <w:rsid w:val="00167A1B"/>
    <w:rsid w:val="00171096"/>
    <w:rsid w:val="001712A5"/>
    <w:rsid w:val="001717B2"/>
    <w:rsid w:val="001717E8"/>
    <w:rsid w:val="001731D7"/>
    <w:rsid w:val="0017455D"/>
    <w:rsid w:val="00174A88"/>
    <w:rsid w:val="00177310"/>
    <w:rsid w:val="0017787C"/>
    <w:rsid w:val="00177EAA"/>
    <w:rsid w:val="001811BD"/>
    <w:rsid w:val="00183257"/>
    <w:rsid w:val="00183A61"/>
    <w:rsid w:val="00184748"/>
    <w:rsid w:val="00193BBF"/>
    <w:rsid w:val="0019598F"/>
    <w:rsid w:val="00196D01"/>
    <w:rsid w:val="001A00E8"/>
    <w:rsid w:val="001A0E87"/>
    <w:rsid w:val="001A1306"/>
    <w:rsid w:val="001A52A1"/>
    <w:rsid w:val="001A5E9E"/>
    <w:rsid w:val="001B13F7"/>
    <w:rsid w:val="001B2A45"/>
    <w:rsid w:val="001B3195"/>
    <w:rsid w:val="001B3B79"/>
    <w:rsid w:val="001B41EB"/>
    <w:rsid w:val="001B4500"/>
    <w:rsid w:val="001B4C6C"/>
    <w:rsid w:val="001B5E68"/>
    <w:rsid w:val="001B6F03"/>
    <w:rsid w:val="001B7967"/>
    <w:rsid w:val="001C1184"/>
    <w:rsid w:val="001C1BCB"/>
    <w:rsid w:val="001C3C1C"/>
    <w:rsid w:val="001C46F8"/>
    <w:rsid w:val="001C6A6E"/>
    <w:rsid w:val="001D1613"/>
    <w:rsid w:val="001D680E"/>
    <w:rsid w:val="001D7188"/>
    <w:rsid w:val="001D77AF"/>
    <w:rsid w:val="001E1447"/>
    <w:rsid w:val="001E1ABB"/>
    <w:rsid w:val="001E1CC7"/>
    <w:rsid w:val="001E3F40"/>
    <w:rsid w:val="001E4C58"/>
    <w:rsid w:val="001E6F38"/>
    <w:rsid w:val="001E7404"/>
    <w:rsid w:val="001F02E6"/>
    <w:rsid w:val="001F0E6B"/>
    <w:rsid w:val="001F3F4E"/>
    <w:rsid w:val="001F4338"/>
    <w:rsid w:val="001F4AC5"/>
    <w:rsid w:val="001F4C4D"/>
    <w:rsid w:val="001F68D9"/>
    <w:rsid w:val="001F6C8E"/>
    <w:rsid w:val="001F743A"/>
    <w:rsid w:val="001F7458"/>
    <w:rsid w:val="001F77AF"/>
    <w:rsid w:val="00200833"/>
    <w:rsid w:val="00205BC3"/>
    <w:rsid w:val="00206231"/>
    <w:rsid w:val="002064A5"/>
    <w:rsid w:val="002067CE"/>
    <w:rsid w:val="00207065"/>
    <w:rsid w:val="0020723B"/>
    <w:rsid w:val="002073F9"/>
    <w:rsid w:val="002074D9"/>
    <w:rsid w:val="002116C4"/>
    <w:rsid w:val="002134F6"/>
    <w:rsid w:val="00213936"/>
    <w:rsid w:val="00215516"/>
    <w:rsid w:val="002179B1"/>
    <w:rsid w:val="002203B2"/>
    <w:rsid w:val="00220F05"/>
    <w:rsid w:val="00221745"/>
    <w:rsid w:val="002219DC"/>
    <w:rsid w:val="00223A8F"/>
    <w:rsid w:val="00223B6A"/>
    <w:rsid w:val="002240CB"/>
    <w:rsid w:val="002250AA"/>
    <w:rsid w:val="00227781"/>
    <w:rsid w:val="002304D7"/>
    <w:rsid w:val="00231397"/>
    <w:rsid w:val="002315F8"/>
    <w:rsid w:val="00231945"/>
    <w:rsid w:val="002323A8"/>
    <w:rsid w:val="00232757"/>
    <w:rsid w:val="00233D17"/>
    <w:rsid w:val="00234B92"/>
    <w:rsid w:val="00235A2C"/>
    <w:rsid w:val="0023613C"/>
    <w:rsid w:val="00240D76"/>
    <w:rsid w:val="00241E0A"/>
    <w:rsid w:val="0024244D"/>
    <w:rsid w:val="00242E2E"/>
    <w:rsid w:val="00244039"/>
    <w:rsid w:val="002444FA"/>
    <w:rsid w:val="00244B14"/>
    <w:rsid w:val="00245204"/>
    <w:rsid w:val="0024615A"/>
    <w:rsid w:val="00246367"/>
    <w:rsid w:val="00247803"/>
    <w:rsid w:val="00247F65"/>
    <w:rsid w:val="002514FA"/>
    <w:rsid w:val="002520F6"/>
    <w:rsid w:val="002529AA"/>
    <w:rsid w:val="00252B17"/>
    <w:rsid w:val="00252CAB"/>
    <w:rsid w:val="00252F5B"/>
    <w:rsid w:val="00253256"/>
    <w:rsid w:val="002555BB"/>
    <w:rsid w:val="0026498D"/>
    <w:rsid w:val="00265138"/>
    <w:rsid w:val="002651EE"/>
    <w:rsid w:val="00267094"/>
    <w:rsid w:val="002676B0"/>
    <w:rsid w:val="00267C6D"/>
    <w:rsid w:val="0027188F"/>
    <w:rsid w:val="00271A24"/>
    <w:rsid w:val="00272FB6"/>
    <w:rsid w:val="00274DBB"/>
    <w:rsid w:val="00275ACC"/>
    <w:rsid w:val="00275D6F"/>
    <w:rsid w:val="00280E94"/>
    <w:rsid w:val="002821A5"/>
    <w:rsid w:val="00282B57"/>
    <w:rsid w:val="00282D26"/>
    <w:rsid w:val="00283AA6"/>
    <w:rsid w:val="00285BAA"/>
    <w:rsid w:val="00285EFF"/>
    <w:rsid w:val="00286BA8"/>
    <w:rsid w:val="00290F49"/>
    <w:rsid w:val="0029484F"/>
    <w:rsid w:val="00295F18"/>
    <w:rsid w:val="002962CC"/>
    <w:rsid w:val="0029636C"/>
    <w:rsid w:val="00296FEA"/>
    <w:rsid w:val="002A1DEE"/>
    <w:rsid w:val="002A399F"/>
    <w:rsid w:val="002A49D3"/>
    <w:rsid w:val="002A4B7A"/>
    <w:rsid w:val="002A64E6"/>
    <w:rsid w:val="002A65A1"/>
    <w:rsid w:val="002B120E"/>
    <w:rsid w:val="002B4020"/>
    <w:rsid w:val="002B56EE"/>
    <w:rsid w:val="002B5F4B"/>
    <w:rsid w:val="002B663D"/>
    <w:rsid w:val="002B7389"/>
    <w:rsid w:val="002B76BF"/>
    <w:rsid w:val="002C0F27"/>
    <w:rsid w:val="002C1795"/>
    <w:rsid w:val="002C2433"/>
    <w:rsid w:val="002C7558"/>
    <w:rsid w:val="002D1BBF"/>
    <w:rsid w:val="002D4448"/>
    <w:rsid w:val="002D4505"/>
    <w:rsid w:val="002D4614"/>
    <w:rsid w:val="002D58FD"/>
    <w:rsid w:val="002D6F2D"/>
    <w:rsid w:val="002D7BE5"/>
    <w:rsid w:val="002E0AEF"/>
    <w:rsid w:val="002E18EA"/>
    <w:rsid w:val="002E1B78"/>
    <w:rsid w:val="002E2457"/>
    <w:rsid w:val="002E2CCF"/>
    <w:rsid w:val="002E4073"/>
    <w:rsid w:val="002E4DB4"/>
    <w:rsid w:val="002E5553"/>
    <w:rsid w:val="002E6761"/>
    <w:rsid w:val="002E7518"/>
    <w:rsid w:val="002F0765"/>
    <w:rsid w:val="002F1D22"/>
    <w:rsid w:val="002F2C8D"/>
    <w:rsid w:val="002F2F7B"/>
    <w:rsid w:val="002F3AD2"/>
    <w:rsid w:val="002F5BCF"/>
    <w:rsid w:val="002F6284"/>
    <w:rsid w:val="003018FC"/>
    <w:rsid w:val="00302944"/>
    <w:rsid w:val="00303B13"/>
    <w:rsid w:val="003048FF"/>
    <w:rsid w:val="00306179"/>
    <w:rsid w:val="00306DBD"/>
    <w:rsid w:val="00307674"/>
    <w:rsid w:val="00307D69"/>
    <w:rsid w:val="00312A53"/>
    <w:rsid w:val="00317197"/>
    <w:rsid w:val="00320D76"/>
    <w:rsid w:val="0032245D"/>
    <w:rsid w:val="00322B30"/>
    <w:rsid w:val="00322E6F"/>
    <w:rsid w:val="0032369F"/>
    <w:rsid w:val="003250E1"/>
    <w:rsid w:val="00325718"/>
    <w:rsid w:val="0032607D"/>
    <w:rsid w:val="003273B5"/>
    <w:rsid w:val="0033117A"/>
    <w:rsid w:val="00332520"/>
    <w:rsid w:val="0033520D"/>
    <w:rsid w:val="00335E01"/>
    <w:rsid w:val="0033619F"/>
    <w:rsid w:val="00336FAC"/>
    <w:rsid w:val="0033710F"/>
    <w:rsid w:val="003406F8"/>
    <w:rsid w:val="0034195B"/>
    <w:rsid w:val="00346F82"/>
    <w:rsid w:val="003500BC"/>
    <w:rsid w:val="0035102D"/>
    <w:rsid w:val="00353C55"/>
    <w:rsid w:val="00355A98"/>
    <w:rsid w:val="0035655D"/>
    <w:rsid w:val="00356620"/>
    <w:rsid w:val="00356D36"/>
    <w:rsid w:val="003603EF"/>
    <w:rsid w:val="00360FBE"/>
    <w:rsid w:val="003636E0"/>
    <w:rsid w:val="00364A86"/>
    <w:rsid w:val="00370E2E"/>
    <w:rsid w:val="00370F5A"/>
    <w:rsid w:val="003714F7"/>
    <w:rsid w:val="00372D5E"/>
    <w:rsid w:val="003736D4"/>
    <w:rsid w:val="0037468F"/>
    <w:rsid w:val="0037507C"/>
    <w:rsid w:val="003777ED"/>
    <w:rsid w:val="00380AB0"/>
    <w:rsid w:val="00383E4B"/>
    <w:rsid w:val="003841F4"/>
    <w:rsid w:val="00386407"/>
    <w:rsid w:val="0039028D"/>
    <w:rsid w:val="00392B22"/>
    <w:rsid w:val="00393D24"/>
    <w:rsid w:val="003942B5"/>
    <w:rsid w:val="0039627B"/>
    <w:rsid w:val="00396304"/>
    <w:rsid w:val="00396784"/>
    <w:rsid w:val="00396D07"/>
    <w:rsid w:val="003A0D86"/>
    <w:rsid w:val="003A12AC"/>
    <w:rsid w:val="003A2045"/>
    <w:rsid w:val="003A25C3"/>
    <w:rsid w:val="003A26B8"/>
    <w:rsid w:val="003A3A43"/>
    <w:rsid w:val="003A4210"/>
    <w:rsid w:val="003A453C"/>
    <w:rsid w:val="003A4832"/>
    <w:rsid w:val="003A5B4C"/>
    <w:rsid w:val="003A695A"/>
    <w:rsid w:val="003A7163"/>
    <w:rsid w:val="003A770E"/>
    <w:rsid w:val="003A7A7B"/>
    <w:rsid w:val="003B10F9"/>
    <w:rsid w:val="003B1301"/>
    <w:rsid w:val="003B365F"/>
    <w:rsid w:val="003B3E17"/>
    <w:rsid w:val="003B6E53"/>
    <w:rsid w:val="003B74EA"/>
    <w:rsid w:val="003B74F8"/>
    <w:rsid w:val="003C11E9"/>
    <w:rsid w:val="003C1BFF"/>
    <w:rsid w:val="003C1DCE"/>
    <w:rsid w:val="003C2D4E"/>
    <w:rsid w:val="003C2F39"/>
    <w:rsid w:val="003C33D0"/>
    <w:rsid w:val="003C42D8"/>
    <w:rsid w:val="003C51B3"/>
    <w:rsid w:val="003C5DC3"/>
    <w:rsid w:val="003C60B4"/>
    <w:rsid w:val="003C6609"/>
    <w:rsid w:val="003D32CA"/>
    <w:rsid w:val="003D40F4"/>
    <w:rsid w:val="003D4DF1"/>
    <w:rsid w:val="003D5BB8"/>
    <w:rsid w:val="003D6D52"/>
    <w:rsid w:val="003D7B20"/>
    <w:rsid w:val="003E05A9"/>
    <w:rsid w:val="003E0864"/>
    <w:rsid w:val="003E2A6E"/>
    <w:rsid w:val="003E44CE"/>
    <w:rsid w:val="003E5D3D"/>
    <w:rsid w:val="003E5FAD"/>
    <w:rsid w:val="003E72F6"/>
    <w:rsid w:val="003E7502"/>
    <w:rsid w:val="003E7FB8"/>
    <w:rsid w:val="003F05C0"/>
    <w:rsid w:val="003F0728"/>
    <w:rsid w:val="003F10EC"/>
    <w:rsid w:val="003F366C"/>
    <w:rsid w:val="003F3B18"/>
    <w:rsid w:val="003F4866"/>
    <w:rsid w:val="003F4FA7"/>
    <w:rsid w:val="003F5B24"/>
    <w:rsid w:val="003F6E7B"/>
    <w:rsid w:val="003F7F00"/>
    <w:rsid w:val="00403927"/>
    <w:rsid w:val="00404291"/>
    <w:rsid w:val="00405A0E"/>
    <w:rsid w:val="00407D7D"/>
    <w:rsid w:val="00410968"/>
    <w:rsid w:val="004129CC"/>
    <w:rsid w:val="00412CE3"/>
    <w:rsid w:val="004138B1"/>
    <w:rsid w:val="00414CEA"/>
    <w:rsid w:val="004152D8"/>
    <w:rsid w:val="004163C3"/>
    <w:rsid w:val="0041721B"/>
    <w:rsid w:val="004172AE"/>
    <w:rsid w:val="004205D8"/>
    <w:rsid w:val="004209E1"/>
    <w:rsid w:val="0042298B"/>
    <w:rsid w:val="00424340"/>
    <w:rsid w:val="00426D4F"/>
    <w:rsid w:val="00426F27"/>
    <w:rsid w:val="00427EE5"/>
    <w:rsid w:val="00432104"/>
    <w:rsid w:val="00432325"/>
    <w:rsid w:val="00433EF1"/>
    <w:rsid w:val="004346BF"/>
    <w:rsid w:val="0043487A"/>
    <w:rsid w:val="00435463"/>
    <w:rsid w:val="004355FD"/>
    <w:rsid w:val="00435BDD"/>
    <w:rsid w:val="00436531"/>
    <w:rsid w:val="004372A9"/>
    <w:rsid w:val="0044006E"/>
    <w:rsid w:val="004400CA"/>
    <w:rsid w:val="004436AF"/>
    <w:rsid w:val="00443D2F"/>
    <w:rsid w:val="0044468C"/>
    <w:rsid w:val="00444A15"/>
    <w:rsid w:val="00445F34"/>
    <w:rsid w:val="00445F59"/>
    <w:rsid w:val="004479AE"/>
    <w:rsid w:val="00447BD0"/>
    <w:rsid w:val="00451BA4"/>
    <w:rsid w:val="00453E4D"/>
    <w:rsid w:val="00453ED4"/>
    <w:rsid w:val="004544B0"/>
    <w:rsid w:val="00455EF3"/>
    <w:rsid w:val="0045666D"/>
    <w:rsid w:val="00456BDC"/>
    <w:rsid w:val="0045731F"/>
    <w:rsid w:val="00457CB0"/>
    <w:rsid w:val="00461C50"/>
    <w:rsid w:val="0046351B"/>
    <w:rsid w:val="00465B1A"/>
    <w:rsid w:val="00466950"/>
    <w:rsid w:val="0047027A"/>
    <w:rsid w:val="00470903"/>
    <w:rsid w:val="00470E25"/>
    <w:rsid w:val="004717B2"/>
    <w:rsid w:val="00472282"/>
    <w:rsid w:val="00474608"/>
    <w:rsid w:val="00475687"/>
    <w:rsid w:val="00475B4E"/>
    <w:rsid w:val="0047613D"/>
    <w:rsid w:val="004763FB"/>
    <w:rsid w:val="00480789"/>
    <w:rsid w:val="004810DD"/>
    <w:rsid w:val="0048155E"/>
    <w:rsid w:val="0048184D"/>
    <w:rsid w:val="004819E8"/>
    <w:rsid w:val="00483A39"/>
    <w:rsid w:val="00483A49"/>
    <w:rsid w:val="00484A60"/>
    <w:rsid w:val="00484DA8"/>
    <w:rsid w:val="00485403"/>
    <w:rsid w:val="00487EA9"/>
    <w:rsid w:val="0049030A"/>
    <w:rsid w:val="0049167C"/>
    <w:rsid w:val="00491B19"/>
    <w:rsid w:val="00491C67"/>
    <w:rsid w:val="00491FDE"/>
    <w:rsid w:val="0049274C"/>
    <w:rsid w:val="004929EB"/>
    <w:rsid w:val="00493589"/>
    <w:rsid w:val="00494E89"/>
    <w:rsid w:val="004A1EB4"/>
    <w:rsid w:val="004A4AF4"/>
    <w:rsid w:val="004A4F62"/>
    <w:rsid w:val="004A4FF2"/>
    <w:rsid w:val="004A7CBD"/>
    <w:rsid w:val="004B2E8D"/>
    <w:rsid w:val="004B2F21"/>
    <w:rsid w:val="004B3370"/>
    <w:rsid w:val="004B4A33"/>
    <w:rsid w:val="004B7DF1"/>
    <w:rsid w:val="004B7F92"/>
    <w:rsid w:val="004C07D5"/>
    <w:rsid w:val="004C0AAA"/>
    <w:rsid w:val="004C2695"/>
    <w:rsid w:val="004C29AF"/>
    <w:rsid w:val="004C492F"/>
    <w:rsid w:val="004C524A"/>
    <w:rsid w:val="004C6DE0"/>
    <w:rsid w:val="004C6EA9"/>
    <w:rsid w:val="004D0471"/>
    <w:rsid w:val="004D05AB"/>
    <w:rsid w:val="004D2235"/>
    <w:rsid w:val="004D296B"/>
    <w:rsid w:val="004D43C9"/>
    <w:rsid w:val="004D4F70"/>
    <w:rsid w:val="004D5281"/>
    <w:rsid w:val="004D6325"/>
    <w:rsid w:val="004D733B"/>
    <w:rsid w:val="004D76D9"/>
    <w:rsid w:val="004D79D8"/>
    <w:rsid w:val="004E0CDC"/>
    <w:rsid w:val="004E0E49"/>
    <w:rsid w:val="004E22AA"/>
    <w:rsid w:val="004E421E"/>
    <w:rsid w:val="004E50E9"/>
    <w:rsid w:val="004E5513"/>
    <w:rsid w:val="004E5E50"/>
    <w:rsid w:val="004E684F"/>
    <w:rsid w:val="004E7884"/>
    <w:rsid w:val="004E7E32"/>
    <w:rsid w:val="004F3680"/>
    <w:rsid w:val="004F6AFE"/>
    <w:rsid w:val="00500775"/>
    <w:rsid w:val="00501436"/>
    <w:rsid w:val="00502096"/>
    <w:rsid w:val="0050284B"/>
    <w:rsid w:val="00504E90"/>
    <w:rsid w:val="00510735"/>
    <w:rsid w:val="00513631"/>
    <w:rsid w:val="005136D5"/>
    <w:rsid w:val="005149C1"/>
    <w:rsid w:val="00515308"/>
    <w:rsid w:val="005164CD"/>
    <w:rsid w:val="005165DE"/>
    <w:rsid w:val="00520404"/>
    <w:rsid w:val="005208C4"/>
    <w:rsid w:val="005242D7"/>
    <w:rsid w:val="005249B4"/>
    <w:rsid w:val="0052510F"/>
    <w:rsid w:val="005252A2"/>
    <w:rsid w:val="00530530"/>
    <w:rsid w:val="0053170D"/>
    <w:rsid w:val="0053345D"/>
    <w:rsid w:val="005334D1"/>
    <w:rsid w:val="0053526A"/>
    <w:rsid w:val="0053568D"/>
    <w:rsid w:val="00535A59"/>
    <w:rsid w:val="00536A74"/>
    <w:rsid w:val="005406A7"/>
    <w:rsid w:val="005413AF"/>
    <w:rsid w:val="00541A8E"/>
    <w:rsid w:val="00542ACF"/>
    <w:rsid w:val="00542F1C"/>
    <w:rsid w:val="00544053"/>
    <w:rsid w:val="005464AA"/>
    <w:rsid w:val="0054655E"/>
    <w:rsid w:val="00547A08"/>
    <w:rsid w:val="00550A62"/>
    <w:rsid w:val="00551023"/>
    <w:rsid w:val="00551202"/>
    <w:rsid w:val="00554306"/>
    <w:rsid w:val="00554B3F"/>
    <w:rsid w:val="00554BED"/>
    <w:rsid w:val="00555A3C"/>
    <w:rsid w:val="005560EA"/>
    <w:rsid w:val="00556455"/>
    <w:rsid w:val="00556BEA"/>
    <w:rsid w:val="00560DD6"/>
    <w:rsid w:val="00564247"/>
    <w:rsid w:val="00564487"/>
    <w:rsid w:val="00570CC4"/>
    <w:rsid w:val="005724F9"/>
    <w:rsid w:val="00572ED2"/>
    <w:rsid w:val="00574D11"/>
    <w:rsid w:val="0057518C"/>
    <w:rsid w:val="00576697"/>
    <w:rsid w:val="005768BA"/>
    <w:rsid w:val="00577F04"/>
    <w:rsid w:val="00580202"/>
    <w:rsid w:val="00581993"/>
    <w:rsid w:val="00582B24"/>
    <w:rsid w:val="0058519E"/>
    <w:rsid w:val="00586293"/>
    <w:rsid w:val="00587780"/>
    <w:rsid w:val="00591964"/>
    <w:rsid w:val="0059394D"/>
    <w:rsid w:val="0059400B"/>
    <w:rsid w:val="005951F0"/>
    <w:rsid w:val="00596090"/>
    <w:rsid w:val="005979E2"/>
    <w:rsid w:val="00597E61"/>
    <w:rsid w:val="005A0887"/>
    <w:rsid w:val="005A1154"/>
    <w:rsid w:val="005A1736"/>
    <w:rsid w:val="005A3217"/>
    <w:rsid w:val="005A3E2B"/>
    <w:rsid w:val="005A4105"/>
    <w:rsid w:val="005A54B9"/>
    <w:rsid w:val="005A62E7"/>
    <w:rsid w:val="005B09C5"/>
    <w:rsid w:val="005B1471"/>
    <w:rsid w:val="005B1604"/>
    <w:rsid w:val="005B392E"/>
    <w:rsid w:val="005B3970"/>
    <w:rsid w:val="005B3E92"/>
    <w:rsid w:val="005B631F"/>
    <w:rsid w:val="005C1F3B"/>
    <w:rsid w:val="005C3196"/>
    <w:rsid w:val="005C42B3"/>
    <w:rsid w:val="005C4C28"/>
    <w:rsid w:val="005C4CA4"/>
    <w:rsid w:val="005C61D3"/>
    <w:rsid w:val="005C62AA"/>
    <w:rsid w:val="005C6B0B"/>
    <w:rsid w:val="005C6C9E"/>
    <w:rsid w:val="005D03B9"/>
    <w:rsid w:val="005D062F"/>
    <w:rsid w:val="005D0778"/>
    <w:rsid w:val="005D0B7F"/>
    <w:rsid w:val="005D4040"/>
    <w:rsid w:val="005D4E0D"/>
    <w:rsid w:val="005D540C"/>
    <w:rsid w:val="005D5B8E"/>
    <w:rsid w:val="005D6812"/>
    <w:rsid w:val="005D6D13"/>
    <w:rsid w:val="005D7DAE"/>
    <w:rsid w:val="005E0322"/>
    <w:rsid w:val="005E0CEE"/>
    <w:rsid w:val="005E28AC"/>
    <w:rsid w:val="005E2989"/>
    <w:rsid w:val="005E3683"/>
    <w:rsid w:val="005E45AD"/>
    <w:rsid w:val="005E46A5"/>
    <w:rsid w:val="005F008F"/>
    <w:rsid w:val="005F06EA"/>
    <w:rsid w:val="005F123D"/>
    <w:rsid w:val="005F27E2"/>
    <w:rsid w:val="005F2B25"/>
    <w:rsid w:val="005F3007"/>
    <w:rsid w:val="005F366A"/>
    <w:rsid w:val="005F3968"/>
    <w:rsid w:val="005F3C4B"/>
    <w:rsid w:val="005F5A19"/>
    <w:rsid w:val="005F7AA3"/>
    <w:rsid w:val="005F7FA1"/>
    <w:rsid w:val="00600340"/>
    <w:rsid w:val="006011F6"/>
    <w:rsid w:val="00601ACA"/>
    <w:rsid w:val="00602130"/>
    <w:rsid w:val="0060267E"/>
    <w:rsid w:val="00603FDC"/>
    <w:rsid w:val="00604AEF"/>
    <w:rsid w:val="00604FD2"/>
    <w:rsid w:val="006057B0"/>
    <w:rsid w:val="00605C53"/>
    <w:rsid w:val="006101A0"/>
    <w:rsid w:val="006101AB"/>
    <w:rsid w:val="00613683"/>
    <w:rsid w:val="00615123"/>
    <w:rsid w:val="006165D6"/>
    <w:rsid w:val="00620B8C"/>
    <w:rsid w:val="00624307"/>
    <w:rsid w:val="00625CD5"/>
    <w:rsid w:val="00626180"/>
    <w:rsid w:val="00626A9A"/>
    <w:rsid w:val="0063022E"/>
    <w:rsid w:val="00630593"/>
    <w:rsid w:val="00631C90"/>
    <w:rsid w:val="00632D15"/>
    <w:rsid w:val="00632DC8"/>
    <w:rsid w:val="00634FF9"/>
    <w:rsid w:val="00635767"/>
    <w:rsid w:val="00635B90"/>
    <w:rsid w:val="00635D68"/>
    <w:rsid w:val="00636A3E"/>
    <w:rsid w:val="0064068D"/>
    <w:rsid w:val="00641019"/>
    <w:rsid w:val="00641282"/>
    <w:rsid w:val="006428AB"/>
    <w:rsid w:val="00643711"/>
    <w:rsid w:val="00643722"/>
    <w:rsid w:val="00644F2C"/>
    <w:rsid w:val="00645FF8"/>
    <w:rsid w:val="0064726D"/>
    <w:rsid w:val="0065342B"/>
    <w:rsid w:val="00654897"/>
    <w:rsid w:val="00654D79"/>
    <w:rsid w:val="006566C1"/>
    <w:rsid w:val="00656CFC"/>
    <w:rsid w:val="00657480"/>
    <w:rsid w:val="00657FF9"/>
    <w:rsid w:val="00660E68"/>
    <w:rsid w:val="0066145E"/>
    <w:rsid w:val="006616A1"/>
    <w:rsid w:val="006632BD"/>
    <w:rsid w:val="006642BA"/>
    <w:rsid w:val="00664A41"/>
    <w:rsid w:val="006662D2"/>
    <w:rsid w:val="00667B40"/>
    <w:rsid w:val="006713FD"/>
    <w:rsid w:val="00672488"/>
    <w:rsid w:val="00673553"/>
    <w:rsid w:val="00674559"/>
    <w:rsid w:val="0067580A"/>
    <w:rsid w:val="006758C5"/>
    <w:rsid w:val="006759FF"/>
    <w:rsid w:val="00676801"/>
    <w:rsid w:val="00676DEE"/>
    <w:rsid w:val="0067710A"/>
    <w:rsid w:val="00680EF0"/>
    <w:rsid w:val="00683BF0"/>
    <w:rsid w:val="006856E4"/>
    <w:rsid w:val="00690FB1"/>
    <w:rsid w:val="00692055"/>
    <w:rsid w:val="00692141"/>
    <w:rsid w:val="00692947"/>
    <w:rsid w:val="00695034"/>
    <w:rsid w:val="0069623A"/>
    <w:rsid w:val="00696C40"/>
    <w:rsid w:val="00696F7F"/>
    <w:rsid w:val="00697431"/>
    <w:rsid w:val="0069761C"/>
    <w:rsid w:val="006A0DBB"/>
    <w:rsid w:val="006A0FF7"/>
    <w:rsid w:val="006A233D"/>
    <w:rsid w:val="006A2C95"/>
    <w:rsid w:val="006A4A52"/>
    <w:rsid w:val="006A4ADA"/>
    <w:rsid w:val="006A5587"/>
    <w:rsid w:val="006A559A"/>
    <w:rsid w:val="006B06CD"/>
    <w:rsid w:val="006B07AD"/>
    <w:rsid w:val="006B082C"/>
    <w:rsid w:val="006B10C7"/>
    <w:rsid w:val="006B1375"/>
    <w:rsid w:val="006B2F49"/>
    <w:rsid w:val="006B30D9"/>
    <w:rsid w:val="006B31AC"/>
    <w:rsid w:val="006B3A19"/>
    <w:rsid w:val="006B4F4B"/>
    <w:rsid w:val="006B552E"/>
    <w:rsid w:val="006B5D80"/>
    <w:rsid w:val="006B6096"/>
    <w:rsid w:val="006B7259"/>
    <w:rsid w:val="006C03E7"/>
    <w:rsid w:val="006C22FD"/>
    <w:rsid w:val="006C4AA5"/>
    <w:rsid w:val="006C4F18"/>
    <w:rsid w:val="006C5D0A"/>
    <w:rsid w:val="006C6007"/>
    <w:rsid w:val="006C65CA"/>
    <w:rsid w:val="006C6748"/>
    <w:rsid w:val="006C7DE1"/>
    <w:rsid w:val="006D1B00"/>
    <w:rsid w:val="006D33D5"/>
    <w:rsid w:val="006D44C4"/>
    <w:rsid w:val="006D4A33"/>
    <w:rsid w:val="006D4F69"/>
    <w:rsid w:val="006D7312"/>
    <w:rsid w:val="006E0C73"/>
    <w:rsid w:val="006E1047"/>
    <w:rsid w:val="006E122C"/>
    <w:rsid w:val="006E1721"/>
    <w:rsid w:val="006E1FDE"/>
    <w:rsid w:val="006E2382"/>
    <w:rsid w:val="006E2984"/>
    <w:rsid w:val="006E4D85"/>
    <w:rsid w:val="006F1103"/>
    <w:rsid w:val="006F15BD"/>
    <w:rsid w:val="006F2478"/>
    <w:rsid w:val="006F2BDB"/>
    <w:rsid w:val="006F66D0"/>
    <w:rsid w:val="006F673B"/>
    <w:rsid w:val="006F7270"/>
    <w:rsid w:val="006F760C"/>
    <w:rsid w:val="006F780B"/>
    <w:rsid w:val="007026AB"/>
    <w:rsid w:val="00703136"/>
    <w:rsid w:val="00704583"/>
    <w:rsid w:val="00705233"/>
    <w:rsid w:val="00705963"/>
    <w:rsid w:val="00705DF1"/>
    <w:rsid w:val="0070634F"/>
    <w:rsid w:val="00706893"/>
    <w:rsid w:val="007075E6"/>
    <w:rsid w:val="007109BC"/>
    <w:rsid w:val="007120FA"/>
    <w:rsid w:val="0071251B"/>
    <w:rsid w:val="007125A5"/>
    <w:rsid w:val="00713B3F"/>
    <w:rsid w:val="007142E9"/>
    <w:rsid w:val="0071615D"/>
    <w:rsid w:val="007164EE"/>
    <w:rsid w:val="00716676"/>
    <w:rsid w:val="00717238"/>
    <w:rsid w:val="007204DC"/>
    <w:rsid w:val="0072173C"/>
    <w:rsid w:val="0072190F"/>
    <w:rsid w:val="00721A1E"/>
    <w:rsid w:val="00721B29"/>
    <w:rsid w:val="007242D4"/>
    <w:rsid w:val="007244D2"/>
    <w:rsid w:val="0072699F"/>
    <w:rsid w:val="00726F8D"/>
    <w:rsid w:val="00732F20"/>
    <w:rsid w:val="00734FEE"/>
    <w:rsid w:val="00735FDB"/>
    <w:rsid w:val="00736425"/>
    <w:rsid w:val="00736602"/>
    <w:rsid w:val="0073661B"/>
    <w:rsid w:val="0073727D"/>
    <w:rsid w:val="00737761"/>
    <w:rsid w:val="00737912"/>
    <w:rsid w:val="007420F6"/>
    <w:rsid w:val="00742FC8"/>
    <w:rsid w:val="00743FE7"/>
    <w:rsid w:val="00744937"/>
    <w:rsid w:val="007453EE"/>
    <w:rsid w:val="007477D1"/>
    <w:rsid w:val="007504E2"/>
    <w:rsid w:val="00752D9B"/>
    <w:rsid w:val="00754716"/>
    <w:rsid w:val="007626B4"/>
    <w:rsid w:val="00762E1A"/>
    <w:rsid w:val="007638EA"/>
    <w:rsid w:val="0076560D"/>
    <w:rsid w:val="007659A0"/>
    <w:rsid w:val="00765AFB"/>
    <w:rsid w:val="00765B87"/>
    <w:rsid w:val="007666E5"/>
    <w:rsid w:val="00766C45"/>
    <w:rsid w:val="0077051E"/>
    <w:rsid w:val="007706C1"/>
    <w:rsid w:val="00770D77"/>
    <w:rsid w:val="0077466B"/>
    <w:rsid w:val="00783780"/>
    <w:rsid w:val="00784E68"/>
    <w:rsid w:val="00791181"/>
    <w:rsid w:val="00791873"/>
    <w:rsid w:val="0079286B"/>
    <w:rsid w:val="00792887"/>
    <w:rsid w:val="00792F2A"/>
    <w:rsid w:val="007932ED"/>
    <w:rsid w:val="0079345E"/>
    <w:rsid w:val="00795B2E"/>
    <w:rsid w:val="00795E1A"/>
    <w:rsid w:val="00796014"/>
    <w:rsid w:val="00796A16"/>
    <w:rsid w:val="00796A75"/>
    <w:rsid w:val="007A036A"/>
    <w:rsid w:val="007A13DB"/>
    <w:rsid w:val="007A1728"/>
    <w:rsid w:val="007A2EB6"/>
    <w:rsid w:val="007A2F56"/>
    <w:rsid w:val="007A3AE2"/>
    <w:rsid w:val="007A3F64"/>
    <w:rsid w:val="007A3FE9"/>
    <w:rsid w:val="007A5108"/>
    <w:rsid w:val="007A61DB"/>
    <w:rsid w:val="007A67CC"/>
    <w:rsid w:val="007A7145"/>
    <w:rsid w:val="007A7931"/>
    <w:rsid w:val="007B1EC8"/>
    <w:rsid w:val="007B28D8"/>
    <w:rsid w:val="007B3503"/>
    <w:rsid w:val="007B3943"/>
    <w:rsid w:val="007B40AF"/>
    <w:rsid w:val="007B47AE"/>
    <w:rsid w:val="007B50FD"/>
    <w:rsid w:val="007B53D0"/>
    <w:rsid w:val="007B64B4"/>
    <w:rsid w:val="007B686B"/>
    <w:rsid w:val="007B6C99"/>
    <w:rsid w:val="007B7101"/>
    <w:rsid w:val="007B7488"/>
    <w:rsid w:val="007C23E7"/>
    <w:rsid w:val="007C289C"/>
    <w:rsid w:val="007C3194"/>
    <w:rsid w:val="007C3F97"/>
    <w:rsid w:val="007C60A1"/>
    <w:rsid w:val="007C65D8"/>
    <w:rsid w:val="007C7791"/>
    <w:rsid w:val="007D01FD"/>
    <w:rsid w:val="007D36C9"/>
    <w:rsid w:val="007D3DBE"/>
    <w:rsid w:val="007D4D72"/>
    <w:rsid w:val="007D75D7"/>
    <w:rsid w:val="007E06D8"/>
    <w:rsid w:val="007E1336"/>
    <w:rsid w:val="007E2927"/>
    <w:rsid w:val="007E2A13"/>
    <w:rsid w:val="007E2E37"/>
    <w:rsid w:val="007E435E"/>
    <w:rsid w:val="007E61A7"/>
    <w:rsid w:val="007F0099"/>
    <w:rsid w:val="007F1A3C"/>
    <w:rsid w:val="007F21F2"/>
    <w:rsid w:val="007F2AC1"/>
    <w:rsid w:val="007F35C9"/>
    <w:rsid w:val="007F4B49"/>
    <w:rsid w:val="007F630A"/>
    <w:rsid w:val="007F7F7D"/>
    <w:rsid w:val="007F7FA7"/>
    <w:rsid w:val="00800F9E"/>
    <w:rsid w:val="00801638"/>
    <w:rsid w:val="0080200B"/>
    <w:rsid w:val="0080364C"/>
    <w:rsid w:val="00803C90"/>
    <w:rsid w:val="008041D2"/>
    <w:rsid w:val="008054E5"/>
    <w:rsid w:val="008059C7"/>
    <w:rsid w:val="00805C71"/>
    <w:rsid w:val="0080686E"/>
    <w:rsid w:val="00806BA2"/>
    <w:rsid w:val="00807E79"/>
    <w:rsid w:val="00811FFF"/>
    <w:rsid w:val="00812464"/>
    <w:rsid w:val="0081256A"/>
    <w:rsid w:val="00812BB5"/>
    <w:rsid w:val="00814408"/>
    <w:rsid w:val="00815C42"/>
    <w:rsid w:val="008209AA"/>
    <w:rsid w:val="008228FC"/>
    <w:rsid w:val="00823292"/>
    <w:rsid w:val="00824642"/>
    <w:rsid w:val="00825BB7"/>
    <w:rsid w:val="00826146"/>
    <w:rsid w:val="00826D01"/>
    <w:rsid w:val="00827F27"/>
    <w:rsid w:val="00831F19"/>
    <w:rsid w:val="00833616"/>
    <w:rsid w:val="008336DF"/>
    <w:rsid w:val="00833D0C"/>
    <w:rsid w:val="008341DF"/>
    <w:rsid w:val="00835CB5"/>
    <w:rsid w:val="00836089"/>
    <w:rsid w:val="00837A98"/>
    <w:rsid w:val="00843C1E"/>
    <w:rsid w:val="00844DA2"/>
    <w:rsid w:val="00845736"/>
    <w:rsid w:val="008524D1"/>
    <w:rsid w:val="008538DA"/>
    <w:rsid w:val="0085421F"/>
    <w:rsid w:val="00856BCB"/>
    <w:rsid w:val="0085786F"/>
    <w:rsid w:val="00857A59"/>
    <w:rsid w:val="008601C2"/>
    <w:rsid w:val="00860399"/>
    <w:rsid w:val="008623BD"/>
    <w:rsid w:val="00862EA5"/>
    <w:rsid w:val="00862FE5"/>
    <w:rsid w:val="00864BBC"/>
    <w:rsid w:val="00866AC6"/>
    <w:rsid w:val="00871700"/>
    <w:rsid w:val="00873E08"/>
    <w:rsid w:val="0087442E"/>
    <w:rsid w:val="0087490D"/>
    <w:rsid w:val="00877B69"/>
    <w:rsid w:val="00877DA3"/>
    <w:rsid w:val="00880209"/>
    <w:rsid w:val="008827C5"/>
    <w:rsid w:val="00885CD4"/>
    <w:rsid w:val="008865B1"/>
    <w:rsid w:val="008870B4"/>
    <w:rsid w:val="0088764C"/>
    <w:rsid w:val="00887E94"/>
    <w:rsid w:val="008906AB"/>
    <w:rsid w:val="00891C12"/>
    <w:rsid w:val="00892F9B"/>
    <w:rsid w:val="008935AE"/>
    <w:rsid w:val="008941DB"/>
    <w:rsid w:val="00895053"/>
    <w:rsid w:val="008953CE"/>
    <w:rsid w:val="00896C8A"/>
    <w:rsid w:val="008A0764"/>
    <w:rsid w:val="008A104D"/>
    <w:rsid w:val="008A2415"/>
    <w:rsid w:val="008A2AF1"/>
    <w:rsid w:val="008A3A72"/>
    <w:rsid w:val="008A4A25"/>
    <w:rsid w:val="008A50DF"/>
    <w:rsid w:val="008A7D04"/>
    <w:rsid w:val="008B19DA"/>
    <w:rsid w:val="008B2B1A"/>
    <w:rsid w:val="008B41A6"/>
    <w:rsid w:val="008B5844"/>
    <w:rsid w:val="008B6E46"/>
    <w:rsid w:val="008C0801"/>
    <w:rsid w:val="008C59D3"/>
    <w:rsid w:val="008D059A"/>
    <w:rsid w:val="008D07A8"/>
    <w:rsid w:val="008D2701"/>
    <w:rsid w:val="008D3247"/>
    <w:rsid w:val="008D4368"/>
    <w:rsid w:val="008D4C0F"/>
    <w:rsid w:val="008D6D81"/>
    <w:rsid w:val="008D6E9F"/>
    <w:rsid w:val="008E0DA9"/>
    <w:rsid w:val="008E0ECE"/>
    <w:rsid w:val="008E0F1A"/>
    <w:rsid w:val="008E3705"/>
    <w:rsid w:val="008E60EF"/>
    <w:rsid w:val="008E6C5D"/>
    <w:rsid w:val="008E6C76"/>
    <w:rsid w:val="008E73C1"/>
    <w:rsid w:val="008E7DBC"/>
    <w:rsid w:val="008E7DFC"/>
    <w:rsid w:val="008F0FF4"/>
    <w:rsid w:val="008F2140"/>
    <w:rsid w:val="008F2610"/>
    <w:rsid w:val="008F2C83"/>
    <w:rsid w:val="008F70EF"/>
    <w:rsid w:val="008F75AE"/>
    <w:rsid w:val="008F7B8B"/>
    <w:rsid w:val="008F7D91"/>
    <w:rsid w:val="008F7F5D"/>
    <w:rsid w:val="00900D27"/>
    <w:rsid w:val="00902C87"/>
    <w:rsid w:val="009031CA"/>
    <w:rsid w:val="00903397"/>
    <w:rsid w:val="00903548"/>
    <w:rsid w:val="00903C36"/>
    <w:rsid w:val="00903C78"/>
    <w:rsid w:val="0090502A"/>
    <w:rsid w:val="00905E7A"/>
    <w:rsid w:val="00907BF0"/>
    <w:rsid w:val="00911E76"/>
    <w:rsid w:val="00911EE3"/>
    <w:rsid w:val="009123F3"/>
    <w:rsid w:val="00912694"/>
    <w:rsid w:val="00912F72"/>
    <w:rsid w:val="00912FC3"/>
    <w:rsid w:val="00913014"/>
    <w:rsid w:val="00913D0E"/>
    <w:rsid w:val="00914AF1"/>
    <w:rsid w:val="00916306"/>
    <w:rsid w:val="00916D93"/>
    <w:rsid w:val="00917C10"/>
    <w:rsid w:val="0092056D"/>
    <w:rsid w:val="009214BB"/>
    <w:rsid w:val="00921DF2"/>
    <w:rsid w:val="00922ABF"/>
    <w:rsid w:val="00922F90"/>
    <w:rsid w:val="00927F64"/>
    <w:rsid w:val="009325EE"/>
    <w:rsid w:val="0093379C"/>
    <w:rsid w:val="009363DD"/>
    <w:rsid w:val="00940B7E"/>
    <w:rsid w:val="0094202B"/>
    <w:rsid w:val="009450BA"/>
    <w:rsid w:val="00946381"/>
    <w:rsid w:val="00951DC5"/>
    <w:rsid w:val="00952B93"/>
    <w:rsid w:val="00954922"/>
    <w:rsid w:val="00956262"/>
    <w:rsid w:val="00956715"/>
    <w:rsid w:val="009606DC"/>
    <w:rsid w:val="0096145F"/>
    <w:rsid w:val="00962322"/>
    <w:rsid w:val="009625CC"/>
    <w:rsid w:val="0096386D"/>
    <w:rsid w:val="009645FA"/>
    <w:rsid w:val="00964A8D"/>
    <w:rsid w:val="00964E50"/>
    <w:rsid w:val="00965137"/>
    <w:rsid w:val="00967809"/>
    <w:rsid w:val="0097235E"/>
    <w:rsid w:val="00974382"/>
    <w:rsid w:val="0097488B"/>
    <w:rsid w:val="00974DDA"/>
    <w:rsid w:val="00977426"/>
    <w:rsid w:val="00981EC4"/>
    <w:rsid w:val="00982F09"/>
    <w:rsid w:val="009835E5"/>
    <w:rsid w:val="00983FE2"/>
    <w:rsid w:val="009850CE"/>
    <w:rsid w:val="00985A4C"/>
    <w:rsid w:val="00987D22"/>
    <w:rsid w:val="00990B64"/>
    <w:rsid w:val="00993A47"/>
    <w:rsid w:val="00994520"/>
    <w:rsid w:val="00994D72"/>
    <w:rsid w:val="00994F02"/>
    <w:rsid w:val="009957C2"/>
    <w:rsid w:val="00995B8B"/>
    <w:rsid w:val="00997B29"/>
    <w:rsid w:val="009A02F8"/>
    <w:rsid w:val="009A2335"/>
    <w:rsid w:val="009A2775"/>
    <w:rsid w:val="009A2AC1"/>
    <w:rsid w:val="009A308E"/>
    <w:rsid w:val="009A4929"/>
    <w:rsid w:val="009A6E9A"/>
    <w:rsid w:val="009A725B"/>
    <w:rsid w:val="009A73DE"/>
    <w:rsid w:val="009B0B38"/>
    <w:rsid w:val="009B0F6E"/>
    <w:rsid w:val="009B14EE"/>
    <w:rsid w:val="009B1540"/>
    <w:rsid w:val="009B3116"/>
    <w:rsid w:val="009B46E2"/>
    <w:rsid w:val="009B5AE6"/>
    <w:rsid w:val="009B6210"/>
    <w:rsid w:val="009C017A"/>
    <w:rsid w:val="009C1820"/>
    <w:rsid w:val="009C1C13"/>
    <w:rsid w:val="009C1DF8"/>
    <w:rsid w:val="009C29A5"/>
    <w:rsid w:val="009C29C2"/>
    <w:rsid w:val="009C41B8"/>
    <w:rsid w:val="009C4C6D"/>
    <w:rsid w:val="009C50E4"/>
    <w:rsid w:val="009C51EC"/>
    <w:rsid w:val="009C54AF"/>
    <w:rsid w:val="009C55E3"/>
    <w:rsid w:val="009C64D9"/>
    <w:rsid w:val="009C7D14"/>
    <w:rsid w:val="009D1B8C"/>
    <w:rsid w:val="009D2417"/>
    <w:rsid w:val="009D2948"/>
    <w:rsid w:val="009D3D11"/>
    <w:rsid w:val="009D3D97"/>
    <w:rsid w:val="009D46C1"/>
    <w:rsid w:val="009D584F"/>
    <w:rsid w:val="009D593E"/>
    <w:rsid w:val="009D776F"/>
    <w:rsid w:val="009E07E5"/>
    <w:rsid w:val="009E16D0"/>
    <w:rsid w:val="009E17D6"/>
    <w:rsid w:val="009E403E"/>
    <w:rsid w:val="009E430C"/>
    <w:rsid w:val="009E4400"/>
    <w:rsid w:val="009E54EA"/>
    <w:rsid w:val="009E7831"/>
    <w:rsid w:val="009F1B32"/>
    <w:rsid w:val="009F2548"/>
    <w:rsid w:val="009F52EC"/>
    <w:rsid w:val="009F6AEF"/>
    <w:rsid w:val="009F6C92"/>
    <w:rsid w:val="009F7F26"/>
    <w:rsid w:val="00A006A9"/>
    <w:rsid w:val="00A00E47"/>
    <w:rsid w:val="00A0283E"/>
    <w:rsid w:val="00A02C80"/>
    <w:rsid w:val="00A02EC9"/>
    <w:rsid w:val="00A05A26"/>
    <w:rsid w:val="00A07AFD"/>
    <w:rsid w:val="00A07E4F"/>
    <w:rsid w:val="00A11031"/>
    <w:rsid w:val="00A11A12"/>
    <w:rsid w:val="00A1265F"/>
    <w:rsid w:val="00A12757"/>
    <w:rsid w:val="00A12C08"/>
    <w:rsid w:val="00A13DC2"/>
    <w:rsid w:val="00A147B2"/>
    <w:rsid w:val="00A1521B"/>
    <w:rsid w:val="00A1794A"/>
    <w:rsid w:val="00A20DF7"/>
    <w:rsid w:val="00A20E5A"/>
    <w:rsid w:val="00A22DB6"/>
    <w:rsid w:val="00A2345C"/>
    <w:rsid w:val="00A23A49"/>
    <w:rsid w:val="00A25FFB"/>
    <w:rsid w:val="00A27835"/>
    <w:rsid w:val="00A307DE"/>
    <w:rsid w:val="00A30979"/>
    <w:rsid w:val="00A30A8F"/>
    <w:rsid w:val="00A30C95"/>
    <w:rsid w:val="00A31249"/>
    <w:rsid w:val="00A312F2"/>
    <w:rsid w:val="00A313BD"/>
    <w:rsid w:val="00A321CD"/>
    <w:rsid w:val="00A323FA"/>
    <w:rsid w:val="00A34EE9"/>
    <w:rsid w:val="00A35605"/>
    <w:rsid w:val="00A375D8"/>
    <w:rsid w:val="00A41779"/>
    <w:rsid w:val="00A41C1E"/>
    <w:rsid w:val="00A43FA4"/>
    <w:rsid w:val="00A44A54"/>
    <w:rsid w:val="00A46855"/>
    <w:rsid w:val="00A47E74"/>
    <w:rsid w:val="00A51018"/>
    <w:rsid w:val="00A51131"/>
    <w:rsid w:val="00A52A7D"/>
    <w:rsid w:val="00A53045"/>
    <w:rsid w:val="00A5313A"/>
    <w:rsid w:val="00A53442"/>
    <w:rsid w:val="00A5390D"/>
    <w:rsid w:val="00A53F57"/>
    <w:rsid w:val="00A5498A"/>
    <w:rsid w:val="00A55C83"/>
    <w:rsid w:val="00A56E26"/>
    <w:rsid w:val="00A57AAD"/>
    <w:rsid w:val="00A65AC9"/>
    <w:rsid w:val="00A66A44"/>
    <w:rsid w:val="00A70975"/>
    <w:rsid w:val="00A70A39"/>
    <w:rsid w:val="00A724F9"/>
    <w:rsid w:val="00A72FF7"/>
    <w:rsid w:val="00A73172"/>
    <w:rsid w:val="00A743AB"/>
    <w:rsid w:val="00A74A49"/>
    <w:rsid w:val="00A74A9A"/>
    <w:rsid w:val="00A75576"/>
    <w:rsid w:val="00A75FA5"/>
    <w:rsid w:val="00A75FD0"/>
    <w:rsid w:val="00A8048C"/>
    <w:rsid w:val="00A81BF5"/>
    <w:rsid w:val="00A8452B"/>
    <w:rsid w:val="00A8577E"/>
    <w:rsid w:val="00A85CF8"/>
    <w:rsid w:val="00A85E83"/>
    <w:rsid w:val="00A86D5C"/>
    <w:rsid w:val="00A86FCA"/>
    <w:rsid w:val="00A87AB5"/>
    <w:rsid w:val="00A87C48"/>
    <w:rsid w:val="00A91864"/>
    <w:rsid w:val="00A92B1F"/>
    <w:rsid w:val="00A93F30"/>
    <w:rsid w:val="00A96518"/>
    <w:rsid w:val="00A96F2F"/>
    <w:rsid w:val="00A979D6"/>
    <w:rsid w:val="00AA00CC"/>
    <w:rsid w:val="00AA090C"/>
    <w:rsid w:val="00AA35A7"/>
    <w:rsid w:val="00AA3F24"/>
    <w:rsid w:val="00AA4666"/>
    <w:rsid w:val="00AA4EAB"/>
    <w:rsid w:val="00AA6E71"/>
    <w:rsid w:val="00AB05E6"/>
    <w:rsid w:val="00AB0ACA"/>
    <w:rsid w:val="00AB5CA8"/>
    <w:rsid w:val="00AB6372"/>
    <w:rsid w:val="00AB6963"/>
    <w:rsid w:val="00AB6E75"/>
    <w:rsid w:val="00AB79F9"/>
    <w:rsid w:val="00AB7C05"/>
    <w:rsid w:val="00AC0347"/>
    <w:rsid w:val="00AC0C78"/>
    <w:rsid w:val="00AC12C8"/>
    <w:rsid w:val="00AC30F3"/>
    <w:rsid w:val="00AC448F"/>
    <w:rsid w:val="00AC5EA2"/>
    <w:rsid w:val="00AD0BB2"/>
    <w:rsid w:val="00AD256F"/>
    <w:rsid w:val="00AD3F06"/>
    <w:rsid w:val="00AD500F"/>
    <w:rsid w:val="00AD5DEE"/>
    <w:rsid w:val="00AD6149"/>
    <w:rsid w:val="00AD7657"/>
    <w:rsid w:val="00AD7E69"/>
    <w:rsid w:val="00AD7FEB"/>
    <w:rsid w:val="00AE401C"/>
    <w:rsid w:val="00AE5998"/>
    <w:rsid w:val="00AE60AE"/>
    <w:rsid w:val="00AE60B6"/>
    <w:rsid w:val="00AE75DC"/>
    <w:rsid w:val="00AE7955"/>
    <w:rsid w:val="00AE7CDB"/>
    <w:rsid w:val="00AF11A0"/>
    <w:rsid w:val="00AF2FE2"/>
    <w:rsid w:val="00AF4EDF"/>
    <w:rsid w:val="00AF642F"/>
    <w:rsid w:val="00AF74FA"/>
    <w:rsid w:val="00AF7572"/>
    <w:rsid w:val="00AF7EEE"/>
    <w:rsid w:val="00AF7F3B"/>
    <w:rsid w:val="00B000C6"/>
    <w:rsid w:val="00B01466"/>
    <w:rsid w:val="00B036FC"/>
    <w:rsid w:val="00B037C5"/>
    <w:rsid w:val="00B045AB"/>
    <w:rsid w:val="00B04A74"/>
    <w:rsid w:val="00B057B8"/>
    <w:rsid w:val="00B05A7A"/>
    <w:rsid w:val="00B0677E"/>
    <w:rsid w:val="00B06E67"/>
    <w:rsid w:val="00B074DB"/>
    <w:rsid w:val="00B10F0F"/>
    <w:rsid w:val="00B116B2"/>
    <w:rsid w:val="00B1181C"/>
    <w:rsid w:val="00B20D30"/>
    <w:rsid w:val="00B221C2"/>
    <w:rsid w:val="00B22D27"/>
    <w:rsid w:val="00B2448E"/>
    <w:rsid w:val="00B2455D"/>
    <w:rsid w:val="00B24B33"/>
    <w:rsid w:val="00B24F19"/>
    <w:rsid w:val="00B25531"/>
    <w:rsid w:val="00B270AD"/>
    <w:rsid w:val="00B31E44"/>
    <w:rsid w:val="00B32435"/>
    <w:rsid w:val="00B34215"/>
    <w:rsid w:val="00B36CE8"/>
    <w:rsid w:val="00B37254"/>
    <w:rsid w:val="00B37C8B"/>
    <w:rsid w:val="00B40143"/>
    <w:rsid w:val="00B402EF"/>
    <w:rsid w:val="00B41DE7"/>
    <w:rsid w:val="00B42826"/>
    <w:rsid w:val="00B43B36"/>
    <w:rsid w:val="00B44C60"/>
    <w:rsid w:val="00B46A3D"/>
    <w:rsid w:val="00B513D7"/>
    <w:rsid w:val="00B51EF3"/>
    <w:rsid w:val="00B53F79"/>
    <w:rsid w:val="00B544E6"/>
    <w:rsid w:val="00B5634C"/>
    <w:rsid w:val="00B6107F"/>
    <w:rsid w:val="00B61244"/>
    <w:rsid w:val="00B61B81"/>
    <w:rsid w:val="00B626DC"/>
    <w:rsid w:val="00B627C7"/>
    <w:rsid w:val="00B62E93"/>
    <w:rsid w:val="00B635D2"/>
    <w:rsid w:val="00B648C3"/>
    <w:rsid w:val="00B66C0E"/>
    <w:rsid w:val="00B672CF"/>
    <w:rsid w:val="00B7239C"/>
    <w:rsid w:val="00B72D26"/>
    <w:rsid w:val="00B739C8"/>
    <w:rsid w:val="00B74A39"/>
    <w:rsid w:val="00B7543A"/>
    <w:rsid w:val="00B75B4D"/>
    <w:rsid w:val="00B75C6A"/>
    <w:rsid w:val="00B76B04"/>
    <w:rsid w:val="00B80F47"/>
    <w:rsid w:val="00B81574"/>
    <w:rsid w:val="00B8242E"/>
    <w:rsid w:val="00B83CD4"/>
    <w:rsid w:val="00B83F91"/>
    <w:rsid w:val="00B84B6E"/>
    <w:rsid w:val="00B853D2"/>
    <w:rsid w:val="00B870CC"/>
    <w:rsid w:val="00B91E25"/>
    <w:rsid w:val="00B9245D"/>
    <w:rsid w:val="00B9343A"/>
    <w:rsid w:val="00B93B58"/>
    <w:rsid w:val="00B95045"/>
    <w:rsid w:val="00B95BC9"/>
    <w:rsid w:val="00BA14D8"/>
    <w:rsid w:val="00BA1D02"/>
    <w:rsid w:val="00BA2831"/>
    <w:rsid w:val="00BA561A"/>
    <w:rsid w:val="00BA5ACB"/>
    <w:rsid w:val="00BA61E0"/>
    <w:rsid w:val="00BA645E"/>
    <w:rsid w:val="00BA707F"/>
    <w:rsid w:val="00BA7622"/>
    <w:rsid w:val="00BA7D3B"/>
    <w:rsid w:val="00BA7F79"/>
    <w:rsid w:val="00BB08A5"/>
    <w:rsid w:val="00BB0FC3"/>
    <w:rsid w:val="00BB26FB"/>
    <w:rsid w:val="00BB5B2E"/>
    <w:rsid w:val="00BB63A6"/>
    <w:rsid w:val="00BC1148"/>
    <w:rsid w:val="00BC1C04"/>
    <w:rsid w:val="00BC1E84"/>
    <w:rsid w:val="00BC243D"/>
    <w:rsid w:val="00BC2BB8"/>
    <w:rsid w:val="00BC394C"/>
    <w:rsid w:val="00BC4A52"/>
    <w:rsid w:val="00BC5CBF"/>
    <w:rsid w:val="00BC5EC0"/>
    <w:rsid w:val="00BC5F3E"/>
    <w:rsid w:val="00BC7DEF"/>
    <w:rsid w:val="00BD06E8"/>
    <w:rsid w:val="00BD2747"/>
    <w:rsid w:val="00BD28D4"/>
    <w:rsid w:val="00BD29A2"/>
    <w:rsid w:val="00BD4213"/>
    <w:rsid w:val="00BD6932"/>
    <w:rsid w:val="00BD6B4E"/>
    <w:rsid w:val="00BD6DF3"/>
    <w:rsid w:val="00BD742E"/>
    <w:rsid w:val="00BD79CE"/>
    <w:rsid w:val="00BE0195"/>
    <w:rsid w:val="00BE144D"/>
    <w:rsid w:val="00BE2212"/>
    <w:rsid w:val="00BE4EE0"/>
    <w:rsid w:val="00BE4F67"/>
    <w:rsid w:val="00BE6D7F"/>
    <w:rsid w:val="00BF1355"/>
    <w:rsid w:val="00BF1C79"/>
    <w:rsid w:val="00BF1F85"/>
    <w:rsid w:val="00BF379C"/>
    <w:rsid w:val="00BF3E41"/>
    <w:rsid w:val="00BF48F9"/>
    <w:rsid w:val="00BF4A4F"/>
    <w:rsid w:val="00C00856"/>
    <w:rsid w:val="00C00DCB"/>
    <w:rsid w:val="00C00E28"/>
    <w:rsid w:val="00C01FEF"/>
    <w:rsid w:val="00C02979"/>
    <w:rsid w:val="00C03149"/>
    <w:rsid w:val="00C03445"/>
    <w:rsid w:val="00C04A0C"/>
    <w:rsid w:val="00C04B4D"/>
    <w:rsid w:val="00C06FDD"/>
    <w:rsid w:val="00C07151"/>
    <w:rsid w:val="00C12216"/>
    <w:rsid w:val="00C14F36"/>
    <w:rsid w:val="00C14FDD"/>
    <w:rsid w:val="00C15043"/>
    <w:rsid w:val="00C154B8"/>
    <w:rsid w:val="00C175E4"/>
    <w:rsid w:val="00C213D7"/>
    <w:rsid w:val="00C21C93"/>
    <w:rsid w:val="00C21FD2"/>
    <w:rsid w:val="00C2417E"/>
    <w:rsid w:val="00C2432F"/>
    <w:rsid w:val="00C24808"/>
    <w:rsid w:val="00C259AF"/>
    <w:rsid w:val="00C259D8"/>
    <w:rsid w:val="00C266E4"/>
    <w:rsid w:val="00C26B26"/>
    <w:rsid w:val="00C26D92"/>
    <w:rsid w:val="00C278D5"/>
    <w:rsid w:val="00C27ED0"/>
    <w:rsid w:val="00C30571"/>
    <w:rsid w:val="00C30FEE"/>
    <w:rsid w:val="00C31AED"/>
    <w:rsid w:val="00C32261"/>
    <w:rsid w:val="00C32D72"/>
    <w:rsid w:val="00C34C71"/>
    <w:rsid w:val="00C40073"/>
    <w:rsid w:val="00C413CC"/>
    <w:rsid w:val="00C42300"/>
    <w:rsid w:val="00C4350F"/>
    <w:rsid w:val="00C43906"/>
    <w:rsid w:val="00C4529A"/>
    <w:rsid w:val="00C4665C"/>
    <w:rsid w:val="00C50A19"/>
    <w:rsid w:val="00C53000"/>
    <w:rsid w:val="00C541D5"/>
    <w:rsid w:val="00C55919"/>
    <w:rsid w:val="00C56E4D"/>
    <w:rsid w:val="00C57A5D"/>
    <w:rsid w:val="00C625ED"/>
    <w:rsid w:val="00C633C8"/>
    <w:rsid w:val="00C643E2"/>
    <w:rsid w:val="00C668C0"/>
    <w:rsid w:val="00C6719A"/>
    <w:rsid w:val="00C6724A"/>
    <w:rsid w:val="00C67BAB"/>
    <w:rsid w:val="00C707C5"/>
    <w:rsid w:val="00C73A43"/>
    <w:rsid w:val="00C751FA"/>
    <w:rsid w:val="00C752FB"/>
    <w:rsid w:val="00C75496"/>
    <w:rsid w:val="00C7561C"/>
    <w:rsid w:val="00C77014"/>
    <w:rsid w:val="00C80BC6"/>
    <w:rsid w:val="00C8272F"/>
    <w:rsid w:val="00C828E5"/>
    <w:rsid w:val="00C83D28"/>
    <w:rsid w:val="00C847F7"/>
    <w:rsid w:val="00C84EE5"/>
    <w:rsid w:val="00C86626"/>
    <w:rsid w:val="00C86FDC"/>
    <w:rsid w:val="00C870F0"/>
    <w:rsid w:val="00C87A98"/>
    <w:rsid w:val="00C90758"/>
    <w:rsid w:val="00C9149D"/>
    <w:rsid w:val="00C918C7"/>
    <w:rsid w:val="00C92A0C"/>
    <w:rsid w:val="00C93B5F"/>
    <w:rsid w:val="00C93C37"/>
    <w:rsid w:val="00C94866"/>
    <w:rsid w:val="00C96F10"/>
    <w:rsid w:val="00C970A8"/>
    <w:rsid w:val="00CA0A56"/>
    <w:rsid w:val="00CA1FE2"/>
    <w:rsid w:val="00CA240F"/>
    <w:rsid w:val="00CA3AF5"/>
    <w:rsid w:val="00CA4B4A"/>
    <w:rsid w:val="00CA5BAF"/>
    <w:rsid w:val="00CA7D9B"/>
    <w:rsid w:val="00CB04EC"/>
    <w:rsid w:val="00CB1806"/>
    <w:rsid w:val="00CB2BB3"/>
    <w:rsid w:val="00CB3C82"/>
    <w:rsid w:val="00CB6E19"/>
    <w:rsid w:val="00CC0646"/>
    <w:rsid w:val="00CC0E04"/>
    <w:rsid w:val="00CC10C2"/>
    <w:rsid w:val="00CC1B15"/>
    <w:rsid w:val="00CC42DC"/>
    <w:rsid w:val="00CC5A3F"/>
    <w:rsid w:val="00CC5FB6"/>
    <w:rsid w:val="00CC766A"/>
    <w:rsid w:val="00CD0133"/>
    <w:rsid w:val="00CD019D"/>
    <w:rsid w:val="00CD0A86"/>
    <w:rsid w:val="00CD4613"/>
    <w:rsid w:val="00CD4E1D"/>
    <w:rsid w:val="00CD4EFF"/>
    <w:rsid w:val="00CD6439"/>
    <w:rsid w:val="00CD7EE8"/>
    <w:rsid w:val="00CE0FDC"/>
    <w:rsid w:val="00CE3E9B"/>
    <w:rsid w:val="00CE4549"/>
    <w:rsid w:val="00CE4781"/>
    <w:rsid w:val="00CE4A43"/>
    <w:rsid w:val="00CE5494"/>
    <w:rsid w:val="00CF20A3"/>
    <w:rsid w:val="00CF2208"/>
    <w:rsid w:val="00CF2FA5"/>
    <w:rsid w:val="00CF3532"/>
    <w:rsid w:val="00CF3AF6"/>
    <w:rsid w:val="00CF4166"/>
    <w:rsid w:val="00CF4C14"/>
    <w:rsid w:val="00CF636A"/>
    <w:rsid w:val="00CF6B29"/>
    <w:rsid w:val="00CF7DB7"/>
    <w:rsid w:val="00D007BB"/>
    <w:rsid w:val="00D02815"/>
    <w:rsid w:val="00D02C77"/>
    <w:rsid w:val="00D02FF7"/>
    <w:rsid w:val="00D0414C"/>
    <w:rsid w:val="00D0458F"/>
    <w:rsid w:val="00D049BC"/>
    <w:rsid w:val="00D04DA5"/>
    <w:rsid w:val="00D0564E"/>
    <w:rsid w:val="00D0621C"/>
    <w:rsid w:val="00D064A5"/>
    <w:rsid w:val="00D06BDC"/>
    <w:rsid w:val="00D1025A"/>
    <w:rsid w:val="00D1054F"/>
    <w:rsid w:val="00D121D4"/>
    <w:rsid w:val="00D12435"/>
    <w:rsid w:val="00D13D6C"/>
    <w:rsid w:val="00D14C0E"/>
    <w:rsid w:val="00D157BE"/>
    <w:rsid w:val="00D15E3D"/>
    <w:rsid w:val="00D168CB"/>
    <w:rsid w:val="00D17407"/>
    <w:rsid w:val="00D17870"/>
    <w:rsid w:val="00D21421"/>
    <w:rsid w:val="00D22585"/>
    <w:rsid w:val="00D25AC4"/>
    <w:rsid w:val="00D279D7"/>
    <w:rsid w:val="00D319F5"/>
    <w:rsid w:val="00D3265B"/>
    <w:rsid w:val="00D329DB"/>
    <w:rsid w:val="00D334A6"/>
    <w:rsid w:val="00D34BD3"/>
    <w:rsid w:val="00D400DA"/>
    <w:rsid w:val="00D4158D"/>
    <w:rsid w:val="00D416FF"/>
    <w:rsid w:val="00D43BEA"/>
    <w:rsid w:val="00D4511F"/>
    <w:rsid w:val="00D45E88"/>
    <w:rsid w:val="00D4617A"/>
    <w:rsid w:val="00D50B1F"/>
    <w:rsid w:val="00D516D4"/>
    <w:rsid w:val="00D51DA9"/>
    <w:rsid w:val="00D52A22"/>
    <w:rsid w:val="00D54527"/>
    <w:rsid w:val="00D54578"/>
    <w:rsid w:val="00D55930"/>
    <w:rsid w:val="00D56432"/>
    <w:rsid w:val="00D608DE"/>
    <w:rsid w:val="00D610FC"/>
    <w:rsid w:val="00D61AFE"/>
    <w:rsid w:val="00D61D1F"/>
    <w:rsid w:val="00D64B4C"/>
    <w:rsid w:val="00D65191"/>
    <w:rsid w:val="00D658FB"/>
    <w:rsid w:val="00D66624"/>
    <w:rsid w:val="00D6699C"/>
    <w:rsid w:val="00D72EA6"/>
    <w:rsid w:val="00D752CF"/>
    <w:rsid w:val="00D75748"/>
    <w:rsid w:val="00D75B4B"/>
    <w:rsid w:val="00D762EB"/>
    <w:rsid w:val="00D77AC7"/>
    <w:rsid w:val="00D80BF4"/>
    <w:rsid w:val="00D82433"/>
    <w:rsid w:val="00D8488A"/>
    <w:rsid w:val="00D870B1"/>
    <w:rsid w:val="00D8769B"/>
    <w:rsid w:val="00D87CA8"/>
    <w:rsid w:val="00D90754"/>
    <w:rsid w:val="00D912CA"/>
    <w:rsid w:val="00D920DE"/>
    <w:rsid w:val="00D936FC"/>
    <w:rsid w:val="00D9488F"/>
    <w:rsid w:val="00D95511"/>
    <w:rsid w:val="00D959D7"/>
    <w:rsid w:val="00D96D8F"/>
    <w:rsid w:val="00DA0141"/>
    <w:rsid w:val="00DA08E4"/>
    <w:rsid w:val="00DA19DB"/>
    <w:rsid w:val="00DA291C"/>
    <w:rsid w:val="00DA30AF"/>
    <w:rsid w:val="00DA5688"/>
    <w:rsid w:val="00DA71C6"/>
    <w:rsid w:val="00DB0907"/>
    <w:rsid w:val="00DB3B10"/>
    <w:rsid w:val="00DB48CE"/>
    <w:rsid w:val="00DB4E73"/>
    <w:rsid w:val="00DB5696"/>
    <w:rsid w:val="00DB6160"/>
    <w:rsid w:val="00DB674E"/>
    <w:rsid w:val="00DB68F6"/>
    <w:rsid w:val="00DC0E92"/>
    <w:rsid w:val="00DC1814"/>
    <w:rsid w:val="00DC1BAD"/>
    <w:rsid w:val="00DC21C6"/>
    <w:rsid w:val="00DC36A9"/>
    <w:rsid w:val="00DC36F2"/>
    <w:rsid w:val="00DC47AA"/>
    <w:rsid w:val="00DC59DD"/>
    <w:rsid w:val="00DC5FB4"/>
    <w:rsid w:val="00DC7499"/>
    <w:rsid w:val="00DD0AA4"/>
    <w:rsid w:val="00DD13BD"/>
    <w:rsid w:val="00DD18E8"/>
    <w:rsid w:val="00DD3E5D"/>
    <w:rsid w:val="00DD79E0"/>
    <w:rsid w:val="00DE0656"/>
    <w:rsid w:val="00DE167E"/>
    <w:rsid w:val="00DE186E"/>
    <w:rsid w:val="00DE3A6A"/>
    <w:rsid w:val="00DE4468"/>
    <w:rsid w:val="00DE478E"/>
    <w:rsid w:val="00DE6594"/>
    <w:rsid w:val="00DE776E"/>
    <w:rsid w:val="00DE7C27"/>
    <w:rsid w:val="00DF2B06"/>
    <w:rsid w:val="00DF52A7"/>
    <w:rsid w:val="00DF5E8F"/>
    <w:rsid w:val="00E00A18"/>
    <w:rsid w:val="00E01368"/>
    <w:rsid w:val="00E01F33"/>
    <w:rsid w:val="00E052B0"/>
    <w:rsid w:val="00E0540B"/>
    <w:rsid w:val="00E05EB4"/>
    <w:rsid w:val="00E06033"/>
    <w:rsid w:val="00E07052"/>
    <w:rsid w:val="00E11355"/>
    <w:rsid w:val="00E210F6"/>
    <w:rsid w:val="00E21956"/>
    <w:rsid w:val="00E2229E"/>
    <w:rsid w:val="00E25686"/>
    <w:rsid w:val="00E26A90"/>
    <w:rsid w:val="00E3708E"/>
    <w:rsid w:val="00E40224"/>
    <w:rsid w:val="00E404B4"/>
    <w:rsid w:val="00E40667"/>
    <w:rsid w:val="00E40C46"/>
    <w:rsid w:val="00E431CF"/>
    <w:rsid w:val="00E436B2"/>
    <w:rsid w:val="00E466E1"/>
    <w:rsid w:val="00E509F2"/>
    <w:rsid w:val="00E522F4"/>
    <w:rsid w:val="00E533E8"/>
    <w:rsid w:val="00E541E7"/>
    <w:rsid w:val="00E56225"/>
    <w:rsid w:val="00E5681E"/>
    <w:rsid w:val="00E56BCA"/>
    <w:rsid w:val="00E5765F"/>
    <w:rsid w:val="00E57A74"/>
    <w:rsid w:val="00E605C6"/>
    <w:rsid w:val="00E6063E"/>
    <w:rsid w:val="00E60DE7"/>
    <w:rsid w:val="00E62876"/>
    <w:rsid w:val="00E64132"/>
    <w:rsid w:val="00E64933"/>
    <w:rsid w:val="00E6659F"/>
    <w:rsid w:val="00E67540"/>
    <w:rsid w:val="00E6788A"/>
    <w:rsid w:val="00E67CB5"/>
    <w:rsid w:val="00E67F2B"/>
    <w:rsid w:val="00E70948"/>
    <w:rsid w:val="00E70D82"/>
    <w:rsid w:val="00E72218"/>
    <w:rsid w:val="00E733AD"/>
    <w:rsid w:val="00E73B59"/>
    <w:rsid w:val="00E73F17"/>
    <w:rsid w:val="00E73FC7"/>
    <w:rsid w:val="00E741E2"/>
    <w:rsid w:val="00E744D4"/>
    <w:rsid w:val="00E7497B"/>
    <w:rsid w:val="00E805A5"/>
    <w:rsid w:val="00E80990"/>
    <w:rsid w:val="00E80BC4"/>
    <w:rsid w:val="00E81081"/>
    <w:rsid w:val="00E82122"/>
    <w:rsid w:val="00E8241F"/>
    <w:rsid w:val="00E83CCA"/>
    <w:rsid w:val="00E83CE2"/>
    <w:rsid w:val="00E83E15"/>
    <w:rsid w:val="00E8499A"/>
    <w:rsid w:val="00E84EC5"/>
    <w:rsid w:val="00E86398"/>
    <w:rsid w:val="00E91311"/>
    <w:rsid w:val="00E9222C"/>
    <w:rsid w:val="00E9358C"/>
    <w:rsid w:val="00E93CA1"/>
    <w:rsid w:val="00E95040"/>
    <w:rsid w:val="00E96036"/>
    <w:rsid w:val="00E97339"/>
    <w:rsid w:val="00EA07E8"/>
    <w:rsid w:val="00EA160F"/>
    <w:rsid w:val="00EA218E"/>
    <w:rsid w:val="00EA41FC"/>
    <w:rsid w:val="00EA45C1"/>
    <w:rsid w:val="00EA4777"/>
    <w:rsid w:val="00EA5151"/>
    <w:rsid w:val="00EA51E4"/>
    <w:rsid w:val="00EA662B"/>
    <w:rsid w:val="00EA774F"/>
    <w:rsid w:val="00EA7AD7"/>
    <w:rsid w:val="00EB0013"/>
    <w:rsid w:val="00EB07D9"/>
    <w:rsid w:val="00EB0C2A"/>
    <w:rsid w:val="00EB20EA"/>
    <w:rsid w:val="00EB2BD3"/>
    <w:rsid w:val="00EB5347"/>
    <w:rsid w:val="00EB59E7"/>
    <w:rsid w:val="00EB5C25"/>
    <w:rsid w:val="00EC13D3"/>
    <w:rsid w:val="00EC1B99"/>
    <w:rsid w:val="00EC2806"/>
    <w:rsid w:val="00EC39BE"/>
    <w:rsid w:val="00EC6C1F"/>
    <w:rsid w:val="00EC6CE3"/>
    <w:rsid w:val="00EC7D55"/>
    <w:rsid w:val="00ED00EA"/>
    <w:rsid w:val="00ED14CE"/>
    <w:rsid w:val="00ED2971"/>
    <w:rsid w:val="00ED337F"/>
    <w:rsid w:val="00ED4276"/>
    <w:rsid w:val="00ED4385"/>
    <w:rsid w:val="00ED4C7C"/>
    <w:rsid w:val="00ED56B6"/>
    <w:rsid w:val="00ED6B67"/>
    <w:rsid w:val="00ED729A"/>
    <w:rsid w:val="00ED7DAB"/>
    <w:rsid w:val="00ED7E06"/>
    <w:rsid w:val="00EE0F17"/>
    <w:rsid w:val="00EE1DFF"/>
    <w:rsid w:val="00EE1F1F"/>
    <w:rsid w:val="00EE2441"/>
    <w:rsid w:val="00EE31AF"/>
    <w:rsid w:val="00EE33D2"/>
    <w:rsid w:val="00EE37F4"/>
    <w:rsid w:val="00EE389D"/>
    <w:rsid w:val="00EE3CBE"/>
    <w:rsid w:val="00EE411F"/>
    <w:rsid w:val="00EE4ADB"/>
    <w:rsid w:val="00EE5714"/>
    <w:rsid w:val="00EE5DAE"/>
    <w:rsid w:val="00EE6043"/>
    <w:rsid w:val="00EE6A1D"/>
    <w:rsid w:val="00EE793C"/>
    <w:rsid w:val="00EF2FD2"/>
    <w:rsid w:val="00EF35AA"/>
    <w:rsid w:val="00EF3FBB"/>
    <w:rsid w:val="00EF7C3B"/>
    <w:rsid w:val="00F00569"/>
    <w:rsid w:val="00F01F5A"/>
    <w:rsid w:val="00F0327A"/>
    <w:rsid w:val="00F03EAF"/>
    <w:rsid w:val="00F05A4E"/>
    <w:rsid w:val="00F05EFC"/>
    <w:rsid w:val="00F06E54"/>
    <w:rsid w:val="00F078BF"/>
    <w:rsid w:val="00F10514"/>
    <w:rsid w:val="00F12E63"/>
    <w:rsid w:val="00F14300"/>
    <w:rsid w:val="00F155FE"/>
    <w:rsid w:val="00F201B8"/>
    <w:rsid w:val="00F21153"/>
    <w:rsid w:val="00F22A5D"/>
    <w:rsid w:val="00F22D9F"/>
    <w:rsid w:val="00F23B63"/>
    <w:rsid w:val="00F24108"/>
    <w:rsid w:val="00F24CE4"/>
    <w:rsid w:val="00F26007"/>
    <w:rsid w:val="00F265C4"/>
    <w:rsid w:val="00F27176"/>
    <w:rsid w:val="00F2797E"/>
    <w:rsid w:val="00F30CC5"/>
    <w:rsid w:val="00F3264A"/>
    <w:rsid w:val="00F3272A"/>
    <w:rsid w:val="00F329F0"/>
    <w:rsid w:val="00F36CF2"/>
    <w:rsid w:val="00F379FB"/>
    <w:rsid w:val="00F37EB7"/>
    <w:rsid w:val="00F40791"/>
    <w:rsid w:val="00F4221B"/>
    <w:rsid w:val="00F42C97"/>
    <w:rsid w:val="00F42F53"/>
    <w:rsid w:val="00F449F0"/>
    <w:rsid w:val="00F46B8D"/>
    <w:rsid w:val="00F46BBD"/>
    <w:rsid w:val="00F46EBC"/>
    <w:rsid w:val="00F4739B"/>
    <w:rsid w:val="00F47535"/>
    <w:rsid w:val="00F478A8"/>
    <w:rsid w:val="00F50689"/>
    <w:rsid w:val="00F513AA"/>
    <w:rsid w:val="00F51994"/>
    <w:rsid w:val="00F554B1"/>
    <w:rsid w:val="00F57203"/>
    <w:rsid w:val="00F60A9E"/>
    <w:rsid w:val="00F613A5"/>
    <w:rsid w:val="00F6179E"/>
    <w:rsid w:val="00F63165"/>
    <w:rsid w:val="00F6751E"/>
    <w:rsid w:val="00F67974"/>
    <w:rsid w:val="00F71334"/>
    <w:rsid w:val="00F71E07"/>
    <w:rsid w:val="00F71FB5"/>
    <w:rsid w:val="00F73153"/>
    <w:rsid w:val="00F736D8"/>
    <w:rsid w:val="00F7372B"/>
    <w:rsid w:val="00F746CE"/>
    <w:rsid w:val="00F748C6"/>
    <w:rsid w:val="00F755E7"/>
    <w:rsid w:val="00F758ED"/>
    <w:rsid w:val="00F76DE2"/>
    <w:rsid w:val="00F76DEE"/>
    <w:rsid w:val="00F771B8"/>
    <w:rsid w:val="00F80276"/>
    <w:rsid w:val="00F823ED"/>
    <w:rsid w:val="00F84777"/>
    <w:rsid w:val="00F84BA1"/>
    <w:rsid w:val="00F857A0"/>
    <w:rsid w:val="00F85E2B"/>
    <w:rsid w:val="00F86A88"/>
    <w:rsid w:val="00F90641"/>
    <w:rsid w:val="00F927DA"/>
    <w:rsid w:val="00F948F6"/>
    <w:rsid w:val="00FA0722"/>
    <w:rsid w:val="00FA0FDD"/>
    <w:rsid w:val="00FA3995"/>
    <w:rsid w:val="00FA41A0"/>
    <w:rsid w:val="00FA56DD"/>
    <w:rsid w:val="00FA6116"/>
    <w:rsid w:val="00FA69E9"/>
    <w:rsid w:val="00FA7540"/>
    <w:rsid w:val="00FB01E8"/>
    <w:rsid w:val="00FB24F9"/>
    <w:rsid w:val="00FB2661"/>
    <w:rsid w:val="00FB4B1A"/>
    <w:rsid w:val="00FB5825"/>
    <w:rsid w:val="00FB58DE"/>
    <w:rsid w:val="00FB7182"/>
    <w:rsid w:val="00FC0ABE"/>
    <w:rsid w:val="00FC0BA0"/>
    <w:rsid w:val="00FC1DD9"/>
    <w:rsid w:val="00FC2471"/>
    <w:rsid w:val="00FC26D2"/>
    <w:rsid w:val="00FC2A3D"/>
    <w:rsid w:val="00FC5730"/>
    <w:rsid w:val="00FC57D2"/>
    <w:rsid w:val="00FC6043"/>
    <w:rsid w:val="00FC6138"/>
    <w:rsid w:val="00FC64B3"/>
    <w:rsid w:val="00FC6637"/>
    <w:rsid w:val="00FD1804"/>
    <w:rsid w:val="00FD39FD"/>
    <w:rsid w:val="00FD4050"/>
    <w:rsid w:val="00FD599E"/>
    <w:rsid w:val="00FD61A7"/>
    <w:rsid w:val="00FD702D"/>
    <w:rsid w:val="00FD76F7"/>
    <w:rsid w:val="00FE228D"/>
    <w:rsid w:val="00FE32AA"/>
    <w:rsid w:val="00FE351D"/>
    <w:rsid w:val="00FE4DFB"/>
    <w:rsid w:val="00FE6D17"/>
    <w:rsid w:val="00FF012B"/>
    <w:rsid w:val="00FF028F"/>
    <w:rsid w:val="00FF0834"/>
    <w:rsid w:val="00FF18C3"/>
    <w:rsid w:val="00FF1AE3"/>
    <w:rsid w:val="00FF3EAF"/>
    <w:rsid w:val="00FF49F0"/>
    <w:rsid w:val="00FF4D63"/>
    <w:rsid w:val="00FF5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unhideWhenUsed="1" w:qFormat="1"/>
    <w:lsdException w:name="header" w:unhideWhenUsed="1"/>
    <w:lsdException w:name="footer" w:unhideWhenUsed="1"/>
    <w:lsdException w:name="caption" w:uiPriority="35" w:qFormat="1"/>
    <w:lsdException w:name="footnote reference" w:unhideWhenUsed="1" w:qFormat="1"/>
    <w:lsdException w:name="toa heading" w:unhideWhenUsed="1"/>
    <w:lsdException w:name="Title" w:uiPriority="10" w:unhideWhenUsed="1"/>
    <w:lsdException w:name="Default Paragraph Font" w:locked="0" w:uiPriority="1" w:unhideWhenUsed="1"/>
    <w:lsdException w:name="Subtitle" w:uiPriority="11" w:unhideWhenUsed="1"/>
    <w:lsdException w:name="Hyperlink" w:unhideWhenUsed="1"/>
    <w:lsdException w:name="Strong" w:uiPriority="22" w:unhideWhenUsed="1"/>
    <w:lsdException w:name="Emphasis" w:uiPriority="20"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2"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lsdException w:name="Quote" w:semiHidden="0" w:uiPriority="29"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unhideWhenUsed/>
    <w:qFormat/>
    <w:rsid w:val="00412CE3"/>
    <w:pPr>
      <w:spacing w:after="240" w:line="240" w:lineRule="auto"/>
    </w:pPr>
    <w:rPr>
      <w:rFonts w:ascii="Arial" w:hAnsi="Arial"/>
      <w:sz w:val="20"/>
    </w:rPr>
  </w:style>
  <w:style w:type="paragraph" w:styleId="Heading1">
    <w:name w:val="heading 1"/>
    <w:basedOn w:val="HeadingLevel1"/>
    <w:next w:val="Normal"/>
    <w:link w:val="Heading1Char"/>
    <w:uiPriority w:val="9"/>
    <w:semiHidden/>
    <w:locked/>
    <w:rsid w:val="005F008F"/>
  </w:style>
  <w:style w:type="paragraph" w:styleId="Heading2">
    <w:name w:val="heading 2"/>
    <w:basedOn w:val="HeadingLevel2"/>
    <w:next w:val="Normal"/>
    <w:link w:val="Heading2Char"/>
    <w:uiPriority w:val="9"/>
    <w:semiHidden/>
    <w:locked/>
    <w:rsid w:val="005F008F"/>
    <w:pPr>
      <w:numPr>
        <w:numId w:val="4"/>
      </w:numPr>
    </w:pPr>
  </w:style>
  <w:style w:type="paragraph" w:styleId="Heading3">
    <w:name w:val="heading 3"/>
    <w:basedOn w:val="HeadingLevel3"/>
    <w:next w:val="Normal"/>
    <w:link w:val="Heading3Char"/>
    <w:uiPriority w:val="9"/>
    <w:semiHidden/>
    <w:qFormat/>
    <w:locked/>
    <w:rsid w:val="005F008F"/>
    <w:pPr>
      <w:numPr>
        <w:numId w:val="4"/>
      </w:numPr>
    </w:pPr>
  </w:style>
  <w:style w:type="paragraph" w:styleId="Heading4">
    <w:name w:val="heading 4"/>
    <w:basedOn w:val="Normal"/>
    <w:next w:val="Normal"/>
    <w:link w:val="Heading4Char"/>
    <w:uiPriority w:val="9"/>
    <w:semiHidden/>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unhideWhenUsed/>
    <w:qFormat/>
    <w:locked/>
    <w:rsid w:val="00BA7D3B"/>
    <w:pPr>
      <w:pageBreakBefore/>
      <w:numPr>
        <w:numId w:val="3"/>
      </w:numPr>
      <w:spacing w:before="360" w:after="360" w:line="240" w:lineRule="auto"/>
      <w:outlineLvl w:val="0"/>
    </w:pPr>
    <w:rPr>
      <w:rFonts w:ascii="Arial" w:eastAsiaTheme="majorEastAsia" w:hAnsi="Arial" w:cstheme="majorBidi"/>
      <w:b/>
      <w:bCs/>
      <w:color w:val="002060"/>
      <w:sz w:val="36"/>
      <w:szCs w:val="28"/>
    </w:rPr>
  </w:style>
  <w:style w:type="character" w:customStyle="1" w:styleId="Heading1Char">
    <w:name w:val="Heading 1 Char"/>
    <w:basedOn w:val="DefaultParagraphFont"/>
    <w:link w:val="Heading1"/>
    <w:uiPriority w:val="9"/>
    <w:semiHidden/>
    <w:rsid w:val="00692055"/>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unhideWhenUsed/>
    <w:qFormat/>
    <w:locked/>
    <w:rsid w:val="00706893"/>
    <w:pPr>
      <w:keepNext/>
      <w:pageBreakBefore w:val="0"/>
      <w:numPr>
        <w:ilvl w:val="1"/>
      </w:numPr>
      <w:spacing w:before="240" w:after="240"/>
      <w:outlineLvl w:val="1"/>
    </w:pPr>
    <w:rPr>
      <w:bCs w:val="0"/>
      <w:sz w:val="32"/>
    </w:rPr>
  </w:style>
  <w:style w:type="character" w:customStyle="1" w:styleId="Heading2Char">
    <w:name w:val="Heading 2 Char"/>
    <w:basedOn w:val="DefaultParagraphFont"/>
    <w:link w:val="Heading2"/>
    <w:uiPriority w:val="9"/>
    <w:semiHidden/>
    <w:rsid w:val="00692055"/>
    <w:rPr>
      <w:rFonts w:ascii="Arial" w:eastAsiaTheme="majorEastAsia" w:hAnsi="Arial" w:cstheme="majorBidi"/>
      <w:b/>
      <w:color w:val="002060"/>
      <w:sz w:val="32"/>
      <w:szCs w:val="28"/>
    </w:rPr>
  </w:style>
  <w:style w:type="paragraph" w:customStyle="1" w:styleId="HeadingLevel3">
    <w:name w:val="Heading Level 3"/>
    <w:basedOn w:val="HeadingLevel2"/>
    <w:next w:val="Normal"/>
    <w:autoRedefine/>
    <w:uiPriority w:val="1"/>
    <w:unhideWhenUsed/>
    <w:qFormat/>
    <w:locked/>
    <w:rsid w:val="00916306"/>
    <w:pPr>
      <w:numPr>
        <w:ilvl w:val="2"/>
      </w:numPr>
      <w:spacing w:before="0"/>
      <w:outlineLvl w:val="2"/>
    </w:pPr>
    <w:rPr>
      <w:bCs/>
      <w:sz w:val="28"/>
    </w:rPr>
  </w:style>
  <w:style w:type="character" w:customStyle="1" w:styleId="Heading3Char">
    <w:name w:val="Heading 3 Char"/>
    <w:basedOn w:val="DefaultParagraphFont"/>
    <w:link w:val="Heading3"/>
    <w:uiPriority w:val="9"/>
    <w:semiHidden/>
    <w:rsid w:val="00692055"/>
    <w:rPr>
      <w:rFonts w:ascii="Arial" w:eastAsiaTheme="majorEastAsia" w:hAnsi="Arial" w:cstheme="majorBidi"/>
      <w:b/>
      <w:bCs/>
      <w:color w:val="002060"/>
      <w:sz w:val="28"/>
      <w:szCs w:val="28"/>
    </w:rPr>
  </w:style>
  <w:style w:type="paragraph" w:customStyle="1" w:styleId="ACCCreporttitle1">
    <w:name w:val="ACCC report title 1"/>
    <w:autoRedefine/>
    <w:uiPriority w:val="11"/>
    <w:semiHidden/>
    <w:locked/>
    <w:rsid w:val="005B3E92"/>
    <w:pPr>
      <w:spacing w:before="4200" w:after="480" w:line="240" w:lineRule="auto"/>
      <w:contextualSpacing/>
      <w:jc w:val="center"/>
    </w:pPr>
    <w:rPr>
      <w:rFonts w:ascii="Arial" w:eastAsia="Times New Roman" w:hAnsi="Arial" w:cs="Times New Roman"/>
      <w:b/>
      <w:bCs/>
      <w:sz w:val="32"/>
      <w:szCs w:val="32"/>
      <w:lang w:eastAsia="en-AU"/>
    </w:rPr>
  </w:style>
  <w:style w:type="paragraph" w:customStyle="1" w:styleId="ACCCreportdate">
    <w:name w:val="ACCC report date"/>
    <w:basedOn w:val="ACCCreporttitle1"/>
    <w:autoRedefine/>
    <w:uiPriority w:val="11"/>
    <w:semiHidden/>
    <w:locked/>
    <w:rsid w:val="00E40C46"/>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3B74EA"/>
    <w:pPr>
      <w:tabs>
        <w:tab w:val="left" w:pos="3402"/>
      </w:tabs>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unhideWhenUsed/>
    <w:qFormat/>
    <w:locked/>
    <w:rsid w:val="00823292"/>
    <w:pPr>
      <w:numPr>
        <w:ilvl w:val="3"/>
      </w:numPr>
      <w:outlineLvl w:val="3"/>
    </w:pPr>
    <w:rPr>
      <w:bCs w:val="0"/>
      <w:sz w:val="24"/>
    </w:rPr>
  </w:style>
  <w:style w:type="paragraph" w:customStyle="1" w:styleId="Bulleta">
    <w:name w:val="Bullet a"/>
    <w:basedOn w:val="Normal"/>
    <w:autoRedefine/>
    <w:uiPriority w:val="3"/>
    <w:unhideWhenUsed/>
    <w:qFormat/>
    <w:locked/>
    <w:rsid w:val="00581993"/>
    <w:pPr>
      <w:numPr>
        <w:numId w:val="24"/>
      </w:numPr>
      <w:spacing w:before="120"/>
    </w:pPr>
  </w:style>
  <w:style w:type="paragraph" w:customStyle="1" w:styleId="Bulletb">
    <w:name w:val="Bullet b"/>
    <w:basedOn w:val="Bulleta"/>
    <w:autoRedefine/>
    <w:uiPriority w:val="3"/>
    <w:unhideWhenUsed/>
    <w:qFormat/>
    <w:locked/>
    <w:rsid w:val="00DE0656"/>
    <w:pPr>
      <w:numPr>
        <w:ilvl w:val="1"/>
        <w:numId w:val="1"/>
      </w:numPr>
      <w:spacing w:after="120"/>
    </w:pPr>
  </w:style>
  <w:style w:type="table" w:styleId="TableGrid">
    <w:name w:val="Table Grid"/>
    <w:aliases w:val="ACCC Table"/>
    <w:basedOn w:val="TableNormal"/>
    <w:locked/>
    <w:rsid w:val="008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4source">
    <w:name w:val="Table/Figure 4 source"/>
    <w:basedOn w:val="Table2Text"/>
    <w:uiPriority w:val="5"/>
    <w:unhideWhenUsed/>
    <w:locked/>
    <w:rsid w:val="009450BA"/>
    <w:pPr>
      <w:spacing w:before="240"/>
      <w:ind w:left="567"/>
    </w:pPr>
  </w:style>
  <w:style w:type="paragraph" w:customStyle="1" w:styleId="Table2Text">
    <w:name w:val="Table 2 Text"/>
    <w:basedOn w:val="Normal"/>
    <w:next w:val="Normal"/>
    <w:autoRedefine/>
    <w:uiPriority w:val="5"/>
    <w:unhideWhenUsed/>
    <w:qFormat/>
    <w:locked/>
    <w:rsid w:val="006F673B"/>
    <w:pPr>
      <w:jc w:val="center"/>
    </w:pPr>
    <w:rPr>
      <w:sz w:val="18"/>
      <w:szCs w:val="18"/>
    </w:rPr>
  </w:style>
  <w:style w:type="paragraph" w:customStyle="1" w:styleId="Table1Boldedtext">
    <w:name w:val="Table 1 Bolded text"/>
    <w:basedOn w:val="Normal"/>
    <w:autoRedefine/>
    <w:uiPriority w:val="5"/>
    <w:unhideWhenUsed/>
    <w:locked/>
    <w:rsid w:val="00C14FDD"/>
    <w:pPr>
      <w:spacing w:before="120" w:after="120"/>
    </w:pPr>
    <w:rPr>
      <w:b/>
      <w:sz w:val="18"/>
    </w:rPr>
  </w:style>
  <w:style w:type="paragraph" w:customStyle="1" w:styleId="Table3bullet">
    <w:name w:val="Table 3 bullet"/>
    <w:basedOn w:val="Normal"/>
    <w:autoRedefine/>
    <w:uiPriority w:val="5"/>
    <w:unhideWhenUsed/>
    <w:locked/>
    <w:rsid w:val="00C14FDD"/>
    <w:pPr>
      <w:numPr>
        <w:numId w:val="2"/>
      </w:numPr>
      <w:spacing w:before="120" w:after="120"/>
      <w:ind w:left="357" w:hanging="357"/>
    </w:pPr>
    <w:rPr>
      <w:sz w:val="18"/>
    </w:rPr>
  </w:style>
  <w:style w:type="paragraph" w:styleId="Quote">
    <w:name w:val="Quote"/>
    <w:basedOn w:val="Normal"/>
    <w:next w:val="Normal"/>
    <w:link w:val="QuoteChar"/>
    <w:autoRedefine/>
    <w:uiPriority w:val="2"/>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
    <w:rsid w:val="00692055"/>
    <w:rPr>
      <w:rFonts w:ascii="Arial" w:hAnsi="Arial"/>
      <w:iCs/>
      <w:color w:val="000000" w:themeColor="text1"/>
      <w:sz w:val="17"/>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lock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692055"/>
    <w:rPr>
      <w:rFonts w:ascii="Arial" w:hAnsi="Arial"/>
      <w:sz w:val="17"/>
      <w:szCs w:val="20"/>
    </w:rPr>
  </w:style>
  <w:style w:type="character" w:styleId="FootnoteReference">
    <w:name w:val="footnote reference"/>
    <w:aliases w:val="(NECG) Footnote Reference,(NECG) Footnote Reference1,(NECG) Footnote Reference2,o,Style 3,Style 12,fr,Appel note de bas de p,Style 124,Appel n,Style 6 + 12 pt,Footnote Reference 1,(NECG) Footnote Reference3,(NECG) Footnote Reference4"/>
    <w:basedOn w:val="DefaultParagraphFont"/>
    <w:uiPriority w:val="99"/>
    <w:qFormat/>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numPr>
        <w:numId w:val="0"/>
      </w:numPr>
      <w:tabs>
        <w:tab w:val="num" w:pos="958"/>
      </w:tabs>
      <w:ind w:left="958" w:hanging="958"/>
    </w:pPr>
  </w:style>
  <w:style w:type="paragraph" w:styleId="TOC1">
    <w:name w:val="toc 1"/>
    <w:basedOn w:val="Normal"/>
    <w:next w:val="Normal"/>
    <w:autoRedefine/>
    <w:uiPriority w:val="39"/>
    <w:locked/>
    <w:rsid w:val="00E91311"/>
    <w:pPr>
      <w:tabs>
        <w:tab w:val="left" w:pos="426"/>
        <w:tab w:val="right" w:leader="dot" w:pos="8438"/>
      </w:tabs>
      <w:spacing w:before="240"/>
    </w:pPr>
    <w:rPr>
      <w:b/>
      <w:noProof/>
    </w:rPr>
  </w:style>
  <w:style w:type="paragraph" w:styleId="TOC2">
    <w:name w:val="toc 2"/>
    <w:basedOn w:val="Normal"/>
    <w:next w:val="Normal"/>
    <w:autoRedefine/>
    <w:uiPriority w:val="39"/>
    <w:locked/>
    <w:rsid w:val="00A20E5A"/>
    <w:pPr>
      <w:tabs>
        <w:tab w:val="left" w:pos="880"/>
        <w:tab w:val="right" w:leader="dot" w:pos="8438"/>
      </w:tabs>
      <w:spacing w:after="100"/>
      <w:ind w:left="426"/>
    </w:pPr>
    <w:rPr>
      <w:noProof/>
    </w:rPr>
  </w:style>
  <w:style w:type="character" w:styleId="Hyperlink">
    <w:name w:val="Hyperlink"/>
    <w:basedOn w:val="DefaultParagraphFont"/>
    <w:uiPriority w:val="99"/>
    <w:locked/>
    <w:rsid w:val="00A20E5A"/>
    <w:rPr>
      <w:color w:val="0000FF" w:themeColor="hyperlink"/>
      <w:u w:val="single"/>
    </w:rPr>
  </w:style>
  <w:style w:type="paragraph" w:styleId="ListParagraph">
    <w:name w:val="List Paragraph"/>
    <w:basedOn w:val="Normal"/>
    <w:uiPriority w:val="34"/>
    <w:semiHidden/>
    <w:locked/>
    <w:rsid w:val="00FC6637"/>
    <w:pPr>
      <w:ind w:left="720"/>
      <w:contextualSpacing/>
    </w:pPr>
  </w:style>
  <w:style w:type="paragraph" w:customStyle="1" w:styleId="HeadingLevel8table">
    <w:name w:val="Heading Level 8 (table)"/>
    <w:basedOn w:val="HeadingLevel6"/>
    <w:next w:val="Normal"/>
    <w:autoRedefine/>
    <w:uiPriority w:val="1"/>
    <w:qFormat/>
    <w:locked/>
    <w:rsid w:val="00EA51E4"/>
    <w:pPr>
      <w:numPr>
        <w:ilvl w:val="7"/>
      </w:numPr>
      <w:outlineLvl w:val="9"/>
    </w:pPr>
    <w:rPr>
      <w:b/>
      <w:bCs w:val="0"/>
      <w:i w:val="0"/>
      <w:sz w:val="20"/>
    </w:rPr>
  </w:style>
  <w:style w:type="paragraph" w:customStyle="1" w:styleId="Non-numberedtabletitle">
    <w:name w:val="Non-numbered table title"/>
    <w:basedOn w:val="HeadingLevel8table"/>
    <w:next w:val="Normal"/>
    <w:uiPriority w:val="3"/>
    <w:semiHidden/>
    <w:locked/>
    <w:rsid w:val="00FC6637"/>
    <w:pPr>
      <w:numPr>
        <w:ilvl w:val="0"/>
        <w:numId w:val="0"/>
      </w:numPr>
    </w:pPr>
  </w:style>
  <w:style w:type="paragraph" w:customStyle="1" w:styleId="AppendixLevel5figure">
    <w:name w:val="Appendix Level 5 (figure)"/>
    <w:basedOn w:val="AppendixLevel4"/>
    <w:next w:val="Normal"/>
    <w:uiPriority w:val="6"/>
    <w:unhideWhenUsed/>
    <w:qFormat/>
    <w:locked/>
    <w:rsid w:val="00823292"/>
    <w:pPr>
      <w:numPr>
        <w:ilvl w:val="4"/>
      </w:numPr>
      <w:ind w:left="0" w:firstLine="0"/>
      <w:outlineLvl w:val="9"/>
    </w:pPr>
    <w:rPr>
      <w:sz w:val="20"/>
    </w:rPr>
  </w:style>
  <w:style w:type="paragraph" w:customStyle="1" w:styleId="HeadingLevel5">
    <w:name w:val="Heading Level 5"/>
    <w:basedOn w:val="HeadingLevel4"/>
    <w:next w:val="Normal"/>
    <w:uiPriority w:val="1"/>
    <w:unhideWhenUsed/>
    <w:qFormat/>
    <w:locked/>
    <w:rsid w:val="00412CE3"/>
    <w:pPr>
      <w:numPr>
        <w:ilvl w:val="4"/>
      </w:numPr>
      <w:outlineLvl w:val="4"/>
    </w:pPr>
    <w:rPr>
      <w:bCs/>
      <w:i/>
    </w:rPr>
  </w:style>
  <w:style w:type="paragraph" w:customStyle="1" w:styleId="HeadingLevel6">
    <w:name w:val="Heading Level 6"/>
    <w:basedOn w:val="HeadingLevel5"/>
    <w:next w:val="Normal"/>
    <w:uiPriority w:val="1"/>
    <w:unhideWhenUsed/>
    <w:qFormat/>
    <w:locked/>
    <w:rsid w:val="00093B20"/>
    <w:pPr>
      <w:numPr>
        <w:ilvl w:val="5"/>
      </w:numPr>
      <w:outlineLvl w:val="5"/>
    </w:pPr>
    <w:rPr>
      <w:b w:val="0"/>
    </w:rPr>
  </w:style>
  <w:style w:type="paragraph" w:styleId="TOCHeading">
    <w:name w:val="TOC Heading"/>
    <w:basedOn w:val="Heading1"/>
    <w:next w:val="Normal"/>
    <w:uiPriority w:val="39"/>
    <w:semiHidden/>
    <w:qFormat/>
    <w:locked/>
    <w:rsid w:val="00FA0722"/>
    <w:pPr>
      <w:keepNext/>
      <w:keepLines/>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semiHidden/>
    <w:locked/>
    <w:rsid w:val="00FA0722"/>
    <w:pPr>
      <w:spacing w:after="100"/>
      <w:ind w:left="400"/>
    </w:pPr>
  </w:style>
  <w:style w:type="paragraph" w:customStyle="1" w:styleId="AppendixLevel1">
    <w:name w:val="Appendix Level 1"/>
    <w:basedOn w:val="Normal"/>
    <w:next w:val="Normal"/>
    <w:autoRedefine/>
    <w:uiPriority w:val="6"/>
    <w:unhideWhenUsed/>
    <w:qFormat/>
    <w:locked/>
    <w:rsid w:val="00220F05"/>
    <w:pPr>
      <w:pageBreakBefore/>
      <w:numPr>
        <w:numId w:val="5"/>
      </w:numPr>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E06033"/>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3A770E"/>
    <w:pPr>
      <w:numPr>
        <w:ilvl w:val="3"/>
      </w:numPr>
      <w:outlineLvl w:val="3"/>
    </w:pPr>
    <w:rPr>
      <w:bCs w:val="0"/>
      <w:sz w:val="24"/>
    </w:rPr>
  </w:style>
  <w:style w:type="character" w:customStyle="1" w:styleId="Heading4Char">
    <w:name w:val="Heading 4 Char"/>
    <w:basedOn w:val="DefaultParagraphFont"/>
    <w:link w:val="Heading4"/>
    <w:uiPriority w:val="9"/>
    <w:semiHidden/>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locked/>
    <w:rsid w:val="00823292"/>
    <w:pPr>
      <w:tabs>
        <w:tab w:val="center" w:pos="4513"/>
        <w:tab w:val="right" w:pos="9026"/>
      </w:tabs>
      <w:spacing w:after="0"/>
    </w:pPr>
  </w:style>
  <w:style w:type="character" w:customStyle="1" w:styleId="HeaderChar">
    <w:name w:val="Header Char"/>
    <w:basedOn w:val="DefaultParagraphFont"/>
    <w:link w:val="Header"/>
    <w:uiPriority w:val="99"/>
    <w:semiHidden/>
    <w:rsid w:val="00692055"/>
    <w:rPr>
      <w:rFonts w:ascii="Arial" w:hAnsi="Arial"/>
      <w:sz w:val="20"/>
    </w:rPr>
  </w:style>
  <w:style w:type="paragraph" w:styleId="Footer">
    <w:name w:val="footer"/>
    <w:basedOn w:val="Normal"/>
    <w:link w:val="FooterChar"/>
    <w:uiPriority w:val="99"/>
    <w:locked/>
    <w:rsid w:val="00823292"/>
    <w:pPr>
      <w:tabs>
        <w:tab w:val="center" w:pos="4513"/>
        <w:tab w:val="right" w:pos="9026"/>
      </w:tabs>
      <w:spacing w:after="0"/>
    </w:pPr>
  </w:style>
  <w:style w:type="character" w:customStyle="1" w:styleId="FooterChar">
    <w:name w:val="Footer Char"/>
    <w:basedOn w:val="DefaultParagraphFont"/>
    <w:link w:val="Footer"/>
    <w:uiPriority w:val="99"/>
    <w:rsid w:val="00692055"/>
    <w:rPr>
      <w:rFonts w:ascii="Arial" w:hAnsi="Arial"/>
      <w:sz w:val="20"/>
    </w:rPr>
  </w:style>
  <w:style w:type="paragraph" w:styleId="ListBullet">
    <w:name w:val="List Bullet"/>
    <w:basedOn w:val="Bulleta"/>
    <w:uiPriority w:val="99"/>
    <w:semiHidden/>
    <w:locked/>
    <w:rsid w:val="009C55E3"/>
  </w:style>
  <w:style w:type="table" w:customStyle="1" w:styleId="TableGrid1">
    <w:name w:val="Table Grid1"/>
    <w:basedOn w:val="TableNormal"/>
    <w:next w:val="TableGrid"/>
    <w:uiPriority w:val="59"/>
    <w:locked/>
    <w:rsid w:val="0033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7figure">
    <w:name w:val="Heading Level 7 (figure)"/>
    <w:basedOn w:val="HeadingLevel8table"/>
    <w:next w:val="Normal"/>
    <w:uiPriority w:val="1"/>
    <w:qFormat/>
    <w:locked/>
    <w:rsid w:val="00325718"/>
    <w:pPr>
      <w:numPr>
        <w:ilvl w:val="6"/>
      </w:numPr>
    </w:pPr>
  </w:style>
  <w:style w:type="paragraph" w:customStyle="1" w:styleId="AppendixLevel6table">
    <w:name w:val="Appendix Level 6 (table)"/>
    <w:basedOn w:val="AppendixLevel5figure"/>
    <w:next w:val="Normal"/>
    <w:uiPriority w:val="6"/>
    <w:qFormat/>
    <w:locked/>
    <w:rsid w:val="005F7FA1"/>
    <w:pPr>
      <w:numPr>
        <w:ilvl w:val="5"/>
      </w:numPr>
      <w:ind w:left="0" w:firstLine="0"/>
    </w:pPr>
  </w:style>
  <w:style w:type="paragraph" w:customStyle="1" w:styleId="Non-NumberedStyle">
    <w:name w:val="Non-Numbered Style"/>
    <w:basedOn w:val="HeadingLevel1"/>
    <w:next w:val="Normal"/>
    <w:semiHidden/>
    <w:qFormat/>
    <w:rsid w:val="00E91311"/>
    <w:pPr>
      <w:numPr>
        <w:numId w:val="0"/>
      </w:numPr>
      <w:outlineLvl w:val="9"/>
    </w:pPr>
  </w:style>
  <w:style w:type="character" w:styleId="CommentReference">
    <w:name w:val="annotation reference"/>
    <w:basedOn w:val="DefaultParagraphFont"/>
    <w:uiPriority w:val="99"/>
    <w:semiHidden/>
    <w:locked/>
    <w:rsid w:val="00962322"/>
    <w:rPr>
      <w:sz w:val="16"/>
      <w:szCs w:val="16"/>
    </w:rPr>
  </w:style>
  <w:style w:type="paragraph" w:styleId="CommentText">
    <w:name w:val="annotation text"/>
    <w:basedOn w:val="Normal"/>
    <w:link w:val="CommentTextChar"/>
    <w:uiPriority w:val="99"/>
    <w:semiHidden/>
    <w:locked/>
    <w:rsid w:val="00962322"/>
    <w:rPr>
      <w:szCs w:val="20"/>
    </w:rPr>
  </w:style>
  <w:style w:type="character" w:customStyle="1" w:styleId="CommentTextChar">
    <w:name w:val="Comment Text Char"/>
    <w:basedOn w:val="DefaultParagraphFont"/>
    <w:link w:val="CommentText"/>
    <w:uiPriority w:val="99"/>
    <w:semiHidden/>
    <w:rsid w:val="00962322"/>
    <w:rPr>
      <w:rFonts w:ascii="Arial" w:hAnsi="Arial"/>
      <w:sz w:val="20"/>
      <w:szCs w:val="20"/>
    </w:rPr>
  </w:style>
  <w:style w:type="paragraph" w:styleId="CommentSubject">
    <w:name w:val="annotation subject"/>
    <w:basedOn w:val="CommentText"/>
    <w:next w:val="CommentText"/>
    <w:link w:val="CommentSubjectChar"/>
    <w:uiPriority w:val="99"/>
    <w:semiHidden/>
    <w:locked/>
    <w:rsid w:val="00962322"/>
    <w:rPr>
      <w:b/>
      <w:bCs/>
    </w:rPr>
  </w:style>
  <w:style w:type="character" w:customStyle="1" w:styleId="CommentSubjectChar">
    <w:name w:val="Comment Subject Char"/>
    <w:basedOn w:val="CommentTextChar"/>
    <w:link w:val="CommentSubject"/>
    <w:uiPriority w:val="99"/>
    <w:semiHidden/>
    <w:rsid w:val="00962322"/>
    <w:rPr>
      <w:rFonts w:ascii="Arial" w:hAnsi="Arial"/>
      <w:b/>
      <w:bCs/>
      <w:sz w:val="20"/>
      <w:szCs w:val="20"/>
    </w:rPr>
  </w:style>
  <w:style w:type="paragraph" w:customStyle="1" w:styleId="Copyrighttext">
    <w:name w:val="Copyright text"/>
    <w:basedOn w:val="Normal"/>
    <w:link w:val="CopyrighttextChar"/>
    <w:uiPriority w:val="2"/>
    <w:qFormat/>
    <w:rsid w:val="004346BF"/>
    <w:pPr>
      <w:spacing w:before="200" w:after="0" w:line="360" w:lineRule="auto"/>
      <w:contextualSpacing/>
    </w:pPr>
    <w:rPr>
      <w:color w:val="4F81BD" w:themeColor="accent1"/>
      <w:sz w:val="16"/>
      <w:szCs w:val="16"/>
    </w:rPr>
  </w:style>
  <w:style w:type="character" w:customStyle="1" w:styleId="CopyrighttextChar">
    <w:name w:val="Copyright text Char"/>
    <w:basedOn w:val="DefaultParagraphFont"/>
    <w:link w:val="Copyrighttext"/>
    <w:uiPriority w:val="2"/>
    <w:rsid w:val="004346BF"/>
    <w:rPr>
      <w:rFonts w:ascii="Arial" w:hAnsi="Arial"/>
      <w:color w:val="4F81BD" w:themeColor="accent1"/>
      <w:sz w:val="16"/>
      <w:szCs w:val="16"/>
    </w:rPr>
  </w:style>
  <w:style w:type="paragraph" w:customStyle="1" w:styleId="Default">
    <w:name w:val="Default"/>
    <w:rsid w:val="00CE4A4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03548"/>
    <w:pPr>
      <w:spacing w:after="0" w:line="240" w:lineRule="auto"/>
    </w:pPr>
    <w:rPr>
      <w:rFonts w:ascii="Arial" w:hAnsi="Arial"/>
      <w:sz w:val="20"/>
    </w:rPr>
  </w:style>
  <w:style w:type="table" w:customStyle="1" w:styleId="ACCCTable1">
    <w:name w:val="ACCC Table1"/>
    <w:basedOn w:val="TableNormal"/>
    <w:next w:val="TableGrid"/>
    <w:locked/>
    <w:rsid w:val="00B7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1">
    <w:name w:val="Numbered 1"/>
    <w:basedOn w:val="Heading1"/>
    <w:next w:val="Normal"/>
    <w:qFormat/>
    <w:rsid w:val="00981EC4"/>
    <w:pPr>
      <w:pageBreakBefore w:val="0"/>
      <w:numPr>
        <w:numId w:val="49"/>
      </w:numPr>
      <w:tabs>
        <w:tab w:val="left" w:pos="680"/>
      </w:tabs>
      <w:spacing w:before="240" w:after="0"/>
    </w:pPr>
    <w:rPr>
      <w:color w:val="auto"/>
      <w:sz w:val="24"/>
    </w:rPr>
  </w:style>
  <w:style w:type="paragraph" w:customStyle="1" w:styleId="Numbered11">
    <w:name w:val="Numbered 1.1"/>
    <w:basedOn w:val="Heading2"/>
    <w:next w:val="Normal"/>
    <w:qFormat/>
    <w:rsid w:val="00981EC4"/>
    <w:pPr>
      <w:keepNext w:val="0"/>
      <w:numPr>
        <w:numId w:val="49"/>
      </w:numPr>
      <w:tabs>
        <w:tab w:val="left" w:pos="1021"/>
      </w:tabs>
      <w:spacing w:before="200" w:after="0" w:line="240" w:lineRule="atLeast"/>
    </w:pPr>
    <w:rPr>
      <w:rFonts w:cs="Arial"/>
      <w:b w:val="0"/>
      <w:bCs/>
      <w:color w:val="auto"/>
      <w:sz w:val="22"/>
      <w:szCs w:val="26"/>
    </w:rPr>
  </w:style>
  <w:style w:type="paragraph" w:customStyle="1" w:styleId="Numbered111">
    <w:name w:val="Numbered 1.1.1"/>
    <w:basedOn w:val="Heading3"/>
    <w:next w:val="Normal"/>
    <w:qFormat/>
    <w:rsid w:val="00981EC4"/>
    <w:pPr>
      <w:keepNext w:val="0"/>
      <w:numPr>
        <w:numId w:val="49"/>
      </w:numPr>
      <w:tabs>
        <w:tab w:val="left" w:pos="1361"/>
      </w:tabs>
      <w:spacing w:before="240" w:after="0"/>
      <w:contextualSpacing/>
    </w:pPr>
    <w:rPr>
      <w:i/>
      <w:color w:val="000000" w:themeColor="text1" w:themeShade="BF"/>
      <w:sz w:val="22"/>
      <w:szCs w:val="22"/>
    </w:rPr>
  </w:style>
  <w:style w:type="paragraph" w:customStyle="1" w:styleId="Numbered1111">
    <w:name w:val="Numbered 1.1.1.1"/>
    <w:basedOn w:val="Heading4"/>
    <w:next w:val="Normal"/>
    <w:rsid w:val="00981EC4"/>
    <w:pPr>
      <w:keepNext w:val="0"/>
      <w:keepLines w:val="0"/>
      <w:numPr>
        <w:ilvl w:val="3"/>
        <w:numId w:val="49"/>
      </w:numPr>
      <w:tabs>
        <w:tab w:val="left" w:pos="1361"/>
      </w:tabs>
      <w:spacing w:before="240"/>
    </w:pPr>
    <w:rPr>
      <w:rFonts w:ascii="Arial" w:hAnsi="Arial"/>
      <w:color w:val="51626F"/>
      <w:sz w:val="22"/>
    </w:rPr>
  </w:style>
  <w:style w:type="paragraph" w:customStyle="1" w:styleId="Numbered11111">
    <w:name w:val="Numbered 1.1.1.1.1"/>
    <w:basedOn w:val="Heading5"/>
    <w:next w:val="Normal"/>
    <w:uiPriority w:val="2"/>
    <w:rsid w:val="00981EC4"/>
    <w:pPr>
      <w:keepNext w:val="0"/>
      <w:keepLines w:val="0"/>
      <w:numPr>
        <w:ilvl w:val="4"/>
        <w:numId w:val="49"/>
      </w:numPr>
      <w:tabs>
        <w:tab w:val="left" w:pos="1701"/>
      </w:tabs>
      <w:spacing w:line="240" w:lineRule="atLeast"/>
    </w:pPr>
    <w:rPr>
      <w:rFonts w:ascii="Arial" w:hAnsi="Arial"/>
      <w:b/>
      <w:sz w:val="22"/>
    </w:rPr>
  </w:style>
  <w:style w:type="paragraph" w:customStyle="1" w:styleId="Numbered111111">
    <w:name w:val="Numbered 1.1.1.1.1.1"/>
    <w:basedOn w:val="Heading6"/>
    <w:next w:val="Normal"/>
    <w:uiPriority w:val="2"/>
    <w:rsid w:val="00981EC4"/>
    <w:pPr>
      <w:keepNext w:val="0"/>
      <w:keepLines w:val="0"/>
      <w:numPr>
        <w:ilvl w:val="5"/>
        <w:numId w:val="49"/>
      </w:numPr>
      <w:tabs>
        <w:tab w:val="left" w:pos="1701"/>
      </w:tabs>
      <w:spacing w:before="240"/>
    </w:pPr>
    <w:rPr>
      <w:rFonts w:ascii="Arial" w:hAnsi="Arial"/>
      <w:b/>
      <w:color w:val="auto"/>
      <w:sz w:val="22"/>
    </w:rPr>
  </w:style>
  <w:style w:type="paragraph" w:customStyle="1" w:styleId="Numbered1111111">
    <w:name w:val="Numbered 1.1.1.1.1.1.1"/>
    <w:basedOn w:val="Heading7"/>
    <w:next w:val="Normal"/>
    <w:uiPriority w:val="2"/>
    <w:rsid w:val="00981EC4"/>
    <w:pPr>
      <w:keepNext w:val="0"/>
      <w:keepLines w:val="0"/>
      <w:numPr>
        <w:ilvl w:val="6"/>
        <w:numId w:val="49"/>
      </w:numPr>
      <w:tabs>
        <w:tab w:val="left" w:pos="2041"/>
      </w:tabs>
      <w:spacing w:before="240"/>
    </w:pPr>
    <w:rPr>
      <w:rFonts w:ascii="Arial" w:hAnsi="Arial"/>
      <w:sz w:val="22"/>
    </w:rPr>
  </w:style>
  <w:style w:type="paragraph" w:customStyle="1" w:styleId="Numbered11111111">
    <w:name w:val="Numbered 1.1.1.1.1.1.1.1"/>
    <w:basedOn w:val="Heading8"/>
    <w:next w:val="Normal"/>
    <w:uiPriority w:val="2"/>
    <w:rsid w:val="00981EC4"/>
    <w:pPr>
      <w:keepNext w:val="0"/>
      <w:keepLines w:val="0"/>
      <w:numPr>
        <w:ilvl w:val="7"/>
        <w:numId w:val="49"/>
      </w:numPr>
      <w:tabs>
        <w:tab w:val="left" w:pos="2041"/>
      </w:tabs>
      <w:spacing w:before="240"/>
    </w:pPr>
    <w:rPr>
      <w:rFonts w:ascii="Arial" w:hAnsi="Arial"/>
      <w:color w:val="4F81BD" w:themeColor="accent1"/>
      <w:sz w:val="22"/>
    </w:rPr>
  </w:style>
  <w:style w:type="paragraph" w:customStyle="1" w:styleId="Numbered111111111">
    <w:name w:val="Numbered 1.1.1.1.1.1.1.1.1"/>
    <w:basedOn w:val="Heading9"/>
    <w:next w:val="Normal"/>
    <w:uiPriority w:val="2"/>
    <w:rsid w:val="00981EC4"/>
    <w:pPr>
      <w:keepNext w:val="0"/>
      <w:keepLines w:val="0"/>
      <w:numPr>
        <w:ilvl w:val="8"/>
        <w:numId w:val="49"/>
      </w:numPr>
      <w:tabs>
        <w:tab w:val="left" w:pos="2381"/>
      </w:tabs>
      <w:spacing w:before="240"/>
    </w:pPr>
    <w:rPr>
      <w:rFonts w:ascii="Arial" w:hAnsi="Arial"/>
      <w:color w:val="4F81BD" w:themeColor="accent1"/>
      <w:sz w:val="22"/>
    </w:rPr>
  </w:style>
  <w:style w:type="paragraph" w:customStyle="1" w:styleId="Numberedparagraph11">
    <w:name w:val="Numbered paragraph 1.1"/>
    <w:basedOn w:val="Numbered11"/>
    <w:qFormat/>
    <w:rsid w:val="00981EC4"/>
    <w:pPr>
      <w:outlineLvl w:val="9"/>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1327">
      <w:bodyDiv w:val="1"/>
      <w:marLeft w:val="0"/>
      <w:marRight w:val="0"/>
      <w:marTop w:val="0"/>
      <w:marBottom w:val="0"/>
      <w:divBdr>
        <w:top w:val="none" w:sz="0" w:space="0" w:color="auto"/>
        <w:left w:val="none" w:sz="0" w:space="0" w:color="auto"/>
        <w:bottom w:val="none" w:sz="0" w:space="0" w:color="auto"/>
        <w:right w:val="none" w:sz="0" w:space="0" w:color="auto"/>
      </w:divBdr>
    </w:div>
    <w:div w:id="825904287">
      <w:bodyDiv w:val="1"/>
      <w:marLeft w:val="0"/>
      <w:marRight w:val="0"/>
      <w:marTop w:val="0"/>
      <w:marBottom w:val="0"/>
      <w:divBdr>
        <w:top w:val="none" w:sz="0" w:space="0" w:color="auto"/>
        <w:left w:val="none" w:sz="0" w:space="0" w:color="auto"/>
        <w:bottom w:val="none" w:sz="0" w:space="0" w:color="auto"/>
        <w:right w:val="none" w:sz="0" w:space="0" w:color="auto"/>
      </w:divBdr>
    </w:div>
    <w:div w:id="20091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ccc.gov.au/regulated-infrastructure/communications/national-broadband-network-nbn/nbn-co-special-access-undertaking/ltrcm-2014-15" TargetMode="External"/><Relationship Id="rId1" Type="http://schemas.openxmlformats.org/officeDocument/2006/relationships/hyperlink" Target="http://www.accc.gov.au/regulated-infrastructure/communications/national-broadband-network-nbn/nbn-co-special-access-undertaking/ltrcm-2014-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zm\AppData\Local\Microsoft\Windows\Temporary%20Internet%20Files\Content.IE5\9R700T8N\MEA-General_-_Final_Report_Template_(Max_Daly_Version)_-_Febr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2BAA8-ADE3-4508-A353-ACCC382A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MEA-General_-_Final_Report_Template_(Max_Daly_Version)_-_February_2014</Template>
  <TotalTime>0</TotalTime>
  <Pages>19</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Ouzman, Michele</dc:creator>
  <cp:lastModifiedBy>IpHeeWai, Maureen</cp:lastModifiedBy>
  <cp:revision>3</cp:revision>
  <cp:lastPrinted>2016-06-02T01:34:00Z</cp:lastPrinted>
  <dcterms:created xsi:type="dcterms:W3CDTF">2016-06-02T01:34:00Z</dcterms:created>
  <dcterms:modified xsi:type="dcterms:W3CDTF">2016-06-02T01:34:00Z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\\cdchnas-evs02\home$\miphe\npc-final - ltrcm final determination 2014-15 for publication - 2 june 2016 (D2016-00070459).docx</vt:lpwstr>
  </property>
</Properties>
</file>