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74" w:rsidRPr="00A40574" w:rsidRDefault="002825E7" w:rsidP="00A40574">
      <w:pPr>
        <w:spacing w:before="0" w:after="0"/>
        <w:rPr>
          <w:rFonts w:ascii="Times New Roman" w:hAnsi="Times New Roman"/>
          <w:sz w:val="24"/>
          <w:lang w:eastAsia="en-AU"/>
        </w:rPr>
      </w:pPr>
      <w:bookmarkStart w:id="0" w:name="_GoBack"/>
      <w:bookmarkEnd w:id="0"/>
      <w:r>
        <w:rPr>
          <w:rFonts w:ascii="Times New Roman" w:hAnsi="Times New Roman"/>
          <w:b/>
          <w:noProof/>
          <w:sz w:val="28"/>
          <w:szCs w:val="28"/>
          <w:lang w:val="en-GB"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margin-left:351.3pt;margin-top:13.25pt;width:99pt;height:93.8pt;z-index:-251646464" wrapcoords="-129 0 -129 21464 21600 21464 21600 0 -129 0">
            <v:imagedata r:id="rId8" o:title=""/>
            <w10:wrap type="through"/>
          </v:shape>
        </w:pict>
      </w:r>
    </w:p>
    <w:p w:rsidR="00A40574" w:rsidRPr="00A40574" w:rsidRDefault="00A40574" w:rsidP="00A40574">
      <w:pPr>
        <w:spacing w:before="0" w:after="0"/>
        <w:ind w:left="-567"/>
        <w:rPr>
          <w:rFonts w:ascii="Times New Roman" w:hAnsi="Times New Roman"/>
          <w:b/>
          <w:sz w:val="28"/>
          <w:szCs w:val="28"/>
          <w:lang w:eastAsia="en-AU"/>
        </w:rPr>
      </w:pPr>
    </w:p>
    <w:p w:rsidR="00A40574" w:rsidRPr="00A40574" w:rsidRDefault="002825E7" w:rsidP="00A40574">
      <w:pPr>
        <w:spacing w:before="0" w:after="0"/>
        <w:rPr>
          <w:rFonts w:ascii="Times New Roman" w:hAnsi="Times New Roman"/>
          <w:sz w:val="24"/>
          <w:lang w:eastAsia="en-AU"/>
        </w:rPr>
      </w:pPr>
      <w:r>
        <w:rPr>
          <w:noProof/>
          <w:sz w:val="24"/>
          <w:szCs w:val="20"/>
          <w:lang w:val="en-GB" w:eastAsia="en-AU"/>
        </w:rPr>
        <w:pict>
          <v:shape id="_x0000_s1091" type="#_x0000_t75" style="position:absolute;margin-left:157.05pt;margin-top:21.25pt;width:2in;height:36.05pt;z-index:251671040">
            <v:imagedata r:id="rId9" o:title="AER logo_landscape_RGB 300dpi"/>
            <w10:wrap type="square" side="left"/>
          </v:shape>
        </w:pict>
      </w:r>
      <w:r>
        <w:rPr>
          <w:rFonts w:ascii="Times New Roman" w:hAnsi="Times New Roman"/>
          <w:sz w:val="24"/>
          <w:lang w:eastAsia="en-AU"/>
        </w:rPr>
        <w:pict>
          <v:shape id="_x0000_i1025" type="#_x0000_t75" style="width:112.9pt;height:54.15pt">
            <v:imagedata r:id="rId10" o:title="ACCC logo &amp; coat of arms_CMYK_option 1"/>
          </v:shape>
        </w:pict>
      </w:r>
      <w:r w:rsidR="00A40574" w:rsidRPr="00A40574">
        <w:rPr>
          <w:rFonts w:ascii="Times New Roman" w:hAnsi="Times New Roman"/>
          <w:sz w:val="24"/>
          <w:lang w:eastAsia="en-AU"/>
        </w:rPr>
        <w:br/>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jc w:val="center"/>
        <w:rPr>
          <w:rFonts w:ascii="Times New Roman" w:hAnsi="Times New Roman"/>
          <w:sz w:val="24"/>
          <w:lang w:eastAsia="en-AU"/>
        </w:rPr>
      </w:pPr>
    </w:p>
    <w:p w:rsidR="00A40574" w:rsidRPr="00A40574" w:rsidRDefault="00A40574" w:rsidP="00A40574">
      <w:pPr>
        <w:spacing w:before="0" w:after="0"/>
        <w:jc w:val="center"/>
        <w:rPr>
          <w:rFonts w:ascii="Times New Roman" w:hAnsi="Times New Roman"/>
          <w:sz w:val="24"/>
          <w:lang w:eastAsia="en-AU"/>
        </w:rPr>
      </w:pPr>
    </w:p>
    <w:p w:rsidR="00A40574" w:rsidRPr="00A40574" w:rsidRDefault="00A40574" w:rsidP="00A40574">
      <w:pPr>
        <w:spacing w:before="0" w:after="0"/>
        <w:jc w:val="center"/>
        <w:rPr>
          <w:rFonts w:ascii="Times New Roman" w:hAnsi="Times New Roman"/>
          <w:b/>
          <w:sz w:val="28"/>
          <w:szCs w:val="28"/>
          <w:lang w:eastAsia="en-AU"/>
        </w:rPr>
      </w:pPr>
    </w:p>
    <w:p w:rsidR="00A40574" w:rsidRPr="00A40574" w:rsidRDefault="00A40574" w:rsidP="00A40574">
      <w:pPr>
        <w:spacing w:before="0" w:after="0"/>
        <w:jc w:val="center"/>
        <w:outlineLvl w:val="0"/>
        <w:rPr>
          <w:rFonts w:ascii="Times New Roman" w:hAnsi="Times New Roman"/>
          <w:b/>
          <w:sz w:val="28"/>
          <w:szCs w:val="28"/>
          <w:lang w:eastAsia="en-AU"/>
        </w:rPr>
      </w:pPr>
      <w:r w:rsidRPr="00A40574">
        <w:rPr>
          <w:rFonts w:ascii="Times New Roman" w:hAnsi="Times New Roman"/>
          <w:b/>
          <w:sz w:val="28"/>
          <w:szCs w:val="28"/>
          <w:lang w:eastAsia="en-AU"/>
        </w:rPr>
        <w:t>Memorandum of Understanding</w:t>
      </w:r>
    </w:p>
    <w:p w:rsidR="00A40574" w:rsidRPr="00A40574" w:rsidRDefault="00A40574" w:rsidP="00A40574">
      <w:pPr>
        <w:spacing w:before="0" w:after="0"/>
        <w:jc w:val="center"/>
        <w:outlineLvl w:val="0"/>
        <w:rPr>
          <w:rFonts w:ascii="Times New Roman" w:hAnsi="Times New Roman"/>
          <w:b/>
          <w:sz w:val="28"/>
          <w:szCs w:val="28"/>
          <w:lang w:eastAsia="en-AU"/>
        </w:rPr>
      </w:pPr>
    </w:p>
    <w:p w:rsidR="00A40574" w:rsidRPr="00A40574" w:rsidRDefault="00A40574" w:rsidP="00A40574">
      <w:pPr>
        <w:spacing w:before="0" w:after="0"/>
        <w:jc w:val="center"/>
        <w:rPr>
          <w:rFonts w:ascii="Times New Roman" w:hAnsi="Times New Roman"/>
          <w:b/>
          <w:sz w:val="28"/>
          <w:szCs w:val="28"/>
          <w:lang w:eastAsia="en-AU"/>
        </w:rPr>
      </w:pPr>
      <w:r w:rsidRPr="00A40574">
        <w:rPr>
          <w:rFonts w:ascii="Times New Roman" w:hAnsi="Times New Roman"/>
          <w:b/>
          <w:sz w:val="28"/>
          <w:szCs w:val="28"/>
          <w:lang w:eastAsia="en-AU"/>
        </w:rPr>
        <w:t>Between</w:t>
      </w:r>
    </w:p>
    <w:p w:rsidR="00A40574" w:rsidRPr="00A40574" w:rsidRDefault="00A40574" w:rsidP="00A40574">
      <w:pPr>
        <w:spacing w:before="0" w:after="0"/>
        <w:jc w:val="center"/>
        <w:rPr>
          <w:rFonts w:ascii="Times New Roman" w:hAnsi="Times New Roman"/>
          <w:b/>
          <w:sz w:val="28"/>
          <w:szCs w:val="28"/>
          <w:lang w:eastAsia="en-AU"/>
        </w:rPr>
      </w:pPr>
    </w:p>
    <w:p w:rsidR="00A40574" w:rsidRPr="00A40574" w:rsidRDefault="00A40574" w:rsidP="00A40574">
      <w:pPr>
        <w:spacing w:before="0" w:after="0"/>
        <w:jc w:val="center"/>
        <w:rPr>
          <w:rFonts w:ascii="Times New Roman" w:hAnsi="Times New Roman"/>
          <w:b/>
          <w:sz w:val="28"/>
          <w:szCs w:val="28"/>
          <w:lang w:eastAsia="en-AU"/>
        </w:rPr>
      </w:pPr>
      <w:r w:rsidRPr="00A40574">
        <w:rPr>
          <w:rFonts w:ascii="Times New Roman" w:hAnsi="Times New Roman"/>
          <w:b/>
          <w:sz w:val="28"/>
          <w:szCs w:val="28"/>
          <w:lang w:eastAsia="en-AU"/>
        </w:rPr>
        <w:t>Australian Energy Market Commission</w:t>
      </w:r>
    </w:p>
    <w:p w:rsidR="00A40574" w:rsidRPr="00A40574" w:rsidRDefault="00A40574" w:rsidP="00A40574">
      <w:pPr>
        <w:spacing w:before="0" w:after="0"/>
        <w:jc w:val="center"/>
        <w:rPr>
          <w:rFonts w:ascii="Times New Roman" w:hAnsi="Times New Roman"/>
          <w:b/>
          <w:sz w:val="28"/>
          <w:szCs w:val="28"/>
          <w:lang w:eastAsia="en-AU"/>
        </w:rPr>
      </w:pPr>
    </w:p>
    <w:p w:rsidR="00A40574" w:rsidRPr="00A40574" w:rsidRDefault="00A40574" w:rsidP="00A40574">
      <w:pPr>
        <w:spacing w:before="0" w:after="0"/>
        <w:jc w:val="center"/>
        <w:rPr>
          <w:rFonts w:ascii="Times New Roman" w:hAnsi="Times New Roman"/>
          <w:b/>
          <w:sz w:val="28"/>
          <w:szCs w:val="28"/>
          <w:lang w:eastAsia="en-AU"/>
        </w:rPr>
      </w:pPr>
      <w:r w:rsidRPr="00A40574">
        <w:rPr>
          <w:rFonts w:ascii="Times New Roman" w:hAnsi="Times New Roman"/>
          <w:b/>
          <w:sz w:val="28"/>
          <w:szCs w:val="28"/>
          <w:lang w:eastAsia="en-AU"/>
        </w:rPr>
        <w:t>And</w:t>
      </w:r>
    </w:p>
    <w:p w:rsidR="00A40574" w:rsidRPr="00A40574" w:rsidRDefault="00A40574" w:rsidP="00A40574">
      <w:pPr>
        <w:spacing w:before="0" w:after="0"/>
        <w:jc w:val="center"/>
        <w:rPr>
          <w:rFonts w:ascii="Times New Roman" w:hAnsi="Times New Roman"/>
          <w:b/>
          <w:sz w:val="28"/>
          <w:szCs w:val="28"/>
          <w:lang w:eastAsia="en-AU"/>
        </w:rPr>
      </w:pPr>
    </w:p>
    <w:p w:rsidR="00A40574" w:rsidRPr="00A40574" w:rsidRDefault="00A40574" w:rsidP="00A40574">
      <w:pPr>
        <w:spacing w:before="0" w:after="0"/>
        <w:jc w:val="center"/>
        <w:outlineLvl w:val="0"/>
        <w:rPr>
          <w:rFonts w:ascii="Times New Roman" w:hAnsi="Times New Roman"/>
          <w:b/>
          <w:sz w:val="28"/>
          <w:szCs w:val="28"/>
          <w:lang w:eastAsia="en-AU"/>
        </w:rPr>
      </w:pPr>
      <w:r w:rsidRPr="00A40574">
        <w:rPr>
          <w:rFonts w:ascii="Times New Roman" w:hAnsi="Times New Roman"/>
          <w:b/>
          <w:sz w:val="28"/>
          <w:szCs w:val="28"/>
          <w:lang w:eastAsia="en-AU"/>
        </w:rPr>
        <w:t>Australian Energy Regulator</w:t>
      </w:r>
    </w:p>
    <w:p w:rsidR="00A40574" w:rsidRPr="00A40574" w:rsidRDefault="00A40574" w:rsidP="00A40574">
      <w:pPr>
        <w:spacing w:before="0" w:after="0"/>
        <w:jc w:val="center"/>
        <w:outlineLvl w:val="0"/>
        <w:rPr>
          <w:rFonts w:ascii="Times New Roman" w:hAnsi="Times New Roman"/>
          <w:b/>
          <w:sz w:val="28"/>
          <w:szCs w:val="28"/>
          <w:lang w:eastAsia="en-AU"/>
        </w:rPr>
      </w:pPr>
    </w:p>
    <w:p w:rsidR="00A40574" w:rsidRPr="00A40574" w:rsidRDefault="00A40574" w:rsidP="00A40574">
      <w:pPr>
        <w:spacing w:before="0" w:after="0"/>
        <w:jc w:val="center"/>
        <w:outlineLvl w:val="0"/>
        <w:rPr>
          <w:rFonts w:ascii="Times New Roman" w:hAnsi="Times New Roman"/>
          <w:b/>
          <w:sz w:val="28"/>
          <w:szCs w:val="28"/>
          <w:lang w:eastAsia="en-AU"/>
        </w:rPr>
      </w:pPr>
      <w:r w:rsidRPr="00A40574">
        <w:rPr>
          <w:rFonts w:ascii="Times New Roman" w:hAnsi="Times New Roman"/>
          <w:b/>
          <w:sz w:val="28"/>
          <w:szCs w:val="28"/>
          <w:lang w:eastAsia="en-AU"/>
        </w:rPr>
        <w:t>And</w:t>
      </w:r>
    </w:p>
    <w:p w:rsidR="00A40574" w:rsidRPr="00A40574" w:rsidRDefault="00A40574" w:rsidP="00A40574">
      <w:pPr>
        <w:spacing w:before="0" w:after="0"/>
        <w:jc w:val="center"/>
        <w:outlineLvl w:val="0"/>
        <w:rPr>
          <w:rFonts w:ascii="Times New Roman" w:hAnsi="Times New Roman"/>
          <w:b/>
          <w:sz w:val="28"/>
          <w:szCs w:val="28"/>
          <w:lang w:eastAsia="en-AU"/>
        </w:rPr>
      </w:pPr>
    </w:p>
    <w:p w:rsidR="00A40574" w:rsidRPr="00A40574" w:rsidRDefault="00A40574" w:rsidP="00A40574">
      <w:pPr>
        <w:spacing w:before="0" w:after="0"/>
        <w:jc w:val="center"/>
        <w:outlineLvl w:val="0"/>
        <w:rPr>
          <w:rFonts w:ascii="Times New Roman" w:hAnsi="Times New Roman"/>
          <w:b/>
          <w:sz w:val="28"/>
          <w:szCs w:val="28"/>
          <w:lang w:eastAsia="en-AU"/>
        </w:rPr>
      </w:pPr>
      <w:r w:rsidRPr="00A40574">
        <w:rPr>
          <w:rFonts w:ascii="Times New Roman" w:hAnsi="Times New Roman"/>
          <w:b/>
          <w:sz w:val="28"/>
          <w:szCs w:val="28"/>
          <w:lang w:eastAsia="en-AU"/>
        </w:rPr>
        <w:t>Australian Competition and Consumer Commission</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outlineLvl w:val="0"/>
        <w:rPr>
          <w:rFonts w:ascii="Times New Roman" w:hAnsi="Times New Roman"/>
          <w:b/>
          <w:sz w:val="32"/>
          <w:szCs w:val="32"/>
          <w:lang w:eastAsia="en-AU"/>
        </w:rPr>
      </w:pPr>
      <w:r w:rsidRPr="00A40574">
        <w:rPr>
          <w:rFonts w:ascii="Times New Roman" w:hAnsi="Times New Roman"/>
          <w:sz w:val="24"/>
          <w:lang w:eastAsia="en-AU"/>
        </w:rPr>
        <w:br w:type="page"/>
      </w:r>
      <w:r w:rsidRPr="00A40574">
        <w:rPr>
          <w:rFonts w:ascii="Times New Roman" w:hAnsi="Times New Roman"/>
          <w:b/>
          <w:sz w:val="32"/>
          <w:szCs w:val="32"/>
          <w:lang w:eastAsia="en-AU"/>
        </w:rPr>
        <w:lastRenderedPageBreak/>
        <w:t>Part A: Recitals</w:t>
      </w:r>
    </w:p>
    <w:p w:rsidR="00A40574" w:rsidRPr="00A40574" w:rsidRDefault="00A40574" w:rsidP="00A40574">
      <w:pPr>
        <w:spacing w:before="0" w:after="0"/>
        <w:rPr>
          <w:rFonts w:ascii="Times New Roman" w:hAnsi="Times New Roman"/>
          <w:sz w:val="24"/>
          <w:lang w:eastAsia="en-AU"/>
        </w:rPr>
      </w:pPr>
      <w:bookmarkStart w:id="1" w:name="_Toc52695779"/>
    </w:p>
    <w:p w:rsidR="00A40574" w:rsidRPr="00A40574" w:rsidRDefault="00A40574" w:rsidP="00A40574">
      <w:pPr>
        <w:numPr>
          <w:ilvl w:val="0"/>
          <w:numId w:val="11"/>
        </w:numPr>
        <w:spacing w:before="0" w:after="200" w:line="276" w:lineRule="auto"/>
        <w:ind w:hanging="1080"/>
        <w:rPr>
          <w:rFonts w:ascii="Times New Roman" w:hAnsi="Times New Roman"/>
          <w:b/>
          <w:sz w:val="28"/>
          <w:szCs w:val="28"/>
          <w:lang w:eastAsia="en-AU"/>
        </w:rPr>
      </w:pPr>
      <w:r w:rsidRPr="00A40574">
        <w:rPr>
          <w:rFonts w:ascii="Times New Roman" w:hAnsi="Times New Roman"/>
          <w:b/>
          <w:sz w:val="28"/>
          <w:szCs w:val="28"/>
          <w:lang w:eastAsia="en-AU"/>
        </w:rPr>
        <w:t>Purpose and principles</w:t>
      </w:r>
      <w:bookmarkEnd w:id="1"/>
    </w:p>
    <w:p w:rsidR="00A40574" w:rsidRPr="00A40574" w:rsidRDefault="00A40574" w:rsidP="00A40574">
      <w:pPr>
        <w:spacing w:before="0" w:after="0"/>
        <w:outlineLvl w:val="0"/>
        <w:rPr>
          <w:rFonts w:ascii="Times New Roman" w:hAnsi="Times New Roman"/>
          <w:b/>
          <w:i/>
          <w:sz w:val="24"/>
          <w:lang w:eastAsia="en-AU"/>
        </w:rPr>
      </w:pPr>
      <w:r w:rsidRPr="00A40574">
        <w:rPr>
          <w:rFonts w:ascii="Times New Roman" w:hAnsi="Times New Roman"/>
          <w:b/>
          <w:i/>
          <w:sz w:val="24"/>
          <w:lang w:eastAsia="en-AU"/>
        </w:rPr>
        <w:t>Purpose</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b/>
          <w:sz w:val="24"/>
          <w:lang w:eastAsia="en-AU"/>
        </w:rPr>
      </w:pPr>
      <w:r w:rsidRPr="00A40574">
        <w:rPr>
          <w:rFonts w:ascii="Times New Roman" w:hAnsi="Times New Roman"/>
          <w:sz w:val="24"/>
          <w:lang w:eastAsia="en-AU"/>
        </w:rPr>
        <w:t>The Ministerial Council on Energy (now the COAG Energy Council) reported to the Council of Australian Governments (COAG) in December 2003 on major reforms to Australian energy markets. These reforms were subsequently endorsed by COAG in June 2004 in the Australian Energy Market Agreement 2004 (AEMA), as amended.</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A key element of the reform agenda was to improve and streamline the governance arrangements for Australian energy markets. Reforms included the establishment of two new bodies—the Australian Energy Market Commission (AEMC) and the Australian Energy Regulator (AER).</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The National Electricity Law (commenced 1 July 2005), the National Gas Law (commenced 1 July 2008) and the National Energy Retail Law (commenced 1 July 2012), confer important governance functions on the AEMC and the AER with respect to Australia’s energy markets.</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 xml:space="preserve">The AEMA, the </w:t>
      </w:r>
      <w:r w:rsidRPr="00A40574">
        <w:rPr>
          <w:rFonts w:ascii="Times New Roman" w:hAnsi="Times New Roman"/>
          <w:i/>
          <w:sz w:val="24"/>
          <w:lang w:eastAsia="en-AU"/>
        </w:rPr>
        <w:t>AEMC Establishment Act</w:t>
      </w:r>
      <w:r w:rsidRPr="00A40574">
        <w:rPr>
          <w:rFonts w:ascii="Times New Roman" w:hAnsi="Times New Roman"/>
          <w:sz w:val="24"/>
          <w:lang w:eastAsia="en-AU"/>
        </w:rPr>
        <w:t xml:space="preserve"> and the Second Reading Speech introducing the National Electricity Law into South Australian Parliament foreshadowed a Memorandum of Understanding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between the AEMC, the AER and the Australian Competition and Consumer Commission (ACCC) as the three agencies with responsibilities for Australian energy markets.</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 xml:space="preserve">A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xml:space="preserve"> was signed in 2005 and updated in 2009. The revised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xml:space="preserve"> provided that the agencies would review the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xml:space="preserve"> within five years. This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xml:space="preserve"> updates and replaces the 2009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 xml:space="preserve">This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xml:space="preserve"> sets out the arrangements agreed between the AEMC, the AER and the ACCC to promote effective cooperation, communication and co-ordination between the three agencies in the performance of their different, but complementary, roles in Australia’s energy markets.</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 xml:space="preserve">The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xml:space="preserve"> is a public document and communicates, in a transparent way to all energy market stakeholders, the administrative arrangements that operate between the agencies. </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tabs>
          <w:tab w:val="left" w:pos="567"/>
        </w:tabs>
        <w:spacing w:before="0" w:after="0"/>
        <w:rPr>
          <w:rFonts w:ascii="Times New Roman" w:hAnsi="Times New Roman"/>
          <w:sz w:val="24"/>
          <w:lang w:eastAsia="en-AU"/>
        </w:rPr>
      </w:pPr>
      <w:r w:rsidRPr="00A40574">
        <w:rPr>
          <w:rFonts w:ascii="Times New Roman" w:hAnsi="Times New Roman"/>
          <w:sz w:val="24"/>
          <w:lang w:eastAsia="en-AU"/>
        </w:rPr>
        <w:t xml:space="preserve">The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xml:space="preserve"> is a statement of principles to guide the relationships between the three agencies. </w:t>
      </w:r>
    </w:p>
    <w:p w:rsidR="00A40574" w:rsidRPr="00A40574" w:rsidRDefault="00A40574" w:rsidP="00A40574">
      <w:pPr>
        <w:tabs>
          <w:tab w:val="left" w:pos="567"/>
        </w:tabs>
        <w:spacing w:before="0" w:after="0"/>
        <w:rPr>
          <w:rFonts w:ascii="Times New Roman" w:hAnsi="Times New Roman"/>
          <w:sz w:val="24"/>
          <w:lang w:eastAsia="en-AU"/>
        </w:rPr>
      </w:pPr>
      <w:r w:rsidRPr="00A40574">
        <w:rPr>
          <w:rFonts w:ascii="Times New Roman" w:hAnsi="Times New Roman"/>
          <w:sz w:val="24"/>
          <w:lang w:eastAsia="en-AU"/>
        </w:rPr>
        <w:t xml:space="preserve">The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xml:space="preserve"> is not legally binding on the </w:t>
      </w:r>
      <w:proofErr w:type="gramStart"/>
      <w:r w:rsidRPr="00A40574">
        <w:rPr>
          <w:rFonts w:ascii="Times New Roman" w:hAnsi="Times New Roman"/>
          <w:sz w:val="24"/>
          <w:lang w:eastAsia="en-AU"/>
        </w:rPr>
        <w:t>agencies,</w:t>
      </w:r>
      <w:proofErr w:type="gramEnd"/>
      <w:r w:rsidRPr="00A40574">
        <w:rPr>
          <w:rFonts w:ascii="Times New Roman" w:hAnsi="Times New Roman"/>
          <w:sz w:val="24"/>
          <w:lang w:eastAsia="en-AU"/>
        </w:rPr>
        <w:t xml:space="preserve"> however the agencies intend to use their best endeavours to abide by the objectives, principles and terms set out in this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w:t>
      </w:r>
      <w:r w:rsidRPr="00A40574">
        <w:rPr>
          <w:rFonts w:ascii="Times New Roman" w:hAnsi="Times New Roman"/>
          <w:sz w:val="24"/>
          <w:lang w:eastAsia="en-AU"/>
        </w:rPr>
        <w:br/>
      </w:r>
      <w:r w:rsidRPr="00A40574">
        <w:rPr>
          <w:rFonts w:ascii="Times New Roman" w:hAnsi="Times New Roman"/>
          <w:sz w:val="24"/>
          <w:lang w:eastAsia="en-AU"/>
        </w:rPr>
        <w:br/>
        <w:t xml:space="preserve">Nothing in this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xml:space="preserve"> affects the exercise of functions or responsibilities of the AEMC, the AER or the ACCC.</w:t>
      </w:r>
    </w:p>
    <w:p w:rsidR="00A40574" w:rsidRPr="00A40574" w:rsidRDefault="00A40574" w:rsidP="00A40574">
      <w:pPr>
        <w:tabs>
          <w:tab w:val="left" w:pos="567"/>
        </w:tabs>
        <w:spacing w:before="0" w:after="0"/>
        <w:rPr>
          <w:rFonts w:ascii="Times New Roman" w:hAnsi="Times New Roman"/>
          <w:sz w:val="24"/>
          <w:lang w:eastAsia="en-AU"/>
        </w:rPr>
      </w:pPr>
    </w:p>
    <w:p w:rsidR="00A40574" w:rsidRPr="00A40574" w:rsidRDefault="00A40574" w:rsidP="00A40574">
      <w:pPr>
        <w:spacing w:before="0" w:after="0"/>
        <w:outlineLvl w:val="0"/>
        <w:rPr>
          <w:rFonts w:ascii="Times New Roman" w:hAnsi="Times New Roman"/>
          <w:sz w:val="24"/>
          <w:lang w:eastAsia="en-AU"/>
        </w:rPr>
      </w:pPr>
      <w:r w:rsidRPr="00A40574">
        <w:rPr>
          <w:rFonts w:ascii="Times New Roman" w:hAnsi="Times New Roman"/>
          <w:sz w:val="24"/>
          <w:lang w:eastAsia="en-AU"/>
        </w:rPr>
        <w:t xml:space="preserve">This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xml:space="preserve"> applies to current and any further functions conferred on the AEMC, the AER and the ACCC unless an agency gives the other agencies notice in writing to the contrary.</w:t>
      </w:r>
    </w:p>
    <w:p w:rsidR="00A40574" w:rsidRPr="00A40574" w:rsidRDefault="00A40574" w:rsidP="00A40574">
      <w:pPr>
        <w:spacing w:before="0" w:after="0"/>
        <w:outlineLvl w:val="0"/>
        <w:rPr>
          <w:rFonts w:ascii="Times New Roman" w:hAnsi="Times New Roman"/>
          <w:sz w:val="24"/>
          <w:lang w:eastAsia="en-AU"/>
        </w:rPr>
      </w:pPr>
    </w:p>
    <w:p w:rsidR="00A40574" w:rsidRPr="00A40574" w:rsidRDefault="00A40574" w:rsidP="00A40574">
      <w:pPr>
        <w:spacing w:before="0" w:after="0"/>
        <w:outlineLvl w:val="0"/>
        <w:rPr>
          <w:rFonts w:ascii="Times New Roman" w:hAnsi="Times New Roman"/>
          <w:b/>
          <w:i/>
          <w:sz w:val="24"/>
          <w:lang w:eastAsia="en-AU"/>
        </w:rPr>
      </w:pPr>
      <w:r w:rsidRPr="00A40574">
        <w:rPr>
          <w:rFonts w:ascii="Times New Roman" w:hAnsi="Times New Roman"/>
          <w:sz w:val="24"/>
          <w:lang w:eastAsia="en-AU"/>
        </w:rPr>
        <w:br w:type="page"/>
      </w:r>
      <w:r w:rsidRPr="00A40574">
        <w:rPr>
          <w:rFonts w:ascii="Times New Roman" w:hAnsi="Times New Roman"/>
          <w:b/>
          <w:i/>
          <w:sz w:val="24"/>
          <w:lang w:eastAsia="en-AU"/>
        </w:rPr>
        <w:lastRenderedPageBreak/>
        <w:t>Communication</w:t>
      </w:r>
    </w:p>
    <w:p w:rsidR="00A40574" w:rsidRPr="00A40574" w:rsidRDefault="00A40574" w:rsidP="00A40574">
      <w:pPr>
        <w:spacing w:before="0" w:after="0"/>
        <w:outlineLvl w:val="0"/>
        <w:rPr>
          <w:rFonts w:ascii="Times New Roman" w:hAnsi="Times New Roman"/>
          <w:b/>
          <w:i/>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The agencies recognise the importance of regular and open communication between them at both commissioner / board member and officer levels. This communication will enhance the effectiveness of the institutions, individually and collectively, in fulfilling their roles within Australia’s energy markets.</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outlineLvl w:val="0"/>
        <w:rPr>
          <w:rFonts w:ascii="Times New Roman" w:hAnsi="Times New Roman"/>
          <w:b/>
          <w:i/>
          <w:sz w:val="24"/>
          <w:lang w:eastAsia="en-AU"/>
        </w:rPr>
      </w:pPr>
      <w:r w:rsidRPr="00A40574">
        <w:rPr>
          <w:rFonts w:ascii="Times New Roman" w:hAnsi="Times New Roman"/>
          <w:b/>
          <w:i/>
          <w:sz w:val="24"/>
          <w:lang w:eastAsia="en-AU"/>
        </w:rPr>
        <w:t>Co-operation</w:t>
      </w:r>
    </w:p>
    <w:p w:rsidR="00A40574" w:rsidRPr="00A40574" w:rsidRDefault="00A40574" w:rsidP="00A40574">
      <w:pPr>
        <w:spacing w:before="0" w:after="0"/>
        <w:outlineLvl w:val="0"/>
        <w:rPr>
          <w:rFonts w:ascii="Times New Roman" w:hAnsi="Times New Roman"/>
          <w:b/>
          <w:i/>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The agencies will work together to achieve the effective regulation, oversight and development of energy markets in Australia, recognising that each agency has different roles and functions with respect to these markets.</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The agencies recognise that overall outcomes for the energy markets and stakeholders, including the long term interests of consumers, will be improved if the agencies work co-operatively and maintain a close working relationship in dealing with energy market issues.</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outlineLvl w:val="0"/>
        <w:rPr>
          <w:rFonts w:ascii="Times New Roman" w:hAnsi="Times New Roman"/>
          <w:b/>
          <w:i/>
          <w:sz w:val="24"/>
          <w:lang w:eastAsia="en-AU"/>
        </w:rPr>
      </w:pPr>
      <w:r w:rsidRPr="00A40574">
        <w:rPr>
          <w:rFonts w:ascii="Times New Roman" w:hAnsi="Times New Roman"/>
          <w:b/>
          <w:i/>
          <w:sz w:val="24"/>
          <w:lang w:eastAsia="en-AU"/>
        </w:rPr>
        <w:t>Reciprocity</w:t>
      </w:r>
    </w:p>
    <w:p w:rsidR="00A40574" w:rsidRPr="00A40574" w:rsidRDefault="00A40574" w:rsidP="00A40574">
      <w:pPr>
        <w:spacing w:before="0" w:after="0"/>
        <w:outlineLvl w:val="0"/>
        <w:rPr>
          <w:rFonts w:ascii="Times New Roman" w:hAnsi="Times New Roman"/>
          <w:b/>
          <w:i/>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Each of the agencies has specific statutory responsibilities. These roles will be performed more effectively where the agencies have agreed reciprocal commitments.</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numPr>
          <w:ilvl w:val="0"/>
          <w:numId w:val="11"/>
        </w:numPr>
        <w:spacing w:before="0" w:after="200" w:line="276" w:lineRule="auto"/>
        <w:ind w:hanging="1080"/>
        <w:rPr>
          <w:rFonts w:ascii="Times New Roman" w:hAnsi="Times New Roman"/>
          <w:b/>
          <w:sz w:val="28"/>
          <w:szCs w:val="28"/>
          <w:lang w:eastAsia="en-AU"/>
        </w:rPr>
      </w:pPr>
      <w:bookmarkStart w:id="2" w:name="_Toc498511227"/>
      <w:bookmarkStart w:id="3" w:name="_Toc498512350"/>
      <w:bookmarkStart w:id="4" w:name="_Toc498513055"/>
      <w:bookmarkStart w:id="5" w:name="_Toc498513088"/>
      <w:bookmarkStart w:id="6" w:name="_Toc498513262"/>
      <w:bookmarkStart w:id="7" w:name="_Toc498513342"/>
      <w:bookmarkStart w:id="8" w:name="_Toc498521681"/>
      <w:bookmarkStart w:id="9" w:name="_Toc498521795"/>
      <w:bookmarkStart w:id="10" w:name="_Toc498521853"/>
      <w:bookmarkStart w:id="11" w:name="_Toc498521877"/>
      <w:bookmarkStart w:id="12" w:name="_Toc498521924"/>
      <w:bookmarkStart w:id="13" w:name="_Toc500665634"/>
      <w:bookmarkStart w:id="14" w:name="_Toc500666252"/>
      <w:bookmarkStart w:id="15" w:name="_Toc500666338"/>
      <w:bookmarkStart w:id="16" w:name="_Toc500666539"/>
      <w:bookmarkStart w:id="17" w:name="_Toc500666599"/>
      <w:bookmarkStart w:id="18" w:name="_Toc500666653"/>
      <w:bookmarkStart w:id="19" w:name="_Toc500666708"/>
      <w:bookmarkStart w:id="20" w:name="_Toc500668347"/>
      <w:bookmarkStart w:id="21" w:name="_Toc532183624"/>
      <w:bookmarkStart w:id="22" w:name="_Toc532629513"/>
      <w:bookmarkStart w:id="23" w:name="_Toc532629631"/>
      <w:bookmarkStart w:id="24" w:name="_Toc532629796"/>
      <w:bookmarkStart w:id="25" w:name="_Toc532630106"/>
      <w:bookmarkStart w:id="26" w:name="_Toc52695781"/>
      <w:r w:rsidRPr="00A40574">
        <w:rPr>
          <w:rFonts w:ascii="Times New Roman" w:hAnsi="Times New Roman"/>
          <w:b/>
          <w:sz w:val="28"/>
          <w:szCs w:val="28"/>
          <w:lang w:eastAsia="en-AU"/>
        </w:rPr>
        <w:t xml:space="preserve">The agencies and their roles in energy markets </w:t>
      </w:r>
    </w:p>
    <w:p w:rsidR="00A40574" w:rsidRPr="00A40574" w:rsidRDefault="00A40574" w:rsidP="00A40574">
      <w:pPr>
        <w:spacing w:before="0" w:after="0"/>
        <w:outlineLvl w:val="0"/>
        <w:rPr>
          <w:rFonts w:ascii="Times New Roman" w:hAnsi="Times New Roman"/>
          <w:b/>
          <w:i/>
          <w:sz w:val="24"/>
          <w:lang w:eastAsia="en-AU"/>
        </w:rPr>
      </w:pPr>
      <w:r w:rsidRPr="00A40574">
        <w:rPr>
          <w:rFonts w:ascii="Times New Roman" w:hAnsi="Times New Roman"/>
          <w:b/>
          <w:i/>
          <w:sz w:val="24"/>
          <w:lang w:eastAsia="en-AU"/>
        </w:rPr>
        <w:t>The AEMC</w:t>
      </w:r>
    </w:p>
    <w:p w:rsidR="00A40574" w:rsidRPr="00A40574" w:rsidRDefault="00A40574" w:rsidP="00A40574">
      <w:pPr>
        <w:spacing w:before="0" w:after="0"/>
        <w:outlineLvl w:val="0"/>
        <w:rPr>
          <w:rFonts w:ascii="Times New Roman" w:hAnsi="Times New Roman"/>
          <w:b/>
          <w:i/>
          <w:sz w:val="24"/>
          <w:lang w:eastAsia="en-AU"/>
        </w:rPr>
      </w:pPr>
    </w:p>
    <w:p w:rsidR="00A40574" w:rsidRPr="00A40574" w:rsidRDefault="00A40574" w:rsidP="00A40574">
      <w:pPr>
        <w:spacing w:before="0" w:after="0" w:line="266" w:lineRule="exact"/>
        <w:ind w:right="529"/>
        <w:rPr>
          <w:rFonts w:ascii="Times New Roman" w:hAnsi="Times New Roman"/>
          <w:sz w:val="24"/>
          <w:lang w:eastAsia="en-AU"/>
        </w:rPr>
      </w:pPr>
      <w:r w:rsidRPr="00A40574">
        <w:rPr>
          <w:rFonts w:ascii="Times New Roman" w:hAnsi="Times New Roman"/>
          <w:sz w:val="24"/>
          <w:lang w:eastAsia="en-AU"/>
        </w:rPr>
        <w:t xml:space="preserve">The AEMC is established under the </w:t>
      </w:r>
      <w:r w:rsidRPr="00A40574">
        <w:rPr>
          <w:rFonts w:ascii="Times New Roman" w:hAnsi="Times New Roman"/>
          <w:i/>
          <w:sz w:val="24"/>
          <w:lang w:eastAsia="en-AU"/>
        </w:rPr>
        <w:t xml:space="preserve">Australian Energy Market Commission Establishment Act 2004 </w:t>
      </w:r>
      <w:r w:rsidRPr="00A40574">
        <w:rPr>
          <w:rFonts w:ascii="Times New Roman" w:hAnsi="Times New Roman"/>
          <w:sz w:val="24"/>
          <w:lang w:eastAsia="en-AU"/>
        </w:rPr>
        <w:t>of South Australia. It is responsible, under the national energy laws</w:t>
      </w:r>
      <w:r w:rsidRPr="00A40574">
        <w:rPr>
          <w:rFonts w:ascii="Times New Roman" w:hAnsi="Times New Roman"/>
          <w:sz w:val="24"/>
          <w:vertAlign w:val="superscript"/>
          <w:lang w:eastAsia="en-AU"/>
        </w:rPr>
        <w:footnoteReference w:id="1"/>
      </w:r>
      <w:r w:rsidRPr="00A40574">
        <w:rPr>
          <w:rFonts w:ascii="Times New Roman" w:hAnsi="Times New Roman"/>
          <w:sz w:val="24"/>
          <w:lang w:eastAsia="en-AU"/>
        </w:rPr>
        <w:t xml:space="preserve">, for making rules relating to the National Electricity Market (NEM), access to natural gas pipeline services and broad elements of the natural gas markets and the sale and supply of energy to customers. </w:t>
      </w:r>
    </w:p>
    <w:p w:rsidR="00A40574" w:rsidRPr="00A40574" w:rsidRDefault="00A40574" w:rsidP="00A40574">
      <w:pPr>
        <w:spacing w:before="0" w:after="0" w:line="266" w:lineRule="exact"/>
        <w:ind w:left="740" w:right="529" w:hanging="416"/>
        <w:rPr>
          <w:rFonts w:ascii="Times New Roman" w:hAnsi="Times New Roman"/>
          <w:sz w:val="24"/>
          <w:lang w:eastAsia="en-AU"/>
        </w:rPr>
      </w:pPr>
    </w:p>
    <w:p w:rsidR="00A40574" w:rsidRPr="00A40574" w:rsidRDefault="00A40574" w:rsidP="00A40574">
      <w:pPr>
        <w:spacing w:before="0" w:after="0" w:line="266" w:lineRule="exact"/>
        <w:ind w:right="529"/>
        <w:rPr>
          <w:rFonts w:ascii="Times New Roman" w:hAnsi="Times New Roman"/>
          <w:sz w:val="24"/>
          <w:lang w:eastAsia="en-AU"/>
        </w:rPr>
      </w:pPr>
      <w:r w:rsidRPr="00A40574">
        <w:rPr>
          <w:rFonts w:ascii="Times New Roman" w:hAnsi="Times New Roman"/>
          <w:sz w:val="24"/>
          <w:lang w:eastAsia="en-AU"/>
        </w:rPr>
        <w:t>In addition to its rule making role, the AEMC conducts reviews and provides advice on energy market related matters for the Ministerial Council on Energy (through the COAG Energy Council). The AEMC also reviews the effectiveness of competition in retail electricity and gas markets in NEM jurisdictions.</w:t>
      </w:r>
    </w:p>
    <w:p w:rsidR="00927A61" w:rsidRDefault="00927A61" w:rsidP="00A40574">
      <w:pPr>
        <w:spacing w:before="0" w:after="0"/>
        <w:outlineLvl w:val="0"/>
        <w:rPr>
          <w:rFonts w:ascii="Times New Roman" w:hAnsi="Times New Roman"/>
          <w:b/>
          <w:i/>
          <w:sz w:val="24"/>
          <w:lang w:eastAsia="en-AU"/>
        </w:rPr>
      </w:pPr>
    </w:p>
    <w:p w:rsidR="00A40574" w:rsidRPr="00A40574" w:rsidRDefault="00A40574" w:rsidP="00A40574">
      <w:pPr>
        <w:spacing w:before="0" w:after="0"/>
        <w:outlineLvl w:val="0"/>
        <w:rPr>
          <w:rFonts w:ascii="Times New Roman" w:hAnsi="Times New Roman"/>
          <w:b/>
          <w:i/>
          <w:sz w:val="24"/>
          <w:lang w:eastAsia="en-AU"/>
        </w:rPr>
      </w:pPr>
      <w:r w:rsidRPr="00A40574">
        <w:rPr>
          <w:rFonts w:ascii="Times New Roman" w:hAnsi="Times New Roman"/>
          <w:b/>
          <w:i/>
          <w:sz w:val="24"/>
          <w:lang w:eastAsia="en-AU"/>
        </w:rPr>
        <w:t>The AER</w:t>
      </w:r>
    </w:p>
    <w:p w:rsidR="00A40574" w:rsidRPr="00A40574" w:rsidRDefault="00A40574" w:rsidP="00A40574">
      <w:pPr>
        <w:spacing w:before="100" w:beforeAutospacing="1" w:after="100" w:afterAutospacing="1"/>
        <w:rPr>
          <w:rFonts w:ascii="Times New Roman" w:hAnsi="Times New Roman"/>
          <w:sz w:val="24"/>
          <w:lang w:eastAsia="en-AU"/>
        </w:rPr>
      </w:pPr>
      <w:r w:rsidRPr="00A40574">
        <w:rPr>
          <w:rFonts w:ascii="Times New Roman" w:hAnsi="Times New Roman"/>
          <w:sz w:val="24"/>
          <w:lang w:eastAsia="en-AU"/>
        </w:rPr>
        <w:t xml:space="preserve">The AER operates under Part IIIAA of the </w:t>
      </w:r>
      <w:r w:rsidRPr="00A40574">
        <w:rPr>
          <w:rFonts w:ascii="Times New Roman" w:hAnsi="Times New Roman"/>
          <w:i/>
          <w:sz w:val="24"/>
          <w:lang w:eastAsia="en-AU"/>
        </w:rPr>
        <w:t xml:space="preserve">Competition and Consumer Act 2010 </w:t>
      </w:r>
      <w:r w:rsidRPr="00A40574">
        <w:rPr>
          <w:rFonts w:ascii="Times New Roman" w:hAnsi="Times New Roman"/>
          <w:sz w:val="24"/>
          <w:lang w:eastAsia="en-AU"/>
        </w:rPr>
        <w:t xml:space="preserve">(CCA). It has an independent board and shares staff, resources and facilities with the ACCC. Its responsibilities include: </w:t>
      </w:r>
    </w:p>
    <w:p w:rsidR="00A40574" w:rsidRPr="00A40574" w:rsidRDefault="00A40574" w:rsidP="00A40574">
      <w:pPr>
        <w:numPr>
          <w:ilvl w:val="0"/>
          <w:numId w:val="10"/>
        </w:numPr>
        <w:spacing w:before="0" w:after="200"/>
        <w:rPr>
          <w:rFonts w:ascii="Times New Roman" w:hAnsi="Times New Roman"/>
          <w:sz w:val="24"/>
          <w:lang w:eastAsia="en-AU"/>
        </w:rPr>
      </w:pPr>
      <w:r w:rsidRPr="00A40574">
        <w:rPr>
          <w:rFonts w:ascii="Times New Roman" w:hAnsi="Times New Roman"/>
          <w:sz w:val="24"/>
          <w:lang w:eastAsia="en-AU"/>
        </w:rPr>
        <w:t>monitoring electricity and gas wholesale markets</w:t>
      </w:r>
    </w:p>
    <w:p w:rsidR="00A40574" w:rsidRPr="00A40574" w:rsidRDefault="00A40574" w:rsidP="00A40574">
      <w:pPr>
        <w:numPr>
          <w:ilvl w:val="0"/>
          <w:numId w:val="10"/>
        </w:numPr>
        <w:spacing w:before="0" w:after="200"/>
        <w:rPr>
          <w:rFonts w:ascii="Times New Roman" w:hAnsi="Times New Roman"/>
          <w:sz w:val="24"/>
          <w:lang w:eastAsia="en-AU"/>
        </w:rPr>
      </w:pPr>
      <w:r w:rsidRPr="00A40574">
        <w:rPr>
          <w:rFonts w:ascii="Times New Roman" w:hAnsi="Times New Roman"/>
          <w:sz w:val="24"/>
          <w:lang w:eastAsia="en-AU"/>
        </w:rPr>
        <w:t>regulating electricity transmission and distribution networks, and access to natural gas transmission and distribution networks</w:t>
      </w:r>
    </w:p>
    <w:p w:rsidR="00A40574" w:rsidRPr="00A40574" w:rsidRDefault="00A40574" w:rsidP="00A40574">
      <w:pPr>
        <w:numPr>
          <w:ilvl w:val="0"/>
          <w:numId w:val="10"/>
        </w:numPr>
        <w:spacing w:before="0" w:after="200"/>
        <w:rPr>
          <w:rFonts w:ascii="Times New Roman" w:hAnsi="Times New Roman"/>
          <w:sz w:val="24"/>
          <w:lang w:eastAsia="en-AU"/>
        </w:rPr>
      </w:pPr>
      <w:r w:rsidRPr="00A40574">
        <w:rPr>
          <w:rFonts w:ascii="Times New Roman" w:hAnsi="Times New Roman"/>
          <w:sz w:val="24"/>
          <w:lang w:eastAsia="en-AU"/>
        </w:rPr>
        <w:t>undertaking regulatory functions in energy retail markets</w:t>
      </w:r>
    </w:p>
    <w:p w:rsidR="00A40574" w:rsidRPr="00A40574" w:rsidRDefault="00A40574" w:rsidP="00927A61">
      <w:pPr>
        <w:numPr>
          <w:ilvl w:val="0"/>
          <w:numId w:val="10"/>
        </w:numPr>
        <w:spacing w:before="0" w:after="0"/>
        <w:ind w:left="357" w:hanging="357"/>
        <w:rPr>
          <w:rFonts w:ascii="Times New Roman" w:hAnsi="Times New Roman"/>
          <w:sz w:val="24"/>
          <w:lang w:eastAsia="en-AU"/>
        </w:rPr>
      </w:pPr>
      <w:proofErr w:type="gramStart"/>
      <w:r w:rsidRPr="00A40574">
        <w:rPr>
          <w:rFonts w:ascii="Times New Roman" w:hAnsi="Times New Roman"/>
          <w:sz w:val="24"/>
          <w:lang w:eastAsia="en-AU"/>
        </w:rPr>
        <w:lastRenderedPageBreak/>
        <w:t>compliance</w:t>
      </w:r>
      <w:proofErr w:type="gramEnd"/>
      <w:r w:rsidRPr="00A40574">
        <w:rPr>
          <w:rFonts w:ascii="Times New Roman" w:hAnsi="Times New Roman"/>
          <w:sz w:val="24"/>
          <w:lang w:eastAsia="en-AU"/>
        </w:rPr>
        <w:t xml:space="preserve"> monitoring and enforcement of the national energy laws.</w:t>
      </w:r>
    </w:p>
    <w:p w:rsidR="00927A61" w:rsidRDefault="00927A61" w:rsidP="00A40574">
      <w:pPr>
        <w:spacing w:before="0" w:after="0"/>
        <w:outlineLvl w:val="0"/>
        <w:rPr>
          <w:rFonts w:ascii="Times New Roman" w:hAnsi="Times New Roman"/>
          <w:b/>
          <w:i/>
          <w:sz w:val="24"/>
          <w:lang w:eastAsia="en-AU"/>
        </w:rPr>
      </w:pPr>
    </w:p>
    <w:p w:rsidR="00A40574" w:rsidRPr="00A40574" w:rsidRDefault="00A40574" w:rsidP="00A40574">
      <w:pPr>
        <w:spacing w:before="0" w:after="0"/>
        <w:outlineLvl w:val="0"/>
        <w:rPr>
          <w:rFonts w:ascii="Times New Roman" w:hAnsi="Times New Roman"/>
          <w:b/>
          <w:i/>
          <w:sz w:val="24"/>
          <w:lang w:eastAsia="en-AU"/>
        </w:rPr>
      </w:pPr>
      <w:r w:rsidRPr="00A40574">
        <w:rPr>
          <w:rFonts w:ascii="Times New Roman" w:hAnsi="Times New Roman"/>
          <w:b/>
          <w:i/>
          <w:sz w:val="24"/>
          <w:lang w:eastAsia="en-AU"/>
        </w:rPr>
        <w:t>The ACCC</w:t>
      </w:r>
    </w:p>
    <w:p w:rsidR="00A40574" w:rsidRPr="00A40574" w:rsidRDefault="00A40574" w:rsidP="00A40574">
      <w:pPr>
        <w:spacing w:before="0" w:after="0"/>
        <w:outlineLvl w:val="0"/>
        <w:rPr>
          <w:rFonts w:ascii="Times New Roman" w:hAnsi="Times New Roman"/>
          <w:b/>
          <w:i/>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The ACCC is established under the CCA and is responsible for functions affecting the gas and electricity industry in Australia, including:</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numPr>
          <w:ilvl w:val="0"/>
          <w:numId w:val="10"/>
        </w:numPr>
        <w:spacing w:before="0" w:after="200"/>
        <w:rPr>
          <w:rFonts w:ascii="Times New Roman" w:hAnsi="Times New Roman"/>
          <w:sz w:val="24"/>
          <w:lang w:eastAsia="en-AU"/>
        </w:rPr>
      </w:pPr>
      <w:r w:rsidRPr="00A40574">
        <w:rPr>
          <w:rFonts w:ascii="Times New Roman" w:hAnsi="Times New Roman"/>
          <w:sz w:val="24"/>
          <w:lang w:eastAsia="en-AU"/>
        </w:rPr>
        <w:t>enforcement of competition laws and authorisation of anti-competitive conduct</w:t>
      </w:r>
    </w:p>
    <w:p w:rsidR="00A40574" w:rsidRPr="00A40574" w:rsidRDefault="00A40574" w:rsidP="00A40574">
      <w:pPr>
        <w:numPr>
          <w:ilvl w:val="0"/>
          <w:numId w:val="10"/>
        </w:numPr>
        <w:spacing w:before="0" w:after="200"/>
        <w:rPr>
          <w:rFonts w:ascii="Times New Roman" w:hAnsi="Times New Roman"/>
          <w:sz w:val="24"/>
          <w:lang w:eastAsia="en-AU"/>
        </w:rPr>
      </w:pPr>
      <w:r w:rsidRPr="00A40574">
        <w:rPr>
          <w:rFonts w:ascii="Times New Roman" w:hAnsi="Times New Roman"/>
          <w:sz w:val="24"/>
          <w:lang w:eastAsia="en-AU"/>
        </w:rPr>
        <w:t>enforcement of consumer protection and fair trading laws</w:t>
      </w:r>
    </w:p>
    <w:p w:rsidR="00A40574" w:rsidRPr="00A40574" w:rsidRDefault="00A40574" w:rsidP="00A40574">
      <w:pPr>
        <w:numPr>
          <w:ilvl w:val="0"/>
          <w:numId w:val="10"/>
        </w:numPr>
        <w:spacing w:before="0" w:after="200"/>
        <w:rPr>
          <w:rFonts w:ascii="Times New Roman" w:hAnsi="Times New Roman"/>
          <w:sz w:val="24"/>
          <w:lang w:eastAsia="en-AU"/>
        </w:rPr>
      </w:pPr>
      <w:r w:rsidRPr="00A40574">
        <w:rPr>
          <w:rFonts w:ascii="Times New Roman" w:hAnsi="Times New Roman"/>
          <w:sz w:val="24"/>
          <w:lang w:eastAsia="en-AU"/>
        </w:rPr>
        <w:t xml:space="preserve">access regulation under Part IIIA of the CCA </w:t>
      </w:r>
    </w:p>
    <w:p w:rsidR="00A40574" w:rsidRPr="00A40574" w:rsidRDefault="00A40574" w:rsidP="00A40574">
      <w:pPr>
        <w:numPr>
          <w:ilvl w:val="0"/>
          <w:numId w:val="10"/>
        </w:numPr>
        <w:spacing w:before="0" w:after="200"/>
        <w:rPr>
          <w:rFonts w:ascii="Times New Roman" w:hAnsi="Times New Roman"/>
          <w:sz w:val="24"/>
          <w:lang w:eastAsia="en-AU"/>
        </w:rPr>
      </w:pPr>
      <w:proofErr w:type="gramStart"/>
      <w:r w:rsidRPr="00A40574">
        <w:rPr>
          <w:rFonts w:ascii="Times New Roman" w:hAnsi="Times New Roman"/>
          <w:sz w:val="24"/>
          <w:lang w:eastAsia="en-AU"/>
        </w:rPr>
        <w:t>price</w:t>
      </w:r>
      <w:proofErr w:type="gramEnd"/>
      <w:r w:rsidRPr="00A40574">
        <w:rPr>
          <w:rFonts w:ascii="Times New Roman" w:hAnsi="Times New Roman"/>
          <w:sz w:val="24"/>
          <w:lang w:eastAsia="en-AU"/>
        </w:rPr>
        <w:t xml:space="preserve"> monitoring under Part VIIA of the CCA.</w:t>
      </w:r>
    </w:p>
    <w:p w:rsidR="00A40574" w:rsidRPr="00A40574" w:rsidRDefault="00A40574" w:rsidP="00A40574">
      <w:pPr>
        <w:spacing w:before="0" w:after="0"/>
        <w:rPr>
          <w:rFonts w:ascii="Times New Roman" w:hAnsi="Times New Roman"/>
          <w:b/>
          <w:sz w:val="32"/>
          <w:szCs w:val="32"/>
          <w:lang w:eastAsia="en-AU"/>
        </w:rPr>
      </w:pPr>
    </w:p>
    <w:p w:rsidR="00A40574" w:rsidRPr="00A40574" w:rsidRDefault="00A40574" w:rsidP="00A40574">
      <w:pPr>
        <w:spacing w:before="0" w:after="0"/>
        <w:outlineLvl w:val="0"/>
        <w:rPr>
          <w:rFonts w:ascii="Times New Roman" w:hAnsi="Times New Roman"/>
          <w:b/>
          <w:sz w:val="32"/>
          <w:szCs w:val="32"/>
          <w:lang w:eastAsia="en-AU"/>
        </w:rPr>
      </w:pPr>
      <w:r w:rsidRPr="00A40574">
        <w:rPr>
          <w:rFonts w:ascii="Times New Roman" w:hAnsi="Times New Roman"/>
          <w:b/>
          <w:sz w:val="32"/>
          <w:szCs w:val="32"/>
          <w:lang w:eastAsia="en-AU"/>
        </w:rPr>
        <w:t>Part B: Operational provisions</w:t>
      </w:r>
    </w:p>
    <w:p w:rsidR="00A40574" w:rsidRPr="00A40574" w:rsidRDefault="00A40574" w:rsidP="00A40574">
      <w:pPr>
        <w:spacing w:before="0" w:after="0"/>
        <w:outlineLvl w:val="0"/>
        <w:rPr>
          <w:rFonts w:ascii="Times New Roman" w:hAnsi="Times New Roman"/>
          <w:b/>
          <w:sz w:val="32"/>
          <w:szCs w:val="32"/>
          <w:lang w:eastAsia="en-AU"/>
        </w:rPr>
      </w:pPr>
    </w:p>
    <w:p w:rsidR="00A40574" w:rsidRPr="00A40574" w:rsidRDefault="00A40574" w:rsidP="00A40574">
      <w:pPr>
        <w:numPr>
          <w:ilvl w:val="0"/>
          <w:numId w:val="11"/>
        </w:numPr>
        <w:spacing w:before="0" w:after="200" w:line="276" w:lineRule="auto"/>
        <w:ind w:hanging="1080"/>
        <w:rPr>
          <w:rFonts w:ascii="Times New Roman" w:hAnsi="Times New Roman"/>
          <w:b/>
          <w:sz w:val="28"/>
          <w:lang w:eastAsia="en-AU"/>
        </w:rPr>
      </w:pPr>
      <w:r w:rsidRPr="00A40574">
        <w:rPr>
          <w:rFonts w:ascii="Times New Roman" w:hAnsi="Times New Roman"/>
          <w:b/>
          <w:sz w:val="28"/>
          <w:lang w:eastAsia="en-AU"/>
        </w:rPr>
        <w:t>Keeping each other informed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Each agency recognises that in the course of performing and exercising its duties, functions and powers it may come into possession of information which could assist the other agencies to fulfil their responsibilities. Each agency will use reasonable endeavours to notify the relevant agency in a timely manner of the existence of such information, even if it has not received a request from that agency to do so.</w:t>
      </w:r>
    </w:p>
    <w:p w:rsidR="00A40574" w:rsidRPr="00A40574" w:rsidRDefault="00A40574" w:rsidP="00A40574">
      <w:pPr>
        <w:spacing w:before="0" w:after="0"/>
        <w:rPr>
          <w:rFonts w:ascii="Times New Roman" w:hAnsi="Times New Roman"/>
          <w:sz w:val="24"/>
          <w:lang w:eastAsia="en-AU"/>
        </w:rPr>
      </w:pPr>
      <w:bookmarkStart w:id="27" w:name="_Toc498511228"/>
      <w:bookmarkStart w:id="28" w:name="_Toc498512351"/>
      <w:bookmarkStart w:id="29" w:name="_Toc498513056"/>
      <w:bookmarkStart w:id="30" w:name="_Toc498513089"/>
      <w:bookmarkStart w:id="31" w:name="_Toc498513263"/>
      <w:bookmarkStart w:id="32" w:name="_Toc498513343"/>
      <w:bookmarkStart w:id="33" w:name="_Toc498521682"/>
      <w:bookmarkStart w:id="34" w:name="_Toc498521796"/>
      <w:bookmarkStart w:id="35" w:name="_Toc498521854"/>
      <w:bookmarkStart w:id="36" w:name="_Toc498521878"/>
      <w:bookmarkStart w:id="37" w:name="_Toc498521925"/>
      <w:bookmarkStart w:id="38" w:name="_Toc500665635"/>
      <w:bookmarkStart w:id="39" w:name="_Toc500666253"/>
      <w:bookmarkStart w:id="40" w:name="_Toc500666339"/>
      <w:bookmarkStart w:id="41" w:name="_Toc500666540"/>
      <w:bookmarkStart w:id="42" w:name="_Toc500666600"/>
      <w:bookmarkStart w:id="43" w:name="_Toc500666654"/>
      <w:bookmarkStart w:id="44" w:name="_Toc500666709"/>
      <w:bookmarkStart w:id="45" w:name="_Toc500668348"/>
      <w:bookmarkStart w:id="46" w:name="_Toc532183625"/>
      <w:bookmarkStart w:id="47" w:name="_Toc532629514"/>
      <w:bookmarkStart w:id="48" w:name="_Toc532629632"/>
      <w:bookmarkStart w:id="49" w:name="_Toc532629797"/>
      <w:bookmarkStart w:id="50" w:name="_Toc532630107"/>
      <w:bookmarkStart w:id="51" w:name="_Toc52695782"/>
    </w:p>
    <w:p w:rsidR="00A40574" w:rsidRPr="00A40574" w:rsidRDefault="00A40574" w:rsidP="00A40574">
      <w:pPr>
        <w:numPr>
          <w:ilvl w:val="0"/>
          <w:numId w:val="11"/>
        </w:numPr>
        <w:spacing w:before="0" w:after="200" w:line="276" w:lineRule="auto"/>
        <w:ind w:hanging="1080"/>
        <w:rPr>
          <w:rFonts w:ascii="Times New Roman" w:hAnsi="Times New Roman"/>
          <w:b/>
          <w:sz w:val="28"/>
          <w:szCs w:val="28"/>
          <w:lang w:eastAsia="en-AU"/>
        </w:rPr>
      </w:pPr>
      <w:r w:rsidRPr="00A40574">
        <w:rPr>
          <w:rFonts w:ascii="Times New Roman" w:hAnsi="Times New Roman"/>
          <w:b/>
          <w:sz w:val="28"/>
          <w:szCs w:val="28"/>
          <w:lang w:eastAsia="en-AU"/>
        </w:rPr>
        <w:t xml:space="preserve">Information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A40574">
        <w:rPr>
          <w:rFonts w:ascii="Times New Roman" w:hAnsi="Times New Roman"/>
          <w:b/>
          <w:sz w:val="28"/>
          <w:szCs w:val="28"/>
          <w:lang w:eastAsia="en-AU"/>
        </w:rPr>
        <w:t>sharing</w:t>
      </w: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 xml:space="preserve">The agencies have been empowered to share information to assist each other in the performance and exercise of their respective duties, functions and powers. </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The agencies will use their best endeavours to provide, in a timely manner, relevant information that has been requested by the other agency, subject to any relevant legal or operational considerations.</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numPr>
          <w:ilvl w:val="0"/>
          <w:numId w:val="11"/>
        </w:numPr>
        <w:spacing w:before="0" w:after="200" w:line="276" w:lineRule="auto"/>
        <w:ind w:hanging="1080"/>
        <w:rPr>
          <w:rFonts w:ascii="Times New Roman" w:hAnsi="Times New Roman"/>
          <w:b/>
          <w:sz w:val="28"/>
          <w:szCs w:val="28"/>
          <w:lang w:eastAsia="en-AU"/>
        </w:rPr>
      </w:pPr>
      <w:bookmarkStart w:id="52" w:name="_Toc498511232"/>
      <w:bookmarkStart w:id="53" w:name="_Toc498512355"/>
      <w:bookmarkStart w:id="54" w:name="_Toc498513060"/>
      <w:bookmarkStart w:id="55" w:name="_Toc498513093"/>
      <w:bookmarkStart w:id="56" w:name="_Toc498513267"/>
      <w:bookmarkStart w:id="57" w:name="_Toc498513347"/>
      <w:bookmarkStart w:id="58" w:name="_Toc498521686"/>
      <w:bookmarkStart w:id="59" w:name="_Toc498521800"/>
      <w:bookmarkStart w:id="60" w:name="_Toc498521858"/>
      <w:bookmarkStart w:id="61" w:name="_Toc498521882"/>
      <w:bookmarkStart w:id="62" w:name="_Toc498521929"/>
      <w:bookmarkStart w:id="63" w:name="_Toc500665639"/>
      <w:bookmarkStart w:id="64" w:name="_Toc500666257"/>
      <w:bookmarkStart w:id="65" w:name="_Toc500666343"/>
      <w:bookmarkStart w:id="66" w:name="_Toc500666544"/>
      <w:bookmarkStart w:id="67" w:name="_Toc500666604"/>
      <w:bookmarkStart w:id="68" w:name="_Toc500666658"/>
      <w:bookmarkStart w:id="69" w:name="_Toc500666713"/>
      <w:bookmarkStart w:id="70" w:name="_Toc500668352"/>
      <w:bookmarkStart w:id="71" w:name="_Toc532183629"/>
      <w:bookmarkStart w:id="72" w:name="_Toc532629515"/>
      <w:bookmarkStart w:id="73" w:name="_Toc532629633"/>
      <w:bookmarkStart w:id="74" w:name="_Toc532629798"/>
      <w:bookmarkStart w:id="75" w:name="_Toc532630110"/>
      <w:bookmarkStart w:id="76" w:name="_Toc52695783"/>
      <w:r w:rsidRPr="00A40574">
        <w:rPr>
          <w:rFonts w:ascii="Times New Roman" w:hAnsi="Times New Roman"/>
          <w:b/>
          <w:sz w:val="28"/>
          <w:szCs w:val="28"/>
          <w:lang w:eastAsia="en-AU"/>
        </w:rPr>
        <w:t>Confidential information</w:t>
      </w: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The agencies each have statutory obligations and powers in relation to the use and disclosure of confidential information in the performance of their functions. The agencies recognise that the disclosure of confidential information could adversely affect both the operations of that agency and the interests of the original provider.</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 xml:space="preserve">Where: </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numPr>
          <w:ilvl w:val="0"/>
          <w:numId w:val="10"/>
        </w:numPr>
        <w:spacing w:before="0" w:after="200"/>
        <w:rPr>
          <w:rFonts w:ascii="Times New Roman" w:hAnsi="Times New Roman"/>
          <w:sz w:val="24"/>
          <w:lang w:eastAsia="en-AU"/>
        </w:rPr>
      </w:pPr>
      <w:r w:rsidRPr="00A40574">
        <w:rPr>
          <w:rFonts w:ascii="Times New Roman" w:hAnsi="Times New Roman"/>
          <w:sz w:val="24"/>
          <w:lang w:eastAsia="en-AU"/>
        </w:rPr>
        <w:t xml:space="preserve">the ACCC/AER requests information from the AEMC, or </w:t>
      </w:r>
    </w:p>
    <w:p w:rsidR="00A40574" w:rsidRPr="00A40574" w:rsidRDefault="00A40574" w:rsidP="00A40574">
      <w:pPr>
        <w:numPr>
          <w:ilvl w:val="0"/>
          <w:numId w:val="10"/>
        </w:numPr>
        <w:spacing w:before="0" w:after="200"/>
        <w:rPr>
          <w:rFonts w:ascii="Times New Roman" w:hAnsi="Times New Roman"/>
          <w:sz w:val="24"/>
          <w:lang w:eastAsia="en-AU"/>
        </w:rPr>
      </w:pPr>
      <w:r w:rsidRPr="00A40574">
        <w:rPr>
          <w:rFonts w:ascii="Times New Roman" w:hAnsi="Times New Roman"/>
          <w:sz w:val="24"/>
          <w:lang w:eastAsia="en-AU"/>
        </w:rPr>
        <w:t>the AEMC requests information from the ACCC/AER</w:t>
      </w:r>
    </w:p>
    <w:p w:rsidR="00A40574" w:rsidRPr="00A40574" w:rsidRDefault="00A40574" w:rsidP="00A40574">
      <w:pPr>
        <w:spacing w:before="0" w:after="0"/>
        <w:rPr>
          <w:rFonts w:ascii="Times New Roman" w:hAnsi="Times New Roman"/>
          <w:sz w:val="24"/>
          <w:lang w:eastAsia="en-AU"/>
        </w:rPr>
      </w:pPr>
      <w:proofErr w:type="gramStart"/>
      <w:r w:rsidRPr="00A40574">
        <w:rPr>
          <w:rFonts w:ascii="Times New Roman" w:hAnsi="Times New Roman"/>
          <w:sz w:val="24"/>
          <w:lang w:eastAsia="en-AU"/>
        </w:rPr>
        <w:t>the</w:t>
      </w:r>
      <w:proofErr w:type="gramEnd"/>
      <w:r w:rsidRPr="00A40574">
        <w:rPr>
          <w:rFonts w:ascii="Times New Roman" w:hAnsi="Times New Roman"/>
          <w:sz w:val="24"/>
          <w:lang w:eastAsia="en-AU"/>
        </w:rPr>
        <w:t xml:space="preserve"> agencies agree that: </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numPr>
          <w:ilvl w:val="0"/>
          <w:numId w:val="10"/>
        </w:numPr>
        <w:spacing w:before="0" w:after="200"/>
        <w:rPr>
          <w:rFonts w:ascii="Times New Roman" w:hAnsi="Times New Roman"/>
          <w:sz w:val="24"/>
          <w:lang w:eastAsia="en-AU"/>
        </w:rPr>
      </w:pPr>
      <w:r w:rsidRPr="00A40574">
        <w:rPr>
          <w:rFonts w:ascii="Times New Roman" w:hAnsi="Times New Roman"/>
          <w:sz w:val="24"/>
          <w:lang w:eastAsia="en-AU"/>
        </w:rPr>
        <w:t>they will, subject to any confidentiality obligations to third parties and to any requirements of the law, share confidential information</w:t>
      </w:r>
    </w:p>
    <w:p w:rsidR="00A40574" w:rsidRPr="00A40574" w:rsidRDefault="00A40574" w:rsidP="00A40574">
      <w:pPr>
        <w:numPr>
          <w:ilvl w:val="0"/>
          <w:numId w:val="10"/>
        </w:numPr>
        <w:spacing w:before="0" w:after="200"/>
        <w:rPr>
          <w:rFonts w:ascii="Times New Roman" w:hAnsi="Times New Roman"/>
          <w:sz w:val="24"/>
          <w:lang w:eastAsia="en-AU"/>
        </w:rPr>
      </w:pPr>
      <w:r w:rsidRPr="00A40574">
        <w:rPr>
          <w:rFonts w:ascii="Times New Roman" w:hAnsi="Times New Roman"/>
          <w:sz w:val="24"/>
          <w:lang w:eastAsia="en-AU"/>
        </w:rPr>
        <w:lastRenderedPageBreak/>
        <w:t>the agency providing confidential information will identify what is confidential in any information it provides to the requesting agency</w:t>
      </w:r>
    </w:p>
    <w:p w:rsidR="00A40574" w:rsidRPr="00A40574" w:rsidRDefault="00A40574" w:rsidP="00A40574">
      <w:pPr>
        <w:numPr>
          <w:ilvl w:val="0"/>
          <w:numId w:val="10"/>
        </w:numPr>
        <w:spacing w:before="0" w:after="200"/>
        <w:rPr>
          <w:rFonts w:ascii="Times New Roman" w:hAnsi="Times New Roman"/>
          <w:sz w:val="24"/>
          <w:lang w:eastAsia="en-AU"/>
        </w:rPr>
      </w:pPr>
      <w:r w:rsidRPr="00A40574">
        <w:rPr>
          <w:rFonts w:ascii="Times New Roman" w:hAnsi="Times New Roman"/>
          <w:sz w:val="24"/>
          <w:lang w:eastAsia="en-AU"/>
        </w:rPr>
        <w:t>the requesting agency will treat information that is so identified as confidential</w:t>
      </w:r>
    </w:p>
    <w:p w:rsidR="00A40574" w:rsidRDefault="00A40574" w:rsidP="00927A61">
      <w:pPr>
        <w:numPr>
          <w:ilvl w:val="0"/>
          <w:numId w:val="10"/>
        </w:numPr>
        <w:spacing w:before="0" w:after="0"/>
        <w:rPr>
          <w:rFonts w:ascii="Times New Roman" w:hAnsi="Times New Roman"/>
          <w:sz w:val="24"/>
          <w:lang w:eastAsia="en-AU"/>
        </w:rPr>
      </w:pPr>
      <w:proofErr w:type="gramStart"/>
      <w:r w:rsidRPr="00A40574">
        <w:rPr>
          <w:rFonts w:ascii="Times New Roman" w:hAnsi="Times New Roman"/>
          <w:sz w:val="24"/>
          <w:lang w:eastAsia="en-AU"/>
        </w:rPr>
        <w:t>where</w:t>
      </w:r>
      <w:proofErr w:type="gramEnd"/>
      <w:r w:rsidRPr="00A40574">
        <w:rPr>
          <w:rFonts w:ascii="Times New Roman" w:hAnsi="Times New Roman"/>
          <w:sz w:val="24"/>
          <w:lang w:eastAsia="en-AU"/>
        </w:rPr>
        <w:t xml:space="preserve"> the requesting agency has a legal obligation to disclose confidential information provided, it will notify the agency that provided the information.</w:t>
      </w:r>
    </w:p>
    <w:p w:rsidR="00927A61" w:rsidRPr="00A40574" w:rsidRDefault="00927A61" w:rsidP="00927A61">
      <w:pPr>
        <w:spacing w:before="0" w:after="0"/>
        <w:rPr>
          <w:rFonts w:ascii="Times New Roman" w:hAnsi="Times New Roman"/>
          <w:sz w:val="24"/>
          <w:lang w:eastAsia="en-AU"/>
        </w:rPr>
      </w:pPr>
    </w:p>
    <w:p w:rsidR="00A40574" w:rsidRPr="00A40574" w:rsidRDefault="00A40574" w:rsidP="00A40574">
      <w:pPr>
        <w:numPr>
          <w:ilvl w:val="0"/>
          <w:numId w:val="11"/>
        </w:numPr>
        <w:spacing w:before="0" w:after="200" w:line="276" w:lineRule="auto"/>
        <w:ind w:hanging="1080"/>
        <w:rPr>
          <w:rFonts w:ascii="Times New Roman" w:hAnsi="Times New Roman"/>
          <w:b/>
          <w:sz w:val="28"/>
          <w:szCs w:val="28"/>
          <w:lang w:eastAsia="en-AU"/>
        </w:rPr>
      </w:pPr>
      <w:r w:rsidRPr="00A40574">
        <w:rPr>
          <w:rFonts w:ascii="Times New Roman" w:hAnsi="Times New Roman"/>
          <w:b/>
          <w:sz w:val="28"/>
          <w:szCs w:val="28"/>
          <w:lang w:eastAsia="en-AU"/>
        </w:rPr>
        <w:t>Consultation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A40574">
        <w:rPr>
          <w:rFonts w:ascii="Times New Roman" w:hAnsi="Times New Roman"/>
          <w:b/>
          <w:sz w:val="28"/>
          <w:szCs w:val="28"/>
          <w:lang w:eastAsia="en-AU"/>
        </w:rPr>
        <w:t xml:space="preserve"> and cooperation</w:t>
      </w: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The agencies agree that there will be regular cooperation and liaison between them in relation to their respective functions, powers and duties.</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Where appropriate, the agencies will consult with each other on the performance of their responsibilities (including formal decisions and public statements that may be of interest to or have an effect on the other agency) and on issues relevant to the further development of energy markets.</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 xml:space="preserve">In particular, the AEMC will at an early stage in the rule making process, and prior to preparing a draft rule determination, consult on implementation issues with the AER/ACCC in relation to: </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numPr>
          <w:ilvl w:val="0"/>
          <w:numId w:val="10"/>
        </w:numPr>
        <w:spacing w:before="0" w:after="200"/>
        <w:rPr>
          <w:rFonts w:ascii="Times New Roman" w:hAnsi="Times New Roman"/>
          <w:sz w:val="24"/>
          <w:lang w:eastAsia="en-AU"/>
        </w:rPr>
      </w:pPr>
      <w:r w:rsidRPr="00A40574">
        <w:rPr>
          <w:rFonts w:ascii="Times New Roman" w:hAnsi="Times New Roman"/>
          <w:sz w:val="24"/>
          <w:lang w:eastAsia="en-AU"/>
        </w:rPr>
        <w:t>compliance, enforcement and economic regulation issues</w:t>
      </w:r>
    </w:p>
    <w:p w:rsidR="00A40574" w:rsidRPr="00A40574" w:rsidRDefault="00A40574" w:rsidP="00A40574">
      <w:pPr>
        <w:numPr>
          <w:ilvl w:val="0"/>
          <w:numId w:val="10"/>
        </w:numPr>
        <w:spacing w:before="0" w:after="200"/>
        <w:rPr>
          <w:rFonts w:ascii="Times New Roman" w:hAnsi="Times New Roman"/>
          <w:sz w:val="24"/>
          <w:lang w:eastAsia="en-AU"/>
        </w:rPr>
      </w:pPr>
      <w:r w:rsidRPr="00A40574">
        <w:rPr>
          <w:rFonts w:ascii="Times New Roman" w:hAnsi="Times New Roman"/>
          <w:sz w:val="24"/>
          <w:lang w:eastAsia="en-AU"/>
        </w:rPr>
        <w:t>access issues (pending certification of a national energy access regime)</w:t>
      </w:r>
    </w:p>
    <w:p w:rsidR="00A40574" w:rsidRDefault="00A40574" w:rsidP="00927A61">
      <w:pPr>
        <w:numPr>
          <w:ilvl w:val="0"/>
          <w:numId w:val="10"/>
        </w:numPr>
        <w:spacing w:before="0" w:after="0"/>
        <w:ind w:left="357" w:hanging="357"/>
        <w:rPr>
          <w:rFonts w:ascii="Times New Roman" w:hAnsi="Times New Roman"/>
          <w:sz w:val="24"/>
          <w:lang w:eastAsia="en-AU"/>
        </w:rPr>
      </w:pPr>
      <w:proofErr w:type="gramStart"/>
      <w:r w:rsidRPr="00A40574">
        <w:rPr>
          <w:rFonts w:ascii="Times New Roman" w:hAnsi="Times New Roman"/>
          <w:sz w:val="24"/>
          <w:lang w:eastAsia="en-AU"/>
        </w:rPr>
        <w:t>competition</w:t>
      </w:r>
      <w:proofErr w:type="gramEnd"/>
      <w:r w:rsidRPr="00A40574">
        <w:rPr>
          <w:rFonts w:ascii="Times New Roman" w:hAnsi="Times New Roman"/>
          <w:sz w:val="24"/>
          <w:lang w:eastAsia="en-AU"/>
        </w:rPr>
        <w:t xml:space="preserve"> issues.</w:t>
      </w:r>
    </w:p>
    <w:p w:rsidR="00927A61" w:rsidRPr="00A40574" w:rsidRDefault="00927A61" w:rsidP="00927A61">
      <w:pPr>
        <w:spacing w:before="0" w:after="0"/>
        <w:rPr>
          <w:rFonts w:ascii="Times New Roman" w:hAnsi="Times New Roman"/>
          <w:sz w:val="24"/>
          <w:lang w:eastAsia="en-AU"/>
        </w:rPr>
      </w:pPr>
    </w:p>
    <w:p w:rsidR="00A40574" w:rsidRPr="00A40574" w:rsidRDefault="00A40574" w:rsidP="00A40574">
      <w:pPr>
        <w:numPr>
          <w:ilvl w:val="0"/>
          <w:numId w:val="11"/>
        </w:numPr>
        <w:spacing w:before="0" w:after="200" w:line="276" w:lineRule="auto"/>
        <w:ind w:hanging="1080"/>
        <w:rPr>
          <w:rFonts w:ascii="Times New Roman" w:hAnsi="Times New Roman"/>
          <w:b/>
          <w:sz w:val="28"/>
          <w:szCs w:val="28"/>
          <w:lang w:eastAsia="en-AU"/>
        </w:rPr>
      </w:pPr>
      <w:bookmarkStart w:id="77" w:name="_Toc498511245"/>
      <w:bookmarkStart w:id="78" w:name="_Toc498512369"/>
      <w:bookmarkStart w:id="79" w:name="_Toc498513074"/>
      <w:bookmarkStart w:id="80" w:name="_Toc498513107"/>
      <w:bookmarkStart w:id="81" w:name="_Toc498513281"/>
      <w:bookmarkStart w:id="82" w:name="_Toc498513361"/>
      <w:bookmarkStart w:id="83" w:name="_Toc498521700"/>
      <w:bookmarkStart w:id="84" w:name="_Toc498521814"/>
      <w:bookmarkStart w:id="85" w:name="_Toc498521872"/>
      <w:bookmarkStart w:id="86" w:name="_Toc498521896"/>
      <w:bookmarkStart w:id="87" w:name="_Toc498521943"/>
      <w:bookmarkStart w:id="88" w:name="_Toc500665653"/>
      <w:bookmarkStart w:id="89" w:name="_Toc500666271"/>
      <w:bookmarkStart w:id="90" w:name="_Toc500666357"/>
      <w:bookmarkStart w:id="91" w:name="_Toc500666558"/>
      <w:bookmarkStart w:id="92" w:name="_Toc500666618"/>
      <w:bookmarkStart w:id="93" w:name="_Toc500666672"/>
      <w:bookmarkStart w:id="94" w:name="_Toc500666727"/>
      <w:bookmarkStart w:id="95" w:name="_Toc500668366"/>
      <w:bookmarkStart w:id="96" w:name="_Toc532183643"/>
      <w:bookmarkStart w:id="97" w:name="_Toc532629516"/>
      <w:bookmarkStart w:id="98" w:name="_Toc532629634"/>
      <w:bookmarkStart w:id="99" w:name="_Toc532629799"/>
      <w:bookmarkStart w:id="100" w:name="_Toc532630111"/>
      <w:bookmarkStart w:id="101" w:name="_Toc52695784"/>
      <w:r w:rsidRPr="00A40574">
        <w:rPr>
          <w:rFonts w:ascii="Times New Roman" w:hAnsi="Times New Roman"/>
          <w:b/>
          <w:sz w:val="28"/>
          <w:szCs w:val="28"/>
          <w:lang w:eastAsia="en-AU"/>
        </w:rPr>
        <w:t>Regular meetings between agencies</w:t>
      </w: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 xml:space="preserve">Chairpersons of the AEMC and AER or a nominated commissioner / board member will meet at least every six months to assess the operation of the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xml:space="preserve"> and the ongoing relationships between the agencies as the bodies responsible for administration of the Australian energy market regulatory arrangements. </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 xml:space="preserve">The AEMC and AER will also meet at an executive or senior officer level at least every three months to discuss the implementation of this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xml:space="preserve"> and the development and ongoing effectiveness of regulatory arrangements. An ACCC representative may also attend these meetings. Where an ACCC representative is not present, the AER representative will communicate all relevant matters discussed to the ACCC. Other contacts between staff of the agencies will take place as required.</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numPr>
          <w:ilvl w:val="0"/>
          <w:numId w:val="11"/>
        </w:numPr>
        <w:spacing w:before="0" w:after="200" w:line="276" w:lineRule="auto"/>
        <w:ind w:hanging="1080"/>
        <w:rPr>
          <w:rFonts w:ascii="Times New Roman" w:hAnsi="Times New Roman"/>
          <w:b/>
          <w:sz w:val="28"/>
          <w:szCs w:val="28"/>
          <w:lang w:eastAsia="en-AU"/>
        </w:rPr>
      </w:pPr>
      <w:r w:rsidRPr="00A40574">
        <w:rPr>
          <w:rFonts w:ascii="Times New Roman" w:hAnsi="Times New Roman"/>
          <w:b/>
          <w:sz w:val="28"/>
          <w:szCs w:val="28"/>
          <w:lang w:eastAsia="en-AU"/>
        </w:rPr>
        <w:t xml:space="preserve">Staff </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A40574">
        <w:rPr>
          <w:rFonts w:ascii="Times New Roman" w:hAnsi="Times New Roman"/>
          <w:b/>
          <w:sz w:val="28"/>
          <w:szCs w:val="28"/>
          <w:lang w:eastAsia="en-AU"/>
        </w:rPr>
        <w:t>exchange</w:t>
      </w: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The agencies recognise that staff exchange arrangements can provide benefits to them by the sharing of expertise, training and staff development opportunities. The agencies will seek to identify appropriate opportunities to exchange staff.</w:t>
      </w:r>
    </w:p>
    <w:p w:rsidR="00927A61" w:rsidRDefault="00927A61" w:rsidP="00927A61">
      <w:pPr>
        <w:spacing w:before="0" w:after="200" w:line="276" w:lineRule="auto"/>
        <w:rPr>
          <w:rFonts w:ascii="Times New Roman" w:hAnsi="Times New Roman"/>
          <w:sz w:val="24"/>
          <w:lang w:eastAsia="en-AU"/>
        </w:rPr>
      </w:pPr>
    </w:p>
    <w:p w:rsidR="00927A61" w:rsidRDefault="00927A61" w:rsidP="00927A61">
      <w:pPr>
        <w:spacing w:before="0" w:after="200" w:line="276" w:lineRule="auto"/>
        <w:rPr>
          <w:rFonts w:ascii="Times New Roman" w:hAnsi="Times New Roman"/>
          <w:b/>
          <w:sz w:val="28"/>
          <w:szCs w:val="28"/>
          <w:lang w:eastAsia="en-AU"/>
        </w:rPr>
      </w:pPr>
    </w:p>
    <w:p w:rsidR="00A40574" w:rsidRPr="00A40574" w:rsidRDefault="00A40574" w:rsidP="00A40574">
      <w:pPr>
        <w:numPr>
          <w:ilvl w:val="0"/>
          <w:numId w:val="11"/>
        </w:numPr>
        <w:spacing w:before="0" w:after="200" w:line="276" w:lineRule="auto"/>
        <w:ind w:hanging="1080"/>
        <w:rPr>
          <w:rFonts w:ascii="Times New Roman" w:hAnsi="Times New Roman"/>
          <w:b/>
          <w:sz w:val="28"/>
          <w:szCs w:val="28"/>
          <w:lang w:eastAsia="en-AU"/>
        </w:rPr>
      </w:pPr>
      <w:r w:rsidRPr="00A40574">
        <w:rPr>
          <w:rFonts w:ascii="Times New Roman" w:hAnsi="Times New Roman"/>
          <w:b/>
          <w:sz w:val="28"/>
          <w:szCs w:val="28"/>
          <w:lang w:eastAsia="en-AU"/>
        </w:rPr>
        <w:t xml:space="preserve">Management of the </w:t>
      </w:r>
      <w:proofErr w:type="spellStart"/>
      <w:r w:rsidRPr="00A40574">
        <w:rPr>
          <w:rFonts w:ascii="Times New Roman" w:hAnsi="Times New Roman"/>
          <w:b/>
          <w:sz w:val="28"/>
          <w:szCs w:val="28"/>
          <w:lang w:eastAsia="en-AU"/>
        </w:rPr>
        <w:t>MoU</w:t>
      </w:r>
      <w:proofErr w:type="spellEnd"/>
    </w:p>
    <w:p w:rsidR="00A40574" w:rsidRPr="00A40574" w:rsidRDefault="00A40574" w:rsidP="00A40574">
      <w:pPr>
        <w:spacing w:before="0" w:after="0"/>
        <w:outlineLvl w:val="0"/>
        <w:rPr>
          <w:rFonts w:ascii="Times New Roman" w:hAnsi="Times New Roman"/>
          <w:b/>
          <w:i/>
          <w:sz w:val="24"/>
          <w:lang w:eastAsia="en-AU"/>
        </w:rPr>
      </w:pPr>
      <w:r w:rsidRPr="00A40574">
        <w:rPr>
          <w:rFonts w:ascii="Times New Roman" w:hAnsi="Times New Roman"/>
          <w:b/>
          <w:i/>
          <w:sz w:val="24"/>
          <w:lang w:eastAsia="en-AU"/>
        </w:rPr>
        <w:lastRenderedPageBreak/>
        <w:t>Liaison officers</w:t>
      </w:r>
    </w:p>
    <w:p w:rsidR="00A40574" w:rsidRPr="00A40574" w:rsidRDefault="00A40574" w:rsidP="00A40574">
      <w:pPr>
        <w:spacing w:before="0" w:after="0"/>
        <w:outlineLvl w:val="0"/>
        <w:rPr>
          <w:rFonts w:ascii="Times New Roman" w:hAnsi="Times New Roman"/>
          <w:b/>
          <w:i/>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 xml:space="preserve">The AEMC and the ACCC/AER will nominate a liaison officer to serve as a point of contact in relation to matters arising under this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xml:space="preserve"> and to be responsible for general liaison under this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xml:space="preserve"> and subsequent cooperation arrangements between the agencies.</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outlineLvl w:val="0"/>
        <w:rPr>
          <w:rFonts w:ascii="Times New Roman" w:hAnsi="Times New Roman"/>
          <w:b/>
          <w:i/>
          <w:sz w:val="24"/>
          <w:lang w:eastAsia="en-AU"/>
        </w:rPr>
      </w:pPr>
      <w:r w:rsidRPr="00A40574">
        <w:rPr>
          <w:rFonts w:ascii="Times New Roman" w:hAnsi="Times New Roman"/>
          <w:b/>
          <w:i/>
          <w:sz w:val="24"/>
          <w:lang w:eastAsia="en-AU"/>
        </w:rPr>
        <w:t>Disagreements</w:t>
      </w:r>
    </w:p>
    <w:p w:rsidR="00A40574" w:rsidRPr="00A40574" w:rsidRDefault="00A40574" w:rsidP="00A40574">
      <w:pPr>
        <w:spacing w:before="0" w:after="0"/>
        <w:outlineLvl w:val="0"/>
        <w:rPr>
          <w:rFonts w:ascii="Times New Roman" w:hAnsi="Times New Roman"/>
          <w:b/>
          <w:i/>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 xml:space="preserve">In the event of any disagreement between the agencies as to the implementation of this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xml:space="preserve"> or the performance of their respective functions, powers and duties, the chief executive officers of the agencies (or their delegates) will seek to resolve the matter in accordance with the principles of this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outlineLvl w:val="0"/>
        <w:rPr>
          <w:rFonts w:ascii="Times New Roman" w:hAnsi="Times New Roman"/>
          <w:b/>
          <w:i/>
          <w:sz w:val="24"/>
          <w:lang w:eastAsia="en-AU"/>
        </w:rPr>
      </w:pPr>
      <w:r w:rsidRPr="00A40574">
        <w:rPr>
          <w:rFonts w:ascii="Times New Roman" w:hAnsi="Times New Roman"/>
          <w:b/>
          <w:i/>
          <w:sz w:val="24"/>
          <w:lang w:eastAsia="en-AU"/>
        </w:rPr>
        <w:t>Review</w:t>
      </w:r>
    </w:p>
    <w:p w:rsidR="00A40574" w:rsidRPr="00A40574" w:rsidRDefault="00A40574" w:rsidP="00A40574">
      <w:pPr>
        <w:spacing w:before="0" w:after="0"/>
        <w:outlineLvl w:val="0"/>
        <w:rPr>
          <w:rFonts w:ascii="Times New Roman" w:hAnsi="Times New Roman"/>
          <w:b/>
          <w:i/>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 xml:space="preserve">The agencies will review this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xml:space="preserve"> within five years. </w:t>
      </w:r>
    </w:p>
    <w:p w:rsidR="00A40574" w:rsidRPr="00A40574" w:rsidRDefault="00A40574" w:rsidP="00A40574">
      <w:pPr>
        <w:spacing w:before="0" w:after="0"/>
        <w:rPr>
          <w:rFonts w:ascii="Times New Roman" w:hAnsi="Times New Roman"/>
          <w:sz w:val="24"/>
          <w:highlight w:val="cyan"/>
          <w:lang w:eastAsia="en-AU"/>
        </w:rPr>
      </w:pPr>
    </w:p>
    <w:p w:rsidR="00A40574" w:rsidRPr="00A40574" w:rsidRDefault="00A40574" w:rsidP="00A40574">
      <w:pPr>
        <w:spacing w:before="0" w:after="0"/>
        <w:outlineLvl w:val="0"/>
        <w:rPr>
          <w:rFonts w:ascii="Times New Roman" w:hAnsi="Times New Roman"/>
          <w:b/>
          <w:i/>
          <w:sz w:val="24"/>
          <w:lang w:eastAsia="en-AU"/>
        </w:rPr>
      </w:pPr>
      <w:r w:rsidRPr="00A40574">
        <w:rPr>
          <w:rFonts w:ascii="Times New Roman" w:hAnsi="Times New Roman"/>
          <w:b/>
          <w:i/>
          <w:sz w:val="24"/>
          <w:lang w:eastAsia="en-AU"/>
        </w:rPr>
        <w:t>Publication</w:t>
      </w:r>
    </w:p>
    <w:p w:rsidR="00A40574" w:rsidRPr="00A40574" w:rsidRDefault="00A40574" w:rsidP="00A40574">
      <w:pPr>
        <w:spacing w:before="0" w:after="0"/>
        <w:outlineLvl w:val="0"/>
        <w:rPr>
          <w:rFonts w:ascii="Times New Roman" w:hAnsi="Times New Roman"/>
          <w:b/>
          <w:i/>
          <w:sz w:val="24"/>
          <w:lang w:eastAsia="en-AU"/>
        </w:rPr>
      </w:pPr>
    </w:p>
    <w:p w:rsidR="00A40574" w:rsidRPr="00A40574" w:rsidRDefault="00A40574" w:rsidP="00A40574">
      <w:pPr>
        <w:spacing w:before="0" w:after="0"/>
        <w:outlineLvl w:val="0"/>
        <w:rPr>
          <w:rFonts w:ascii="Times New Roman" w:hAnsi="Times New Roman"/>
          <w:sz w:val="24"/>
          <w:lang w:eastAsia="en-AU"/>
        </w:rPr>
      </w:pPr>
      <w:r w:rsidRPr="00A40574">
        <w:rPr>
          <w:rFonts w:ascii="Times New Roman" w:hAnsi="Times New Roman"/>
          <w:sz w:val="24"/>
          <w:lang w:eastAsia="en-AU"/>
        </w:rPr>
        <w:t xml:space="preserve">This </w:t>
      </w:r>
      <w:proofErr w:type="spellStart"/>
      <w:r w:rsidRPr="00A40574">
        <w:rPr>
          <w:rFonts w:ascii="Times New Roman" w:hAnsi="Times New Roman"/>
          <w:sz w:val="24"/>
          <w:lang w:eastAsia="en-AU"/>
        </w:rPr>
        <w:t>MoU</w:t>
      </w:r>
      <w:proofErr w:type="spellEnd"/>
      <w:r w:rsidRPr="00A40574">
        <w:rPr>
          <w:rFonts w:ascii="Times New Roman" w:hAnsi="Times New Roman"/>
          <w:sz w:val="24"/>
          <w:lang w:eastAsia="en-AU"/>
        </w:rPr>
        <w:t xml:space="preserve"> will be published by the agencies on their respective websites.</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Dated:</w:t>
      </w: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p>
    <w:p w:rsidR="00A40574" w:rsidRPr="00A40574" w:rsidRDefault="00A40574" w:rsidP="00A40574">
      <w:pPr>
        <w:spacing w:before="0" w:after="0"/>
        <w:rPr>
          <w:rFonts w:ascii="Times New Roman" w:hAnsi="Times New Roman"/>
          <w:sz w:val="24"/>
          <w:lang w:eastAsia="en-AU"/>
        </w:rPr>
      </w:pPr>
    </w:p>
    <w:tbl>
      <w:tblPr>
        <w:tblW w:w="0" w:type="auto"/>
        <w:tblLook w:val="04A0" w:firstRow="1" w:lastRow="0" w:firstColumn="1" w:lastColumn="0" w:noHBand="0" w:noVBand="1"/>
      </w:tblPr>
      <w:tblGrid>
        <w:gridCol w:w="3080"/>
        <w:gridCol w:w="3081"/>
        <w:gridCol w:w="3081"/>
      </w:tblGrid>
      <w:tr w:rsidR="00A40574" w:rsidRPr="00A40574" w:rsidTr="00FE035B">
        <w:tc>
          <w:tcPr>
            <w:tcW w:w="3080" w:type="dxa"/>
          </w:tcPr>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w:t>
            </w:r>
          </w:p>
        </w:tc>
        <w:tc>
          <w:tcPr>
            <w:tcW w:w="3081" w:type="dxa"/>
          </w:tcPr>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w:t>
            </w:r>
          </w:p>
        </w:tc>
        <w:tc>
          <w:tcPr>
            <w:tcW w:w="3081" w:type="dxa"/>
          </w:tcPr>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w:t>
            </w:r>
          </w:p>
        </w:tc>
      </w:tr>
      <w:tr w:rsidR="00A40574" w:rsidRPr="00A40574" w:rsidTr="00FE035B">
        <w:tc>
          <w:tcPr>
            <w:tcW w:w="3080" w:type="dxa"/>
          </w:tcPr>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JOHN PIERCE</w:t>
            </w:r>
            <w:r w:rsidRPr="00A40574">
              <w:rPr>
                <w:rFonts w:ascii="Times New Roman" w:hAnsi="Times New Roman"/>
                <w:sz w:val="24"/>
                <w:lang w:eastAsia="en-AU"/>
              </w:rPr>
              <w:tab/>
            </w:r>
            <w:r w:rsidRPr="00A40574">
              <w:rPr>
                <w:rFonts w:ascii="Times New Roman" w:hAnsi="Times New Roman"/>
                <w:sz w:val="24"/>
                <w:lang w:eastAsia="en-AU"/>
              </w:rPr>
              <w:tab/>
            </w:r>
          </w:p>
        </w:tc>
        <w:tc>
          <w:tcPr>
            <w:tcW w:w="3081" w:type="dxa"/>
          </w:tcPr>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ANDREW REEVES</w:t>
            </w:r>
          </w:p>
        </w:tc>
        <w:tc>
          <w:tcPr>
            <w:tcW w:w="3081" w:type="dxa"/>
          </w:tcPr>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ROD SIMS</w:t>
            </w:r>
          </w:p>
        </w:tc>
      </w:tr>
      <w:tr w:rsidR="00A40574" w:rsidRPr="00A40574" w:rsidTr="00FE035B">
        <w:tc>
          <w:tcPr>
            <w:tcW w:w="3080" w:type="dxa"/>
          </w:tcPr>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Chairperson</w:t>
            </w:r>
          </w:p>
        </w:tc>
        <w:tc>
          <w:tcPr>
            <w:tcW w:w="3081" w:type="dxa"/>
          </w:tcPr>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Chairperson</w:t>
            </w:r>
          </w:p>
        </w:tc>
        <w:tc>
          <w:tcPr>
            <w:tcW w:w="3081" w:type="dxa"/>
          </w:tcPr>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Chairperson</w:t>
            </w:r>
          </w:p>
        </w:tc>
      </w:tr>
      <w:tr w:rsidR="00A40574" w:rsidRPr="00A40574" w:rsidTr="00FE035B">
        <w:tc>
          <w:tcPr>
            <w:tcW w:w="3080" w:type="dxa"/>
          </w:tcPr>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Australian Energy Market Commission</w:t>
            </w:r>
          </w:p>
          <w:p w:rsidR="00A40574" w:rsidRPr="00A40574" w:rsidRDefault="00A40574" w:rsidP="00A40574">
            <w:pPr>
              <w:spacing w:before="0" w:after="0"/>
              <w:rPr>
                <w:rFonts w:ascii="Times New Roman" w:hAnsi="Times New Roman"/>
                <w:sz w:val="24"/>
                <w:lang w:eastAsia="en-AU"/>
              </w:rPr>
            </w:pPr>
          </w:p>
        </w:tc>
        <w:tc>
          <w:tcPr>
            <w:tcW w:w="3081" w:type="dxa"/>
          </w:tcPr>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Australian Energy Regulator</w:t>
            </w:r>
          </w:p>
        </w:tc>
        <w:tc>
          <w:tcPr>
            <w:tcW w:w="3081" w:type="dxa"/>
          </w:tcPr>
          <w:p w:rsidR="00A40574" w:rsidRPr="00A40574" w:rsidRDefault="00A40574" w:rsidP="00A40574">
            <w:pPr>
              <w:spacing w:before="0" w:after="0"/>
              <w:rPr>
                <w:rFonts w:ascii="Times New Roman" w:hAnsi="Times New Roman"/>
                <w:sz w:val="24"/>
                <w:lang w:eastAsia="en-AU"/>
              </w:rPr>
            </w:pPr>
            <w:r w:rsidRPr="00A40574">
              <w:rPr>
                <w:rFonts w:ascii="Times New Roman" w:hAnsi="Times New Roman"/>
                <w:sz w:val="24"/>
                <w:lang w:eastAsia="en-AU"/>
              </w:rPr>
              <w:t>Australian Competition &amp; Consumer Commission</w:t>
            </w:r>
          </w:p>
        </w:tc>
      </w:tr>
    </w:tbl>
    <w:p w:rsidR="00A40574" w:rsidRPr="00A40574" w:rsidRDefault="00A40574" w:rsidP="00A40574">
      <w:pPr>
        <w:spacing w:before="0" w:after="0"/>
        <w:rPr>
          <w:rFonts w:ascii="Times New Roman" w:hAnsi="Times New Roman"/>
          <w:sz w:val="24"/>
          <w:lang w:eastAsia="en-AU"/>
        </w:rPr>
      </w:pPr>
    </w:p>
    <w:p w:rsidR="00D35FAB" w:rsidRPr="00927A61" w:rsidRDefault="00927A61" w:rsidP="00927A61">
      <w:pPr>
        <w:spacing w:before="0" w:after="0"/>
        <w:rPr>
          <w:rFonts w:ascii="Times New Roman" w:hAnsi="Times New Roman"/>
          <w:sz w:val="24"/>
          <w:lang w:eastAsia="en-AU"/>
        </w:rPr>
      </w:pPr>
      <w:r>
        <w:rPr>
          <w:rFonts w:ascii="Times New Roman" w:hAnsi="Times New Roman"/>
          <w:sz w:val="24"/>
          <w:lang w:eastAsia="en-AU"/>
        </w:rPr>
        <w:tab/>
      </w:r>
      <w:r>
        <w:rPr>
          <w:rFonts w:ascii="Times New Roman" w:hAnsi="Times New Roman"/>
          <w:sz w:val="24"/>
          <w:lang w:eastAsia="en-AU"/>
        </w:rPr>
        <w:tab/>
      </w:r>
      <w:r>
        <w:rPr>
          <w:rFonts w:ascii="Times New Roman" w:hAnsi="Times New Roman"/>
          <w:sz w:val="24"/>
          <w:lang w:eastAsia="en-AU"/>
        </w:rPr>
        <w:tab/>
      </w:r>
    </w:p>
    <w:sectPr w:rsidR="00D35FAB" w:rsidRPr="00927A61" w:rsidSect="004B2100">
      <w:headerReference w:type="default" r:id="rId11"/>
      <w:pgSz w:w="11907" w:h="16839" w:code="9"/>
      <w:pgMar w:top="1236" w:right="1276"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CE" w:rsidRDefault="006C6ECE" w:rsidP="002C08F7">
      <w:r>
        <w:separator/>
      </w:r>
    </w:p>
    <w:p w:rsidR="006C6ECE" w:rsidRDefault="006C6ECE" w:rsidP="002C08F7"/>
  </w:endnote>
  <w:endnote w:type="continuationSeparator" w:id="0">
    <w:p w:rsidR="006C6ECE" w:rsidRDefault="006C6ECE" w:rsidP="002C08F7">
      <w:r>
        <w:continuationSeparator/>
      </w:r>
    </w:p>
    <w:p w:rsidR="006C6ECE" w:rsidRDefault="006C6ECE" w:rsidP="002C0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CE" w:rsidRDefault="006C6ECE" w:rsidP="002C08F7">
      <w:r>
        <w:separator/>
      </w:r>
    </w:p>
    <w:p w:rsidR="006C6ECE" w:rsidRDefault="006C6ECE" w:rsidP="002C08F7"/>
  </w:footnote>
  <w:footnote w:type="continuationSeparator" w:id="0">
    <w:p w:rsidR="006C6ECE" w:rsidRDefault="006C6ECE" w:rsidP="002C08F7">
      <w:r>
        <w:continuationSeparator/>
      </w:r>
    </w:p>
    <w:p w:rsidR="006C6ECE" w:rsidRDefault="006C6ECE" w:rsidP="002C08F7"/>
  </w:footnote>
  <w:footnote w:id="1">
    <w:p w:rsidR="00A40574" w:rsidRPr="00B2046C" w:rsidRDefault="00A40574" w:rsidP="00A40574">
      <w:pPr>
        <w:pStyle w:val="FootnoteText"/>
      </w:pPr>
      <w:r>
        <w:rPr>
          <w:rStyle w:val="FootnoteReference"/>
        </w:rPr>
        <w:footnoteRef/>
      </w:r>
      <w:r>
        <w:t xml:space="preserve"> </w:t>
      </w:r>
      <w:r>
        <w:rPr>
          <w:rFonts w:ascii="Times New Roman" w:hAnsi="Times New Roman"/>
        </w:rPr>
        <w:t>National Electricity Law, National Gas Law and  National Energy Retail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61" w:rsidRDefault="00927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03A"/>
    <w:multiLevelType w:val="hybridMultilevel"/>
    <w:tmpl w:val="B58A01DC"/>
    <w:lvl w:ilvl="0" w:tplc="B87C24C6">
      <w:start w:val="1"/>
      <w:numFmt w:val="decimal"/>
      <w:pStyle w:val="NormalNumbered5"/>
      <w:lvlText w:val="5.%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9ED6A09"/>
    <w:multiLevelType w:val="hybridMultilevel"/>
    <w:tmpl w:val="AFF00ADC"/>
    <w:lvl w:ilvl="0" w:tplc="3864C4FC">
      <w:start w:val="1"/>
      <w:numFmt w:val="decimal"/>
      <w:pStyle w:val="NormalNumbered3"/>
      <w:lvlText w:val="3.%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E1038C8"/>
    <w:multiLevelType w:val="hybridMultilevel"/>
    <w:tmpl w:val="4DF4F448"/>
    <w:lvl w:ilvl="0" w:tplc="FB80F9C2">
      <w:start w:val="1"/>
      <w:numFmt w:val="decimal"/>
      <w:pStyle w:val="NormalNumbered2"/>
      <w:lvlText w:val="2.%1 "/>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13F5B72"/>
    <w:multiLevelType w:val="multilevel"/>
    <w:tmpl w:val="13120F10"/>
    <w:lvl w:ilvl="0">
      <w:start w:val="1"/>
      <w:numFmt w:val="decimal"/>
      <w:pStyle w:val="Heading3Number"/>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16143D52"/>
    <w:multiLevelType w:val="hybridMultilevel"/>
    <w:tmpl w:val="3CB42824"/>
    <w:lvl w:ilvl="0" w:tplc="3FEA490A">
      <w:start w:val="1"/>
      <w:numFmt w:val="bullet"/>
      <w:pStyle w:val="Style1"/>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3141BE"/>
    <w:multiLevelType w:val="hybridMultilevel"/>
    <w:tmpl w:val="795E7A98"/>
    <w:lvl w:ilvl="0" w:tplc="88FCAF20">
      <w:start w:val="1"/>
      <w:numFmt w:val="decimal"/>
      <w:pStyle w:val="NormalNumbered"/>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39D53E4"/>
    <w:multiLevelType w:val="hybridMultilevel"/>
    <w:tmpl w:val="4C76D9C2"/>
    <w:lvl w:ilvl="0" w:tplc="6B5622AE">
      <w:start w:val="1"/>
      <w:numFmt w:val="decimal"/>
      <w:pStyle w:val="NormalNumbered6"/>
      <w:lvlText w:val="6.%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356D4E22"/>
    <w:multiLevelType w:val="hybridMultilevel"/>
    <w:tmpl w:val="C12A0B5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41785532"/>
    <w:multiLevelType w:val="hybridMultilevel"/>
    <w:tmpl w:val="09D824CC"/>
    <w:lvl w:ilvl="0" w:tplc="A5A41116">
      <w:start w:val="1"/>
      <w:numFmt w:val="decimal"/>
      <w:lvlText w:val="%1"/>
      <w:lvlJc w:val="left"/>
      <w:pPr>
        <w:ind w:left="1080" w:hanging="720"/>
      </w:pPr>
      <w:rPr>
        <w:rFonts w:hint="default"/>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6DF282D"/>
    <w:multiLevelType w:val="hybridMultilevel"/>
    <w:tmpl w:val="A8D6C870"/>
    <w:lvl w:ilvl="0" w:tplc="08BC7FC6">
      <w:start w:val="1"/>
      <w:numFmt w:val="decimal"/>
      <w:pStyle w:val="NormalNumbered4"/>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AEF67FF"/>
    <w:multiLevelType w:val="multilevel"/>
    <w:tmpl w:val="AACE20AA"/>
    <w:lvl w:ilvl="0">
      <w:start w:val="1"/>
      <w:numFmt w:val="bullet"/>
      <w:pStyle w:val="AERbulletlistfirststyle"/>
      <w:lvlText w:val=""/>
      <w:lvlJc w:val="left"/>
      <w:pPr>
        <w:tabs>
          <w:tab w:val="num" w:pos="357"/>
        </w:tabs>
        <w:ind w:left="357" w:hanging="357"/>
      </w:pPr>
      <w:rPr>
        <w:rFonts w:ascii="Wingdings" w:hAnsi="Wingdings" w:hint="default"/>
        <w:sz w:val="28"/>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9"/>
  </w:num>
  <w:num w:numId="8">
    <w:abstractNumId w:val="6"/>
  </w:num>
  <w:num w:numId="9">
    <w:abstractNumId w:val="10"/>
  </w:num>
  <w:num w:numId="10">
    <w:abstractNumId w:val="7"/>
  </w:num>
  <w:num w:numId="11">
    <w:abstractNumId w:val="8"/>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oNotShadeFormData/>
  <w:noPunctuationKerning/>
  <w:characterSpacingControl w:val="doNotCompress"/>
  <w:hdrShapeDefaults>
    <o:shapedefaults v:ext="edit" spidmax="307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H:\TRIMDATA\TRIM\TEMP\HPTRIM.1640\D14 68023  Staff paper  (SP1314 279) for Commission meeting  - 4 June 2014 - Revised MoU between AER, ACCC and AEMC.DOCX"/>
  </w:docVars>
  <w:rsids>
    <w:rsidRoot w:val="000B4333"/>
    <w:rsid w:val="00015C7E"/>
    <w:rsid w:val="000174ED"/>
    <w:rsid w:val="00020CF5"/>
    <w:rsid w:val="000223E3"/>
    <w:rsid w:val="00025E58"/>
    <w:rsid w:val="00030D00"/>
    <w:rsid w:val="00033225"/>
    <w:rsid w:val="00037B11"/>
    <w:rsid w:val="000605A3"/>
    <w:rsid w:val="00083294"/>
    <w:rsid w:val="00083525"/>
    <w:rsid w:val="000836C3"/>
    <w:rsid w:val="00085787"/>
    <w:rsid w:val="000877ED"/>
    <w:rsid w:val="000A0936"/>
    <w:rsid w:val="000A3DF0"/>
    <w:rsid w:val="000B3AD9"/>
    <w:rsid w:val="000B4333"/>
    <w:rsid w:val="000C3FBB"/>
    <w:rsid w:val="000D4E89"/>
    <w:rsid w:val="000E1137"/>
    <w:rsid w:val="000E44F3"/>
    <w:rsid w:val="000E519F"/>
    <w:rsid w:val="000E5C85"/>
    <w:rsid w:val="000F0024"/>
    <w:rsid w:val="000F16A7"/>
    <w:rsid w:val="000F4639"/>
    <w:rsid w:val="000F5A9D"/>
    <w:rsid w:val="00100089"/>
    <w:rsid w:val="001302BE"/>
    <w:rsid w:val="00137FBC"/>
    <w:rsid w:val="00140760"/>
    <w:rsid w:val="00144678"/>
    <w:rsid w:val="00151272"/>
    <w:rsid w:val="0015283D"/>
    <w:rsid w:val="001562E2"/>
    <w:rsid w:val="0015631D"/>
    <w:rsid w:val="00156942"/>
    <w:rsid w:val="00165F4A"/>
    <w:rsid w:val="001829A3"/>
    <w:rsid w:val="00192DC0"/>
    <w:rsid w:val="0019334E"/>
    <w:rsid w:val="001A10AB"/>
    <w:rsid w:val="001A30E7"/>
    <w:rsid w:val="001A4A93"/>
    <w:rsid w:val="001A7E7B"/>
    <w:rsid w:val="001B3EFC"/>
    <w:rsid w:val="001B4A48"/>
    <w:rsid w:val="001B51F6"/>
    <w:rsid w:val="001B7B06"/>
    <w:rsid w:val="001C38B7"/>
    <w:rsid w:val="001D2BA2"/>
    <w:rsid w:val="001D3588"/>
    <w:rsid w:val="001D642A"/>
    <w:rsid w:val="001E28B7"/>
    <w:rsid w:val="001E56DE"/>
    <w:rsid w:val="001E7980"/>
    <w:rsid w:val="001F279F"/>
    <w:rsid w:val="0020148A"/>
    <w:rsid w:val="00202E6A"/>
    <w:rsid w:val="002047AD"/>
    <w:rsid w:val="002048BA"/>
    <w:rsid w:val="002101DB"/>
    <w:rsid w:val="0021182C"/>
    <w:rsid w:val="00216D5B"/>
    <w:rsid w:val="00220846"/>
    <w:rsid w:val="00221724"/>
    <w:rsid w:val="00223C3D"/>
    <w:rsid w:val="002252FB"/>
    <w:rsid w:val="002315C1"/>
    <w:rsid w:val="00242F0F"/>
    <w:rsid w:val="002541EF"/>
    <w:rsid w:val="00262298"/>
    <w:rsid w:val="00263332"/>
    <w:rsid w:val="00263E05"/>
    <w:rsid w:val="00267281"/>
    <w:rsid w:val="00276B8A"/>
    <w:rsid w:val="002825E7"/>
    <w:rsid w:val="002842C4"/>
    <w:rsid w:val="00285657"/>
    <w:rsid w:val="00287482"/>
    <w:rsid w:val="00294BC0"/>
    <w:rsid w:val="00294F8A"/>
    <w:rsid w:val="002A1603"/>
    <w:rsid w:val="002A4D02"/>
    <w:rsid w:val="002A71D0"/>
    <w:rsid w:val="002B075E"/>
    <w:rsid w:val="002B4E4A"/>
    <w:rsid w:val="002C08F7"/>
    <w:rsid w:val="002C7524"/>
    <w:rsid w:val="002D6718"/>
    <w:rsid w:val="002E34E2"/>
    <w:rsid w:val="002E4AAB"/>
    <w:rsid w:val="002F43ED"/>
    <w:rsid w:val="002F5B74"/>
    <w:rsid w:val="00303805"/>
    <w:rsid w:val="003137A3"/>
    <w:rsid w:val="00316276"/>
    <w:rsid w:val="003255CC"/>
    <w:rsid w:val="003258D1"/>
    <w:rsid w:val="00327B75"/>
    <w:rsid w:val="00334F0C"/>
    <w:rsid w:val="00337170"/>
    <w:rsid w:val="003438FC"/>
    <w:rsid w:val="0034469E"/>
    <w:rsid w:val="0034481A"/>
    <w:rsid w:val="00344D4B"/>
    <w:rsid w:val="00346938"/>
    <w:rsid w:val="00353A41"/>
    <w:rsid w:val="00356706"/>
    <w:rsid w:val="00360125"/>
    <w:rsid w:val="003805CA"/>
    <w:rsid w:val="00383CEE"/>
    <w:rsid w:val="00386C11"/>
    <w:rsid w:val="003905E6"/>
    <w:rsid w:val="00391316"/>
    <w:rsid w:val="003918C6"/>
    <w:rsid w:val="00394C4D"/>
    <w:rsid w:val="00394CF0"/>
    <w:rsid w:val="00396A14"/>
    <w:rsid w:val="003A5A67"/>
    <w:rsid w:val="003B3188"/>
    <w:rsid w:val="003B4731"/>
    <w:rsid w:val="003B720E"/>
    <w:rsid w:val="003C00A4"/>
    <w:rsid w:val="003C12C3"/>
    <w:rsid w:val="003C1675"/>
    <w:rsid w:val="003D0B28"/>
    <w:rsid w:val="003F23F6"/>
    <w:rsid w:val="00403358"/>
    <w:rsid w:val="00406509"/>
    <w:rsid w:val="00410EAE"/>
    <w:rsid w:val="00424CE1"/>
    <w:rsid w:val="0042607E"/>
    <w:rsid w:val="0043452C"/>
    <w:rsid w:val="004408A5"/>
    <w:rsid w:val="00443CC4"/>
    <w:rsid w:val="00453186"/>
    <w:rsid w:val="00464EBD"/>
    <w:rsid w:val="00467479"/>
    <w:rsid w:val="004A2170"/>
    <w:rsid w:val="004A6FD5"/>
    <w:rsid w:val="004B0B6E"/>
    <w:rsid w:val="004B2100"/>
    <w:rsid w:val="004C2594"/>
    <w:rsid w:val="004C766E"/>
    <w:rsid w:val="004D13A7"/>
    <w:rsid w:val="004D704F"/>
    <w:rsid w:val="004E0AC4"/>
    <w:rsid w:val="004E15DC"/>
    <w:rsid w:val="004F43A0"/>
    <w:rsid w:val="005100DF"/>
    <w:rsid w:val="00514F45"/>
    <w:rsid w:val="00526EE3"/>
    <w:rsid w:val="00530550"/>
    <w:rsid w:val="00532C49"/>
    <w:rsid w:val="0054257E"/>
    <w:rsid w:val="005553A1"/>
    <w:rsid w:val="0055577A"/>
    <w:rsid w:val="00560292"/>
    <w:rsid w:val="00560CD2"/>
    <w:rsid w:val="00561A7D"/>
    <w:rsid w:val="00575B28"/>
    <w:rsid w:val="00582A9A"/>
    <w:rsid w:val="005834E2"/>
    <w:rsid w:val="00583BC0"/>
    <w:rsid w:val="0059034D"/>
    <w:rsid w:val="005A1EC8"/>
    <w:rsid w:val="005A5455"/>
    <w:rsid w:val="005A6BBD"/>
    <w:rsid w:val="005B1373"/>
    <w:rsid w:val="005B45FA"/>
    <w:rsid w:val="005C384A"/>
    <w:rsid w:val="005C3F91"/>
    <w:rsid w:val="005D1EB1"/>
    <w:rsid w:val="005D5293"/>
    <w:rsid w:val="005E4022"/>
    <w:rsid w:val="005E43ED"/>
    <w:rsid w:val="005F17A4"/>
    <w:rsid w:val="005F24AF"/>
    <w:rsid w:val="005F59A7"/>
    <w:rsid w:val="006028FD"/>
    <w:rsid w:val="0060611C"/>
    <w:rsid w:val="0061347F"/>
    <w:rsid w:val="0062594C"/>
    <w:rsid w:val="00643A2F"/>
    <w:rsid w:val="00644EF1"/>
    <w:rsid w:val="006509B8"/>
    <w:rsid w:val="00650DBB"/>
    <w:rsid w:val="006564B5"/>
    <w:rsid w:val="006579B0"/>
    <w:rsid w:val="00661058"/>
    <w:rsid w:val="00661FA0"/>
    <w:rsid w:val="00663077"/>
    <w:rsid w:val="00675BC4"/>
    <w:rsid w:val="00681274"/>
    <w:rsid w:val="00684A73"/>
    <w:rsid w:val="006B4624"/>
    <w:rsid w:val="006C23F8"/>
    <w:rsid w:val="006C475F"/>
    <w:rsid w:val="006C487F"/>
    <w:rsid w:val="006C6ECE"/>
    <w:rsid w:val="006D01B1"/>
    <w:rsid w:val="006D591C"/>
    <w:rsid w:val="006E0717"/>
    <w:rsid w:val="006E23AF"/>
    <w:rsid w:val="00700F21"/>
    <w:rsid w:val="007034E9"/>
    <w:rsid w:val="00714533"/>
    <w:rsid w:val="00714BE2"/>
    <w:rsid w:val="00720C68"/>
    <w:rsid w:val="00723D33"/>
    <w:rsid w:val="007251E0"/>
    <w:rsid w:val="007305EC"/>
    <w:rsid w:val="007309B5"/>
    <w:rsid w:val="00731C1B"/>
    <w:rsid w:val="0073500E"/>
    <w:rsid w:val="00742C9F"/>
    <w:rsid w:val="00743E14"/>
    <w:rsid w:val="00744566"/>
    <w:rsid w:val="00752DA9"/>
    <w:rsid w:val="0075396A"/>
    <w:rsid w:val="00754A75"/>
    <w:rsid w:val="0077137D"/>
    <w:rsid w:val="00780203"/>
    <w:rsid w:val="0078354D"/>
    <w:rsid w:val="00785D6D"/>
    <w:rsid w:val="007912D1"/>
    <w:rsid w:val="00792077"/>
    <w:rsid w:val="00795C3F"/>
    <w:rsid w:val="007A6A50"/>
    <w:rsid w:val="007A7BEC"/>
    <w:rsid w:val="007C7F75"/>
    <w:rsid w:val="007D1573"/>
    <w:rsid w:val="007E5CC5"/>
    <w:rsid w:val="007E6F7C"/>
    <w:rsid w:val="007F3C2D"/>
    <w:rsid w:val="007F51AC"/>
    <w:rsid w:val="00800788"/>
    <w:rsid w:val="00803563"/>
    <w:rsid w:val="00806A9C"/>
    <w:rsid w:val="008254F9"/>
    <w:rsid w:val="00826BB9"/>
    <w:rsid w:val="0083102B"/>
    <w:rsid w:val="00842237"/>
    <w:rsid w:val="0085113E"/>
    <w:rsid w:val="008629BD"/>
    <w:rsid w:val="00870A22"/>
    <w:rsid w:val="00875230"/>
    <w:rsid w:val="0087593E"/>
    <w:rsid w:val="00875A38"/>
    <w:rsid w:val="0087628F"/>
    <w:rsid w:val="0087799D"/>
    <w:rsid w:val="0088739D"/>
    <w:rsid w:val="00891F7F"/>
    <w:rsid w:val="008A1084"/>
    <w:rsid w:val="008B55B9"/>
    <w:rsid w:val="008C2DB5"/>
    <w:rsid w:val="008C4A3E"/>
    <w:rsid w:val="008C6533"/>
    <w:rsid w:val="008C757C"/>
    <w:rsid w:val="008D015B"/>
    <w:rsid w:val="008D39C1"/>
    <w:rsid w:val="008E4D8D"/>
    <w:rsid w:val="008E4E12"/>
    <w:rsid w:val="00904E2F"/>
    <w:rsid w:val="009119E3"/>
    <w:rsid w:val="00914AB2"/>
    <w:rsid w:val="00916A3E"/>
    <w:rsid w:val="009202E7"/>
    <w:rsid w:val="009276A2"/>
    <w:rsid w:val="00927722"/>
    <w:rsid w:val="009277EA"/>
    <w:rsid w:val="00927A61"/>
    <w:rsid w:val="009356AC"/>
    <w:rsid w:val="009407D1"/>
    <w:rsid w:val="00941E18"/>
    <w:rsid w:val="00944006"/>
    <w:rsid w:val="0095198F"/>
    <w:rsid w:val="00953B22"/>
    <w:rsid w:val="00962906"/>
    <w:rsid w:val="0096401B"/>
    <w:rsid w:val="009647DD"/>
    <w:rsid w:val="009721BF"/>
    <w:rsid w:val="00972B8D"/>
    <w:rsid w:val="00973F86"/>
    <w:rsid w:val="00974904"/>
    <w:rsid w:val="00977F1F"/>
    <w:rsid w:val="009829CF"/>
    <w:rsid w:val="00984A6D"/>
    <w:rsid w:val="00985247"/>
    <w:rsid w:val="009A7B7B"/>
    <w:rsid w:val="009B1D9C"/>
    <w:rsid w:val="009B5461"/>
    <w:rsid w:val="009C5F68"/>
    <w:rsid w:val="009D74C0"/>
    <w:rsid w:val="009E0EDF"/>
    <w:rsid w:val="00A13AD2"/>
    <w:rsid w:val="00A1404B"/>
    <w:rsid w:val="00A14538"/>
    <w:rsid w:val="00A15F60"/>
    <w:rsid w:val="00A16630"/>
    <w:rsid w:val="00A17949"/>
    <w:rsid w:val="00A21337"/>
    <w:rsid w:val="00A230A1"/>
    <w:rsid w:val="00A24676"/>
    <w:rsid w:val="00A251B4"/>
    <w:rsid w:val="00A27C4D"/>
    <w:rsid w:val="00A3112F"/>
    <w:rsid w:val="00A33FDA"/>
    <w:rsid w:val="00A34348"/>
    <w:rsid w:val="00A379EF"/>
    <w:rsid w:val="00A40574"/>
    <w:rsid w:val="00A42359"/>
    <w:rsid w:val="00A5686F"/>
    <w:rsid w:val="00A636D1"/>
    <w:rsid w:val="00A72645"/>
    <w:rsid w:val="00A8671E"/>
    <w:rsid w:val="00A8768D"/>
    <w:rsid w:val="00A93D8D"/>
    <w:rsid w:val="00A9510F"/>
    <w:rsid w:val="00A963D7"/>
    <w:rsid w:val="00AA0555"/>
    <w:rsid w:val="00AA084D"/>
    <w:rsid w:val="00AA54D3"/>
    <w:rsid w:val="00AB0B79"/>
    <w:rsid w:val="00AB50F8"/>
    <w:rsid w:val="00AC1803"/>
    <w:rsid w:val="00AC7175"/>
    <w:rsid w:val="00AC72E5"/>
    <w:rsid w:val="00AD4FC8"/>
    <w:rsid w:val="00AD6D95"/>
    <w:rsid w:val="00AE23C9"/>
    <w:rsid w:val="00AF1073"/>
    <w:rsid w:val="00AF2652"/>
    <w:rsid w:val="00AF553D"/>
    <w:rsid w:val="00B079CB"/>
    <w:rsid w:val="00B12858"/>
    <w:rsid w:val="00B1670C"/>
    <w:rsid w:val="00B2091E"/>
    <w:rsid w:val="00B3436B"/>
    <w:rsid w:val="00B42F9F"/>
    <w:rsid w:val="00B50248"/>
    <w:rsid w:val="00B5313F"/>
    <w:rsid w:val="00B56B47"/>
    <w:rsid w:val="00B70720"/>
    <w:rsid w:val="00B80092"/>
    <w:rsid w:val="00B93088"/>
    <w:rsid w:val="00B9400A"/>
    <w:rsid w:val="00B941C7"/>
    <w:rsid w:val="00B95220"/>
    <w:rsid w:val="00BA06A5"/>
    <w:rsid w:val="00BA2C75"/>
    <w:rsid w:val="00BB0A7D"/>
    <w:rsid w:val="00BD187B"/>
    <w:rsid w:val="00BF6DBA"/>
    <w:rsid w:val="00C076B4"/>
    <w:rsid w:val="00C10FE7"/>
    <w:rsid w:val="00C202BB"/>
    <w:rsid w:val="00C24A4B"/>
    <w:rsid w:val="00C257E8"/>
    <w:rsid w:val="00C26AE3"/>
    <w:rsid w:val="00C30A66"/>
    <w:rsid w:val="00C35198"/>
    <w:rsid w:val="00C365FB"/>
    <w:rsid w:val="00C50859"/>
    <w:rsid w:val="00C57660"/>
    <w:rsid w:val="00C60D66"/>
    <w:rsid w:val="00C61E13"/>
    <w:rsid w:val="00C64E12"/>
    <w:rsid w:val="00C6527F"/>
    <w:rsid w:val="00C86B6D"/>
    <w:rsid w:val="00CA422D"/>
    <w:rsid w:val="00CC681B"/>
    <w:rsid w:val="00CE1FB7"/>
    <w:rsid w:val="00CF2868"/>
    <w:rsid w:val="00CF568F"/>
    <w:rsid w:val="00CF5867"/>
    <w:rsid w:val="00D005AE"/>
    <w:rsid w:val="00D0662B"/>
    <w:rsid w:val="00D15DAB"/>
    <w:rsid w:val="00D17539"/>
    <w:rsid w:val="00D17F61"/>
    <w:rsid w:val="00D23A3A"/>
    <w:rsid w:val="00D24129"/>
    <w:rsid w:val="00D26C0F"/>
    <w:rsid w:val="00D340C8"/>
    <w:rsid w:val="00D35FAB"/>
    <w:rsid w:val="00D46A35"/>
    <w:rsid w:val="00D46D3A"/>
    <w:rsid w:val="00D501EA"/>
    <w:rsid w:val="00D525B2"/>
    <w:rsid w:val="00D636AE"/>
    <w:rsid w:val="00D66FE7"/>
    <w:rsid w:val="00D728F9"/>
    <w:rsid w:val="00D73E57"/>
    <w:rsid w:val="00D76F6A"/>
    <w:rsid w:val="00D839F4"/>
    <w:rsid w:val="00D91E9C"/>
    <w:rsid w:val="00DA176D"/>
    <w:rsid w:val="00DB3C8D"/>
    <w:rsid w:val="00DC4985"/>
    <w:rsid w:val="00DC6AD9"/>
    <w:rsid w:val="00DD28D3"/>
    <w:rsid w:val="00DE7A87"/>
    <w:rsid w:val="00DF15F7"/>
    <w:rsid w:val="00E00928"/>
    <w:rsid w:val="00E018F6"/>
    <w:rsid w:val="00E10E5C"/>
    <w:rsid w:val="00E13916"/>
    <w:rsid w:val="00E27867"/>
    <w:rsid w:val="00E36502"/>
    <w:rsid w:val="00E570E2"/>
    <w:rsid w:val="00E60248"/>
    <w:rsid w:val="00E67199"/>
    <w:rsid w:val="00E71927"/>
    <w:rsid w:val="00E7462F"/>
    <w:rsid w:val="00E765A1"/>
    <w:rsid w:val="00E7672D"/>
    <w:rsid w:val="00E8479E"/>
    <w:rsid w:val="00EA4292"/>
    <w:rsid w:val="00EA6C50"/>
    <w:rsid w:val="00EB05C9"/>
    <w:rsid w:val="00EB1870"/>
    <w:rsid w:val="00EB6F34"/>
    <w:rsid w:val="00EC7735"/>
    <w:rsid w:val="00ED382A"/>
    <w:rsid w:val="00EE0D5A"/>
    <w:rsid w:val="00EE1FA4"/>
    <w:rsid w:val="00EE53DE"/>
    <w:rsid w:val="00EF11FD"/>
    <w:rsid w:val="00EF20AB"/>
    <w:rsid w:val="00EF29A4"/>
    <w:rsid w:val="00EF3B3A"/>
    <w:rsid w:val="00EF3C4B"/>
    <w:rsid w:val="00F00AFA"/>
    <w:rsid w:val="00F059EC"/>
    <w:rsid w:val="00F05B7F"/>
    <w:rsid w:val="00F06C03"/>
    <w:rsid w:val="00F107DA"/>
    <w:rsid w:val="00F1349F"/>
    <w:rsid w:val="00F22196"/>
    <w:rsid w:val="00F23052"/>
    <w:rsid w:val="00F23F55"/>
    <w:rsid w:val="00F258F9"/>
    <w:rsid w:val="00F35E65"/>
    <w:rsid w:val="00F41A61"/>
    <w:rsid w:val="00F61BB6"/>
    <w:rsid w:val="00F643D1"/>
    <w:rsid w:val="00F65C47"/>
    <w:rsid w:val="00F74370"/>
    <w:rsid w:val="00F81104"/>
    <w:rsid w:val="00F81D22"/>
    <w:rsid w:val="00F965C8"/>
    <w:rsid w:val="00F97A1C"/>
    <w:rsid w:val="00F97B3B"/>
    <w:rsid w:val="00FA4F8A"/>
    <w:rsid w:val="00FA6899"/>
    <w:rsid w:val="00FB0F3E"/>
    <w:rsid w:val="00FB446A"/>
    <w:rsid w:val="00FB5060"/>
    <w:rsid w:val="00FC2438"/>
    <w:rsid w:val="00FC32DD"/>
    <w:rsid w:val="00FC63FC"/>
    <w:rsid w:val="00FD380D"/>
    <w:rsid w:val="00FE1A73"/>
    <w:rsid w:val="00FF26BF"/>
    <w:rsid w:val="00FF3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20"/>
    <w:pPr>
      <w:spacing w:before="120" w:after="120"/>
    </w:pPr>
    <w:rPr>
      <w:rFonts w:ascii="Arial" w:hAnsi="Arial"/>
      <w:szCs w:val="24"/>
      <w:lang w:eastAsia="en-US"/>
    </w:rPr>
  </w:style>
  <w:style w:type="paragraph" w:styleId="Heading1">
    <w:name w:val="heading 1"/>
    <w:next w:val="Normal"/>
    <w:link w:val="Heading1Char"/>
    <w:qFormat/>
    <w:rsid w:val="005F59A7"/>
    <w:pPr>
      <w:keepNext/>
      <w:keepLines/>
      <w:spacing w:before="480" w:after="240"/>
      <w:outlineLvl w:val="0"/>
    </w:pPr>
    <w:rPr>
      <w:rFonts w:ascii="Lucida Fax" w:hAnsi="Lucida Fax"/>
      <w:b/>
      <w:bCs/>
      <w:sz w:val="36"/>
      <w:szCs w:val="28"/>
    </w:rPr>
  </w:style>
  <w:style w:type="paragraph" w:styleId="Heading2">
    <w:name w:val="heading 2"/>
    <w:next w:val="Normal"/>
    <w:link w:val="Heading2Char"/>
    <w:qFormat/>
    <w:rsid w:val="00F00AFA"/>
    <w:pPr>
      <w:keepNext/>
      <w:keepLines/>
      <w:spacing w:before="120" w:after="120"/>
      <w:outlineLvl w:val="1"/>
    </w:pPr>
    <w:rPr>
      <w:rFonts w:ascii="Arial" w:hAnsi="Arial"/>
      <w:b/>
      <w:bCs/>
      <w:szCs w:val="26"/>
    </w:rPr>
  </w:style>
  <w:style w:type="paragraph" w:styleId="Heading3">
    <w:name w:val="heading 3"/>
    <w:basedOn w:val="Normal"/>
    <w:next w:val="Normal"/>
    <w:link w:val="Heading3Char"/>
    <w:semiHidden/>
    <w:unhideWhenUsed/>
    <w:qFormat/>
    <w:rsid w:val="00F00AFA"/>
    <w:pPr>
      <w:keepNext/>
      <w:spacing w:before="360" w:after="24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9A7"/>
    <w:pPr>
      <w:tabs>
        <w:tab w:val="center" w:pos="4153"/>
        <w:tab w:val="right" w:pos="8306"/>
      </w:tabs>
    </w:pPr>
    <w:rPr>
      <w:color w:val="7F7F7F"/>
      <w:sz w:val="16"/>
    </w:rPr>
  </w:style>
  <w:style w:type="paragraph" w:styleId="Header">
    <w:name w:val="header"/>
    <w:basedOn w:val="Normal"/>
    <w:link w:val="HeaderChar"/>
    <w:uiPriority w:val="99"/>
    <w:rsid w:val="005F59A7"/>
    <w:pPr>
      <w:tabs>
        <w:tab w:val="center" w:pos="4153"/>
        <w:tab w:val="right" w:pos="8306"/>
      </w:tabs>
    </w:pPr>
    <w:rPr>
      <w:color w:val="7F7F7F"/>
      <w:sz w:val="16"/>
    </w:rPr>
  </w:style>
  <w:style w:type="paragraph" w:customStyle="1" w:styleId="CharCharCharCharCharCharChar">
    <w:name w:val="Char Char Char Char Char Char Char"/>
    <w:basedOn w:val="Normal"/>
    <w:semiHidden/>
    <w:rsid w:val="00875230"/>
    <w:pPr>
      <w:spacing w:after="160" w:line="240" w:lineRule="exact"/>
    </w:pPr>
    <w:rPr>
      <w:rFonts w:ascii="Tahoma" w:hAnsi="Tahoma"/>
      <w:szCs w:val="20"/>
      <w:lang w:val="en-US"/>
    </w:rPr>
  </w:style>
  <w:style w:type="character" w:customStyle="1" w:styleId="Heading1Char">
    <w:name w:val="Heading 1 Char"/>
    <w:link w:val="Heading1"/>
    <w:rsid w:val="005F59A7"/>
    <w:rPr>
      <w:rFonts w:ascii="Lucida Fax" w:hAnsi="Lucida Fax"/>
      <w:b/>
      <w:bCs/>
      <w:sz w:val="36"/>
      <w:szCs w:val="28"/>
      <w:lang w:val="en-AU" w:eastAsia="en-AU" w:bidi="ar-SA"/>
    </w:rPr>
  </w:style>
  <w:style w:type="character" w:customStyle="1" w:styleId="Heading2Char">
    <w:name w:val="Heading 2 Char"/>
    <w:link w:val="Heading2"/>
    <w:rsid w:val="00F00AFA"/>
    <w:rPr>
      <w:rFonts w:ascii="Arial" w:hAnsi="Arial"/>
      <w:b/>
      <w:bCs/>
      <w:szCs w:val="26"/>
      <w:lang w:val="en-AU" w:eastAsia="en-AU" w:bidi="ar-SA"/>
    </w:rPr>
  </w:style>
  <w:style w:type="table" w:styleId="TableGrid">
    <w:name w:val="Table Grid"/>
    <w:basedOn w:val="TableNormal"/>
    <w:rsid w:val="0092772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semiHidden/>
    <w:rsid w:val="009721BF"/>
    <w:rPr>
      <w:sz w:val="16"/>
      <w:szCs w:val="16"/>
    </w:rPr>
  </w:style>
  <w:style w:type="paragraph" w:styleId="CommentText">
    <w:name w:val="annotation text"/>
    <w:basedOn w:val="Normal"/>
    <w:semiHidden/>
    <w:rsid w:val="009721BF"/>
    <w:rPr>
      <w:szCs w:val="20"/>
    </w:rPr>
  </w:style>
  <w:style w:type="paragraph" w:styleId="CommentSubject">
    <w:name w:val="annotation subject"/>
    <w:basedOn w:val="CommentText"/>
    <w:next w:val="CommentText"/>
    <w:semiHidden/>
    <w:rsid w:val="009721BF"/>
    <w:rPr>
      <w:b/>
      <w:bCs/>
    </w:rPr>
  </w:style>
  <w:style w:type="paragraph" w:styleId="BalloonText">
    <w:name w:val="Balloon Text"/>
    <w:basedOn w:val="Normal"/>
    <w:semiHidden/>
    <w:rsid w:val="009721BF"/>
    <w:rPr>
      <w:rFonts w:ascii="Tahoma" w:hAnsi="Tahoma" w:cs="Tahoma"/>
      <w:sz w:val="16"/>
      <w:szCs w:val="16"/>
    </w:rPr>
  </w:style>
  <w:style w:type="character" w:styleId="Hyperlink">
    <w:name w:val="Hyperlink"/>
    <w:uiPriority w:val="99"/>
    <w:unhideWhenUsed/>
    <w:rsid w:val="0075396A"/>
    <w:rPr>
      <w:rFonts w:ascii="Arial" w:hAnsi="Arial"/>
      <w:strike w:val="0"/>
      <w:dstrike w:val="0"/>
      <w:color w:val="0000FF"/>
      <w:u w:val="none"/>
      <w:effect w:val="none"/>
    </w:rPr>
  </w:style>
  <w:style w:type="paragraph" w:customStyle="1" w:styleId="NormalBold">
    <w:name w:val="Normal Bold"/>
    <w:basedOn w:val="Normal"/>
    <w:qFormat/>
    <w:rsid w:val="00F97A1C"/>
    <w:rPr>
      <w:b/>
    </w:rPr>
  </w:style>
  <w:style w:type="character" w:styleId="PlaceholderText">
    <w:name w:val="Placeholder Text"/>
    <w:uiPriority w:val="99"/>
    <w:semiHidden/>
    <w:rsid w:val="00661058"/>
    <w:rPr>
      <w:color w:val="808080"/>
    </w:rPr>
  </w:style>
  <w:style w:type="paragraph" w:customStyle="1" w:styleId="Style1">
    <w:name w:val="Style1"/>
    <w:basedOn w:val="Normal"/>
    <w:qFormat/>
    <w:rsid w:val="0075396A"/>
    <w:pPr>
      <w:numPr>
        <w:numId w:val="1"/>
      </w:numPr>
      <w:ind w:left="360"/>
    </w:pPr>
  </w:style>
  <w:style w:type="paragraph" w:customStyle="1" w:styleId="Style2">
    <w:name w:val="Style2"/>
    <w:basedOn w:val="Heading2"/>
    <w:qFormat/>
    <w:rsid w:val="001B51F6"/>
    <w:pPr>
      <w:suppressAutoHyphens/>
    </w:pPr>
  </w:style>
  <w:style w:type="character" w:customStyle="1" w:styleId="Heading3Char">
    <w:name w:val="Heading 3 Char"/>
    <w:link w:val="Heading3"/>
    <w:semiHidden/>
    <w:rsid w:val="00F00AFA"/>
    <w:rPr>
      <w:rFonts w:ascii="Arial" w:eastAsia="Times New Roman" w:hAnsi="Arial" w:cs="Times New Roman"/>
      <w:b/>
      <w:bCs/>
      <w:szCs w:val="26"/>
      <w:lang w:eastAsia="en-US"/>
    </w:rPr>
  </w:style>
  <w:style w:type="paragraph" w:customStyle="1" w:styleId="NormalNumbered5">
    <w:name w:val="Normal Numbered 5"/>
    <w:basedOn w:val="Normal"/>
    <w:qFormat/>
    <w:rsid w:val="001B51F6"/>
    <w:pPr>
      <w:numPr>
        <w:numId w:val="2"/>
      </w:numPr>
    </w:pPr>
  </w:style>
  <w:style w:type="paragraph" w:customStyle="1" w:styleId="Heading3Number">
    <w:name w:val="Heading 3 Number"/>
    <w:basedOn w:val="Heading1"/>
    <w:link w:val="Heading3NumberChar"/>
    <w:qFormat/>
    <w:rsid w:val="00A1404B"/>
    <w:pPr>
      <w:numPr>
        <w:numId w:val="3"/>
      </w:numPr>
    </w:pPr>
    <w:rPr>
      <w:rFonts w:ascii="Arial" w:hAnsi="Arial"/>
      <w:sz w:val="20"/>
    </w:rPr>
  </w:style>
  <w:style w:type="paragraph" w:customStyle="1" w:styleId="NormalNumbered">
    <w:name w:val="Normal Numbered"/>
    <w:basedOn w:val="Normal"/>
    <w:qFormat/>
    <w:rsid w:val="00A1404B"/>
    <w:pPr>
      <w:numPr>
        <w:numId w:val="4"/>
      </w:numPr>
      <w:ind w:left="1080"/>
    </w:pPr>
  </w:style>
  <w:style w:type="paragraph" w:customStyle="1" w:styleId="NormalNumbered2">
    <w:name w:val="Normal Numbered 2"/>
    <w:basedOn w:val="NormalNumbered"/>
    <w:qFormat/>
    <w:rsid w:val="00A1404B"/>
    <w:pPr>
      <w:numPr>
        <w:numId w:val="5"/>
      </w:numPr>
    </w:pPr>
  </w:style>
  <w:style w:type="paragraph" w:customStyle="1" w:styleId="NormalNumbered3">
    <w:name w:val="Normal Numbered 3"/>
    <w:basedOn w:val="NormalNumbered5"/>
    <w:qFormat/>
    <w:rsid w:val="00A1404B"/>
    <w:pPr>
      <w:numPr>
        <w:numId w:val="6"/>
      </w:numPr>
    </w:pPr>
  </w:style>
  <w:style w:type="paragraph" w:customStyle="1" w:styleId="NormalNumbered4">
    <w:name w:val="Normal Numbered 4"/>
    <w:basedOn w:val="Normal"/>
    <w:qFormat/>
    <w:rsid w:val="00EE53DE"/>
    <w:pPr>
      <w:numPr>
        <w:numId w:val="7"/>
      </w:numPr>
      <w:ind w:left="1080"/>
    </w:pPr>
  </w:style>
  <w:style w:type="paragraph" w:customStyle="1" w:styleId="Normalitalic">
    <w:name w:val="Normal italic"/>
    <w:basedOn w:val="Normal"/>
    <w:link w:val="NormalitalicChar"/>
    <w:qFormat/>
    <w:rsid w:val="00EE53DE"/>
    <w:pPr>
      <w:ind w:left="720"/>
    </w:pPr>
    <w:rPr>
      <w:i/>
    </w:rPr>
  </w:style>
  <w:style w:type="paragraph" w:customStyle="1" w:styleId="NormalBullets">
    <w:name w:val="Normal Bullets"/>
    <w:basedOn w:val="Style1"/>
    <w:qFormat/>
    <w:rsid w:val="00EE53DE"/>
    <w:pPr>
      <w:ind w:left="1800"/>
    </w:pPr>
  </w:style>
  <w:style w:type="paragraph" w:customStyle="1" w:styleId="NormalNumbered6">
    <w:name w:val="Normal Numbered 6"/>
    <w:basedOn w:val="NormalNumbered5"/>
    <w:qFormat/>
    <w:rsid w:val="00EE53DE"/>
    <w:pPr>
      <w:numPr>
        <w:numId w:val="8"/>
      </w:numPr>
      <w:ind w:left="1080"/>
    </w:pPr>
  </w:style>
  <w:style w:type="paragraph" w:customStyle="1" w:styleId="Normal-RED">
    <w:name w:val="Normal - RED"/>
    <w:basedOn w:val="Normal"/>
    <w:qFormat/>
    <w:rsid w:val="00575B28"/>
    <w:rPr>
      <w:color w:val="FF0000"/>
    </w:rPr>
  </w:style>
  <w:style w:type="paragraph" w:customStyle="1" w:styleId="NormalBold-RED">
    <w:name w:val="Normal Bold - RED"/>
    <w:basedOn w:val="NormalBold"/>
    <w:qFormat/>
    <w:rsid w:val="00575B28"/>
    <w:rPr>
      <w:color w:val="FF0000"/>
    </w:rPr>
  </w:style>
  <w:style w:type="paragraph" w:customStyle="1" w:styleId="NormalNumbered-RED">
    <w:name w:val="Normal Numbered - RED"/>
    <w:basedOn w:val="NormalNumbered"/>
    <w:qFormat/>
    <w:rsid w:val="00575B28"/>
    <w:pPr>
      <w:ind w:left="720"/>
    </w:pPr>
    <w:rPr>
      <w:color w:val="FF0000"/>
    </w:rPr>
  </w:style>
  <w:style w:type="paragraph" w:customStyle="1" w:styleId="NormalIndent-RED">
    <w:name w:val="Normal Indent - RED"/>
    <w:basedOn w:val="NormalNumbered"/>
    <w:qFormat/>
    <w:rsid w:val="00941E18"/>
    <w:pPr>
      <w:numPr>
        <w:numId w:val="0"/>
      </w:numPr>
      <w:ind w:left="1440"/>
    </w:pPr>
    <w:rPr>
      <w:color w:val="FF0000"/>
    </w:rPr>
  </w:style>
  <w:style w:type="paragraph" w:customStyle="1" w:styleId="NormalNumered2-RED">
    <w:name w:val="Normal Numered 2 - RED"/>
    <w:basedOn w:val="NormalNumbered2"/>
    <w:qFormat/>
    <w:rsid w:val="00941E18"/>
    <w:rPr>
      <w:color w:val="FF0000"/>
    </w:rPr>
  </w:style>
  <w:style w:type="paragraph" w:customStyle="1" w:styleId="NormalNumbered3-RED">
    <w:name w:val="Normal Numbered 3 - RED"/>
    <w:basedOn w:val="NormalNumbered3"/>
    <w:qFormat/>
    <w:rsid w:val="00941E18"/>
    <w:rPr>
      <w:color w:val="FF0000"/>
    </w:rPr>
  </w:style>
  <w:style w:type="paragraph" w:customStyle="1" w:styleId="Heading3-RED">
    <w:name w:val="Heading 3 - RED"/>
    <w:basedOn w:val="Heading3Number"/>
    <w:link w:val="Heading3-REDChar"/>
    <w:qFormat/>
    <w:rsid w:val="00C10FE7"/>
    <w:rPr>
      <w:color w:val="FF0000"/>
    </w:rPr>
  </w:style>
  <w:style w:type="paragraph" w:customStyle="1" w:styleId="Italics-RED">
    <w:name w:val="Italics - RED"/>
    <w:basedOn w:val="Normalitalic"/>
    <w:link w:val="Italics-REDChar"/>
    <w:qFormat/>
    <w:rsid w:val="00941E18"/>
    <w:rPr>
      <w:color w:val="FF0000"/>
    </w:rPr>
  </w:style>
  <w:style w:type="character" w:customStyle="1" w:styleId="Heading3NumberChar">
    <w:name w:val="Heading 3 Number Char"/>
    <w:link w:val="Heading3Number"/>
    <w:rsid w:val="00941E18"/>
    <w:rPr>
      <w:rFonts w:ascii="Arial" w:hAnsi="Arial"/>
      <w:b/>
      <w:bCs/>
      <w:szCs w:val="28"/>
    </w:rPr>
  </w:style>
  <w:style w:type="paragraph" w:customStyle="1" w:styleId="NormalNumbered4-RED">
    <w:name w:val="Normal Numbered 4 - RED"/>
    <w:basedOn w:val="NormalNumbered4"/>
    <w:qFormat/>
    <w:rsid w:val="00941E18"/>
    <w:pPr>
      <w:ind w:left="720"/>
    </w:pPr>
    <w:rPr>
      <w:color w:val="FF0000"/>
    </w:rPr>
  </w:style>
  <w:style w:type="character" w:customStyle="1" w:styleId="NormalitalicChar">
    <w:name w:val="Normal italic Char"/>
    <w:link w:val="Normalitalic"/>
    <w:rsid w:val="00941E18"/>
    <w:rPr>
      <w:rFonts w:ascii="Arial" w:hAnsi="Arial"/>
      <w:i/>
      <w:szCs w:val="24"/>
      <w:lang w:eastAsia="en-US"/>
    </w:rPr>
  </w:style>
  <w:style w:type="character" w:customStyle="1" w:styleId="Italics-REDChar">
    <w:name w:val="Italics - RED Char"/>
    <w:link w:val="Italics-RED"/>
    <w:rsid w:val="00941E18"/>
    <w:rPr>
      <w:rFonts w:ascii="Arial" w:hAnsi="Arial"/>
      <w:i/>
      <w:color w:val="FF0000"/>
      <w:szCs w:val="24"/>
      <w:lang w:eastAsia="en-US"/>
    </w:rPr>
  </w:style>
  <w:style w:type="paragraph" w:customStyle="1" w:styleId="NormalBullets-RED">
    <w:name w:val="Normal Bullets - RED"/>
    <w:basedOn w:val="NormalBullets"/>
    <w:qFormat/>
    <w:rsid w:val="00941E18"/>
    <w:rPr>
      <w:color w:val="FF0000"/>
    </w:rPr>
  </w:style>
  <w:style w:type="paragraph" w:customStyle="1" w:styleId="NormalNumbered5-RED">
    <w:name w:val="Normal Numbered 5 - RED"/>
    <w:basedOn w:val="NormalNumbered5"/>
    <w:qFormat/>
    <w:rsid w:val="00941E18"/>
    <w:rPr>
      <w:color w:val="FF0000"/>
    </w:rPr>
  </w:style>
  <w:style w:type="paragraph" w:customStyle="1" w:styleId="NormalNumbered6-RED">
    <w:name w:val="Normal Numbered 6 - RED"/>
    <w:basedOn w:val="NormalNumbered6"/>
    <w:qFormat/>
    <w:rsid w:val="00941E18"/>
    <w:rPr>
      <w:color w:val="FF0000"/>
    </w:rPr>
  </w:style>
  <w:style w:type="paragraph" w:customStyle="1" w:styleId="StyleHeading3NumberRed">
    <w:name w:val="Style Heading 3 Number + Red"/>
    <w:basedOn w:val="Heading3Number"/>
    <w:rsid w:val="00C10FE7"/>
    <w:pPr>
      <w:numPr>
        <w:numId w:val="0"/>
      </w:numPr>
    </w:pPr>
    <w:rPr>
      <w:color w:val="FF0000"/>
    </w:rPr>
  </w:style>
  <w:style w:type="character" w:customStyle="1" w:styleId="Heading3-REDChar">
    <w:name w:val="Heading 3 - RED Char"/>
    <w:link w:val="Heading3-RED"/>
    <w:rsid w:val="00C10FE7"/>
    <w:rPr>
      <w:rFonts w:ascii="Arial" w:hAnsi="Arial"/>
      <w:b/>
      <w:bCs/>
      <w:color w:val="FF0000"/>
      <w:szCs w:val="28"/>
    </w:rPr>
  </w:style>
  <w:style w:type="paragraph" w:styleId="FootnoteText">
    <w:name w:val="footnote text"/>
    <w:basedOn w:val="Normal"/>
    <w:link w:val="FootnoteTextChar"/>
    <w:rsid w:val="00800788"/>
    <w:rPr>
      <w:szCs w:val="20"/>
    </w:rPr>
  </w:style>
  <w:style w:type="character" w:customStyle="1" w:styleId="FootnoteTextChar">
    <w:name w:val="Footnote Text Char"/>
    <w:link w:val="FootnoteText"/>
    <w:rsid w:val="00800788"/>
    <w:rPr>
      <w:rFonts w:ascii="Arial" w:hAnsi="Arial"/>
      <w:lang w:eastAsia="en-US"/>
    </w:rPr>
  </w:style>
  <w:style w:type="character" w:styleId="FootnoteReference">
    <w:name w:val="footnote reference"/>
    <w:uiPriority w:val="99"/>
    <w:rsid w:val="00800788"/>
    <w:rPr>
      <w:vertAlign w:val="superscript"/>
    </w:rPr>
  </w:style>
  <w:style w:type="paragraph" w:styleId="PlainText">
    <w:name w:val="Plain Text"/>
    <w:basedOn w:val="Normal"/>
    <w:link w:val="PlainTextChar"/>
    <w:rsid w:val="009829CF"/>
    <w:pPr>
      <w:spacing w:before="0" w:after="0"/>
    </w:pPr>
    <w:rPr>
      <w:rFonts w:ascii="Courier New" w:hAnsi="Courier New"/>
      <w:szCs w:val="20"/>
      <w:lang w:eastAsia="en-AU"/>
    </w:rPr>
  </w:style>
  <w:style w:type="character" w:customStyle="1" w:styleId="PlainTextChar">
    <w:name w:val="Plain Text Char"/>
    <w:link w:val="PlainText"/>
    <w:rsid w:val="009829CF"/>
    <w:rPr>
      <w:rFonts w:ascii="Courier New" w:hAnsi="Courier New"/>
    </w:rPr>
  </w:style>
  <w:style w:type="paragraph" w:customStyle="1" w:styleId="AERbulletlistfirststyle">
    <w:name w:val="AER bullet list (first style)"/>
    <w:basedOn w:val="Normal"/>
    <w:rsid w:val="00A40574"/>
    <w:pPr>
      <w:numPr>
        <w:numId w:val="9"/>
      </w:numPr>
      <w:tabs>
        <w:tab w:val="left" w:pos="567"/>
      </w:tabs>
      <w:spacing w:before="0" w:after="240" w:line="240" w:lineRule="atLeast"/>
    </w:pPr>
    <w:rPr>
      <w:rFonts w:ascii="Times New Roman" w:hAnsi="Times New Roman"/>
      <w:sz w:val="24"/>
    </w:rPr>
  </w:style>
  <w:style w:type="character" w:customStyle="1" w:styleId="HeaderChar">
    <w:name w:val="Header Char"/>
    <w:link w:val="Header"/>
    <w:uiPriority w:val="99"/>
    <w:rsid w:val="00927A61"/>
    <w:rPr>
      <w:rFonts w:ascii="Arial" w:hAnsi="Arial"/>
      <w:color w:val="7F7F7F"/>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8263">
      <w:bodyDiv w:val="1"/>
      <w:marLeft w:val="0"/>
      <w:marRight w:val="0"/>
      <w:marTop w:val="0"/>
      <w:marBottom w:val="0"/>
      <w:divBdr>
        <w:top w:val="none" w:sz="0" w:space="0" w:color="auto"/>
        <w:left w:val="none" w:sz="0" w:space="0" w:color="auto"/>
        <w:bottom w:val="none" w:sz="0" w:space="0" w:color="auto"/>
        <w:right w:val="none" w:sz="0" w:space="0" w:color="auto"/>
      </w:divBdr>
    </w:div>
    <w:div w:id="119306408">
      <w:bodyDiv w:val="1"/>
      <w:marLeft w:val="0"/>
      <w:marRight w:val="0"/>
      <w:marTop w:val="0"/>
      <w:marBottom w:val="0"/>
      <w:divBdr>
        <w:top w:val="none" w:sz="0" w:space="0" w:color="auto"/>
        <w:left w:val="none" w:sz="0" w:space="0" w:color="auto"/>
        <w:bottom w:val="none" w:sz="0" w:space="0" w:color="auto"/>
        <w:right w:val="none" w:sz="0" w:space="0" w:color="auto"/>
      </w:divBdr>
      <w:divsChild>
        <w:div w:id="196309190">
          <w:marLeft w:val="0"/>
          <w:marRight w:val="0"/>
          <w:marTop w:val="0"/>
          <w:marBottom w:val="0"/>
          <w:divBdr>
            <w:top w:val="none" w:sz="0" w:space="0" w:color="auto"/>
            <w:left w:val="none" w:sz="0" w:space="0" w:color="auto"/>
            <w:bottom w:val="none" w:sz="0" w:space="0" w:color="auto"/>
            <w:right w:val="none" w:sz="0" w:space="0" w:color="auto"/>
          </w:divBdr>
          <w:divsChild>
            <w:div w:id="18564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8293">
      <w:bodyDiv w:val="1"/>
      <w:marLeft w:val="0"/>
      <w:marRight w:val="0"/>
      <w:marTop w:val="0"/>
      <w:marBottom w:val="0"/>
      <w:divBdr>
        <w:top w:val="none" w:sz="0" w:space="0" w:color="auto"/>
        <w:left w:val="none" w:sz="0" w:space="0" w:color="auto"/>
        <w:bottom w:val="none" w:sz="0" w:space="0" w:color="auto"/>
        <w:right w:val="none" w:sz="0" w:space="0" w:color="auto"/>
      </w:divBdr>
      <w:divsChild>
        <w:div w:id="1422221873">
          <w:marLeft w:val="0"/>
          <w:marRight w:val="0"/>
          <w:marTop w:val="0"/>
          <w:marBottom w:val="0"/>
          <w:divBdr>
            <w:top w:val="none" w:sz="0" w:space="0" w:color="auto"/>
            <w:left w:val="none" w:sz="0" w:space="0" w:color="auto"/>
            <w:bottom w:val="none" w:sz="0" w:space="0" w:color="auto"/>
            <w:right w:val="none" w:sz="0" w:space="0" w:color="auto"/>
          </w:divBdr>
        </w:div>
      </w:divsChild>
    </w:div>
    <w:div w:id="1240097841">
      <w:bodyDiv w:val="1"/>
      <w:marLeft w:val="0"/>
      <w:marRight w:val="0"/>
      <w:marTop w:val="0"/>
      <w:marBottom w:val="0"/>
      <w:divBdr>
        <w:top w:val="none" w:sz="0" w:space="0" w:color="auto"/>
        <w:left w:val="none" w:sz="0" w:space="0" w:color="auto"/>
        <w:bottom w:val="none" w:sz="0" w:space="0" w:color="auto"/>
        <w:right w:val="none" w:sz="0" w:space="0" w:color="auto"/>
      </w:divBdr>
      <w:divsChild>
        <w:div w:id="949894624">
          <w:marLeft w:val="0"/>
          <w:marRight w:val="0"/>
          <w:marTop w:val="0"/>
          <w:marBottom w:val="0"/>
          <w:divBdr>
            <w:top w:val="none" w:sz="0" w:space="0" w:color="auto"/>
            <w:left w:val="none" w:sz="0" w:space="0" w:color="auto"/>
            <w:bottom w:val="none" w:sz="0" w:space="0" w:color="auto"/>
            <w:right w:val="none" w:sz="0" w:space="0" w:color="auto"/>
          </w:divBdr>
        </w:div>
      </w:divsChild>
    </w:div>
    <w:div w:id="1819227246">
      <w:bodyDiv w:val="1"/>
      <w:marLeft w:val="0"/>
      <w:marRight w:val="0"/>
      <w:marTop w:val="0"/>
      <w:marBottom w:val="0"/>
      <w:divBdr>
        <w:top w:val="none" w:sz="0" w:space="0" w:color="auto"/>
        <w:left w:val="none" w:sz="0" w:space="0" w:color="auto"/>
        <w:bottom w:val="none" w:sz="0" w:space="0" w:color="auto"/>
        <w:right w:val="none" w:sz="0" w:space="0" w:color="auto"/>
      </w:divBdr>
      <w:divsChild>
        <w:div w:id="182073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68B0604F.dotm</Template>
  <TotalTime>0</TotalTime>
  <Pages>6</Pages>
  <Words>1504</Words>
  <Characters>8572</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2014-07-02T23:17:00Z</dcterms:created>
  <dcterms:modified xsi:type="dcterms:W3CDTF">2014-07-02T23:17:00Z</dcterms:modified>
</cp:coreProperties>
</file>