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A8" w:rsidRDefault="000879A8" w:rsidP="000879A8">
      <w:pPr>
        <w:pStyle w:val="Title"/>
        <w:spacing w:after="600"/>
        <w:contextualSpacing w:val="0"/>
        <w:rPr>
          <w:sz w:val="48"/>
        </w:rPr>
      </w:pPr>
    </w:p>
    <w:p w:rsidR="002D710A" w:rsidRPr="00466F8B" w:rsidRDefault="00490914" w:rsidP="00780B12">
      <w:pPr>
        <w:pStyle w:val="Title"/>
        <w:spacing w:after="600"/>
        <w:contextualSpacing w:val="0"/>
        <w:jc w:val="center"/>
        <w:rPr>
          <w:color w:val="auto"/>
          <w:sz w:val="48"/>
        </w:rPr>
      </w:pPr>
      <w:bookmarkStart w:id="0" w:name="_Toc422727155"/>
      <w:r w:rsidRPr="00466F8B">
        <w:rPr>
          <w:color w:val="auto"/>
          <w:sz w:val="48"/>
        </w:rPr>
        <w:t>ACCC Review of the Water Charge Rules</w:t>
      </w:r>
    </w:p>
    <w:p w:rsidR="002D710A" w:rsidRPr="00780B12" w:rsidRDefault="002D710A" w:rsidP="00055689"/>
    <w:p w:rsidR="002D710A" w:rsidRDefault="002D710A" w:rsidP="00780B12">
      <w:pPr>
        <w:jc w:val="center"/>
      </w:pPr>
    </w:p>
    <w:p w:rsidR="002D710A" w:rsidRPr="00055689" w:rsidRDefault="002D710A" w:rsidP="00780B12">
      <w:pPr>
        <w:jc w:val="center"/>
        <w:rPr>
          <w:sz w:val="48"/>
        </w:rPr>
      </w:pPr>
      <w:r w:rsidRPr="00780B12">
        <w:rPr>
          <w:sz w:val="48"/>
        </w:rPr>
        <w:t>Submission by MDBA, June 2015</w:t>
      </w:r>
    </w:p>
    <w:p w:rsidR="000879A8" w:rsidRDefault="000879A8" w:rsidP="00780B12">
      <w:pPr>
        <w:pStyle w:val="Title"/>
        <w:spacing w:after="600"/>
        <w:contextualSpacing w:val="0"/>
        <w:rPr>
          <w:bCs/>
          <w:sz w:val="28"/>
          <w:szCs w:val="26"/>
        </w:rPr>
      </w:pPr>
      <w:r>
        <w:br w:type="page"/>
      </w:r>
    </w:p>
    <w:p w:rsidR="006839B2" w:rsidRPr="009117D3" w:rsidRDefault="006839B2" w:rsidP="004D3C33">
      <w:pPr>
        <w:pStyle w:val="Heading2"/>
      </w:pPr>
      <w:bookmarkStart w:id="1" w:name="_Toc422727157"/>
      <w:bookmarkEnd w:id="0"/>
      <w:r w:rsidRPr="00C75142">
        <w:lastRenderedPageBreak/>
        <w:t>Intro</w:t>
      </w:r>
      <w:r w:rsidRPr="004D3C33">
        <w:t>d</w:t>
      </w:r>
      <w:r w:rsidRPr="00C75142">
        <w:t>uction</w:t>
      </w:r>
      <w:bookmarkEnd w:id="1"/>
      <w:r w:rsidRPr="009117D3">
        <w:t xml:space="preserve"> </w:t>
      </w:r>
    </w:p>
    <w:p w:rsidR="006839B2" w:rsidRPr="006839B2" w:rsidRDefault="006839B2" w:rsidP="006839B2">
      <w:r w:rsidRPr="006839B2">
        <w:t xml:space="preserve">The MDBA is a Commonwealth statutory authority established by the </w:t>
      </w:r>
      <w:r w:rsidRPr="006839B2">
        <w:rPr>
          <w:i/>
        </w:rPr>
        <w:t>Water Act 2007</w:t>
      </w:r>
      <w:r w:rsidR="004F26F0">
        <w:t xml:space="preserve"> (</w:t>
      </w:r>
      <w:proofErr w:type="spellStart"/>
      <w:r w:rsidR="004F26F0">
        <w:t>Cth</w:t>
      </w:r>
      <w:proofErr w:type="spellEnd"/>
      <w:r w:rsidR="004F26F0">
        <w:t>)</w:t>
      </w:r>
      <w:r w:rsidRPr="006839B2">
        <w:t xml:space="preserve">. </w:t>
      </w:r>
    </w:p>
    <w:p w:rsidR="006839B2" w:rsidRPr="006839B2" w:rsidRDefault="006839B2" w:rsidP="006839B2">
      <w:r w:rsidRPr="006839B2">
        <w:t xml:space="preserve">The </w:t>
      </w:r>
      <w:r w:rsidR="001D1D45" w:rsidRPr="00780B12">
        <w:rPr>
          <w:i/>
        </w:rPr>
        <w:t xml:space="preserve">Water </w:t>
      </w:r>
      <w:r w:rsidRPr="00780B12">
        <w:rPr>
          <w:i/>
        </w:rPr>
        <w:t xml:space="preserve">Act </w:t>
      </w:r>
      <w:r w:rsidR="004C5F9F" w:rsidRPr="00780B12">
        <w:rPr>
          <w:i/>
        </w:rPr>
        <w:t>2007</w:t>
      </w:r>
      <w:r w:rsidR="004C5F9F">
        <w:t xml:space="preserve"> </w:t>
      </w:r>
      <w:r w:rsidRPr="006839B2">
        <w:t>establishe</w:t>
      </w:r>
      <w:r w:rsidR="00A87499">
        <w:t>d</w:t>
      </w:r>
      <w:r w:rsidRPr="006839B2">
        <w:t xml:space="preserve"> the MDBA as the body responsible for developing and overseeing the implementation of the Basin Plan</w:t>
      </w:r>
      <w:r w:rsidR="002D710A">
        <w:t xml:space="preserve">:  </w:t>
      </w:r>
      <w:r w:rsidR="00A87499">
        <w:t>a</w:t>
      </w:r>
      <w:r w:rsidRPr="006839B2">
        <w:t xml:space="preserve"> planning framework for the integrated management of the Basin’s water and other natural resources in a way that optimises economic, social and environmental outcomes. </w:t>
      </w:r>
    </w:p>
    <w:p w:rsidR="001D1D45" w:rsidRDefault="006839B2" w:rsidP="006839B2">
      <w:r w:rsidRPr="006839B2">
        <w:t xml:space="preserve">In addition to its functions under the Act, the MDBA also has significant functions under the </w:t>
      </w:r>
      <w:r w:rsidRPr="006839B2">
        <w:rPr>
          <w:i/>
        </w:rPr>
        <w:t>Murray-Darling Basin Agreement</w:t>
      </w:r>
      <w:r w:rsidRPr="006839B2">
        <w:t xml:space="preserve"> (the Agreement)</w:t>
      </w:r>
      <w:r w:rsidR="002D710A">
        <w:t xml:space="preserve">, whose signatories are the Commonwealth, NSW, VIC, SA, QLD and ACT governments.  </w:t>
      </w:r>
      <w:r w:rsidRPr="006839B2">
        <w:t>These activities are known as the Joint Activities</w:t>
      </w:r>
      <w:r w:rsidR="002D710A">
        <w:t xml:space="preserve">, the largest of which is </w:t>
      </w:r>
      <w:r w:rsidRPr="006839B2">
        <w:t>River Murray Operations (RMO)</w:t>
      </w:r>
      <w:r w:rsidR="002D710A">
        <w:t xml:space="preserve">.  RMO ensures the delivery of state water shares to </w:t>
      </w:r>
      <w:r w:rsidRPr="006839B2">
        <w:t>New South Wales, Victoria and South Australia</w:t>
      </w:r>
      <w:r w:rsidR="002D710A">
        <w:t xml:space="preserve"> consistent with the Agreement.  There are a number of other Joint Activities such as salinity management</w:t>
      </w:r>
      <w:r w:rsidR="00284516">
        <w:t>, monitoring</w:t>
      </w:r>
      <w:r w:rsidR="002D710A">
        <w:t xml:space="preserve"> and research which also contribute to management of the Basin water resources.  </w:t>
      </w:r>
    </w:p>
    <w:p w:rsidR="007F14CB" w:rsidRDefault="00A87499" w:rsidP="00127E4A">
      <w:r w:rsidRPr="006839B2">
        <w:t>The policy and strategic direction of the MDBA’s activities are set by a six-member Murray</w:t>
      </w:r>
      <w:r>
        <w:noBreakHyphen/>
      </w:r>
      <w:r w:rsidRPr="006839B2">
        <w:t xml:space="preserve">Darling Basin Authority. </w:t>
      </w:r>
      <w:r w:rsidR="006839B2" w:rsidRPr="006839B2">
        <w:t>The Murray–Darling Basin Ministerial Council is the decision</w:t>
      </w:r>
      <w:r>
        <w:t xml:space="preserve"> </w:t>
      </w:r>
      <w:r w:rsidR="006839B2" w:rsidRPr="006839B2">
        <w:t>making body for the Joint Activities</w:t>
      </w:r>
      <w:r>
        <w:t xml:space="preserve">. It is </w:t>
      </w:r>
      <w:r w:rsidR="006839B2" w:rsidRPr="006839B2">
        <w:t xml:space="preserve">advised by </w:t>
      </w:r>
      <w:r>
        <w:t>the</w:t>
      </w:r>
      <w:r w:rsidR="006839B2" w:rsidRPr="006839B2">
        <w:t xml:space="preserve"> Basin Officials Committee</w:t>
      </w:r>
      <w:r>
        <w:t xml:space="preserve"> which is</w:t>
      </w:r>
      <w:r w:rsidR="006839B2" w:rsidRPr="006839B2">
        <w:t xml:space="preserve"> made up of senior representatives from each </w:t>
      </w:r>
      <w:r w:rsidR="00343F88">
        <w:t>partner g</w:t>
      </w:r>
      <w:r w:rsidR="006839B2" w:rsidRPr="006839B2">
        <w:t>overnment</w:t>
      </w:r>
      <w:r w:rsidR="00343F88">
        <w:t>.</w:t>
      </w:r>
      <w:r w:rsidR="006839B2" w:rsidRPr="006839B2">
        <w:t xml:space="preserve"> </w:t>
      </w:r>
      <w:bookmarkStart w:id="2" w:name="_Toc422727158"/>
      <w:r w:rsidR="007F14CB" w:rsidRPr="00C75142">
        <w:t>River Murray Operations</w:t>
      </w:r>
      <w:bookmarkEnd w:id="2"/>
    </w:p>
    <w:p w:rsidR="004C5F9F" w:rsidRDefault="004C5F9F" w:rsidP="004C5F9F">
      <w:r w:rsidRPr="002E24A6">
        <w:t>River Murray Operations (RMO) involves th</w:t>
      </w:r>
      <w:r>
        <w:t>e management and operation of assets that were built to</w:t>
      </w:r>
      <w:r w:rsidRPr="002E24A6">
        <w:t xml:space="preserve"> </w:t>
      </w:r>
      <w:r>
        <w:t>deliver</w:t>
      </w:r>
      <w:r w:rsidRPr="002E24A6">
        <w:t xml:space="preserve"> state water shares to NSW, Victoria and South Australia</w:t>
      </w:r>
      <w:r>
        <w:t xml:space="preserve"> in the River Murray System, and to mitigate the environmental impacts of water use</w:t>
      </w:r>
      <w:r w:rsidRPr="002E24A6">
        <w:t xml:space="preserve">. </w:t>
      </w:r>
    </w:p>
    <w:p w:rsidR="004C5F9F" w:rsidRPr="002E24A6" w:rsidRDefault="004C5F9F" w:rsidP="004C5F9F">
      <w:r w:rsidRPr="002E24A6">
        <w:t xml:space="preserve">RMO does not supply water direct to water users, but supplies bulk water to the State Constructing Authorities (SCAs). The </w:t>
      </w:r>
      <w:r>
        <w:t xml:space="preserve">SCA’s on-deliver the </w:t>
      </w:r>
      <w:r w:rsidRPr="002E24A6">
        <w:t xml:space="preserve">water supplied through RMO to irrigators and other water users. </w:t>
      </w:r>
    </w:p>
    <w:p w:rsidR="004C5F9F" w:rsidRPr="003F70E4" w:rsidRDefault="004C5F9F" w:rsidP="004C5F9F">
      <w:r w:rsidRPr="003F70E4">
        <w:t>RMO functions include:</w:t>
      </w:r>
    </w:p>
    <w:p w:rsidR="004C5F9F" w:rsidRPr="003F70E4" w:rsidRDefault="004C5F9F" w:rsidP="004C5F9F">
      <w:pPr>
        <w:pStyle w:val="ListParagraph"/>
        <w:numPr>
          <w:ilvl w:val="0"/>
          <w:numId w:val="15"/>
        </w:numPr>
      </w:pPr>
      <w:r w:rsidRPr="003F70E4">
        <w:t xml:space="preserve">Asset management - renewing and maintaining the suite of River Murray system assets; </w:t>
      </w:r>
    </w:p>
    <w:p w:rsidR="004C5F9F" w:rsidRPr="003F70E4" w:rsidRDefault="004C5F9F" w:rsidP="004C5F9F">
      <w:pPr>
        <w:pStyle w:val="ListParagraph"/>
        <w:numPr>
          <w:ilvl w:val="0"/>
          <w:numId w:val="15"/>
        </w:numPr>
      </w:pPr>
      <w:r w:rsidRPr="003F70E4">
        <w:t>River operations - the operation of the assets to deliver water shares and environmental outcomes in the River Murray system; and</w:t>
      </w:r>
    </w:p>
    <w:p w:rsidR="004C5F9F" w:rsidRPr="003F70E4" w:rsidRDefault="004C5F9F" w:rsidP="004C5F9F">
      <w:pPr>
        <w:pStyle w:val="ListParagraph"/>
        <w:numPr>
          <w:ilvl w:val="0"/>
          <w:numId w:val="15"/>
        </w:numPr>
      </w:pPr>
      <w:r>
        <w:t>A</w:t>
      </w:r>
      <w:r w:rsidRPr="003F70E4">
        <w:t>ccounting for interstate water trade – including adjustments of state shares to reflect interstate entitlement and allocation trades and audits of these trades.</w:t>
      </w:r>
    </w:p>
    <w:p w:rsidR="004C5F9F" w:rsidRPr="003F70E4" w:rsidRDefault="004C5F9F" w:rsidP="004C5F9F">
      <w:r w:rsidRPr="003F70E4">
        <w:t xml:space="preserve">Other functions including hydrological modelling, river gauging and water quality monitoring.  </w:t>
      </w:r>
    </w:p>
    <w:p w:rsidR="004C5F9F" w:rsidRPr="003F70E4" w:rsidRDefault="004C5F9F" w:rsidP="004C5F9F">
      <w:pPr>
        <w:pStyle w:val="Heading3"/>
      </w:pPr>
      <w:r w:rsidRPr="003F70E4">
        <w:t>RMO Assets</w:t>
      </w:r>
    </w:p>
    <w:p w:rsidR="004C5F9F" w:rsidRPr="003F70E4" w:rsidRDefault="004C5F9F" w:rsidP="004C5F9F">
      <w:r w:rsidRPr="003F70E4">
        <w:t>RMO assets include the water storage and delivery assets through which state water shares are delivered, locks and weirs, barrages, salinity mitigation schemes, river bank restoration and other management works. RMO assets also include a number of new environmental works built to enable the delivery of water under the Living Murray program.</w:t>
      </w:r>
    </w:p>
    <w:p w:rsidR="00932336" w:rsidRDefault="004C5F9F" w:rsidP="004C5F9F">
      <w:r w:rsidRPr="004F26F0">
        <w:t xml:space="preserve">The MDBA is a service provider to the Joint governments for the delivery of state water shares and is funded through contributions from Joint governments. </w:t>
      </w:r>
      <w:r w:rsidRPr="006839B2">
        <w:t>The RMO assets remain under the ownership of the states in which they are located but are managed and</w:t>
      </w:r>
      <w:r>
        <w:t xml:space="preserve"> operated by the MDBA </w:t>
      </w:r>
      <w:r>
        <w:lastRenderedPageBreak/>
        <w:t xml:space="preserve">on behalf </w:t>
      </w:r>
      <w:r w:rsidRPr="006839B2">
        <w:t xml:space="preserve">of the </w:t>
      </w:r>
      <w:r>
        <w:t>Commonwealth and the</w:t>
      </w:r>
      <w:r w:rsidRPr="006839B2">
        <w:t xml:space="preserve"> governments</w:t>
      </w:r>
      <w:r>
        <w:t xml:space="preserve"> of NSW, Victoria and South Australia through an unincorporated joint venture</w:t>
      </w:r>
      <w:r w:rsidRPr="006839B2">
        <w:t xml:space="preserve">.  </w:t>
      </w:r>
    </w:p>
    <w:p w:rsidR="00932336" w:rsidRPr="003F70E4" w:rsidRDefault="004C5F9F" w:rsidP="00932336">
      <w:r w:rsidRPr="006839B2">
        <w:t xml:space="preserve">Day to day management, operation, maintenance and renewal of the assets is undertaken by the </w:t>
      </w:r>
      <w:r>
        <w:t>S</w:t>
      </w:r>
      <w:r w:rsidR="00932336">
        <w:t xml:space="preserve">tate </w:t>
      </w:r>
      <w:r>
        <w:t>C</w:t>
      </w:r>
      <w:r w:rsidR="00932336">
        <w:t>onstructing Authorities (SCAs)</w:t>
      </w:r>
      <w:r>
        <w:t xml:space="preserve"> </w:t>
      </w:r>
      <w:r w:rsidRPr="006839B2">
        <w:t xml:space="preserve">of NSW, Victoria and South Australia, under the direction of the MDBA. </w:t>
      </w:r>
      <w:r w:rsidR="00932336" w:rsidRPr="003F70E4">
        <w:t>The SCAs are:</w:t>
      </w:r>
    </w:p>
    <w:p w:rsidR="00932336" w:rsidRPr="003F70E4" w:rsidRDefault="00932336" w:rsidP="00932336">
      <w:pPr>
        <w:pStyle w:val="ListParagraph"/>
        <w:numPr>
          <w:ilvl w:val="0"/>
          <w:numId w:val="16"/>
        </w:numPr>
      </w:pPr>
      <w:r w:rsidRPr="003F70E4">
        <w:t>New South Wales – Water NSW, and the NSW Office of Water</w:t>
      </w:r>
      <w:r>
        <w:t>;</w:t>
      </w:r>
    </w:p>
    <w:p w:rsidR="00932336" w:rsidRPr="003F70E4" w:rsidRDefault="00932336" w:rsidP="00932336">
      <w:pPr>
        <w:pStyle w:val="ListParagraph"/>
        <w:numPr>
          <w:ilvl w:val="0"/>
          <w:numId w:val="16"/>
        </w:numPr>
      </w:pPr>
      <w:r w:rsidRPr="003F70E4">
        <w:t>Victoria - Goulburn-Murray Water</w:t>
      </w:r>
      <w:r>
        <w:t>;</w:t>
      </w:r>
    </w:p>
    <w:p w:rsidR="00932336" w:rsidRPr="003F70E4" w:rsidRDefault="00932336" w:rsidP="00932336">
      <w:pPr>
        <w:pStyle w:val="ListParagraph"/>
        <w:numPr>
          <w:ilvl w:val="0"/>
          <w:numId w:val="16"/>
        </w:numPr>
      </w:pPr>
      <w:r w:rsidRPr="003F70E4">
        <w:t>South Australia - SA Water, as agent for the Minister for the River Murray</w:t>
      </w:r>
      <w:r>
        <w:t>.</w:t>
      </w:r>
    </w:p>
    <w:p w:rsidR="004C5F9F" w:rsidRPr="003F70E4" w:rsidRDefault="004C5F9F" w:rsidP="004C5F9F">
      <w:r w:rsidRPr="006839B2">
        <w:t xml:space="preserve">The MDBA provides oversight to ensure a consistent standard of asset maintenance and risk management </w:t>
      </w:r>
      <w:r w:rsidRPr="004F26F0">
        <w:t>as well as providing head-office functions and coordinating and directing river operations.</w:t>
      </w:r>
    </w:p>
    <w:p w:rsidR="004C5F9F" w:rsidRPr="003F70E4" w:rsidRDefault="004C5F9F" w:rsidP="004C5F9F">
      <w:r w:rsidRPr="003F70E4">
        <w:t>As at June 2014, the RMO assets were value</w:t>
      </w:r>
      <w:r>
        <w:t>d at $2.6</w:t>
      </w:r>
      <w:r w:rsidRPr="003F70E4">
        <w:t xml:space="preserve"> billion, with a </w:t>
      </w:r>
      <w:r>
        <w:t xml:space="preserve">replacement cost of $4 billion. </w:t>
      </w:r>
      <w:r w:rsidRPr="003F70E4">
        <w:t xml:space="preserve">The RMO assets are divided into </w:t>
      </w:r>
      <w:r w:rsidR="004D3C33">
        <w:t>several</w:t>
      </w:r>
      <w:r w:rsidRPr="003F70E4">
        <w:t xml:space="preserve"> categories:</w:t>
      </w:r>
    </w:p>
    <w:p w:rsidR="004C5F9F" w:rsidRPr="003F70E4" w:rsidRDefault="004C5F9F" w:rsidP="004C5F9F">
      <w:pPr>
        <w:pStyle w:val="Heading4"/>
      </w:pPr>
      <w:r w:rsidRPr="003F70E4">
        <w:t>Category 1 assets:</w:t>
      </w:r>
    </w:p>
    <w:p w:rsidR="004C5F9F" w:rsidRPr="003F70E4" w:rsidRDefault="00932336" w:rsidP="004C5F9F">
      <w:r>
        <w:t>K</w:t>
      </w:r>
      <w:r w:rsidR="004C5F9F" w:rsidRPr="003F70E4">
        <w:t>ey water assets essential to system-wide water delivery and management, including major water storages, the hydrometric network, and the Barrages.</w:t>
      </w:r>
    </w:p>
    <w:p w:rsidR="004C5F9F" w:rsidRPr="003F70E4" w:rsidRDefault="004C5F9F" w:rsidP="004C5F9F">
      <w:pPr>
        <w:pStyle w:val="Heading4"/>
      </w:pPr>
      <w:r w:rsidRPr="003F70E4">
        <w:t>Category 2 assets:</w:t>
      </w:r>
    </w:p>
    <w:p w:rsidR="004C5F9F" w:rsidRPr="003F70E4" w:rsidRDefault="00932336" w:rsidP="004C5F9F">
      <w:r>
        <w:t>L</w:t>
      </w:r>
      <w:r w:rsidR="004C5F9F" w:rsidRPr="003F70E4">
        <w:t xml:space="preserve">ocks and weirs originally built to facilitate navigation. They now also provide weir pools for the delivery of water allocations to local irrigation networks, river pumpers and for stock and domestic use, as well as supporting tourism and recreation activities. They provide significant local benefits to NSW, Victoria or South Australia, and are increasingly being used for the delivery of environmental water under the Basin Plan. </w:t>
      </w:r>
    </w:p>
    <w:p w:rsidR="004C5F9F" w:rsidRPr="003F70E4" w:rsidRDefault="004C5F9F" w:rsidP="004C5F9F">
      <w:pPr>
        <w:pStyle w:val="Heading4"/>
      </w:pPr>
      <w:r w:rsidRPr="003F70E4">
        <w:t>Other RMO assets include:</w:t>
      </w:r>
    </w:p>
    <w:p w:rsidR="004C5F9F" w:rsidRPr="003F70E4" w:rsidRDefault="004C5F9F" w:rsidP="004C5F9F">
      <w:pPr>
        <w:pStyle w:val="ListParagraph"/>
        <w:numPr>
          <w:ilvl w:val="0"/>
          <w:numId w:val="17"/>
        </w:numPr>
        <w:ind w:left="714" w:hanging="357"/>
        <w:contextualSpacing w:val="0"/>
      </w:pPr>
      <w:r w:rsidRPr="003F70E4">
        <w:t>Salt interception schemes (SIS) - built to address the impacts of rising river salinity a</w:t>
      </w:r>
      <w:r>
        <w:t>s upstream diversions increased;</w:t>
      </w:r>
    </w:p>
    <w:p w:rsidR="004C5F9F" w:rsidRPr="003F70E4" w:rsidRDefault="004C5F9F" w:rsidP="004C5F9F">
      <w:pPr>
        <w:pStyle w:val="ListParagraph"/>
        <w:numPr>
          <w:ilvl w:val="0"/>
          <w:numId w:val="17"/>
        </w:numPr>
        <w:ind w:left="714" w:hanging="357"/>
        <w:contextualSpacing w:val="0"/>
      </w:pPr>
      <w:r w:rsidRPr="003F70E4">
        <w:t>River bank restoration and other management works to address the range of impacts on the environment of changed flow regimes, inclu</w:t>
      </w:r>
      <w:r>
        <w:t>ding cultural heritage impacts;</w:t>
      </w:r>
    </w:p>
    <w:p w:rsidR="004C5F9F" w:rsidRPr="003F70E4" w:rsidRDefault="004C5F9F" w:rsidP="004C5F9F">
      <w:pPr>
        <w:pStyle w:val="ListParagraph"/>
        <w:numPr>
          <w:ilvl w:val="0"/>
          <w:numId w:val="17"/>
        </w:numPr>
        <w:ind w:left="714" w:hanging="357"/>
        <w:contextualSpacing w:val="0"/>
      </w:pPr>
      <w:proofErr w:type="gramStart"/>
      <w:r w:rsidRPr="003F70E4">
        <w:t>a</w:t>
      </w:r>
      <w:proofErr w:type="gramEnd"/>
      <w:r w:rsidRPr="003F70E4">
        <w:t xml:space="preserve"> number of environmental works built under the Living Murray (TLM) program, which utilise weir pools to provide environmental water to nearby environmental assets. These new water management structures – channels, regulators, weirs and levees - enable large-scale watering of over 37,000ha of forests and wetlands. In addition, the Sea-to-Hume </w:t>
      </w:r>
      <w:proofErr w:type="spellStart"/>
      <w:r w:rsidRPr="003F70E4">
        <w:t>fishways</w:t>
      </w:r>
      <w:proofErr w:type="spellEnd"/>
      <w:r w:rsidRPr="003F70E4">
        <w:t xml:space="preserve"> enable fish migration along 2,00</w:t>
      </w:r>
      <w:r>
        <w:t>0km of the River Murray channel.</w:t>
      </w:r>
    </w:p>
    <w:p w:rsidR="004C5F9F" w:rsidRPr="00A116F5" w:rsidRDefault="004C5F9F" w:rsidP="004C5F9F">
      <w:pPr>
        <w:pStyle w:val="Heading2"/>
      </w:pPr>
      <w:r w:rsidRPr="00A116F5">
        <w:t>Current funding arrangements for Joint Activities</w:t>
      </w:r>
    </w:p>
    <w:p w:rsidR="00B00B8A" w:rsidRDefault="004C5F9F" w:rsidP="000879A8">
      <w:r w:rsidRPr="00A116F5">
        <w:t xml:space="preserve">The Joint Activities are funded collectively by the </w:t>
      </w:r>
      <w:r w:rsidR="00C312BC">
        <w:t>partner</w:t>
      </w:r>
      <w:r w:rsidRPr="00A116F5">
        <w:t xml:space="preserve"> governments</w:t>
      </w:r>
      <w:r w:rsidR="0050117C">
        <w:t xml:space="preserve"> under arrangements set out in the Agreement</w:t>
      </w:r>
      <w:r w:rsidRPr="00A116F5">
        <w:t xml:space="preserve">. To determine the budget for </w:t>
      </w:r>
      <w:r>
        <w:t>RMO</w:t>
      </w:r>
      <w:r w:rsidRPr="00A116F5">
        <w:t>, the SCAs advise the MDBA of the recommended construction, operation and maintenance activities for the coming year based on an Asset Management Plan agreed by the MDB Ministerial Council. The MDBA then prepares a draft budget which outlines the four</w:t>
      </w:r>
      <w:r w:rsidR="00C312BC">
        <w:t>-</w:t>
      </w:r>
      <w:r w:rsidRPr="00A116F5">
        <w:t xml:space="preserve">year </w:t>
      </w:r>
      <w:r>
        <w:t xml:space="preserve">RMO </w:t>
      </w:r>
      <w:r w:rsidRPr="00A116F5">
        <w:t>budget (coming financial year plus three out-years). The draft budget is incorporated into the MDBA Corporate Plan.</w:t>
      </w:r>
      <w:r w:rsidR="00B00B8A">
        <w:t xml:space="preserve">  </w:t>
      </w:r>
    </w:p>
    <w:p w:rsidR="00B00B8A" w:rsidRDefault="0050117C" w:rsidP="000879A8">
      <w:pPr>
        <w:rPr>
          <w:vertAlign w:val="superscript"/>
        </w:rPr>
      </w:pPr>
      <w:r>
        <w:lastRenderedPageBreak/>
        <w:t>While not mandated, a review of RMO efficiency occurs every 5 years or so.</w:t>
      </w:r>
      <w:r w:rsidR="00B00B8A">
        <w:t xml:space="preserve"> The most recent review was in 2014 and found that </w:t>
      </w:r>
      <w:r w:rsidR="000879A8" w:rsidRPr="00A91F06">
        <w:t>the lower bound revenue requirement for RMO, based on an assessment of efficient costs, is $72.245</w:t>
      </w:r>
      <w:r w:rsidR="00B00B8A">
        <w:t> </w:t>
      </w:r>
      <w:r w:rsidR="000879A8" w:rsidRPr="00A91F06">
        <w:t>million. The upper bound revenue requirement was shown to be $229.486 million.</w:t>
      </w:r>
      <w:r w:rsidR="000879A8" w:rsidRPr="00780B12">
        <w:rPr>
          <w:vertAlign w:val="superscript"/>
        </w:rPr>
        <w:footnoteReference w:id="1"/>
      </w:r>
      <w:r w:rsidR="000879A8" w:rsidRPr="00780B12">
        <w:rPr>
          <w:vertAlign w:val="superscript"/>
        </w:rPr>
        <w:t xml:space="preserve"> </w:t>
      </w:r>
    </w:p>
    <w:p w:rsidR="000879A8" w:rsidRDefault="00B00B8A" w:rsidP="000879A8">
      <w:r>
        <w:t>The Ministerial Council set the 2014-15</w:t>
      </w:r>
      <w:r w:rsidRPr="00A91F06">
        <w:t xml:space="preserve"> RMO budget </w:t>
      </w:r>
      <w:r>
        <w:t>at</w:t>
      </w:r>
      <w:r w:rsidRPr="00A91F06">
        <w:t xml:space="preserve"> $</w:t>
      </w:r>
      <w:r w:rsidR="00B73391">
        <w:t>54.71</w:t>
      </w:r>
      <w:r w:rsidRPr="00A91F06">
        <w:t>m</w:t>
      </w:r>
      <w:r w:rsidR="00B73391">
        <w:t>, and $60.613m for 2015-16</w:t>
      </w:r>
      <w:r w:rsidRPr="00A91F06">
        <w:t>.</w:t>
      </w:r>
    </w:p>
    <w:p w:rsidR="004C5F9F" w:rsidRPr="00A116F5" w:rsidRDefault="004C5F9F" w:rsidP="004C5F9F">
      <w:pPr>
        <w:pStyle w:val="Heading2"/>
      </w:pPr>
      <w:r w:rsidRPr="00A116F5">
        <w:t>Cost shares</w:t>
      </w:r>
    </w:p>
    <w:p w:rsidR="004C5F9F" w:rsidRDefault="004C5F9F" w:rsidP="004C5F9F">
      <w:r w:rsidRPr="00A116F5">
        <w:t>The agreed budget for the Joint Activities is shared between the Contracting governments according to agreed cost shares.</w:t>
      </w:r>
      <w:r>
        <w:t xml:space="preserve"> Under t</w:t>
      </w:r>
      <w:r w:rsidRPr="00A116F5">
        <w:t>he 191</w:t>
      </w:r>
      <w:r>
        <w:t>5 River Murray Waters Agreement</w:t>
      </w:r>
      <w:r w:rsidR="00C312BC">
        <w:t>,</w:t>
      </w:r>
      <w:r w:rsidRPr="00A116F5">
        <w:t xml:space="preserve"> the Australian Government and the states of New South Wales, Victoria an</w:t>
      </w:r>
      <w:bookmarkStart w:id="3" w:name="_GoBack"/>
      <w:bookmarkEnd w:id="3"/>
      <w:r w:rsidRPr="00A116F5">
        <w:t>d South Australia agreed to share the costs of investigation and construction of works equally</w:t>
      </w:r>
      <w:r>
        <w:t>, while t</w:t>
      </w:r>
      <w:r w:rsidRPr="00A116F5">
        <w:t>he subsequent costs of operation and maintenance of the assets would be shared equally between the three states.</w:t>
      </w:r>
      <w:r>
        <w:t xml:space="preserve"> Cost shares have varied</w:t>
      </w:r>
      <w:r w:rsidRPr="00A116F5">
        <w:t xml:space="preserve"> </w:t>
      </w:r>
      <w:r>
        <w:t xml:space="preserve">slightly </w:t>
      </w:r>
      <w:r w:rsidRPr="00A116F5">
        <w:t xml:space="preserve">over the years to reflect the addition of new assets </w:t>
      </w:r>
      <w:r>
        <w:t xml:space="preserve">and programs, </w:t>
      </w:r>
      <w:r w:rsidRPr="00A116F5">
        <w:t xml:space="preserve">and changes in volumes of water diverted, but the fundamental principles have remained constant. </w:t>
      </w:r>
    </w:p>
    <w:p w:rsidR="00157678" w:rsidRDefault="004C5F9F" w:rsidP="00780B12">
      <w:r w:rsidRPr="00780B12">
        <w:t xml:space="preserve">The costs of the other Joint Activities are shared equally between the Australian Government and the states of New South Wales, Victoria and South Australia once contributions by Queensland the ACT have been made. </w:t>
      </w:r>
    </w:p>
    <w:p w:rsidR="000879A8" w:rsidRPr="003F77D4" w:rsidRDefault="0050117C" w:rsidP="000879A8">
      <w:r>
        <w:t xml:space="preserve">Under the Agreement, cost shares are to be reviewed every 5 years.  </w:t>
      </w:r>
      <w:r w:rsidR="000879A8" w:rsidRPr="003F77D4">
        <w:t>The 2014 Cost Share Review</w:t>
      </w:r>
      <w:r w:rsidR="000879A8" w:rsidRPr="00780B12">
        <w:rPr>
          <w:vertAlign w:val="superscript"/>
        </w:rPr>
        <w:footnoteReference w:id="2"/>
      </w:r>
      <w:r w:rsidR="000879A8" w:rsidRPr="003F77D4">
        <w:t xml:space="preserve"> found that the current cost share arrangements for RMO are broadly appropriate and consistent with NWI pricing principles. </w:t>
      </w:r>
    </w:p>
    <w:p w:rsidR="000879A8" w:rsidRPr="00FA0EA9" w:rsidRDefault="000879A8" w:rsidP="000879A8">
      <w:pPr>
        <w:pStyle w:val="Caption"/>
        <w:rPr>
          <w:color w:val="auto"/>
          <w:sz w:val="22"/>
          <w:szCs w:val="22"/>
        </w:rPr>
      </w:pPr>
      <w:r w:rsidRPr="00FA0EA9">
        <w:rPr>
          <w:color w:val="auto"/>
          <w:sz w:val="22"/>
          <w:szCs w:val="22"/>
        </w:rPr>
        <w:t>Table 1: Cost shares for joint activities</w:t>
      </w:r>
    </w:p>
    <w:tbl>
      <w:tblPr>
        <w:tblStyle w:val="TableGrid"/>
        <w:tblW w:w="10632" w:type="dxa"/>
        <w:tblInd w:w="-289" w:type="dxa"/>
        <w:tblLook w:val="04A0" w:firstRow="1" w:lastRow="0" w:firstColumn="1" w:lastColumn="0" w:noHBand="0" w:noVBand="1"/>
      </w:tblPr>
      <w:tblGrid>
        <w:gridCol w:w="2406"/>
        <w:gridCol w:w="1134"/>
        <w:gridCol w:w="850"/>
        <w:gridCol w:w="1588"/>
        <w:gridCol w:w="1588"/>
        <w:gridCol w:w="3066"/>
      </w:tblGrid>
      <w:tr w:rsidR="000879A8" w:rsidRPr="009630B0" w:rsidTr="0002297E">
        <w:tc>
          <w:tcPr>
            <w:tcW w:w="2406" w:type="dxa"/>
          </w:tcPr>
          <w:p w:rsidR="000879A8" w:rsidRPr="009630B0" w:rsidRDefault="000879A8" w:rsidP="0002297E">
            <w:pPr>
              <w:tabs>
                <w:tab w:val="left" w:pos="993"/>
              </w:tabs>
              <w:spacing w:before="60" w:after="60"/>
              <w:jc w:val="center"/>
              <w:rPr>
                <w:b/>
                <w:sz w:val="20"/>
              </w:rPr>
            </w:pPr>
            <w:r w:rsidRPr="009630B0">
              <w:rPr>
                <w:b/>
                <w:sz w:val="20"/>
              </w:rPr>
              <w:t>Activity</w:t>
            </w:r>
          </w:p>
        </w:tc>
        <w:tc>
          <w:tcPr>
            <w:tcW w:w="1134" w:type="dxa"/>
          </w:tcPr>
          <w:p w:rsidR="000879A8" w:rsidRPr="009630B0" w:rsidRDefault="000879A8" w:rsidP="0002297E">
            <w:pPr>
              <w:tabs>
                <w:tab w:val="left" w:pos="993"/>
              </w:tabs>
              <w:spacing w:before="60" w:after="60"/>
              <w:jc w:val="center"/>
              <w:rPr>
                <w:b/>
                <w:sz w:val="20"/>
              </w:rPr>
            </w:pPr>
            <w:r w:rsidRPr="009630B0">
              <w:rPr>
                <w:b/>
                <w:sz w:val="20"/>
              </w:rPr>
              <w:t>Cost type</w:t>
            </w:r>
          </w:p>
        </w:tc>
        <w:tc>
          <w:tcPr>
            <w:tcW w:w="850" w:type="dxa"/>
          </w:tcPr>
          <w:p w:rsidR="000879A8" w:rsidRPr="009630B0" w:rsidRDefault="000879A8" w:rsidP="0002297E">
            <w:pPr>
              <w:tabs>
                <w:tab w:val="left" w:pos="993"/>
              </w:tabs>
              <w:spacing w:before="60" w:after="60"/>
              <w:jc w:val="center"/>
              <w:rPr>
                <w:b/>
                <w:sz w:val="20"/>
              </w:rPr>
            </w:pPr>
            <w:proofErr w:type="spellStart"/>
            <w:r w:rsidRPr="009630B0">
              <w:rPr>
                <w:b/>
                <w:sz w:val="20"/>
              </w:rPr>
              <w:t>C’wlth</w:t>
            </w:r>
            <w:proofErr w:type="spellEnd"/>
          </w:p>
        </w:tc>
        <w:tc>
          <w:tcPr>
            <w:tcW w:w="1588" w:type="dxa"/>
          </w:tcPr>
          <w:p w:rsidR="000879A8" w:rsidRPr="009630B0" w:rsidRDefault="000879A8" w:rsidP="0002297E">
            <w:pPr>
              <w:tabs>
                <w:tab w:val="left" w:pos="993"/>
              </w:tabs>
              <w:spacing w:before="60" w:after="60"/>
              <w:jc w:val="center"/>
              <w:rPr>
                <w:b/>
                <w:sz w:val="20"/>
              </w:rPr>
            </w:pPr>
            <w:r w:rsidRPr="009630B0">
              <w:rPr>
                <w:b/>
                <w:sz w:val="20"/>
              </w:rPr>
              <w:t>NSW</w:t>
            </w:r>
          </w:p>
        </w:tc>
        <w:tc>
          <w:tcPr>
            <w:tcW w:w="1588" w:type="dxa"/>
          </w:tcPr>
          <w:p w:rsidR="000879A8" w:rsidRPr="009630B0" w:rsidRDefault="000879A8" w:rsidP="0002297E">
            <w:pPr>
              <w:tabs>
                <w:tab w:val="left" w:pos="993"/>
              </w:tabs>
              <w:spacing w:before="60" w:after="60"/>
              <w:jc w:val="center"/>
              <w:rPr>
                <w:b/>
                <w:sz w:val="20"/>
              </w:rPr>
            </w:pPr>
            <w:r w:rsidRPr="009630B0">
              <w:rPr>
                <w:b/>
                <w:sz w:val="20"/>
              </w:rPr>
              <w:t>Vic</w:t>
            </w:r>
          </w:p>
        </w:tc>
        <w:tc>
          <w:tcPr>
            <w:tcW w:w="3066" w:type="dxa"/>
          </w:tcPr>
          <w:p w:rsidR="000879A8" w:rsidRPr="009630B0" w:rsidRDefault="000879A8" w:rsidP="0002297E">
            <w:pPr>
              <w:tabs>
                <w:tab w:val="left" w:pos="993"/>
              </w:tabs>
              <w:spacing w:before="60" w:after="60"/>
              <w:jc w:val="center"/>
              <w:rPr>
                <w:b/>
                <w:sz w:val="20"/>
              </w:rPr>
            </w:pPr>
            <w:r w:rsidRPr="009630B0">
              <w:rPr>
                <w:b/>
                <w:sz w:val="20"/>
              </w:rPr>
              <w:t>SA</w:t>
            </w:r>
          </w:p>
        </w:tc>
      </w:tr>
      <w:tr w:rsidR="000879A8" w:rsidRPr="009630B0" w:rsidTr="0002297E">
        <w:tc>
          <w:tcPr>
            <w:tcW w:w="10632" w:type="dxa"/>
            <w:gridSpan w:val="6"/>
          </w:tcPr>
          <w:p w:rsidR="000879A8" w:rsidRPr="009832F4" w:rsidRDefault="000879A8" w:rsidP="0002297E">
            <w:pPr>
              <w:tabs>
                <w:tab w:val="left" w:pos="993"/>
              </w:tabs>
              <w:spacing w:before="60" w:after="60"/>
              <w:rPr>
                <w:b/>
                <w:i/>
                <w:sz w:val="20"/>
              </w:rPr>
            </w:pPr>
            <w:r w:rsidRPr="009630B0">
              <w:rPr>
                <w:b/>
                <w:i/>
                <w:sz w:val="20"/>
              </w:rPr>
              <w:t>River Murray Operations</w:t>
            </w:r>
            <w:r>
              <w:rPr>
                <w:b/>
                <w:i/>
                <w:sz w:val="20"/>
              </w:rPr>
              <w:t xml:space="preserve"> (RMO)</w:t>
            </w:r>
            <w:r w:rsidRPr="009630B0">
              <w:rPr>
                <w:b/>
                <w:i/>
                <w:sz w:val="20"/>
              </w:rPr>
              <w:t xml:space="preserve"> programs</w:t>
            </w:r>
          </w:p>
        </w:tc>
      </w:tr>
      <w:tr w:rsidR="000879A8" w:rsidTr="0002297E">
        <w:tc>
          <w:tcPr>
            <w:tcW w:w="2406" w:type="dxa"/>
            <w:vMerge w:val="restart"/>
          </w:tcPr>
          <w:p w:rsidR="000879A8" w:rsidRPr="009630B0" w:rsidRDefault="000879A8" w:rsidP="0002297E">
            <w:pPr>
              <w:rPr>
                <w:sz w:val="18"/>
              </w:rPr>
            </w:pPr>
            <w:r w:rsidRPr="00B7470E">
              <w:rPr>
                <w:rFonts w:eastAsiaTheme="minorEastAsia"/>
                <w:b/>
                <w:sz w:val="18"/>
                <w:szCs w:val="20"/>
                <w:lang w:eastAsia="en-AU"/>
              </w:rPr>
              <w:t>RMO Assets</w:t>
            </w:r>
          </w:p>
        </w:tc>
        <w:tc>
          <w:tcPr>
            <w:tcW w:w="1134" w:type="dxa"/>
          </w:tcPr>
          <w:p w:rsidR="000879A8" w:rsidRPr="009630B0" w:rsidRDefault="000879A8" w:rsidP="0002297E">
            <w:pPr>
              <w:tabs>
                <w:tab w:val="left" w:pos="993"/>
              </w:tabs>
              <w:spacing w:before="60" w:after="60"/>
              <w:jc w:val="center"/>
              <w:rPr>
                <w:b/>
                <w:sz w:val="18"/>
                <w:szCs w:val="20"/>
              </w:rPr>
            </w:pPr>
            <w:r w:rsidRPr="009630B0">
              <w:rPr>
                <w:b/>
                <w:sz w:val="18"/>
                <w:szCs w:val="20"/>
              </w:rPr>
              <w:t>O&amp;M</w:t>
            </w:r>
          </w:p>
        </w:tc>
        <w:tc>
          <w:tcPr>
            <w:tcW w:w="850" w:type="dxa"/>
          </w:tcPr>
          <w:p w:rsidR="000879A8" w:rsidRPr="009630B0" w:rsidRDefault="000879A8" w:rsidP="0002297E">
            <w:pPr>
              <w:tabs>
                <w:tab w:val="left" w:pos="993"/>
              </w:tabs>
              <w:spacing w:before="60" w:after="60"/>
              <w:jc w:val="center"/>
              <w:rPr>
                <w:sz w:val="18"/>
                <w:szCs w:val="20"/>
              </w:rPr>
            </w:pPr>
            <w:r w:rsidRPr="009630B0">
              <w:rPr>
                <w:sz w:val="18"/>
                <w:szCs w:val="20"/>
              </w:rPr>
              <w:t>0%</w:t>
            </w:r>
          </w:p>
        </w:tc>
        <w:tc>
          <w:tcPr>
            <w:tcW w:w="6242" w:type="dxa"/>
            <w:gridSpan w:val="3"/>
          </w:tcPr>
          <w:p w:rsidR="000879A8" w:rsidRDefault="000879A8" w:rsidP="0002297E">
            <w:pPr>
              <w:tabs>
                <w:tab w:val="left" w:pos="993"/>
              </w:tabs>
              <w:spacing w:before="60" w:after="60"/>
              <w:rPr>
                <w:sz w:val="18"/>
                <w:szCs w:val="20"/>
              </w:rPr>
            </w:pPr>
            <w:r>
              <w:rPr>
                <w:sz w:val="18"/>
                <w:szCs w:val="20"/>
              </w:rPr>
              <w:t>C</w:t>
            </w:r>
            <w:r w:rsidRPr="009C31E0">
              <w:rPr>
                <w:sz w:val="18"/>
                <w:szCs w:val="20"/>
              </w:rPr>
              <w:t xml:space="preserve">osts </w:t>
            </w:r>
            <w:r>
              <w:rPr>
                <w:sz w:val="18"/>
                <w:szCs w:val="20"/>
              </w:rPr>
              <w:t>shared</w:t>
            </w:r>
            <w:r w:rsidRPr="009C31E0">
              <w:rPr>
                <w:sz w:val="18"/>
                <w:szCs w:val="20"/>
              </w:rPr>
              <w:t xml:space="preserve"> in proportions </w:t>
            </w:r>
            <w:r>
              <w:rPr>
                <w:sz w:val="18"/>
                <w:szCs w:val="20"/>
              </w:rPr>
              <w:t>based on</w:t>
            </w:r>
            <w:r w:rsidRPr="009C31E0">
              <w:rPr>
                <w:sz w:val="18"/>
                <w:szCs w:val="20"/>
              </w:rPr>
              <w:t xml:space="preserve"> the cap equivalent of Murray Valley entitlements in each State, the five year average water use in the Murray Valley by each State,</w:t>
            </w:r>
            <w:r>
              <w:rPr>
                <w:sz w:val="18"/>
                <w:szCs w:val="20"/>
              </w:rPr>
              <w:t xml:space="preserve"> and</w:t>
            </w:r>
            <w:r w:rsidRPr="009C31E0">
              <w:rPr>
                <w:sz w:val="18"/>
                <w:szCs w:val="20"/>
              </w:rPr>
              <w:t xml:space="preserve"> the share of local beneficiary for locks and weirs</w:t>
            </w:r>
            <w:r>
              <w:rPr>
                <w:sz w:val="18"/>
                <w:szCs w:val="20"/>
              </w:rPr>
              <w:t>.</w:t>
            </w:r>
          </w:p>
          <w:p w:rsidR="000879A8" w:rsidRPr="00B7470E" w:rsidRDefault="000879A8" w:rsidP="0002297E">
            <w:pPr>
              <w:tabs>
                <w:tab w:val="left" w:pos="993"/>
              </w:tabs>
              <w:spacing w:before="60" w:after="60"/>
              <w:rPr>
                <w:sz w:val="18"/>
                <w:szCs w:val="20"/>
              </w:rPr>
            </w:pPr>
            <w:r>
              <w:rPr>
                <w:sz w:val="18"/>
                <w:szCs w:val="20"/>
              </w:rPr>
              <w:t xml:space="preserve">Equal shares for salt interception schemes. </w:t>
            </w:r>
          </w:p>
        </w:tc>
      </w:tr>
      <w:tr w:rsidR="000879A8" w:rsidTr="0002297E">
        <w:tc>
          <w:tcPr>
            <w:tcW w:w="2406" w:type="dxa"/>
            <w:vMerge/>
          </w:tcPr>
          <w:p w:rsidR="000879A8" w:rsidRPr="009630B0" w:rsidRDefault="000879A8" w:rsidP="0002297E">
            <w:pPr>
              <w:rPr>
                <w:sz w:val="18"/>
              </w:rPr>
            </w:pPr>
          </w:p>
        </w:tc>
        <w:tc>
          <w:tcPr>
            <w:tcW w:w="1134" w:type="dxa"/>
          </w:tcPr>
          <w:p w:rsidR="000879A8" w:rsidRPr="009630B0" w:rsidRDefault="000879A8" w:rsidP="0002297E">
            <w:pPr>
              <w:tabs>
                <w:tab w:val="left" w:pos="993"/>
              </w:tabs>
              <w:spacing w:before="60" w:after="60"/>
              <w:jc w:val="center"/>
              <w:rPr>
                <w:b/>
                <w:sz w:val="18"/>
                <w:szCs w:val="20"/>
              </w:rPr>
            </w:pPr>
            <w:r w:rsidRPr="009630B0">
              <w:rPr>
                <w:b/>
                <w:sz w:val="18"/>
                <w:szCs w:val="20"/>
              </w:rPr>
              <w:t>I&amp;C</w:t>
            </w:r>
          </w:p>
        </w:tc>
        <w:tc>
          <w:tcPr>
            <w:tcW w:w="850" w:type="dxa"/>
          </w:tcPr>
          <w:p w:rsidR="000879A8" w:rsidRPr="00177983" w:rsidRDefault="000879A8" w:rsidP="0002297E">
            <w:pPr>
              <w:tabs>
                <w:tab w:val="left" w:pos="993"/>
              </w:tabs>
              <w:spacing w:before="60" w:after="60"/>
              <w:jc w:val="center"/>
              <w:rPr>
                <w:sz w:val="18"/>
                <w:szCs w:val="20"/>
              </w:rPr>
            </w:pPr>
            <w:r w:rsidRPr="00177983">
              <w:rPr>
                <w:sz w:val="18"/>
                <w:szCs w:val="20"/>
              </w:rPr>
              <w:t>25%</w:t>
            </w:r>
          </w:p>
        </w:tc>
        <w:tc>
          <w:tcPr>
            <w:tcW w:w="6242" w:type="dxa"/>
            <w:gridSpan w:val="3"/>
          </w:tcPr>
          <w:p w:rsidR="000879A8" w:rsidRPr="00177983" w:rsidRDefault="000879A8" w:rsidP="0002297E">
            <w:pPr>
              <w:tabs>
                <w:tab w:val="left" w:pos="993"/>
              </w:tabs>
              <w:spacing w:before="60" w:after="60"/>
              <w:rPr>
                <w:sz w:val="18"/>
                <w:szCs w:val="20"/>
              </w:rPr>
            </w:pPr>
            <w:r w:rsidRPr="00177983">
              <w:rPr>
                <w:sz w:val="18"/>
                <w:szCs w:val="20"/>
              </w:rPr>
              <w:t xml:space="preserve">Balance of I&amp;C cost shared on same basis as O&amp;M.  </w:t>
            </w:r>
          </w:p>
          <w:p w:rsidR="000879A8" w:rsidRPr="00177983" w:rsidRDefault="000879A8" w:rsidP="0002297E">
            <w:pPr>
              <w:tabs>
                <w:tab w:val="left" w:pos="993"/>
              </w:tabs>
              <w:spacing w:before="60" w:after="60"/>
              <w:rPr>
                <w:sz w:val="18"/>
                <w:szCs w:val="20"/>
              </w:rPr>
            </w:pPr>
            <w:r w:rsidRPr="00177983">
              <w:rPr>
                <w:sz w:val="18"/>
                <w:szCs w:val="20"/>
              </w:rPr>
              <w:t xml:space="preserve">RMO administration treated as I&amp;C. </w:t>
            </w:r>
          </w:p>
        </w:tc>
      </w:tr>
      <w:tr w:rsidR="000879A8" w:rsidTr="0002297E">
        <w:tc>
          <w:tcPr>
            <w:tcW w:w="2406" w:type="dxa"/>
          </w:tcPr>
          <w:p w:rsidR="000879A8" w:rsidRPr="009630B0" w:rsidRDefault="000879A8" w:rsidP="0002297E">
            <w:pPr>
              <w:rPr>
                <w:sz w:val="18"/>
              </w:rPr>
            </w:pPr>
            <w:r w:rsidRPr="009630B0">
              <w:rPr>
                <w:rFonts w:eastAsiaTheme="minorEastAsia"/>
                <w:b/>
                <w:sz w:val="18"/>
                <w:szCs w:val="20"/>
                <w:lang w:eastAsia="en-AU"/>
              </w:rPr>
              <w:t xml:space="preserve">Murray mouth </w:t>
            </w:r>
            <w:r>
              <w:rPr>
                <w:rFonts w:eastAsiaTheme="minorEastAsia"/>
                <w:b/>
                <w:sz w:val="18"/>
                <w:szCs w:val="20"/>
                <w:lang w:eastAsia="en-AU"/>
              </w:rPr>
              <w:t xml:space="preserve">dredging </w:t>
            </w:r>
          </w:p>
        </w:tc>
        <w:tc>
          <w:tcPr>
            <w:tcW w:w="1134" w:type="dxa"/>
          </w:tcPr>
          <w:p w:rsidR="000879A8" w:rsidRPr="009630B0" w:rsidRDefault="000879A8" w:rsidP="0002297E">
            <w:pPr>
              <w:tabs>
                <w:tab w:val="left" w:pos="993"/>
              </w:tabs>
              <w:spacing w:before="60" w:after="60"/>
              <w:jc w:val="center"/>
              <w:rPr>
                <w:b/>
                <w:sz w:val="18"/>
                <w:szCs w:val="20"/>
              </w:rPr>
            </w:pPr>
            <w:r w:rsidRPr="009630B0">
              <w:rPr>
                <w:b/>
                <w:sz w:val="18"/>
                <w:szCs w:val="20"/>
              </w:rPr>
              <w:t>I&amp;C</w:t>
            </w:r>
          </w:p>
        </w:tc>
        <w:tc>
          <w:tcPr>
            <w:tcW w:w="7092" w:type="dxa"/>
            <w:gridSpan w:val="4"/>
          </w:tcPr>
          <w:p w:rsidR="000879A8" w:rsidRPr="00177983" w:rsidRDefault="000879A8" w:rsidP="0002297E">
            <w:pPr>
              <w:tabs>
                <w:tab w:val="left" w:pos="993"/>
              </w:tabs>
              <w:spacing w:before="60" w:after="60"/>
              <w:rPr>
                <w:sz w:val="18"/>
                <w:szCs w:val="20"/>
              </w:rPr>
            </w:pPr>
            <w:r>
              <w:rPr>
                <w:sz w:val="18"/>
                <w:szCs w:val="20"/>
              </w:rPr>
              <w:t>C</w:t>
            </w:r>
            <w:r w:rsidRPr="009630B0">
              <w:rPr>
                <w:sz w:val="18"/>
                <w:szCs w:val="20"/>
              </w:rPr>
              <w:t xml:space="preserve">osts are shared equally between </w:t>
            </w:r>
            <w:r>
              <w:rPr>
                <w:sz w:val="18"/>
                <w:szCs w:val="20"/>
              </w:rPr>
              <w:t>all four governments</w:t>
            </w:r>
          </w:p>
        </w:tc>
      </w:tr>
      <w:tr w:rsidR="000879A8" w:rsidTr="0002297E">
        <w:tc>
          <w:tcPr>
            <w:tcW w:w="2406" w:type="dxa"/>
            <w:vMerge w:val="restart"/>
          </w:tcPr>
          <w:p w:rsidR="000879A8" w:rsidRPr="009630B0" w:rsidRDefault="000879A8" w:rsidP="0002297E">
            <w:pPr>
              <w:rPr>
                <w:sz w:val="18"/>
              </w:rPr>
            </w:pPr>
            <w:r w:rsidRPr="009630B0">
              <w:rPr>
                <w:rFonts w:eastAsiaTheme="minorEastAsia"/>
                <w:b/>
                <w:sz w:val="18"/>
                <w:szCs w:val="20"/>
                <w:lang w:eastAsia="en-AU"/>
              </w:rPr>
              <w:t>Environmental works and measures</w:t>
            </w:r>
          </w:p>
        </w:tc>
        <w:tc>
          <w:tcPr>
            <w:tcW w:w="1134" w:type="dxa"/>
          </w:tcPr>
          <w:p w:rsidR="000879A8" w:rsidRPr="009630B0" w:rsidRDefault="000879A8" w:rsidP="0002297E">
            <w:pPr>
              <w:tabs>
                <w:tab w:val="left" w:pos="993"/>
              </w:tabs>
              <w:spacing w:before="60" w:after="60"/>
              <w:jc w:val="center"/>
              <w:rPr>
                <w:b/>
                <w:sz w:val="18"/>
                <w:szCs w:val="20"/>
              </w:rPr>
            </w:pPr>
            <w:r w:rsidRPr="009630B0">
              <w:rPr>
                <w:b/>
                <w:sz w:val="18"/>
                <w:szCs w:val="20"/>
              </w:rPr>
              <w:t>O&amp;M</w:t>
            </w:r>
          </w:p>
        </w:tc>
        <w:tc>
          <w:tcPr>
            <w:tcW w:w="850" w:type="dxa"/>
          </w:tcPr>
          <w:p w:rsidR="000879A8" w:rsidRPr="00177983" w:rsidRDefault="000879A8" w:rsidP="0002297E">
            <w:pPr>
              <w:tabs>
                <w:tab w:val="left" w:pos="993"/>
              </w:tabs>
              <w:spacing w:before="60" w:after="60"/>
              <w:jc w:val="center"/>
              <w:rPr>
                <w:sz w:val="18"/>
                <w:szCs w:val="20"/>
              </w:rPr>
            </w:pPr>
            <w:r w:rsidRPr="009630B0">
              <w:rPr>
                <w:sz w:val="18"/>
                <w:szCs w:val="20"/>
              </w:rPr>
              <w:t>0%</w:t>
            </w:r>
          </w:p>
        </w:tc>
        <w:tc>
          <w:tcPr>
            <w:tcW w:w="6242" w:type="dxa"/>
            <w:gridSpan w:val="3"/>
          </w:tcPr>
          <w:p w:rsidR="000879A8" w:rsidRPr="00177983" w:rsidRDefault="000879A8" w:rsidP="0002297E">
            <w:pPr>
              <w:tabs>
                <w:tab w:val="left" w:pos="993"/>
              </w:tabs>
              <w:spacing w:before="60" w:after="60"/>
              <w:rPr>
                <w:sz w:val="18"/>
                <w:szCs w:val="20"/>
              </w:rPr>
            </w:pPr>
            <w:r>
              <w:rPr>
                <w:sz w:val="18"/>
                <w:szCs w:val="20"/>
              </w:rPr>
              <w:t>Equal shares</w:t>
            </w:r>
          </w:p>
        </w:tc>
      </w:tr>
      <w:tr w:rsidR="000879A8" w:rsidTr="0002297E">
        <w:tc>
          <w:tcPr>
            <w:tcW w:w="2406" w:type="dxa"/>
            <w:vMerge/>
          </w:tcPr>
          <w:p w:rsidR="000879A8" w:rsidRPr="009630B0" w:rsidRDefault="000879A8" w:rsidP="0002297E">
            <w:pPr>
              <w:rPr>
                <w:sz w:val="18"/>
              </w:rPr>
            </w:pPr>
          </w:p>
        </w:tc>
        <w:tc>
          <w:tcPr>
            <w:tcW w:w="1134" w:type="dxa"/>
          </w:tcPr>
          <w:p w:rsidR="000879A8" w:rsidRPr="009630B0" w:rsidRDefault="000879A8" w:rsidP="0002297E">
            <w:pPr>
              <w:tabs>
                <w:tab w:val="left" w:pos="993"/>
              </w:tabs>
              <w:spacing w:before="60" w:after="60"/>
              <w:jc w:val="center"/>
              <w:rPr>
                <w:b/>
                <w:sz w:val="18"/>
                <w:szCs w:val="20"/>
              </w:rPr>
            </w:pPr>
            <w:r w:rsidRPr="009630B0">
              <w:rPr>
                <w:b/>
                <w:sz w:val="18"/>
                <w:szCs w:val="20"/>
              </w:rPr>
              <w:t>I&amp;C</w:t>
            </w:r>
          </w:p>
        </w:tc>
        <w:tc>
          <w:tcPr>
            <w:tcW w:w="850" w:type="dxa"/>
          </w:tcPr>
          <w:p w:rsidR="000879A8" w:rsidRPr="00177983" w:rsidRDefault="000879A8" w:rsidP="0002297E">
            <w:pPr>
              <w:tabs>
                <w:tab w:val="left" w:pos="993"/>
              </w:tabs>
              <w:spacing w:before="60" w:after="60"/>
              <w:jc w:val="center"/>
              <w:rPr>
                <w:sz w:val="18"/>
                <w:szCs w:val="20"/>
              </w:rPr>
            </w:pPr>
            <w:r w:rsidRPr="00177983">
              <w:rPr>
                <w:sz w:val="18"/>
                <w:szCs w:val="20"/>
              </w:rPr>
              <w:t>25%</w:t>
            </w:r>
          </w:p>
        </w:tc>
        <w:tc>
          <w:tcPr>
            <w:tcW w:w="6242" w:type="dxa"/>
            <w:gridSpan w:val="3"/>
          </w:tcPr>
          <w:p w:rsidR="000879A8" w:rsidRPr="00177983" w:rsidRDefault="000879A8" w:rsidP="0002297E">
            <w:pPr>
              <w:tabs>
                <w:tab w:val="left" w:pos="993"/>
              </w:tabs>
              <w:spacing w:before="60" w:after="60"/>
              <w:rPr>
                <w:sz w:val="18"/>
                <w:szCs w:val="20"/>
              </w:rPr>
            </w:pPr>
            <w:r w:rsidRPr="00177983">
              <w:rPr>
                <w:sz w:val="18"/>
                <w:szCs w:val="20"/>
              </w:rPr>
              <w:t>Balance of I&amp;C cos</w:t>
            </w:r>
            <w:r>
              <w:rPr>
                <w:sz w:val="18"/>
                <w:szCs w:val="20"/>
              </w:rPr>
              <w:t xml:space="preserve">t shared on same basis as O&amp;M. </w:t>
            </w:r>
          </w:p>
        </w:tc>
      </w:tr>
      <w:tr w:rsidR="000879A8" w:rsidTr="0002297E">
        <w:tc>
          <w:tcPr>
            <w:tcW w:w="10632" w:type="dxa"/>
            <w:gridSpan w:val="6"/>
          </w:tcPr>
          <w:p w:rsidR="000879A8" w:rsidRPr="00177983" w:rsidRDefault="000879A8" w:rsidP="0002297E">
            <w:pPr>
              <w:tabs>
                <w:tab w:val="left" w:pos="993"/>
              </w:tabs>
              <w:spacing w:before="60" w:after="60"/>
              <w:rPr>
                <w:sz w:val="18"/>
                <w:szCs w:val="20"/>
              </w:rPr>
            </w:pPr>
            <w:r>
              <w:rPr>
                <w:b/>
                <w:i/>
                <w:sz w:val="20"/>
              </w:rPr>
              <w:t>Other activities</w:t>
            </w:r>
          </w:p>
        </w:tc>
      </w:tr>
      <w:tr w:rsidR="000879A8" w:rsidTr="0002297E">
        <w:tc>
          <w:tcPr>
            <w:tcW w:w="3540" w:type="dxa"/>
            <w:gridSpan w:val="2"/>
          </w:tcPr>
          <w:p w:rsidR="000879A8" w:rsidRPr="00190EA2" w:rsidRDefault="000879A8" w:rsidP="0002297E">
            <w:pPr>
              <w:tabs>
                <w:tab w:val="left" w:pos="993"/>
              </w:tabs>
              <w:spacing w:before="60" w:after="60"/>
              <w:rPr>
                <w:b/>
                <w:sz w:val="18"/>
                <w:szCs w:val="20"/>
              </w:rPr>
            </w:pPr>
            <w:r w:rsidRPr="00190EA2">
              <w:rPr>
                <w:b/>
                <w:sz w:val="20"/>
              </w:rPr>
              <w:t>Non-RMO programs</w:t>
            </w:r>
            <w:r w:rsidRPr="00190EA2">
              <w:rPr>
                <w:rFonts w:cs="Arial"/>
                <w:sz w:val="18"/>
                <w:szCs w:val="20"/>
              </w:rPr>
              <w:t xml:space="preserve"> </w:t>
            </w:r>
          </w:p>
        </w:tc>
        <w:tc>
          <w:tcPr>
            <w:tcW w:w="7092" w:type="dxa"/>
            <w:gridSpan w:val="4"/>
          </w:tcPr>
          <w:p w:rsidR="000879A8" w:rsidRPr="00177983" w:rsidRDefault="000879A8" w:rsidP="0002297E">
            <w:pPr>
              <w:tabs>
                <w:tab w:val="left" w:pos="993"/>
              </w:tabs>
              <w:spacing w:before="60" w:after="60"/>
              <w:rPr>
                <w:sz w:val="18"/>
                <w:szCs w:val="20"/>
              </w:rPr>
            </w:pPr>
            <w:r>
              <w:rPr>
                <w:rFonts w:cs="Arial"/>
                <w:sz w:val="18"/>
                <w:szCs w:val="20"/>
              </w:rPr>
              <w:t>C</w:t>
            </w:r>
            <w:r w:rsidRPr="009630B0">
              <w:rPr>
                <w:rFonts w:cs="Arial"/>
                <w:sz w:val="18"/>
                <w:szCs w:val="20"/>
              </w:rPr>
              <w:t>ontributions from Q</w:t>
            </w:r>
            <w:r>
              <w:rPr>
                <w:rFonts w:cs="Arial"/>
                <w:sz w:val="18"/>
                <w:szCs w:val="20"/>
              </w:rPr>
              <w:t xml:space="preserve">ld and ACT are </w:t>
            </w:r>
            <w:r w:rsidRPr="009630B0">
              <w:rPr>
                <w:rFonts w:cs="Arial"/>
                <w:sz w:val="18"/>
                <w:szCs w:val="20"/>
              </w:rPr>
              <w:t xml:space="preserve">negotiated based on </w:t>
            </w:r>
            <w:r>
              <w:rPr>
                <w:rFonts w:cs="Arial"/>
                <w:sz w:val="18"/>
                <w:szCs w:val="20"/>
              </w:rPr>
              <w:t>their</w:t>
            </w:r>
            <w:r w:rsidRPr="009630B0">
              <w:rPr>
                <w:rFonts w:cs="Arial"/>
                <w:sz w:val="18"/>
                <w:szCs w:val="20"/>
              </w:rPr>
              <w:t xml:space="preserve"> i</w:t>
            </w:r>
            <w:r>
              <w:rPr>
                <w:rFonts w:cs="Arial"/>
                <w:sz w:val="18"/>
                <w:szCs w:val="20"/>
              </w:rPr>
              <w:t xml:space="preserve">nterest in each programs. The balance of the costs are </w:t>
            </w:r>
            <w:r w:rsidRPr="009630B0">
              <w:rPr>
                <w:rFonts w:cs="Arial"/>
                <w:sz w:val="18"/>
                <w:szCs w:val="20"/>
              </w:rPr>
              <w:t>shared equally between the Commonwealth, NSW, Victoria and South Australia.</w:t>
            </w:r>
          </w:p>
        </w:tc>
      </w:tr>
      <w:tr w:rsidR="000879A8" w:rsidTr="0002297E">
        <w:tc>
          <w:tcPr>
            <w:tcW w:w="3540" w:type="dxa"/>
            <w:gridSpan w:val="2"/>
          </w:tcPr>
          <w:p w:rsidR="000879A8" w:rsidRPr="00190EA2" w:rsidRDefault="000879A8" w:rsidP="0002297E">
            <w:pPr>
              <w:tabs>
                <w:tab w:val="left" w:pos="993"/>
              </w:tabs>
              <w:spacing w:before="60" w:after="60"/>
              <w:rPr>
                <w:b/>
                <w:sz w:val="20"/>
              </w:rPr>
            </w:pPr>
            <w:r w:rsidRPr="00190EA2">
              <w:rPr>
                <w:b/>
                <w:sz w:val="20"/>
              </w:rPr>
              <w:t>Corporate overheads</w:t>
            </w:r>
            <w:r w:rsidRPr="00190EA2">
              <w:rPr>
                <w:rFonts w:cs="Arial"/>
                <w:sz w:val="18"/>
                <w:szCs w:val="20"/>
              </w:rPr>
              <w:t xml:space="preserve"> </w:t>
            </w:r>
          </w:p>
        </w:tc>
        <w:tc>
          <w:tcPr>
            <w:tcW w:w="7092" w:type="dxa"/>
            <w:gridSpan w:val="4"/>
          </w:tcPr>
          <w:p w:rsidR="000879A8" w:rsidRDefault="000879A8" w:rsidP="0002297E">
            <w:pPr>
              <w:tabs>
                <w:tab w:val="left" w:pos="993"/>
              </w:tabs>
              <w:spacing w:before="60" w:after="60"/>
              <w:rPr>
                <w:rFonts w:cs="Arial"/>
                <w:sz w:val="18"/>
                <w:szCs w:val="20"/>
              </w:rPr>
            </w:pPr>
            <w:r>
              <w:rPr>
                <w:rFonts w:cs="Arial"/>
                <w:sz w:val="18"/>
                <w:szCs w:val="20"/>
              </w:rPr>
              <w:t>J</w:t>
            </w:r>
            <w:r w:rsidRPr="009630B0">
              <w:rPr>
                <w:rFonts w:cs="Arial"/>
                <w:sz w:val="18"/>
                <w:szCs w:val="20"/>
              </w:rPr>
              <w:t xml:space="preserve">oint </w:t>
            </w:r>
            <w:r>
              <w:rPr>
                <w:rFonts w:cs="Arial"/>
                <w:sz w:val="18"/>
                <w:szCs w:val="20"/>
              </w:rPr>
              <w:t>activities</w:t>
            </w:r>
            <w:r w:rsidRPr="009630B0">
              <w:rPr>
                <w:rFonts w:cs="Arial"/>
                <w:sz w:val="18"/>
                <w:szCs w:val="20"/>
              </w:rPr>
              <w:t xml:space="preserve"> </w:t>
            </w:r>
            <w:r>
              <w:rPr>
                <w:rFonts w:cs="Arial"/>
                <w:sz w:val="18"/>
                <w:szCs w:val="20"/>
              </w:rPr>
              <w:t>pay</w:t>
            </w:r>
            <w:r w:rsidRPr="009630B0">
              <w:rPr>
                <w:rFonts w:cs="Arial"/>
                <w:sz w:val="18"/>
                <w:szCs w:val="20"/>
              </w:rPr>
              <w:t xml:space="preserve"> a share of MDBA corporate overheads, </w:t>
            </w:r>
            <w:r>
              <w:rPr>
                <w:rFonts w:cs="Arial"/>
                <w:sz w:val="18"/>
                <w:szCs w:val="20"/>
              </w:rPr>
              <w:t>which is then split</w:t>
            </w:r>
            <w:r w:rsidRPr="009630B0">
              <w:rPr>
                <w:rFonts w:cs="Arial"/>
                <w:sz w:val="18"/>
                <w:szCs w:val="20"/>
              </w:rPr>
              <w:t xml:space="preserve"> between programs on the basis of the FTEs employed in each program. </w:t>
            </w:r>
            <w:r>
              <w:rPr>
                <w:rFonts w:cs="Arial"/>
                <w:sz w:val="18"/>
                <w:szCs w:val="20"/>
              </w:rPr>
              <w:t>T</w:t>
            </w:r>
            <w:r w:rsidRPr="009630B0">
              <w:rPr>
                <w:rFonts w:cs="Arial"/>
                <w:sz w:val="18"/>
                <w:szCs w:val="20"/>
              </w:rPr>
              <w:t xml:space="preserve">hese costs are then shared </w:t>
            </w:r>
            <w:r>
              <w:rPr>
                <w:rFonts w:cs="Arial"/>
                <w:sz w:val="18"/>
                <w:szCs w:val="20"/>
              </w:rPr>
              <w:t xml:space="preserve">between jurisdictions </w:t>
            </w:r>
            <w:r w:rsidRPr="009630B0">
              <w:rPr>
                <w:rFonts w:cs="Arial"/>
                <w:sz w:val="18"/>
                <w:szCs w:val="20"/>
              </w:rPr>
              <w:t xml:space="preserve">in accordance with the relevant principles </w:t>
            </w:r>
            <w:r>
              <w:rPr>
                <w:rFonts w:cs="Arial"/>
                <w:sz w:val="18"/>
                <w:szCs w:val="20"/>
              </w:rPr>
              <w:t>for each program</w:t>
            </w:r>
            <w:r w:rsidRPr="009630B0">
              <w:rPr>
                <w:rFonts w:cs="Arial"/>
                <w:sz w:val="18"/>
                <w:szCs w:val="20"/>
              </w:rPr>
              <w:t>.</w:t>
            </w:r>
          </w:p>
        </w:tc>
      </w:tr>
    </w:tbl>
    <w:p w:rsidR="00435405" w:rsidRPr="000678BA" w:rsidRDefault="00CC3C12" w:rsidP="00780B12">
      <w:pPr>
        <w:pStyle w:val="Heading2"/>
      </w:pPr>
      <w:r>
        <w:lastRenderedPageBreak/>
        <w:t>Response</w:t>
      </w:r>
      <w:r w:rsidR="00C70AB2">
        <w:t>s</w:t>
      </w:r>
      <w:r>
        <w:t xml:space="preserve"> to ACCC </w:t>
      </w:r>
      <w:r w:rsidR="00A87499">
        <w:t>Issues paper</w:t>
      </w:r>
    </w:p>
    <w:p w:rsidR="00C312BC" w:rsidRPr="00D32D68" w:rsidRDefault="00C312BC" w:rsidP="00C312BC">
      <w:pPr>
        <w:rPr>
          <w:i/>
        </w:rPr>
      </w:pPr>
      <w:r w:rsidRPr="00D32D68">
        <w:rPr>
          <w:i/>
        </w:rPr>
        <w:t>The ACCC Issues Paper asks (question #3) ‘How could the water charge rules more effectively contribute to achieving the Basin water charging objectives and principles?’</w:t>
      </w:r>
    </w:p>
    <w:p w:rsidR="00091FDF" w:rsidRDefault="00091FDF" w:rsidP="00780B12">
      <w:pPr>
        <w:pStyle w:val="Heading3"/>
      </w:pPr>
      <w:r>
        <w:t xml:space="preserve">RMO </w:t>
      </w:r>
      <w:r w:rsidR="005635B6">
        <w:t xml:space="preserve">efficiency </w:t>
      </w:r>
      <w:r>
        <w:t>reviews</w:t>
      </w:r>
    </w:p>
    <w:p w:rsidR="007F14CB" w:rsidRDefault="00435405" w:rsidP="00E13C6E">
      <w:r>
        <w:t>The</w:t>
      </w:r>
      <w:r w:rsidR="00AA1ACF">
        <w:t xml:space="preserve"> </w:t>
      </w:r>
      <w:r w:rsidR="00FF7779">
        <w:t>water charging</w:t>
      </w:r>
      <w:r w:rsidR="00FF7779" w:rsidRPr="00FF7779">
        <w:t xml:space="preserve"> principles </w:t>
      </w:r>
      <w:r>
        <w:t xml:space="preserve">of relevance to the MDBA are those </w:t>
      </w:r>
      <w:r w:rsidR="00FF7779" w:rsidRPr="00FF7779">
        <w:t>that apply to water storage and delivery (the Water Charge Infrastructure Rules) and to Water Planning and Management (the Water Charge Planning and Management Information Rules).</w:t>
      </w:r>
    </w:p>
    <w:p w:rsidR="00BB2AFA" w:rsidRDefault="00BB2AFA" w:rsidP="00BB2AFA">
      <w:r>
        <w:t>O</w:t>
      </w:r>
      <w:r w:rsidRPr="007C0DEE">
        <w:t xml:space="preserve">ne of the key concerns </w:t>
      </w:r>
      <w:r>
        <w:t>of</w:t>
      </w:r>
      <w:r w:rsidRPr="007C0DEE">
        <w:t xml:space="preserve"> stakeholders is the efficiency of RMO and whether water users are paying ‘over the odds’ for their bulk water</w:t>
      </w:r>
      <w:r w:rsidRPr="00D078EE">
        <w:t xml:space="preserve">. This is usually expressed as a concern in relation to MDBA costs, although the </w:t>
      </w:r>
      <w:r>
        <w:t>SCAs are the more significant component</w:t>
      </w:r>
      <w:r w:rsidRPr="00D078EE">
        <w:t xml:space="preserve"> of RMO </w:t>
      </w:r>
      <w:r>
        <w:t>costs</w:t>
      </w:r>
      <w:r w:rsidRPr="00D078EE">
        <w:t xml:space="preserve">. </w:t>
      </w:r>
    </w:p>
    <w:p w:rsidR="00BB2AFA" w:rsidRDefault="000E3F08" w:rsidP="00780B12">
      <w:r>
        <w:t>RMO</w:t>
      </w:r>
      <w:r w:rsidRPr="00025F7F">
        <w:t xml:space="preserve"> is a bulk water </w:t>
      </w:r>
      <w:r w:rsidR="006E188A">
        <w:t xml:space="preserve">service </w:t>
      </w:r>
      <w:r w:rsidRPr="00025F7F">
        <w:t>provider</w:t>
      </w:r>
      <w:r w:rsidR="00867042">
        <w:t xml:space="preserve"> whose</w:t>
      </w:r>
      <w:r w:rsidRPr="00025F7F">
        <w:t xml:space="preserve"> ‘customers’ are th</w:t>
      </w:r>
      <w:r w:rsidR="00867042">
        <w:t xml:space="preserve">e State Constructing Authorities (SCAs). </w:t>
      </w:r>
      <w:r w:rsidR="00BB2AFA">
        <w:t>However, b</w:t>
      </w:r>
      <w:r w:rsidR="00867042">
        <w:t xml:space="preserve">ecause the </w:t>
      </w:r>
      <w:r w:rsidR="006C4162">
        <w:t xml:space="preserve">MDBA does not </w:t>
      </w:r>
      <w:r w:rsidR="00773FE0">
        <w:t>deliver water</w:t>
      </w:r>
      <w:r w:rsidR="003B3FC0">
        <w:t xml:space="preserve"> directly</w:t>
      </w:r>
      <w:r w:rsidR="00773FE0">
        <w:t xml:space="preserve"> to users</w:t>
      </w:r>
      <w:r w:rsidR="00867042">
        <w:t xml:space="preserve"> or</w:t>
      </w:r>
      <w:r w:rsidR="006C4162">
        <w:t xml:space="preserve"> </w:t>
      </w:r>
      <w:r w:rsidR="00773FE0">
        <w:t xml:space="preserve">impose charges, </w:t>
      </w:r>
      <w:r w:rsidR="00867042">
        <w:t>it is not a</w:t>
      </w:r>
      <w:r w:rsidR="006C4162">
        <w:t xml:space="preserve"> </w:t>
      </w:r>
      <w:r w:rsidR="00773FE0">
        <w:t>regulated</w:t>
      </w:r>
      <w:r w:rsidR="006C4162">
        <w:t xml:space="preserve"> </w:t>
      </w:r>
      <w:r w:rsidR="00867042">
        <w:t>entity as defined by</w:t>
      </w:r>
      <w:r w:rsidR="0019672B">
        <w:t xml:space="preserve"> the WCIR.</w:t>
      </w:r>
      <w:r w:rsidR="00BB2AFA">
        <w:t xml:space="preserve"> Therefore,</w:t>
      </w:r>
      <w:r w:rsidR="0019672B">
        <w:t xml:space="preserve"> there is no scope under the current implementation of the WCIR for </w:t>
      </w:r>
      <w:r w:rsidR="00867042">
        <w:t xml:space="preserve">the ACCC </w:t>
      </w:r>
      <w:r w:rsidR="0019672B">
        <w:t>to</w:t>
      </w:r>
      <w:r w:rsidR="00867042">
        <w:t xml:space="preserve"> assess </w:t>
      </w:r>
      <w:r w:rsidR="006C4162" w:rsidRPr="007C0DEE">
        <w:t xml:space="preserve">RMO costs against the tests for efficiency and prudency that are applied to </w:t>
      </w:r>
      <w:r w:rsidR="006C4162">
        <w:t>other operators under the WCIR</w:t>
      </w:r>
      <w:r w:rsidR="00BB2AFA">
        <w:t>.</w:t>
      </w:r>
    </w:p>
    <w:p w:rsidR="00C312BC" w:rsidRDefault="00055689" w:rsidP="00780B12">
      <w:r>
        <w:t>A</w:t>
      </w:r>
      <w:r w:rsidR="006C4162" w:rsidRPr="00D078EE">
        <w:t xml:space="preserve">ssessments of RMO costs and efficiency </w:t>
      </w:r>
      <w:r>
        <w:t>have occurred historically every 5 years or so, although these are not mandated under the Agreement and no consistent approach has been taken to them</w:t>
      </w:r>
      <w:r w:rsidR="006C4162" w:rsidRPr="00D078EE">
        <w:t xml:space="preserve">. The most recent assessment – ‘The Efficiency Review of River Murray Operations (RMO)’ </w:t>
      </w:r>
      <w:r w:rsidR="006C4162" w:rsidRPr="00D078EE">
        <w:rPr>
          <w:vertAlign w:val="superscript"/>
        </w:rPr>
        <w:footnoteReference w:id="3"/>
      </w:r>
      <w:r w:rsidR="006C4162" w:rsidRPr="00D078EE">
        <w:t xml:space="preserve"> was completed in December 2014</w:t>
      </w:r>
      <w:r w:rsidR="00C312BC">
        <w:t xml:space="preserve">. It </w:t>
      </w:r>
      <w:r w:rsidR="006C4162" w:rsidRPr="00D078EE">
        <w:t>found that RMO is efficient, falling within the top ten percent of comparable bulk water operations.</w:t>
      </w:r>
    </w:p>
    <w:p w:rsidR="003F63B1" w:rsidRDefault="00C85062" w:rsidP="00C70AB2">
      <w:r>
        <w:t xml:space="preserve">While </w:t>
      </w:r>
      <w:r w:rsidR="00055689">
        <w:t xml:space="preserve">the current ad hoc approach to efficiency reviews has been of value, </w:t>
      </w:r>
      <w:r>
        <w:t>t</w:t>
      </w:r>
      <w:r w:rsidR="00C312BC" w:rsidRPr="00867042">
        <w:t xml:space="preserve">he </w:t>
      </w:r>
      <w:r w:rsidR="00C312BC">
        <w:t xml:space="preserve">MDBA considers </w:t>
      </w:r>
      <w:r w:rsidR="005635B6">
        <w:t>an improved approach would involve the reviews being</w:t>
      </w:r>
      <w:r w:rsidR="00055689">
        <w:t xml:space="preserve"> mandated, independent</w:t>
      </w:r>
      <w:r w:rsidR="007531EB">
        <w:t>, transparent and us</w:t>
      </w:r>
      <w:r w:rsidR="005635B6">
        <w:t>ing</w:t>
      </w:r>
      <w:r w:rsidR="007531EB">
        <w:t xml:space="preserve"> a standard methodology.</w:t>
      </w:r>
      <w:r w:rsidR="00055689">
        <w:t xml:space="preserve">  </w:t>
      </w:r>
      <w:r w:rsidR="007531EB">
        <w:t>This could be achieved if</w:t>
      </w:r>
      <w:r w:rsidR="003F63B1">
        <w:t xml:space="preserve"> current </w:t>
      </w:r>
      <w:proofErr w:type="spellStart"/>
      <w:r w:rsidR="003F63B1">
        <w:t>adhoc</w:t>
      </w:r>
      <w:proofErr w:type="spellEnd"/>
      <w:r w:rsidR="003F63B1">
        <w:t xml:space="preserve"> reviews were replaced by an ACCC assessment of</w:t>
      </w:r>
      <w:r w:rsidR="00C312BC" w:rsidRPr="00867042">
        <w:t xml:space="preserve"> RMO</w:t>
      </w:r>
      <w:r w:rsidR="00C70AB2">
        <w:t xml:space="preserve"> costs</w:t>
      </w:r>
      <w:r w:rsidR="00C312BC" w:rsidRPr="00867042">
        <w:t xml:space="preserve"> using the same tests for efficiency and prudency as are currently applied to other bulk water operators.</w:t>
      </w:r>
      <w:r w:rsidR="003F63B1">
        <w:t xml:space="preserve">  This information could be applied by the relevant pricing regulator/s in making state-based pricing determinations.</w:t>
      </w:r>
    </w:p>
    <w:p w:rsidR="00C70AB2" w:rsidRPr="00FE4F53" w:rsidRDefault="003F63B1" w:rsidP="00C70AB2">
      <w:pPr>
        <w:rPr>
          <w:bCs/>
          <w:iCs/>
        </w:rPr>
      </w:pPr>
      <w:r>
        <w:t xml:space="preserve">The above approach </w:t>
      </w:r>
      <w:r w:rsidR="005635B6">
        <w:t>would be</w:t>
      </w:r>
      <w:r w:rsidR="00C70AB2">
        <w:t xml:space="preserve"> likely to</w:t>
      </w:r>
      <w:r w:rsidR="00C70AB2" w:rsidRPr="00867042">
        <w:t xml:space="preserve"> require an amendment to the definition of water charges under the WCIR</w:t>
      </w:r>
      <w:r w:rsidR="00C70AB2">
        <w:t xml:space="preserve">. </w:t>
      </w:r>
      <w:r w:rsidR="00C70AB2" w:rsidRPr="00867042">
        <w:t xml:space="preserve"> </w:t>
      </w:r>
    </w:p>
    <w:p w:rsidR="009F7386" w:rsidRDefault="00EB37D5" w:rsidP="00780B12">
      <w:pPr>
        <w:pStyle w:val="Heading3"/>
      </w:pPr>
      <w:r>
        <w:t>Approaches to</w:t>
      </w:r>
      <w:r w:rsidR="009F7386">
        <w:t xml:space="preserve"> cost recovery</w:t>
      </w:r>
    </w:p>
    <w:p w:rsidR="00C70AB2" w:rsidRDefault="007531EB" w:rsidP="00780B12">
      <w:r>
        <w:t xml:space="preserve">Through their SCAs and other irrigation infrastructure operators, state governments recover some of their RMO contributions through indirect water charges. Different </w:t>
      </w:r>
      <w:r w:rsidR="00BD4326">
        <w:t xml:space="preserve">levels of cost recovery </w:t>
      </w:r>
      <w:r w:rsidR="006E188A">
        <w:t>a</w:t>
      </w:r>
      <w:r w:rsidR="00BC7967">
        <w:t>re a</w:t>
      </w:r>
      <w:r w:rsidR="006E188A">
        <w:t xml:space="preserve">pplied </w:t>
      </w:r>
      <w:r>
        <w:t>by each state government:</w:t>
      </w:r>
    </w:p>
    <w:p w:rsidR="009128F0" w:rsidRPr="00D078EE" w:rsidRDefault="009128F0" w:rsidP="00780B12">
      <w:pPr>
        <w:pStyle w:val="ListParagraph"/>
        <w:numPr>
          <w:ilvl w:val="0"/>
          <w:numId w:val="27"/>
        </w:numPr>
        <w:contextualSpacing w:val="0"/>
      </w:pPr>
      <w:r w:rsidRPr="00D078EE">
        <w:t>In NSW, Water NSW cost recovers some of its contribution to RMO from irrigators and passes these revenues ‘through’ NSW Treasury to the MDBA as an identifiable cost recovery charge;</w:t>
      </w:r>
    </w:p>
    <w:p w:rsidR="009128F0" w:rsidRPr="00D078EE" w:rsidRDefault="009128F0" w:rsidP="00780B12">
      <w:pPr>
        <w:pStyle w:val="ListParagraph"/>
        <w:numPr>
          <w:ilvl w:val="0"/>
          <w:numId w:val="27"/>
        </w:numPr>
        <w:contextualSpacing w:val="0"/>
      </w:pPr>
      <w:r w:rsidRPr="00D078EE">
        <w:lastRenderedPageBreak/>
        <w:t>In Victoria, Goulburn-Murray Water cost recovers from irrigators drawing from the River Murray System, but funds are paid to the Victorian government which then pays MDBA out of consolidated revenue – there is no direct link between costs to irrigators and their use of RMO services</w:t>
      </w:r>
      <w:r w:rsidR="005635B6">
        <w:t>;</w:t>
      </w:r>
    </w:p>
    <w:p w:rsidR="009128F0" w:rsidRDefault="009128F0" w:rsidP="00780B12">
      <w:pPr>
        <w:pStyle w:val="ListParagraph"/>
        <w:numPr>
          <w:ilvl w:val="0"/>
          <w:numId w:val="27"/>
        </w:numPr>
        <w:contextualSpacing w:val="0"/>
      </w:pPr>
      <w:r w:rsidRPr="00D078EE">
        <w:t>In South Australia, the bulk water operations of SA Water in relation to the River Murray are not currently regulated by ESCOSA. As such, SA Water is not subject to the WCIR and MDBA costs are not included in SA Water char</w:t>
      </w:r>
      <w:r w:rsidR="003B3FC0">
        <w:t>ges for cost recovery purposes.</w:t>
      </w:r>
      <w:r w:rsidR="003B3FC0" w:rsidRPr="005635B6">
        <w:rPr>
          <w:vertAlign w:val="superscript"/>
        </w:rPr>
        <w:footnoteReference w:id="4"/>
      </w:r>
    </w:p>
    <w:p w:rsidR="00127E4A" w:rsidRDefault="009128F0" w:rsidP="00127E4A">
      <w:r w:rsidRPr="006839B2">
        <w:t>These</w:t>
      </w:r>
      <w:r w:rsidR="005635B6">
        <w:t xml:space="preserve"> different</w:t>
      </w:r>
      <w:r w:rsidRPr="006839B2">
        <w:t xml:space="preserve"> arrangements </w:t>
      </w:r>
      <w:r w:rsidR="005635B6">
        <w:t xml:space="preserve">appear to be </w:t>
      </w:r>
      <w:r w:rsidR="005635B6" w:rsidRPr="009D6FD4">
        <w:t xml:space="preserve">at odds with the intent of the National Water Initiative </w:t>
      </w:r>
      <w:r w:rsidR="005635B6">
        <w:t>in achieving a level playing field for water users</w:t>
      </w:r>
      <w:r w:rsidRPr="006839B2">
        <w:t xml:space="preserve">. </w:t>
      </w:r>
      <w:r w:rsidR="00F83666">
        <w:t>In this context, it may be useful for the ACCC to provide explicit guidance to the joint governments on a more consistent and transparent approach to meeting their RMO costs.</w:t>
      </w:r>
    </w:p>
    <w:p w:rsidR="00017C53" w:rsidRPr="00017C53" w:rsidRDefault="00017C53" w:rsidP="00127E4A">
      <w:pPr>
        <w:pStyle w:val="Heading3"/>
      </w:pPr>
      <w:r w:rsidRPr="00017C53">
        <w:t>Upper vs lower bound pricing</w:t>
      </w:r>
    </w:p>
    <w:p w:rsidR="00017C53" w:rsidRDefault="00017C53" w:rsidP="00780B12">
      <w:r>
        <w:t>Many of the assets in the southern MDB were built for economic development purposes, and were never intended to be cost recovered. In addition to irrigation and urban water, these assets now support extensive boating, tourism, recreational and fishing activities, and a number of communities have developed along river banks and around lake shores whose property values are directly related to the management of rivers, lakes and other RMO assets.</w:t>
      </w:r>
    </w:p>
    <w:p w:rsidR="00017C53" w:rsidRDefault="00017C53" w:rsidP="00017C53">
      <w:r>
        <w:t>In this context, MDBA considers that while moving to lower bound pricing would be a sound strategy to ensure the assets operate safely into the future, the achievement of upper bound pricing for RMO infrastructure is unrealistic.</w:t>
      </w:r>
    </w:p>
    <w:p w:rsidR="000879A8" w:rsidRPr="00780B12" w:rsidRDefault="000879A8" w:rsidP="00780B12">
      <w:pPr>
        <w:pStyle w:val="Heading3"/>
      </w:pPr>
      <w:r w:rsidRPr="005635B6">
        <w:t>Water trading activities</w:t>
      </w:r>
      <w:bookmarkStart w:id="4" w:name="_Toc422727160"/>
      <w:bookmarkStart w:id="5" w:name="_Toc364960004"/>
    </w:p>
    <w:p w:rsidR="001D1D45" w:rsidRDefault="001D1D45" w:rsidP="001D1D45">
      <w:pPr>
        <w:rPr>
          <w:rFonts w:ascii="Calibri" w:hAnsi="Calibri"/>
          <w:i/>
          <w:iCs/>
          <w:color w:val="000000"/>
        </w:rPr>
      </w:pPr>
      <w:r>
        <w:rPr>
          <w:i/>
          <w:iCs/>
          <w:color w:val="000000"/>
        </w:rPr>
        <w:t xml:space="preserve">The ACCC Issues Paper </w:t>
      </w:r>
      <w:r w:rsidR="000879A8">
        <w:rPr>
          <w:i/>
          <w:iCs/>
          <w:color w:val="000000"/>
        </w:rPr>
        <w:t>asks (</w:t>
      </w:r>
      <w:r>
        <w:rPr>
          <w:i/>
          <w:iCs/>
          <w:color w:val="000000"/>
        </w:rPr>
        <w:t>questions</w:t>
      </w:r>
      <w:r w:rsidR="000879A8">
        <w:rPr>
          <w:i/>
          <w:iCs/>
          <w:color w:val="000000"/>
        </w:rPr>
        <w:t xml:space="preserve"> #</w:t>
      </w:r>
      <w:r>
        <w:rPr>
          <w:i/>
          <w:iCs/>
          <w:color w:val="000000"/>
        </w:rPr>
        <w:t xml:space="preserve"> 41 – 44</w:t>
      </w:r>
      <w:r w:rsidR="000879A8">
        <w:rPr>
          <w:i/>
          <w:iCs/>
          <w:color w:val="000000"/>
        </w:rPr>
        <w:t>)</w:t>
      </w:r>
      <w:r>
        <w:rPr>
          <w:i/>
          <w:iCs/>
          <w:color w:val="000000"/>
        </w:rPr>
        <w:t xml:space="preserve"> whether differences in charging arrangements may distort a water user’s decision to trade, what measures could be taken to reduce distortions and  whether there should be a requirement for infrastructure operators’ charging arrangements to be consistent with the Basin water charging objectives and principles?</w:t>
      </w:r>
    </w:p>
    <w:p w:rsidR="001D1D45" w:rsidRDefault="001D1D45" w:rsidP="001D1D45">
      <w:pPr>
        <w:autoSpaceDE w:val="0"/>
        <w:autoSpaceDN w:val="0"/>
        <w:rPr>
          <w:rFonts w:ascii="Calibri" w:hAnsi="Calibri" w:cs="Calibri"/>
          <w:color w:val="000000"/>
        </w:rPr>
      </w:pPr>
      <w:r>
        <w:rPr>
          <w:color w:val="000000"/>
        </w:rPr>
        <w:t xml:space="preserve">The MDBA is committed to improving the operation of the water market across the Basin. </w:t>
      </w:r>
      <w:r w:rsidR="000879A8">
        <w:rPr>
          <w:color w:val="000000"/>
        </w:rPr>
        <w:t>The MDBA facilitates interstate trade under Schedule D of the Agreement (Transferring Entitlements and Allocations) and f</w:t>
      </w:r>
      <w:r>
        <w:rPr>
          <w:color w:val="000000"/>
        </w:rPr>
        <w:t xml:space="preserve">rom 1 July 2014, the MDBA has been responsible for regulating water trading rules under the Basin Plan. These rules are designed to improve the efficiency and effectiveness of the market, without duplicating state rules. </w:t>
      </w:r>
    </w:p>
    <w:p w:rsidR="001D1D45" w:rsidRDefault="001D1D45" w:rsidP="001D1D45">
      <w:pPr>
        <w:autoSpaceDE w:val="0"/>
        <w:autoSpaceDN w:val="0"/>
        <w:rPr>
          <w:color w:val="000000"/>
        </w:rPr>
      </w:pPr>
      <w:r>
        <w:rPr>
          <w:color w:val="000000"/>
        </w:rPr>
        <w:t>The rules include provisions designed to ensure that all water users have the right to trade free of certain restrictions. These provisions prevent authorities who approve trades from imposing discriminatory conditions on trade. For example they prevent discrimination based on the use of the water after a trade, or because an individual belongs to a particular class for persons.</w:t>
      </w:r>
    </w:p>
    <w:p w:rsidR="001D1D45" w:rsidRDefault="001D1D45" w:rsidP="001D1D45">
      <w:pPr>
        <w:autoSpaceDE w:val="0"/>
        <w:autoSpaceDN w:val="0"/>
        <w:rPr>
          <w:color w:val="000000"/>
        </w:rPr>
      </w:pPr>
      <w:r>
        <w:rPr>
          <w:color w:val="000000"/>
        </w:rPr>
        <w:t xml:space="preserve">The MDBA considers that charging arrangements have the potential to distort the market and discriminate between water users. Differences in charging arrangements can influence a water user’s decision to trade, and the type of trade they undertake. We are considering whether the </w:t>
      </w:r>
      <w:r>
        <w:rPr>
          <w:color w:val="000000"/>
        </w:rPr>
        <w:lastRenderedPageBreak/>
        <w:t xml:space="preserve">scope of the Basin Plan water trading rules may extend to charges which are discriminatory in this way. </w:t>
      </w:r>
    </w:p>
    <w:p w:rsidR="00977102" w:rsidRPr="005119DC" w:rsidRDefault="00977102" w:rsidP="00977102">
      <w:pPr>
        <w:rPr>
          <w:rFonts w:eastAsiaTheme="majorEastAsia" w:cstheme="majorBidi"/>
          <w:bCs/>
          <w:color w:val="FFFFFF" w:themeColor="background1"/>
          <w:sz w:val="32"/>
          <w:szCs w:val="28"/>
        </w:rPr>
      </w:pPr>
      <w:r>
        <w:rPr>
          <w:color w:val="000000"/>
        </w:rPr>
        <w:t>The MDBA considers that increased charges should not be imposed on water that is traded into a state or district compared with water associated with ‘local’ entitlements, except for appropriate recognition of the marginal costs associated with administering the trade. On this point, the MDBA acknowledges that the numbers of trade in each state varies widely (approx. 500 for QLD and 14,000 for NSW/VIC in 2012-13) and therefore the marginal costs of administering a trade may be different for each trade approval authority.</w:t>
      </w:r>
    </w:p>
    <w:bookmarkEnd w:id="4"/>
    <w:bookmarkEnd w:id="5"/>
    <w:p w:rsidR="006839B2" w:rsidRPr="005119DC" w:rsidRDefault="006839B2" w:rsidP="00977102">
      <w:pPr>
        <w:rPr>
          <w:rFonts w:eastAsiaTheme="majorEastAsia" w:cstheme="majorBidi"/>
          <w:bCs/>
          <w:color w:val="FFFFFF" w:themeColor="background1"/>
          <w:sz w:val="32"/>
          <w:szCs w:val="28"/>
        </w:rPr>
      </w:pPr>
    </w:p>
    <w:sectPr w:rsidR="006839B2" w:rsidRPr="005119DC" w:rsidSect="006839B2">
      <w:headerReference w:type="even" r:id="rId12"/>
      <w:headerReference w:type="default" r:id="rId13"/>
      <w:footerReference w:type="default" r:id="rId14"/>
      <w:headerReference w:type="first" r:id="rId15"/>
      <w:type w:val="continuous"/>
      <w:pgSz w:w="11906" w:h="16838"/>
      <w:pgMar w:top="1806" w:right="1440" w:bottom="1134" w:left="993" w:header="1276"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C21" w:rsidRDefault="00CF5C21" w:rsidP="008C3842">
      <w:pPr>
        <w:spacing w:after="0" w:line="240" w:lineRule="auto"/>
      </w:pPr>
      <w:r>
        <w:separator/>
      </w:r>
    </w:p>
  </w:endnote>
  <w:endnote w:type="continuationSeparator" w:id="0">
    <w:p w:rsidR="00CF5C21" w:rsidRDefault="00CF5C21" w:rsidP="008C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35 Th">
    <w:altName w:val="HelveticaNeueLT Com 35 Th"/>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64090"/>
      <w:docPartObj>
        <w:docPartGallery w:val="Page Numbers (Bottom of Page)"/>
        <w:docPartUnique/>
      </w:docPartObj>
    </w:sdtPr>
    <w:sdtEndPr>
      <w:rPr>
        <w:noProof/>
        <w:sz w:val="20"/>
        <w:szCs w:val="20"/>
      </w:rPr>
    </w:sdtEndPr>
    <w:sdtContent>
      <w:p w:rsidR="002D710A" w:rsidRPr="00B82E60" w:rsidRDefault="002D710A" w:rsidP="00E9206C">
        <w:pPr>
          <w:pStyle w:val="Footer"/>
          <w:jc w:val="right"/>
          <w:rPr>
            <w:sz w:val="20"/>
            <w:szCs w:val="20"/>
          </w:rPr>
        </w:pPr>
        <w:r w:rsidRPr="00B82E60">
          <w:rPr>
            <w:sz w:val="20"/>
            <w:szCs w:val="20"/>
          </w:rPr>
          <w:fldChar w:fldCharType="begin"/>
        </w:r>
        <w:r w:rsidRPr="00B82E60">
          <w:rPr>
            <w:sz w:val="20"/>
            <w:szCs w:val="20"/>
          </w:rPr>
          <w:instrText xml:space="preserve"> PAGE   \* MERGEFORMAT </w:instrText>
        </w:r>
        <w:r w:rsidRPr="00B82E60">
          <w:rPr>
            <w:sz w:val="20"/>
            <w:szCs w:val="20"/>
          </w:rPr>
          <w:fldChar w:fldCharType="separate"/>
        </w:r>
        <w:r w:rsidR="005A2770">
          <w:rPr>
            <w:noProof/>
            <w:sz w:val="20"/>
            <w:szCs w:val="20"/>
          </w:rPr>
          <w:t>4</w:t>
        </w:r>
        <w:r w:rsidRPr="00B82E6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C21" w:rsidRDefault="00CF5C21" w:rsidP="008C3842">
      <w:pPr>
        <w:spacing w:after="0" w:line="240" w:lineRule="auto"/>
      </w:pPr>
      <w:r>
        <w:separator/>
      </w:r>
    </w:p>
  </w:footnote>
  <w:footnote w:type="continuationSeparator" w:id="0">
    <w:p w:rsidR="00CF5C21" w:rsidRDefault="00CF5C21" w:rsidP="008C3842">
      <w:pPr>
        <w:spacing w:after="0" w:line="240" w:lineRule="auto"/>
      </w:pPr>
      <w:r>
        <w:continuationSeparator/>
      </w:r>
    </w:p>
  </w:footnote>
  <w:footnote w:id="1">
    <w:p w:rsidR="002D710A" w:rsidRDefault="002D710A" w:rsidP="000879A8">
      <w:pPr>
        <w:pStyle w:val="FootnoteText"/>
      </w:pPr>
      <w:r>
        <w:rPr>
          <w:rStyle w:val="FootnoteReference"/>
        </w:rPr>
        <w:footnoteRef/>
      </w:r>
      <w:r>
        <w:t xml:space="preserve"> </w:t>
      </w:r>
      <w:r w:rsidRPr="00711F15">
        <w:rPr>
          <w:rFonts w:cs="Arial"/>
        </w:rPr>
        <w:t xml:space="preserve">Synergies Economics (2014) </w:t>
      </w:r>
      <w:r w:rsidRPr="00711F15">
        <w:rPr>
          <w:rFonts w:cs="Arial"/>
          <w:i/>
        </w:rPr>
        <w:t>Building Blocks Model of River Murray Operations (</w:t>
      </w:r>
      <w:r>
        <w:rPr>
          <w:rFonts w:cs="Arial"/>
          <w:i/>
        </w:rPr>
        <w:t>November</w:t>
      </w:r>
      <w:r w:rsidRPr="00711F15">
        <w:rPr>
          <w:rFonts w:cs="Arial"/>
          <w:i/>
        </w:rPr>
        <w:t xml:space="preserve"> 2014)</w:t>
      </w:r>
      <w:r>
        <w:rPr>
          <w:rFonts w:cs="Arial"/>
          <w:i/>
        </w:rPr>
        <w:t xml:space="preserve"> tables 8 and 9.</w:t>
      </w:r>
    </w:p>
  </w:footnote>
  <w:footnote w:id="2">
    <w:p w:rsidR="002D710A" w:rsidRDefault="002D710A" w:rsidP="000879A8">
      <w:pPr>
        <w:pStyle w:val="FootnoteText"/>
      </w:pPr>
      <w:r>
        <w:rPr>
          <w:rStyle w:val="FootnoteReference"/>
        </w:rPr>
        <w:footnoteRef/>
      </w:r>
      <w:r>
        <w:t xml:space="preserve"> Buckley, Michael and Garry Smith (2014), </w:t>
      </w:r>
      <w:r w:rsidRPr="008078F8">
        <w:rPr>
          <w:i/>
        </w:rPr>
        <w:t>Review of the Cost Shares for Joint Activities – Final Report</w:t>
      </w:r>
      <w:r>
        <w:t>, Report for Basin Officials Committee, April (available on the MDBA website).</w:t>
      </w:r>
    </w:p>
  </w:footnote>
  <w:footnote w:id="3">
    <w:p w:rsidR="002D710A" w:rsidRPr="00711F15" w:rsidRDefault="002D710A" w:rsidP="006C4162">
      <w:pPr>
        <w:pStyle w:val="FootnoteText"/>
      </w:pPr>
      <w:r w:rsidRPr="00711F15">
        <w:rPr>
          <w:rStyle w:val="FootnoteReference"/>
        </w:rPr>
        <w:footnoteRef/>
      </w:r>
      <w:r w:rsidRPr="00711F15">
        <w:t xml:space="preserve"> </w:t>
      </w:r>
      <w:r w:rsidRPr="00711F15">
        <w:rPr>
          <w:rFonts w:cs="Arial"/>
        </w:rPr>
        <w:t xml:space="preserve">Synergies Economics (2014) </w:t>
      </w:r>
      <w:r w:rsidRPr="00711F15">
        <w:rPr>
          <w:rFonts w:cs="Arial"/>
          <w:i/>
        </w:rPr>
        <w:t>Building Blocks Model of River Murray Operations (</w:t>
      </w:r>
      <w:r>
        <w:rPr>
          <w:rFonts w:cs="Arial"/>
          <w:i/>
        </w:rPr>
        <w:t>November</w:t>
      </w:r>
      <w:r w:rsidRPr="00711F15">
        <w:rPr>
          <w:rFonts w:cs="Arial"/>
          <w:i/>
        </w:rPr>
        <w:t xml:space="preserve"> 2014)</w:t>
      </w:r>
      <w:r>
        <w:rPr>
          <w:rFonts w:cs="Arial"/>
          <w:i/>
        </w:rPr>
        <w:t xml:space="preserve">; </w:t>
      </w:r>
      <w:proofErr w:type="spellStart"/>
      <w:r w:rsidRPr="00711F15">
        <w:rPr>
          <w:rFonts w:cs="Arial"/>
        </w:rPr>
        <w:t>Cardno</w:t>
      </w:r>
      <w:proofErr w:type="spellEnd"/>
      <w:r w:rsidRPr="00711F15">
        <w:rPr>
          <w:rFonts w:cs="Arial"/>
        </w:rPr>
        <w:t xml:space="preserve"> (2014) </w:t>
      </w:r>
      <w:r w:rsidRPr="00711F15">
        <w:rPr>
          <w:rFonts w:cs="Arial"/>
          <w:i/>
        </w:rPr>
        <w:t>Efficiency Review of River Murray Operations (8 October 2014)</w:t>
      </w:r>
      <w:r>
        <w:rPr>
          <w:rFonts w:cs="Arial"/>
          <w:i/>
        </w:rPr>
        <w:t xml:space="preserve">; and </w:t>
      </w:r>
      <w:r w:rsidRPr="00711F15">
        <w:rPr>
          <w:rFonts w:cs="Arial"/>
        </w:rPr>
        <w:t xml:space="preserve">Economic Insights (2014) </w:t>
      </w:r>
      <w:r w:rsidRPr="00711F15">
        <w:rPr>
          <w:rFonts w:cs="Arial"/>
          <w:i/>
        </w:rPr>
        <w:t>River Murray Operations Economic Benchmarking Study (28 November 2014)</w:t>
      </w:r>
      <w:r>
        <w:rPr>
          <w:rFonts w:cs="Arial"/>
          <w:i/>
        </w:rPr>
        <w:t>. All three reports are available on the MDBA website.</w:t>
      </w:r>
    </w:p>
  </w:footnote>
  <w:footnote w:id="4">
    <w:p w:rsidR="002D710A" w:rsidRPr="003B3FC0" w:rsidRDefault="002D710A">
      <w:pPr>
        <w:pStyle w:val="FootnoteText"/>
      </w:pPr>
      <w:r w:rsidRPr="003B3FC0">
        <w:rPr>
          <w:rStyle w:val="FootnoteReference"/>
        </w:rPr>
        <w:footnoteRef/>
      </w:r>
      <w:r w:rsidRPr="003B3FC0">
        <w:t xml:space="preserve"> Some of South Australia’s contributions to the MDBA were recovered through the River Murray levy. This levy is to be abolished on 1</w:t>
      </w:r>
      <w:r w:rsidRPr="003B3FC0">
        <w:rPr>
          <w:vertAlign w:val="superscript"/>
        </w:rPr>
        <w:t>st</w:t>
      </w:r>
      <w:r w:rsidRPr="003B3FC0">
        <w:t xml:space="preserve">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A" w:rsidRDefault="002D7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A" w:rsidRPr="00FF15A3" w:rsidRDefault="002D710A">
    <w:pPr>
      <w:pStyle w:val="Header"/>
      <w:rPr>
        <w:color w:val="7F7F7F" w:themeColor="text1" w:themeTint="80"/>
        <w:sz w:val="20"/>
        <w:szCs w:val="20"/>
      </w:rPr>
    </w:pPr>
    <w:r>
      <w:rPr>
        <w:noProof/>
        <w:color w:val="7F7F7F" w:themeColor="text1" w:themeTint="80"/>
        <w:sz w:val="20"/>
        <w:szCs w:val="20"/>
        <w:lang w:eastAsia="en-AU"/>
      </w:rPr>
      <w:drawing>
        <wp:anchor distT="0" distB="0" distL="114300" distR="114300" simplePos="0" relativeHeight="251660800" behindDoc="1" locked="0" layoutInCell="0" allowOverlap="1" wp14:anchorId="6E6627E6" wp14:editId="60159A10">
          <wp:simplePos x="0" y="0"/>
          <wp:positionH relativeFrom="page">
            <wp:align>left</wp:align>
          </wp:positionH>
          <wp:positionV relativeFrom="page">
            <wp:align>top</wp:align>
          </wp:positionV>
          <wp:extent cx="7556500" cy="10688955"/>
          <wp:effectExtent l="0" t="0" r="6350" b="0"/>
          <wp:wrapNone/>
          <wp:docPr id="10" name="Picture 10" descr="2013 report 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3 report 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8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0A" w:rsidRDefault="002D7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412"/>
    <w:multiLevelType w:val="hybridMultilevel"/>
    <w:tmpl w:val="0E5EAB9C"/>
    <w:lvl w:ilvl="0" w:tplc="4E5CA096">
      <w:numFmt w:val="bullet"/>
      <w:pStyle w:val="ListParagraph"/>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754ED"/>
    <w:multiLevelType w:val="hybridMultilevel"/>
    <w:tmpl w:val="9FC2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D22C6"/>
    <w:multiLevelType w:val="hybridMultilevel"/>
    <w:tmpl w:val="655A96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4F062A"/>
    <w:multiLevelType w:val="hybridMultilevel"/>
    <w:tmpl w:val="2EEEC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D55D4"/>
    <w:multiLevelType w:val="hybridMultilevel"/>
    <w:tmpl w:val="D72AE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5C46D2"/>
    <w:multiLevelType w:val="hybridMultilevel"/>
    <w:tmpl w:val="9F888DCE"/>
    <w:lvl w:ilvl="0" w:tplc="0C090001">
      <w:start w:val="1"/>
      <w:numFmt w:val="bullet"/>
      <w:lvlText w:val=""/>
      <w:lvlJc w:val="left"/>
      <w:pPr>
        <w:ind w:left="720" w:hanging="360"/>
      </w:pPr>
      <w:rPr>
        <w:rFonts w:ascii="Symbol" w:hAnsi="Symbol" w:hint="default"/>
        <w:b/>
        <w:i w:val="0"/>
        <w:sz w:val="20"/>
      </w:rPr>
    </w:lvl>
    <w:lvl w:ilvl="1" w:tplc="185018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843EF3"/>
    <w:multiLevelType w:val="hybridMultilevel"/>
    <w:tmpl w:val="7738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C5B31"/>
    <w:multiLevelType w:val="hybridMultilevel"/>
    <w:tmpl w:val="678CBF2E"/>
    <w:lvl w:ilvl="0" w:tplc="B550697E">
      <w:start w:val="1"/>
      <w:numFmt w:val="bullet"/>
      <w:lvlText w:val="ᴑ"/>
      <w:lvlJc w:val="left"/>
      <w:pPr>
        <w:ind w:left="1077" w:hanging="360"/>
      </w:pPr>
      <w:rPr>
        <w:rFonts w:ascii="Courier New" w:hAnsi="Courier New" w:hint="default"/>
        <w:b/>
        <w:i w:val="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200C2715"/>
    <w:multiLevelType w:val="hybridMultilevel"/>
    <w:tmpl w:val="9EEAE4C2"/>
    <w:lvl w:ilvl="0" w:tplc="CD920280">
      <w:start w:val="1"/>
      <w:numFmt w:val="bullet"/>
      <w:lvlText w:val=""/>
      <w:lvlJc w:val="left"/>
      <w:pPr>
        <w:ind w:left="360" w:hanging="360"/>
      </w:pPr>
      <w:rPr>
        <w:rFonts w:ascii="Symbol" w:hAnsi="Symbol" w:hint="default"/>
        <w:sz w:val="16"/>
      </w:rPr>
    </w:lvl>
    <w:lvl w:ilvl="1" w:tplc="185018E8">
      <w:start w:val="1"/>
      <w:numFmt w:val="bullet"/>
      <w:lvlText w:val=""/>
      <w:lvlJc w:val="left"/>
      <w:pPr>
        <w:ind w:left="1080" w:hanging="360"/>
      </w:pPr>
      <w:rPr>
        <w:rFonts w:ascii="Symbol" w:hAnsi="Symbol" w:hint="default"/>
        <w:sz w:val="16"/>
      </w:rPr>
    </w:lvl>
    <w:lvl w:ilvl="2" w:tplc="0C090005">
      <w:start w:val="1"/>
      <w:numFmt w:val="bullet"/>
      <w:lvlText w:val=""/>
      <w:lvlJc w:val="left"/>
      <w:pPr>
        <w:ind w:left="1800" w:hanging="360"/>
      </w:pPr>
      <w:rPr>
        <w:rFonts w:ascii="Wingdings" w:hAnsi="Wingdings" w:hint="default"/>
        <w:sz w:val="16"/>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7E1846"/>
    <w:multiLevelType w:val="hybridMultilevel"/>
    <w:tmpl w:val="B0D44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8C3C9E"/>
    <w:multiLevelType w:val="hybridMultilevel"/>
    <w:tmpl w:val="5B14805C"/>
    <w:lvl w:ilvl="0" w:tplc="0C090001">
      <w:start w:val="1"/>
      <w:numFmt w:val="bullet"/>
      <w:lvlText w:val=""/>
      <w:lvlJc w:val="left"/>
      <w:pPr>
        <w:ind w:left="720" w:hanging="360"/>
      </w:pPr>
      <w:rPr>
        <w:rFonts w:ascii="Symbol" w:hAnsi="Symbol" w:hint="default"/>
        <w:b/>
        <w:i w:val="0"/>
        <w:sz w:val="2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792044"/>
    <w:multiLevelType w:val="hybridMultilevel"/>
    <w:tmpl w:val="342E1216"/>
    <w:lvl w:ilvl="0" w:tplc="0C090001">
      <w:start w:val="1"/>
      <w:numFmt w:val="bullet"/>
      <w:lvlText w:val=""/>
      <w:lvlJc w:val="left"/>
      <w:pPr>
        <w:ind w:left="720" w:hanging="360"/>
      </w:pPr>
      <w:rPr>
        <w:rFonts w:ascii="Symbol" w:hAnsi="Symbol" w:hint="default"/>
      </w:rPr>
    </w:lvl>
    <w:lvl w:ilvl="1" w:tplc="185018E8">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347172"/>
    <w:multiLevelType w:val="hybridMultilevel"/>
    <w:tmpl w:val="D3667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3817C2"/>
    <w:multiLevelType w:val="hybridMultilevel"/>
    <w:tmpl w:val="455C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25AB0"/>
    <w:multiLevelType w:val="hybridMultilevel"/>
    <w:tmpl w:val="D3CA73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5847D5"/>
    <w:multiLevelType w:val="hybridMultilevel"/>
    <w:tmpl w:val="D7486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B7B88"/>
    <w:multiLevelType w:val="hybridMultilevel"/>
    <w:tmpl w:val="AC7C8D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E7445EF"/>
    <w:multiLevelType w:val="hybridMultilevel"/>
    <w:tmpl w:val="603E98C0"/>
    <w:lvl w:ilvl="0" w:tplc="0C090001">
      <w:start w:val="1"/>
      <w:numFmt w:val="bullet"/>
      <w:lvlText w:val=""/>
      <w:lvlJc w:val="left"/>
      <w:pPr>
        <w:ind w:left="720" w:hanging="360"/>
      </w:pPr>
      <w:rPr>
        <w:rFonts w:ascii="Symbol" w:hAnsi="Symbol" w:hint="default"/>
      </w:rPr>
    </w:lvl>
    <w:lvl w:ilvl="1" w:tplc="185018E8">
      <w:start w:val="1"/>
      <w:numFmt w:val="bullet"/>
      <w:lvlText w:val=""/>
      <w:lvlJc w:val="left"/>
      <w:pPr>
        <w:ind w:left="1440" w:hanging="360"/>
      </w:pPr>
      <w:rPr>
        <w:rFonts w:ascii="Symbol" w:hAnsi="Symbol" w:hint="default"/>
      </w:rPr>
    </w:lvl>
    <w:lvl w:ilvl="2" w:tplc="B550697E">
      <w:start w:val="1"/>
      <w:numFmt w:val="bullet"/>
      <w:lvlText w:val="ᴑ"/>
      <w:lvlJc w:val="left"/>
      <w:pPr>
        <w:ind w:left="2160" w:hanging="180"/>
      </w:pPr>
      <w:rPr>
        <w:rFonts w:ascii="Courier New" w:hAnsi="Courier New" w:hint="default"/>
        <w:b/>
        <w:i w:val="0"/>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713095"/>
    <w:multiLevelType w:val="hybridMultilevel"/>
    <w:tmpl w:val="1548B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FF5424"/>
    <w:multiLevelType w:val="hybridMultilevel"/>
    <w:tmpl w:val="57FCF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81129"/>
    <w:multiLevelType w:val="hybridMultilevel"/>
    <w:tmpl w:val="1884FE62"/>
    <w:lvl w:ilvl="0" w:tplc="0C090001">
      <w:start w:val="1"/>
      <w:numFmt w:val="bullet"/>
      <w:lvlText w:val=""/>
      <w:lvlJc w:val="left"/>
      <w:pPr>
        <w:ind w:left="720" w:hanging="360"/>
      </w:pPr>
      <w:rPr>
        <w:rFonts w:ascii="Symbol" w:hAnsi="Symbol" w:hint="default"/>
        <w:b/>
        <w:i w:val="0"/>
        <w:sz w:val="20"/>
      </w:rPr>
    </w:lvl>
    <w:lvl w:ilvl="1" w:tplc="185018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E53FFA"/>
    <w:multiLevelType w:val="hybridMultilevel"/>
    <w:tmpl w:val="12083C80"/>
    <w:lvl w:ilvl="0" w:tplc="08EA43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AD3598"/>
    <w:multiLevelType w:val="hybridMultilevel"/>
    <w:tmpl w:val="2CDC4FE2"/>
    <w:lvl w:ilvl="0" w:tplc="A7E48336">
      <w:start w:val="4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C182086"/>
    <w:multiLevelType w:val="hybridMultilevel"/>
    <w:tmpl w:val="ED5EEC9C"/>
    <w:lvl w:ilvl="0" w:tplc="0C090001">
      <w:start w:val="1"/>
      <w:numFmt w:val="bullet"/>
      <w:lvlText w:val=""/>
      <w:lvlJc w:val="left"/>
      <w:pPr>
        <w:ind w:left="720" w:hanging="360"/>
      </w:pPr>
      <w:rPr>
        <w:rFonts w:ascii="Symbol" w:hAnsi="Symbol" w:hint="default"/>
      </w:rPr>
    </w:lvl>
    <w:lvl w:ilvl="1" w:tplc="185018E8">
      <w:start w:val="1"/>
      <w:numFmt w:val="bullet"/>
      <w:lvlText w:val=""/>
      <w:lvlJc w:val="left"/>
      <w:pPr>
        <w:ind w:left="1440" w:hanging="360"/>
      </w:pPr>
      <w:rPr>
        <w:rFonts w:ascii="Symbol" w:hAnsi="Symbol" w:hint="default"/>
      </w:rPr>
    </w:lvl>
    <w:lvl w:ilvl="2" w:tplc="B550697E">
      <w:start w:val="1"/>
      <w:numFmt w:val="bullet"/>
      <w:lvlText w:val="ᴑ"/>
      <w:lvlJc w:val="left"/>
      <w:pPr>
        <w:ind w:left="2160" w:hanging="180"/>
      </w:pPr>
      <w:rPr>
        <w:rFonts w:ascii="Courier New" w:hAnsi="Courier New" w:hint="default"/>
        <w:b/>
        <w:i w:val="0"/>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2E3B12"/>
    <w:multiLevelType w:val="hybridMultilevel"/>
    <w:tmpl w:val="CF70A8AC"/>
    <w:lvl w:ilvl="0" w:tplc="185018E8">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3723538"/>
    <w:multiLevelType w:val="hybridMultilevel"/>
    <w:tmpl w:val="22462D5E"/>
    <w:lvl w:ilvl="0" w:tplc="CF3EFF5C">
      <w:start w:val="1"/>
      <w:numFmt w:val="bullet"/>
      <w:pStyle w:val="Tablebullet"/>
      <w:lvlText w:val=""/>
      <w:lvlJc w:val="left"/>
      <w:pPr>
        <w:ind w:left="754" w:hanging="360"/>
      </w:pPr>
      <w:rPr>
        <w:rFonts w:ascii="Symbol" w:hAnsi="Symbol" w:hint="default"/>
        <w:sz w:val="22"/>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6" w15:restartNumberingAfterBreak="0">
    <w:nsid w:val="438A597B"/>
    <w:multiLevelType w:val="hybridMultilevel"/>
    <w:tmpl w:val="2C260E0A"/>
    <w:lvl w:ilvl="0" w:tplc="3FB69922">
      <w:start w:val="58"/>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44AC49F7"/>
    <w:multiLevelType w:val="hybridMultilevel"/>
    <w:tmpl w:val="819A739C"/>
    <w:lvl w:ilvl="0" w:tplc="0C090001">
      <w:start w:val="1"/>
      <w:numFmt w:val="bullet"/>
      <w:lvlText w:val=""/>
      <w:lvlJc w:val="left"/>
      <w:pPr>
        <w:ind w:left="720" w:hanging="360"/>
      </w:pPr>
      <w:rPr>
        <w:rFonts w:ascii="Symbol" w:hAnsi="Symbol" w:hint="default"/>
      </w:rPr>
    </w:lvl>
    <w:lvl w:ilvl="1" w:tplc="185018E8">
      <w:start w:val="1"/>
      <w:numFmt w:val="bullet"/>
      <w:lvlText w:val=""/>
      <w:lvlJc w:val="left"/>
      <w:pPr>
        <w:ind w:left="1440" w:hanging="360"/>
      </w:pPr>
      <w:rPr>
        <w:rFonts w:ascii="Symbol" w:hAnsi="Symbol" w:hint="default"/>
      </w:rPr>
    </w:lvl>
    <w:lvl w:ilvl="2" w:tplc="B550697E">
      <w:start w:val="1"/>
      <w:numFmt w:val="bullet"/>
      <w:lvlText w:val="ᴑ"/>
      <w:lvlJc w:val="left"/>
      <w:pPr>
        <w:ind w:left="2160" w:hanging="180"/>
      </w:pPr>
      <w:rPr>
        <w:rFonts w:ascii="Courier New" w:hAnsi="Courier New" w:hint="default"/>
        <w:b/>
        <w:i w:val="0"/>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1D19C2"/>
    <w:multiLevelType w:val="hybridMultilevel"/>
    <w:tmpl w:val="9B3A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C52366"/>
    <w:multiLevelType w:val="hybridMultilevel"/>
    <w:tmpl w:val="16DA2D86"/>
    <w:lvl w:ilvl="0" w:tplc="2A1616DA">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99F2035"/>
    <w:multiLevelType w:val="hybridMultilevel"/>
    <w:tmpl w:val="B4CA20CE"/>
    <w:lvl w:ilvl="0" w:tplc="D368C99C">
      <w:start w:val="1"/>
      <w:numFmt w:val="bullet"/>
      <w:pStyle w:val="Bullet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766D9"/>
    <w:multiLevelType w:val="hybridMultilevel"/>
    <w:tmpl w:val="D95C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34323"/>
    <w:multiLevelType w:val="hybridMultilevel"/>
    <w:tmpl w:val="32F682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61704D"/>
    <w:multiLevelType w:val="hybridMultilevel"/>
    <w:tmpl w:val="1BD8B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2F350AB"/>
    <w:multiLevelType w:val="hybridMultilevel"/>
    <w:tmpl w:val="1034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050A7"/>
    <w:multiLevelType w:val="hybridMultilevel"/>
    <w:tmpl w:val="C5888750"/>
    <w:lvl w:ilvl="0" w:tplc="482E69F2">
      <w:start w:val="55"/>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8A96239"/>
    <w:multiLevelType w:val="hybridMultilevel"/>
    <w:tmpl w:val="FC38A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F77BF"/>
    <w:multiLevelType w:val="hybridMultilevel"/>
    <w:tmpl w:val="665C6B82"/>
    <w:lvl w:ilvl="0" w:tplc="185018E8">
      <w:start w:val="1"/>
      <w:numFmt w:val="bullet"/>
      <w:lvlText w:val=""/>
      <w:lvlJc w:val="left"/>
      <w:pPr>
        <w:ind w:left="1077" w:hanging="360"/>
      </w:pPr>
      <w:rPr>
        <w:rFonts w:ascii="Symbol" w:hAnsi="Symbol" w:hint="default"/>
        <w:b/>
        <w:i w:val="0"/>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B6714EC"/>
    <w:multiLevelType w:val="hybridMultilevel"/>
    <w:tmpl w:val="8D60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2750A5"/>
    <w:multiLevelType w:val="hybridMultilevel"/>
    <w:tmpl w:val="40F8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42272"/>
    <w:multiLevelType w:val="hybridMultilevel"/>
    <w:tmpl w:val="589822C0"/>
    <w:lvl w:ilvl="0" w:tplc="7C2C351C">
      <w:start w:val="5"/>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D40DF4"/>
    <w:multiLevelType w:val="hybridMultilevel"/>
    <w:tmpl w:val="ED0A3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3DF00E9"/>
    <w:multiLevelType w:val="hybridMultilevel"/>
    <w:tmpl w:val="263A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3F6236"/>
    <w:multiLevelType w:val="hybridMultilevel"/>
    <w:tmpl w:val="BB7CFF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5AF0A42"/>
    <w:multiLevelType w:val="multilevel"/>
    <w:tmpl w:val="5E9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9E4527"/>
    <w:multiLevelType w:val="hybridMultilevel"/>
    <w:tmpl w:val="6AD0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855140"/>
    <w:multiLevelType w:val="hybridMultilevel"/>
    <w:tmpl w:val="069E2532"/>
    <w:lvl w:ilvl="0" w:tplc="9A96EAB6">
      <w:start w:val="4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AE43F36"/>
    <w:multiLevelType w:val="hybridMultilevel"/>
    <w:tmpl w:val="BA26B76E"/>
    <w:lvl w:ilvl="0" w:tplc="0C090001">
      <w:start w:val="1"/>
      <w:numFmt w:val="bullet"/>
      <w:lvlText w:val=""/>
      <w:lvlJc w:val="left"/>
      <w:pPr>
        <w:ind w:left="720" w:hanging="360"/>
      </w:pPr>
      <w:rPr>
        <w:rFonts w:ascii="Symbol" w:hAnsi="Symbol" w:hint="default"/>
      </w:rPr>
    </w:lvl>
    <w:lvl w:ilvl="1" w:tplc="185018E8">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FF7A79"/>
    <w:multiLevelType w:val="hybridMultilevel"/>
    <w:tmpl w:val="E892D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5"/>
  </w:num>
  <w:num w:numId="3">
    <w:abstractNumId w:val="0"/>
  </w:num>
  <w:num w:numId="4">
    <w:abstractNumId w:val="2"/>
  </w:num>
  <w:num w:numId="5">
    <w:abstractNumId w:val="33"/>
  </w:num>
  <w:num w:numId="6">
    <w:abstractNumId w:val="48"/>
  </w:num>
  <w:num w:numId="7">
    <w:abstractNumId w:val="22"/>
  </w:num>
  <w:num w:numId="8">
    <w:abstractNumId w:val="29"/>
  </w:num>
  <w:num w:numId="9">
    <w:abstractNumId w:val="46"/>
  </w:num>
  <w:num w:numId="10">
    <w:abstractNumId w:val="31"/>
  </w:num>
  <w:num w:numId="11">
    <w:abstractNumId w:val="42"/>
  </w:num>
  <w:num w:numId="12">
    <w:abstractNumId w:val="26"/>
  </w:num>
  <w:num w:numId="13">
    <w:abstractNumId w:val="35"/>
  </w:num>
  <w:num w:numId="14">
    <w:abstractNumId w:val="9"/>
  </w:num>
  <w:num w:numId="15">
    <w:abstractNumId w:val="13"/>
  </w:num>
  <w:num w:numId="16">
    <w:abstractNumId w:val="34"/>
  </w:num>
  <w:num w:numId="17">
    <w:abstractNumId w:val="6"/>
  </w:num>
  <w:num w:numId="18">
    <w:abstractNumId w:val="4"/>
  </w:num>
  <w:num w:numId="19">
    <w:abstractNumId w:val="39"/>
  </w:num>
  <w:num w:numId="20">
    <w:abstractNumId w:val="45"/>
  </w:num>
  <w:num w:numId="21">
    <w:abstractNumId w:val="16"/>
  </w:num>
  <w:num w:numId="22">
    <w:abstractNumId w:val="15"/>
  </w:num>
  <w:num w:numId="23">
    <w:abstractNumId w:val="43"/>
  </w:num>
  <w:num w:numId="24">
    <w:abstractNumId w:val="41"/>
  </w:num>
  <w:num w:numId="25">
    <w:abstractNumId w:val="40"/>
  </w:num>
  <w:num w:numId="26">
    <w:abstractNumId w:val="8"/>
  </w:num>
  <w:num w:numId="27">
    <w:abstractNumId w:val="47"/>
  </w:num>
  <w:num w:numId="28">
    <w:abstractNumId w:val="21"/>
  </w:num>
  <w:num w:numId="29">
    <w:abstractNumId w:val="27"/>
  </w:num>
  <w:num w:numId="30">
    <w:abstractNumId w:val="17"/>
  </w:num>
  <w:num w:numId="31">
    <w:abstractNumId w:val="36"/>
  </w:num>
  <w:num w:numId="32">
    <w:abstractNumId w:val="38"/>
  </w:num>
  <w:num w:numId="33">
    <w:abstractNumId w:val="12"/>
  </w:num>
  <w:num w:numId="34">
    <w:abstractNumId w:val="3"/>
  </w:num>
  <w:num w:numId="35">
    <w:abstractNumId w:val="32"/>
  </w:num>
  <w:num w:numId="36">
    <w:abstractNumId w:val="18"/>
  </w:num>
  <w:num w:numId="37">
    <w:abstractNumId w:val="24"/>
  </w:num>
  <w:num w:numId="38">
    <w:abstractNumId w:val="0"/>
  </w:num>
  <w:num w:numId="39">
    <w:abstractNumId w:val="28"/>
  </w:num>
  <w:num w:numId="40">
    <w:abstractNumId w:val="11"/>
  </w:num>
  <w:num w:numId="41">
    <w:abstractNumId w:val="23"/>
  </w:num>
  <w:num w:numId="42">
    <w:abstractNumId w:val="7"/>
  </w:num>
  <w:num w:numId="43">
    <w:abstractNumId w:val="0"/>
  </w:num>
  <w:num w:numId="44">
    <w:abstractNumId w:val="5"/>
  </w:num>
  <w:num w:numId="45">
    <w:abstractNumId w:val="10"/>
  </w:num>
  <w:num w:numId="46">
    <w:abstractNumId w:val="20"/>
  </w:num>
  <w:num w:numId="47">
    <w:abstractNumId w:val="0"/>
  </w:num>
  <w:num w:numId="48">
    <w:abstractNumId w:val="14"/>
  </w:num>
  <w:num w:numId="49">
    <w:abstractNumId w:val="0"/>
  </w:num>
  <w:num w:numId="50">
    <w:abstractNumId w:val="37"/>
  </w:num>
  <w:num w:numId="51">
    <w:abstractNumId w:val="44"/>
  </w:num>
  <w:num w:numId="52">
    <w:abstractNumId w:val="1"/>
  </w:num>
  <w:num w:numId="53">
    <w:abstractNumId w:val="0"/>
  </w:num>
  <w:num w:numId="54">
    <w:abstractNumId w:val="19"/>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2"/>
    <w:rsid w:val="00002140"/>
    <w:rsid w:val="000028D8"/>
    <w:rsid w:val="00003196"/>
    <w:rsid w:val="0000495B"/>
    <w:rsid w:val="00005721"/>
    <w:rsid w:val="0001021A"/>
    <w:rsid w:val="00010507"/>
    <w:rsid w:val="0001100D"/>
    <w:rsid w:val="00014D7E"/>
    <w:rsid w:val="00017C53"/>
    <w:rsid w:val="0002297E"/>
    <w:rsid w:val="00022F46"/>
    <w:rsid w:val="00025804"/>
    <w:rsid w:val="00025F7F"/>
    <w:rsid w:val="00032792"/>
    <w:rsid w:val="000364D9"/>
    <w:rsid w:val="00042655"/>
    <w:rsid w:val="00042FDC"/>
    <w:rsid w:val="00043861"/>
    <w:rsid w:val="000452DE"/>
    <w:rsid w:val="0004543F"/>
    <w:rsid w:val="000459ED"/>
    <w:rsid w:val="00046219"/>
    <w:rsid w:val="0005021D"/>
    <w:rsid w:val="00051F96"/>
    <w:rsid w:val="000523F8"/>
    <w:rsid w:val="00055689"/>
    <w:rsid w:val="00056DA7"/>
    <w:rsid w:val="00060906"/>
    <w:rsid w:val="00061AC3"/>
    <w:rsid w:val="000623C1"/>
    <w:rsid w:val="00062BF0"/>
    <w:rsid w:val="00064A1D"/>
    <w:rsid w:val="00066850"/>
    <w:rsid w:val="00067507"/>
    <w:rsid w:val="000678BA"/>
    <w:rsid w:val="000703E7"/>
    <w:rsid w:val="00070C34"/>
    <w:rsid w:val="00071AC3"/>
    <w:rsid w:val="00071D83"/>
    <w:rsid w:val="00072D6A"/>
    <w:rsid w:val="0007328F"/>
    <w:rsid w:val="00074BB0"/>
    <w:rsid w:val="00077D83"/>
    <w:rsid w:val="00080B0A"/>
    <w:rsid w:val="00081A88"/>
    <w:rsid w:val="00083544"/>
    <w:rsid w:val="000879A8"/>
    <w:rsid w:val="00087B7C"/>
    <w:rsid w:val="00090374"/>
    <w:rsid w:val="00090D6B"/>
    <w:rsid w:val="00091FDF"/>
    <w:rsid w:val="00092C75"/>
    <w:rsid w:val="00094732"/>
    <w:rsid w:val="0009491A"/>
    <w:rsid w:val="00094DCB"/>
    <w:rsid w:val="0009637E"/>
    <w:rsid w:val="000979DA"/>
    <w:rsid w:val="000A155A"/>
    <w:rsid w:val="000A1C98"/>
    <w:rsid w:val="000A3280"/>
    <w:rsid w:val="000A689C"/>
    <w:rsid w:val="000A78A2"/>
    <w:rsid w:val="000B0AB2"/>
    <w:rsid w:val="000B53E3"/>
    <w:rsid w:val="000B5638"/>
    <w:rsid w:val="000B567E"/>
    <w:rsid w:val="000B7E84"/>
    <w:rsid w:val="000C3700"/>
    <w:rsid w:val="000C5643"/>
    <w:rsid w:val="000C5723"/>
    <w:rsid w:val="000C6124"/>
    <w:rsid w:val="000C62B9"/>
    <w:rsid w:val="000C63D7"/>
    <w:rsid w:val="000C7261"/>
    <w:rsid w:val="000D1477"/>
    <w:rsid w:val="000D1C67"/>
    <w:rsid w:val="000D64BB"/>
    <w:rsid w:val="000D6CA8"/>
    <w:rsid w:val="000D7AB2"/>
    <w:rsid w:val="000E0CBC"/>
    <w:rsid w:val="000E0D5A"/>
    <w:rsid w:val="000E39D3"/>
    <w:rsid w:val="000E3F08"/>
    <w:rsid w:val="000F184D"/>
    <w:rsid w:val="000F26A6"/>
    <w:rsid w:val="000F28BF"/>
    <w:rsid w:val="000F2FFF"/>
    <w:rsid w:val="000F3199"/>
    <w:rsid w:val="000F3306"/>
    <w:rsid w:val="000F4BD0"/>
    <w:rsid w:val="000F58B8"/>
    <w:rsid w:val="000F64FD"/>
    <w:rsid w:val="000F6AA4"/>
    <w:rsid w:val="000F6B81"/>
    <w:rsid w:val="00101B9D"/>
    <w:rsid w:val="001020BB"/>
    <w:rsid w:val="0010218D"/>
    <w:rsid w:val="00103D0F"/>
    <w:rsid w:val="00105E1F"/>
    <w:rsid w:val="00113244"/>
    <w:rsid w:val="001135F9"/>
    <w:rsid w:val="0011361E"/>
    <w:rsid w:val="0011611B"/>
    <w:rsid w:val="001210D6"/>
    <w:rsid w:val="0012185F"/>
    <w:rsid w:val="00126503"/>
    <w:rsid w:val="00127E4A"/>
    <w:rsid w:val="00130DE0"/>
    <w:rsid w:val="00131F95"/>
    <w:rsid w:val="001325FD"/>
    <w:rsid w:val="00132EC0"/>
    <w:rsid w:val="001351AF"/>
    <w:rsid w:val="00135A95"/>
    <w:rsid w:val="00135D07"/>
    <w:rsid w:val="00142390"/>
    <w:rsid w:val="00143F39"/>
    <w:rsid w:val="001444F9"/>
    <w:rsid w:val="001447F5"/>
    <w:rsid w:val="00144867"/>
    <w:rsid w:val="001460FE"/>
    <w:rsid w:val="0015160F"/>
    <w:rsid w:val="00151D29"/>
    <w:rsid w:val="00153F99"/>
    <w:rsid w:val="00156B1E"/>
    <w:rsid w:val="00156C5E"/>
    <w:rsid w:val="00157083"/>
    <w:rsid w:val="00157678"/>
    <w:rsid w:val="00160DF2"/>
    <w:rsid w:val="00160EC2"/>
    <w:rsid w:val="00161003"/>
    <w:rsid w:val="00164A2B"/>
    <w:rsid w:val="00164D95"/>
    <w:rsid w:val="00164E07"/>
    <w:rsid w:val="001653CC"/>
    <w:rsid w:val="001678C3"/>
    <w:rsid w:val="00167EE7"/>
    <w:rsid w:val="001706E1"/>
    <w:rsid w:val="0017129C"/>
    <w:rsid w:val="00175DBB"/>
    <w:rsid w:val="001771B3"/>
    <w:rsid w:val="0017721F"/>
    <w:rsid w:val="001804F7"/>
    <w:rsid w:val="00181BEF"/>
    <w:rsid w:val="0018243A"/>
    <w:rsid w:val="00184242"/>
    <w:rsid w:val="00185575"/>
    <w:rsid w:val="001857ED"/>
    <w:rsid w:val="00187A15"/>
    <w:rsid w:val="00190B8E"/>
    <w:rsid w:val="001919EF"/>
    <w:rsid w:val="001959DC"/>
    <w:rsid w:val="00195E19"/>
    <w:rsid w:val="0019672B"/>
    <w:rsid w:val="00196882"/>
    <w:rsid w:val="00196E8B"/>
    <w:rsid w:val="001A109F"/>
    <w:rsid w:val="001A1442"/>
    <w:rsid w:val="001A3D46"/>
    <w:rsid w:val="001A6BFD"/>
    <w:rsid w:val="001A78C6"/>
    <w:rsid w:val="001B04D8"/>
    <w:rsid w:val="001B0ED9"/>
    <w:rsid w:val="001B2D40"/>
    <w:rsid w:val="001B3287"/>
    <w:rsid w:val="001B3BC8"/>
    <w:rsid w:val="001B4010"/>
    <w:rsid w:val="001B5295"/>
    <w:rsid w:val="001B6245"/>
    <w:rsid w:val="001C1468"/>
    <w:rsid w:val="001C2E3B"/>
    <w:rsid w:val="001C5228"/>
    <w:rsid w:val="001C70F2"/>
    <w:rsid w:val="001D1550"/>
    <w:rsid w:val="001D18E4"/>
    <w:rsid w:val="001D19DF"/>
    <w:rsid w:val="001D1D45"/>
    <w:rsid w:val="001D6027"/>
    <w:rsid w:val="001D6CCA"/>
    <w:rsid w:val="001D7CC3"/>
    <w:rsid w:val="001E0285"/>
    <w:rsid w:val="001E083C"/>
    <w:rsid w:val="001E194C"/>
    <w:rsid w:val="001E2B77"/>
    <w:rsid w:val="001E7C06"/>
    <w:rsid w:val="001F0927"/>
    <w:rsid w:val="001F1413"/>
    <w:rsid w:val="001F270D"/>
    <w:rsid w:val="001F3ED9"/>
    <w:rsid w:val="001F5A79"/>
    <w:rsid w:val="001F5FEC"/>
    <w:rsid w:val="001F6BBE"/>
    <w:rsid w:val="002036CC"/>
    <w:rsid w:val="00204132"/>
    <w:rsid w:val="00206D58"/>
    <w:rsid w:val="00206D98"/>
    <w:rsid w:val="002072C4"/>
    <w:rsid w:val="00211064"/>
    <w:rsid w:val="00211E1A"/>
    <w:rsid w:val="00213059"/>
    <w:rsid w:val="00213F7A"/>
    <w:rsid w:val="00214865"/>
    <w:rsid w:val="0021607D"/>
    <w:rsid w:val="00216581"/>
    <w:rsid w:val="00216BB7"/>
    <w:rsid w:val="00217CD2"/>
    <w:rsid w:val="0022011F"/>
    <w:rsid w:val="00220D18"/>
    <w:rsid w:val="00221DBC"/>
    <w:rsid w:val="0022261A"/>
    <w:rsid w:val="0023091E"/>
    <w:rsid w:val="002310D5"/>
    <w:rsid w:val="002316E8"/>
    <w:rsid w:val="0023258D"/>
    <w:rsid w:val="002326DD"/>
    <w:rsid w:val="00232914"/>
    <w:rsid w:val="00232AF4"/>
    <w:rsid w:val="00234093"/>
    <w:rsid w:val="00235005"/>
    <w:rsid w:val="00235452"/>
    <w:rsid w:val="00236720"/>
    <w:rsid w:val="00240047"/>
    <w:rsid w:val="00241DD8"/>
    <w:rsid w:val="00242413"/>
    <w:rsid w:val="00244260"/>
    <w:rsid w:val="0024601C"/>
    <w:rsid w:val="00246076"/>
    <w:rsid w:val="002511C8"/>
    <w:rsid w:val="002518A0"/>
    <w:rsid w:val="00251D37"/>
    <w:rsid w:val="0025417C"/>
    <w:rsid w:val="00255971"/>
    <w:rsid w:val="0025727E"/>
    <w:rsid w:val="00257EA0"/>
    <w:rsid w:val="00260DA0"/>
    <w:rsid w:val="00261703"/>
    <w:rsid w:val="00264675"/>
    <w:rsid w:val="00264984"/>
    <w:rsid w:val="00266682"/>
    <w:rsid w:val="00267483"/>
    <w:rsid w:val="0027256F"/>
    <w:rsid w:val="002763A6"/>
    <w:rsid w:val="00276E7D"/>
    <w:rsid w:val="00277B14"/>
    <w:rsid w:val="00277D8B"/>
    <w:rsid w:val="002811FB"/>
    <w:rsid w:val="00283293"/>
    <w:rsid w:val="0028373E"/>
    <w:rsid w:val="00283A85"/>
    <w:rsid w:val="00284112"/>
    <w:rsid w:val="00284516"/>
    <w:rsid w:val="00284722"/>
    <w:rsid w:val="00284938"/>
    <w:rsid w:val="00284FF9"/>
    <w:rsid w:val="00285230"/>
    <w:rsid w:val="00285B2D"/>
    <w:rsid w:val="00287646"/>
    <w:rsid w:val="002900FF"/>
    <w:rsid w:val="00291773"/>
    <w:rsid w:val="00292025"/>
    <w:rsid w:val="00292FA9"/>
    <w:rsid w:val="00295E34"/>
    <w:rsid w:val="002A3504"/>
    <w:rsid w:val="002A3AC8"/>
    <w:rsid w:val="002A3F3F"/>
    <w:rsid w:val="002A672C"/>
    <w:rsid w:val="002A749F"/>
    <w:rsid w:val="002B1D18"/>
    <w:rsid w:val="002B26C8"/>
    <w:rsid w:val="002B3FC4"/>
    <w:rsid w:val="002B4E8C"/>
    <w:rsid w:val="002B5817"/>
    <w:rsid w:val="002B5C3D"/>
    <w:rsid w:val="002B659F"/>
    <w:rsid w:val="002B6829"/>
    <w:rsid w:val="002C2439"/>
    <w:rsid w:val="002C32C9"/>
    <w:rsid w:val="002C38C7"/>
    <w:rsid w:val="002C4690"/>
    <w:rsid w:val="002C77CB"/>
    <w:rsid w:val="002D1ED1"/>
    <w:rsid w:val="002D281E"/>
    <w:rsid w:val="002D38DA"/>
    <w:rsid w:val="002D41D0"/>
    <w:rsid w:val="002D45C3"/>
    <w:rsid w:val="002D710A"/>
    <w:rsid w:val="002D7394"/>
    <w:rsid w:val="002D7A6E"/>
    <w:rsid w:val="002E24A6"/>
    <w:rsid w:val="002E28DC"/>
    <w:rsid w:val="002E4540"/>
    <w:rsid w:val="002E4B14"/>
    <w:rsid w:val="002E4B76"/>
    <w:rsid w:val="002E4BB4"/>
    <w:rsid w:val="002E4FCA"/>
    <w:rsid w:val="002E657A"/>
    <w:rsid w:val="002E6E12"/>
    <w:rsid w:val="002E6EDA"/>
    <w:rsid w:val="002E76F2"/>
    <w:rsid w:val="002F24D7"/>
    <w:rsid w:val="002F3CC0"/>
    <w:rsid w:val="00300FFA"/>
    <w:rsid w:val="0030180C"/>
    <w:rsid w:val="00302931"/>
    <w:rsid w:val="00303BE4"/>
    <w:rsid w:val="00305D6A"/>
    <w:rsid w:val="003061AD"/>
    <w:rsid w:val="0030704B"/>
    <w:rsid w:val="00307C11"/>
    <w:rsid w:val="00310510"/>
    <w:rsid w:val="00310D8F"/>
    <w:rsid w:val="0031147E"/>
    <w:rsid w:val="00313B48"/>
    <w:rsid w:val="00315975"/>
    <w:rsid w:val="00315BED"/>
    <w:rsid w:val="00322C3B"/>
    <w:rsid w:val="003255C1"/>
    <w:rsid w:val="00325FF3"/>
    <w:rsid w:val="00330ACC"/>
    <w:rsid w:val="00331477"/>
    <w:rsid w:val="00331E33"/>
    <w:rsid w:val="00332927"/>
    <w:rsid w:val="00332C15"/>
    <w:rsid w:val="003335DF"/>
    <w:rsid w:val="00334FDA"/>
    <w:rsid w:val="00342A33"/>
    <w:rsid w:val="00342CA8"/>
    <w:rsid w:val="003432F5"/>
    <w:rsid w:val="0034337B"/>
    <w:rsid w:val="00343F88"/>
    <w:rsid w:val="00344C87"/>
    <w:rsid w:val="0034541C"/>
    <w:rsid w:val="00345CBE"/>
    <w:rsid w:val="00346B13"/>
    <w:rsid w:val="0035248E"/>
    <w:rsid w:val="00354C12"/>
    <w:rsid w:val="003560E2"/>
    <w:rsid w:val="00357C98"/>
    <w:rsid w:val="00362287"/>
    <w:rsid w:val="00363995"/>
    <w:rsid w:val="00363E53"/>
    <w:rsid w:val="00364058"/>
    <w:rsid w:val="0036547C"/>
    <w:rsid w:val="00366036"/>
    <w:rsid w:val="00367DE6"/>
    <w:rsid w:val="00372AA6"/>
    <w:rsid w:val="003757D6"/>
    <w:rsid w:val="003763ED"/>
    <w:rsid w:val="003818F5"/>
    <w:rsid w:val="00382579"/>
    <w:rsid w:val="003828F0"/>
    <w:rsid w:val="00384452"/>
    <w:rsid w:val="00384582"/>
    <w:rsid w:val="0038487A"/>
    <w:rsid w:val="003856E5"/>
    <w:rsid w:val="00386927"/>
    <w:rsid w:val="003924D2"/>
    <w:rsid w:val="0039451E"/>
    <w:rsid w:val="00394E2D"/>
    <w:rsid w:val="0039680C"/>
    <w:rsid w:val="003A03BA"/>
    <w:rsid w:val="003A11E7"/>
    <w:rsid w:val="003A224E"/>
    <w:rsid w:val="003A2EAF"/>
    <w:rsid w:val="003A34DC"/>
    <w:rsid w:val="003A4676"/>
    <w:rsid w:val="003A588F"/>
    <w:rsid w:val="003A5F36"/>
    <w:rsid w:val="003B1D9C"/>
    <w:rsid w:val="003B3783"/>
    <w:rsid w:val="003B3D58"/>
    <w:rsid w:val="003B3FC0"/>
    <w:rsid w:val="003B739E"/>
    <w:rsid w:val="003B7B66"/>
    <w:rsid w:val="003C1C8C"/>
    <w:rsid w:val="003C2079"/>
    <w:rsid w:val="003C426D"/>
    <w:rsid w:val="003C62EE"/>
    <w:rsid w:val="003C7CE6"/>
    <w:rsid w:val="003D0647"/>
    <w:rsid w:val="003D06E8"/>
    <w:rsid w:val="003D08B2"/>
    <w:rsid w:val="003D0BBF"/>
    <w:rsid w:val="003D1252"/>
    <w:rsid w:val="003D3746"/>
    <w:rsid w:val="003D4ECE"/>
    <w:rsid w:val="003E0BB4"/>
    <w:rsid w:val="003E1A55"/>
    <w:rsid w:val="003E658E"/>
    <w:rsid w:val="003E6BAF"/>
    <w:rsid w:val="003E7C2E"/>
    <w:rsid w:val="003F1B60"/>
    <w:rsid w:val="003F38A3"/>
    <w:rsid w:val="003F5328"/>
    <w:rsid w:val="003F549F"/>
    <w:rsid w:val="003F6380"/>
    <w:rsid w:val="003F63B1"/>
    <w:rsid w:val="003F7016"/>
    <w:rsid w:val="003F70E4"/>
    <w:rsid w:val="003F7CBF"/>
    <w:rsid w:val="003F7F16"/>
    <w:rsid w:val="0040107C"/>
    <w:rsid w:val="004036DE"/>
    <w:rsid w:val="00404397"/>
    <w:rsid w:val="00405699"/>
    <w:rsid w:val="00405DEE"/>
    <w:rsid w:val="004077D3"/>
    <w:rsid w:val="00411669"/>
    <w:rsid w:val="00411EE4"/>
    <w:rsid w:val="00412A17"/>
    <w:rsid w:val="004137E4"/>
    <w:rsid w:val="00413AE8"/>
    <w:rsid w:val="00415958"/>
    <w:rsid w:val="00417670"/>
    <w:rsid w:val="00421F6C"/>
    <w:rsid w:val="00422512"/>
    <w:rsid w:val="00425BAC"/>
    <w:rsid w:val="00430465"/>
    <w:rsid w:val="00430B09"/>
    <w:rsid w:val="00431902"/>
    <w:rsid w:val="00432D2E"/>
    <w:rsid w:val="0043417C"/>
    <w:rsid w:val="00435405"/>
    <w:rsid w:val="00440388"/>
    <w:rsid w:val="0044297F"/>
    <w:rsid w:val="00444E67"/>
    <w:rsid w:val="00450235"/>
    <w:rsid w:val="00450537"/>
    <w:rsid w:val="004513A0"/>
    <w:rsid w:val="004514F4"/>
    <w:rsid w:val="00451AA3"/>
    <w:rsid w:val="004534A0"/>
    <w:rsid w:val="00454B17"/>
    <w:rsid w:val="00454C97"/>
    <w:rsid w:val="00455EAA"/>
    <w:rsid w:val="00456B24"/>
    <w:rsid w:val="00456CBC"/>
    <w:rsid w:val="004573E3"/>
    <w:rsid w:val="004623D3"/>
    <w:rsid w:val="00462888"/>
    <w:rsid w:val="00465642"/>
    <w:rsid w:val="00466E05"/>
    <w:rsid w:val="00466F8B"/>
    <w:rsid w:val="004701CF"/>
    <w:rsid w:val="00472B5B"/>
    <w:rsid w:val="00473AE5"/>
    <w:rsid w:val="004807F2"/>
    <w:rsid w:val="00480D6D"/>
    <w:rsid w:val="004821E9"/>
    <w:rsid w:val="00482EDC"/>
    <w:rsid w:val="00483215"/>
    <w:rsid w:val="00484780"/>
    <w:rsid w:val="0048541F"/>
    <w:rsid w:val="0048773E"/>
    <w:rsid w:val="00490914"/>
    <w:rsid w:val="00491EA0"/>
    <w:rsid w:val="00493380"/>
    <w:rsid w:val="00493581"/>
    <w:rsid w:val="00494DCA"/>
    <w:rsid w:val="00497B76"/>
    <w:rsid w:val="004A14BB"/>
    <w:rsid w:val="004A3572"/>
    <w:rsid w:val="004A4E6C"/>
    <w:rsid w:val="004A70D5"/>
    <w:rsid w:val="004A7167"/>
    <w:rsid w:val="004A756A"/>
    <w:rsid w:val="004A7AA0"/>
    <w:rsid w:val="004B004F"/>
    <w:rsid w:val="004B2072"/>
    <w:rsid w:val="004B3A24"/>
    <w:rsid w:val="004B49CB"/>
    <w:rsid w:val="004B6DB6"/>
    <w:rsid w:val="004B6ECC"/>
    <w:rsid w:val="004C0FD2"/>
    <w:rsid w:val="004C32E6"/>
    <w:rsid w:val="004C4359"/>
    <w:rsid w:val="004C45CD"/>
    <w:rsid w:val="004C5F9F"/>
    <w:rsid w:val="004C620F"/>
    <w:rsid w:val="004C7625"/>
    <w:rsid w:val="004D1348"/>
    <w:rsid w:val="004D299E"/>
    <w:rsid w:val="004D2B0B"/>
    <w:rsid w:val="004D3C33"/>
    <w:rsid w:val="004D4D17"/>
    <w:rsid w:val="004D4E7F"/>
    <w:rsid w:val="004D5BAA"/>
    <w:rsid w:val="004D7ED4"/>
    <w:rsid w:val="004E016D"/>
    <w:rsid w:val="004E02CA"/>
    <w:rsid w:val="004E1012"/>
    <w:rsid w:val="004E1B61"/>
    <w:rsid w:val="004E3071"/>
    <w:rsid w:val="004E3156"/>
    <w:rsid w:val="004E4FBC"/>
    <w:rsid w:val="004E5D3E"/>
    <w:rsid w:val="004E7D92"/>
    <w:rsid w:val="004F0B7F"/>
    <w:rsid w:val="004F231A"/>
    <w:rsid w:val="004F26F0"/>
    <w:rsid w:val="004F3170"/>
    <w:rsid w:val="004F46E3"/>
    <w:rsid w:val="004F7816"/>
    <w:rsid w:val="00501032"/>
    <w:rsid w:val="0050117C"/>
    <w:rsid w:val="0050408E"/>
    <w:rsid w:val="00504356"/>
    <w:rsid w:val="00504761"/>
    <w:rsid w:val="00510274"/>
    <w:rsid w:val="00510A92"/>
    <w:rsid w:val="00510CD6"/>
    <w:rsid w:val="005119DC"/>
    <w:rsid w:val="00512188"/>
    <w:rsid w:val="00513057"/>
    <w:rsid w:val="005161D7"/>
    <w:rsid w:val="005166C3"/>
    <w:rsid w:val="00516B8E"/>
    <w:rsid w:val="00520FDB"/>
    <w:rsid w:val="00521137"/>
    <w:rsid w:val="005215E8"/>
    <w:rsid w:val="0052494F"/>
    <w:rsid w:val="00527EE9"/>
    <w:rsid w:val="005303CB"/>
    <w:rsid w:val="00530B63"/>
    <w:rsid w:val="00531718"/>
    <w:rsid w:val="005341C3"/>
    <w:rsid w:val="005349A0"/>
    <w:rsid w:val="00535166"/>
    <w:rsid w:val="00535ECB"/>
    <w:rsid w:val="0053627D"/>
    <w:rsid w:val="00537FBE"/>
    <w:rsid w:val="00540906"/>
    <w:rsid w:val="005422DA"/>
    <w:rsid w:val="00552362"/>
    <w:rsid w:val="005528A6"/>
    <w:rsid w:val="00552B5D"/>
    <w:rsid w:val="005533D0"/>
    <w:rsid w:val="00554CE0"/>
    <w:rsid w:val="00556FD9"/>
    <w:rsid w:val="00560405"/>
    <w:rsid w:val="00560FEA"/>
    <w:rsid w:val="005613D3"/>
    <w:rsid w:val="00562795"/>
    <w:rsid w:val="005635B6"/>
    <w:rsid w:val="00563FC9"/>
    <w:rsid w:val="0056524D"/>
    <w:rsid w:val="00571BA1"/>
    <w:rsid w:val="005742F7"/>
    <w:rsid w:val="00574F0B"/>
    <w:rsid w:val="005844AF"/>
    <w:rsid w:val="00584C6E"/>
    <w:rsid w:val="0058516B"/>
    <w:rsid w:val="00586147"/>
    <w:rsid w:val="0058665A"/>
    <w:rsid w:val="00586C57"/>
    <w:rsid w:val="0058713C"/>
    <w:rsid w:val="00591765"/>
    <w:rsid w:val="00591B7C"/>
    <w:rsid w:val="00591F42"/>
    <w:rsid w:val="0059261A"/>
    <w:rsid w:val="0059534B"/>
    <w:rsid w:val="005959D3"/>
    <w:rsid w:val="00595B5F"/>
    <w:rsid w:val="00595ED6"/>
    <w:rsid w:val="00596D63"/>
    <w:rsid w:val="005A1E8F"/>
    <w:rsid w:val="005A2770"/>
    <w:rsid w:val="005A356B"/>
    <w:rsid w:val="005B055D"/>
    <w:rsid w:val="005B1A72"/>
    <w:rsid w:val="005B20A9"/>
    <w:rsid w:val="005B3603"/>
    <w:rsid w:val="005B37E9"/>
    <w:rsid w:val="005B412F"/>
    <w:rsid w:val="005B42EB"/>
    <w:rsid w:val="005B555E"/>
    <w:rsid w:val="005B648A"/>
    <w:rsid w:val="005B7C2A"/>
    <w:rsid w:val="005C070A"/>
    <w:rsid w:val="005C09F0"/>
    <w:rsid w:val="005C1763"/>
    <w:rsid w:val="005C4E61"/>
    <w:rsid w:val="005C7648"/>
    <w:rsid w:val="005D0889"/>
    <w:rsid w:val="005D12FC"/>
    <w:rsid w:val="005D4F49"/>
    <w:rsid w:val="005D53E7"/>
    <w:rsid w:val="005D5987"/>
    <w:rsid w:val="005D65A1"/>
    <w:rsid w:val="005E1918"/>
    <w:rsid w:val="005E1ACE"/>
    <w:rsid w:val="005E4EDF"/>
    <w:rsid w:val="005E50D7"/>
    <w:rsid w:val="005E5630"/>
    <w:rsid w:val="005E6463"/>
    <w:rsid w:val="005E64E3"/>
    <w:rsid w:val="005E6650"/>
    <w:rsid w:val="005E6FA3"/>
    <w:rsid w:val="005F3B18"/>
    <w:rsid w:val="005F3E04"/>
    <w:rsid w:val="005F47F8"/>
    <w:rsid w:val="005F5344"/>
    <w:rsid w:val="005F583A"/>
    <w:rsid w:val="005F6926"/>
    <w:rsid w:val="005F6BD1"/>
    <w:rsid w:val="005F707B"/>
    <w:rsid w:val="00601C59"/>
    <w:rsid w:val="00602038"/>
    <w:rsid w:val="0060266C"/>
    <w:rsid w:val="00605173"/>
    <w:rsid w:val="006067CF"/>
    <w:rsid w:val="0061191B"/>
    <w:rsid w:val="006124EC"/>
    <w:rsid w:val="00613EDB"/>
    <w:rsid w:val="00614D3C"/>
    <w:rsid w:val="006154EC"/>
    <w:rsid w:val="006158E7"/>
    <w:rsid w:val="00616577"/>
    <w:rsid w:val="00616CDB"/>
    <w:rsid w:val="00616E15"/>
    <w:rsid w:val="0062074A"/>
    <w:rsid w:val="00620D44"/>
    <w:rsid w:val="0062133A"/>
    <w:rsid w:val="00622821"/>
    <w:rsid w:val="006238BA"/>
    <w:rsid w:val="00623ACA"/>
    <w:rsid w:val="00624CC2"/>
    <w:rsid w:val="00632BB5"/>
    <w:rsid w:val="006355CF"/>
    <w:rsid w:val="006401A0"/>
    <w:rsid w:val="00643F76"/>
    <w:rsid w:val="00646138"/>
    <w:rsid w:val="0064746B"/>
    <w:rsid w:val="00647526"/>
    <w:rsid w:val="00650B81"/>
    <w:rsid w:val="0065147E"/>
    <w:rsid w:val="006528F5"/>
    <w:rsid w:val="006529EB"/>
    <w:rsid w:val="006562E1"/>
    <w:rsid w:val="006571CB"/>
    <w:rsid w:val="006573C7"/>
    <w:rsid w:val="00657642"/>
    <w:rsid w:val="00662D87"/>
    <w:rsid w:val="00670128"/>
    <w:rsid w:val="00672340"/>
    <w:rsid w:val="006727B3"/>
    <w:rsid w:val="00674461"/>
    <w:rsid w:val="00674912"/>
    <w:rsid w:val="0067626E"/>
    <w:rsid w:val="00676754"/>
    <w:rsid w:val="00680205"/>
    <w:rsid w:val="0068165B"/>
    <w:rsid w:val="00682657"/>
    <w:rsid w:val="006839B2"/>
    <w:rsid w:val="00684366"/>
    <w:rsid w:val="0068580E"/>
    <w:rsid w:val="0068613D"/>
    <w:rsid w:val="00691020"/>
    <w:rsid w:val="00694A1B"/>
    <w:rsid w:val="00696934"/>
    <w:rsid w:val="006A403A"/>
    <w:rsid w:val="006A45BB"/>
    <w:rsid w:val="006A63A5"/>
    <w:rsid w:val="006A68DE"/>
    <w:rsid w:val="006A6CDD"/>
    <w:rsid w:val="006B3D53"/>
    <w:rsid w:val="006B4908"/>
    <w:rsid w:val="006B5790"/>
    <w:rsid w:val="006C2D9A"/>
    <w:rsid w:val="006C338D"/>
    <w:rsid w:val="006C33E4"/>
    <w:rsid w:val="006C368C"/>
    <w:rsid w:val="006C4162"/>
    <w:rsid w:val="006C758F"/>
    <w:rsid w:val="006D066E"/>
    <w:rsid w:val="006D092A"/>
    <w:rsid w:val="006D0B1E"/>
    <w:rsid w:val="006D0B57"/>
    <w:rsid w:val="006D1499"/>
    <w:rsid w:val="006D3FFA"/>
    <w:rsid w:val="006D45CB"/>
    <w:rsid w:val="006D4A95"/>
    <w:rsid w:val="006D58E7"/>
    <w:rsid w:val="006D7268"/>
    <w:rsid w:val="006E07ED"/>
    <w:rsid w:val="006E188A"/>
    <w:rsid w:val="006E1EA3"/>
    <w:rsid w:val="006E3108"/>
    <w:rsid w:val="006E34BE"/>
    <w:rsid w:val="006E4290"/>
    <w:rsid w:val="006E5CDC"/>
    <w:rsid w:val="006E65B7"/>
    <w:rsid w:val="006F13CE"/>
    <w:rsid w:val="006F1550"/>
    <w:rsid w:val="006F2344"/>
    <w:rsid w:val="006F25B6"/>
    <w:rsid w:val="006F3061"/>
    <w:rsid w:val="006F3772"/>
    <w:rsid w:val="006F5923"/>
    <w:rsid w:val="006F65F9"/>
    <w:rsid w:val="006F7ECF"/>
    <w:rsid w:val="00700019"/>
    <w:rsid w:val="00700FBF"/>
    <w:rsid w:val="007017EF"/>
    <w:rsid w:val="00701DC2"/>
    <w:rsid w:val="0070293F"/>
    <w:rsid w:val="00702998"/>
    <w:rsid w:val="007039E5"/>
    <w:rsid w:val="00706A42"/>
    <w:rsid w:val="00707424"/>
    <w:rsid w:val="00711D1D"/>
    <w:rsid w:val="00712250"/>
    <w:rsid w:val="007126AD"/>
    <w:rsid w:val="00714824"/>
    <w:rsid w:val="00715BA5"/>
    <w:rsid w:val="00716995"/>
    <w:rsid w:val="007172AF"/>
    <w:rsid w:val="0071786F"/>
    <w:rsid w:val="00720116"/>
    <w:rsid w:val="00720D75"/>
    <w:rsid w:val="00722A78"/>
    <w:rsid w:val="00724F0B"/>
    <w:rsid w:val="00725B51"/>
    <w:rsid w:val="00731A9C"/>
    <w:rsid w:val="00732C29"/>
    <w:rsid w:val="00734806"/>
    <w:rsid w:val="007352D5"/>
    <w:rsid w:val="00735DCE"/>
    <w:rsid w:val="00736674"/>
    <w:rsid w:val="00737408"/>
    <w:rsid w:val="00737CE7"/>
    <w:rsid w:val="0074048F"/>
    <w:rsid w:val="00742D28"/>
    <w:rsid w:val="00744DC3"/>
    <w:rsid w:val="00744F94"/>
    <w:rsid w:val="00745EEE"/>
    <w:rsid w:val="00746D17"/>
    <w:rsid w:val="0074726E"/>
    <w:rsid w:val="007524F2"/>
    <w:rsid w:val="0075290E"/>
    <w:rsid w:val="007531EB"/>
    <w:rsid w:val="00753E1F"/>
    <w:rsid w:val="007543DF"/>
    <w:rsid w:val="00754908"/>
    <w:rsid w:val="007617E9"/>
    <w:rsid w:val="00762418"/>
    <w:rsid w:val="00764661"/>
    <w:rsid w:val="00767C4D"/>
    <w:rsid w:val="0077129D"/>
    <w:rsid w:val="007717F6"/>
    <w:rsid w:val="00773B2E"/>
    <w:rsid w:val="00773BAF"/>
    <w:rsid w:val="00773FE0"/>
    <w:rsid w:val="007778DA"/>
    <w:rsid w:val="00780B12"/>
    <w:rsid w:val="00780FB4"/>
    <w:rsid w:val="007817A2"/>
    <w:rsid w:val="007831F4"/>
    <w:rsid w:val="00783745"/>
    <w:rsid w:val="00783FEB"/>
    <w:rsid w:val="007840A0"/>
    <w:rsid w:val="007843A9"/>
    <w:rsid w:val="00784646"/>
    <w:rsid w:val="00786F43"/>
    <w:rsid w:val="00787517"/>
    <w:rsid w:val="00793CE4"/>
    <w:rsid w:val="00795089"/>
    <w:rsid w:val="007959BD"/>
    <w:rsid w:val="00797BA9"/>
    <w:rsid w:val="007A2CCD"/>
    <w:rsid w:val="007A3233"/>
    <w:rsid w:val="007A398A"/>
    <w:rsid w:val="007A3F55"/>
    <w:rsid w:val="007A7FBD"/>
    <w:rsid w:val="007B0A50"/>
    <w:rsid w:val="007B0EA8"/>
    <w:rsid w:val="007B183A"/>
    <w:rsid w:val="007B67FF"/>
    <w:rsid w:val="007B7106"/>
    <w:rsid w:val="007B766B"/>
    <w:rsid w:val="007C0134"/>
    <w:rsid w:val="007C0B2F"/>
    <w:rsid w:val="007C0DEE"/>
    <w:rsid w:val="007C1F44"/>
    <w:rsid w:val="007C3CC4"/>
    <w:rsid w:val="007C3E9B"/>
    <w:rsid w:val="007C5611"/>
    <w:rsid w:val="007C66A7"/>
    <w:rsid w:val="007C6FF4"/>
    <w:rsid w:val="007D014D"/>
    <w:rsid w:val="007D35CA"/>
    <w:rsid w:val="007D5373"/>
    <w:rsid w:val="007D7A55"/>
    <w:rsid w:val="007E0961"/>
    <w:rsid w:val="007E0FDD"/>
    <w:rsid w:val="007E19CA"/>
    <w:rsid w:val="007E1B09"/>
    <w:rsid w:val="007E1BD3"/>
    <w:rsid w:val="007E2E18"/>
    <w:rsid w:val="007E37B2"/>
    <w:rsid w:val="007E3FBF"/>
    <w:rsid w:val="007E40C4"/>
    <w:rsid w:val="007E48ED"/>
    <w:rsid w:val="007E48FD"/>
    <w:rsid w:val="007E55AF"/>
    <w:rsid w:val="007E5754"/>
    <w:rsid w:val="007E646D"/>
    <w:rsid w:val="007E69FB"/>
    <w:rsid w:val="007E6AB6"/>
    <w:rsid w:val="007E7717"/>
    <w:rsid w:val="007E7918"/>
    <w:rsid w:val="007E7BE2"/>
    <w:rsid w:val="007F0994"/>
    <w:rsid w:val="007F0DFE"/>
    <w:rsid w:val="007F14CB"/>
    <w:rsid w:val="007F2556"/>
    <w:rsid w:val="008015DE"/>
    <w:rsid w:val="00801648"/>
    <w:rsid w:val="00802EF1"/>
    <w:rsid w:val="008030B9"/>
    <w:rsid w:val="008049EE"/>
    <w:rsid w:val="00806306"/>
    <w:rsid w:val="00807BB6"/>
    <w:rsid w:val="008103C1"/>
    <w:rsid w:val="00811370"/>
    <w:rsid w:val="008126F6"/>
    <w:rsid w:val="00812D47"/>
    <w:rsid w:val="00813912"/>
    <w:rsid w:val="00814E4E"/>
    <w:rsid w:val="008173F6"/>
    <w:rsid w:val="00823F88"/>
    <w:rsid w:val="00824358"/>
    <w:rsid w:val="008258C2"/>
    <w:rsid w:val="00826C3C"/>
    <w:rsid w:val="00831137"/>
    <w:rsid w:val="00837D96"/>
    <w:rsid w:val="0084232A"/>
    <w:rsid w:val="0084272F"/>
    <w:rsid w:val="008428E5"/>
    <w:rsid w:val="00842E0E"/>
    <w:rsid w:val="0084459A"/>
    <w:rsid w:val="008445AC"/>
    <w:rsid w:val="008447F0"/>
    <w:rsid w:val="008455AE"/>
    <w:rsid w:val="00845A52"/>
    <w:rsid w:val="00845C58"/>
    <w:rsid w:val="0084626D"/>
    <w:rsid w:val="0084692E"/>
    <w:rsid w:val="00846B6A"/>
    <w:rsid w:val="00846EE5"/>
    <w:rsid w:val="0084730F"/>
    <w:rsid w:val="00850BFB"/>
    <w:rsid w:val="00853D81"/>
    <w:rsid w:val="00854EB0"/>
    <w:rsid w:val="00856A40"/>
    <w:rsid w:val="00857F96"/>
    <w:rsid w:val="0086088E"/>
    <w:rsid w:val="00860CFB"/>
    <w:rsid w:val="0086204E"/>
    <w:rsid w:val="00862323"/>
    <w:rsid w:val="00863269"/>
    <w:rsid w:val="008666C5"/>
    <w:rsid w:val="00867042"/>
    <w:rsid w:val="00867426"/>
    <w:rsid w:val="00867785"/>
    <w:rsid w:val="008678FE"/>
    <w:rsid w:val="00873C26"/>
    <w:rsid w:val="00874C67"/>
    <w:rsid w:val="00876E43"/>
    <w:rsid w:val="0087752E"/>
    <w:rsid w:val="008809E3"/>
    <w:rsid w:val="00880CE2"/>
    <w:rsid w:val="00880F13"/>
    <w:rsid w:val="00881663"/>
    <w:rsid w:val="0088281A"/>
    <w:rsid w:val="00882B16"/>
    <w:rsid w:val="0088339F"/>
    <w:rsid w:val="00883781"/>
    <w:rsid w:val="00883D21"/>
    <w:rsid w:val="00890922"/>
    <w:rsid w:val="00890E8B"/>
    <w:rsid w:val="00890F3D"/>
    <w:rsid w:val="0089170E"/>
    <w:rsid w:val="0089206F"/>
    <w:rsid w:val="0089451D"/>
    <w:rsid w:val="00894652"/>
    <w:rsid w:val="00894C90"/>
    <w:rsid w:val="008964F8"/>
    <w:rsid w:val="00896877"/>
    <w:rsid w:val="008A3933"/>
    <w:rsid w:val="008A4020"/>
    <w:rsid w:val="008A5335"/>
    <w:rsid w:val="008B05B0"/>
    <w:rsid w:val="008B24F4"/>
    <w:rsid w:val="008B3951"/>
    <w:rsid w:val="008B43DB"/>
    <w:rsid w:val="008B5CFE"/>
    <w:rsid w:val="008B6D8A"/>
    <w:rsid w:val="008B7148"/>
    <w:rsid w:val="008B78DD"/>
    <w:rsid w:val="008B7A11"/>
    <w:rsid w:val="008B7A55"/>
    <w:rsid w:val="008C2308"/>
    <w:rsid w:val="008C2894"/>
    <w:rsid w:val="008C3842"/>
    <w:rsid w:val="008C506A"/>
    <w:rsid w:val="008C5489"/>
    <w:rsid w:val="008C712D"/>
    <w:rsid w:val="008D0166"/>
    <w:rsid w:val="008D1631"/>
    <w:rsid w:val="008D2901"/>
    <w:rsid w:val="008E03DF"/>
    <w:rsid w:val="008E0AD5"/>
    <w:rsid w:val="008E1A41"/>
    <w:rsid w:val="008E2730"/>
    <w:rsid w:val="008E4783"/>
    <w:rsid w:val="008E4FC1"/>
    <w:rsid w:val="008E5CD1"/>
    <w:rsid w:val="008F0068"/>
    <w:rsid w:val="008F063F"/>
    <w:rsid w:val="008F1857"/>
    <w:rsid w:val="008F2BB3"/>
    <w:rsid w:val="008F2DDC"/>
    <w:rsid w:val="008F3B65"/>
    <w:rsid w:val="008F4FB1"/>
    <w:rsid w:val="008F4FC6"/>
    <w:rsid w:val="008F60E3"/>
    <w:rsid w:val="009022B0"/>
    <w:rsid w:val="00903DFC"/>
    <w:rsid w:val="009041DB"/>
    <w:rsid w:val="00905C6A"/>
    <w:rsid w:val="00906571"/>
    <w:rsid w:val="00906827"/>
    <w:rsid w:val="00906F1C"/>
    <w:rsid w:val="009071A3"/>
    <w:rsid w:val="00907271"/>
    <w:rsid w:val="00907EE0"/>
    <w:rsid w:val="009117D3"/>
    <w:rsid w:val="00911D38"/>
    <w:rsid w:val="00911EDB"/>
    <w:rsid w:val="00911F39"/>
    <w:rsid w:val="009128F0"/>
    <w:rsid w:val="0091396E"/>
    <w:rsid w:val="00914588"/>
    <w:rsid w:val="00914EE2"/>
    <w:rsid w:val="00915341"/>
    <w:rsid w:val="009158E7"/>
    <w:rsid w:val="00916BA1"/>
    <w:rsid w:val="009176BF"/>
    <w:rsid w:val="00917F02"/>
    <w:rsid w:val="00921302"/>
    <w:rsid w:val="009235DF"/>
    <w:rsid w:val="009247A3"/>
    <w:rsid w:val="00927226"/>
    <w:rsid w:val="00927E0F"/>
    <w:rsid w:val="00930F0F"/>
    <w:rsid w:val="00932336"/>
    <w:rsid w:val="00933526"/>
    <w:rsid w:val="00933A6D"/>
    <w:rsid w:val="00936DC9"/>
    <w:rsid w:val="009401B6"/>
    <w:rsid w:val="00940FB5"/>
    <w:rsid w:val="0094269D"/>
    <w:rsid w:val="009444A7"/>
    <w:rsid w:val="00944C61"/>
    <w:rsid w:val="00945851"/>
    <w:rsid w:val="009473B0"/>
    <w:rsid w:val="00947590"/>
    <w:rsid w:val="00947CBE"/>
    <w:rsid w:val="00950331"/>
    <w:rsid w:val="00951A1F"/>
    <w:rsid w:val="009531B9"/>
    <w:rsid w:val="009535B7"/>
    <w:rsid w:val="00954446"/>
    <w:rsid w:val="00954B80"/>
    <w:rsid w:val="009573FA"/>
    <w:rsid w:val="009574B7"/>
    <w:rsid w:val="0095778D"/>
    <w:rsid w:val="0096084B"/>
    <w:rsid w:val="009618D1"/>
    <w:rsid w:val="00961CBA"/>
    <w:rsid w:val="00963457"/>
    <w:rsid w:val="00966787"/>
    <w:rsid w:val="009700E4"/>
    <w:rsid w:val="00970638"/>
    <w:rsid w:val="0097149E"/>
    <w:rsid w:val="009716C6"/>
    <w:rsid w:val="00972FB1"/>
    <w:rsid w:val="00973245"/>
    <w:rsid w:val="0097477E"/>
    <w:rsid w:val="00974AE9"/>
    <w:rsid w:val="009753FC"/>
    <w:rsid w:val="00975823"/>
    <w:rsid w:val="00975B00"/>
    <w:rsid w:val="00977102"/>
    <w:rsid w:val="00977884"/>
    <w:rsid w:val="00981009"/>
    <w:rsid w:val="00983110"/>
    <w:rsid w:val="00985578"/>
    <w:rsid w:val="00986158"/>
    <w:rsid w:val="009862D8"/>
    <w:rsid w:val="00990368"/>
    <w:rsid w:val="00994261"/>
    <w:rsid w:val="009A2D32"/>
    <w:rsid w:val="009A30C7"/>
    <w:rsid w:val="009A46D1"/>
    <w:rsid w:val="009A7684"/>
    <w:rsid w:val="009B04CE"/>
    <w:rsid w:val="009B0C6B"/>
    <w:rsid w:val="009B0D7F"/>
    <w:rsid w:val="009B0DD2"/>
    <w:rsid w:val="009B12E4"/>
    <w:rsid w:val="009B325B"/>
    <w:rsid w:val="009B3A71"/>
    <w:rsid w:val="009B44ED"/>
    <w:rsid w:val="009B5601"/>
    <w:rsid w:val="009B69C1"/>
    <w:rsid w:val="009B7799"/>
    <w:rsid w:val="009C0433"/>
    <w:rsid w:val="009C04B6"/>
    <w:rsid w:val="009C08B6"/>
    <w:rsid w:val="009C1988"/>
    <w:rsid w:val="009C2360"/>
    <w:rsid w:val="009C35A7"/>
    <w:rsid w:val="009C589B"/>
    <w:rsid w:val="009C5DA4"/>
    <w:rsid w:val="009C6C08"/>
    <w:rsid w:val="009D09B4"/>
    <w:rsid w:val="009D15A9"/>
    <w:rsid w:val="009D2A12"/>
    <w:rsid w:val="009D5AA6"/>
    <w:rsid w:val="009D5AD4"/>
    <w:rsid w:val="009D61EB"/>
    <w:rsid w:val="009D69F9"/>
    <w:rsid w:val="009E0947"/>
    <w:rsid w:val="009E1F99"/>
    <w:rsid w:val="009E38CE"/>
    <w:rsid w:val="009E5846"/>
    <w:rsid w:val="009E74F1"/>
    <w:rsid w:val="009F1E8D"/>
    <w:rsid w:val="009F362E"/>
    <w:rsid w:val="009F5C2F"/>
    <w:rsid w:val="009F6696"/>
    <w:rsid w:val="009F7386"/>
    <w:rsid w:val="009F7BFF"/>
    <w:rsid w:val="00A0139D"/>
    <w:rsid w:val="00A028CF"/>
    <w:rsid w:val="00A05E78"/>
    <w:rsid w:val="00A07F9F"/>
    <w:rsid w:val="00A116F5"/>
    <w:rsid w:val="00A11D26"/>
    <w:rsid w:val="00A1341F"/>
    <w:rsid w:val="00A134DE"/>
    <w:rsid w:val="00A14247"/>
    <w:rsid w:val="00A156E0"/>
    <w:rsid w:val="00A15F83"/>
    <w:rsid w:val="00A16393"/>
    <w:rsid w:val="00A17E71"/>
    <w:rsid w:val="00A2064D"/>
    <w:rsid w:val="00A2086E"/>
    <w:rsid w:val="00A209EF"/>
    <w:rsid w:val="00A20C11"/>
    <w:rsid w:val="00A2246D"/>
    <w:rsid w:val="00A2260F"/>
    <w:rsid w:val="00A2296A"/>
    <w:rsid w:val="00A244F0"/>
    <w:rsid w:val="00A274C3"/>
    <w:rsid w:val="00A30539"/>
    <w:rsid w:val="00A30669"/>
    <w:rsid w:val="00A30DF3"/>
    <w:rsid w:val="00A32D16"/>
    <w:rsid w:val="00A34C0D"/>
    <w:rsid w:val="00A35E9C"/>
    <w:rsid w:val="00A506AA"/>
    <w:rsid w:val="00A5108A"/>
    <w:rsid w:val="00A54706"/>
    <w:rsid w:val="00A55544"/>
    <w:rsid w:val="00A56A84"/>
    <w:rsid w:val="00A60E50"/>
    <w:rsid w:val="00A61C4F"/>
    <w:rsid w:val="00A63564"/>
    <w:rsid w:val="00A64C30"/>
    <w:rsid w:val="00A6510F"/>
    <w:rsid w:val="00A659E0"/>
    <w:rsid w:val="00A65FFA"/>
    <w:rsid w:val="00A70C65"/>
    <w:rsid w:val="00A72CDC"/>
    <w:rsid w:val="00A730FD"/>
    <w:rsid w:val="00A742D3"/>
    <w:rsid w:val="00A745A9"/>
    <w:rsid w:val="00A759BB"/>
    <w:rsid w:val="00A76553"/>
    <w:rsid w:val="00A76E62"/>
    <w:rsid w:val="00A76EE1"/>
    <w:rsid w:val="00A7791E"/>
    <w:rsid w:val="00A83438"/>
    <w:rsid w:val="00A84ED7"/>
    <w:rsid w:val="00A85758"/>
    <w:rsid w:val="00A87499"/>
    <w:rsid w:val="00A90970"/>
    <w:rsid w:val="00A91F06"/>
    <w:rsid w:val="00A92A87"/>
    <w:rsid w:val="00A92E9A"/>
    <w:rsid w:val="00A9665F"/>
    <w:rsid w:val="00AA0844"/>
    <w:rsid w:val="00AA11D3"/>
    <w:rsid w:val="00AA142B"/>
    <w:rsid w:val="00AA14D3"/>
    <w:rsid w:val="00AA1ACF"/>
    <w:rsid w:val="00AA26AD"/>
    <w:rsid w:val="00AA5530"/>
    <w:rsid w:val="00AA603D"/>
    <w:rsid w:val="00AB1B06"/>
    <w:rsid w:val="00AB3383"/>
    <w:rsid w:val="00AB440C"/>
    <w:rsid w:val="00AB5391"/>
    <w:rsid w:val="00AB5B18"/>
    <w:rsid w:val="00AB7B84"/>
    <w:rsid w:val="00AC1F84"/>
    <w:rsid w:val="00AC2DA5"/>
    <w:rsid w:val="00AC567B"/>
    <w:rsid w:val="00AC5A56"/>
    <w:rsid w:val="00AC60F6"/>
    <w:rsid w:val="00AC6784"/>
    <w:rsid w:val="00AD02E4"/>
    <w:rsid w:val="00AD1629"/>
    <w:rsid w:val="00AD229E"/>
    <w:rsid w:val="00AD2DC5"/>
    <w:rsid w:val="00AD3F1A"/>
    <w:rsid w:val="00AD3FC8"/>
    <w:rsid w:val="00AE0637"/>
    <w:rsid w:val="00AE0724"/>
    <w:rsid w:val="00AE13D2"/>
    <w:rsid w:val="00AE3D58"/>
    <w:rsid w:val="00AE3DAE"/>
    <w:rsid w:val="00AE4152"/>
    <w:rsid w:val="00AE7386"/>
    <w:rsid w:val="00AE7830"/>
    <w:rsid w:val="00AE79D3"/>
    <w:rsid w:val="00AF032D"/>
    <w:rsid w:val="00AF1AF6"/>
    <w:rsid w:val="00AF2373"/>
    <w:rsid w:val="00AF2458"/>
    <w:rsid w:val="00AF3485"/>
    <w:rsid w:val="00AF39BC"/>
    <w:rsid w:val="00AF411E"/>
    <w:rsid w:val="00AF517B"/>
    <w:rsid w:val="00AF6DF3"/>
    <w:rsid w:val="00AF784E"/>
    <w:rsid w:val="00B00B8A"/>
    <w:rsid w:val="00B01D40"/>
    <w:rsid w:val="00B02D8D"/>
    <w:rsid w:val="00B04ED2"/>
    <w:rsid w:val="00B117C4"/>
    <w:rsid w:val="00B12B7A"/>
    <w:rsid w:val="00B143D0"/>
    <w:rsid w:val="00B155AE"/>
    <w:rsid w:val="00B178D4"/>
    <w:rsid w:val="00B20DE0"/>
    <w:rsid w:val="00B244C7"/>
    <w:rsid w:val="00B2749F"/>
    <w:rsid w:val="00B315E0"/>
    <w:rsid w:val="00B32378"/>
    <w:rsid w:val="00B351CE"/>
    <w:rsid w:val="00B35B3F"/>
    <w:rsid w:val="00B37A83"/>
    <w:rsid w:val="00B42BC5"/>
    <w:rsid w:val="00B447B7"/>
    <w:rsid w:val="00B449C3"/>
    <w:rsid w:val="00B44BC2"/>
    <w:rsid w:val="00B44DFA"/>
    <w:rsid w:val="00B451F4"/>
    <w:rsid w:val="00B4550C"/>
    <w:rsid w:val="00B458C3"/>
    <w:rsid w:val="00B45B1D"/>
    <w:rsid w:val="00B460AB"/>
    <w:rsid w:val="00B46BB3"/>
    <w:rsid w:val="00B47B6C"/>
    <w:rsid w:val="00B502F3"/>
    <w:rsid w:val="00B52E05"/>
    <w:rsid w:val="00B53384"/>
    <w:rsid w:val="00B534A0"/>
    <w:rsid w:val="00B54177"/>
    <w:rsid w:val="00B54704"/>
    <w:rsid w:val="00B54CED"/>
    <w:rsid w:val="00B55120"/>
    <w:rsid w:val="00B559DF"/>
    <w:rsid w:val="00B5755C"/>
    <w:rsid w:val="00B61AB7"/>
    <w:rsid w:val="00B62719"/>
    <w:rsid w:val="00B63BB1"/>
    <w:rsid w:val="00B647D5"/>
    <w:rsid w:val="00B64C1B"/>
    <w:rsid w:val="00B65B2D"/>
    <w:rsid w:val="00B665CF"/>
    <w:rsid w:val="00B66B57"/>
    <w:rsid w:val="00B67AA0"/>
    <w:rsid w:val="00B712AE"/>
    <w:rsid w:val="00B7280A"/>
    <w:rsid w:val="00B73391"/>
    <w:rsid w:val="00B73D20"/>
    <w:rsid w:val="00B7520A"/>
    <w:rsid w:val="00B81240"/>
    <w:rsid w:val="00B813F6"/>
    <w:rsid w:val="00B81AC9"/>
    <w:rsid w:val="00B82100"/>
    <w:rsid w:val="00B82E60"/>
    <w:rsid w:val="00B84722"/>
    <w:rsid w:val="00B84BD8"/>
    <w:rsid w:val="00B85A86"/>
    <w:rsid w:val="00B8613A"/>
    <w:rsid w:val="00B866F8"/>
    <w:rsid w:val="00B86C59"/>
    <w:rsid w:val="00B87703"/>
    <w:rsid w:val="00B90899"/>
    <w:rsid w:val="00B908AD"/>
    <w:rsid w:val="00B92698"/>
    <w:rsid w:val="00B95D56"/>
    <w:rsid w:val="00B96F86"/>
    <w:rsid w:val="00BA135A"/>
    <w:rsid w:val="00BA233E"/>
    <w:rsid w:val="00BA3157"/>
    <w:rsid w:val="00BA3196"/>
    <w:rsid w:val="00BA529A"/>
    <w:rsid w:val="00BA6573"/>
    <w:rsid w:val="00BB02A5"/>
    <w:rsid w:val="00BB149B"/>
    <w:rsid w:val="00BB2AFA"/>
    <w:rsid w:val="00BB34F8"/>
    <w:rsid w:val="00BB3833"/>
    <w:rsid w:val="00BB6CF2"/>
    <w:rsid w:val="00BB6F3F"/>
    <w:rsid w:val="00BB76D9"/>
    <w:rsid w:val="00BC005A"/>
    <w:rsid w:val="00BC111F"/>
    <w:rsid w:val="00BC182E"/>
    <w:rsid w:val="00BC3EDF"/>
    <w:rsid w:val="00BC46EA"/>
    <w:rsid w:val="00BC7764"/>
    <w:rsid w:val="00BC7967"/>
    <w:rsid w:val="00BD127C"/>
    <w:rsid w:val="00BD1EA3"/>
    <w:rsid w:val="00BD3BC3"/>
    <w:rsid w:val="00BD3F49"/>
    <w:rsid w:val="00BD4326"/>
    <w:rsid w:val="00BD52A3"/>
    <w:rsid w:val="00BD5D22"/>
    <w:rsid w:val="00BD7B42"/>
    <w:rsid w:val="00BD7F5E"/>
    <w:rsid w:val="00BE187A"/>
    <w:rsid w:val="00BE275F"/>
    <w:rsid w:val="00BE3125"/>
    <w:rsid w:val="00BE4917"/>
    <w:rsid w:val="00BE7561"/>
    <w:rsid w:val="00BF021E"/>
    <w:rsid w:val="00BF0289"/>
    <w:rsid w:val="00BF0AD0"/>
    <w:rsid w:val="00BF457A"/>
    <w:rsid w:val="00BF7AF3"/>
    <w:rsid w:val="00C01492"/>
    <w:rsid w:val="00C02E3D"/>
    <w:rsid w:val="00C03801"/>
    <w:rsid w:val="00C04ECD"/>
    <w:rsid w:val="00C05533"/>
    <w:rsid w:val="00C10B2C"/>
    <w:rsid w:val="00C1367E"/>
    <w:rsid w:val="00C153CD"/>
    <w:rsid w:val="00C1581C"/>
    <w:rsid w:val="00C170A2"/>
    <w:rsid w:val="00C17271"/>
    <w:rsid w:val="00C177DA"/>
    <w:rsid w:val="00C20A89"/>
    <w:rsid w:val="00C20D15"/>
    <w:rsid w:val="00C24755"/>
    <w:rsid w:val="00C268E1"/>
    <w:rsid w:val="00C30050"/>
    <w:rsid w:val="00C312BC"/>
    <w:rsid w:val="00C33C69"/>
    <w:rsid w:val="00C4093C"/>
    <w:rsid w:val="00C41493"/>
    <w:rsid w:val="00C42B96"/>
    <w:rsid w:val="00C438ED"/>
    <w:rsid w:val="00C43FB1"/>
    <w:rsid w:val="00C452CC"/>
    <w:rsid w:val="00C470C6"/>
    <w:rsid w:val="00C478A5"/>
    <w:rsid w:val="00C5101D"/>
    <w:rsid w:val="00C514F6"/>
    <w:rsid w:val="00C54A5D"/>
    <w:rsid w:val="00C54C45"/>
    <w:rsid w:val="00C55FEF"/>
    <w:rsid w:val="00C563D9"/>
    <w:rsid w:val="00C5746C"/>
    <w:rsid w:val="00C6067D"/>
    <w:rsid w:val="00C6103A"/>
    <w:rsid w:val="00C612C8"/>
    <w:rsid w:val="00C61B54"/>
    <w:rsid w:val="00C620CE"/>
    <w:rsid w:val="00C62397"/>
    <w:rsid w:val="00C628B0"/>
    <w:rsid w:val="00C708F5"/>
    <w:rsid w:val="00C70AB2"/>
    <w:rsid w:val="00C74971"/>
    <w:rsid w:val="00C75142"/>
    <w:rsid w:val="00C76CBA"/>
    <w:rsid w:val="00C81532"/>
    <w:rsid w:val="00C81C7E"/>
    <w:rsid w:val="00C82202"/>
    <w:rsid w:val="00C824C6"/>
    <w:rsid w:val="00C83155"/>
    <w:rsid w:val="00C84EE9"/>
    <w:rsid w:val="00C85062"/>
    <w:rsid w:val="00C85D0A"/>
    <w:rsid w:val="00C902A2"/>
    <w:rsid w:val="00C904AE"/>
    <w:rsid w:val="00C92B3F"/>
    <w:rsid w:val="00C93736"/>
    <w:rsid w:val="00C93CBD"/>
    <w:rsid w:val="00C96749"/>
    <w:rsid w:val="00CA32E9"/>
    <w:rsid w:val="00CA4366"/>
    <w:rsid w:val="00CA7497"/>
    <w:rsid w:val="00CB1A60"/>
    <w:rsid w:val="00CB2445"/>
    <w:rsid w:val="00CB2C1B"/>
    <w:rsid w:val="00CB3FCD"/>
    <w:rsid w:val="00CB7268"/>
    <w:rsid w:val="00CC27B9"/>
    <w:rsid w:val="00CC294A"/>
    <w:rsid w:val="00CC3C12"/>
    <w:rsid w:val="00CC3F8C"/>
    <w:rsid w:val="00CC5007"/>
    <w:rsid w:val="00CC68D2"/>
    <w:rsid w:val="00CC78B4"/>
    <w:rsid w:val="00CD34AB"/>
    <w:rsid w:val="00CD6B60"/>
    <w:rsid w:val="00CD7343"/>
    <w:rsid w:val="00CD7E3E"/>
    <w:rsid w:val="00CE0AEA"/>
    <w:rsid w:val="00CE19C6"/>
    <w:rsid w:val="00CE3A79"/>
    <w:rsid w:val="00CE43C5"/>
    <w:rsid w:val="00CE5996"/>
    <w:rsid w:val="00CE65D2"/>
    <w:rsid w:val="00CE7490"/>
    <w:rsid w:val="00CF0883"/>
    <w:rsid w:val="00CF1C0B"/>
    <w:rsid w:val="00CF3F0D"/>
    <w:rsid w:val="00CF4AEE"/>
    <w:rsid w:val="00CF5C21"/>
    <w:rsid w:val="00CF6D25"/>
    <w:rsid w:val="00CF7C08"/>
    <w:rsid w:val="00D0037D"/>
    <w:rsid w:val="00D00F66"/>
    <w:rsid w:val="00D0422A"/>
    <w:rsid w:val="00D04BD4"/>
    <w:rsid w:val="00D057B4"/>
    <w:rsid w:val="00D0614C"/>
    <w:rsid w:val="00D078EE"/>
    <w:rsid w:val="00D12809"/>
    <w:rsid w:val="00D1358B"/>
    <w:rsid w:val="00D1602E"/>
    <w:rsid w:val="00D16750"/>
    <w:rsid w:val="00D20B4C"/>
    <w:rsid w:val="00D22327"/>
    <w:rsid w:val="00D23C4E"/>
    <w:rsid w:val="00D24B5D"/>
    <w:rsid w:val="00D24E4B"/>
    <w:rsid w:val="00D2584D"/>
    <w:rsid w:val="00D274CF"/>
    <w:rsid w:val="00D3055B"/>
    <w:rsid w:val="00D32615"/>
    <w:rsid w:val="00D32D68"/>
    <w:rsid w:val="00D35654"/>
    <w:rsid w:val="00D40C23"/>
    <w:rsid w:val="00D41459"/>
    <w:rsid w:val="00D45481"/>
    <w:rsid w:val="00D45675"/>
    <w:rsid w:val="00D47A07"/>
    <w:rsid w:val="00D47E13"/>
    <w:rsid w:val="00D50E6C"/>
    <w:rsid w:val="00D522E1"/>
    <w:rsid w:val="00D5291B"/>
    <w:rsid w:val="00D54D6A"/>
    <w:rsid w:val="00D55D32"/>
    <w:rsid w:val="00D564D6"/>
    <w:rsid w:val="00D6136B"/>
    <w:rsid w:val="00D6173D"/>
    <w:rsid w:val="00D66271"/>
    <w:rsid w:val="00D66C4D"/>
    <w:rsid w:val="00D674CE"/>
    <w:rsid w:val="00D71B52"/>
    <w:rsid w:val="00D71F74"/>
    <w:rsid w:val="00D72098"/>
    <w:rsid w:val="00D72DEC"/>
    <w:rsid w:val="00D764AA"/>
    <w:rsid w:val="00D7690A"/>
    <w:rsid w:val="00D80353"/>
    <w:rsid w:val="00D80DB0"/>
    <w:rsid w:val="00D82EAA"/>
    <w:rsid w:val="00D852E4"/>
    <w:rsid w:val="00D91EA4"/>
    <w:rsid w:val="00D91F24"/>
    <w:rsid w:val="00D92F7F"/>
    <w:rsid w:val="00D93294"/>
    <w:rsid w:val="00D943C6"/>
    <w:rsid w:val="00D955BB"/>
    <w:rsid w:val="00D97C9A"/>
    <w:rsid w:val="00DA15C7"/>
    <w:rsid w:val="00DA2BF2"/>
    <w:rsid w:val="00DA3D87"/>
    <w:rsid w:val="00DA641E"/>
    <w:rsid w:val="00DA79D3"/>
    <w:rsid w:val="00DB04E8"/>
    <w:rsid w:val="00DB23C0"/>
    <w:rsid w:val="00DB3382"/>
    <w:rsid w:val="00DB375C"/>
    <w:rsid w:val="00DB3DED"/>
    <w:rsid w:val="00DB6EB5"/>
    <w:rsid w:val="00DB6FE3"/>
    <w:rsid w:val="00DB780D"/>
    <w:rsid w:val="00DC0D42"/>
    <w:rsid w:val="00DC2ABE"/>
    <w:rsid w:val="00DC3836"/>
    <w:rsid w:val="00DC491A"/>
    <w:rsid w:val="00DC5CB0"/>
    <w:rsid w:val="00DD0ACB"/>
    <w:rsid w:val="00DD1BB3"/>
    <w:rsid w:val="00DD589C"/>
    <w:rsid w:val="00DD784B"/>
    <w:rsid w:val="00DE1ED5"/>
    <w:rsid w:val="00DE3623"/>
    <w:rsid w:val="00DE5DE0"/>
    <w:rsid w:val="00DE7777"/>
    <w:rsid w:val="00DF0555"/>
    <w:rsid w:val="00DF140C"/>
    <w:rsid w:val="00DF5212"/>
    <w:rsid w:val="00DF630A"/>
    <w:rsid w:val="00DF6E89"/>
    <w:rsid w:val="00DF70EB"/>
    <w:rsid w:val="00E024D5"/>
    <w:rsid w:val="00E04977"/>
    <w:rsid w:val="00E04D17"/>
    <w:rsid w:val="00E0527F"/>
    <w:rsid w:val="00E058F7"/>
    <w:rsid w:val="00E072AB"/>
    <w:rsid w:val="00E10F06"/>
    <w:rsid w:val="00E1284A"/>
    <w:rsid w:val="00E13C6E"/>
    <w:rsid w:val="00E15A05"/>
    <w:rsid w:val="00E163B1"/>
    <w:rsid w:val="00E17317"/>
    <w:rsid w:val="00E212F5"/>
    <w:rsid w:val="00E2311A"/>
    <w:rsid w:val="00E24FE8"/>
    <w:rsid w:val="00E26153"/>
    <w:rsid w:val="00E263F5"/>
    <w:rsid w:val="00E277C9"/>
    <w:rsid w:val="00E33330"/>
    <w:rsid w:val="00E33B41"/>
    <w:rsid w:val="00E3501C"/>
    <w:rsid w:val="00E35DA4"/>
    <w:rsid w:val="00E37A19"/>
    <w:rsid w:val="00E40A67"/>
    <w:rsid w:val="00E41039"/>
    <w:rsid w:val="00E4393D"/>
    <w:rsid w:val="00E465BB"/>
    <w:rsid w:val="00E469A4"/>
    <w:rsid w:val="00E5228A"/>
    <w:rsid w:val="00E52DE6"/>
    <w:rsid w:val="00E6260D"/>
    <w:rsid w:val="00E63A6F"/>
    <w:rsid w:val="00E6437B"/>
    <w:rsid w:val="00E75346"/>
    <w:rsid w:val="00E75692"/>
    <w:rsid w:val="00E75DC4"/>
    <w:rsid w:val="00E76820"/>
    <w:rsid w:val="00E7798C"/>
    <w:rsid w:val="00E8309E"/>
    <w:rsid w:val="00E83EF2"/>
    <w:rsid w:val="00E84CAC"/>
    <w:rsid w:val="00E8607A"/>
    <w:rsid w:val="00E862A0"/>
    <w:rsid w:val="00E9206C"/>
    <w:rsid w:val="00E9221B"/>
    <w:rsid w:val="00E9320B"/>
    <w:rsid w:val="00E9555A"/>
    <w:rsid w:val="00E95624"/>
    <w:rsid w:val="00E96179"/>
    <w:rsid w:val="00E97381"/>
    <w:rsid w:val="00EA0445"/>
    <w:rsid w:val="00EA1A5E"/>
    <w:rsid w:val="00EA4ECE"/>
    <w:rsid w:val="00EA67ED"/>
    <w:rsid w:val="00EA7907"/>
    <w:rsid w:val="00EB035E"/>
    <w:rsid w:val="00EB06F2"/>
    <w:rsid w:val="00EB1E8A"/>
    <w:rsid w:val="00EB3730"/>
    <w:rsid w:val="00EB37D5"/>
    <w:rsid w:val="00EB4B8E"/>
    <w:rsid w:val="00EB7186"/>
    <w:rsid w:val="00EC0453"/>
    <w:rsid w:val="00EC0518"/>
    <w:rsid w:val="00EC4DBF"/>
    <w:rsid w:val="00EC540A"/>
    <w:rsid w:val="00EC566C"/>
    <w:rsid w:val="00EC689C"/>
    <w:rsid w:val="00EC6C01"/>
    <w:rsid w:val="00ED21FC"/>
    <w:rsid w:val="00ED4613"/>
    <w:rsid w:val="00ED6E3D"/>
    <w:rsid w:val="00ED7086"/>
    <w:rsid w:val="00ED777D"/>
    <w:rsid w:val="00EE26DB"/>
    <w:rsid w:val="00EE2EBD"/>
    <w:rsid w:val="00EE31FD"/>
    <w:rsid w:val="00EE5954"/>
    <w:rsid w:val="00EE5D66"/>
    <w:rsid w:val="00EE6152"/>
    <w:rsid w:val="00EF13DD"/>
    <w:rsid w:val="00EF1730"/>
    <w:rsid w:val="00EF17DB"/>
    <w:rsid w:val="00EF320B"/>
    <w:rsid w:val="00EF3EBD"/>
    <w:rsid w:val="00EF5E89"/>
    <w:rsid w:val="00EF5F95"/>
    <w:rsid w:val="00EF63F7"/>
    <w:rsid w:val="00EF65A8"/>
    <w:rsid w:val="00EF66E5"/>
    <w:rsid w:val="00F003F6"/>
    <w:rsid w:val="00F01E27"/>
    <w:rsid w:val="00F01EEB"/>
    <w:rsid w:val="00F05473"/>
    <w:rsid w:val="00F069CD"/>
    <w:rsid w:val="00F0766A"/>
    <w:rsid w:val="00F11E41"/>
    <w:rsid w:val="00F12BF3"/>
    <w:rsid w:val="00F13B78"/>
    <w:rsid w:val="00F236D4"/>
    <w:rsid w:val="00F23C02"/>
    <w:rsid w:val="00F242A9"/>
    <w:rsid w:val="00F24628"/>
    <w:rsid w:val="00F27609"/>
    <w:rsid w:val="00F30DF9"/>
    <w:rsid w:val="00F331B7"/>
    <w:rsid w:val="00F3462F"/>
    <w:rsid w:val="00F34DB1"/>
    <w:rsid w:val="00F35D10"/>
    <w:rsid w:val="00F361B5"/>
    <w:rsid w:val="00F3717A"/>
    <w:rsid w:val="00F40C25"/>
    <w:rsid w:val="00F410EC"/>
    <w:rsid w:val="00F428F3"/>
    <w:rsid w:val="00F43E87"/>
    <w:rsid w:val="00F4494A"/>
    <w:rsid w:val="00F454C3"/>
    <w:rsid w:val="00F46266"/>
    <w:rsid w:val="00F477AA"/>
    <w:rsid w:val="00F56A90"/>
    <w:rsid w:val="00F573E6"/>
    <w:rsid w:val="00F601AB"/>
    <w:rsid w:val="00F60B83"/>
    <w:rsid w:val="00F6142E"/>
    <w:rsid w:val="00F650A5"/>
    <w:rsid w:val="00F65978"/>
    <w:rsid w:val="00F67ED2"/>
    <w:rsid w:val="00F71E18"/>
    <w:rsid w:val="00F74014"/>
    <w:rsid w:val="00F75865"/>
    <w:rsid w:val="00F779A0"/>
    <w:rsid w:val="00F77A5E"/>
    <w:rsid w:val="00F804C9"/>
    <w:rsid w:val="00F80740"/>
    <w:rsid w:val="00F80CB3"/>
    <w:rsid w:val="00F8300E"/>
    <w:rsid w:val="00F83624"/>
    <w:rsid w:val="00F83666"/>
    <w:rsid w:val="00F845F0"/>
    <w:rsid w:val="00F86704"/>
    <w:rsid w:val="00F86B31"/>
    <w:rsid w:val="00F87604"/>
    <w:rsid w:val="00F931E9"/>
    <w:rsid w:val="00F93F17"/>
    <w:rsid w:val="00F94238"/>
    <w:rsid w:val="00FA0EA9"/>
    <w:rsid w:val="00FA246B"/>
    <w:rsid w:val="00FA3162"/>
    <w:rsid w:val="00FA40FA"/>
    <w:rsid w:val="00FA444A"/>
    <w:rsid w:val="00FA6910"/>
    <w:rsid w:val="00FB1238"/>
    <w:rsid w:val="00FB4518"/>
    <w:rsid w:val="00FB487B"/>
    <w:rsid w:val="00FB5570"/>
    <w:rsid w:val="00FB55B7"/>
    <w:rsid w:val="00FB731D"/>
    <w:rsid w:val="00FB7411"/>
    <w:rsid w:val="00FC3146"/>
    <w:rsid w:val="00FC4703"/>
    <w:rsid w:val="00FC5B53"/>
    <w:rsid w:val="00FC6C3B"/>
    <w:rsid w:val="00FC71E8"/>
    <w:rsid w:val="00FD044C"/>
    <w:rsid w:val="00FD1495"/>
    <w:rsid w:val="00FD20B8"/>
    <w:rsid w:val="00FD4D16"/>
    <w:rsid w:val="00FD5C24"/>
    <w:rsid w:val="00FD6A73"/>
    <w:rsid w:val="00FD7C02"/>
    <w:rsid w:val="00FE080C"/>
    <w:rsid w:val="00FE284D"/>
    <w:rsid w:val="00FF15A3"/>
    <w:rsid w:val="00FF5ACB"/>
    <w:rsid w:val="00FF60CE"/>
    <w:rsid w:val="00FF6B18"/>
    <w:rsid w:val="00FF7336"/>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0F"/>
    <w:rPr>
      <w:rFonts w:ascii="Arial" w:hAnsi="Arial"/>
    </w:rPr>
  </w:style>
  <w:style w:type="paragraph" w:styleId="Heading1">
    <w:name w:val="heading 1"/>
    <w:basedOn w:val="Normal"/>
    <w:next w:val="Normal"/>
    <w:link w:val="Heading1Char"/>
    <w:uiPriority w:val="9"/>
    <w:qFormat/>
    <w:rsid w:val="00745EEE"/>
    <w:pPr>
      <w:keepNext/>
      <w:keepLines/>
      <w:spacing w:before="480" w:after="120"/>
      <w:outlineLvl w:val="0"/>
    </w:pPr>
    <w:rPr>
      <w:rFonts w:eastAsiaTheme="majorEastAsia" w:cstheme="majorBidi"/>
      <w:bCs/>
      <w:color w:val="00A18E"/>
      <w:sz w:val="32"/>
      <w:szCs w:val="28"/>
    </w:rPr>
  </w:style>
  <w:style w:type="paragraph" w:styleId="Heading2">
    <w:name w:val="heading 2"/>
    <w:basedOn w:val="Normal"/>
    <w:next w:val="Normal"/>
    <w:link w:val="Heading2Char"/>
    <w:uiPriority w:val="9"/>
    <w:qFormat/>
    <w:rsid w:val="00745EEE"/>
    <w:pPr>
      <w:keepNext/>
      <w:keepLines/>
      <w:spacing w:before="200" w:after="120"/>
      <w:outlineLvl w:val="1"/>
    </w:pPr>
    <w:rPr>
      <w:rFonts w:eastAsiaTheme="majorEastAsia" w:cstheme="majorBidi"/>
      <w:bCs/>
      <w:sz w:val="28"/>
      <w:szCs w:val="26"/>
    </w:rPr>
  </w:style>
  <w:style w:type="paragraph" w:styleId="Heading3">
    <w:name w:val="heading 3"/>
    <w:basedOn w:val="Normal"/>
    <w:next w:val="Normal"/>
    <w:link w:val="Heading3Char"/>
    <w:uiPriority w:val="9"/>
    <w:qFormat/>
    <w:rsid w:val="00745EEE"/>
    <w:pPr>
      <w:keepNext/>
      <w:keepLines/>
      <w:spacing w:before="200" w:after="60"/>
      <w:outlineLvl w:val="2"/>
    </w:pPr>
    <w:rPr>
      <w:rFonts w:eastAsiaTheme="majorEastAsia" w:cstheme="majorBidi"/>
      <w:b/>
      <w:bCs/>
      <w:color w:val="404040" w:themeColor="text1" w:themeTint="BF"/>
      <w:sz w:val="24"/>
    </w:rPr>
  </w:style>
  <w:style w:type="paragraph" w:styleId="Heading4">
    <w:name w:val="heading 4"/>
    <w:basedOn w:val="Normal"/>
    <w:next w:val="Normal"/>
    <w:link w:val="Heading4Char"/>
    <w:uiPriority w:val="9"/>
    <w:qFormat/>
    <w:rsid w:val="00745EEE"/>
    <w:pPr>
      <w:keepNext/>
      <w:keepLines/>
      <w:spacing w:before="200" w:after="0"/>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CC29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42"/>
  </w:style>
  <w:style w:type="paragraph" w:styleId="Footer">
    <w:name w:val="footer"/>
    <w:basedOn w:val="Normal"/>
    <w:link w:val="FooterChar"/>
    <w:uiPriority w:val="99"/>
    <w:unhideWhenUsed/>
    <w:rsid w:val="008C3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42"/>
  </w:style>
  <w:style w:type="paragraph" w:styleId="BalloonText">
    <w:name w:val="Balloon Text"/>
    <w:basedOn w:val="Normal"/>
    <w:link w:val="BalloonTextChar"/>
    <w:uiPriority w:val="99"/>
    <w:semiHidden/>
    <w:unhideWhenUsed/>
    <w:rsid w:val="008C3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42"/>
    <w:rPr>
      <w:rFonts w:ascii="Tahoma" w:hAnsi="Tahoma" w:cs="Tahoma"/>
      <w:sz w:val="16"/>
      <w:szCs w:val="16"/>
    </w:rPr>
  </w:style>
  <w:style w:type="paragraph" w:styleId="Title">
    <w:name w:val="Title"/>
    <w:basedOn w:val="Normal"/>
    <w:next w:val="Normal"/>
    <w:link w:val="TitleChar"/>
    <w:uiPriority w:val="10"/>
    <w:qFormat/>
    <w:rsid w:val="00745EEE"/>
    <w:pPr>
      <w:spacing w:after="300" w:line="240" w:lineRule="auto"/>
      <w:contextualSpacing/>
    </w:pPr>
    <w:rPr>
      <w:rFonts w:eastAsiaTheme="majorEastAsia" w:cstheme="majorBidi"/>
      <w:color w:val="7F7F7F" w:themeColor="text1" w:themeTint="80"/>
      <w:spacing w:val="5"/>
      <w:kern w:val="28"/>
      <w:sz w:val="56"/>
      <w:szCs w:val="52"/>
    </w:rPr>
  </w:style>
  <w:style w:type="character" w:customStyle="1" w:styleId="TitleChar">
    <w:name w:val="Title Char"/>
    <w:basedOn w:val="DefaultParagraphFont"/>
    <w:link w:val="Title"/>
    <w:uiPriority w:val="10"/>
    <w:rsid w:val="00745EEE"/>
    <w:rPr>
      <w:rFonts w:ascii="Arial" w:eastAsiaTheme="majorEastAsia" w:hAnsi="Arial" w:cstheme="majorBidi"/>
      <w:color w:val="7F7F7F" w:themeColor="text1" w:themeTint="80"/>
      <w:spacing w:val="5"/>
      <w:kern w:val="28"/>
      <w:sz w:val="56"/>
      <w:szCs w:val="52"/>
    </w:rPr>
  </w:style>
  <w:style w:type="paragraph" w:styleId="Subtitle">
    <w:name w:val="Subtitle"/>
    <w:basedOn w:val="Normal"/>
    <w:next w:val="Normal"/>
    <w:link w:val="SubtitleChar"/>
    <w:uiPriority w:val="11"/>
    <w:qFormat/>
    <w:rsid w:val="00FF15A3"/>
    <w:pPr>
      <w:numPr>
        <w:ilvl w:val="1"/>
      </w:numPr>
    </w:pPr>
    <w:rPr>
      <w:rFonts w:eastAsiaTheme="majorEastAsia" w:cstheme="majorBidi"/>
      <w:iCs/>
      <w:color w:val="595959" w:themeColor="text1" w:themeTint="A6"/>
      <w:spacing w:val="15"/>
      <w:sz w:val="36"/>
      <w:szCs w:val="24"/>
    </w:rPr>
  </w:style>
  <w:style w:type="character" w:customStyle="1" w:styleId="SubtitleChar">
    <w:name w:val="Subtitle Char"/>
    <w:basedOn w:val="DefaultParagraphFont"/>
    <w:link w:val="Subtitle"/>
    <w:uiPriority w:val="11"/>
    <w:rsid w:val="00FF15A3"/>
    <w:rPr>
      <w:rFonts w:ascii="Arial" w:eastAsiaTheme="majorEastAsia" w:hAnsi="Arial" w:cstheme="majorBidi"/>
      <w:iCs/>
      <w:color w:val="595959" w:themeColor="text1" w:themeTint="A6"/>
      <w:spacing w:val="15"/>
      <w:sz w:val="36"/>
      <w:szCs w:val="24"/>
    </w:rPr>
  </w:style>
  <w:style w:type="character" w:styleId="Strong">
    <w:name w:val="Strong"/>
    <w:basedOn w:val="DefaultParagraphFont"/>
    <w:uiPriority w:val="22"/>
    <w:qFormat/>
    <w:rsid w:val="00745EEE"/>
    <w:rPr>
      <w:b/>
      <w:bCs/>
    </w:rPr>
  </w:style>
  <w:style w:type="paragraph" w:styleId="Quote">
    <w:name w:val="Quote"/>
    <w:basedOn w:val="Normal"/>
    <w:next w:val="Normal"/>
    <w:link w:val="QuoteChar"/>
    <w:uiPriority w:val="29"/>
    <w:qFormat/>
    <w:rsid w:val="00745EEE"/>
    <w:pPr>
      <w:spacing w:before="360" w:after="360"/>
      <w:ind w:left="567" w:right="567"/>
      <w:contextualSpacing/>
    </w:pPr>
    <w:rPr>
      <w:i/>
      <w:iCs/>
      <w:color w:val="0065A4"/>
    </w:rPr>
  </w:style>
  <w:style w:type="character" w:customStyle="1" w:styleId="QuoteChar">
    <w:name w:val="Quote Char"/>
    <w:basedOn w:val="DefaultParagraphFont"/>
    <w:link w:val="Quote"/>
    <w:uiPriority w:val="29"/>
    <w:rsid w:val="00745EEE"/>
    <w:rPr>
      <w:rFonts w:ascii="Arial" w:hAnsi="Arial"/>
      <w:i/>
      <w:iCs/>
      <w:color w:val="0065A4"/>
    </w:rPr>
  </w:style>
  <w:style w:type="character" w:customStyle="1" w:styleId="Heading1Char">
    <w:name w:val="Heading 1 Char"/>
    <w:basedOn w:val="DefaultParagraphFont"/>
    <w:link w:val="Heading1"/>
    <w:uiPriority w:val="9"/>
    <w:rsid w:val="00745EEE"/>
    <w:rPr>
      <w:rFonts w:ascii="Arial" w:eastAsiaTheme="majorEastAsia" w:hAnsi="Arial" w:cstheme="majorBidi"/>
      <w:bCs/>
      <w:color w:val="00A18E"/>
      <w:sz w:val="32"/>
      <w:szCs w:val="28"/>
    </w:rPr>
  </w:style>
  <w:style w:type="character" w:customStyle="1" w:styleId="Heading2Char">
    <w:name w:val="Heading 2 Char"/>
    <w:basedOn w:val="DefaultParagraphFont"/>
    <w:link w:val="Heading2"/>
    <w:uiPriority w:val="9"/>
    <w:rsid w:val="00745EEE"/>
    <w:rPr>
      <w:rFonts w:ascii="Arial" w:eastAsiaTheme="majorEastAsia" w:hAnsi="Arial" w:cstheme="majorBidi"/>
      <w:bCs/>
      <w:sz w:val="28"/>
      <w:szCs w:val="26"/>
    </w:rPr>
  </w:style>
  <w:style w:type="character" w:customStyle="1" w:styleId="Heading3Char">
    <w:name w:val="Heading 3 Char"/>
    <w:basedOn w:val="DefaultParagraphFont"/>
    <w:link w:val="Heading3"/>
    <w:uiPriority w:val="9"/>
    <w:rsid w:val="00745EEE"/>
    <w:rPr>
      <w:rFonts w:ascii="Arial" w:eastAsiaTheme="majorEastAsia" w:hAnsi="Arial" w:cstheme="majorBidi"/>
      <w:b/>
      <w:bCs/>
      <w:color w:val="404040" w:themeColor="text1" w:themeTint="BF"/>
      <w:sz w:val="24"/>
    </w:rPr>
  </w:style>
  <w:style w:type="character" w:customStyle="1" w:styleId="Heading4Char">
    <w:name w:val="Heading 4 Char"/>
    <w:basedOn w:val="DefaultParagraphFont"/>
    <w:link w:val="Heading4"/>
    <w:uiPriority w:val="9"/>
    <w:rsid w:val="00745EEE"/>
    <w:rPr>
      <w:rFonts w:ascii="Arial" w:eastAsiaTheme="majorEastAsia" w:hAnsi="Arial" w:cstheme="majorBidi"/>
      <w:b/>
      <w:bCs/>
      <w:iCs/>
      <w:color w:val="595959" w:themeColor="text1" w:themeTint="A6"/>
    </w:rPr>
  </w:style>
  <w:style w:type="paragraph" w:styleId="ListParagraph">
    <w:name w:val="List Paragraph"/>
    <w:aliases w:val="Bullet 1,Bullet list,Recommendation,List Paragraph1"/>
    <w:basedOn w:val="Normal"/>
    <w:link w:val="ListParagraphChar"/>
    <w:uiPriority w:val="34"/>
    <w:qFormat/>
    <w:rsid w:val="00745EEE"/>
    <w:pPr>
      <w:numPr>
        <w:numId w:val="3"/>
      </w:numPr>
      <w:contextualSpacing/>
    </w:pPr>
  </w:style>
  <w:style w:type="table" w:styleId="TableGrid">
    <w:name w:val="Table Grid"/>
    <w:basedOn w:val="TableNormal"/>
    <w:uiPriority w:val="39"/>
    <w:rsid w:val="00257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5">
    <w:name w:val="Dark List Accent 5"/>
    <w:basedOn w:val="TableNormal"/>
    <w:uiPriority w:val="70"/>
    <w:rsid w:val="00D0037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DBAsimpletable">
    <w:name w:val="MDBA simple table"/>
    <w:basedOn w:val="TableNormal"/>
    <w:uiPriority w:val="99"/>
    <w:rsid w:val="000452DE"/>
    <w:pPr>
      <w:spacing w:after="0" w:line="240" w:lineRule="auto"/>
    </w:pPr>
    <w:rPr>
      <w:rFonts w:ascii="Arial" w:hAnsi="Arial"/>
    </w:rPr>
    <w:tblPr>
      <w:tblStyleRow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firstRow">
      <w:pPr>
        <w:wordWrap/>
        <w:spacing w:beforeLines="0" w:before="240" w:beforeAutospacing="0"/>
      </w:pPr>
      <w:rPr>
        <w:rFonts w:ascii="Arial" w:hAnsi="Arial"/>
        <w:b/>
        <w:color w:val="005048"/>
        <w:sz w:val="22"/>
      </w:rPr>
      <w:tblPr/>
      <w:tcPr>
        <w:shd w:val="clear" w:color="auto" w:fill="71D1BA"/>
      </w:tcPr>
    </w:tblStylePr>
    <w:tblStylePr w:type="lastRow">
      <w:tblPr/>
      <w:tcPr>
        <w:shd w:val="clear" w:color="auto" w:fill="BFBFBF" w:themeFill="background1" w:themeFillShade="BF"/>
      </w:tcPr>
    </w:tblStylePr>
    <w:tblStylePr w:type="band1Horz">
      <w:tblPr/>
      <w:tcPr>
        <w:shd w:val="clear" w:color="auto" w:fill="ECECEC"/>
      </w:tcPr>
    </w:tblStylePr>
  </w:style>
  <w:style w:type="paragraph" w:styleId="Caption">
    <w:name w:val="caption"/>
    <w:basedOn w:val="Normal"/>
    <w:next w:val="Normal"/>
    <w:link w:val="CaptionChar"/>
    <w:uiPriority w:val="35"/>
    <w:unhideWhenUsed/>
    <w:qFormat/>
    <w:rsid w:val="00D5291B"/>
    <w:pPr>
      <w:spacing w:line="240" w:lineRule="auto"/>
    </w:pPr>
    <w:rPr>
      <w:b/>
      <w:bCs/>
      <w:color w:val="00A18E"/>
      <w:sz w:val="18"/>
      <w:szCs w:val="18"/>
    </w:rPr>
  </w:style>
  <w:style w:type="character" w:styleId="SubtleReference">
    <w:name w:val="Subtle Reference"/>
    <w:basedOn w:val="DefaultParagraphFont"/>
    <w:uiPriority w:val="31"/>
    <w:qFormat/>
    <w:rsid w:val="008E5CD1"/>
    <w:rPr>
      <w:smallCaps/>
      <w:color w:val="E8941A"/>
      <w:u w:val="single"/>
    </w:rPr>
  </w:style>
  <w:style w:type="character" w:styleId="IntenseReference">
    <w:name w:val="Intense Reference"/>
    <w:basedOn w:val="DefaultParagraphFont"/>
    <w:uiPriority w:val="32"/>
    <w:qFormat/>
    <w:rsid w:val="008E5CD1"/>
    <w:rPr>
      <w:b/>
      <w:bCs/>
      <w:smallCaps/>
      <w:color w:val="E8941A"/>
      <w:spacing w:val="5"/>
      <w:u w:val="single"/>
    </w:rPr>
  </w:style>
  <w:style w:type="character" w:styleId="IntenseEmphasis">
    <w:name w:val="Intense Emphasis"/>
    <w:basedOn w:val="DefaultParagraphFont"/>
    <w:uiPriority w:val="21"/>
    <w:qFormat/>
    <w:rsid w:val="008E5CD1"/>
    <w:rPr>
      <w:b/>
      <w:bCs/>
      <w:i/>
      <w:iCs/>
      <w:color w:val="0065A4"/>
    </w:rPr>
  </w:style>
  <w:style w:type="character" w:styleId="Hyperlink">
    <w:name w:val="Hyperlink"/>
    <w:basedOn w:val="DefaultParagraphFont"/>
    <w:uiPriority w:val="99"/>
    <w:unhideWhenUsed/>
    <w:rsid w:val="00A759BB"/>
    <w:rPr>
      <w:color w:val="0000FF" w:themeColor="hyperlink"/>
      <w:u w:val="single"/>
    </w:rPr>
  </w:style>
  <w:style w:type="character" w:styleId="FootnoteReference">
    <w:name w:val="footnote reference"/>
    <w:aliases w:val="(NECG) Footnote Reference"/>
    <w:basedOn w:val="DefaultParagraphFont"/>
    <w:uiPriority w:val="99"/>
    <w:unhideWhenUsed/>
    <w:rsid w:val="00094732"/>
    <w:rPr>
      <w:vertAlign w:val="superscript"/>
    </w:rPr>
  </w:style>
  <w:style w:type="paragraph" w:styleId="FootnoteText">
    <w:name w:val="footnote text"/>
    <w:aliases w:val="Footnote Text Char2,Footnote Text Char1 Char,Footnote Text Char Char Char,(NECG) Footnote Text Char Char,Footnote Text Char Char1,(NECG) Footnote Text Char1,(NECG) Footnote Text Char1 Char,(NECG) Footnote Text,ALTS FOOTNOTE"/>
    <w:basedOn w:val="Normal"/>
    <w:link w:val="FootnoteTextChar"/>
    <w:unhideWhenUsed/>
    <w:rsid w:val="00094732"/>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NECG) Footnote Text Char Char Char,Footnote Text Char Char1 Char,(NECG) Footnote Text Char1 Char1,(NECG) Footnote Text Char1 Char Char"/>
    <w:basedOn w:val="DefaultParagraphFont"/>
    <w:link w:val="FootnoteText"/>
    <w:rsid w:val="00094732"/>
    <w:rPr>
      <w:rFonts w:ascii="Arial" w:hAnsi="Arial"/>
      <w:sz w:val="20"/>
      <w:szCs w:val="20"/>
    </w:rPr>
  </w:style>
  <w:style w:type="paragraph" w:styleId="Revision">
    <w:name w:val="Revision"/>
    <w:hidden/>
    <w:uiPriority w:val="99"/>
    <w:semiHidden/>
    <w:rsid w:val="00283A85"/>
    <w:pPr>
      <w:spacing w:after="0" w:line="240" w:lineRule="auto"/>
    </w:pPr>
    <w:rPr>
      <w:rFonts w:ascii="Arial" w:hAnsi="Arial"/>
    </w:rPr>
  </w:style>
  <w:style w:type="character" w:styleId="CommentReference">
    <w:name w:val="annotation reference"/>
    <w:basedOn w:val="DefaultParagraphFont"/>
    <w:uiPriority w:val="99"/>
    <w:semiHidden/>
    <w:unhideWhenUsed/>
    <w:rsid w:val="002A3AC8"/>
    <w:rPr>
      <w:sz w:val="16"/>
      <w:szCs w:val="16"/>
    </w:rPr>
  </w:style>
  <w:style w:type="paragraph" w:styleId="CommentText">
    <w:name w:val="annotation text"/>
    <w:basedOn w:val="Normal"/>
    <w:link w:val="CommentTextChar"/>
    <w:uiPriority w:val="99"/>
    <w:unhideWhenUsed/>
    <w:rsid w:val="002A3AC8"/>
    <w:pPr>
      <w:spacing w:line="240" w:lineRule="auto"/>
    </w:pPr>
    <w:rPr>
      <w:sz w:val="20"/>
      <w:szCs w:val="20"/>
    </w:rPr>
  </w:style>
  <w:style w:type="character" w:customStyle="1" w:styleId="CommentTextChar">
    <w:name w:val="Comment Text Char"/>
    <w:basedOn w:val="DefaultParagraphFont"/>
    <w:link w:val="CommentText"/>
    <w:uiPriority w:val="99"/>
    <w:rsid w:val="002A3A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3AC8"/>
    <w:rPr>
      <w:b/>
      <w:bCs/>
    </w:rPr>
  </w:style>
  <w:style w:type="character" w:customStyle="1" w:styleId="CommentSubjectChar">
    <w:name w:val="Comment Subject Char"/>
    <w:basedOn w:val="CommentTextChar"/>
    <w:link w:val="CommentSubject"/>
    <w:uiPriority w:val="99"/>
    <w:semiHidden/>
    <w:rsid w:val="002A3AC8"/>
    <w:rPr>
      <w:rFonts w:ascii="Arial" w:hAnsi="Arial"/>
      <w:b/>
      <w:bCs/>
      <w:sz w:val="20"/>
      <w:szCs w:val="20"/>
    </w:rPr>
  </w:style>
  <w:style w:type="paragraph" w:customStyle="1" w:styleId="Default">
    <w:name w:val="Default"/>
    <w:rsid w:val="005E191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541C"/>
    <w:rPr>
      <w:color w:val="800080" w:themeColor="followedHyperlink"/>
      <w:u w:val="single"/>
    </w:rPr>
  </w:style>
  <w:style w:type="character" w:customStyle="1" w:styleId="A1">
    <w:name w:val="A1"/>
    <w:uiPriority w:val="99"/>
    <w:rsid w:val="007E646D"/>
    <w:rPr>
      <w:rFonts w:cs="HelveticaNeueLT Com 35 Th"/>
      <w:color w:val="221E1F"/>
      <w:sz w:val="18"/>
      <w:szCs w:val="18"/>
    </w:rPr>
  </w:style>
  <w:style w:type="paragraph" w:customStyle="1" w:styleId="Pa0">
    <w:name w:val="Pa0"/>
    <w:basedOn w:val="Default"/>
    <w:next w:val="Default"/>
    <w:uiPriority w:val="99"/>
    <w:rsid w:val="00696934"/>
    <w:pPr>
      <w:spacing w:line="241" w:lineRule="atLeast"/>
    </w:pPr>
    <w:rPr>
      <w:rFonts w:ascii="HelveticaNeueLT Com 35 Th" w:hAnsi="HelveticaNeueLT Com 35 Th" w:cstheme="minorBidi"/>
      <w:color w:val="auto"/>
    </w:rPr>
  </w:style>
  <w:style w:type="character" w:customStyle="1" w:styleId="fontweightbold1">
    <w:name w:val="fontweightbold1"/>
    <w:basedOn w:val="DefaultParagraphFont"/>
    <w:rsid w:val="0017721F"/>
    <w:rPr>
      <w:b/>
      <w:bCs/>
    </w:rPr>
  </w:style>
  <w:style w:type="character" w:styleId="Emphasis">
    <w:name w:val="Emphasis"/>
    <w:basedOn w:val="DefaultParagraphFont"/>
    <w:uiPriority w:val="20"/>
    <w:qFormat/>
    <w:rsid w:val="001D6CCA"/>
    <w:rPr>
      <w:i/>
      <w:iCs/>
    </w:rPr>
  </w:style>
  <w:style w:type="table" w:customStyle="1" w:styleId="MDBAsimpletable1">
    <w:name w:val="MDBA simple table1"/>
    <w:basedOn w:val="TableNormal"/>
    <w:uiPriority w:val="99"/>
    <w:rsid w:val="00F573E6"/>
    <w:pPr>
      <w:spacing w:after="0" w:line="240" w:lineRule="auto"/>
    </w:pPr>
    <w:rPr>
      <w:rFonts w:ascii="Arial" w:hAnsi="Arial"/>
    </w:rPr>
    <w:tblPr>
      <w:tblStyleRow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firstRow">
      <w:pPr>
        <w:wordWrap/>
        <w:spacing w:beforeLines="0" w:beforeAutospacing="0"/>
      </w:pPr>
      <w:rPr>
        <w:rFonts w:ascii="Arial" w:hAnsi="Arial"/>
        <w:b/>
        <w:color w:val="005048"/>
        <w:sz w:val="22"/>
      </w:rPr>
      <w:tblPr/>
      <w:tcPr>
        <w:shd w:val="clear" w:color="auto" w:fill="71D1BA"/>
      </w:tcPr>
    </w:tblStylePr>
    <w:tblStylePr w:type="lastRow">
      <w:tblPr/>
      <w:tcPr>
        <w:shd w:val="clear" w:color="auto" w:fill="BFBFBF" w:themeFill="background1" w:themeFillShade="BF"/>
      </w:tcPr>
    </w:tblStylePr>
    <w:tblStylePr w:type="band1Horz">
      <w:tblPr/>
      <w:tcPr>
        <w:shd w:val="clear" w:color="auto" w:fill="ECECEC"/>
      </w:tcPr>
    </w:tblStylePr>
  </w:style>
  <w:style w:type="paragraph" w:styleId="PlainText">
    <w:name w:val="Plain Text"/>
    <w:basedOn w:val="Normal"/>
    <w:link w:val="PlainTextChar"/>
    <w:uiPriority w:val="99"/>
    <w:semiHidden/>
    <w:unhideWhenUsed/>
    <w:rsid w:val="00874C6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74C67"/>
    <w:rPr>
      <w:rFonts w:ascii="Calibri" w:hAnsi="Calibri" w:cs="Consolas"/>
      <w:szCs w:val="21"/>
    </w:rPr>
  </w:style>
  <w:style w:type="character" w:customStyle="1" w:styleId="CaptionChar">
    <w:name w:val="Caption Char"/>
    <w:link w:val="Caption"/>
    <w:uiPriority w:val="35"/>
    <w:rsid w:val="0034337B"/>
    <w:rPr>
      <w:rFonts w:ascii="Arial" w:hAnsi="Arial"/>
      <w:b/>
      <w:bCs/>
      <w:color w:val="00A18E"/>
      <w:sz w:val="18"/>
      <w:szCs w:val="18"/>
    </w:rPr>
  </w:style>
  <w:style w:type="paragraph" w:customStyle="1" w:styleId="TableH1">
    <w:name w:val="Table H1"/>
    <w:basedOn w:val="Default"/>
    <w:link w:val="TableH1Char"/>
    <w:qFormat/>
    <w:rsid w:val="0034337B"/>
    <w:pPr>
      <w:spacing w:line="276" w:lineRule="auto"/>
      <w:jc w:val="center"/>
    </w:pPr>
    <w:rPr>
      <w:rFonts w:ascii="Arial Narrow" w:hAnsi="Arial Narrow" w:cstheme="minorBidi"/>
      <w:b/>
      <w:color w:val="FFFFFF" w:themeColor="background1"/>
      <w:lang w:eastAsia="en-AU"/>
    </w:rPr>
  </w:style>
  <w:style w:type="character" w:customStyle="1" w:styleId="TableH1Char">
    <w:name w:val="Table H1 Char"/>
    <w:basedOn w:val="DefaultParagraphFont"/>
    <w:link w:val="TableH1"/>
    <w:rsid w:val="0034337B"/>
    <w:rPr>
      <w:rFonts w:ascii="Arial Narrow" w:hAnsi="Arial Narrow"/>
      <w:b/>
      <w:color w:val="FFFFFF" w:themeColor="background1"/>
      <w:sz w:val="24"/>
      <w:szCs w:val="24"/>
      <w:lang w:eastAsia="en-AU"/>
    </w:rPr>
  </w:style>
  <w:style w:type="paragraph" w:customStyle="1" w:styleId="Bullettable">
    <w:name w:val="Bullet table"/>
    <w:basedOn w:val="ListParagraph"/>
    <w:link w:val="BullettableChar"/>
    <w:qFormat/>
    <w:rsid w:val="0034337B"/>
    <w:pPr>
      <w:numPr>
        <w:numId w:val="1"/>
      </w:numPr>
      <w:tabs>
        <w:tab w:val="left" w:pos="567"/>
      </w:tabs>
      <w:spacing w:before="200" w:after="0" w:line="240" w:lineRule="auto"/>
    </w:pPr>
    <w:rPr>
      <w:rFonts w:ascii="Arial Narrow" w:hAnsi="Arial Narrow" w:cs="Arial"/>
    </w:rPr>
  </w:style>
  <w:style w:type="character" w:customStyle="1" w:styleId="BullettableChar">
    <w:name w:val="Bullet table Char"/>
    <w:basedOn w:val="DefaultParagraphFont"/>
    <w:link w:val="Bullettable"/>
    <w:rsid w:val="0034337B"/>
    <w:rPr>
      <w:rFonts w:ascii="Arial Narrow" w:hAnsi="Arial Narrow" w:cs="Arial"/>
    </w:rPr>
  </w:style>
  <w:style w:type="paragraph" w:customStyle="1" w:styleId="Tablebullet">
    <w:name w:val="Table bullet"/>
    <w:basedOn w:val="ListParagraph"/>
    <w:link w:val="TablebulletChar"/>
    <w:qFormat/>
    <w:rsid w:val="0034337B"/>
    <w:pPr>
      <w:numPr>
        <w:numId w:val="2"/>
      </w:numPr>
      <w:tabs>
        <w:tab w:val="left" w:pos="176"/>
        <w:tab w:val="left" w:pos="567"/>
      </w:tabs>
      <w:spacing w:before="60" w:after="0" w:line="240" w:lineRule="auto"/>
      <w:ind w:left="176" w:hanging="176"/>
    </w:pPr>
    <w:rPr>
      <w:rFonts w:ascii="Arial Narrow" w:hAnsi="Arial Narrow"/>
    </w:rPr>
  </w:style>
  <w:style w:type="character" w:customStyle="1" w:styleId="TablebulletChar">
    <w:name w:val="Table bullet Char"/>
    <w:basedOn w:val="DefaultParagraphFont"/>
    <w:link w:val="Tablebullet"/>
    <w:rsid w:val="0034337B"/>
    <w:rPr>
      <w:rFonts w:ascii="Arial Narrow" w:hAnsi="Arial Narrow"/>
    </w:rPr>
  </w:style>
  <w:style w:type="paragraph" w:customStyle="1" w:styleId="cross-ref">
    <w:name w:val="cross-ref"/>
    <w:basedOn w:val="Normal"/>
    <w:link w:val="cross-refChar"/>
    <w:qFormat/>
    <w:rsid w:val="00A1341F"/>
    <w:rPr>
      <w:color w:val="31849B" w:themeColor="accent5" w:themeShade="BF"/>
      <w:u w:val="dotted"/>
    </w:rPr>
  </w:style>
  <w:style w:type="character" w:customStyle="1" w:styleId="cross-refChar">
    <w:name w:val="cross-ref Char"/>
    <w:basedOn w:val="DefaultParagraphFont"/>
    <w:link w:val="cross-ref"/>
    <w:rsid w:val="00A1341F"/>
    <w:rPr>
      <w:rFonts w:ascii="Arial" w:hAnsi="Arial"/>
      <w:color w:val="31849B" w:themeColor="accent5" w:themeShade="BF"/>
      <w:u w:val="dotted"/>
    </w:rPr>
  </w:style>
  <w:style w:type="character" w:customStyle="1" w:styleId="ListParagraphChar">
    <w:name w:val="List Paragraph Char"/>
    <w:aliases w:val="Bullet 1 Char,Bullet list Char,Recommendation Char,List Paragraph1 Char"/>
    <w:basedOn w:val="DefaultParagraphFont"/>
    <w:link w:val="ListParagraph"/>
    <w:uiPriority w:val="34"/>
    <w:rsid w:val="006839B2"/>
    <w:rPr>
      <w:rFonts w:ascii="Arial" w:hAnsi="Arial"/>
    </w:rPr>
  </w:style>
  <w:style w:type="paragraph" w:styleId="BodyText">
    <w:name w:val="Body Text"/>
    <w:basedOn w:val="Normal"/>
    <w:link w:val="BodyTextChar"/>
    <w:uiPriority w:val="1"/>
    <w:qFormat/>
    <w:rsid w:val="003F70E4"/>
    <w:pPr>
      <w:autoSpaceDE w:val="0"/>
      <w:autoSpaceDN w:val="0"/>
      <w:adjustRightInd w:val="0"/>
      <w:spacing w:after="0" w:line="240" w:lineRule="auto"/>
      <w:ind w:left="1863" w:hanging="371"/>
    </w:pPr>
    <w:rPr>
      <w:rFonts w:ascii="Times New Roman" w:hAnsi="Times New Roman" w:cs="Times New Roman"/>
    </w:rPr>
  </w:style>
  <w:style w:type="character" w:customStyle="1" w:styleId="BodyTextChar">
    <w:name w:val="Body Text Char"/>
    <w:basedOn w:val="DefaultParagraphFont"/>
    <w:link w:val="BodyText"/>
    <w:uiPriority w:val="1"/>
    <w:rsid w:val="003F70E4"/>
    <w:rPr>
      <w:rFonts w:ascii="Times New Roman" w:hAnsi="Times New Roman" w:cs="Times New Roman"/>
    </w:rPr>
  </w:style>
  <w:style w:type="paragraph" w:styleId="TOCHeading">
    <w:name w:val="TOC Heading"/>
    <w:basedOn w:val="Heading1"/>
    <w:next w:val="Normal"/>
    <w:uiPriority w:val="39"/>
    <w:unhideWhenUsed/>
    <w:qFormat/>
    <w:rsid w:val="00A116F5"/>
    <w:pPr>
      <w:spacing w:before="240" w:after="0" w:line="259" w:lineRule="auto"/>
      <w:outlineLvl w:val="9"/>
    </w:pPr>
    <w:rPr>
      <w:rFonts w:asciiTheme="majorHAnsi" w:hAnsiTheme="majorHAnsi"/>
      <w:bCs w:val="0"/>
      <w:color w:val="365F91" w:themeColor="accent1" w:themeShade="BF"/>
      <w:szCs w:val="32"/>
      <w:lang w:val="en-US"/>
    </w:rPr>
  </w:style>
  <w:style w:type="paragraph" w:styleId="TOC1">
    <w:name w:val="toc 1"/>
    <w:basedOn w:val="Normal"/>
    <w:next w:val="Normal"/>
    <w:autoRedefine/>
    <w:uiPriority w:val="39"/>
    <w:unhideWhenUsed/>
    <w:rsid w:val="00A116F5"/>
    <w:pPr>
      <w:spacing w:after="100"/>
    </w:pPr>
  </w:style>
  <w:style w:type="paragraph" w:styleId="TOC2">
    <w:name w:val="toc 2"/>
    <w:basedOn w:val="Normal"/>
    <w:next w:val="Normal"/>
    <w:autoRedefine/>
    <w:uiPriority w:val="39"/>
    <w:unhideWhenUsed/>
    <w:rsid w:val="00A116F5"/>
    <w:pPr>
      <w:spacing w:after="100"/>
      <w:ind w:left="220"/>
    </w:pPr>
  </w:style>
  <w:style w:type="paragraph" w:styleId="TOC3">
    <w:name w:val="toc 3"/>
    <w:basedOn w:val="Normal"/>
    <w:next w:val="Normal"/>
    <w:autoRedefine/>
    <w:uiPriority w:val="39"/>
    <w:unhideWhenUsed/>
    <w:rsid w:val="00A116F5"/>
    <w:pPr>
      <w:spacing w:after="100"/>
      <w:ind w:left="440"/>
    </w:pPr>
  </w:style>
  <w:style w:type="character" w:customStyle="1" w:styleId="Heading5Char">
    <w:name w:val="Heading 5 Char"/>
    <w:basedOn w:val="DefaultParagraphFont"/>
    <w:link w:val="Heading5"/>
    <w:uiPriority w:val="9"/>
    <w:rsid w:val="00CC294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03">
      <w:bodyDiv w:val="1"/>
      <w:marLeft w:val="0"/>
      <w:marRight w:val="0"/>
      <w:marTop w:val="0"/>
      <w:marBottom w:val="0"/>
      <w:divBdr>
        <w:top w:val="none" w:sz="0" w:space="0" w:color="auto"/>
        <w:left w:val="none" w:sz="0" w:space="0" w:color="auto"/>
        <w:bottom w:val="none" w:sz="0" w:space="0" w:color="auto"/>
        <w:right w:val="none" w:sz="0" w:space="0" w:color="auto"/>
      </w:divBdr>
    </w:div>
    <w:div w:id="102697761">
      <w:bodyDiv w:val="1"/>
      <w:marLeft w:val="0"/>
      <w:marRight w:val="0"/>
      <w:marTop w:val="0"/>
      <w:marBottom w:val="0"/>
      <w:divBdr>
        <w:top w:val="none" w:sz="0" w:space="0" w:color="auto"/>
        <w:left w:val="none" w:sz="0" w:space="0" w:color="auto"/>
        <w:bottom w:val="none" w:sz="0" w:space="0" w:color="auto"/>
        <w:right w:val="none" w:sz="0" w:space="0" w:color="auto"/>
      </w:divBdr>
    </w:div>
    <w:div w:id="327826785">
      <w:bodyDiv w:val="1"/>
      <w:marLeft w:val="0"/>
      <w:marRight w:val="0"/>
      <w:marTop w:val="0"/>
      <w:marBottom w:val="0"/>
      <w:divBdr>
        <w:top w:val="none" w:sz="0" w:space="0" w:color="auto"/>
        <w:left w:val="none" w:sz="0" w:space="0" w:color="auto"/>
        <w:bottom w:val="none" w:sz="0" w:space="0" w:color="auto"/>
        <w:right w:val="none" w:sz="0" w:space="0" w:color="auto"/>
      </w:divBdr>
    </w:div>
    <w:div w:id="401608613">
      <w:bodyDiv w:val="1"/>
      <w:marLeft w:val="0"/>
      <w:marRight w:val="0"/>
      <w:marTop w:val="0"/>
      <w:marBottom w:val="0"/>
      <w:divBdr>
        <w:top w:val="none" w:sz="0" w:space="0" w:color="auto"/>
        <w:left w:val="none" w:sz="0" w:space="0" w:color="auto"/>
        <w:bottom w:val="none" w:sz="0" w:space="0" w:color="auto"/>
        <w:right w:val="none" w:sz="0" w:space="0" w:color="auto"/>
      </w:divBdr>
    </w:div>
    <w:div w:id="470563010">
      <w:bodyDiv w:val="1"/>
      <w:marLeft w:val="0"/>
      <w:marRight w:val="0"/>
      <w:marTop w:val="0"/>
      <w:marBottom w:val="0"/>
      <w:divBdr>
        <w:top w:val="none" w:sz="0" w:space="0" w:color="auto"/>
        <w:left w:val="none" w:sz="0" w:space="0" w:color="auto"/>
        <w:bottom w:val="none" w:sz="0" w:space="0" w:color="auto"/>
        <w:right w:val="none" w:sz="0" w:space="0" w:color="auto"/>
      </w:divBdr>
    </w:div>
    <w:div w:id="481700036">
      <w:bodyDiv w:val="1"/>
      <w:marLeft w:val="0"/>
      <w:marRight w:val="0"/>
      <w:marTop w:val="0"/>
      <w:marBottom w:val="0"/>
      <w:divBdr>
        <w:top w:val="none" w:sz="0" w:space="0" w:color="auto"/>
        <w:left w:val="none" w:sz="0" w:space="0" w:color="auto"/>
        <w:bottom w:val="none" w:sz="0" w:space="0" w:color="auto"/>
        <w:right w:val="none" w:sz="0" w:space="0" w:color="auto"/>
      </w:divBdr>
    </w:div>
    <w:div w:id="483814955">
      <w:bodyDiv w:val="1"/>
      <w:marLeft w:val="0"/>
      <w:marRight w:val="0"/>
      <w:marTop w:val="0"/>
      <w:marBottom w:val="0"/>
      <w:divBdr>
        <w:top w:val="none" w:sz="0" w:space="0" w:color="auto"/>
        <w:left w:val="none" w:sz="0" w:space="0" w:color="auto"/>
        <w:bottom w:val="none" w:sz="0" w:space="0" w:color="auto"/>
        <w:right w:val="none" w:sz="0" w:space="0" w:color="auto"/>
      </w:divBdr>
      <w:divsChild>
        <w:div w:id="183639263">
          <w:marLeft w:val="0"/>
          <w:marRight w:val="0"/>
          <w:marTop w:val="180"/>
          <w:marBottom w:val="180"/>
          <w:divBdr>
            <w:top w:val="none" w:sz="0" w:space="0" w:color="auto"/>
            <w:left w:val="none" w:sz="0" w:space="0" w:color="auto"/>
            <w:bottom w:val="none" w:sz="0" w:space="0" w:color="auto"/>
            <w:right w:val="none" w:sz="0" w:space="0" w:color="auto"/>
          </w:divBdr>
          <w:divsChild>
            <w:div w:id="1017080670">
              <w:marLeft w:val="-225"/>
              <w:marRight w:val="-225"/>
              <w:marTop w:val="0"/>
              <w:marBottom w:val="0"/>
              <w:divBdr>
                <w:top w:val="none" w:sz="0" w:space="0" w:color="auto"/>
                <w:left w:val="none" w:sz="0" w:space="0" w:color="auto"/>
                <w:bottom w:val="none" w:sz="0" w:space="0" w:color="auto"/>
                <w:right w:val="none" w:sz="0" w:space="0" w:color="auto"/>
              </w:divBdr>
              <w:divsChild>
                <w:div w:id="994575265">
                  <w:marLeft w:val="0"/>
                  <w:marRight w:val="0"/>
                  <w:marTop w:val="0"/>
                  <w:marBottom w:val="0"/>
                  <w:divBdr>
                    <w:top w:val="none" w:sz="0" w:space="0" w:color="auto"/>
                    <w:left w:val="none" w:sz="0" w:space="0" w:color="auto"/>
                    <w:bottom w:val="none" w:sz="0" w:space="0" w:color="auto"/>
                    <w:right w:val="none" w:sz="0" w:space="0" w:color="auto"/>
                  </w:divBdr>
                  <w:divsChild>
                    <w:div w:id="453138329">
                      <w:marLeft w:val="-225"/>
                      <w:marRight w:val="-225"/>
                      <w:marTop w:val="0"/>
                      <w:marBottom w:val="0"/>
                      <w:divBdr>
                        <w:top w:val="none" w:sz="0" w:space="0" w:color="auto"/>
                        <w:left w:val="none" w:sz="0" w:space="0" w:color="auto"/>
                        <w:bottom w:val="none" w:sz="0" w:space="0" w:color="auto"/>
                        <w:right w:val="none" w:sz="0" w:space="0" w:color="auto"/>
                      </w:divBdr>
                      <w:divsChild>
                        <w:div w:id="2071032527">
                          <w:marLeft w:val="0"/>
                          <w:marRight w:val="0"/>
                          <w:marTop w:val="0"/>
                          <w:marBottom w:val="0"/>
                          <w:divBdr>
                            <w:top w:val="none" w:sz="0" w:space="0" w:color="auto"/>
                            <w:left w:val="none" w:sz="0" w:space="0" w:color="auto"/>
                            <w:bottom w:val="none" w:sz="0" w:space="0" w:color="auto"/>
                            <w:right w:val="none" w:sz="0" w:space="0" w:color="auto"/>
                          </w:divBdr>
                          <w:divsChild>
                            <w:div w:id="1798521413">
                              <w:marLeft w:val="0"/>
                              <w:marRight w:val="0"/>
                              <w:marTop w:val="0"/>
                              <w:marBottom w:val="0"/>
                              <w:divBdr>
                                <w:top w:val="none" w:sz="0" w:space="0" w:color="auto"/>
                                <w:left w:val="none" w:sz="0" w:space="0" w:color="auto"/>
                                <w:bottom w:val="none" w:sz="0" w:space="0" w:color="auto"/>
                                <w:right w:val="none" w:sz="0" w:space="0" w:color="auto"/>
                              </w:divBdr>
                              <w:divsChild>
                                <w:div w:id="1634365117">
                                  <w:marLeft w:val="0"/>
                                  <w:marRight w:val="0"/>
                                  <w:marTop w:val="0"/>
                                  <w:marBottom w:val="0"/>
                                  <w:divBdr>
                                    <w:top w:val="none" w:sz="0" w:space="0" w:color="auto"/>
                                    <w:left w:val="none" w:sz="0" w:space="0" w:color="auto"/>
                                    <w:bottom w:val="none" w:sz="0" w:space="0" w:color="auto"/>
                                    <w:right w:val="none" w:sz="0" w:space="0" w:color="auto"/>
                                  </w:divBdr>
                                  <w:divsChild>
                                    <w:div w:id="1417509929">
                                      <w:marLeft w:val="0"/>
                                      <w:marRight w:val="0"/>
                                      <w:marTop w:val="0"/>
                                      <w:marBottom w:val="0"/>
                                      <w:divBdr>
                                        <w:top w:val="none" w:sz="0" w:space="0" w:color="auto"/>
                                        <w:left w:val="none" w:sz="0" w:space="0" w:color="auto"/>
                                        <w:bottom w:val="none" w:sz="0" w:space="0" w:color="auto"/>
                                        <w:right w:val="none" w:sz="0" w:space="0" w:color="auto"/>
                                      </w:divBdr>
                                      <w:divsChild>
                                        <w:div w:id="359667395">
                                          <w:marLeft w:val="0"/>
                                          <w:marRight w:val="0"/>
                                          <w:marTop w:val="0"/>
                                          <w:marBottom w:val="0"/>
                                          <w:divBdr>
                                            <w:top w:val="none" w:sz="0" w:space="0" w:color="auto"/>
                                            <w:left w:val="none" w:sz="0" w:space="0" w:color="auto"/>
                                            <w:bottom w:val="none" w:sz="0" w:space="0" w:color="auto"/>
                                            <w:right w:val="none" w:sz="0" w:space="0" w:color="auto"/>
                                          </w:divBdr>
                                          <w:divsChild>
                                            <w:div w:id="491214354">
                                              <w:marLeft w:val="0"/>
                                              <w:marRight w:val="0"/>
                                              <w:marTop w:val="0"/>
                                              <w:marBottom w:val="0"/>
                                              <w:divBdr>
                                                <w:top w:val="none" w:sz="0" w:space="0" w:color="auto"/>
                                                <w:left w:val="none" w:sz="0" w:space="0" w:color="auto"/>
                                                <w:bottom w:val="none" w:sz="0" w:space="0" w:color="auto"/>
                                                <w:right w:val="none" w:sz="0" w:space="0" w:color="auto"/>
                                              </w:divBdr>
                                              <w:divsChild>
                                                <w:div w:id="612902932">
                                                  <w:marLeft w:val="0"/>
                                                  <w:marRight w:val="0"/>
                                                  <w:marTop w:val="0"/>
                                                  <w:marBottom w:val="0"/>
                                                  <w:divBdr>
                                                    <w:top w:val="none" w:sz="0" w:space="0" w:color="auto"/>
                                                    <w:left w:val="none" w:sz="0" w:space="0" w:color="auto"/>
                                                    <w:bottom w:val="none" w:sz="0" w:space="0" w:color="auto"/>
                                                    <w:right w:val="none" w:sz="0" w:space="0" w:color="auto"/>
                                                  </w:divBdr>
                                                  <w:divsChild>
                                                    <w:div w:id="19358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977031">
      <w:bodyDiv w:val="1"/>
      <w:marLeft w:val="0"/>
      <w:marRight w:val="0"/>
      <w:marTop w:val="0"/>
      <w:marBottom w:val="0"/>
      <w:divBdr>
        <w:top w:val="none" w:sz="0" w:space="0" w:color="auto"/>
        <w:left w:val="none" w:sz="0" w:space="0" w:color="auto"/>
        <w:bottom w:val="none" w:sz="0" w:space="0" w:color="auto"/>
        <w:right w:val="none" w:sz="0" w:space="0" w:color="auto"/>
      </w:divBdr>
    </w:div>
    <w:div w:id="533155466">
      <w:bodyDiv w:val="1"/>
      <w:marLeft w:val="0"/>
      <w:marRight w:val="0"/>
      <w:marTop w:val="0"/>
      <w:marBottom w:val="0"/>
      <w:divBdr>
        <w:top w:val="none" w:sz="0" w:space="0" w:color="auto"/>
        <w:left w:val="none" w:sz="0" w:space="0" w:color="auto"/>
        <w:bottom w:val="none" w:sz="0" w:space="0" w:color="auto"/>
        <w:right w:val="none" w:sz="0" w:space="0" w:color="auto"/>
      </w:divBdr>
    </w:div>
    <w:div w:id="586958995">
      <w:bodyDiv w:val="1"/>
      <w:marLeft w:val="0"/>
      <w:marRight w:val="0"/>
      <w:marTop w:val="0"/>
      <w:marBottom w:val="0"/>
      <w:divBdr>
        <w:top w:val="none" w:sz="0" w:space="0" w:color="auto"/>
        <w:left w:val="none" w:sz="0" w:space="0" w:color="auto"/>
        <w:bottom w:val="none" w:sz="0" w:space="0" w:color="auto"/>
        <w:right w:val="none" w:sz="0" w:space="0" w:color="auto"/>
      </w:divBdr>
    </w:div>
    <w:div w:id="590285734">
      <w:bodyDiv w:val="1"/>
      <w:marLeft w:val="0"/>
      <w:marRight w:val="0"/>
      <w:marTop w:val="0"/>
      <w:marBottom w:val="0"/>
      <w:divBdr>
        <w:top w:val="none" w:sz="0" w:space="0" w:color="auto"/>
        <w:left w:val="none" w:sz="0" w:space="0" w:color="auto"/>
        <w:bottom w:val="none" w:sz="0" w:space="0" w:color="auto"/>
        <w:right w:val="none" w:sz="0" w:space="0" w:color="auto"/>
      </w:divBdr>
    </w:div>
    <w:div w:id="612135928">
      <w:bodyDiv w:val="1"/>
      <w:marLeft w:val="0"/>
      <w:marRight w:val="0"/>
      <w:marTop w:val="0"/>
      <w:marBottom w:val="0"/>
      <w:divBdr>
        <w:top w:val="none" w:sz="0" w:space="0" w:color="auto"/>
        <w:left w:val="none" w:sz="0" w:space="0" w:color="auto"/>
        <w:bottom w:val="none" w:sz="0" w:space="0" w:color="auto"/>
        <w:right w:val="none" w:sz="0" w:space="0" w:color="auto"/>
      </w:divBdr>
    </w:div>
    <w:div w:id="638649209">
      <w:bodyDiv w:val="1"/>
      <w:marLeft w:val="0"/>
      <w:marRight w:val="0"/>
      <w:marTop w:val="0"/>
      <w:marBottom w:val="0"/>
      <w:divBdr>
        <w:top w:val="none" w:sz="0" w:space="0" w:color="auto"/>
        <w:left w:val="none" w:sz="0" w:space="0" w:color="auto"/>
        <w:bottom w:val="none" w:sz="0" w:space="0" w:color="auto"/>
        <w:right w:val="none" w:sz="0" w:space="0" w:color="auto"/>
      </w:divBdr>
    </w:div>
    <w:div w:id="651565085">
      <w:bodyDiv w:val="1"/>
      <w:marLeft w:val="0"/>
      <w:marRight w:val="0"/>
      <w:marTop w:val="0"/>
      <w:marBottom w:val="0"/>
      <w:divBdr>
        <w:top w:val="none" w:sz="0" w:space="0" w:color="auto"/>
        <w:left w:val="none" w:sz="0" w:space="0" w:color="auto"/>
        <w:bottom w:val="none" w:sz="0" w:space="0" w:color="auto"/>
        <w:right w:val="none" w:sz="0" w:space="0" w:color="auto"/>
      </w:divBdr>
    </w:div>
    <w:div w:id="664094096">
      <w:bodyDiv w:val="1"/>
      <w:marLeft w:val="0"/>
      <w:marRight w:val="0"/>
      <w:marTop w:val="0"/>
      <w:marBottom w:val="0"/>
      <w:divBdr>
        <w:top w:val="none" w:sz="0" w:space="0" w:color="auto"/>
        <w:left w:val="none" w:sz="0" w:space="0" w:color="auto"/>
        <w:bottom w:val="none" w:sz="0" w:space="0" w:color="auto"/>
        <w:right w:val="none" w:sz="0" w:space="0" w:color="auto"/>
      </w:divBdr>
    </w:div>
    <w:div w:id="664936924">
      <w:bodyDiv w:val="1"/>
      <w:marLeft w:val="0"/>
      <w:marRight w:val="0"/>
      <w:marTop w:val="0"/>
      <w:marBottom w:val="0"/>
      <w:divBdr>
        <w:top w:val="none" w:sz="0" w:space="0" w:color="auto"/>
        <w:left w:val="none" w:sz="0" w:space="0" w:color="auto"/>
        <w:bottom w:val="none" w:sz="0" w:space="0" w:color="auto"/>
        <w:right w:val="none" w:sz="0" w:space="0" w:color="auto"/>
      </w:divBdr>
      <w:divsChild>
        <w:div w:id="486439055">
          <w:marLeft w:val="0"/>
          <w:marRight w:val="0"/>
          <w:marTop w:val="0"/>
          <w:marBottom w:val="0"/>
          <w:divBdr>
            <w:top w:val="none" w:sz="0" w:space="0" w:color="auto"/>
            <w:left w:val="none" w:sz="0" w:space="0" w:color="auto"/>
            <w:bottom w:val="none" w:sz="0" w:space="0" w:color="auto"/>
            <w:right w:val="none" w:sz="0" w:space="0" w:color="auto"/>
          </w:divBdr>
          <w:divsChild>
            <w:div w:id="1351033188">
              <w:marLeft w:val="0"/>
              <w:marRight w:val="0"/>
              <w:marTop w:val="0"/>
              <w:marBottom w:val="0"/>
              <w:divBdr>
                <w:top w:val="none" w:sz="0" w:space="0" w:color="auto"/>
                <w:left w:val="none" w:sz="0" w:space="0" w:color="auto"/>
                <w:bottom w:val="none" w:sz="0" w:space="0" w:color="auto"/>
                <w:right w:val="none" w:sz="0" w:space="0" w:color="auto"/>
              </w:divBdr>
              <w:divsChild>
                <w:div w:id="14609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2083">
      <w:bodyDiv w:val="1"/>
      <w:marLeft w:val="0"/>
      <w:marRight w:val="0"/>
      <w:marTop w:val="0"/>
      <w:marBottom w:val="0"/>
      <w:divBdr>
        <w:top w:val="none" w:sz="0" w:space="0" w:color="auto"/>
        <w:left w:val="none" w:sz="0" w:space="0" w:color="auto"/>
        <w:bottom w:val="none" w:sz="0" w:space="0" w:color="auto"/>
        <w:right w:val="none" w:sz="0" w:space="0" w:color="auto"/>
      </w:divBdr>
    </w:div>
    <w:div w:id="715545147">
      <w:bodyDiv w:val="1"/>
      <w:marLeft w:val="0"/>
      <w:marRight w:val="0"/>
      <w:marTop w:val="0"/>
      <w:marBottom w:val="0"/>
      <w:divBdr>
        <w:top w:val="none" w:sz="0" w:space="0" w:color="auto"/>
        <w:left w:val="none" w:sz="0" w:space="0" w:color="auto"/>
        <w:bottom w:val="none" w:sz="0" w:space="0" w:color="auto"/>
        <w:right w:val="none" w:sz="0" w:space="0" w:color="auto"/>
      </w:divBdr>
    </w:div>
    <w:div w:id="804738595">
      <w:bodyDiv w:val="1"/>
      <w:marLeft w:val="0"/>
      <w:marRight w:val="0"/>
      <w:marTop w:val="0"/>
      <w:marBottom w:val="0"/>
      <w:divBdr>
        <w:top w:val="none" w:sz="0" w:space="0" w:color="auto"/>
        <w:left w:val="none" w:sz="0" w:space="0" w:color="auto"/>
        <w:bottom w:val="none" w:sz="0" w:space="0" w:color="auto"/>
        <w:right w:val="none" w:sz="0" w:space="0" w:color="auto"/>
      </w:divBdr>
    </w:div>
    <w:div w:id="855458293">
      <w:bodyDiv w:val="1"/>
      <w:marLeft w:val="0"/>
      <w:marRight w:val="0"/>
      <w:marTop w:val="0"/>
      <w:marBottom w:val="0"/>
      <w:divBdr>
        <w:top w:val="none" w:sz="0" w:space="0" w:color="auto"/>
        <w:left w:val="none" w:sz="0" w:space="0" w:color="auto"/>
        <w:bottom w:val="none" w:sz="0" w:space="0" w:color="auto"/>
        <w:right w:val="none" w:sz="0" w:space="0" w:color="auto"/>
      </w:divBdr>
    </w:div>
    <w:div w:id="903298433">
      <w:bodyDiv w:val="1"/>
      <w:marLeft w:val="0"/>
      <w:marRight w:val="0"/>
      <w:marTop w:val="0"/>
      <w:marBottom w:val="0"/>
      <w:divBdr>
        <w:top w:val="none" w:sz="0" w:space="0" w:color="auto"/>
        <w:left w:val="none" w:sz="0" w:space="0" w:color="auto"/>
        <w:bottom w:val="none" w:sz="0" w:space="0" w:color="auto"/>
        <w:right w:val="none" w:sz="0" w:space="0" w:color="auto"/>
      </w:divBdr>
    </w:div>
    <w:div w:id="951788634">
      <w:bodyDiv w:val="1"/>
      <w:marLeft w:val="0"/>
      <w:marRight w:val="0"/>
      <w:marTop w:val="0"/>
      <w:marBottom w:val="0"/>
      <w:divBdr>
        <w:top w:val="none" w:sz="0" w:space="0" w:color="auto"/>
        <w:left w:val="none" w:sz="0" w:space="0" w:color="auto"/>
        <w:bottom w:val="none" w:sz="0" w:space="0" w:color="auto"/>
        <w:right w:val="none" w:sz="0" w:space="0" w:color="auto"/>
      </w:divBdr>
    </w:div>
    <w:div w:id="1109936710">
      <w:bodyDiv w:val="1"/>
      <w:marLeft w:val="0"/>
      <w:marRight w:val="0"/>
      <w:marTop w:val="0"/>
      <w:marBottom w:val="0"/>
      <w:divBdr>
        <w:top w:val="none" w:sz="0" w:space="0" w:color="auto"/>
        <w:left w:val="none" w:sz="0" w:space="0" w:color="auto"/>
        <w:bottom w:val="none" w:sz="0" w:space="0" w:color="auto"/>
        <w:right w:val="none" w:sz="0" w:space="0" w:color="auto"/>
      </w:divBdr>
    </w:div>
    <w:div w:id="1153520614">
      <w:bodyDiv w:val="1"/>
      <w:marLeft w:val="0"/>
      <w:marRight w:val="0"/>
      <w:marTop w:val="0"/>
      <w:marBottom w:val="0"/>
      <w:divBdr>
        <w:top w:val="none" w:sz="0" w:space="0" w:color="auto"/>
        <w:left w:val="none" w:sz="0" w:space="0" w:color="auto"/>
        <w:bottom w:val="none" w:sz="0" w:space="0" w:color="auto"/>
        <w:right w:val="none" w:sz="0" w:space="0" w:color="auto"/>
      </w:divBdr>
    </w:div>
    <w:div w:id="1209338548">
      <w:bodyDiv w:val="1"/>
      <w:marLeft w:val="0"/>
      <w:marRight w:val="0"/>
      <w:marTop w:val="0"/>
      <w:marBottom w:val="0"/>
      <w:divBdr>
        <w:top w:val="none" w:sz="0" w:space="0" w:color="auto"/>
        <w:left w:val="none" w:sz="0" w:space="0" w:color="auto"/>
        <w:bottom w:val="none" w:sz="0" w:space="0" w:color="auto"/>
        <w:right w:val="none" w:sz="0" w:space="0" w:color="auto"/>
      </w:divBdr>
    </w:div>
    <w:div w:id="1215583369">
      <w:bodyDiv w:val="1"/>
      <w:marLeft w:val="0"/>
      <w:marRight w:val="0"/>
      <w:marTop w:val="0"/>
      <w:marBottom w:val="0"/>
      <w:divBdr>
        <w:top w:val="none" w:sz="0" w:space="0" w:color="auto"/>
        <w:left w:val="none" w:sz="0" w:space="0" w:color="auto"/>
        <w:bottom w:val="none" w:sz="0" w:space="0" w:color="auto"/>
        <w:right w:val="none" w:sz="0" w:space="0" w:color="auto"/>
      </w:divBdr>
    </w:div>
    <w:div w:id="1355693045">
      <w:bodyDiv w:val="1"/>
      <w:marLeft w:val="0"/>
      <w:marRight w:val="0"/>
      <w:marTop w:val="0"/>
      <w:marBottom w:val="0"/>
      <w:divBdr>
        <w:top w:val="none" w:sz="0" w:space="0" w:color="auto"/>
        <w:left w:val="none" w:sz="0" w:space="0" w:color="auto"/>
        <w:bottom w:val="none" w:sz="0" w:space="0" w:color="auto"/>
        <w:right w:val="none" w:sz="0" w:space="0" w:color="auto"/>
      </w:divBdr>
      <w:divsChild>
        <w:div w:id="1625767132">
          <w:marLeft w:val="0"/>
          <w:marRight w:val="0"/>
          <w:marTop w:val="0"/>
          <w:marBottom w:val="0"/>
          <w:divBdr>
            <w:top w:val="none" w:sz="0" w:space="0" w:color="auto"/>
            <w:left w:val="none" w:sz="0" w:space="0" w:color="auto"/>
            <w:bottom w:val="none" w:sz="0" w:space="0" w:color="auto"/>
            <w:right w:val="none" w:sz="0" w:space="0" w:color="auto"/>
          </w:divBdr>
          <w:divsChild>
            <w:div w:id="111048948">
              <w:marLeft w:val="0"/>
              <w:marRight w:val="0"/>
              <w:marTop w:val="0"/>
              <w:marBottom w:val="0"/>
              <w:divBdr>
                <w:top w:val="none" w:sz="0" w:space="0" w:color="auto"/>
                <w:left w:val="none" w:sz="0" w:space="0" w:color="auto"/>
                <w:bottom w:val="none" w:sz="0" w:space="0" w:color="auto"/>
                <w:right w:val="none" w:sz="0" w:space="0" w:color="auto"/>
              </w:divBdr>
              <w:divsChild>
                <w:div w:id="91977826">
                  <w:marLeft w:val="0"/>
                  <w:marRight w:val="0"/>
                  <w:marTop w:val="0"/>
                  <w:marBottom w:val="0"/>
                  <w:divBdr>
                    <w:top w:val="none" w:sz="0" w:space="0" w:color="auto"/>
                    <w:left w:val="none" w:sz="0" w:space="0" w:color="auto"/>
                    <w:bottom w:val="none" w:sz="0" w:space="0" w:color="auto"/>
                    <w:right w:val="none" w:sz="0" w:space="0" w:color="auto"/>
                  </w:divBdr>
                  <w:divsChild>
                    <w:div w:id="897126908">
                      <w:marLeft w:val="0"/>
                      <w:marRight w:val="0"/>
                      <w:marTop w:val="0"/>
                      <w:marBottom w:val="0"/>
                      <w:divBdr>
                        <w:top w:val="none" w:sz="0" w:space="0" w:color="auto"/>
                        <w:left w:val="none" w:sz="0" w:space="0" w:color="auto"/>
                        <w:bottom w:val="none" w:sz="0" w:space="0" w:color="auto"/>
                        <w:right w:val="none" w:sz="0" w:space="0" w:color="auto"/>
                      </w:divBdr>
                      <w:divsChild>
                        <w:div w:id="1054086090">
                          <w:marLeft w:val="0"/>
                          <w:marRight w:val="0"/>
                          <w:marTop w:val="0"/>
                          <w:marBottom w:val="0"/>
                          <w:divBdr>
                            <w:top w:val="none" w:sz="0" w:space="0" w:color="auto"/>
                            <w:left w:val="none" w:sz="0" w:space="0" w:color="auto"/>
                            <w:bottom w:val="none" w:sz="0" w:space="0" w:color="auto"/>
                            <w:right w:val="none" w:sz="0" w:space="0" w:color="auto"/>
                          </w:divBdr>
                          <w:divsChild>
                            <w:div w:id="58329037">
                              <w:marLeft w:val="0"/>
                              <w:marRight w:val="0"/>
                              <w:marTop w:val="240"/>
                              <w:marBottom w:val="240"/>
                              <w:divBdr>
                                <w:top w:val="single" w:sz="24" w:space="5" w:color="EFEFEF"/>
                                <w:left w:val="single" w:sz="24" w:space="5" w:color="EFEFEF"/>
                                <w:bottom w:val="single" w:sz="24" w:space="5" w:color="EFEFEF"/>
                                <w:right w:val="single" w:sz="24" w:space="5" w:color="EFEFEF"/>
                              </w:divBdr>
                              <w:divsChild>
                                <w:div w:id="21379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55197">
      <w:bodyDiv w:val="1"/>
      <w:marLeft w:val="0"/>
      <w:marRight w:val="0"/>
      <w:marTop w:val="0"/>
      <w:marBottom w:val="0"/>
      <w:divBdr>
        <w:top w:val="none" w:sz="0" w:space="0" w:color="auto"/>
        <w:left w:val="none" w:sz="0" w:space="0" w:color="auto"/>
        <w:bottom w:val="none" w:sz="0" w:space="0" w:color="auto"/>
        <w:right w:val="none" w:sz="0" w:space="0" w:color="auto"/>
      </w:divBdr>
    </w:div>
    <w:div w:id="1752115926">
      <w:bodyDiv w:val="1"/>
      <w:marLeft w:val="0"/>
      <w:marRight w:val="0"/>
      <w:marTop w:val="0"/>
      <w:marBottom w:val="0"/>
      <w:divBdr>
        <w:top w:val="none" w:sz="0" w:space="0" w:color="auto"/>
        <w:left w:val="none" w:sz="0" w:space="0" w:color="auto"/>
        <w:bottom w:val="none" w:sz="0" w:space="0" w:color="auto"/>
        <w:right w:val="none" w:sz="0" w:space="0" w:color="auto"/>
      </w:divBdr>
    </w:div>
    <w:div w:id="1790081018">
      <w:bodyDiv w:val="1"/>
      <w:marLeft w:val="0"/>
      <w:marRight w:val="0"/>
      <w:marTop w:val="0"/>
      <w:marBottom w:val="0"/>
      <w:divBdr>
        <w:top w:val="none" w:sz="0" w:space="0" w:color="auto"/>
        <w:left w:val="none" w:sz="0" w:space="0" w:color="auto"/>
        <w:bottom w:val="none" w:sz="0" w:space="0" w:color="auto"/>
        <w:right w:val="none" w:sz="0" w:space="0" w:color="auto"/>
      </w:divBdr>
    </w:div>
    <w:div w:id="1873763289">
      <w:bodyDiv w:val="1"/>
      <w:marLeft w:val="0"/>
      <w:marRight w:val="0"/>
      <w:marTop w:val="0"/>
      <w:marBottom w:val="0"/>
      <w:divBdr>
        <w:top w:val="none" w:sz="0" w:space="0" w:color="auto"/>
        <w:left w:val="none" w:sz="0" w:space="0" w:color="auto"/>
        <w:bottom w:val="none" w:sz="0" w:space="0" w:color="auto"/>
        <w:right w:val="none" w:sz="0" w:space="0" w:color="auto"/>
      </w:divBdr>
    </w:div>
    <w:div w:id="1880582252">
      <w:bodyDiv w:val="1"/>
      <w:marLeft w:val="0"/>
      <w:marRight w:val="0"/>
      <w:marTop w:val="0"/>
      <w:marBottom w:val="0"/>
      <w:divBdr>
        <w:top w:val="none" w:sz="0" w:space="0" w:color="auto"/>
        <w:left w:val="none" w:sz="0" w:space="0" w:color="auto"/>
        <w:bottom w:val="none" w:sz="0" w:space="0" w:color="auto"/>
        <w:right w:val="none" w:sz="0" w:space="0" w:color="auto"/>
      </w:divBdr>
    </w:div>
    <w:div w:id="2092267097">
      <w:bodyDiv w:val="1"/>
      <w:marLeft w:val="0"/>
      <w:marRight w:val="0"/>
      <w:marTop w:val="0"/>
      <w:marBottom w:val="0"/>
      <w:divBdr>
        <w:top w:val="none" w:sz="0" w:space="0" w:color="auto"/>
        <w:left w:val="none" w:sz="0" w:space="0" w:color="auto"/>
        <w:bottom w:val="none" w:sz="0" w:space="0" w:color="auto"/>
        <w:right w:val="none" w:sz="0" w:space="0" w:color="auto"/>
      </w:divBdr>
    </w:div>
    <w:div w:id="2098750711">
      <w:bodyDiv w:val="1"/>
      <w:marLeft w:val="0"/>
      <w:marRight w:val="0"/>
      <w:marTop w:val="0"/>
      <w:marBottom w:val="0"/>
      <w:divBdr>
        <w:top w:val="none" w:sz="0" w:space="0" w:color="auto"/>
        <w:left w:val="none" w:sz="0" w:space="0" w:color="auto"/>
        <w:bottom w:val="none" w:sz="0" w:space="0" w:color="auto"/>
        <w:right w:val="none" w:sz="0" w:space="0" w:color="auto"/>
      </w:divBdr>
      <w:divsChild>
        <w:div w:id="1123232310">
          <w:marLeft w:val="0"/>
          <w:marRight w:val="0"/>
          <w:marTop w:val="0"/>
          <w:marBottom w:val="0"/>
          <w:divBdr>
            <w:top w:val="none" w:sz="0" w:space="0" w:color="auto"/>
            <w:left w:val="none" w:sz="0" w:space="0" w:color="auto"/>
            <w:bottom w:val="none" w:sz="0" w:space="0" w:color="auto"/>
            <w:right w:val="none" w:sz="0" w:space="0" w:color="auto"/>
          </w:divBdr>
          <w:divsChild>
            <w:div w:id="740563177">
              <w:marLeft w:val="0"/>
              <w:marRight w:val="0"/>
              <w:marTop w:val="0"/>
              <w:marBottom w:val="0"/>
              <w:divBdr>
                <w:top w:val="none" w:sz="0" w:space="0" w:color="auto"/>
                <w:left w:val="none" w:sz="0" w:space="0" w:color="auto"/>
                <w:bottom w:val="none" w:sz="0" w:space="0" w:color="auto"/>
                <w:right w:val="none" w:sz="0" w:space="0" w:color="auto"/>
              </w:divBdr>
              <w:divsChild>
                <w:div w:id="3050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9fab476-99e4-494f-9cb2-fdc20c3296a4">2WYY7ZCY3WUE-404-80</_dlc_DocId>
    <_dlc_DocIdUrl xmlns="39fab476-99e4-494f-9cb2-fdc20c3296a4">
      <Url>http://teams.prod.local/joint-programs-review/_layouts/DocIdRedir.aspx?ID=2WYY7ZCY3WUE-404-80</Url>
      <Description>2WYY7ZCY3WUE-404-80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AEE3F665EF3945A5C0312B3074E1E8" ma:contentTypeVersion="0" ma:contentTypeDescription="Create a new document." ma:contentTypeScope="" ma:versionID="397fcbe677b78fd6d3f1c5928ace1739">
  <xsd:schema xmlns:xsd="http://www.w3.org/2001/XMLSchema" xmlns:xs="http://www.w3.org/2001/XMLSchema" xmlns:p="http://schemas.microsoft.com/office/2006/metadata/properties" xmlns:ns2="39fab476-99e4-494f-9cb2-fdc20c3296a4" targetNamespace="http://schemas.microsoft.com/office/2006/metadata/properties" ma:root="true" ma:fieldsID="a20c6cc803ae12352a1d09fcc8ba0a41" ns2:_="">
    <xsd:import namespace="39fab476-99e4-494f-9cb2-fdc20c3296a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b476-99e4-494f-9cb2-fdc20c3296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F6D8-5B30-4273-BC97-3C7779A3C326}">
  <ds:schemaRefs>
    <ds:schemaRef ds:uri="http://schemas.microsoft.com/sharepoint/v3/contenttype/forms"/>
  </ds:schemaRefs>
</ds:datastoreItem>
</file>

<file path=customXml/itemProps2.xml><?xml version="1.0" encoding="utf-8"?>
<ds:datastoreItem xmlns:ds="http://schemas.openxmlformats.org/officeDocument/2006/customXml" ds:itemID="{7663D691-D9A7-49BF-BE11-B0F4A88F1B5B}">
  <ds:schemaRefs>
    <ds:schemaRef ds:uri="http://schemas.microsoft.com/sharepoint/events"/>
  </ds:schemaRefs>
</ds:datastoreItem>
</file>

<file path=customXml/itemProps3.xml><?xml version="1.0" encoding="utf-8"?>
<ds:datastoreItem xmlns:ds="http://schemas.openxmlformats.org/officeDocument/2006/customXml" ds:itemID="{F87AB371-F209-4A73-B866-0F03D39E8283}">
  <ds:schemaRefs>
    <ds:schemaRef ds:uri="39fab476-99e4-494f-9cb2-fdc20c3296a4"/>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DE99BC0A-9E2E-4E30-BFB5-BB62213F4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ab476-99e4-494f-9cb2-fdc20c329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33F958-D6BF-4D47-AC5C-30A9E38A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Basin environmental watering outlook for 2015-16</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environmental watering outlook for 2015-16</dc:title>
  <dc:subject/>
  <dc:creator/>
  <cp:keywords/>
  <dc:description/>
  <cp:lastModifiedBy/>
  <cp:revision>1</cp:revision>
  <dcterms:created xsi:type="dcterms:W3CDTF">2015-07-01T07:50:00Z</dcterms:created>
  <dcterms:modified xsi:type="dcterms:W3CDTF">2015-07-01T07:50:00Z</dcterms:modified>
  <cp:category>Report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0x0101006DAEE3F665EF3945A5C0312B3074E1E8</vt:lpwstr>
  </property>
  <property fmtid="{D5CDD505-2E9C-101B-9397-08002B2CF9AE}" pid="3" name="_dlc_DocIdItemGuid">
    <vt:lpwstr>eae7222d-1ae4-4d84-adc1-0ada20bf8b13</vt:lpwstr>
  </property>
</Properties>
</file>