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8C" w:rsidRPr="00E00E6E" w:rsidRDefault="00637F83" w:rsidP="00111CC9">
      <w:pPr>
        <w:jc w:val="left"/>
        <w:rPr>
          <w:color w:val="008080"/>
          <w:sz w:val="32"/>
        </w:rPr>
      </w:pPr>
      <w:r>
        <w:rPr>
          <w:color w:val="008080"/>
          <w:sz w:val="32"/>
        </w:rPr>
        <w:tab/>
      </w:r>
      <w:r>
        <w:rPr>
          <w:color w:val="008080"/>
          <w:sz w:val="32"/>
        </w:rPr>
        <w:tab/>
      </w:r>
      <w:r>
        <w:rPr>
          <w:color w:val="008080"/>
          <w:sz w:val="32"/>
        </w:rPr>
        <w:tab/>
      </w:r>
      <w:r>
        <w:rPr>
          <w:color w:val="008080"/>
          <w:sz w:val="32"/>
        </w:rPr>
        <w:tab/>
      </w:r>
      <w:r w:rsidR="00C07044">
        <w:rPr>
          <w:color w:val="008080"/>
          <w:sz w:val="32"/>
        </w:rPr>
        <w:t xml:space="preserve">   </w:t>
      </w:r>
      <w:r w:rsidR="005F07EA">
        <w:rPr>
          <w:noProof/>
          <w:color w:val="008080"/>
          <w:sz w:val="32"/>
          <w:lang w:val="en-AU" w:eastAsia="en-AU"/>
        </w:rPr>
        <w:drawing>
          <wp:inline distT="0" distB="0" distL="0" distR="0">
            <wp:extent cx="744279" cy="882502"/>
            <wp:effectExtent l="0" t="0" r="0" b="0"/>
            <wp:docPr id="1" name="Picture 1" descr="RaMROC re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ROC reg 1"/>
                    <pic:cNvPicPr>
                      <a:picLocks noChangeAspect="1" noChangeArrowheads="1"/>
                    </pic:cNvPicPr>
                  </pic:nvPicPr>
                  <pic:blipFill>
                    <a:blip r:embed="rId8" cstate="print"/>
                    <a:srcRect/>
                    <a:stretch>
                      <a:fillRect/>
                    </a:stretch>
                  </pic:blipFill>
                  <pic:spPr bwMode="auto">
                    <a:xfrm>
                      <a:off x="0" y="0"/>
                      <a:ext cx="745028" cy="883390"/>
                    </a:xfrm>
                    <a:prstGeom prst="rect">
                      <a:avLst/>
                    </a:prstGeom>
                    <a:noFill/>
                    <a:ln w="9525">
                      <a:noFill/>
                      <a:miter lim="800000"/>
                      <a:headEnd/>
                      <a:tailEnd/>
                    </a:ln>
                  </pic:spPr>
                </pic:pic>
              </a:graphicData>
            </a:graphic>
          </wp:inline>
        </w:drawing>
      </w:r>
      <w:r w:rsidR="00E00E6E">
        <w:rPr>
          <w:color w:val="008080"/>
          <w:sz w:val="32"/>
        </w:rPr>
        <w:tab/>
      </w:r>
      <w:r w:rsidR="00E00E6E">
        <w:rPr>
          <w:color w:val="008080"/>
          <w:sz w:val="32"/>
        </w:rPr>
        <w:tab/>
      </w:r>
      <w:r w:rsidR="00E00E6E">
        <w:rPr>
          <w:color w:val="008080"/>
          <w:sz w:val="32"/>
        </w:rPr>
        <w:tab/>
        <w:t xml:space="preserve">         </w:t>
      </w:r>
    </w:p>
    <w:p w:rsidR="00B9768C" w:rsidRPr="009A6E39" w:rsidRDefault="00B9768C" w:rsidP="00111CC9">
      <w:pPr>
        <w:jc w:val="left"/>
        <w:rPr>
          <w:b/>
          <w:color w:val="000080"/>
          <w:sz w:val="16"/>
          <w:szCs w:val="16"/>
        </w:rPr>
      </w:pPr>
      <w:smartTag w:uri="urn:schemas-microsoft-com:office:smarttags" w:element="address">
        <w:smartTag w:uri="urn:schemas-microsoft-com:office:smarttags" w:element="Street">
          <w:r w:rsidRPr="009A6E39">
            <w:rPr>
              <w:b/>
              <w:color w:val="000080"/>
              <w:sz w:val="16"/>
              <w:szCs w:val="16"/>
            </w:rPr>
            <w:t>PO Box</w:t>
          </w:r>
        </w:smartTag>
        <w:r w:rsidRPr="009A6E39">
          <w:rPr>
            <w:b/>
            <w:color w:val="000080"/>
            <w:sz w:val="16"/>
            <w:szCs w:val="16"/>
          </w:rPr>
          <w:t xml:space="preserve"> 3572</w:t>
        </w:r>
      </w:smartTag>
      <w:r w:rsidRPr="009A6E39">
        <w:rPr>
          <w:b/>
          <w:color w:val="000080"/>
          <w:sz w:val="16"/>
          <w:szCs w:val="16"/>
        </w:rPr>
        <w:t xml:space="preserve">,     </w:t>
      </w:r>
      <w:r w:rsidRPr="009A6E39">
        <w:rPr>
          <w:b/>
          <w:color w:val="000080"/>
          <w:sz w:val="16"/>
          <w:szCs w:val="16"/>
        </w:rPr>
        <w:tab/>
      </w:r>
      <w:r w:rsidRPr="009A6E39">
        <w:rPr>
          <w:b/>
          <w:color w:val="000080"/>
          <w:sz w:val="16"/>
          <w:szCs w:val="16"/>
        </w:rPr>
        <w:tab/>
      </w:r>
      <w:r w:rsidRPr="009A6E39">
        <w:rPr>
          <w:b/>
          <w:color w:val="000080"/>
          <w:sz w:val="16"/>
          <w:szCs w:val="16"/>
        </w:rPr>
        <w:tab/>
      </w:r>
      <w:r w:rsidRPr="009A6E39">
        <w:rPr>
          <w:b/>
          <w:color w:val="000080"/>
          <w:sz w:val="16"/>
          <w:szCs w:val="16"/>
        </w:rPr>
        <w:tab/>
      </w:r>
      <w:r w:rsidR="00E00E6E" w:rsidRPr="009A6E39">
        <w:rPr>
          <w:b/>
          <w:color w:val="000080"/>
          <w:sz w:val="16"/>
          <w:szCs w:val="16"/>
        </w:rPr>
        <w:t xml:space="preserve">                     </w:t>
      </w:r>
      <w:r w:rsidR="00A60B8E" w:rsidRPr="009A6E39">
        <w:rPr>
          <w:b/>
          <w:color w:val="000080"/>
          <w:sz w:val="16"/>
          <w:szCs w:val="16"/>
        </w:rPr>
        <w:t xml:space="preserve">                    </w:t>
      </w:r>
      <w:r w:rsidRPr="009A6E39">
        <w:rPr>
          <w:b/>
          <w:color w:val="000080"/>
          <w:sz w:val="16"/>
          <w:szCs w:val="16"/>
        </w:rPr>
        <w:t>Phone (02) 6023 8791</w:t>
      </w:r>
    </w:p>
    <w:p w:rsidR="00B9768C" w:rsidRPr="009A6E39" w:rsidRDefault="00606901" w:rsidP="00111CC9">
      <w:pPr>
        <w:jc w:val="left"/>
        <w:rPr>
          <w:b/>
          <w:color w:val="000080"/>
          <w:sz w:val="16"/>
          <w:szCs w:val="16"/>
        </w:rPr>
      </w:pPr>
      <w:r w:rsidRPr="009A6E39">
        <w:rPr>
          <w:b/>
          <w:color w:val="000080"/>
          <w:sz w:val="16"/>
          <w:szCs w:val="16"/>
        </w:rPr>
        <w:t xml:space="preserve">Level 3, </w:t>
      </w:r>
      <w:smartTag w:uri="urn:schemas-microsoft-com:office:smarttags" w:element="Street">
        <w:smartTag w:uri="urn:schemas-microsoft-com:office:smarttags" w:element="address">
          <w:r w:rsidRPr="009A6E39">
            <w:rPr>
              <w:b/>
              <w:color w:val="000080"/>
              <w:sz w:val="16"/>
              <w:szCs w:val="16"/>
            </w:rPr>
            <w:t>553 Kiewa Street</w:t>
          </w:r>
        </w:smartTag>
      </w:smartTag>
      <w:r w:rsidRPr="009A6E39">
        <w:rPr>
          <w:b/>
          <w:color w:val="000080"/>
          <w:sz w:val="16"/>
          <w:szCs w:val="16"/>
        </w:rPr>
        <w:t>,</w:t>
      </w:r>
      <w:r w:rsidRPr="009A6E39">
        <w:rPr>
          <w:b/>
          <w:color w:val="000080"/>
          <w:sz w:val="16"/>
          <w:szCs w:val="16"/>
        </w:rPr>
        <w:tab/>
      </w:r>
      <w:r w:rsidRPr="009A6E39">
        <w:rPr>
          <w:b/>
          <w:color w:val="000080"/>
          <w:sz w:val="16"/>
          <w:szCs w:val="16"/>
        </w:rPr>
        <w:tab/>
      </w:r>
      <w:r w:rsidRPr="009A6E39">
        <w:rPr>
          <w:b/>
          <w:color w:val="000080"/>
          <w:sz w:val="16"/>
          <w:szCs w:val="16"/>
        </w:rPr>
        <w:tab/>
      </w:r>
      <w:r w:rsidR="00E00E6E" w:rsidRPr="009A6E39">
        <w:rPr>
          <w:b/>
          <w:color w:val="000080"/>
          <w:sz w:val="16"/>
          <w:szCs w:val="16"/>
        </w:rPr>
        <w:t xml:space="preserve">                    </w:t>
      </w:r>
      <w:r w:rsidR="00A60B8E" w:rsidRPr="009A6E39">
        <w:rPr>
          <w:b/>
          <w:color w:val="000080"/>
          <w:sz w:val="16"/>
          <w:szCs w:val="16"/>
        </w:rPr>
        <w:t xml:space="preserve">      </w:t>
      </w:r>
      <w:r w:rsidR="00E00E6E" w:rsidRPr="009A6E39">
        <w:rPr>
          <w:b/>
          <w:color w:val="000080"/>
          <w:sz w:val="16"/>
          <w:szCs w:val="16"/>
        </w:rPr>
        <w:t xml:space="preserve"> </w:t>
      </w:r>
      <w:r w:rsidR="009A6E39">
        <w:rPr>
          <w:b/>
          <w:color w:val="000080"/>
          <w:sz w:val="16"/>
          <w:szCs w:val="16"/>
        </w:rPr>
        <w:t xml:space="preserve">              </w:t>
      </w:r>
      <w:r w:rsidR="00B9768C" w:rsidRPr="009A6E39">
        <w:rPr>
          <w:b/>
          <w:color w:val="000080"/>
          <w:sz w:val="16"/>
          <w:szCs w:val="16"/>
        </w:rPr>
        <w:t>Fax      (02) 6023 8169</w:t>
      </w:r>
    </w:p>
    <w:p w:rsidR="00B9768C" w:rsidRPr="009A6E39" w:rsidRDefault="00606901" w:rsidP="00111CC9">
      <w:pPr>
        <w:jc w:val="left"/>
        <w:rPr>
          <w:b/>
          <w:color w:val="000080"/>
          <w:sz w:val="16"/>
          <w:szCs w:val="16"/>
        </w:rPr>
      </w:pPr>
      <w:proofErr w:type="gramStart"/>
      <w:r w:rsidRPr="009A6E39">
        <w:rPr>
          <w:b/>
          <w:color w:val="000080"/>
          <w:sz w:val="16"/>
          <w:szCs w:val="16"/>
        </w:rPr>
        <w:t>ALBURY  NSW</w:t>
      </w:r>
      <w:proofErr w:type="gramEnd"/>
      <w:r w:rsidRPr="009A6E39">
        <w:rPr>
          <w:b/>
          <w:color w:val="000080"/>
          <w:sz w:val="16"/>
          <w:szCs w:val="16"/>
        </w:rPr>
        <w:t xml:space="preserve">  2640</w:t>
      </w:r>
      <w:r w:rsidR="00B9768C" w:rsidRPr="009A6E39">
        <w:rPr>
          <w:color w:val="000080"/>
          <w:sz w:val="16"/>
          <w:szCs w:val="16"/>
        </w:rPr>
        <w:tab/>
      </w:r>
      <w:r w:rsidR="00B9768C" w:rsidRPr="009A6E39">
        <w:rPr>
          <w:color w:val="000080"/>
          <w:sz w:val="16"/>
          <w:szCs w:val="16"/>
        </w:rPr>
        <w:tab/>
      </w:r>
      <w:r w:rsidRPr="009A6E39">
        <w:rPr>
          <w:color w:val="000080"/>
          <w:sz w:val="16"/>
          <w:szCs w:val="16"/>
        </w:rPr>
        <w:t xml:space="preserve">                          </w:t>
      </w:r>
      <w:r w:rsidR="00E00E6E" w:rsidRPr="009A6E39">
        <w:rPr>
          <w:color w:val="000080"/>
          <w:sz w:val="16"/>
          <w:szCs w:val="16"/>
        </w:rPr>
        <w:t xml:space="preserve">                     </w:t>
      </w:r>
      <w:r w:rsidR="00A60B8E" w:rsidRPr="009A6E39">
        <w:rPr>
          <w:color w:val="000080"/>
          <w:sz w:val="16"/>
          <w:szCs w:val="16"/>
        </w:rPr>
        <w:t xml:space="preserve">        </w:t>
      </w:r>
      <w:r w:rsidR="009A6E39">
        <w:rPr>
          <w:color w:val="000080"/>
          <w:sz w:val="16"/>
          <w:szCs w:val="16"/>
        </w:rPr>
        <w:t xml:space="preserve">  </w:t>
      </w:r>
      <w:r w:rsidR="00443C77">
        <w:rPr>
          <w:b/>
          <w:color w:val="000080"/>
          <w:sz w:val="16"/>
          <w:szCs w:val="16"/>
        </w:rPr>
        <w:t>[REDACTED]</w:t>
      </w:r>
      <w:bookmarkStart w:id="0" w:name="_GoBack"/>
      <w:bookmarkEnd w:id="0"/>
    </w:p>
    <w:p w:rsidR="00B9768C" w:rsidRDefault="00B9768C" w:rsidP="00111CC9">
      <w:pPr>
        <w:jc w:val="left"/>
        <w:rPr>
          <w:color w:val="000080"/>
          <w:sz w:val="22"/>
        </w:rPr>
      </w:pPr>
    </w:p>
    <w:p w:rsidR="00450A2F" w:rsidRDefault="00BA4C62" w:rsidP="00111CC9">
      <w:pPr>
        <w:jc w:val="left"/>
        <w:rPr>
          <w:sz w:val="22"/>
        </w:rPr>
      </w:pPr>
      <w:r>
        <w:rPr>
          <w:sz w:val="22"/>
        </w:rPr>
        <w:t>21</w:t>
      </w:r>
      <w:r w:rsidR="00B1065F">
        <w:rPr>
          <w:sz w:val="22"/>
        </w:rPr>
        <w:t xml:space="preserve"> November 2016</w:t>
      </w:r>
    </w:p>
    <w:p w:rsidR="00450A2F" w:rsidRDefault="00450A2F" w:rsidP="00111CC9">
      <w:pPr>
        <w:jc w:val="left"/>
        <w:rPr>
          <w:sz w:val="22"/>
        </w:rPr>
      </w:pPr>
    </w:p>
    <w:p w:rsidR="00450A2F" w:rsidRDefault="00B1065F" w:rsidP="00111CC9">
      <w:pPr>
        <w:jc w:val="left"/>
        <w:rPr>
          <w:sz w:val="22"/>
        </w:rPr>
      </w:pPr>
      <w:r>
        <w:rPr>
          <w:sz w:val="22"/>
        </w:rPr>
        <w:t>The Secretariat,</w:t>
      </w:r>
    </w:p>
    <w:p w:rsidR="00B1065F" w:rsidRDefault="00B1065F" w:rsidP="00111CC9">
      <w:pPr>
        <w:jc w:val="left"/>
        <w:rPr>
          <w:sz w:val="22"/>
        </w:rPr>
      </w:pPr>
      <w:r>
        <w:rPr>
          <w:sz w:val="22"/>
        </w:rPr>
        <w:t>ACCC Domestic Mobile Roaming Declaration Inquiry 2016</w:t>
      </w:r>
    </w:p>
    <w:p w:rsidR="00B1065F" w:rsidRDefault="00B1065F" w:rsidP="00111CC9">
      <w:pPr>
        <w:jc w:val="left"/>
        <w:rPr>
          <w:sz w:val="22"/>
        </w:rPr>
      </w:pPr>
    </w:p>
    <w:p w:rsidR="00B1065F" w:rsidRDefault="00B1065F" w:rsidP="00111CC9">
      <w:pPr>
        <w:jc w:val="left"/>
        <w:rPr>
          <w:b/>
          <w:sz w:val="22"/>
          <w:u w:val="single"/>
        </w:rPr>
      </w:pPr>
      <w:r w:rsidRPr="00437A0C">
        <w:rPr>
          <w:b/>
          <w:sz w:val="22"/>
          <w:u w:val="single"/>
        </w:rPr>
        <w:t>SUBMISSION BY RIVERINA AND MURRAY REGIONAL ORGANISATION OF COUNCILS</w:t>
      </w:r>
    </w:p>
    <w:p w:rsidR="00437A0C" w:rsidRDefault="00437A0C" w:rsidP="00111CC9">
      <w:pPr>
        <w:jc w:val="left"/>
        <w:rPr>
          <w:b/>
          <w:sz w:val="22"/>
          <w:u w:val="single"/>
        </w:rPr>
      </w:pPr>
    </w:p>
    <w:p w:rsidR="00437A0C" w:rsidRDefault="00437A0C" w:rsidP="00111CC9">
      <w:pPr>
        <w:jc w:val="left"/>
        <w:rPr>
          <w:sz w:val="22"/>
        </w:rPr>
      </w:pPr>
      <w:r>
        <w:rPr>
          <w:sz w:val="22"/>
        </w:rPr>
        <w:t>The Riveri</w:t>
      </w:r>
      <w:r w:rsidR="00815214">
        <w:rPr>
          <w:sz w:val="22"/>
        </w:rPr>
        <w:t xml:space="preserve">na </w:t>
      </w:r>
      <w:r>
        <w:rPr>
          <w:sz w:val="22"/>
        </w:rPr>
        <w:t>and Murray Regional Organisation of Councils (RAMROC) represents the interests of fourteen Local Government Councils and Communities in south west New South Wales.</w:t>
      </w:r>
    </w:p>
    <w:p w:rsidR="00420259" w:rsidRDefault="00420259" w:rsidP="00111CC9">
      <w:pPr>
        <w:jc w:val="left"/>
        <w:rPr>
          <w:sz w:val="22"/>
        </w:rPr>
      </w:pPr>
    </w:p>
    <w:p w:rsidR="00437A0C" w:rsidRDefault="00437A0C" w:rsidP="00111CC9">
      <w:pPr>
        <w:jc w:val="left"/>
        <w:rPr>
          <w:sz w:val="22"/>
        </w:rPr>
      </w:pPr>
      <w:r>
        <w:rPr>
          <w:sz w:val="22"/>
        </w:rPr>
        <w:t xml:space="preserve">A map </w:t>
      </w:r>
      <w:r w:rsidR="00BA4C62">
        <w:rPr>
          <w:sz w:val="22"/>
        </w:rPr>
        <w:t xml:space="preserve">showing </w:t>
      </w:r>
      <w:r>
        <w:rPr>
          <w:sz w:val="22"/>
        </w:rPr>
        <w:t xml:space="preserve">the location of the RAMROC region in relation to the capital cities of Sydney, Canberra, Melbourne and Adelaide is attached. The map also indicates the location </w:t>
      </w:r>
      <w:r w:rsidR="00BA4C62">
        <w:rPr>
          <w:sz w:val="22"/>
        </w:rPr>
        <w:t xml:space="preserve">and names </w:t>
      </w:r>
      <w:r>
        <w:rPr>
          <w:sz w:val="22"/>
        </w:rPr>
        <w:t>of the fourteen Member LGAs.</w:t>
      </w:r>
    </w:p>
    <w:p w:rsidR="00437A0C" w:rsidRDefault="00437A0C" w:rsidP="00111CC9">
      <w:pPr>
        <w:jc w:val="left"/>
        <w:rPr>
          <w:sz w:val="22"/>
        </w:rPr>
      </w:pPr>
    </w:p>
    <w:p w:rsidR="0045115A" w:rsidRDefault="0045115A" w:rsidP="0045115A">
      <w:pPr>
        <w:jc w:val="left"/>
        <w:rPr>
          <w:sz w:val="22"/>
        </w:rPr>
      </w:pPr>
      <w:r>
        <w:rPr>
          <w:sz w:val="22"/>
        </w:rPr>
        <w:t xml:space="preserve">The region covers an area of 126,595 sq km with a total population of </w:t>
      </w:r>
      <w:r w:rsidR="00140414">
        <w:rPr>
          <w:sz w:val="22"/>
        </w:rPr>
        <w:t>over</w:t>
      </w:r>
      <w:r>
        <w:rPr>
          <w:sz w:val="22"/>
        </w:rPr>
        <w:t xml:space="preserve"> 165,000. The southern part of the region extends along the Murray and Lower Murray-Darling Valleys, from Greater Hume Shire and Albury City at the eastern end through to Wentworth Shire at the South Australian border in the west. </w:t>
      </w:r>
    </w:p>
    <w:p w:rsidR="0045115A" w:rsidRDefault="0045115A" w:rsidP="0045115A">
      <w:pPr>
        <w:jc w:val="left"/>
        <w:rPr>
          <w:sz w:val="22"/>
        </w:rPr>
      </w:pPr>
    </w:p>
    <w:p w:rsidR="0045115A" w:rsidRDefault="0045115A" w:rsidP="0045115A">
      <w:pPr>
        <w:jc w:val="left"/>
        <w:rPr>
          <w:sz w:val="22"/>
        </w:rPr>
      </w:pPr>
      <w:r>
        <w:rPr>
          <w:sz w:val="22"/>
        </w:rPr>
        <w:t>The northern and western part of the RAMROC region extends generally within the Murrumbidgee and Lower Lachlan Valleys, westward from Narrandera Shire.</w:t>
      </w:r>
    </w:p>
    <w:p w:rsidR="0045115A" w:rsidRDefault="0045115A" w:rsidP="0045115A">
      <w:pPr>
        <w:jc w:val="left"/>
        <w:rPr>
          <w:sz w:val="22"/>
        </w:rPr>
      </w:pPr>
    </w:p>
    <w:p w:rsidR="0045115A" w:rsidRDefault="0045115A" w:rsidP="0045115A">
      <w:pPr>
        <w:jc w:val="left"/>
        <w:rPr>
          <w:sz w:val="22"/>
        </w:rPr>
      </w:pPr>
      <w:r>
        <w:rPr>
          <w:sz w:val="22"/>
        </w:rPr>
        <w:t xml:space="preserve">The RAMROC region has a mix of large regional centres, medium sized irrigation based towns and urban shires, through to a number of predominantly dryland farming shire areas, very large in size but mostly </w:t>
      </w:r>
      <w:r w:rsidR="00BA4C62">
        <w:rPr>
          <w:sz w:val="22"/>
        </w:rPr>
        <w:t xml:space="preserve">with </w:t>
      </w:r>
      <w:r>
        <w:rPr>
          <w:sz w:val="22"/>
        </w:rPr>
        <w:t>a low population base.</w:t>
      </w:r>
    </w:p>
    <w:p w:rsidR="0045115A" w:rsidRDefault="0045115A" w:rsidP="0045115A">
      <w:pPr>
        <w:jc w:val="left"/>
        <w:rPr>
          <w:sz w:val="22"/>
        </w:rPr>
      </w:pPr>
    </w:p>
    <w:p w:rsidR="0045115A" w:rsidRDefault="0045115A" w:rsidP="0045115A">
      <w:pPr>
        <w:jc w:val="left"/>
        <w:rPr>
          <w:sz w:val="22"/>
        </w:rPr>
      </w:pPr>
      <w:r>
        <w:rPr>
          <w:sz w:val="22"/>
        </w:rPr>
        <w:t>The major regional centres are Albury City and Griffith City. These cities are significant manufacturing, education, government and medical service centres for the region</w:t>
      </w:r>
      <w:r w:rsidR="00BA4C62">
        <w:rPr>
          <w:sz w:val="22"/>
        </w:rPr>
        <w:t>.</w:t>
      </w:r>
      <w:r w:rsidR="00815214">
        <w:rPr>
          <w:sz w:val="22"/>
        </w:rPr>
        <w:t xml:space="preserve"> </w:t>
      </w:r>
      <w:r w:rsidR="00BA4C62">
        <w:rPr>
          <w:sz w:val="22"/>
        </w:rPr>
        <w:t>In</w:t>
      </w:r>
      <w:r>
        <w:rPr>
          <w:sz w:val="22"/>
        </w:rPr>
        <w:t xml:space="preserve"> the Murray </w:t>
      </w:r>
      <w:r w:rsidR="00325C6E">
        <w:rPr>
          <w:sz w:val="22"/>
        </w:rPr>
        <w:t>region</w:t>
      </w:r>
      <w:r>
        <w:rPr>
          <w:sz w:val="22"/>
        </w:rPr>
        <w:t xml:space="preserve"> there are </w:t>
      </w:r>
      <w:r w:rsidR="00BA4C62">
        <w:rPr>
          <w:sz w:val="22"/>
        </w:rPr>
        <w:t>generally strong</w:t>
      </w:r>
      <w:r>
        <w:rPr>
          <w:sz w:val="22"/>
        </w:rPr>
        <w:t xml:space="preserve"> cross border </w:t>
      </w:r>
      <w:r w:rsidR="00325C6E">
        <w:rPr>
          <w:sz w:val="22"/>
        </w:rPr>
        <w:t>collaborative</w:t>
      </w:r>
      <w:r>
        <w:rPr>
          <w:sz w:val="22"/>
        </w:rPr>
        <w:t xml:space="preserve"> arrangements </w:t>
      </w:r>
      <w:r w:rsidR="00BA4C62">
        <w:rPr>
          <w:sz w:val="22"/>
        </w:rPr>
        <w:t xml:space="preserve">in place </w:t>
      </w:r>
      <w:r>
        <w:rPr>
          <w:sz w:val="22"/>
        </w:rPr>
        <w:t xml:space="preserve">with </w:t>
      </w:r>
      <w:r w:rsidR="00325C6E">
        <w:rPr>
          <w:sz w:val="22"/>
        </w:rPr>
        <w:t xml:space="preserve">northern </w:t>
      </w:r>
      <w:r>
        <w:rPr>
          <w:sz w:val="22"/>
        </w:rPr>
        <w:t>Victoria.</w:t>
      </w:r>
    </w:p>
    <w:p w:rsidR="0045115A" w:rsidRDefault="0045115A" w:rsidP="0045115A">
      <w:pPr>
        <w:jc w:val="left"/>
        <w:rPr>
          <w:sz w:val="22"/>
        </w:rPr>
      </w:pPr>
    </w:p>
    <w:p w:rsidR="0045115A" w:rsidRDefault="0045115A" w:rsidP="0045115A">
      <w:pPr>
        <w:jc w:val="left"/>
        <w:rPr>
          <w:sz w:val="22"/>
        </w:rPr>
      </w:pPr>
      <w:r>
        <w:rPr>
          <w:sz w:val="22"/>
        </w:rPr>
        <w:t xml:space="preserve">A large part of the rural </w:t>
      </w:r>
      <w:r w:rsidR="00BA4C62">
        <w:rPr>
          <w:sz w:val="22"/>
        </w:rPr>
        <w:t>area</w:t>
      </w:r>
      <w:r>
        <w:rPr>
          <w:sz w:val="22"/>
        </w:rPr>
        <w:t xml:space="preserve"> contains significant irrigation </w:t>
      </w:r>
      <w:r w:rsidR="00BA4C62">
        <w:rPr>
          <w:sz w:val="22"/>
        </w:rPr>
        <w:t>districts</w:t>
      </w:r>
      <w:r>
        <w:rPr>
          <w:sz w:val="22"/>
        </w:rPr>
        <w:t xml:space="preserve">, the largest and best known ones being Murray Irrigation, Murrumbidgee Irrigation and Coleambally Irrigation. There are also an extensive number of smaller private irrigation schemes and individual farm irrigators. </w:t>
      </w:r>
    </w:p>
    <w:p w:rsidR="0045115A" w:rsidRDefault="0045115A" w:rsidP="0045115A">
      <w:pPr>
        <w:jc w:val="left"/>
        <w:rPr>
          <w:sz w:val="22"/>
        </w:rPr>
      </w:pPr>
    </w:p>
    <w:p w:rsidR="0045115A" w:rsidRDefault="0045115A" w:rsidP="0045115A">
      <w:pPr>
        <w:jc w:val="left"/>
        <w:rPr>
          <w:sz w:val="22"/>
        </w:rPr>
      </w:pPr>
      <w:r>
        <w:rPr>
          <w:sz w:val="22"/>
        </w:rPr>
        <w:t>The RAMROC region is an important food and fibre source for Australian consumption and for export purposes, producing a wide range of summer and winter grain crops, fruit, vegetables, horticulture, viticulture, dairy and livestock.</w:t>
      </w:r>
    </w:p>
    <w:p w:rsidR="0045115A" w:rsidRDefault="0045115A" w:rsidP="0045115A">
      <w:pPr>
        <w:jc w:val="left"/>
        <w:rPr>
          <w:sz w:val="22"/>
        </w:rPr>
      </w:pPr>
    </w:p>
    <w:p w:rsidR="00EA15F0" w:rsidRDefault="00325C6E" w:rsidP="0045115A">
      <w:pPr>
        <w:jc w:val="left"/>
        <w:rPr>
          <w:sz w:val="22"/>
        </w:rPr>
      </w:pPr>
      <w:r>
        <w:rPr>
          <w:sz w:val="22"/>
        </w:rPr>
        <w:t>Aside</w:t>
      </w:r>
      <w:r w:rsidR="0045115A">
        <w:rPr>
          <w:sz w:val="22"/>
        </w:rPr>
        <w:t xml:space="preserve"> from the </w:t>
      </w:r>
      <w:r>
        <w:rPr>
          <w:sz w:val="22"/>
        </w:rPr>
        <w:t>main</w:t>
      </w:r>
      <w:r w:rsidR="0045115A">
        <w:rPr>
          <w:sz w:val="22"/>
        </w:rPr>
        <w:t xml:space="preserve"> urban centres within the region, mobile phone reception is mostly far less than satisfactory. In most of the rural and remote areas the mobile coverage is considered to be deplorable, with large parts of the region having no service whatsoever. In turn, this sometimes create</w:t>
      </w:r>
      <w:r w:rsidR="0046231F">
        <w:rPr>
          <w:sz w:val="22"/>
        </w:rPr>
        <w:t>s</w:t>
      </w:r>
      <w:r w:rsidR="0045115A">
        <w:rPr>
          <w:sz w:val="22"/>
        </w:rPr>
        <w:t xml:space="preserve"> dangerous conditions for residents and infrastructure in bushfire and flood prone areas</w:t>
      </w:r>
      <w:r w:rsidR="00EA15F0">
        <w:rPr>
          <w:sz w:val="22"/>
        </w:rPr>
        <w:t>, as well as</w:t>
      </w:r>
      <w:r w:rsidR="0045115A">
        <w:rPr>
          <w:sz w:val="22"/>
        </w:rPr>
        <w:t xml:space="preserve"> during other times of emergency </w:t>
      </w:r>
      <w:r w:rsidR="00EA15F0">
        <w:rPr>
          <w:sz w:val="22"/>
        </w:rPr>
        <w:t xml:space="preserve">accident and storm </w:t>
      </w:r>
      <w:r w:rsidR="0045115A">
        <w:rPr>
          <w:sz w:val="22"/>
        </w:rPr>
        <w:t>circumstances.</w:t>
      </w:r>
      <w:r w:rsidR="0046231F">
        <w:rPr>
          <w:sz w:val="22"/>
        </w:rPr>
        <w:t xml:space="preserve"> </w:t>
      </w:r>
    </w:p>
    <w:p w:rsidR="00EA15F0" w:rsidRDefault="00EA15F0" w:rsidP="0045115A">
      <w:pPr>
        <w:jc w:val="left"/>
        <w:rPr>
          <w:sz w:val="22"/>
        </w:rPr>
      </w:pPr>
    </w:p>
    <w:p w:rsidR="0045115A" w:rsidRDefault="0046231F" w:rsidP="0045115A">
      <w:pPr>
        <w:jc w:val="left"/>
        <w:rPr>
          <w:sz w:val="22"/>
        </w:rPr>
      </w:pPr>
      <w:r>
        <w:rPr>
          <w:sz w:val="22"/>
        </w:rPr>
        <w:t xml:space="preserve">The absence of effective mobile coverage has </w:t>
      </w:r>
      <w:r w:rsidR="00C205C5">
        <w:rPr>
          <w:sz w:val="22"/>
        </w:rPr>
        <w:t xml:space="preserve">again </w:t>
      </w:r>
      <w:r>
        <w:rPr>
          <w:sz w:val="22"/>
        </w:rPr>
        <w:t>been very much an issue</w:t>
      </w:r>
      <w:r w:rsidR="00C205C5">
        <w:rPr>
          <w:sz w:val="22"/>
        </w:rPr>
        <w:t xml:space="preserve"> of concern </w:t>
      </w:r>
      <w:r>
        <w:rPr>
          <w:sz w:val="22"/>
        </w:rPr>
        <w:t xml:space="preserve">in the current floods </w:t>
      </w:r>
      <w:r w:rsidR="00C205C5">
        <w:rPr>
          <w:sz w:val="22"/>
        </w:rPr>
        <w:t xml:space="preserve">being experienced </w:t>
      </w:r>
      <w:r>
        <w:rPr>
          <w:sz w:val="22"/>
        </w:rPr>
        <w:t>in the Murray, Murrumbidgee and Lachlan Valley areas</w:t>
      </w:r>
      <w:r w:rsidR="00EA15F0">
        <w:rPr>
          <w:sz w:val="22"/>
        </w:rPr>
        <w:t>.</w:t>
      </w:r>
    </w:p>
    <w:p w:rsidR="0045115A" w:rsidRDefault="0045115A" w:rsidP="0045115A">
      <w:pPr>
        <w:jc w:val="left"/>
        <w:rPr>
          <w:sz w:val="22"/>
        </w:rPr>
      </w:pPr>
    </w:p>
    <w:p w:rsidR="0046231F" w:rsidRDefault="0046231F" w:rsidP="0045115A">
      <w:pPr>
        <w:jc w:val="left"/>
        <w:rPr>
          <w:sz w:val="22"/>
        </w:rPr>
      </w:pPr>
      <w:r>
        <w:rPr>
          <w:sz w:val="22"/>
        </w:rPr>
        <w:t xml:space="preserve">Even on </w:t>
      </w:r>
      <w:r w:rsidR="00BA4C62">
        <w:rPr>
          <w:sz w:val="22"/>
        </w:rPr>
        <w:t xml:space="preserve">the </w:t>
      </w:r>
      <w:r>
        <w:rPr>
          <w:sz w:val="22"/>
        </w:rPr>
        <w:t xml:space="preserve">major highways such as the </w:t>
      </w:r>
      <w:r w:rsidR="00BA4C62">
        <w:rPr>
          <w:sz w:val="22"/>
        </w:rPr>
        <w:t xml:space="preserve">Hume Highway, </w:t>
      </w:r>
      <w:r>
        <w:rPr>
          <w:sz w:val="22"/>
        </w:rPr>
        <w:t>Riverina Highway, Sturt Highway, Newell Highway and Kidman Way</w:t>
      </w:r>
      <w:r w:rsidR="00815214">
        <w:rPr>
          <w:sz w:val="22"/>
        </w:rPr>
        <w:t>,</w:t>
      </w:r>
      <w:r>
        <w:rPr>
          <w:sz w:val="22"/>
        </w:rPr>
        <w:t xml:space="preserve"> there are many hundreds of kilometres with </w:t>
      </w:r>
      <w:r w:rsidR="00EA15F0">
        <w:rPr>
          <w:sz w:val="22"/>
        </w:rPr>
        <w:t>nil or extremely poor</w:t>
      </w:r>
      <w:r>
        <w:rPr>
          <w:sz w:val="22"/>
        </w:rPr>
        <w:t xml:space="preserve"> mobile phone coverage. In addition, many locations which have high tourism </w:t>
      </w:r>
      <w:r>
        <w:rPr>
          <w:sz w:val="22"/>
        </w:rPr>
        <w:lastRenderedPageBreak/>
        <w:t xml:space="preserve">numbers unfortunately also suffer poor </w:t>
      </w:r>
      <w:r w:rsidR="00EA15F0">
        <w:rPr>
          <w:sz w:val="22"/>
        </w:rPr>
        <w:t xml:space="preserve">network </w:t>
      </w:r>
      <w:r>
        <w:rPr>
          <w:sz w:val="22"/>
        </w:rPr>
        <w:t>coverage, very much to the angst and i</w:t>
      </w:r>
      <w:r w:rsidR="00BA4C62">
        <w:rPr>
          <w:sz w:val="22"/>
        </w:rPr>
        <w:t>nconvenience</w:t>
      </w:r>
      <w:r>
        <w:rPr>
          <w:sz w:val="22"/>
        </w:rPr>
        <w:t xml:space="preserve"> of visitors </w:t>
      </w:r>
      <w:r w:rsidR="00BA4C62">
        <w:rPr>
          <w:sz w:val="22"/>
        </w:rPr>
        <w:t xml:space="preserve">and business people </w:t>
      </w:r>
      <w:r>
        <w:rPr>
          <w:sz w:val="22"/>
        </w:rPr>
        <w:t>holidaying in the region.</w:t>
      </w:r>
    </w:p>
    <w:p w:rsidR="0045115A" w:rsidRDefault="0045115A" w:rsidP="00111CC9">
      <w:pPr>
        <w:jc w:val="left"/>
        <w:rPr>
          <w:sz w:val="22"/>
        </w:rPr>
      </w:pPr>
    </w:p>
    <w:p w:rsidR="005C2E80" w:rsidRDefault="001D3B3E" w:rsidP="00111CC9">
      <w:pPr>
        <w:jc w:val="left"/>
        <w:rPr>
          <w:sz w:val="22"/>
        </w:rPr>
      </w:pPr>
      <w:r>
        <w:rPr>
          <w:sz w:val="22"/>
        </w:rPr>
        <w:t xml:space="preserve">RAMROC and </w:t>
      </w:r>
      <w:r w:rsidR="00C07FDB">
        <w:rPr>
          <w:sz w:val="22"/>
        </w:rPr>
        <w:t xml:space="preserve">Member </w:t>
      </w:r>
      <w:r>
        <w:rPr>
          <w:sz w:val="22"/>
        </w:rPr>
        <w:t xml:space="preserve">Councils </w:t>
      </w:r>
      <w:r w:rsidR="00C07FDB">
        <w:rPr>
          <w:sz w:val="22"/>
        </w:rPr>
        <w:t xml:space="preserve">individually </w:t>
      </w:r>
      <w:r>
        <w:rPr>
          <w:sz w:val="22"/>
        </w:rPr>
        <w:t xml:space="preserve">have </w:t>
      </w:r>
      <w:r w:rsidR="00C07FDB">
        <w:rPr>
          <w:sz w:val="22"/>
        </w:rPr>
        <w:t>made</w:t>
      </w:r>
      <w:r w:rsidR="009A1CB4">
        <w:rPr>
          <w:sz w:val="22"/>
        </w:rPr>
        <w:t xml:space="preserve"> submissions</w:t>
      </w:r>
      <w:r>
        <w:rPr>
          <w:sz w:val="22"/>
        </w:rPr>
        <w:t xml:space="preserve"> to the Federal Government in relation to the Mobile Blackspots Program, although very few locations have received funding </w:t>
      </w:r>
      <w:r w:rsidR="009A1CB4">
        <w:rPr>
          <w:sz w:val="22"/>
        </w:rPr>
        <w:t>to date. Unfortunately, it</w:t>
      </w:r>
      <w:r>
        <w:rPr>
          <w:sz w:val="22"/>
        </w:rPr>
        <w:t xml:space="preserve"> seems that there is </w:t>
      </w:r>
      <w:r w:rsidR="00C07FDB">
        <w:rPr>
          <w:sz w:val="22"/>
        </w:rPr>
        <w:t>little</w:t>
      </w:r>
      <w:r w:rsidR="009A1CB4">
        <w:rPr>
          <w:sz w:val="22"/>
        </w:rPr>
        <w:t xml:space="preserve"> </w:t>
      </w:r>
      <w:r>
        <w:rPr>
          <w:sz w:val="22"/>
        </w:rPr>
        <w:t xml:space="preserve">prospect of significant </w:t>
      </w:r>
      <w:r w:rsidR="005F5EF8">
        <w:rPr>
          <w:sz w:val="22"/>
        </w:rPr>
        <w:t>mobile network expansion in the foreseeable future</w:t>
      </w:r>
      <w:r w:rsidR="005C2E80">
        <w:rPr>
          <w:sz w:val="22"/>
        </w:rPr>
        <w:t>.</w:t>
      </w:r>
    </w:p>
    <w:p w:rsidR="005C2E80" w:rsidRDefault="005C2E80" w:rsidP="00111CC9">
      <w:pPr>
        <w:jc w:val="left"/>
        <w:rPr>
          <w:sz w:val="22"/>
        </w:rPr>
      </w:pPr>
    </w:p>
    <w:p w:rsidR="0046231F" w:rsidRDefault="005C2E80" w:rsidP="00111CC9">
      <w:pPr>
        <w:jc w:val="left"/>
        <w:rPr>
          <w:sz w:val="22"/>
        </w:rPr>
      </w:pPr>
      <w:r>
        <w:rPr>
          <w:sz w:val="22"/>
        </w:rPr>
        <w:t>Obviously, coverage is the critical issue of importance for regional mobile customers and in this RAMROC region the major MNO is Telstra</w:t>
      </w:r>
      <w:r w:rsidR="00C07FDB">
        <w:rPr>
          <w:sz w:val="22"/>
        </w:rPr>
        <w:t>,</w:t>
      </w:r>
      <w:r>
        <w:rPr>
          <w:sz w:val="22"/>
        </w:rPr>
        <w:t xml:space="preserve"> and to a lesser extent Optus</w:t>
      </w:r>
      <w:r w:rsidR="00E06629">
        <w:rPr>
          <w:sz w:val="22"/>
        </w:rPr>
        <w:t xml:space="preserve"> </w:t>
      </w:r>
      <w:r w:rsidR="00C07FDB">
        <w:rPr>
          <w:sz w:val="22"/>
        </w:rPr>
        <w:t xml:space="preserve">and </w:t>
      </w:r>
      <w:r w:rsidR="00E06629">
        <w:rPr>
          <w:sz w:val="22"/>
        </w:rPr>
        <w:t>Vodafone</w:t>
      </w:r>
      <w:r>
        <w:rPr>
          <w:sz w:val="22"/>
        </w:rPr>
        <w:t xml:space="preserve">. </w:t>
      </w:r>
    </w:p>
    <w:p w:rsidR="005C2E80" w:rsidRDefault="005C2E80" w:rsidP="00111CC9">
      <w:pPr>
        <w:jc w:val="left"/>
        <w:rPr>
          <w:sz w:val="22"/>
        </w:rPr>
      </w:pPr>
    </w:p>
    <w:p w:rsidR="005C2E80" w:rsidRDefault="005C2E80" w:rsidP="00111CC9">
      <w:pPr>
        <w:jc w:val="left"/>
        <w:rPr>
          <w:sz w:val="22"/>
        </w:rPr>
      </w:pPr>
      <w:r>
        <w:rPr>
          <w:sz w:val="22"/>
        </w:rPr>
        <w:t xml:space="preserve">Telstra have made the point to RAMROC that during the last decade it has expended 15% of its mobile </w:t>
      </w:r>
      <w:r w:rsidR="00E06629">
        <w:rPr>
          <w:sz w:val="22"/>
        </w:rPr>
        <w:t xml:space="preserve">phone </w:t>
      </w:r>
      <w:r>
        <w:rPr>
          <w:sz w:val="22"/>
        </w:rPr>
        <w:t>investment</w:t>
      </w:r>
      <w:r w:rsidR="00E06629">
        <w:rPr>
          <w:sz w:val="22"/>
        </w:rPr>
        <w:t xml:space="preserve"> on extending coverage to the last 2% of the </w:t>
      </w:r>
      <w:r w:rsidR="00C07FDB">
        <w:rPr>
          <w:sz w:val="22"/>
        </w:rPr>
        <w:t xml:space="preserve">national </w:t>
      </w:r>
      <w:r w:rsidR="00E06629">
        <w:rPr>
          <w:sz w:val="22"/>
        </w:rPr>
        <w:t xml:space="preserve">population, and that </w:t>
      </w:r>
      <w:r w:rsidR="00C07FDB">
        <w:rPr>
          <w:sz w:val="22"/>
        </w:rPr>
        <w:t>Telstra’s</w:t>
      </w:r>
      <w:r w:rsidR="00E06629">
        <w:rPr>
          <w:sz w:val="22"/>
        </w:rPr>
        <w:t xml:space="preserve"> investment strategy is </w:t>
      </w:r>
      <w:r w:rsidR="00C07FDB">
        <w:rPr>
          <w:sz w:val="22"/>
        </w:rPr>
        <w:t>geared to continuing</w:t>
      </w:r>
      <w:r w:rsidR="00E06629">
        <w:rPr>
          <w:sz w:val="22"/>
        </w:rPr>
        <w:t xml:space="preserve"> that momentum.</w:t>
      </w:r>
    </w:p>
    <w:p w:rsidR="00E06629" w:rsidRDefault="00E06629" w:rsidP="00111CC9">
      <w:pPr>
        <w:jc w:val="left"/>
        <w:rPr>
          <w:sz w:val="22"/>
        </w:rPr>
      </w:pPr>
    </w:p>
    <w:p w:rsidR="00E06629" w:rsidRDefault="00E06629" w:rsidP="00111CC9">
      <w:pPr>
        <w:jc w:val="left"/>
        <w:rPr>
          <w:sz w:val="22"/>
        </w:rPr>
      </w:pPr>
      <w:r>
        <w:rPr>
          <w:sz w:val="22"/>
        </w:rPr>
        <w:t>On that basis, Telstra maintains strongly that the current regulatory settings already deliver efficient competition and provide a level playing field for Telstra, Optus and Vodafone to invest in their own competing regional and rural mobile networks</w:t>
      </w:r>
      <w:r w:rsidR="00906237">
        <w:rPr>
          <w:sz w:val="22"/>
        </w:rPr>
        <w:t>.</w:t>
      </w:r>
      <w:r w:rsidR="00557475">
        <w:rPr>
          <w:sz w:val="22"/>
        </w:rPr>
        <w:t xml:space="preserve"> Telstra believes that regulated roaming will remove the business case for Telstr</w:t>
      </w:r>
      <w:r w:rsidR="001C2A96">
        <w:rPr>
          <w:sz w:val="22"/>
        </w:rPr>
        <w:t xml:space="preserve">a to further extend is network </w:t>
      </w:r>
      <w:r w:rsidR="00557475">
        <w:rPr>
          <w:sz w:val="22"/>
        </w:rPr>
        <w:t>coverage in regional Australia, which in turn will impact on the opportunity for further</w:t>
      </w:r>
      <w:r w:rsidR="00C07FDB">
        <w:rPr>
          <w:sz w:val="22"/>
        </w:rPr>
        <w:t xml:space="preserve"> network </w:t>
      </w:r>
      <w:r w:rsidR="00557475">
        <w:rPr>
          <w:sz w:val="22"/>
        </w:rPr>
        <w:t>investment in the RAMROC region.</w:t>
      </w:r>
    </w:p>
    <w:p w:rsidR="00557475" w:rsidRDefault="00557475" w:rsidP="00111CC9">
      <w:pPr>
        <w:jc w:val="left"/>
        <w:rPr>
          <w:sz w:val="22"/>
        </w:rPr>
      </w:pPr>
    </w:p>
    <w:p w:rsidR="00557475" w:rsidRDefault="001C2A96" w:rsidP="00111CC9">
      <w:pPr>
        <w:jc w:val="left"/>
        <w:rPr>
          <w:sz w:val="22"/>
        </w:rPr>
      </w:pPr>
      <w:r>
        <w:rPr>
          <w:sz w:val="22"/>
        </w:rPr>
        <w:t xml:space="preserve">Realistically, Telstra is probably the only MNO which is likely to expand network coverage in this region. The concern therefore is that any mobile roaming declaration whereby Optus and Vodafone would have access to the Telstra network could in turn </w:t>
      </w:r>
      <w:r w:rsidR="00C07FDB">
        <w:rPr>
          <w:sz w:val="22"/>
        </w:rPr>
        <w:t xml:space="preserve">severely </w:t>
      </w:r>
      <w:r>
        <w:rPr>
          <w:sz w:val="22"/>
        </w:rPr>
        <w:t>prejudice the opportunity for further</w:t>
      </w:r>
      <w:r w:rsidR="000F7622">
        <w:rPr>
          <w:sz w:val="22"/>
        </w:rPr>
        <w:t xml:space="preserve"> Telstra expansion. </w:t>
      </w:r>
    </w:p>
    <w:p w:rsidR="004F62F7" w:rsidRDefault="004F62F7" w:rsidP="00111CC9">
      <w:pPr>
        <w:jc w:val="left"/>
        <w:rPr>
          <w:sz w:val="22"/>
        </w:rPr>
      </w:pPr>
    </w:p>
    <w:p w:rsidR="004F62F7" w:rsidRDefault="004F62F7" w:rsidP="00111CC9">
      <w:pPr>
        <w:jc w:val="left"/>
        <w:rPr>
          <w:sz w:val="22"/>
        </w:rPr>
      </w:pPr>
      <w:r>
        <w:rPr>
          <w:sz w:val="22"/>
        </w:rPr>
        <w:t xml:space="preserve">Telstra </w:t>
      </w:r>
      <w:r w:rsidR="00C07FDB">
        <w:rPr>
          <w:sz w:val="22"/>
        </w:rPr>
        <w:t>therefore argues</w:t>
      </w:r>
      <w:r>
        <w:rPr>
          <w:sz w:val="22"/>
        </w:rPr>
        <w:t xml:space="preserve"> that </w:t>
      </w:r>
      <w:r w:rsidR="00C07FDB">
        <w:rPr>
          <w:sz w:val="22"/>
        </w:rPr>
        <w:t xml:space="preserve">its </w:t>
      </w:r>
      <w:r>
        <w:rPr>
          <w:sz w:val="22"/>
        </w:rPr>
        <w:t xml:space="preserve">future expansion </w:t>
      </w:r>
      <w:r w:rsidR="00C07FDB">
        <w:rPr>
          <w:sz w:val="22"/>
        </w:rPr>
        <w:t xml:space="preserve">strategy </w:t>
      </w:r>
      <w:r>
        <w:rPr>
          <w:sz w:val="22"/>
        </w:rPr>
        <w:t xml:space="preserve">will be threatened, even though Telstra would </w:t>
      </w:r>
      <w:r w:rsidR="00C07FDB">
        <w:rPr>
          <w:sz w:val="22"/>
        </w:rPr>
        <w:t xml:space="preserve">no doubt </w:t>
      </w:r>
      <w:r>
        <w:rPr>
          <w:sz w:val="22"/>
        </w:rPr>
        <w:t>receive income from other MNO</w:t>
      </w:r>
      <w:r w:rsidR="00C07FDB">
        <w:rPr>
          <w:sz w:val="22"/>
        </w:rPr>
        <w:t>’s</w:t>
      </w:r>
      <w:r>
        <w:rPr>
          <w:sz w:val="22"/>
        </w:rPr>
        <w:t xml:space="preserve"> u</w:t>
      </w:r>
      <w:r w:rsidR="00C07FDB">
        <w:rPr>
          <w:sz w:val="22"/>
        </w:rPr>
        <w:t>tili</w:t>
      </w:r>
      <w:r>
        <w:rPr>
          <w:sz w:val="22"/>
        </w:rPr>
        <w:t>sing the Telstra network.</w:t>
      </w:r>
    </w:p>
    <w:p w:rsidR="000F7622" w:rsidRDefault="000F7622" w:rsidP="00111CC9">
      <w:pPr>
        <w:jc w:val="left"/>
        <w:rPr>
          <w:sz w:val="22"/>
        </w:rPr>
      </w:pPr>
    </w:p>
    <w:p w:rsidR="004F62F7" w:rsidRDefault="000F7622" w:rsidP="00111CC9">
      <w:pPr>
        <w:jc w:val="left"/>
        <w:rPr>
          <w:sz w:val="22"/>
        </w:rPr>
      </w:pPr>
      <w:r>
        <w:rPr>
          <w:sz w:val="22"/>
        </w:rPr>
        <w:t xml:space="preserve">On the other hand, it is unrealistic to expect that all three network providers would invest in </w:t>
      </w:r>
      <w:r w:rsidR="00815214">
        <w:rPr>
          <w:sz w:val="22"/>
        </w:rPr>
        <w:t>significant network infrastructure</w:t>
      </w:r>
      <w:r>
        <w:rPr>
          <w:sz w:val="22"/>
        </w:rPr>
        <w:t xml:space="preserve">, nor would that be logical </w:t>
      </w:r>
      <w:r w:rsidR="004F62F7">
        <w:rPr>
          <w:sz w:val="22"/>
        </w:rPr>
        <w:t>or</w:t>
      </w:r>
      <w:r>
        <w:rPr>
          <w:sz w:val="22"/>
        </w:rPr>
        <w:t xml:space="preserve"> efficient. </w:t>
      </w:r>
      <w:r w:rsidR="004F62F7">
        <w:rPr>
          <w:sz w:val="22"/>
        </w:rPr>
        <w:t xml:space="preserve">A shared network, based on fair and reasonable financial </w:t>
      </w:r>
      <w:r w:rsidR="00815214">
        <w:rPr>
          <w:sz w:val="22"/>
        </w:rPr>
        <w:t>terms</w:t>
      </w:r>
      <w:r w:rsidR="00C07FDB">
        <w:rPr>
          <w:sz w:val="22"/>
        </w:rPr>
        <w:t>,</w:t>
      </w:r>
      <w:r w:rsidR="004F62F7">
        <w:rPr>
          <w:sz w:val="22"/>
        </w:rPr>
        <w:t xml:space="preserve"> would seem to be the most </w:t>
      </w:r>
      <w:r w:rsidR="00815214">
        <w:rPr>
          <w:sz w:val="22"/>
        </w:rPr>
        <w:t>efficient</w:t>
      </w:r>
      <w:r w:rsidR="004F62F7">
        <w:rPr>
          <w:sz w:val="22"/>
        </w:rPr>
        <w:t xml:space="preserve"> outcome.</w:t>
      </w:r>
    </w:p>
    <w:p w:rsidR="004F62F7" w:rsidRDefault="004F62F7" w:rsidP="00111CC9">
      <w:pPr>
        <w:jc w:val="left"/>
        <w:rPr>
          <w:sz w:val="22"/>
        </w:rPr>
      </w:pPr>
    </w:p>
    <w:p w:rsidR="000F7622" w:rsidRDefault="00E21837" w:rsidP="00111CC9">
      <w:pPr>
        <w:jc w:val="left"/>
        <w:rPr>
          <w:sz w:val="22"/>
        </w:rPr>
      </w:pPr>
      <w:r>
        <w:rPr>
          <w:sz w:val="22"/>
        </w:rPr>
        <w:t>Conversely the</w:t>
      </w:r>
      <w:r w:rsidR="000F7622">
        <w:rPr>
          <w:sz w:val="22"/>
        </w:rPr>
        <w:t xml:space="preserve"> concern is that unless mobile roaming is declared, Optus and Vodafone customers will simply have little or nil coverage in this region</w:t>
      </w:r>
      <w:r>
        <w:rPr>
          <w:sz w:val="22"/>
        </w:rPr>
        <w:t xml:space="preserve">, </w:t>
      </w:r>
      <w:r w:rsidR="00815214">
        <w:rPr>
          <w:sz w:val="22"/>
        </w:rPr>
        <w:t xml:space="preserve">certainly </w:t>
      </w:r>
      <w:r>
        <w:rPr>
          <w:sz w:val="22"/>
        </w:rPr>
        <w:t xml:space="preserve">outside of the </w:t>
      </w:r>
      <w:r w:rsidR="00C07FDB">
        <w:rPr>
          <w:sz w:val="22"/>
        </w:rPr>
        <w:t xml:space="preserve">main </w:t>
      </w:r>
      <w:r>
        <w:rPr>
          <w:sz w:val="22"/>
        </w:rPr>
        <w:t>urban centres.</w:t>
      </w:r>
      <w:r w:rsidR="000F7622">
        <w:rPr>
          <w:sz w:val="22"/>
        </w:rPr>
        <w:t xml:space="preserve"> Some of those people will no doubt be our region’s residents and others will </w:t>
      </w:r>
      <w:r>
        <w:rPr>
          <w:sz w:val="22"/>
        </w:rPr>
        <w:t xml:space="preserve">most likely </w:t>
      </w:r>
      <w:r w:rsidR="000F7622">
        <w:rPr>
          <w:sz w:val="22"/>
        </w:rPr>
        <w:t>be people travelling through the region</w:t>
      </w:r>
      <w:r w:rsidR="004F62F7">
        <w:rPr>
          <w:sz w:val="22"/>
        </w:rPr>
        <w:t xml:space="preserve">. However, </w:t>
      </w:r>
      <w:r w:rsidR="000F7622">
        <w:rPr>
          <w:sz w:val="22"/>
        </w:rPr>
        <w:t xml:space="preserve">in either category, it </w:t>
      </w:r>
      <w:r>
        <w:rPr>
          <w:sz w:val="22"/>
        </w:rPr>
        <w:t>seems to be</w:t>
      </w:r>
      <w:r w:rsidR="000F7622">
        <w:rPr>
          <w:sz w:val="22"/>
        </w:rPr>
        <w:t xml:space="preserve"> </w:t>
      </w:r>
      <w:r w:rsidR="004F62F7">
        <w:rPr>
          <w:sz w:val="22"/>
        </w:rPr>
        <w:t>essential</w:t>
      </w:r>
      <w:r w:rsidR="000F7622">
        <w:rPr>
          <w:sz w:val="22"/>
        </w:rPr>
        <w:t xml:space="preserve"> for th</w:t>
      </w:r>
      <w:r w:rsidR="004F62F7">
        <w:rPr>
          <w:sz w:val="22"/>
        </w:rPr>
        <w:t xml:space="preserve">ose </w:t>
      </w:r>
      <w:r>
        <w:rPr>
          <w:sz w:val="22"/>
        </w:rPr>
        <w:t xml:space="preserve">Optus and Vodafone </w:t>
      </w:r>
      <w:r w:rsidR="004F62F7">
        <w:rPr>
          <w:sz w:val="22"/>
        </w:rPr>
        <w:t>customers</w:t>
      </w:r>
      <w:r w:rsidR="000F7622">
        <w:rPr>
          <w:sz w:val="22"/>
        </w:rPr>
        <w:t xml:space="preserve"> to have </w:t>
      </w:r>
      <w:r w:rsidR="004F62F7">
        <w:rPr>
          <w:sz w:val="22"/>
        </w:rPr>
        <w:t xml:space="preserve">access to the best possible </w:t>
      </w:r>
      <w:r w:rsidR="000F7622">
        <w:rPr>
          <w:sz w:val="22"/>
        </w:rPr>
        <w:t xml:space="preserve">phone </w:t>
      </w:r>
      <w:r>
        <w:rPr>
          <w:sz w:val="22"/>
        </w:rPr>
        <w:t>servic</w:t>
      </w:r>
      <w:r w:rsidR="000F7622">
        <w:rPr>
          <w:sz w:val="22"/>
        </w:rPr>
        <w:t>e</w:t>
      </w:r>
      <w:r w:rsidR="00815214">
        <w:rPr>
          <w:sz w:val="22"/>
        </w:rPr>
        <w:t>s</w:t>
      </w:r>
      <w:r w:rsidR="000F7622">
        <w:rPr>
          <w:sz w:val="22"/>
        </w:rPr>
        <w:t xml:space="preserve">, particularly </w:t>
      </w:r>
      <w:r w:rsidR="00815214">
        <w:rPr>
          <w:sz w:val="22"/>
        </w:rPr>
        <w:t>these are critical</w:t>
      </w:r>
      <w:r w:rsidR="00C07FDB">
        <w:rPr>
          <w:sz w:val="22"/>
        </w:rPr>
        <w:t xml:space="preserve"> </w:t>
      </w:r>
      <w:r w:rsidR="00815214">
        <w:rPr>
          <w:sz w:val="22"/>
        </w:rPr>
        <w:t xml:space="preserve">to cope with </w:t>
      </w:r>
      <w:r w:rsidR="000F7622">
        <w:rPr>
          <w:sz w:val="22"/>
        </w:rPr>
        <w:t>emergency</w:t>
      </w:r>
      <w:r w:rsidR="00C07FDB">
        <w:rPr>
          <w:sz w:val="22"/>
        </w:rPr>
        <w:t xml:space="preserve"> ci</w:t>
      </w:r>
      <w:r w:rsidR="00CF267C">
        <w:rPr>
          <w:sz w:val="22"/>
        </w:rPr>
        <w:t>r</w:t>
      </w:r>
      <w:r w:rsidR="00C07FDB">
        <w:rPr>
          <w:sz w:val="22"/>
        </w:rPr>
        <w:t>cumstances</w:t>
      </w:r>
      <w:r w:rsidR="000F7622">
        <w:rPr>
          <w:sz w:val="22"/>
        </w:rPr>
        <w:t>.</w:t>
      </w:r>
    </w:p>
    <w:p w:rsidR="000F7622" w:rsidRDefault="000F7622" w:rsidP="00111CC9">
      <w:pPr>
        <w:jc w:val="left"/>
        <w:rPr>
          <w:sz w:val="22"/>
        </w:rPr>
      </w:pPr>
    </w:p>
    <w:p w:rsidR="004F62F7" w:rsidRDefault="00E21837" w:rsidP="00111CC9">
      <w:pPr>
        <w:jc w:val="left"/>
        <w:rPr>
          <w:sz w:val="22"/>
        </w:rPr>
      </w:pPr>
      <w:r>
        <w:rPr>
          <w:sz w:val="22"/>
        </w:rPr>
        <w:t xml:space="preserve">In summary, </w:t>
      </w:r>
      <w:r w:rsidR="005C362C">
        <w:rPr>
          <w:sz w:val="22"/>
        </w:rPr>
        <w:t>the challenge is to</w:t>
      </w:r>
      <w:r>
        <w:rPr>
          <w:sz w:val="22"/>
        </w:rPr>
        <w:t xml:space="preserve"> ensure </w:t>
      </w:r>
      <w:r w:rsidR="00C07FDB">
        <w:rPr>
          <w:sz w:val="22"/>
        </w:rPr>
        <w:t xml:space="preserve">that </w:t>
      </w:r>
      <w:r>
        <w:rPr>
          <w:sz w:val="22"/>
        </w:rPr>
        <w:t xml:space="preserve">investment by Telstra in </w:t>
      </w:r>
      <w:r w:rsidR="00815214">
        <w:rPr>
          <w:sz w:val="22"/>
        </w:rPr>
        <w:t>future expansion of</w:t>
      </w:r>
      <w:r>
        <w:rPr>
          <w:sz w:val="22"/>
        </w:rPr>
        <w:t xml:space="preserve"> existing mobile network coverage to rural and remote areas</w:t>
      </w:r>
      <w:r w:rsidR="005C362C">
        <w:rPr>
          <w:sz w:val="22"/>
        </w:rPr>
        <w:t xml:space="preserve"> is not prejudiced</w:t>
      </w:r>
      <w:r w:rsidR="007104F2">
        <w:rPr>
          <w:sz w:val="22"/>
        </w:rPr>
        <w:t>. On</w:t>
      </w:r>
      <w:r>
        <w:rPr>
          <w:sz w:val="22"/>
        </w:rPr>
        <w:t xml:space="preserve"> the other</w:t>
      </w:r>
      <w:r w:rsidR="008550E2">
        <w:rPr>
          <w:sz w:val="22"/>
        </w:rPr>
        <w:t xml:space="preserve"> hand</w:t>
      </w:r>
      <w:r w:rsidR="005C362C">
        <w:rPr>
          <w:sz w:val="22"/>
        </w:rPr>
        <w:t>,</w:t>
      </w:r>
      <w:r w:rsidR="008550E2">
        <w:rPr>
          <w:sz w:val="22"/>
        </w:rPr>
        <w:t xml:space="preserve"> customers on other networks </w:t>
      </w:r>
      <w:r w:rsidR="00815214">
        <w:rPr>
          <w:sz w:val="22"/>
        </w:rPr>
        <w:t>are</w:t>
      </w:r>
      <w:r w:rsidR="005C362C">
        <w:rPr>
          <w:sz w:val="22"/>
        </w:rPr>
        <w:t xml:space="preserve"> entitled to </w:t>
      </w:r>
      <w:r w:rsidR="008550E2">
        <w:rPr>
          <w:sz w:val="22"/>
        </w:rPr>
        <w:t xml:space="preserve">have best possible mobile </w:t>
      </w:r>
      <w:r w:rsidR="005C362C">
        <w:rPr>
          <w:sz w:val="22"/>
        </w:rPr>
        <w:t>network</w:t>
      </w:r>
      <w:r w:rsidR="007104F2">
        <w:rPr>
          <w:sz w:val="22"/>
        </w:rPr>
        <w:t xml:space="preserve"> access</w:t>
      </w:r>
      <w:r w:rsidR="008550E2">
        <w:rPr>
          <w:sz w:val="22"/>
        </w:rPr>
        <w:t>.</w:t>
      </w:r>
    </w:p>
    <w:p w:rsidR="008550E2" w:rsidRDefault="008550E2" w:rsidP="00111CC9">
      <w:pPr>
        <w:jc w:val="left"/>
        <w:rPr>
          <w:sz w:val="22"/>
        </w:rPr>
      </w:pPr>
    </w:p>
    <w:p w:rsidR="00811C20" w:rsidRDefault="002F20C0" w:rsidP="00111CC9">
      <w:pPr>
        <w:jc w:val="left"/>
        <w:rPr>
          <w:sz w:val="22"/>
        </w:rPr>
      </w:pPr>
      <w:r>
        <w:rPr>
          <w:sz w:val="22"/>
        </w:rPr>
        <w:t>Hopefully</w:t>
      </w:r>
      <w:r w:rsidR="00811C20">
        <w:rPr>
          <w:sz w:val="22"/>
        </w:rPr>
        <w:t xml:space="preserve"> ACCC </w:t>
      </w:r>
      <w:r>
        <w:rPr>
          <w:sz w:val="22"/>
        </w:rPr>
        <w:t>can</w:t>
      </w:r>
      <w:r w:rsidR="00811C20">
        <w:rPr>
          <w:sz w:val="22"/>
        </w:rPr>
        <w:t xml:space="preserve"> </w:t>
      </w:r>
      <w:r w:rsidR="00CF267C">
        <w:rPr>
          <w:sz w:val="22"/>
        </w:rPr>
        <w:t>resolve</w:t>
      </w:r>
      <w:r w:rsidR="00811C20">
        <w:rPr>
          <w:sz w:val="22"/>
        </w:rPr>
        <w:t xml:space="preserve"> </w:t>
      </w:r>
      <w:r>
        <w:rPr>
          <w:sz w:val="22"/>
        </w:rPr>
        <w:t xml:space="preserve">fair and equitable </w:t>
      </w:r>
      <w:r w:rsidR="00CF267C">
        <w:rPr>
          <w:sz w:val="22"/>
        </w:rPr>
        <w:t xml:space="preserve">determinations that </w:t>
      </w:r>
      <w:r w:rsidR="00815214">
        <w:rPr>
          <w:sz w:val="22"/>
        </w:rPr>
        <w:t>will</w:t>
      </w:r>
      <w:r w:rsidR="00CF267C">
        <w:rPr>
          <w:sz w:val="22"/>
        </w:rPr>
        <w:t xml:space="preserve"> </w:t>
      </w:r>
      <w:r w:rsidR="00811C20">
        <w:rPr>
          <w:sz w:val="22"/>
        </w:rPr>
        <w:t xml:space="preserve">satisfy </w:t>
      </w:r>
      <w:r w:rsidR="00C07FDB">
        <w:rPr>
          <w:sz w:val="22"/>
        </w:rPr>
        <w:t xml:space="preserve">these competing </w:t>
      </w:r>
      <w:r w:rsidR="00CF267C">
        <w:rPr>
          <w:sz w:val="22"/>
        </w:rPr>
        <w:t xml:space="preserve">and challenging </w:t>
      </w:r>
      <w:r w:rsidR="00811C20">
        <w:rPr>
          <w:sz w:val="22"/>
        </w:rPr>
        <w:t>objectives</w:t>
      </w:r>
      <w:r>
        <w:rPr>
          <w:sz w:val="22"/>
        </w:rPr>
        <w:t>.</w:t>
      </w:r>
      <w:r w:rsidR="00811C20">
        <w:rPr>
          <w:sz w:val="22"/>
        </w:rPr>
        <w:t xml:space="preserve"> </w:t>
      </w:r>
    </w:p>
    <w:p w:rsidR="00811C20" w:rsidRDefault="00811C20" w:rsidP="00111CC9">
      <w:pPr>
        <w:jc w:val="left"/>
        <w:rPr>
          <w:sz w:val="22"/>
        </w:rPr>
      </w:pPr>
    </w:p>
    <w:p w:rsidR="005F3E82" w:rsidRDefault="005F3E82" w:rsidP="00111CC9">
      <w:pPr>
        <w:jc w:val="left"/>
        <w:rPr>
          <w:sz w:val="22"/>
        </w:rPr>
      </w:pPr>
    </w:p>
    <w:p w:rsidR="008550E2" w:rsidRDefault="008550E2" w:rsidP="00111CC9">
      <w:pPr>
        <w:jc w:val="left"/>
        <w:rPr>
          <w:sz w:val="22"/>
        </w:rPr>
      </w:pPr>
      <w:r>
        <w:rPr>
          <w:sz w:val="22"/>
        </w:rPr>
        <w:t>Yours faithfully,</w:t>
      </w:r>
    </w:p>
    <w:p w:rsidR="008550E2" w:rsidRDefault="007104F2" w:rsidP="00111CC9">
      <w:pPr>
        <w:jc w:val="left"/>
        <w:rPr>
          <w:sz w:val="22"/>
        </w:rPr>
      </w:pPr>
      <w:r>
        <w:rPr>
          <w:noProof/>
          <w:sz w:val="22"/>
          <w:lang w:val="en-AU" w:eastAsia="en-AU"/>
        </w:rPr>
        <w:drawing>
          <wp:inline distT="0" distB="0" distL="0" distR="0">
            <wp:extent cx="1445895" cy="488950"/>
            <wp:effectExtent l="0" t="0" r="0" b="0"/>
            <wp:docPr id="2" name="Picture 2" descr="G:\RAMROC\Templates\RStubbs signature jp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ROC\Templates\RStubbs signature jpg.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5895" cy="488950"/>
                    </a:xfrm>
                    <a:prstGeom prst="rect">
                      <a:avLst/>
                    </a:prstGeom>
                    <a:noFill/>
                    <a:ln>
                      <a:noFill/>
                    </a:ln>
                  </pic:spPr>
                </pic:pic>
              </a:graphicData>
            </a:graphic>
          </wp:inline>
        </w:drawing>
      </w:r>
    </w:p>
    <w:p w:rsidR="007104F2" w:rsidRDefault="008550E2">
      <w:pPr>
        <w:jc w:val="left"/>
        <w:rPr>
          <w:sz w:val="22"/>
        </w:rPr>
      </w:pPr>
      <w:r>
        <w:rPr>
          <w:sz w:val="22"/>
        </w:rPr>
        <w:t>Ray Stubbs</w:t>
      </w:r>
      <w:r w:rsidRPr="008550E2">
        <w:rPr>
          <w:sz w:val="22"/>
        </w:rPr>
        <w:t xml:space="preserve"> </w:t>
      </w:r>
      <w:r>
        <w:rPr>
          <w:sz w:val="22"/>
        </w:rPr>
        <w:t xml:space="preserve"> </w:t>
      </w:r>
    </w:p>
    <w:p w:rsidR="008550E2" w:rsidRDefault="008550E2">
      <w:pPr>
        <w:jc w:val="left"/>
        <w:rPr>
          <w:sz w:val="22"/>
        </w:rPr>
      </w:pPr>
      <w:r>
        <w:rPr>
          <w:sz w:val="22"/>
        </w:rPr>
        <w:t>RAMROC Executive Officer</w:t>
      </w:r>
    </w:p>
    <w:sectPr w:rsidR="008550E2" w:rsidSect="00EE4540">
      <w:headerReference w:type="default" r:id="rId10"/>
      <w:footerReference w:type="first" r:id="rId11"/>
      <w:pgSz w:w="11907" w:h="16840" w:code="9"/>
      <w:pgMar w:top="142" w:right="1140" w:bottom="1134" w:left="1582" w:header="561"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C62" w:rsidRDefault="00BA4C62">
      <w:r>
        <w:separator/>
      </w:r>
    </w:p>
  </w:endnote>
  <w:endnote w:type="continuationSeparator" w:id="0">
    <w:p w:rsidR="00BA4C62" w:rsidRDefault="00BA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62" w:rsidRPr="00834717" w:rsidRDefault="00BA4C62" w:rsidP="00834717">
    <w:pPr>
      <w:pStyle w:val="Footer"/>
      <w:tabs>
        <w:tab w:val="clear" w:pos="4153"/>
        <w:tab w:val="clear" w:pos="8306"/>
      </w:tabs>
      <w:jc w:val="center"/>
      <w:rPr>
        <w:b/>
        <w:color w:val="3366FF"/>
        <w:sz w:val="18"/>
        <w:szCs w:val="18"/>
      </w:rPr>
    </w:pPr>
    <w:r w:rsidRPr="00834717">
      <w:rPr>
        <w:b/>
        <w:smallCaps/>
        <w:color w:val="3366FF"/>
        <w:sz w:val="18"/>
        <w:szCs w:val="18"/>
        <w:u w:val="single"/>
      </w:rPr>
      <w:t>Member Councils</w:t>
    </w:r>
    <w:r w:rsidRPr="00834717">
      <w:rPr>
        <w:b/>
        <w:smallCaps/>
        <w:color w:val="3366FF"/>
        <w:sz w:val="18"/>
        <w:szCs w:val="18"/>
      </w:rPr>
      <w:t xml:space="preserve">    </w:t>
    </w:r>
    <w:r>
      <w:rPr>
        <w:b/>
        <w:color w:val="3366FF"/>
        <w:sz w:val="18"/>
        <w:szCs w:val="18"/>
      </w:rPr>
      <w:t xml:space="preserve">Albury, </w:t>
    </w:r>
    <w:r w:rsidRPr="00834717">
      <w:rPr>
        <w:b/>
        <w:color w:val="3366FF"/>
        <w:sz w:val="18"/>
        <w:szCs w:val="18"/>
      </w:rPr>
      <w:t xml:space="preserve">Balranald, Berrigan, Carrathool, </w:t>
    </w:r>
    <w:r>
      <w:rPr>
        <w:b/>
        <w:color w:val="3366FF"/>
        <w:sz w:val="18"/>
        <w:szCs w:val="18"/>
      </w:rPr>
      <w:t>Edward River, Federation</w:t>
    </w:r>
    <w:r w:rsidRPr="00834717">
      <w:rPr>
        <w:b/>
        <w:color w:val="3366FF"/>
        <w:sz w:val="18"/>
        <w:szCs w:val="18"/>
      </w:rPr>
      <w:t>, Greater Hume, Griffith, Hay, Leeton, Murray</w:t>
    </w:r>
    <w:r>
      <w:rPr>
        <w:b/>
        <w:color w:val="3366FF"/>
        <w:sz w:val="18"/>
        <w:szCs w:val="18"/>
      </w:rPr>
      <w:t xml:space="preserve"> River</w:t>
    </w:r>
    <w:r w:rsidRPr="00834717">
      <w:rPr>
        <w:b/>
        <w:color w:val="3366FF"/>
        <w:sz w:val="18"/>
        <w:szCs w:val="18"/>
      </w:rPr>
      <w:t>, Murrumbidgee, Narrandera and Wentworth</w:t>
    </w:r>
  </w:p>
  <w:p w:rsidR="00BA4C62" w:rsidRPr="001A3B12" w:rsidRDefault="00BA4C62" w:rsidP="00834717">
    <w:pPr>
      <w:pStyle w:val="Footer"/>
      <w:tabs>
        <w:tab w:val="clear" w:pos="4153"/>
        <w:tab w:val="clear" w:pos="8306"/>
      </w:tabs>
      <w:rPr>
        <w:b/>
        <w:smallCaps/>
        <w:color w:val="3366FF"/>
        <w:sz w:val="18"/>
        <w:szCs w:val="18"/>
      </w:rPr>
    </w:pPr>
  </w:p>
  <w:p w:rsidR="00BA4C62" w:rsidRPr="00833CE4" w:rsidRDefault="00BA4C62">
    <w:pPr>
      <w:pStyle w:val="Footer"/>
      <w:tabs>
        <w:tab w:val="clear" w:pos="4153"/>
        <w:tab w:val="clear" w:pos="8306"/>
      </w:tabs>
      <w:jc w:val="center"/>
      <w:rPr>
        <w:smallCaps/>
        <w:color w:val="3366FF"/>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C62" w:rsidRDefault="00BA4C62">
      <w:r>
        <w:separator/>
      </w:r>
    </w:p>
  </w:footnote>
  <w:footnote w:type="continuationSeparator" w:id="0">
    <w:p w:rsidR="00BA4C62" w:rsidRDefault="00BA4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62" w:rsidRDefault="00BA4C62">
    <w:pPr>
      <w:pStyle w:val="Header"/>
      <w:jc w:val="center"/>
      <w:rPr>
        <w:rStyle w:val="PageNumber"/>
        <w:b/>
      </w:rPr>
    </w:pPr>
    <w:r>
      <w:rPr>
        <w:rStyle w:val="PageNumber"/>
        <w:b/>
      </w:rPr>
      <w:t>-</w:t>
    </w:r>
    <w:r>
      <w:rPr>
        <w:rStyle w:val="PageNumber"/>
        <w:b/>
      </w:rPr>
      <w:fldChar w:fldCharType="begin"/>
    </w:r>
    <w:r>
      <w:rPr>
        <w:rStyle w:val="PageNumber"/>
        <w:b/>
      </w:rPr>
      <w:instrText xml:space="preserve"> PAGE </w:instrText>
    </w:r>
    <w:r>
      <w:rPr>
        <w:rStyle w:val="PageNumber"/>
        <w:b/>
      </w:rPr>
      <w:fldChar w:fldCharType="separate"/>
    </w:r>
    <w:r w:rsidR="00443C77">
      <w:rPr>
        <w:rStyle w:val="PageNumber"/>
        <w:b/>
        <w:noProof/>
      </w:rPr>
      <w:t>2</w:t>
    </w:r>
    <w:r>
      <w:rPr>
        <w:rStyle w:val="PageNumber"/>
        <w:b/>
      </w:rPr>
      <w:fldChar w:fldCharType="end"/>
    </w:r>
    <w:r>
      <w:rPr>
        <w:rStyle w:val="PageNumber"/>
        <w:b/>
      </w:rPr>
      <w:t>-</w:t>
    </w:r>
  </w:p>
  <w:p w:rsidR="00BA4C62" w:rsidRDefault="00BA4C62">
    <w:pPr>
      <w:pStyle w:val="Header"/>
      <w:jc w:val="center"/>
      <w:rPr>
        <w:rStyle w:val="PageNumber"/>
      </w:rPr>
    </w:pPr>
  </w:p>
  <w:p w:rsidR="00BA4C62" w:rsidRDefault="00BA4C62">
    <w:pPr>
      <w:pStyle w:val="Header"/>
      <w:jc w:val="center"/>
      <w:rPr>
        <w:rStyle w:val="PageNumber"/>
      </w:rPr>
    </w:pPr>
  </w:p>
  <w:p w:rsidR="00BA4C62" w:rsidRDefault="00BA4C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0A78"/>
    <w:multiLevelType w:val="hybridMultilevel"/>
    <w:tmpl w:val="839A2472"/>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nsid w:val="109C7025"/>
    <w:multiLevelType w:val="singleLevel"/>
    <w:tmpl w:val="690A24A2"/>
    <w:lvl w:ilvl="0">
      <w:start w:val="1"/>
      <w:numFmt w:val="bullet"/>
      <w:lvlText w:val=""/>
      <w:lvlJc w:val="left"/>
      <w:pPr>
        <w:tabs>
          <w:tab w:val="num" w:pos="644"/>
        </w:tabs>
        <w:ind w:left="624" w:hanging="340"/>
      </w:pPr>
      <w:rPr>
        <w:rFonts w:ascii="Symbol" w:hAnsi="Symbol" w:hint="default"/>
      </w:rPr>
    </w:lvl>
  </w:abstractNum>
  <w:abstractNum w:abstractNumId="2">
    <w:nsid w:val="22710F75"/>
    <w:multiLevelType w:val="hybridMultilevel"/>
    <w:tmpl w:val="552256FE"/>
    <w:lvl w:ilvl="0" w:tplc="B70CB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5232C"/>
    <w:multiLevelType w:val="hybridMultilevel"/>
    <w:tmpl w:val="1018D23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70F16D4"/>
    <w:multiLevelType w:val="hybridMultilevel"/>
    <w:tmpl w:val="06DA55A0"/>
    <w:lvl w:ilvl="0" w:tplc="D1C89654">
      <w:start w:val="1"/>
      <w:numFmt w:val="bullet"/>
      <w:lvlText w:val="•"/>
      <w:lvlJc w:val="left"/>
      <w:pPr>
        <w:tabs>
          <w:tab w:val="num" w:pos="720"/>
        </w:tabs>
        <w:ind w:left="720" w:hanging="360"/>
      </w:pPr>
      <w:rPr>
        <w:rFonts w:ascii="Times New Roman" w:hAnsi="Times New Roman" w:hint="default"/>
      </w:rPr>
    </w:lvl>
    <w:lvl w:ilvl="1" w:tplc="C2862696" w:tentative="1">
      <w:start w:val="1"/>
      <w:numFmt w:val="bullet"/>
      <w:lvlText w:val="•"/>
      <w:lvlJc w:val="left"/>
      <w:pPr>
        <w:tabs>
          <w:tab w:val="num" w:pos="1440"/>
        </w:tabs>
        <w:ind w:left="1440" w:hanging="360"/>
      </w:pPr>
      <w:rPr>
        <w:rFonts w:ascii="Times New Roman" w:hAnsi="Times New Roman" w:hint="default"/>
      </w:rPr>
    </w:lvl>
    <w:lvl w:ilvl="2" w:tplc="C85ACB6E" w:tentative="1">
      <w:start w:val="1"/>
      <w:numFmt w:val="bullet"/>
      <w:lvlText w:val="•"/>
      <w:lvlJc w:val="left"/>
      <w:pPr>
        <w:tabs>
          <w:tab w:val="num" w:pos="2160"/>
        </w:tabs>
        <w:ind w:left="2160" w:hanging="360"/>
      </w:pPr>
      <w:rPr>
        <w:rFonts w:ascii="Times New Roman" w:hAnsi="Times New Roman" w:hint="default"/>
      </w:rPr>
    </w:lvl>
    <w:lvl w:ilvl="3" w:tplc="B0E85D9E" w:tentative="1">
      <w:start w:val="1"/>
      <w:numFmt w:val="bullet"/>
      <w:lvlText w:val="•"/>
      <w:lvlJc w:val="left"/>
      <w:pPr>
        <w:tabs>
          <w:tab w:val="num" w:pos="2880"/>
        </w:tabs>
        <w:ind w:left="2880" w:hanging="360"/>
      </w:pPr>
      <w:rPr>
        <w:rFonts w:ascii="Times New Roman" w:hAnsi="Times New Roman" w:hint="default"/>
      </w:rPr>
    </w:lvl>
    <w:lvl w:ilvl="4" w:tplc="EAC6597C" w:tentative="1">
      <w:start w:val="1"/>
      <w:numFmt w:val="bullet"/>
      <w:lvlText w:val="•"/>
      <w:lvlJc w:val="left"/>
      <w:pPr>
        <w:tabs>
          <w:tab w:val="num" w:pos="3600"/>
        </w:tabs>
        <w:ind w:left="3600" w:hanging="360"/>
      </w:pPr>
      <w:rPr>
        <w:rFonts w:ascii="Times New Roman" w:hAnsi="Times New Roman" w:hint="default"/>
      </w:rPr>
    </w:lvl>
    <w:lvl w:ilvl="5" w:tplc="41ACD2C4" w:tentative="1">
      <w:start w:val="1"/>
      <w:numFmt w:val="bullet"/>
      <w:lvlText w:val="•"/>
      <w:lvlJc w:val="left"/>
      <w:pPr>
        <w:tabs>
          <w:tab w:val="num" w:pos="4320"/>
        </w:tabs>
        <w:ind w:left="4320" w:hanging="360"/>
      </w:pPr>
      <w:rPr>
        <w:rFonts w:ascii="Times New Roman" w:hAnsi="Times New Roman" w:hint="default"/>
      </w:rPr>
    </w:lvl>
    <w:lvl w:ilvl="6" w:tplc="32346962" w:tentative="1">
      <w:start w:val="1"/>
      <w:numFmt w:val="bullet"/>
      <w:lvlText w:val="•"/>
      <w:lvlJc w:val="left"/>
      <w:pPr>
        <w:tabs>
          <w:tab w:val="num" w:pos="5040"/>
        </w:tabs>
        <w:ind w:left="5040" w:hanging="360"/>
      </w:pPr>
      <w:rPr>
        <w:rFonts w:ascii="Times New Roman" w:hAnsi="Times New Roman" w:hint="default"/>
      </w:rPr>
    </w:lvl>
    <w:lvl w:ilvl="7" w:tplc="2B28F6DA" w:tentative="1">
      <w:start w:val="1"/>
      <w:numFmt w:val="bullet"/>
      <w:lvlText w:val="•"/>
      <w:lvlJc w:val="left"/>
      <w:pPr>
        <w:tabs>
          <w:tab w:val="num" w:pos="5760"/>
        </w:tabs>
        <w:ind w:left="5760" w:hanging="360"/>
      </w:pPr>
      <w:rPr>
        <w:rFonts w:ascii="Times New Roman" w:hAnsi="Times New Roman" w:hint="default"/>
      </w:rPr>
    </w:lvl>
    <w:lvl w:ilvl="8" w:tplc="B520267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24089A"/>
    <w:multiLevelType w:val="hybridMultilevel"/>
    <w:tmpl w:val="723E5870"/>
    <w:lvl w:ilvl="0" w:tplc="B70CB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5557A"/>
    <w:multiLevelType w:val="hybridMultilevel"/>
    <w:tmpl w:val="A7086878"/>
    <w:lvl w:ilvl="0" w:tplc="08307748">
      <w:start w:val="1"/>
      <w:numFmt w:val="bullet"/>
      <w:lvlText w:val=""/>
      <w:lvlJc w:val="left"/>
      <w:pPr>
        <w:tabs>
          <w:tab w:val="num" w:pos="720"/>
        </w:tabs>
        <w:ind w:left="720" w:hanging="360"/>
      </w:pPr>
      <w:rPr>
        <w:rFonts w:ascii="Wingdings" w:hAnsi="Wingdings" w:hint="default"/>
      </w:rPr>
    </w:lvl>
    <w:lvl w:ilvl="1" w:tplc="7174FBF6" w:tentative="1">
      <w:start w:val="1"/>
      <w:numFmt w:val="bullet"/>
      <w:lvlText w:val=""/>
      <w:lvlJc w:val="left"/>
      <w:pPr>
        <w:tabs>
          <w:tab w:val="num" w:pos="1440"/>
        </w:tabs>
        <w:ind w:left="1440" w:hanging="360"/>
      </w:pPr>
      <w:rPr>
        <w:rFonts w:ascii="Wingdings" w:hAnsi="Wingdings" w:hint="default"/>
      </w:rPr>
    </w:lvl>
    <w:lvl w:ilvl="2" w:tplc="B05C4CF2" w:tentative="1">
      <w:start w:val="1"/>
      <w:numFmt w:val="bullet"/>
      <w:lvlText w:val=""/>
      <w:lvlJc w:val="left"/>
      <w:pPr>
        <w:tabs>
          <w:tab w:val="num" w:pos="2160"/>
        </w:tabs>
        <w:ind w:left="2160" w:hanging="360"/>
      </w:pPr>
      <w:rPr>
        <w:rFonts w:ascii="Wingdings" w:hAnsi="Wingdings" w:hint="default"/>
      </w:rPr>
    </w:lvl>
    <w:lvl w:ilvl="3" w:tplc="3594DAA0" w:tentative="1">
      <w:start w:val="1"/>
      <w:numFmt w:val="bullet"/>
      <w:lvlText w:val=""/>
      <w:lvlJc w:val="left"/>
      <w:pPr>
        <w:tabs>
          <w:tab w:val="num" w:pos="2880"/>
        </w:tabs>
        <w:ind w:left="2880" w:hanging="360"/>
      </w:pPr>
      <w:rPr>
        <w:rFonts w:ascii="Wingdings" w:hAnsi="Wingdings" w:hint="default"/>
      </w:rPr>
    </w:lvl>
    <w:lvl w:ilvl="4" w:tplc="C2B052B6" w:tentative="1">
      <w:start w:val="1"/>
      <w:numFmt w:val="bullet"/>
      <w:lvlText w:val=""/>
      <w:lvlJc w:val="left"/>
      <w:pPr>
        <w:tabs>
          <w:tab w:val="num" w:pos="3600"/>
        </w:tabs>
        <w:ind w:left="3600" w:hanging="360"/>
      </w:pPr>
      <w:rPr>
        <w:rFonts w:ascii="Wingdings" w:hAnsi="Wingdings" w:hint="default"/>
      </w:rPr>
    </w:lvl>
    <w:lvl w:ilvl="5" w:tplc="894CA858" w:tentative="1">
      <w:start w:val="1"/>
      <w:numFmt w:val="bullet"/>
      <w:lvlText w:val=""/>
      <w:lvlJc w:val="left"/>
      <w:pPr>
        <w:tabs>
          <w:tab w:val="num" w:pos="4320"/>
        </w:tabs>
        <w:ind w:left="4320" w:hanging="360"/>
      </w:pPr>
      <w:rPr>
        <w:rFonts w:ascii="Wingdings" w:hAnsi="Wingdings" w:hint="default"/>
      </w:rPr>
    </w:lvl>
    <w:lvl w:ilvl="6" w:tplc="A2AAE3E8" w:tentative="1">
      <w:start w:val="1"/>
      <w:numFmt w:val="bullet"/>
      <w:lvlText w:val=""/>
      <w:lvlJc w:val="left"/>
      <w:pPr>
        <w:tabs>
          <w:tab w:val="num" w:pos="5040"/>
        </w:tabs>
        <w:ind w:left="5040" w:hanging="360"/>
      </w:pPr>
      <w:rPr>
        <w:rFonts w:ascii="Wingdings" w:hAnsi="Wingdings" w:hint="default"/>
      </w:rPr>
    </w:lvl>
    <w:lvl w:ilvl="7" w:tplc="C2D4BEA8" w:tentative="1">
      <w:start w:val="1"/>
      <w:numFmt w:val="bullet"/>
      <w:lvlText w:val=""/>
      <w:lvlJc w:val="left"/>
      <w:pPr>
        <w:tabs>
          <w:tab w:val="num" w:pos="5760"/>
        </w:tabs>
        <w:ind w:left="5760" w:hanging="360"/>
      </w:pPr>
      <w:rPr>
        <w:rFonts w:ascii="Wingdings" w:hAnsi="Wingdings" w:hint="default"/>
      </w:rPr>
    </w:lvl>
    <w:lvl w:ilvl="8" w:tplc="BC34BC3C" w:tentative="1">
      <w:start w:val="1"/>
      <w:numFmt w:val="bullet"/>
      <w:lvlText w:val=""/>
      <w:lvlJc w:val="left"/>
      <w:pPr>
        <w:tabs>
          <w:tab w:val="num" w:pos="6480"/>
        </w:tabs>
        <w:ind w:left="6480" w:hanging="360"/>
      </w:pPr>
      <w:rPr>
        <w:rFonts w:ascii="Wingdings" w:hAnsi="Wingdings" w:hint="default"/>
      </w:rPr>
    </w:lvl>
  </w:abstractNum>
  <w:abstractNum w:abstractNumId="7">
    <w:nsid w:val="356C1B76"/>
    <w:multiLevelType w:val="hybridMultilevel"/>
    <w:tmpl w:val="E37C9B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B0904BD"/>
    <w:multiLevelType w:val="hybridMultilevel"/>
    <w:tmpl w:val="DBC6B7FE"/>
    <w:lvl w:ilvl="0" w:tplc="EA821A8A">
      <w:start w:val="1"/>
      <w:numFmt w:val="bullet"/>
      <w:lvlText w:val="•"/>
      <w:lvlJc w:val="left"/>
      <w:pPr>
        <w:tabs>
          <w:tab w:val="num" w:pos="720"/>
        </w:tabs>
        <w:ind w:left="720" w:hanging="360"/>
      </w:pPr>
      <w:rPr>
        <w:rFonts w:ascii="Times New Roman" w:hAnsi="Times New Roman" w:hint="default"/>
      </w:rPr>
    </w:lvl>
    <w:lvl w:ilvl="1" w:tplc="77B862BE" w:tentative="1">
      <w:start w:val="1"/>
      <w:numFmt w:val="bullet"/>
      <w:lvlText w:val="•"/>
      <w:lvlJc w:val="left"/>
      <w:pPr>
        <w:tabs>
          <w:tab w:val="num" w:pos="1440"/>
        </w:tabs>
        <w:ind w:left="1440" w:hanging="360"/>
      </w:pPr>
      <w:rPr>
        <w:rFonts w:ascii="Times New Roman" w:hAnsi="Times New Roman" w:hint="default"/>
      </w:rPr>
    </w:lvl>
    <w:lvl w:ilvl="2" w:tplc="8B6EA598" w:tentative="1">
      <w:start w:val="1"/>
      <w:numFmt w:val="bullet"/>
      <w:lvlText w:val="•"/>
      <w:lvlJc w:val="left"/>
      <w:pPr>
        <w:tabs>
          <w:tab w:val="num" w:pos="2160"/>
        </w:tabs>
        <w:ind w:left="2160" w:hanging="360"/>
      </w:pPr>
      <w:rPr>
        <w:rFonts w:ascii="Times New Roman" w:hAnsi="Times New Roman" w:hint="default"/>
      </w:rPr>
    </w:lvl>
    <w:lvl w:ilvl="3" w:tplc="4BD81B84" w:tentative="1">
      <w:start w:val="1"/>
      <w:numFmt w:val="bullet"/>
      <w:lvlText w:val="•"/>
      <w:lvlJc w:val="left"/>
      <w:pPr>
        <w:tabs>
          <w:tab w:val="num" w:pos="2880"/>
        </w:tabs>
        <w:ind w:left="2880" w:hanging="360"/>
      </w:pPr>
      <w:rPr>
        <w:rFonts w:ascii="Times New Roman" w:hAnsi="Times New Roman" w:hint="default"/>
      </w:rPr>
    </w:lvl>
    <w:lvl w:ilvl="4" w:tplc="FB6CE158" w:tentative="1">
      <w:start w:val="1"/>
      <w:numFmt w:val="bullet"/>
      <w:lvlText w:val="•"/>
      <w:lvlJc w:val="left"/>
      <w:pPr>
        <w:tabs>
          <w:tab w:val="num" w:pos="3600"/>
        </w:tabs>
        <w:ind w:left="3600" w:hanging="360"/>
      </w:pPr>
      <w:rPr>
        <w:rFonts w:ascii="Times New Roman" w:hAnsi="Times New Roman" w:hint="default"/>
      </w:rPr>
    </w:lvl>
    <w:lvl w:ilvl="5" w:tplc="8A80D540" w:tentative="1">
      <w:start w:val="1"/>
      <w:numFmt w:val="bullet"/>
      <w:lvlText w:val="•"/>
      <w:lvlJc w:val="left"/>
      <w:pPr>
        <w:tabs>
          <w:tab w:val="num" w:pos="4320"/>
        </w:tabs>
        <w:ind w:left="4320" w:hanging="360"/>
      </w:pPr>
      <w:rPr>
        <w:rFonts w:ascii="Times New Roman" w:hAnsi="Times New Roman" w:hint="default"/>
      </w:rPr>
    </w:lvl>
    <w:lvl w:ilvl="6" w:tplc="9920EC56" w:tentative="1">
      <w:start w:val="1"/>
      <w:numFmt w:val="bullet"/>
      <w:lvlText w:val="•"/>
      <w:lvlJc w:val="left"/>
      <w:pPr>
        <w:tabs>
          <w:tab w:val="num" w:pos="5040"/>
        </w:tabs>
        <w:ind w:left="5040" w:hanging="360"/>
      </w:pPr>
      <w:rPr>
        <w:rFonts w:ascii="Times New Roman" w:hAnsi="Times New Roman" w:hint="default"/>
      </w:rPr>
    </w:lvl>
    <w:lvl w:ilvl="7" w:tplc="52B2D9BE" w:tentative="1">
      <w:start w:val="1"/>
      <w:numFmt w:val="bullet"/>
      <w:lvlText w:val="•"/>
      <w:lvlJc w:val="left"/>
      <w:pPr>
        <w:tabs>
          <w:tab w:val="num" w:pos="5760"/>
        </w:tabs>
        <w:ind w:left="5760" w:hanging="360"/>
      </w:pPr>
      <w:rPr>
        <w:rFonts w:ascii="Times New Roman" w:hAnsi="Times New Roman" w:hint="default"/>
      </w:rPr>
    </w:lvl>
    <w:lvl w:ilvl="8" w:tplc="C7B889D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4745B2D"/>
    <w:multiLevelType w:val="hybridMultilevel"/>
    <w:tmpl w:val="1D661C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593728F"/>
    <w:multiLevelType w:val="hybridMultilevel"/>
    <w:tmpl w:val="B242FB6C"/>
    <w:lvl w:ilvl="0" w:tplc="47A267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6550F64"/>
    <w:multiLevelType w:val="hybridMultilevel"/>
    <w:tmpl w:val="E07A26DE"/>
    <w:lvl w:ilvl="0" w:tplc="B70CBC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420FF5"/>
    <w:multiLevelType w:val="hybridMultilevel"/>
    <w:tmpl w:val="AD180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8C74DB1"/>
    <w:multiLevelType w:val="hybridMultilevel"/>
    <w:tmpl w:val="A9E40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BB11B82"/>
    <w:multiLevelType w:val="hybridMultilevel"/>
    <w:tmpl w:val="202221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14"/>
  </w:num>
  <w:num w:numId="6">
    <w:abstractNumId w:val="0"/>
  </w:num>
  <w:num w:numId="7">
    <w:abstractNumId w:val="7"/>
  </w:num>
  <w:num w:numId="8">
    <w:abstractNumId w:val="2"/>
  </w:num>
  <w:num w:numId="9">
    <w:abstractNumId w:val="9"/>
  </w:num>
  <w:num w:numId="10">
    <w:abstractNumId w:val="3"/>
  </w:num>
  <w:num w:numId="11">
    <w:abstractNumId w:val="11"/>
  </w:num>
  <w:num w:numId="12">
    <w:abstractNumId w:val="5"/>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docVars>
    <w:docVar w:name="currentname" w:val="C:\Users\yinxi\AppData\Local\Microsoft\Windows\Temporary Internet Files\Content.Outlook\ME2LFVJ9\RAMROC submission to ACCC Inquiry into Domestic Mobile Roaming 18.11.2016.docx"/>
  </w:docVars>
  <w:rsids>
    <w:rsidRoot w:val="00C86F3B"/>
    <w:rsid w:val="00090ABB"/>
    <w:rsid w:val="000C7C89"/>
    <w:rsid w:val="000D4897"/>
    <w:rsid w:val="000E05E3"/>
    <w:rsid w:val="000F7622"/>
    <w:rsid w:val="00111CC9"/>
    <w:rsid w:val="00113618"/>
    <w:rsid w:val="001335F2"/>
    <w:rsid w:val="00136F68"/>
    <w:rsid w:val="00140414"/>
    <w:rsid w:val="00160BCB"/>
    <w:rsid w:val="001A3B12"/>
    <w:rsid w:val="001B1A1E"/>
    <w:rsid w:val="001B44FE"/>
    <w:rsid w:val="001C2A96"/>
    <w:rsid w:val="001D3B3E"/>
    <w:rsid w:val="001E6ECD"/>
    <w:rsid w:val="0020570A"/>
    <w:rsid w:val="002106D3"/>
    <w:rsid w:val="002A26A2"/>
    <w:rsid w:val="002E1964"/>
    <w:rsid w:val="002E2D93"/>
    <w:rsid w:val="002F20C0"/>
    <w:rsid w:val="00325C6E"/>
    <w:rsid w:val="00361D46"/>
    <w:rsid w:val="00375AD9"/>
    <w:rsid w:val="0040000B"/>
    <w:rsid w:val="004068BC"/>
    <w:rsid w:val="0042000A"/>
    <w:rsid w:val="00420259"/>
    <w:rsid w:val="004231AD"/>
    <w:rsid w:val="00437A0C"/>
    <w:rsid w:val="00443C77"/>
    <w:rsid w:val="00450A2F"/>
    <w:rsid w:val="0045115A"/>
    <w:rsid w:val="0046231F"/>
    <w:rsid w:val="00483A3B"/>
    <w:rsid w:val="004970C5"/>
    <w:rsid w:val="004F62F7"/>
    <w:rsid w:val="00510EDC"/>
    <w:rsid w:val="00512EC5"/>
    <w:rsid w:val="00557475"/>
    <w:rsid w:val="005940A6"/>
    <w:rsid w:val="005A0AA9"/>
    <w:rsid w:val="005C2E80"/>
    <w:rsid w:val="005C362C"/>
    <w:rsid w:val="005F07EA"/>
    <w:rsid w:val="005F3E82"/>
    <w:rsid w:val="005F5EF8"/>
    <w:rsid w:val="00606901"/>
    <w:rsid w:val="006153A3"/>
    <w:rsid w:val="00637F83"/>
    <w:rsid w:val="00644CC1"/>
    <w:rsid w:val="00682523"/>
    <w:rsid w:val="006A76C1"/>
    <w:rsid w:val="006B0BF4"/>
    <w:rsid w:val="006D3E16"/>
    <w:rsid w:val="006E4677"/>
    <w:rsid w:val="00702F2A"/>
    <w:rsid w:val="007104F2"/>
    <w:rsid w:val="0072231E"/>
    <w:rsid w:val="00726C52"/>
    <w:rsid w:val="007548CF"/>
    <w:rsid w:val="00781EB0"/>
    <w:rsid w:val="007A2299"/>
    <w:rsid w:val="007F3640"/>
    <w:rsid w:val="00811C20"/>
    <w:rsid w:val="00815214"/>
    <w:rsid w:val="00833CE4"/>
    <w:rsid w:val="00834717"/>
    <w:rsid w:val="008550E2"/>
    <w:rsid w:val="0087545A"/>
    <w:rsid w:val="00886908"/>
    <w:rsid w:val="008B0FC5"/>
    <w:rsid w:val="008D60C3"/>
    <w:rsid w:val="008F7669"/>
    <w:rsid w:val="00906237"/>
    <w:rsid w:val="00914AA1"/>
    <w:rsid w:val="00921967"/>
    <w:rsid w:val="009836A9"/>
    <w:rsid w:val="009946AE"/>
    <w:rsid w:val="009955C9"/>
    <w:rsid w:val="009A1CB4"/>
    <w:rsid w:val="009A1F66"/>
    <w:rsid w:val="009A3DAE"/>
    <w:rsid w:val="009A4A9B"/>
    <w:rsid w:val="009A6E39"/>
    <w:rsid w:val="009D1A65"/>
    <w:rsid w:val="009D7E3D"/>
    <w:rsid w:val="00A013F2"/>
    <w:rsid w:val="00A04C70"/>
    <w:rsid w:val="00A254AA"/>
    <w:rsid w:val="00A47336"/>
    <w:rsid w:val="00A537CD"/>
    <w:rsid w:val="00A60B8E"/>
    <w:rsid w:val="00A7545B"/>
    <w:rsid w:val="00A85211"/>
    <w:rsid w:val="00AB626D"/>
    <w:rsid w:val="00B05E07"/>
    <w:rsid w:val="00B1065F"/>
    <w:rsid w:val="00B35E61"/>
    <w:rsid w:val="00B566A4"/>
    <w:rsid w:val="00B9768C"/>
    <w:rsid w:val="00BA1444"/>
    <w:rsid w:val="00BA4C62"/>
    <w:rsid w:val="00BF251B"/>
    <w:rsid w:val="00C07044"/>
    <w:rsid w:val="00C07FDB"/>
    <w:rsid w:val="00C205C5"/>
    <w:rsid w:val="00C46FD4"/>
    <w:rsid w:val="00C54166"/>
    <w:rsid w:val="00C6060B"/>
    <w:rsid w:val="00C8081E"/>
    <w:rsid w:val="00C862B7"/>
    <w:rsid w:val="00C86F3B"/>
    <w:rsid w:val="00CC4625"/>
    <w:rsid w:val="00CF267C"/>
    <w:rsid w:val="00D22FB2"/>
    <w:rsid w:val="00D2564D"/>
    <w:rsid w:val="00D46504"/>
    <w:rsid w:val="00D56BEB"/>
    <w:rsid w:val="00DA5478"/>
    <w:rsid w:val="00DD49C2"/>
    <w:rsid w:val="00DE453A"/>
    <w:rsid w:val="00DE63F7"/>
    <w:rsid w:val="00E00E6E"/>
    <w:rsid w:val="00E06629"/>
    <w:rsid w:val="00E21837"/>
    <w:rsid w:val="00E35B02"/>
    <w:rsid w:val="00E77B6D"/>
    <w:rsid w:val="00EA15F0"/>
    <w:rsid w:val="00EA785D"/>
    <w:rsid w:val="00EE4540"/>
    <w:rsid w:val="00EF3377"/>
    <w:rsid w:val="00EF738D"/>
    <w:rsid w:val="00F14A63"/>
    <w:rsid w:val="00F40C68"/>
    <w:rsid w:val="00F556E0"/>
    <w:rsid w:val="00F62FD9"/>
    <w:rsid w:val="00F73D69"/>
    <w:rsid w:val="00F83239"/>
    <w:rsid w:val="00F91D20"/>
    <w:rsid w:val="00FA45A3"/>
    <w:rsid w:val="00FE0317"/>
    <w:rsid w:val="00FE4E60"/>
    <w:rsid w:val="00FE7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BEB"/>
    <w:pPr>
      <w:jc w:val="both"/>
    </w:pPr>
    <w:rPr>
      <w:rFonts w:ascii="Arial" w:hAnsi="Arial"/>
      <w:sz w:val="24"/>
      <w:lang w:val="en-GB" w:eastAsia="en-US"/>
    </w:rPr>
  </w:style>
  <w:style w:type="paragraph" w:styleId="Heading1">
    <w:name w:val="heading 1"/>
    <w:basedOn w:val="Normal"/>
    <w:next w:val="Normal"/>
    <w:qFormat/>
    <w:rsid w:val="00D56BEB"/>
    <w:pPr>
      <w:keepNext/>
      <w:spacing w:before="240" w:after="60"/>
      <w:ind w:left="1418" w:hanging="1418"/>
      <w:outlineLvl w:val="0"/>
    </w:pPr>
    <w:rPr>
      <w:b/>
      <w:caps/>
      <w:kern w:val="28"/>
      <w:sz w:val="28"/>
      <w:u w:val="single"/>
    </w:rPr>
  </w:style>
  <w:style w:type="paragraph" w:styleId="Heading2">
    <w:name w:val="heading 2"/>
    <w:basedOn w:val="Normal"/>
    <w:next w:val="Normal"/>
    <w:qFormat/>
    <w:rsid w:val="00D56BEB"/>
    <w:pPr>
      <w:keepNext/>
      <w:spacing w:before="120" w:after="120"/>
      <w:ind w:left="1134"/>
      <w:outlineLvl w:val="1"/>
    </w:pPr>
    <w:rPr>
      <w:b/>
      <w:i/>
      <w:sz w:val="28"/>
    </w:rPr>
  </w:style>
  <w:style w:type="paragraph" w:styleId="Heading3">
    <w:name w:val="heading 3"/>
    <w:basedOn w:val="Normal"/>
    <w:next w:val="Normal"/>
    <w:qFormat/>
    <w:rsid w:val="00D56BEB"/>
    <w:pPr>
      <w:keepNext/>
      <w:spacing w:before="240" w:after="60"/>
      <w:ind w:left="1134"/>
      <w:outlineLvl w:val="2"/>
    </w:pPr>
    <w:rPr>
      <w:b/>
    </w:rPr>
  </w:style>
  <w:style w:type="paragraph" w:styleId="Heading4">
    <w:name w:val="heading 4"/>
    <w:aliases w:val="Managers Title"/>
    <w:basedOn w:val="Normal"/>
    <w:next w:val="Normal"/>
    <w:qFormat/>
    <w:rsid w:val="00D56BEB"/>
    <w:pPr>
      <w:keepNext/>
      <w:spacing w:before="240" w:after="60"/>
      <w:ind w:left="1134"/>
      <w:outlineLvl w:val="3"/>
    </w:pPr>
    <w:rPr>
      <w:b/>
      <w:i/>
    </w:rPr>
  </w:style>
  <w:style w:type="paragraph" w:styleId="Heading5">
    <w:name w:val="heading 5"/>
    <w:basedOn w:val="Normal"/>
    <w:next w:val="Normal"/>
    <w:qFormat/>
    <w:rsid w:val="00D56BEB"/>
    <w:pPr>
      <w:spacing w:before="240" w:after="60"/>
      <w:ind w:left="1134"/>
      <w:outlineLvl w:val="4"/>
    </w:pPr>
    <w:rPr>
      <w:sz w:val="22"/>
    </w:rPr>
  </w:style>
  <w:style w:type="paragraph" w:styleId="Heading6">
    <w:name w:val="heading 6"/>
    <w:basedOn w:val="Normal"/>
    <w:next w:val="Normal"/>
    <w:qFormat/>
    <w:rsid w:val="00D56BEB"/>
    <w:pPr>
      <w:spacing w:before="240" w:after="60"/>
      <w:ind w:left="1134"/>
      <w:outlineLvl w:val="5"/>
    </w:pPr>
    <w:rPr>
      <w:i/>
      <w:sz w:val="22"/>
    </w:rPr>
  </w:style>
  <w:style w:type="paragraph" w:styleId="Heading7">
    <w:name w:val="heading 7"/>
    <w:basedOn w:val="Normal"/>
    <w:next w:val="Normal"/>
    <w:qFormat/>
    <w:rsid w:val="00D56BEB"/>
    <w:pPr>
      <w:spacing w:before="240" w:after="60"/>
      <w:ind w:left="1134"/>
      <w:outlineLvl w:val="6"/>
    </w:pPr>
    <w:rPr>
      <w:sz w:val="20"/>
    </w:rPr>
  </w:style>
  <w:style w:type="paragraph" w:styleId="Heading8">
    <w:name w:val="heading 8"/>
    <w:basedOn w:val="Normal"/>
    <w:next w:val="Normal"/>
    <w:qFormat/>
    <w:rsid w:val="00D56BEB"/>
    <w:pPr>
      <w:spacing w:before="240" w:after="60"/>
      <w:ind w:left="1134"/>
      <w:outlineLvl w:val="7"/>
    </w:pPr>
    <w:rPr>
      <w:i/>
      <w:sz w:val="20"/>
    </w:rPr>
  </w:style>
  <w:style w:type="paragraph" w:styleId="Heading9">
    <w:name w:val="heading 9"/>
    <w:basedOn w:val="Normal"/>
    <w:next w:val="Normal"/>
    <w:qFormat/>
    <w:rsid w:val="00D56BEB"/>
    <w:pPr>
      <w:spacing w:before="240" w:after="60"/>
      <w:ind w:left="1134"/>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6BEB"/>
    <w:pPr>
      <w:tabs>
        <w:tab w:val="center" w:pos="4153"/>
        <w:tab w:val="right" w:pos="8306"/>
      </w:tabs>
    </w:pPr>
  </w:style>
  <w:style w:type="paragraph" w:styleId="Footer">
    <w:name w:val="footer"/>
    <w:basedOn w:val="Normal"/>
    <w:rsid w:val="00D56BEB"/>
    <w:pPr>
      <w:tabs>
        <w:tab w:val="center" w:pos="4153"/>
        <w:tab w:val="right" w:pos="8306"/>
      </w:tabs>
    </w:pPr>
  </w:style>
  <w:style w:type="paragraph" w:customStyle="1" w:styleId="heading10">
    <w:name w:val="heading 10"/>
    <w:basedOn w:val="BodyText"/>
    <w:rsid w:val="00D56BEB"/>
    <w:pPr>
      <w:tabs>
        <w:tab w:val="center" w:pos="4536"/>
        <w:tab w:val="center" w:pos="6946"/>
      </w:tabs>
      <w:spacing w:after="0"/>
    </w:pPr>
    <w:rPr>
      <w:b/>
      <w:sz w:val="28"/>
    </w:rPr>
  </w:style>
  <w:style w:type="paragraph" w:styleId="BodyText">
    <w:name w:val="Body Text"/>
    <w:basedOn w:val="Normal"/>
    <w:rsid w:val="00D56BEB"/>
    <w:pPr>
      <w:spacing w:after="120"/>
    </w:pPr>
  </w:style>
  <w:style w:type="paragraph" w:customStyle="1" w:styleId="heading11">
    <w:name w:val="heading11"/>
    <w:basedOn w:val="Normal"/>
    <w:rsid w:val="00D56BEB"/>
    <w:rPr>
      <w:b/>
      <w:i/>
    </w:rPr>
  </w:style>
  <w:style w:type="character" w:styleId="PageNumber">
    <w:name w:val="page number"/>
    <w:basedOn w:val="DefaultParagraphFont"/>
    <w:rsid w:val="00D56BEB"/>
  </w:style>
  <w:style w:type="paragraph" w:styleId="BodyText2">
    <w:name w:val="Body Text 2"/>
    <w:basedOn w:val="Normal"/>
    <w:rsid w:val="00D56BEB"/>
    <w:pPr>
      <w:jc w:val="left"/>
    </w:pPr>
  </w:style>
  <w:style w:type="paragraph" w:styleId="BodyTextIndent">
    <w:name w:val="Body Text Indent"/>
    <w:basedOn w:val="Normal"/>
    <w:rsid w:val="00D56BEB"/>
    <w:pPr>
      <w:ind w:left="720" w:hanging="720"/>
    </w:pPr>
  </w:style>
  <w:style w:type="paragraph" w:styleId="BalloonText">
    <w:name w:val="Balloon Text"/>
    <w:basedOn w:val="Normal"/>
    <w:semiHidden/>
    <w:rsid w:val="00D56BEB"/>
    <w:rPr>
      <w:rFonts w:ascii="Tahoma" w:hAnsi="Tahoma" w:cs="Wingdings"/>
      <w:sz w:val="16"/>
      <w:szCs w:val="16"/>
    </w:rPr>
  </w:style>
  <w:style w:type="character" w:styleId="Hyperlink">
    <w:name w:val="Hyperlink"/>
    <w:basedOn w:val="DefaultParagraphFont"/>
    <w:rsid w:val="00D56BEB"/>
    <w:rPr>
      <w:color w:val="0000FF"/>
      <w:u w:val="single"/>
    </w:rPr>
  </w:style>
  <w:style w:type="character" w:customStyle="1" w:styleId="standard1">
    <w:name w:val="standard1"/>
    <w:basedOn w:val="DefaultParagraphFont"/>
    <w:rsid w:val="009D7E3D"/>
    <w:rPr>
      <w:rFonts w:ascii="Verdana" w:hAnsi="Verdana" w:hint="default"/>
      <w:sz w:val="20"/>
      <w:szCs w:val="20"/>
    </w:rPr>
  </w:style>
  <w:style w:type="paragraph" w:styleId="Date">
    <w:name w:val="Date"/>
    <w:basedOn w:val="Normal"/>
    <w:next w:val="Normal"/>
    <w:rsid w:val="006153A3"/>
  </w:style>
  <w:style w:type="paragraph" w:styleId="ListParagraph">
    <w:name w:val="List Paragraph"/>
    <w:basedOn w:val="Normal"/>
    <w:qFormat/>
    <w:rsid w:val="008B0FC5"/>
    <w:pPr>
      <w:spacing w:line="300" w:lineRule="exact"/>
      <w:ind w:left="720"/>
      <w:contextualSpacing/>
    </w:pPr>
    <w:rPr>
      <w:sz w:val="20"/>
      <w:szCs w:val="24"/>
      <w:lang w:val="en-AU" w:eastAsia="en-AU"/>
    </w:rPr>
  </w:style>
  <w:style w:type="paragraph" w:customStyle="1" w:styleId="PWHeader">
    <w:name w:val="PW_Header"/>
    <w:basedOn w:val="Normal"/>
    <w:rsid w:val="008B0FC5"/>
    <w:pPr>
      <w:jc w:val="left"/>
    </w:pPr>
    <w:rPr>
      <w:rFonts w:ascii="Verdana" w:eastAsia="Calibri" w:hAnsi="Verdana"/>
      <w:b/>
      <w:bCs/>
      <w:sz w:val="20"/>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69327">
      <w:bodyDiv w:val="1"/>
      <w:marLeft w:val="0"/>
      <w:marRight w:val="0"/>
      <w:marTop w:val="0"/>
      <w:marBottom w:val="0"/>
      <w:divBdr>
        <w:top w:val="none" w:sz="0" w:space="0" w:color="auto"/>
        <w:left w:val="none" w:sz="0" w:space="0" w:color="auto"/>
        <w:bottom w:val="none" w:sz="0" w:space="0" w:color="auto"/>
        <w:right w:val="none" w:sz="0" w:space="0" w:color="auto"/>
      </w:divBdr>
    </w:div>
    <w:div w:id="19449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8BFAE878</Template>
  <TotalTime>1</TotalTime>
  <Pages>2</Pages>
  <Words>961</Words>
  <Characters>5479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24 November, 2000</vt:lpstr>
    </vt:vector>
  </TitlesOfParts>
  <Company>Leeton Shire Council</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November, 2000</dc:title>
  <dc:creator>MSC</dc:creator>
  <cp:lastModifiedBy>Xie, Chris</cp:lastModifiedBy>
  <cp:revision>2</cp:revision>
  <cp:lastPrinted>2016-11-21T02:43:00Z</cp:lastPrinted>
  <dcterms:created xsi:type="dcterms:W3CDTF">2016-12-12T03:31:00Z</dcterms:created>
  <dcterms:modified xsi:type="dcterms:W3CDTF">2016-12-12T03:31:00Z</dcterms:modified>
</cp:coreProperties>
</file>