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9F" w:rsidRDefault="00A4799F" w:rsidP="00A4799F">
      <w:pPr>
        <w:spacing w:before="100" w:beforeAutospacing="1" w:after="100" w:afterAutospacing="1"/>
      </w:pPr>
      <w:r>
        <w:rPr>
          <w:rFonts w:ascii="Arial" w:hAnsi="Arial" w:cs="Arial"/>
          <w:sz w:val="19"/>
          <w:szCs w:val="19"/>
        </w:rPr>
        <w:t>Re:         ACCC mobile roaming inquiry</w:t>
      </w:r>
    </w:p>
    <w:p w:rsidR="00A4799F" w:rsidRDefault="00A4799F" w:rsidP="00A4799F">
      <w:pPr>
        <w:spacing w:before="100" w:beforeAutospacing="1" w:after="100" w:afterAutospacing="1"/>
      </w:pPr>
      <w:r>
        <w:rPr>
          <w:rFonts w:ascii="Arial" w:hAnsi="Arial" w:cs="Arial"/>
          <w:sz w:val="19"/>
          <w:szCs w:val="19"/>
        </w:rPr>
        <w:t>Dear Sir / Madam,</w:t>
      </w:r>
    </w:p>
    <w:p w:rsidR="00A4799F" w:rsidRDefault="00A4799F" w:rsidP="00A4799F">
      <w:pPr>
        <w:spacing w:before="100" w:beforeAutospacing="1" w:after="100" w:afterAutospacing="1"/>
      </w:pPr>
      <w:r>
        <w:rPr>
          <w:rFonts w:ascii="Arial" w:hAnsi="Arial" w:cs="Arial"/>
          <w:sz w:val="19"/>
          <w:szCs w:val="19"/>
        </w:rPr>
        <w:t>I write in response to your current inquiry into mobile roaming on behalf of Surfing WA.</w:t>
      </w:r>
    </w:p>
    <w:p w:rsidR="00A4799F" w:rsidRDefault="00A4799F" w:rsidP="00A4799F">
      <w:pPr>
        <w:spacing w:before="100" w:beforeAutospacing="1" w:after="100" w:afterAutospacing="1"/>
      </w:pPr>
      <w:r>
        <w:rPr>
          <w:rFonts w:ascii="Arial" w:hAnsi="Arial" w:cs="Arial"/>
          <w:sz w:val="19"/>
          <w:szCs w:val="19"/>
        </w:rPr>
        <w:t>Mobile telecommunications are critical to the social and economic prosperity of rural and regional Australia.</w:t>
      </w:r>
    </w:p>
    <w:p w:rsidR="00A4799F" w:rsidRDefault="00A4799F" w:rsidP="00A4799F">
      <w:pPr>
        <w:spacing w:before="100" w:beforeAutospacing="1" w:after="100" w:afterAutospacing="1"/>
      </w:pPr>
      <w:r>
        <w:rPr>
          <w:rFonts w:ascii="Arial" w:hAnsi="Arial" w:cs="Arial"/>
          <w:sz w:val="19"/>
          <w:szCs w:val="19"/>
        </w:rPr>
        <w:t>The most critical telecommunications issue for individuals, farms, businesses and communities is mobile coverage. Put simply, we need more coverage and better coverage. </w:t>
      </w:r>
    </w:p>
    <w:p w:rsidR="00A4799F" w:rsidRDefault="00A4799F" w:rsidP="00A4799F">
      <w:pPr>
        <w:spacing w:before="100" w:beforeAutospacing="1" w:after="100" w:afterAutospacing="1"/>
      </w:pPr>
      <w:r>
        <w:rPr>
          <w:rFonts w:ascii="Arial" w:hAnsi="Arial" w:cs="Arial"/>
          <w:sz w:val="19"/>
          <w:szCs w:val="19"/>
        </w:rPr>
        <w:t>In your deliberations on mobile roaming it is critical that the incentive for telecommunication organisations to invest in mobile infrastructure be maintained. </w:t>
      </w:r>
    </w:p>
    <w:p w:rsidR="00A4799F" w:rsidRDefault="00A4799F" w:rsidP="00A4799F">
      <w:pPr>
        <w:spacing w:before="100" w:beforeAutospacing="1" w:after="100" w:afterAutospacing="1"/>
      </w:pPr>
      <w:r>
        <w:rPr>
          <w:rFonts w:ascii="Arial" w:hAnsi="Arial" w:cs="Arial"/>
          <w:sz w:val="19"/>
          <w:szCs w:val="19"/>
        </w:rPr>
        <w:t>Based upon my reading and the conclusions I have drawn, it seems that other Telecommunication providers are seeking to gain market share without making their own investment in a market that is geographically remote and is further limited by potential ongoing revenue streams that are also low due to the number of potential consumers.</w:t>
      </w:r>
    </w:p>
    <w:p w:rsidR="00A4799F" w:rsidRDefault="00A4799F" w:rsidP="00A4799F">
      <w:pPr>
        <w:spacing w:before="100" w:beforeAutospacing="1" w:after="100" w:afterAutospacing="1"/>
      </w:pPr>
      <w:r>
        <w:rPr>
          <w:rFonts w:ascii="Arial" w:hAnsi="Arial" w:cs="Arial"/>
          <w:sz w:val="19"/>
          <w:szCs w:val="19"/>
        </w:rPr>
        <w:t>I assume that if there was enough revenue and a strong business case, then other Telco’s would have invested in the infrastructure and market forces would have taken care of this issue.  Given the fact that only one company has the capacity and appetite to invest – it says to me we should continue to let market forces enable that to continue</w:t>
      </w:r>
    </w:p>
    <w:p w:rsidR="00A4799F" w:rsidRDefault="00A4799F" w:rsidP="00A4799F">
      <w:pPr>
        <w:spacing w:before="100" w:beforeAutospacing="1" w:after="100" w:afterAutospacing="1"/>
      </w:pPr>
      <w:r>
        <w:rPr>
          <w:rFonts w:ascii="Arial" w:hAnsi="Arial" w:cs="Arial"/>
          <w:sz w:val="19"/>
          <w:szCs w:val="19"/>
        </w:rPr>
        <w:t>What is confusing to us, is that in a free market, where a company is investing for a sustainable point of difference, why they should be targeted and be required to share that advantage.</w:t>
      </w:r>
    </w:p>
    <w:p w:rsidR="00A4799F" w:rsidRDefault="00A4799F" w:rsidP="00A4799F">
      <w:pPr>
        <w:spacing w:before="100" w:beforeAutospacing="1" w:after="100" w:afterAutospacing="1"/>
      </w:pPr>
      <w:r>
        <w:rPr>
          <w:rFonts w:ascii="Arial" w:hAnsi="Arial" w:cs="Arial"/>
          <w:sz w:val="19"/>
          <w:szCs w:val="19"/>
        </w:rPr>
        <w:t>One can confidently conclude, that if there is a forced regulation, and Telstra choose not to invest in the regional community infrastructure - who will then be responsible to pick up these costs? ……Does it then mean</w:t>
      </w:r>
      <w:proofErr w:type="gramStart"/>
      <w:r>
        <w:rPr>
          <w:rFonts w:ascii="Arial" w:hAnsi="Arial" w:cs="Arial"/>
          <w:sz w:val="19"/>
          <w:szCs w:val="19"/>
        </w:rPr>
        <w:t>,</w:t>
      </w:r>
      <w:proofErr w:type="gramEnd"/>
      <w:r>
        <w:rPr>
          <w:rFonts w:ascii="Arial" w:hAnsi="Arial" w:cs="Arial"/>
          <w:sz w:val="19"/>
          <w:szCs w:val="19"/>
        </w:rPr>
        <w:t xml:space="preserve"> this becomes a Government / Tax Payer issue to cover these costs? One would seriously hope not, especially given the fact is </w:t>
      </w:r>
      <w:proofErr w:type="spellStart"/>
      <w:r>
        <w:rPr>
          <w:rFonts w:ascii="Arial" w:hAnsi="Arial" w:cs="Arial"/>
          <w:sz w:val="19"/>
          <w:szCs w:val="19"/>
        </w:rPr>
        <w:t>is</w:t>
      </w:r>
      <w:proofErr w:type="spellEnd"/>
      <w:r>
        <w:rPr>
          <w:rFonts w:ascii="Arial" w:hAnsi="Arial" w:cs="Arial"/>
          <w:sz w:val="19"/>
          <w:szCs w:val="19"/>
        </w:rPr>
        <w:t xml:space="preserve"> currently being privately funded. </w:t>
      </w:r>
    </w:p>
    <w:p w:rsidR="00A4799F" w:rsidRDefault="00A4799F" w:rsidP="00A4799F">
      <w:pPr>
        <w:spacing w:before="100" w:beforeAutospacing="1" w:after="100" w:afterAutospacing="1"/>
      </w:pPr>
      <w:r>
        <w:rPr>
          <w:rFonts w:ascii="Arial" w:hAnsi="Arial" w:cs="Arial"/>
          <w:sz w:val="19"/>
          <w:szCs w:val="19"/>
        </w:rPr>
        <w:t xml:space="preserve">If this incentive is diminished or destroyed, it would be a disaster for rural and regional Australia and a serious concern for our sport of surfing in WA in which 60% of our activity is based in rural and regional WA. </w:t>
      </w:r>
    </w:p>
    <w:p w:rsidR="00A4799F" w:rsidRDefault="00A4799F" w:rsidP="00A4799F">
      <w:pPr>
        <w:spacing w:before="100" w:beforeAutospacing="1" w:after="100" w:afterAutospacing="1"/>
      </w:pPr>
      <w:r>
        <w:t> </w:t>
      </w:r>
    </w:p>
    <w:tbl>
      <w:tblPr>
        <w:tblW w:w="8310" w:type="dxa"/>
        <w:tblCellSpacing w:w="0" w:type="dxa"/>
        <w:tblCellMar>
          <w:left w:w="0" w:type="dxa"/>
          <w:right w:w="0" w:type="dxa"/>
        </w:tblCellMar>
        <w:tblLook w:val="04A0" w:firstRow="1" w:lastRow="0" w:firstColumn="1" w:lastColumn="0" w:noHBand="0" w:noVBand="1"/>
      </w:tblPr>
      <w:tblGrid>
        <w:gridCol w:w="3599"/>
        <w:gridCol w:w="1652"/>
        <w:gridCol w:w="3151"/>
      </w:tblGrid>
      <w:tr w:rsidR="00A4799F" w:rsidTr="00A4799F">
        <w:trPr>
          <w:tblCellSpacing w:w="0" w:type="dxa"/>
        </w:trPr>
        <w:tc>
          <w:tcPr>
            <w:tcW w:w="3600" w:type="dxa"/>
            <w:tcBorders>
              <w:top w:val="nil"/>
              <w:left w:val="single" w:sz="36" w:space="0" w:color="8CB0DF"/>
              <w:bottom w:val="nil"/>
              <w:right w:val="nil"/>
            </w:tcBorders>
            <w:tcMar>
              <w:top w:w="0" w:type="dxa"/>
              <w:left w:w="225" w:type="dxa"/>
              <w:bottom w:w="0" w:type="dxa"/>
              <w:right w:w="0" w:type="dxa"/>
            </w:tcMar>
            <w:vAlign w:val="bottom"/>
            <w:hideMark/>
          </w:tcPr>
          <w:p w:rsidR="00A4799F" w:rsidRDefault="00A4799F" w:rsidP="003067E0">
            <w:pPr>
              <w:spacing w:line="225" w:lineRule="atLeast"/>
              <w:rPr>
                <w:rFonts w:ascii="Arial" w:hAnsi="Arial" w:cs="Arial"/>
                <w:color w:val="3E3E3E"/>
                <w:sz w:val="18"/>
                <w:szCs w:val="18"/>
                <w:lang w:eastAsia="en-US"/>
              </w:rPr>
            </w:pPr>
            <w:r>
              <w:rPr>
                <w:rFonts w:ascii="Arial" w:hAnsi="Arial" w:cs="Arial"/>
                <w:color w:val="3E3E3E"/>
                <w:sz w:val="18"/>
                <w:szCs w:val="18"/>
                <w:lang w:eastAsia="en-US"/>
              </w:rPr>
              <w:t>Regards,</w:t>
            </w:r>
            <w:r>
              <w:rPr>
                <w:rFonts w:ascii="Arial" w:hAnsi="Arial" w:cs="Arial"/>
                <w:color w:val="3E3E3E"/>
                <w:sz w:val="18"/>
                <w:szCs w:val="18"/>
                <w:lang w:eastAsia="en-US"/>
              </w:rPr>
              <w:br/>
            </w:r>
            <w:r>
              <w:rPr>
                <w:rFonts w:ascii="Arial" w:hAnsi="Arial" w:cs="Arial"/>
                <w:color w:val="3E3E3E"/>
                <w:sz w:val="18"/>
                <w:szCs w:val="18"/>
                <w:lang w:eastAsia="en-US"/>
              </w:rPr>
              <w:br/>
            </w:r>
            <w:r>
              <w:rPr>
                <w:rFonts w:ascii="Arial" w:hAnsi="Arial" w:cs="Arial"/>
                <w:b/>
                <w:bCs/>
                <w:color w:val="3E3E3E"/>
                <w:sz w:val="18"/>
                <w:szCs w:val="18"/>
                <w:lang w:eastAsia="en-US"/>
              </w:rPr>
              <w:t>Mark Lane</w:t>
            </w:r>
            <w:r>
              <w:rPr>
                <w:rFonts w:ascii="Arial" w:hAnsi="Arial" w:cs="Arial"/>
                <w:color w:val="3E3E3E"/>
                <w:sz w:val="18"/>
                <w:szCs w:val="18"/>
                <w:lang w:eastAsia="en-US"/>
              </w:rPr>
              <w:br/>
            </w:r>
            <w:r>
              <w:rPr>
                <w:rFonts w:ascii="Arial" w:hAnsi="Arial" w:cs="Arial"/>
                <w:i/>
                <w:iCs/>
                <w:color w:val="3E3E3E"/>
                <w:sz w:val="18"/>
                <w:szCs w:val="18"/>
                <w:lang w:eastAsia="en-US"/>
              </w:rPr>
              <w:t>Chief Executive Officer</w:t>
            </w:r>
            <w:r>
              <w:rPr>
                <w:rFonts w:ascii="Arial" w:hAnsi="Arial" w:cs="Arial"/>
                <w:color w:val="3E3E3E"/>
                <w:sz w:val="18"/>
                <w:szCs w:val="18"/>
                <w:lang w:eastAsia="en-US"/>
              </w:rPr>
              <w:br/>
            </w:r>
            <w:r w:rsidR="003067E0">
              <w:rPr>
                <w:rFonts w:ascii="Arial" w:hAnsi="Arial" w:cs="Arial"/>
                <w:color w:val="3E3E3E"/>
                <w:sz w:val="18"/>
                <w:szCs w:val="18"/>
                <w:lang w:eastAsia="en-US"/>
              </w:rPr>
              <w:t>[REDACTED]</w:t>
            </w:r>
            <w:bookmarkStart w:id="0" w:name="_GoBack"/>
            <w:bookmarkEnd w:id="0"/>
          </w:p>
        </w:tc>
        <w:tc>
          <w:tcPr>
            <w:tcW w:w="1350" w:type="dxa"/>
            <w:tcBorders>
              <w:top w:val="nil"/>
              <w:left w:val="single" w:sz="6" w:space="0" w:color="8CB0DF"/>
              <w:bottom w:val="nil"/>
              <w:right w:val="nil"/>
            </w:tcBorders>
            <w:tcMar>
              <w:top w:w="0" w:type="dxa"/>
              <w:left w:w="285" w:type="dxa"/>
              <w:bottom w:w="0" w:type="dxa"/>
              <w:right w:w="0" w:type="dxa"/>
            </w:tcMar>
            <w:vAlign w:val="bottom"/>
            <w:hideMark/>
          </w:tcPr>
          <w:p w:rsidR="00A4799F" w:rsidRDefault="00A4799F">
            <w:pPr>
              <w:spacing w:line="225" w:lineRule="atLeast"/>
              <w:rPr>
                <w:rFonts w:ascii="Arial" w:hAnsi="Arial" w:cs="Arial"/>
                <w:color w:val="3E3E3E"/>
                <w:sz w:val="18"/>
                <w:szCs w:val="18"/>
                <w:lang w:eastAsia="en-US"/>
              </w:rPr>
            </w:pPr>
            <w:r>
              <w:rPr>
                <w:rFonts w:ascii="Arial" w:hAnsi="Arial" w:cs="Arial"/>
                <w:noProof/>
                <w:color w:val="3E3E3E"/>
                <w:sz w:val="18"/>
                <w:szCs w:val="18"/>
              </w:rPr>
              <w:drawing>
                <wp:inline distT="0" distB="0" distL="0" distR="0" wp14:anchorId="1D85D8E0" wp14:editId="32DDCA6A">
                  <wp:extent cx="858520" cy="858520"/>
                  <wp:effectExtent l="0" t="0" r="0" b="0"/>
                  <wp:docPr id="6" name="Picture 6" descr="Surfing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ing 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tc>
        <w:tc>
          <w:tcPr>
            <w:tcW w:w="2460" w:type="dxa"/>
            <w:tcMar>
              <w:top w:w="0" w:type="dxa"/>
              <w:left w:w="300" w:type="dxa"/>
              <w:bottom w:w="0" w:type="dxa"/>
              <w:right w:w="0" w:type="dxa"/>
            </w:tcMar>
            <w:vAlign w:val="bottom"/>
            <w:hideMark/>
          </w:tcPr>
          <w:p w:rsidR="00A4799F" w:rsidRDefault="00A4799F">
            <w:pPr>
              <w:spacing w:line="225" w:lineRule="atLeast"/>
              <w:rPr>
                <w:rFonts w:ascii="Arial" w:hAnsi="Arial" w:cs="Arial"/>
                <w:color w:val="3E3E3E"/>
                <w:sz w:val="18"/>
                <w:szCs w:val="18"/>
                <w:lang w:eastAsia="en-US"/>
              </w:rPr>
            </w:pPr>
            <w:r>
              <w:rPr>
                <w:rFonts w:ascii="Arial" w:hAnsi="Arial" w:cs="Arial"/>
                <w:noProof/>
                <w:color w:val="0000FF"/>
                <w:sz w:val="18"/>
                <w:szCs w:val="18"/>
              </w:rPr>
              <w:drawing>
                <wp:inline distT="0" distB="0" distL="0" distR="0" wp14:anchorId="01AB1177" wp14:editId="1AC9A440">
                  <wp:extent cx="191135" cy="191135"/>
                  <wp:effectExtent l="0" t="0" r="0" b="0"/>
                  <wp:docPr id="5" name="Picture 5" descr="Fb">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Arial" w:hAnsi="Arial" w:cs="Arial"/>
                <w:color w:val="3E3E3E"/>
                <w:sz w:val="18"/>
                <w:szCs w:val="18"/>
                <w:lang w:eastAsia="en-US"/>
              </w:rPr>
              <w:t> </w:t>
            </w:r>
            <w:r>
              <w:rPr>
                <w:rFonts w:ascii="Arial" w:hAnsi="Arial" w:cs="Arial"/>
                <w:noProof/>
                <w:color w:val="0000FF"/>
                <w:sz w:val="18"/>
                <w:szCs w:val="18"/>
              </w:rPr>
              <w:drawing>
                <wp:inline distT="0" distB="0" distL="0" distR="0" wp14:anchorId="44AEF090" wp14:editId="064F8F78">
                  <wp:extent cx="191135" cy="191135"/>
                  <wp:effectExtent l="0" t="0" r="0" b="0"/>
                  <wp:docPr id="4" name="Picture 4" descr="I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Arial" w:hAnsi="Arial" w:cs="Arial"/>
                <w:color w:val="3E3E3E"/>
                <w:sz w:val="18"/>
                <w:szCs w:val="18"/>
                <w:lang w:eastAsia="en-US"/>
              </w:rPr>
              <w:t> </w:t>
            </w:r>
            <w:r>
              <w:rPr>
                <w:rFonts w:ascii="Arial" w:hAnsi="Arial" w:cs="Arial"/>
                <w:noProof/>
                <w:color w:val="0000FF"/>
                <w:sz w:val="18"/>
                <w:szCs w:val="18"/>
              </w:rPr>
              <w:drawing>
                <wp:inline distT="0" distB="0" distL="0" distR="0" wp14:anchorId="353FA930" wp14:editId="664A71EC">
                  <wp:extent cx="191135" cy="191135"/>
                  <wp:effectExtent l="0" t="0" r="0" b="0"/>
                  <wp:docPr id="3" name="Picture 3" descr="Vm">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Arial" w:hAnsi="Arial" w:cs="Arial"/>
                <w:color w:val="3E3E3E"/>
                <w:sz w:val="18"/>
                <w:szCs w:val="18"/>
                <w:lang w:eastAsia="en-US"/>
              </w:rPr>
              <w:t> </w:t>
            </w:r>
            <w:r>
              <w:rPr>
                <w:rFonts w:ascii="Arial" w:hAnsi="Arial" w:cs="Arial"/>
                <w:noProof/>
                <w:color w:val="0000FF"/>
                <w:sz w:val="18"/>
                <w:szCs w:val="18"/>
              </w:rPr>
              <w:drawing>
                <wp:inline distT="0" distB="0" distL="0" distR="0" wp14:anchorId="5101629E" wp14:editId="3D313937">
                  <wp:extent cx="191135" cy="191135"/>
                  <wp:effectExtent l="0" t="0" r="0" b="0"/>
                  <wp:docPr id="2" name="Picture 2" descr="Tw">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Arial" w:hAnsi="Arial" w:cs="Arial"/>
                <w:color w:val="3E3E3E"/>
                <w:sz w:val="18"/>
                <w:szCs w:val="18"/>
                <w:lang w:eastAsia="en-US"/>
              </w:rPr>
              <w:br/>
            </w:r>
            <w:r>
              <w:rPr>
                <w:rFonts w:ascii="Arial" w:hAnsi="Arial" w:cs="Arial"/>
                <w:color w:val="3E3E3E"/>
                <w:sz w:val="18"/>
                <w:szCs w:val="18"/>
                <w:lang w:eastAsia="en-US"/>
              </w:rPr>
              <w:br/>
            </w:r>
            <w:hyperlink r:id="rId14" w:tgtFrame="_blank" w:history="1">
              <w:r>
                <w:rPr>
                  <w:rStyle w:val="Hyperlink"/>
                  <w:rFonts w:ascii="Arial" w:hAnsi="Arial" w:cs="Arial"/>
                  <w:color w:val="8CB0DF"/>
                  <w:sz w:val="18"/>
                  <w:szCs w:val="18"/>
                  <w:u w:val="none"/>
                  <w:lang w:eastAsia="en-US"/>
                </w:rPr>
                <w:t>surfingwa.com.au</w:t>
              </w:r>
            </w:hyperlink>
            <w:r>
              <w:rPr>
                <w:rFonts w:ascii="Arial" w:hAnsi="Arial" w:cs="Arial"/>
                <w:color w:val="3E3E3E"/>
                <w:sz w:val="18"/>
                <w:szCs w:val="18"/>
                <w:lang w:eastAsia="en-US"/>
              </w:rPr>
              <w:br/>
            </w:r>
            <w:hyperlink r:id="rId15" w:tgtFrame="_blank" w:history="1">
              <w:r>
                <w:rPr>
                  <w:rStyle w:val="Hyperlink"/>
                  <w:rFonts w:ascii="Arial" w:hAnsi="Arial" w:cs="Arial"/>
                  <w:color w:val="8CB0DF"/>
                  <w:sz w:val="18"/>
                  <w:szCs w:val="18"/>
                  <w:u w:val="none"/>
                  <w:lang w:eastAsia="en-US"/>
                </w:rPr>
                <w:t>schoolofsurfingwa.asn.au</w:t>
              </w:r>
            </w:hyperlink>
            <w:r>
              <w:rPr>
                <w:rFonts w:ascii="Arial" w:hAnsi="Arial" w:cs="Arial"/>
                <w:color w:val="3E3E3E"/>
                <w:sz w:val="18"/>
                <w:szCs w:val="18"/>
                <w:lang w:eastAsia="en-US"/>
              </w:rPr>
              <w:br/>
              <w:t>Tel +61 (08) 9448 0004 </w:t>
            </w:r>
            <w:r>
              <w:rPr>
                <w:rFonts w:ascii="Arial" w:hAnsi="Arial" w:cs="Arial"/>
                <w:color w:val="3E3E3E"/>
                <w:sz w:val="18"/>
                <w:szCs w:val="18"/>
                <w:lang w:eastAsia="en-US"/>
              </w:rPr>
              <w:br/>
              <w:t>Fax +61 (08) 9447 0309</w:t>
            </w:r>
          </w:p>
        </w:tc>
      </w:tr>
      <w:tr w:rsidR="00A4799F" w:rsidTr="00A4799F">
        <w:trPr>
          <w:tblCellSpacing w:w="0" w:type="dxa"/>
        </w:trPr>
        <w:tc>
          <w:tcPr>
            <w:tcW w:w="8460" w:type="dxa"/>
            <w:gridSpan w:val="3"/>
            <w:shd w:val="clear" w:color="auto" w:fill="FFFFFF"/>
            <w:vAlign w:val="center"/>
            <w:hideMark/>
          </w:tcPr>
          <w:p w:rsidR="00A4799F" w:rsidRDefault="00A4799F">
            <w:pPr>
              <w:rPr>
                <w:rFonts w:asciiTheme="minorHAnsi" w:hAnsiTheme="minorHAnsi"/>
                <w:sz w:val="22"/>
                <w:szCs w:val="22"/>
                <w:lang w:eastAsia="en-US"/>
              </w:rPr>
            </w:pPr>
          </w:p>
        </w:tc>
      </w:tr>
      <w:tr w:rsidR="00A4799F" w:rsidTr="00A4799F">
        <w:trPr>
          <w:tblCellSpacing w:w="0" w:type="dxa"/>
        </w:trPr>
        <w:tc>
          <w:tcPr>
            <w:tcW w:w="8460" w:type="dxa"/>
            <w:gridSpan w:val="3"/>
            <w:shd w:val="clear" w:color="auto" w:fill="FFFFFF"/>
            <w:vAlign w:val="center"/>
            <w:hideMark/>
          </w:tcPr>
          <w:p w:rsidR="00A4799F" w:rsidRDefault="00A4799F">
            <w:pPr>
              <w:spacing w:line="225" w:lineRule="atLeast"/>
              <w:rPr>
                <w:rFonts w:ascii="Arial" w:hAnsi="Arial" w:cs="Arial"/>
                <w:color w:val="3E3E3E"/>
                <w:sz w:val="18"/>
                <w:szCs w:val="18"/>
                <w:lang w:eastAsia="en-US"/>
              </w:rPr>
            </w:pPr>
            <w:r>
              <w:rPr>
                <w:rFonts w:ascii="Arial" w:hAnsi="Arial" w:cs="Arial"/>
                <w:noProof/>
                <w:color w:val="3E3E3E"/>
                <w:sz w:val="18"/>
                <w:szCs w:val="18"/>
              </w:rPr>
              <w:drawing>
                <wp:inline distT="0" distB="0" distL="0" distR="0">
                  <wp:extent cx="5335270" cy="914400"/>
                  <wp:effectExtent l="0" t="0" r="0" b="0"/>
                  <wp:docPr id="1" name="Picture 1" descr="https://gallery.mailchimp.com/de289d9facddffd126516fa33/images/98c02674-2f5f-4fe7-89a7-523e9fd56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de289d9facddffd126516fa33/images/98c02674-2f5f-4fe7-89a7-523e9fd564d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5270" cy="914400"/>
                          </a:xfrm>
                          <a:prstGeom prst="rect">
                            <a:avLst/>
                          </a:prstGeom>
                          <a:noFill/>
                          <a:ln>
                            <a:noFill/>
                          </a:ln>
                        </pic:spPr>
                      </pic:pic>
                    </a:graphicData>
                  </a:graphic>
                </wp:inline>
              </w:drawing>
            </w:r>
          </w:p>
        </w:tc>
      </w:tr>
    </w:tbl>
    <w:p w:rsidR="00A4799F" w:rsidRDefault="00A4799F" w:rsidP="00A4799F"/>
    <w:p w:rsidR="00491194" w:rsidRDefault="003067E0"/>
    <w:sectPr w:rsidR="00491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6"/>
  </w:docVars>
  <w:rsids>
    <w:rsidRoot w:val="00A4799F"/>
    <w:rsid w:val="00051F0D"/>
    <w:rsid w:val="000B15C1"/>
    <w:rsid w:val="00165679"/>
    <w:rsid w:val="003067E0"/>
    <w:rsid w:val="00495172"/>
    <w:rsid w:val="00A4799F"/>
    <w:rsid w:val="00AA7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9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99F"/>
    <w:rPr>
      <w:color w:val="0000FF"/>
      <w:u w:val="single"/>
    </w:rPr>
  </w:style>
  <w:style w:type="paragraph" w:styleId="BalloonText">
    <w:name w:val="Balloon Text"/>
    <w:basedOn w:val="Normal"/>
    <w:link w:val="BalloonTextChar"/>
    <w:uiPriority w:val="99"/>
    <w:semiHidden/>
    <w:unhideWhenUsed/>
    <w:rsid w:val="00A4799F"/>
    <w:rPr>
      <w:rFonts w:ascii="Tahoma" w:hAnsi="Tahoma" w:cs="Tahoma"/>
      <w:sz w:val="16"/>
      <w:szCs w:val="16"/>
    </w:rPr>
  </w:style>
  <w:style w:type="character" w:customStyle="1" w:styleId="BalloonTextChar">
    <w:name w:val="Balloon Text Char"/>
    <w:basedOn w:val="DefaultParagraphFont"/>
    <w:link w:val="BalloonText"/>
    <w:uiPriority w:val="99"/>
    <w:semiHidden/>
    <w:rsid w:val="00A4799F"/>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9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99F"/>
    <w:rPr>
      <w:color w:val="0000FF"/>
      <w:u w:val="single"/>
    </w:rPr>
  </w:style>
  <w:style w:type="paragraph" w:styleId="BalloonText">
    <w:name w:val="Balloon Text"/>
    <w:basedOn w:val="Normal"/>
    <w:link w:val="BalloonTextChar"/>
    <w:uiPriority w:val="99"/>
    <w:semiHidden/>
    <w:unhideWhenUsed/>
    <w:rsid w:val="00A4799F"/>
    <w:rPr>
      <w:rFonts w:ascii="Tahoma" w:hAnsi="Tahoma" w:cs="Tahoma"/>
      <w:sz w:val="16"/>
      <w:szCs w:val="16"/>
    </w:rPr>
  </w:style>
  <w:style w:type="character" w:customStyle="1" w:styleId="BalloonTextChar">
    <w:name w:val="Balloon Text Char"/>
    <w:basedOn w:val="DefaultParagraphFont"/>
    <w:link w:val="BalloonText"/>
    <w:uiPriority w:val="99"/>
    <w:semiHidden/>
    <w:rsid w:val="00A4799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urfing_wa"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witter.com/Surfing_W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www.facebook.com/surf.westernaustralia"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schoolofsurfingwa.asn.au" TargetMode="External"/><Relationship Id="rId10" Type="http://schemas.openxmlformats.org/officeDocument/2006/relationships/hyperlink" Target="https://vimeo.com/surfingw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urfingw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1992</Characters>
  <Application>Microsoft Office Word</Application>
  <DocSecurity>0</DocSecurity>
  <Lines>16</Lines>
  <Paragraphs>4</Paragraphs>
  <ScaleCrop>false</ScaleCrop>
  <Company>ACCC</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Staun</dc:creator>
  <cp:lastModifiedBy>Brendan Staun</cp:lastModifiedBy>
  <cp:revision>2</cp:revision>
  <dcterms:created xsi:type="dcterms:W3CDTF">2016-12-12T00:53:00Z</dcterms:created>
  <dcterms:modified xsi:type="dcterms:W3CDTF">2016-12-12T01:00:00Z</dcterms:modified>
</cp:coreProperties>
</file>