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F" w:rsidRDefault="001D575F" w:rsidP="001D575F">
      <w:pPr>
        <w:pStyle w:val="PlainText"/>
      </w:pPr>
      <w:r>
        <w:t>Dear Sir / Madam,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I have recently received a letter from Australia Post stating that it has lodged a notification with the ACCC seeking an increase in the BPR from 70 cents to $1.00 (an increase of 42.86%).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This is a significant increase and will have an impact on my businesses use of Australia Post's postal service as well as my family's personal use of the post.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If the price rise is approved, we are likely to significantly reduce our use of the postal service.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I presume many other consumers are likely to adopt a similar approach.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This would likely have a disastrous impact on Australia Post and increase its current mail service losses.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In my view, it would be better to have more people using the postal service and paying a 70 cent BPR, than pricing most people out of using the postal service.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For the good of consumers and the postal service, I would urge you to reject Australia Post's proposed BPR increase.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If Australia Post wishes to make an overall profit, it should look to the example of New Zealand's postal service, which introduced a popular and profitable banking service (</w:t>
      </w:r>
      <w:proofErr w:type="spellStart"/>
      <w:r>
        <w:t>Kiwibank</w:t>
      </w:r>
      <w:proofErr w:type="spellEnd"/>
      <w:r>
        <w:t>) which has helped that postal service achieve consistent overall profits.</w:t>
      </w:r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r>
        <w:t>Regards,</w:t>
      </w:r>
    </w:p>
    <w:p w:rsidR="001D575F" w:rsidRDefault="001D575F" w:rsidP="001D575F">
      <w:pPr>
        <w:pStyle w:val="PlainText"/>
      </w:pPr>
      <w:proofErr w:type="spellStart"/>
      <w:r>
        <w:t>Suryan</w:t>
      </w:r>
      <w:proofErr w:type="spellEnd"/>
    </w:p>
    <w:p w:rsidR="001D575F" w:rsidRDefault="001D575F" w:rsidP="001D575F">
      <w:pPr>
        <w:pStyle w:val="PlainText"/>
      </w:pPr>
    </w:p>
    <w:p w:rsidR="001D575F" w:rsidRDefault="001D575F" w:rsidP="001D575F">
      <w:pPr>
        <w:pStyle w:val="PlainText"/>
      </w:pPr>
      <w:proofErr w:type="spellStart"/>
      <w:r>
        <w:t>Suryan</w:t>
      </w:r>
      <w:proofErr w:type="spellEnd"/>
      <w:r>
        <w:t xml:space="preserve"> </w:t>
      </w:r>
      <w:proofErr w:type="spellStart"/>
      <w:r>
        <w:t>Chandrasegaran</w:t>
      </w:r>
      <w:proofErr w:type="spellEnd"/>
      <w:r>
        <w:t xml:space="preserve">, </w:t>
      </w:r>
      <w:proofErr w:type="spellStart"/>
      <w:r>
        <w:t>BEc</w:t>
      </w:r>
      <w:proofErr w:type="spellEnd"/>
      <w:r>
        <w:t xml:space="preserve">, LLB, </w:t>
      </w:r>
      <w:proofErr w:type="spellStart"/>
      <w:r>
        <w:t>MTax</w:t>
      </w:r>
      <w:proofErr w:type="spellEnd"/>
    </w:p>
    <w:p w:rsidR="001D575F" w:rsidRDefault="001D575F" w:rsidP="001D575F">
      <w:pPr>
        <w:pStyle w:val="PlainText"/>
      </w:pPr>
      <w:r>
        <w:t>Legal Practitioner Director</w:t>
      </w:r>
    </w:p>
    <w:p w:rsidR="001D575F" w:rsidRDefault="001D575F" w:rsidP="001D575F">
      <w:pPr>
        <w:pStyle w:val="PlainText"/>
      </w:pPr>
      <w:r>
        <w:t>Albury Legal Pty Ltd</w:t>
      </w:r>
    </w:p>
    <w:p w:rsidR="00303C4A" w:rsidRDefault="00303C4A">
      <w:bookmarkStart w:id="0" w:name="_GoBack"/>
      <w:bookmarkEnd w:id="0"/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5F" w:rsidRDefault="001D575F" w:rsidP="004B4412">
      <w:pPr>
        <w:spacing w:before="0"/>
      </w:pPr>
      <w:r>
        <w:separator/>
      </w:r>
    </w:p>
  </w:endnote>
  <w:endnote w:type="continuationSeparator" w:id="0">
    <w:p w:rsidR="001D575F" w:rsidRDefault="001D575F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5F" w:rsidRDefault="001D575F" w:rsidP="004B4412">
      <w:pPr>
        <w:spacing w:before="0"/>
      </w:pPr>
      <w:r>
        <w:separator/>
      </w:r>
    </w:p>
  </w:footnote>
  <w:footnote w:type="continuationSeparator" w:id="0">
    <w:p w:rsidR="001D575F" w:rsidRDefault="001D575F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4"/>
  </w:docVars>
  <w:rsids>
    <w:rsidRoot w:val="001D575F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D575F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575F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7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575F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7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204B6-6A3C-4ACC-9A93-AC33EE1F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7C061204</Template>
  <TotalTime>1</TotalTime>
  <Pages>1</Pages>
  <Words>234</Words>
  <Characters>1059</Characters>
  <Application>Microsoft Office Word</Application>
  <DocSecurity>0</DocSecurity>
  <Lines>29</Lines>
  <Paragraphs>16</Paragraphs>
  <ScaleCrop>false</ScaleCrop>
  <Company>ACCC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Bromberg, Leo</dc:creator>
  <cp:lastModifiedBy>Bromberg, Leo</cp:lastModifiedBy>
  <cp:revision>1</cp:revision>
  <dcterms:created xsi:type="dcterms:W3CDTF">2015-09-18T03:25:00Z</dcterms:created>
  <dcterms:modified xsi:type="dcterms:W3CDTF">2015-09-18T03:26:00Z</dcterms:modified>
</cp:coreProperties>
</file>