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AB" w:rsidRPr="00E96C2A" w:rsidRDefault="00AE58AB" w:rsidP="00AE58AB"/>
    <w:p w:rsidR="00EF7879" w:rsidRDefault="00EF7879" w:rsidP="00EF7879">
      <w:pPr>
        <w:rPr>
          <w:sz w:val="32"/>
          <w:szCs w:val="32"/>
        </w:rPr>
      </w:pPr>
      <w:r w:rsidRPr="00E96C2A">
        <w:rPr>
          <w:noProof/>
        </w:rPr>
        <w:drawing>
          <wp:inline distT="0" distB="0" distL="0" distR="0" wp14:anchorId="6C718D2C" wp14:editId="5B41BF6D">
            <wp:extent cx="3429000" cy="1047750"/>
            <wp:effectExtent l="0" t="0" r="0" b="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047750"/>
                    </a:xfrm>
                    <a:prstGeom prst="rect">
                      <a:avLst/>
                    </a:prstGeom>
                    <a:noFill/>
                    <a:ln>
                      <a:noFill/>
                    </a:ln>
                  </pic:spPr>
                </pic:pic>
              </a:graphicData>
            </a:graphic>
          </wp:inline>
        </w:drawing>
      </w:r>
    </w:p>
    <w:p w:rsidR="00EF7879" w:rsidRPr="00EF7879" w:rsidRDefault="00EF7879" w:rsidP="00EF7879">
      <w:pPr>
        <w:rPr>
          <w:sz w:val="32"/>
          <w:szCs w:val="32"/>
        </w:rPr>
        <w:sectPr w:rsidR="00EF7879" w:rsidRPr="00EF7879" w:rsidSect="00682CBC">
          <w:pgSz w:w="11906" w:h="16838" w:code="9"/>
          <w:pgMar w:top="1440" w:right="1729" w:bottom="1582" w:left="1729" w:header="720" w:footer="1009" w:gutter="0"/>
          <w:cols w:space="720"/>
          <w:docGrid w:linePitch="326"/>
        </w:sectPr>
      </w:pPr>
    </w:p>
    <w:p w:rsidR="00AE58AB" w:rsidRPr="00E96C2A" w:rsidRDefault="00AE58AB" w:rsidP="00AE58AB">
      <w:pPr>
        <w:pStyle w:val="ACCCtitle"/>
        <w:rPr>
          <w:i/>
        </w:rPr>
      </w:pPr>
      <w:r w:rsidRPr="00E96C2A">
        <w:rPr>
          <w:i/>
        </w:rPr>
        <w:lastRenderedPageBreak/>
        <w:t xml:space="preserve">NBN Services in Operation </w:t>
      </w:r>
    </w:p>
    <w:p w:rsidR="00AE58AB" w:rsidRPr="00E96C2A" w:rsidRDefault="00AE58AB" w:rsidP="00AE58AB">
      <w:pPr>
        <w:pStyle w:val="ACCCtitle"/>
        <w:rPr>
          <w:i/>
        </w:rPr>
      </w:pPr>
      <w:r w:rsidRPr="00E96C2A">
        <w:rPr>
          <w:i/>
        </w:rPr>
        <w:t>Record Keeping Rules</w:t>
      </w:r>
    </w:p>
    <w:p w:rsidR="00AE58AB" w:rsidRPr="00E96C2A" w:rsidRDefault="00AE58AB" w:rsidP="00AE58AB">
      <w:pPr>
        <w:pStyle w:val="ACCCtitle"/>
      </w:pPr>
    </w:p>
    <w:p w:rsidR="00AE58AB" w:rsidRPr="00E96C2A" w:rsidRDefault="00AE58AB" w:rsidP="00AE58AB">
      <w:pPr>
        <w:pStyle w:val="ACCCtitle"/>
      </w:pPr>
    </w:p>
    <w:p w:rsidR="00AE58AB" w:rsidRPr="00E96C2A" w:rsidRDefault="001127AF" w:rsidP="00AE58AB">
      <w:pPr>
        <w:pStyle w:val="ACCCtitle"/>
      </w:pPr>
      <w:r w:rsidRPr="00E96C2A">
        <w:t>Explanatory statement</w:t>
      </w:r>
    </w:p>
    <w:p w:rsidR="00AE58AB" w:rsidRPr="00E96C2A" w:rsidRDefault="00E21449" w:rsidP="00AE58AB">
      <w:pPr>
        <w:jc w:val="center"/>
        <w:rPr>
          <w:rFonts w:ascii="Arial" w:hAnsi="Arial" w:cs="Arial"/>
          <w:b/>
          <w:sz w:val="36"/>
          <w:szCs w:val="36"/>
        </w:rPr>
      </w:pPr>
      <w:r>
        <w:rPr>
          <w:rFonts w:ascii="Arial" w:hAnsi="Arial" w:cs="Arial"/>
          <w:b/>
          <w:sz w:val="36"/>
          <w:szCs w:val="36"/>
        </w:rPr>
        <w:t>September</w:t>
      </w:r>
      <w:r w:rsidR="00E03D70" w:rsidRPr="00E96C2A">
        <w:rPr>
          <w:rFonts w:ascii="Arial" w:hAnsi="Arial" w:cs="Arial"/>
          <w:b/>
          <w:sz w:val="36"/>
          <w:szCs w:val="36"/>
        </w:rPr>
        <w:t xml:space="preserve"> </w:t>
      </w:r>
      <w:r w:rsidR="00682CBC">
        <w:rPr>
          <w:rFonts w:ascii="Arial" w:hAnsi="Arial" w:cs="Arial"/>
          <w:b/>
          <w:sz w:val="36"/>
          <w:szCs w:val="36"/>
        </w:rPr>
        <w:t>2017</w:t>
      </w:r>
    </w:p>
    <w:p w:rsidR="00AE58AB" w:rsidRPr="00E96C2A" w:rsidRDefault="00AE58AB" w:rsidP="00AE58AB">
      <w:pPr>
        <w:rPr>
          <w:rFonts w:ascii="Arial" w:hAnsi="Arial" w:cs="Arial"/>
          <w:sz w:val="36"/>
          <w:szCs w:val="36"/>
        </w:rPr>
      </w:pPr>
    </w:p>
    <w:p w:rsidR="00AE58AB" w:rsidRPr="00E96C2A" w:rsidRDefault="00AE58AB" w:rsidP="00AE58AB">
      <w:pPr>
        <w:sectPr w:rsidR="00AE58AB" w:rsidRPr="00E96C2A" w:rsidSect="00682CBC">
          <w:footerReference w:type="even" r:id="rId10"/>
          <w:footerReference w:type="default" r:id="rId11"/>
          <w:type w:val="continuous"/>
          <w:pgSz w:w="11906" w:h="16838" w:code="9"/>
          <w:pgMar w:top="1440" w:right="1729" w:bottom="1582" w:left="1729" w:header="720" w:footer="1009" w:gutter="0"/>
          <w:pgNumType w:start="1"/>
          <w:cols w:space="720"/>
          <w:docGrid w:linePitch="326"/>
        </w:sectPr>
      </w:pPr>
      <w:bookmarkStart w:id="0" w:name="OLE_LINK3"/>
      <w:bookmarkStart w:id="1" w:name="OLE_LINK4"/>
    </w:p>
    <w:p w:rsidR="00AE58AB" w:rsidRPr="00E96C2A" w:rsidRDefault="00AE58AB" w:rsidP="00AE58AB">
      <w:pPr>
        <w:pStyle w:val="Contentsheading"/>
      </w:pPr>
      <w:bookmarkStart w:id="2" w:name="_Toc148174795"/>
      <w:bookmarkEnd w:id="0"/>
      <w:bookmarkEnd w:id="1"/>
      <w:r w:rsidRPr="00E96C2A">
        <w:lastRenderedPageBreak/>
        <w:t>Contents</w:t>
      </w:r>
      <w:bookmarkEnd w:id="2"/>
    </w:p>
    <w:p w:rsidR="00F143B4" w:rsidRDefault="00AE58AB">
      <w:pPr>
        <w:pStyle w:val="TOC2"/>
        <w:rPr>
          <w:rFonts w:asciiTheme="minorHAnsi" w:eastAsiaTheme="minorEastAsia" w:hAnsiTheme="minorHAnsi" w:cstheme="minorBidi"/>
          <w:noProof/>
          <w:sz w:val="22"/>
          <w:szCs w:val="22"/>
        </w:rPr>
      </w:pPr>
      <w:r w:rsidRPr="00E96C2A">
        <w:rPr>
          <w:b/>
        </w:rPr>
        <w:fldChar w:fldCharType="begin"/>
      </w:r>
      <w:r w:rsidRPr="00E96C2A">
        <w:instrText xml:space="preserve"> TOC \o "1-3" \f \h \z </w:instrText>
      </w:r>
      <w:r w:rsidRPr="00E96C2A">
        <w:rPr>
          <w:b/>
        </w:rPr>
        <w:fldChar w:fldCharType="separate"/>
      </w:r>
      <w:hyperlink w:anchor="_Toc394395773" w:history="1">
        <w:r w:rsidR="00F143B4" w:rsidRPr="001E659A">
          <w:rPr>
            <w:rStyle w:val="Hyperlink"/>
            <w:noProof/>
          </w:rPr>
          <w:t>Introduction</w:t>
        </w:r>
        <w:r w:rsidR="00F143B4">
          <w:rPr>
            <w:noProof/>
            <w:webHidden/>
          </w:rPr>
          <w:tab/>
        </w:r>
        <w:r w:rsidR="00F143B4">
          <w:rPr>
            <w:noProof/>
            <w:webHidden/>
          </w:rPr>
          <w:fldChar w:fldCharType="begin"/>
        </w:r>
        <w:r w:rsidR="00F143B4">
          <w:rPr>
            <w:noProof/>
            <w:webHidden/>
          </w:rPr>
          <w:instrText xml:space="preserve"> PAGEREF _Toc394395773 \h </w:instrText>
        </w:r>
        <w:r w:rsidR="00F143B4">
          <w:rPr>
            <w:noProof/>
            <w:webHidden/>
          </w:rPr>
        </w:r>
        <w:r w:rsidR="00F143B4">
          <w:rPr>
            <w:noProof/>
            <w:webHidden/>
          </w:rPr>
          <w:fldChar w:fldCharType="separate"/>
        </w:r>
        <w:r w:rsidR="00EF7879">
          <w:rPr>
            <w:noProof/>
            <w:webHidden/>
          </w:rPr>
          <w:t>1</w:t>
        </w:r>
        <w:r w:rsidR="00F143B4">
          <w:rPr>
            <w:noProof/>
            <w:webHidden/>
          </w:rPr>
          <w:fldChar w:fldCharType="end"/>
        </w:r>
      </w:hyperlink>
    </w:p>
    <w:p w:rsidR="00F143B4" w:rsidRDefault="00110B9C">
      <w:pPr>
        <w:pStyle w:val="TOC2"/>
        <w:rPr>
          <w:rFonts w:asciiTheme="minorHAnsi" w:eastAsiaTheme="minorEastAsia" w:hAnsiTheme="minorHAnsi" w:cstheme="minorBidi"/>
          <w:noProof/>
          <w:sz w:val="22"/>
          <w:szCs w:val="22"/>
        </w:rPr>
      </w:pPr>
      <w:hyperlink w:anchor="_Toc394395774" w:history="1">
        <w:r w:rsidR="00F143B4" w:rsidRPr="001E659A">
          <w:rPr>
            <w:rStyle w:val="Hyperlink"/>
            <w:noProof/>
          </w:rPr>
          <w:t>Regulatory framework</w:t>
        </w:r>
        <w:r w:rsidR="00F143B4">
          <w:rPr>
            <w:noProof/>
            <w:webHidden/>
          </w:rPr>
          <w:tab/>
        </w:r>
        <w:r w:rsidR="00F143B4">
          <w:rPr>
            <w:noProof/>
            <w:webHidden/>
          </w:rPr>
          <w:fldChar w:fldCharType="begin"/>
        </w:r>
        <w:r w:rsidR="00F143B4">
          <w:rPr>
            <w:noProof/>
            <w:webHidden/>
          </w:rPr>
          <w:instrText xml:space="preserve"> PAGEREF _Toc394395774 \h </w:instrText>
        </w:r>
        <w:r w:rsidR="00F143B4">
          <w:rPr>
            <w:noProof/>
            <w:webHidden/>
          </w:rPr>
        </w:r>
        <w:r w:rsidR="00F143B4">
          <w:rPr>
            <w:noProof/>
            <w:webHidden/>
          </w:rPr>
          <w:fldChar w:fldCharType="separate"/>
        </w:r>
        <w:r w:rsidR="00EF7879">
          <w:rPr>
            <w:noProof/>
            <w:webHidden/>
          </w:rPr>
          <w:t>1</w:t>
        </w:r>
        <w:r w:rsidR="00F143B4">
          <w:rPr>
            <w:noProof/>
            <w:webHidden/>
          </w:rPr>
          <w:fldChar w:fldCharType="end"/>
        </w:r>
      </w:hyperlink>
    </w:p>
    <w:p w:rsidR="00F143B4" w:rsidRDefault="00110B9C">
      <w:pPr>
        <w:pStyle w:val="TOC2"/>
        <w:rPr>
          <w:rFonts w:asciiTheme="minorHAnsi" w:eastAsiaTheme="minorEastAsia" w:hAnsiTheme="minorHAnsi" w:cstheme="minorBidi"/>
          <w:noProof/>
          <w:sz w:val="22"/>
          <w:szCs w:val="22"/>
        </w:rPr>
      </w:pPr>
      <w:hyperlink w:anchor="_Toc394395775" w:history="1">
        <w:r w:rsidR="00F143B4" w:rsidRPr="001E659A">
          <w:rPr>
            <w:rStyle w:val="Hyperlink"/>
            <w:noProof/>
          </w:rPr>
          <w:t>NBN Services in Operation RKR</w:t>
        </w:r>
        <w:r w:rsidR="00F143B4">
          <w:rPr>
            <w:noProof/>
            <w:webHidden/>
          </w:rPr>
          <w:tab/>
        </w:r>
        <w:r w:rsidR="00F143B4">
          <w:rPr>
            <w:noProof/>
            <w:webHidden/>
          </w:rPr>
          <w:fldChar w:fldCharType="begin"/>
        </w:r>
        <w:r w:rsidR="00F143B4">
          <w:rPr>
            <w:noProof/>
            <w:webHidden/>
          </w:rPr>
          <w:instrText xml:space="preserve"> PAGEREF _Toc394395775 \h </w:instrText>
        </w:r>
        <w:r w:rsidR="00F143B4">
          <w:rPr>
            <w:noProof/>
            <w:webHidden/>
          </w:rPr>
        </w:r>
        <w:r w:rsidR="00F143B4">
          <w:rPr>
            <w:noProof/>
            <w:webHidden/>
          </w:rPr>
          <w:fldChar w:fldCharType="separate"/>
        </w:r>
        <w:r w:rsidR="00EF7879">
          <w:rPr>
            <w:noProof/>
            <w:webHidden/>
          </w:rPr>
          <w:t>1</w:t>
        </w:r>
        <w:r w:rsidR="00F143B4">
          <w:rPr>
            <w:noProof/>
            <w:webHidden/>
          </w:rPr>
          <w:fldChar w:fldCharType="end"/>
        </w:r>
      </w:hyperlink>
    </w:p>
    <w:p w:rsidR="00F143B4" w:rsidRDefault="00110B9C">
      <w:pPr>
        <w:pStyle w:val="TOC2"/>
        <w:rPr>
          <w:rFonts w:asciiTheme="minorHAnsi" w:eastAsiaTheme="minorEastAsia" w:hAnsiTheme="minorHAnsi" w:cstheme="minorBidi"/>
          <w:noProof/>
          <w:sz w:val="22"/>
          <w:szCs w:val="22"/>
        </w:rPr>
      </w:pPr>
      <w:hyperlink w:anchor="_Toc394395776" w:history="1">
        <w:r w:rsidR="00F143B4" w:rsidRPr="001E659A">
          <w:rPr>
            <w:rStyle w:val="Hyperlink"/>
            <w:noProof/>
          </w:rPr>
          <w:t>Explanatory Notes</w:t>
        </w:r>
        <w:r w:rsidR="00F143B4">
          <w:rPr>
            <w:noProof/>
            <w:webHidden/>
          </w:rPr>
          <w:tab/>
        </w:r>
        <w:r w:rsidR="00F143B4">
          <w:rPr>
            <w:noProof/>
            <w:webHidden/>
          </w:rPr>
          <w:fldChar w:fldCharType="begin"/>
        </w:r>
        <w:r w:rsidR="00F143B4">
          <w:rPr>
            <w:noProof/>
            <w:webHidden/>
          </w:rPr>
          <w:instrText xml:space="preserve"> PAGEREF _Toc394395776 \h </w:instrText>
        </w:r>
        <w:r w:rsidR="00F143B4">
          <w:rPr>
            <w:noProof/>
            <w:webHidden/>
          </w:rPr>
        </w:r>
        <w:r w:rsidR="00F143B4">
          <w:rPr>
            <w:noProof/>
            <w:webHidden/>
          </w:rPr>
          <w:fldChar w:fldCharType="separate"/>
        </w:r>
        <w:r w:rsidR="00EF7879">
          <w:rPr>
            <w:noProof/>
            <w:webHidden/>
          </w:rPr>
          <w:t>2</w:t>
        </w:r>
        <w:r w:rsidR="00F143B4">
          <w:rPr>
            <w:noProof/>
            <w:webHidden/>
          </w:rPr>
          <w:fldChar w:fldCharType="end"/>
        </w:r>
      </w:hyperlink>
    </w:p>
    <w:p w:rsidR="00AE58AB" w:rsidRPr="00E96C2A" w:rsidRDefault="00AE58AB" w:rsidP="00AE58AB">
      <w:pPr>
        <w:pStyle w:val="TOC2"/>
        <w:sectPr w:rsidR="00AE58AB" w:rsidRPr="00E96C2A" w:rsidSect="00682CBC">
          <w:footerReference w:type="default" r:id="rId12"/>
          <w:pgSz w:w="11906" w:h="16838" w:code="9"/>
          <w:pgMar w:top="1440" w:right="1729" w:bottom="1582" w:left="1729" w:header="720" w:footer="1009" w:gutter="0"/>
          <w:pgNumType w:fmt="lowerRoman" w:start="3"/>
          <w:cols w:space="720"/>
          <w:docGrid w:linePitch="326"/>
        </w:sectPr>
      </w:pPr>
      <w:r w:rsidRPr="00E96C2A">
        <w:fldChar w:fldCharType="end"/>
      </w:r>
      <w:bookmarkStart w:id="3" w:name="_Toc213047617"/>
    </w:p>
    <w:p w:rsidR="00AE58AB" w:rsidRPr="00E96C2A" w:rsidRDefault="00AE58AB" w:rsidP="00AE58AB">
      <w:pPr>
        <w:pStyle w:val="Heading1"/>
        <w:sectPr w:rsidR="00AE58AB" w:rsidRPr="00E96C2A" w:rsidSect="00AE58AB">
          <w:footerReference w:type="even" r:id="rId13"/>
          <w:footerReference w:type="default" r:id="rId14"/>
          <w:type w:val="continuous"/>
          <w:pgSz w:w="11906" w:h="16838" w:code="9"/>
          <w:pgMar w:top="1440" w:right="1729" w:bottom="1582" w:left="1729" w:header="720" w:footer="1009" w:gutter="0"/>
          <w:cols w:space="13"/>
          <w:docGrid w:linePitch="326"/>
        </w:sectPr>
      </w:pPr>
      <w:bookmarkStart w:id="4" w:name="_Toc379457587"/>
    </w:p>
    <w:p w:rsidR="00D110AE" w:rsidRPr="00E96C2A" w:rsidRDefault="00591D84" w:rsidP="00D110AE">
      <w:pPr>
        <w:pStyle w:val="Heading2"/>
      </w:pPr>
      <w:bookmarkStart w:id="5" w:name="_Toc394395773"/>
      <w:bookmarkEnd w:id="3"/>
      <w:bookmarkEnd w:id="4"/>
      <w:r w:rsidRPr="00E96C2A">
        <w:lastRenderedPageBreak/>
        <w:t>Introduction</w:t>
      </w:r>
      <w:bookmarkEnd w:id="5"/>
    </w:p>
    <w:p w:rsidR="00D110AE" w:rsidRPr="00E96C2A" w:rsidRDefault="00D110AE" w:rsidP="009B4B2C">
      <w:pPr>
        <w:tabs>
          <w:tab w:val="left" w:pos="0"/>
        </w:tabs>
      </w:pPr>
      <w:r w:rsidRPr="00E96C2A">
        <w:t xml:space="preserve">This explanatory statement accompanies the </w:t>
      </w:r>
      <w:r w:rsidR="00BC4F36" w:rsidRPr="00BC4F36">
        <w:t>NBN Services in Operation Record Keep</w:t>
      </w:r>
      <w:r w:rsidR="00BC4F36">
        <w:t>ing and Reporting Rules (Rules)</w:t>
      </w:r>
      <w:r w:rsidR="00745D71" w:rsidRPr="00E96C2A">
        <w:t>.</w:t>
      </w:r>
      <w:r w:rsidR="00682CBC">
        <w:t xml:space="preserve"> </w:t>
      </w:r>
    </w:p>
    <w:p w:rsidR="00D110AE" w:rsidRPr="00E96C2A" w:rsidRDefault="00D110AE" w:rsidP="00D110AE">
      <w:pPr>
        <w:pStyle w:val="Heading2"/>
      </w:pPr>
      <w:bookmarkStart w:id="6" w:name="_Toc394395774"/>
      <w:r w:rsidRPr="00E96C2A">
        <w:t>Regulatory framework</w:t>
      </w:r>
      <w:bookmarkEnd w:id="6"/>
    </w:p>
    <w:p w:rsidR="00D110AE" w:rsidRPr="00E96C2A" w:rsidRDefault="00D110AE" w:rsidP="00D110AE">
      <w:pPr>
        <w:tabs>
          <w:tab w:val="left" w:pos="0"/>
        </w:tabs>
      </w:pPr>
      <w:r w:rsidRPr="00E96C2A">
        <w:t xml:space="preserve">Under section 151BU of the </w:t>
      </w:r>
      <w:r w:rsidR="00C37EEE" w:rsidRPr="00E96C2A">
        <w:rPr>
          <w:i/>
        </w:rPr>
        <w:t>Competition and Consumer Act 2010</w:t>
      </w:r>
      <w:r w:rsidR="00C37EEE" w:rsidRPr="00E96C2A">
        <w:t xml:space="preserve"> (</w:t>
      </w:r>
      <w:r w:rsidRPr="00E96C2A">
        <w:t>CCA</w:t>
      </w:r>
      <w:r w:rsidR="00C37EEE" w:rsidRPr="00E96C2A">
        <w:t>)</w:t>
      </w:r>
      <w:r w:rsidRPr="00E96C2A">
        <w:t xml:space="preserve">, the ACCC can make </w:t>
      </w:r>
      <w:r w:rsidR="00A73089" w:rsidRPr="00E96C2A">
        <w:t>record keeping rules (RKRs)</w:t>
      </w:r>
      <w:r w:rsidRPr="00E96C2A">
        <w:t xml:space="preserve"> that require one or more specified carriers to keep and retain records and give reports to the ACCC consisting of information contained in those records. </w:t>
      </w:r>
    </w:p>
    <w:p w:rsidR="00D110AE" w:rsidRPr="00E96C2A" w:rsidRDefault="00D110AE" w:rsidP="00D110AE">
      <w:pPr>
        <w:tabs>
          <w:tab w:val="left" w:pos="0"/>
        </w:tabs>
      </w:pPr>
      <w:r w:rsidRPr="00E96C2A">
        <w:t xml:space="preserve">The </w:t>
      </w:r>
      <w:r w:rsidR="00640DBC" w:rsidRPr="00E96C2A">
        <w:t xml:space="preserve">ACCC cannot require a carrier to keep and retain </w:t>
      </w:r>
      <w:r w:rsidRPr="00E96C2A">
        <w:t xml:space="preserve">records </w:t>
      </w:r>
      <w:r w:rsidR="00640DBC" w:rsidRPr="00E96C2A">
        <w:t xml:space="preserve">unless they will </w:t>
      </w:r>
      <w:r w:rsidRPr="00E96C2A">
        <w:t xml:space="preserve">contain information relevant to </w:t>
      </w:r>
      <w:r w:rsidR="00640DBC" w:rsidRPr="00E96C2A">
        <w:t>specified matters, w</w:t>
      </w:r>
      <w:r w:rsidR="00C37EEE" w:rsidRPr="00E96C2A">
        <w:t>hich</w:t>
      </w:r>
      <w:r w:rsidR="00640DBC" w:rsidRPr="00E96C2A">
        <w:t xml:space="preserve"> are</w:t>
      </w:r>
      <w:r w:rsidRPr="00E96C2A">
        <w:t xml:space="preserve">: </w:t>
      </w:r>
    </w:p>
    <w:p w:rsidR="00D110AE" w:rsidRPr="00E96C2A" w:rsidRDefault="00D110AE" w:rsidP="00D110AE">
      <w:pPr>
        <w:numPr>
          <w:ilvl w:val="0"/>
          <w:numId w:val="28"/>
        </w:numPr>
        <w:tabs>
          <w:tab w:val="clear" w:pos="1860"/>
          <w:tab w:val="left" w:pos="360"/>
          <w:tab w:val="num" w:pos="900"/>
        </w:tabs>
        <w:spacing w:before="0" w:after="0"/>
        <w:ind w:left="900" w:hanging="540"/>
      </w:pPr>
      <w:r w:rsidRPr="00E96C2A">
        <w:t>determining compliance with the Competition Rule (s</w:t>
      </w:r>
      <w:r w:rsidR="00CC6684">
        <w:t>ection</w:t>
      </w:r>
      <w:r w:rsidRPr="00E96C2A">
        <w:t xml:space="preserve"> 151AK of the CCA)</w:t>
      </w:r>
    </w:p>
    <w:p w:rsidR="00D110AE" w:rsidRPr="00E96C2A" w:rsidRDefault="00D110AE" w:rsidP="00D110AE">
      <w:pPr>
        <w:numPr>
          <w:ilvl w:val="0"/>
          <w:numId w:val="28"/>
        </w:numPr>
        <w:tabs>
          <w:tab w:val="clear" w:pos="1860"/>
          <w:tab w:val="left" w:pos="360"/>
          <w:tab w:val="num" w:pos="900"/>
        </w:tabs>
        <w:spacing w:before="0" w:after="0"/>
        <w:ind w:left="900" w:hanging="540"/>
      </w:pPr>
      <w:r w:rsidRPr="00E96C2A">
        <w:t>determining compliance with tariff filing directions</w:t>
      </w:r>
    </w:p>
    <w:p w:rsidR="00D110AE" w:rsidRPr="00E96C2A" w:rsidRDefault="00D110AE" w:rsidP="00D110AE">
      <w:pPr>
        <w:numPr>
          <w:ilvl w:val="0"/>
          <w:numId w:val="28"/>
        </w:numPr>
        <w:tabs>
          <w:tab w:val="clear" w:pos="1860"/>
          <w:tab w:val="left" w:pos="360"/>
          <w:tab w:val="num" w:pos="900"/>
        </w:tabs>
        <w:spacing w:before="0" w:after="0"/>
        <w:ind w:left="900" w:hanging="540"/>
      </w:pPr>
      <w:r w:rsidRPr="00E96C2A">
        <w:t>the operation of Part XIB of the CCA (other than Division 6)</w:t>
      </w:r>
    </w:p>
    <w:p w:rsidR="004E3310" w:rsidRPr="00E96C2A" w:rsidRDefault="00D110AE" w:rsidP="009B4B2C">
      <w:pPr>
        <w:numPr>
          <w:ilvl w:val="0"/>
          <w:numId w:val="28"/>
        </w:numPr>
        <w:tabs>
          <w:tab w:val="clear" w:pos="1860"/>
          <w:tab w:val="left" w:pos="360"/>
          <w:tab w:val="num" w:pos="900"/>
        </w:tabs>
        <w:spacing w:before="0" w:after="0"/>
        <w:ind w:left="900" w:hanging="540"/>
      </w:pPr>
      <w:r w:rsidRPr="00E96C2A">
        <w:t>the operation of Part XIC of the CCA</w:t>
      </w:r>
    </w:p>
    <w:p w:rsidR="004E3310" w:rsidRPr="00E96C2A" w:rsidRDefault="004E3310" w:rsidP="009B4B2C">
      <w:pPr>
        <w:numPr>
          <w:ilvl w:val="0"/>
          <w:numId w:val="28"/>
        </w:numPr>
        <w:tabs>
          <w:tab w:val="clear" w:pos="1860"/>
          <w:tab w:val="left" w:pos="360"/>
          <w:tab w:val="num" w:pos="900"/>
        </w:tabs>
        <w:spacing w:before="0" w:after="0"/>
        <w:ind w:left="900" w:hanging="540"/>
      </w:pPr>
      <w:r w:rsidRPr="00E96C2A">
        <w:t xml:space="preserve">the operation of the </w:t>
      </w:r>
      <w:r w:rsidRPr="00E96C2A">
        <w:rPr>
          <w:i/>
        </w:rPr>
        <w:t>National Broadband Network Companies Act 2011</w:t>
      </w:r>
      <w:r w:rsidRPr="00E96C2A">
        <w:t xml:space="preserve"> or regulations under that Act</w:t>
      </w:r>
    </w:p>
    <w:p w:rsidR="00D110AE" w:rsidRPr="00E96C2A" w:rsidRDefault="00D110AE" w:rsidP="00D110AE">
      <w:pPr>
        <w:numPr>
          <w:ilvl w:val="0"/>
          <w:numId w:val="28"/>
        </w:numPr>
        <w:tabs>
          <w:tab w:val="clear" w:pos="1860"/>
          <w:tab w:val="left" w:pos="360"/>
          <w:tab w:val="num" w:pos="900"/>
        </w:tabs>
        <w:spacing w:before="0" w:after="0"/>
        <w:ind w:left="900" w:hanging="540"/>
      </w:pPr>
      <w:r w:rsidRPr="00E96C2A">
        <w:t xml:space="preserve">the operation of Part 9 of the </w:t>
      </w:r>
      <w:r w:rsidRPr="00E96C2A">
        <w:rPr>
          <w:i/>
        </w:rPr>
        <w:t xml:space="preserve">Telecommunications (Consumer Protection and Service Standards) Act 1999 </w:t>
      </w:r>
      <w:r w:rsidRPr="00E96C2A">
        <w:t>which deals with regulation of Telstra’s charges</w:t>
      </w:r>
    </w:p>
    <w:p w:rsidR="00D110AE" w:rsidRPr="00E96C2A" w:rsidRDefault="00D110AE" w:rsidP="00D110AE">
      <w:pPr>
        <w:numPr>
          <w:ilvl w:val="0"/>
          <w:numId w:val="28"/>
        </w:numPr>
        <w:tabs>
          <w:tab w:val="clear" w:pos="1860"/>
          <w:tab w:val="left" w:pos="360"/>
          <w:tab w:val="num" w:pos="900"/>
        </w:tabs>
        <w:spacing w:before="0" w:after="240"/>
        <w:ind w:left="896" w:hanging="539"/>
      </w:pPr>
      <w:r w:rsidRPr="00E96C2A">
        <w:t xml:space="preserve">the operation of Division 3, Part 20 of the </w:t>
      </w:r>
      <w:r w:rsidRPr="00E96C2A">
        <w:rPr>
          <w:i/>
        </w:rPr>
        <w:t>Telecommunications Act 1997</w:t>
      </w:r>
      <w:r w:rsidRPr="00E96C2A">
        <w:t xml:space="preserve"> which deals with the Rules of Conduct relating to dealings with international telecommunications operations</w:t>
      </w:r>
    </w:p>
    <w:p w:rsidR="00D110AE" w:rsidRPr="00E96C2A" w:rsidRDefault="00D110AE" w:rsidP="00D110AE">
      <w:pPr>
        <w:tabs>
          <w:tab w:val="left" w:pos="0"/>
        </w:tabs>
      </w:pPr>
      <w:r w:rsidRPr="00E96C2A">
        <w:t>Sections 151BUA, 151BUB and 151BUC of the CCA give the ACCC the power to disclose, or to require carriers or carriage service providers to disclose, reports prepared in accordance with an</w:t>
      </w:r>
      <w:r w:rsidR="007D4F8C" w:rsidRPr="00E96C2A">
        <w:t xml:space="preserve"> RKR.</w:t>
      </w:r>
    </w:p>
    <w:p w:rsidR="00D8451B" w:rsidRPr="00E96C2A" w:rsidRDefault="00D8451B" w:rsidP="00D8451B">
      <w:pPr>
        <w:pStyle w:val="Heading2"/>
      </w:pPr>
      <w:bookmarkStart w:id="7" w:name="_Toc394395775"/>
      <w:r w:rsidRPr="00E96C2A">
        <w:t>NBN Services in Operation RKR</w:t>
      </w:r>
      <w:bookmarkEnd w:id="7"/>
    </w:p>
    <w:p w:rsidR="00D8451B" w:rsidRPr="00E96C2A" w:rsidRDefault="00D8451B" w:rsidP="00D110AE">
      <w:pPr>
        <w:tabs>
          <w:tab w:val="left" w:pos="0"/>
        </w:tabs>
      </w:pPr>
      <w:r w:rsidRPr="00E96C2A">
        <w:t xml:space="preserve">The </w:t>
      </w:r>
      <w:r w:rsidR="00BC4F36">
        <w:t>Rules were</w:t>
      </w:r>
      <w:r w:rsidR="00682CBC">
        <w:t xml:space="preserve"> first issued in September 2014</w:t>
      </w:r>
      <w:r w:rsidR="00640DBC" w:rsidRPr="00E96C2A">
        <w:t xml:space="preserve"> </w:t>
      </w:r>
      <w:r w:rsidRPr="00E96C2A">
        <w:t xml:space="preserve">in order </w:t>
      </w:r>
      <w:r w:rsidR="003A3486" w:rsidRPr="00E96C2A">
        <w:t xml:space="preserve">to obtain information </w:t>
      </w:r>
      <w:r w:rsidR="00353FE2" w:rsidRPr="00E96C2A">
        <w:t xml:space="preserve">that is relevant to the operation of </w:t>
      </w:r>
      <w:r w:rsidR="00C56564" w:rsidRPr="00E96C2A">
        <w:t xml:space="preserve">Part XIB and </w:t>
      </w:r>
      <w:r w:rsidR="00C37EEE" w:rsidRPr="00E96C2A">
        <w:t xml:space="preserve">Part </w:t>
      </w:r>
      <w:r w:rsidR="00C56564" w:rsidRPr="00E96C2A">
        <w:t>XIC</w:t>
      </w:r>
      <w:r w:rsidR="00FD39A4" w:rsidRPr="00E96C2A">
        <w:t xml:space="preserve"> of the CCA.</w:t>
      </w:r>
    </w:p>
    <w:p w:rsidR="00C37EEE" w:rsidRPr="00E96C2A" w:rsidDel="00353FE2" w:rsidRDefault="00C37EEE" w:rsidP="00C37EEE">
      <w:pPr>
        <w:tabs>
          <w:tab w:val="left" w:pos="0"/>
        </w:tabs>
      </w:pPr>
      <w:r w:rsidRPr="00E96C2A">
        <w:t>The object</w:t>
      </w:r>
      <w:r w:rsidR="00035780">
        <w:t>ive</w:t>
      </w:r>
      <w:r w:rsidRPr="00E96C2A">
        <w:t xml:space="preserve"> of </w:t>
      </w:r>
      <w:r w:rsidRPr="00E96C2A" w:rsidDel="00353FE2">
        <w:t>Part XIC of the CCA</w:t>
      </w:r>
      <w:r w:rsidR="00F7350E" w:rsidRPr="00E96C2A">
        <w:t xml:space="preserve"> </w:t>
      </w:r>
      <w:r w:rsidRPr="00E96C2A">
        <w:t xml:space="preserve">is </w:t>
      </w:r>
      <w:r w:rsidRPr="00E96C2A" w:rsidDel="00353FE2">
        <w:t>to promote the long-term interests of end-users (LTIE)</w:t>
      </w:r>
      <w:r w:rsidRPr="00E96C2A">
        <w:t xml:space="preserve">, which comprises </w:t>
      </w:r>
      <w:r w:rsidRPr="00E96C2A" w:rsidDel="00353FE2">
        <w:t xml:space="preserve">the objectives of: </w:t>
      </w:r>
    </w:p>
    <w:p w:rsidR="00C37EEE" w:rsidRPr="00E96C2A" w:rsidDel="00353FE2" w:rsidRDefault="00C37EEE" w:rsidP="00C37EEE">
      <w:pPr>
        <w:numPr>
          <w:ilvl w:val="0"/>
          <w:numId w:val="29"/>
        </w:numPr>
        <w:tabs>
          <w:tab w:val="left" w:pos="0"/>
        </w:tabs>
        <w:spacing w:before="0" w:after="0"/>
      </w:pPr>
      <w:r w:rsidRPr="00E96C2A" w:rsidDel="00353FE2">
        <w:t xml:space="preserve">promoting competition </w:t>
      </w:r>
    </w:p>
    <w:p w:rsidR="00C37EEE" w:rsidRPr="00E96C2A" w:rsidDel="00353FE2" w:rsidRDefault="00C37EEE" w:rsidP="00C37EEE">
      <w:pPr>
        <w:numPr>
          <w:ilvl w:val="0"/>
          <w:numId w:val="29"/>
        </w:numPr>
        <w:tabs>
          <w:tab w:val="left" w:pos="0"/>
        </w:tabs>
        <w:spacing w:before="0" w:after="0"/>
      </w:pPr>
      <w:r w:rsidRPr="00E96C2A" w:rsidDel="00353FE2">
        <w:t xml:space="preserve">achieving any-to-any connectivity in relation to carriage services that involve communication between end-users </w:t>
      </w:r>
    </w:p>
    <w:p w:rsidR="00C37EEE" w:rsidRPr="00E96C2A" w:rsidDel="00353FE2" w:rsidRDefault="00C37EEE" w:rsidP="00C37EEE">
      <w:pPr>
        <w:numPr>
          <w:ilvl w:val="0"/>
          <w:numId w:val="29"/>
        </w:numPr>
        <w:tabs>
          <w:tab w:val="left" w:pos="0"/>
        </w:tabs>
        <w:spacing w:before="0" w:after="240"/>
        <w:ind w:left="714" w:hanging="357"/>
      </w:pPr>
      <w:proofErr w:type="gramStart"/>
      <w:r w:rsidRPr="00E96C2A" w:rsidDel="00353FE2">
        <w:t>encouraging</w:t>
      </w:r>
      <w:proofErr w:type="gramEnd"/>
      <w:r w:rsidRPr="00E96C2A" w:rsidDel="00353FE2">
        <w:t xml:space="preserve"> the economically efficient use of and investment in infrastructure supplying telecommunication</w:t>
      </w:r>
      <w:r w:rsidR="00B01CC8">
        <w:t>s</w:t>
      </w:r>
      <w:r w:rsidRPr="00E96C2A" w:rsidDel="00353FE2">
        <w:t xml:space="preserve"> services.</w:t>
      </w:r>
    </w:p>
    <w:p w:rsidR="003A404D" w:rsidRPr="00E96C2A" w:rsidRDefault="00103BF4" w:rsidP="00103BF4">
      <w:pPr>
        <w:tabs>
          <w:tab w:val="left" w:pos="0"/>
        </w:tabs>
      </w:pPr>
      <w:r w:rsidRPr="00E96C2A">
        <w:t>The ACCC</w:t>
      </w:r>
      <w:r w:rsidR="00C37EEE" w:rsidRPr="00E96C2A">
        <w:t xml:space="preserve"> has a number of</w:t>
      </w:r>
      <w:r w:rsidRPr="00E96C2A">
        <w:t xml:space="preserve"> statutory functions under Part XIC </w:t>
      </w:r>
      <w:r w:rsidR="00353FE2" w:rsidRPr="00E96C2A">
        <w:t>of the CCA</w:t>
      </w:r>
      <w:r w:rsidR="00C37EEE" w:rsidRPr="00E96C2A">
        <w:t>,</w:t>
      </w:r>
      <w:r w:rsidR="00353FE2" w:rsidRPr="00E96C2A">
        <w:t xml:space="preserve"> </w:t>
      </w:r>
      <w:r w:rsidRPr="00E96C2A">
        <w:t>includ</w:t>
      </w:r>
      <w:r w:rsidR="00C37EEE" w:rsidRPr="00E96C2A">
        <w:t>ing</w:t>
      </w:r>
      <w:r w:rsidRPr="00E96C2A">
        <w:t xml:space="preserve"> declaration of listed carriage services, conducting inquiries for access determinations </w:t>
      </w:r>
      <w:r w:rsidR="003A3486" w:rsidRPr="00E96C2A">
        <w:t>(</w:t>
      </w:r>
      <w:r w:rsidRPr="00E96C2A">
        <w:t>containing price and non-price terms of access</w:t>
      </w:r>
      <w:r w:rsidR="003A3486" w:rsidRPr="00E96C2A">
        <w:t>)</w:t>
      </w:r>
      <w:r w:rsidRPr="00E96C2A">
        <w:t xml:space="preserve"> for declared services, </w:t>
      </w:r>
      <w:r w:rsidR="00C37EEE" w:rsidRPr="00E96C2A">
        <w:t xml:space="preserve">and the </w:t>
      </w:r>
      <w:r w:rsidRPr="00E96C2A">
        <w:t>assessment of special access undertakings</w:t>
      </w:r>
      <w:r w:rsidR="00684078" w:rsidRPr="00E96C2A">
        <w:t xml:space="preserve"> </w:t>
      </w:r>
      <w:r w:rsidRPr="00E96C2A">
        <w:t xml:space="preserve">and anticipatory exemption applications. The ACCC also has ancillary enforcement functions under Part XIC including ensuring </w:t>
      </w:r>
      <w:r w:rsidRPr="00E96C2A">
        <w:lastRenderedPageBreak/>
        <w:t xml:space="preserve">access providers </w:t>
      </w:r>
      <w:r w:rsidR="00E03D70">
        <w:t xml:space="preserve">(incl. NBN Co) </w:t>
      </w:r>
      <w:r w:rsidRPr="00E96C2A">
        <w:t>comply with the standard access obligations set out in section</w:t>
      </w:r>
      <w:r w:rsidR="00F55D8E">
        <w:t>s</w:t>
      </w:r>
      <w:r w:rsidRPr="00E96C2A">
        <w:t xml:space="preserve"> 152AR </w:t>
      </w:r>
      <w:r w:rsidR="00E03D70">
        <w:t xml:space="preserve">and </w:t>
      </w:r>
      <w:r w:rsidR="00E03D70" w:rsidRPr="00F55D8E">
        <w:t>152AXB</w:t>
      </w:r>
      <w:r w:rsidR="00E03D70" w:rsidRPr="00E96C2A">
        <w:t xml:space="preserve"> </w:t>
      </w:r>
      <w:r w:rsidRPr="00E96C2A">
        <w:t xml:space="preserve">of the CCA. </w:t>
      </w:r>
    </w:p>
    <w:p w:rsidR="00E9366A" w:rsidRPr="00E96C2A" w:rsidRDefault="00E9366A" w:rsidP="00103BF4">
      <w:pPr>
        <w:tabs>
          <w:tab w:val="left" w:pos="0"/>
        </w:tabs>
      </w:pPr>
      <w:r w:rsidRPr="00E96C2A">
        <w:t xml:space="preserve">Under Part XIB, the ACCC is responsible for enforcing the telecommunications specific anti-competitive conduct provisions as well as providing the Minister with annual reports </w:t>
      </w:r>
      <w:r w:rsidR="00353FE2" w:rsidRPr="00E96C2A">
        <w:t xml:space="preserve">including a report </w:t>
      </w:r>
      <w:r w:rsidRPr="00E96C2A">
        <w:t>on competitive safeguards within the telecommunications industry.</w:t>
      </w:r>
    </w:p>
    <w:p w:rsidR="00353FE2" w:rsidRPr="00E96C2A" w:rsidRDefault="00353FE2" w:rsidP="00D465A1">
      <w:r w:rsidRPr="00E96C2A">
        <w:t xml:space="preserve">The ACCC’s performance of these statutory </w:t>
      </w:r>
      <w:proofErr w:type="gramStart"/>
      <w:r w:rsidRPr="00E96C2A">
        <w:t>functions,</w:t>
      </w:r>
      <w:proofErr w:type="gramEnd"/>
      <w:r w:rsidRPr="00E96C2A">
        <w:t xml:space="preserve"> and the operation of Part XIB and Part XIC of the CCA more generally, is predicated on the ACCC receiving timely and reliable </w:t>
      </w:r>
      <w:r w:rsidR="00103BF4" w:rsidRPr="00E96C2A">
        <w:t xml:space="preserve">information </w:t>
      </w:r>
      <w:r w:rsidRPr="00E96C2A">
        <w:t xml:space="preserve">concerning </w:t>
      </w:r>
      <w:r w:rsidR="00103BF4" w:rsidRPr="00E96C2A">
        <w:t>the state of competition in telecommunications markets and how competitive dynamics are changing over time</w:t>
      </w:r>
      <w:r w:rsidRPr="00E96C2A">
        <w:t>, as well as the efficient use of and investment in telecommunications infrastructure</w:t>
      </w:r>
      <w:r w:rsidR="002C3E72" w:rsidRPr="00E96C2A">
        <w:t xml:space="preserve">. </w:t>
      </w:r>
    </w:p>
    <w:p w:rsidR="00D465A1" w:rsidRPr="00E96C2A" w:rsidRDefault="003A3486" w:rsidP="00D465A1">
      <w:r w:rsidRPr="00E96C2A">
        <w:t>In this regard, t</w:t>
      </w:r>
      <w:r w:rsidR="00D465A1" w:rsidRPr="00E96C2A">
        <w:t xml:space="preserve">he </w:t>
      </w:r>
      <w:r w:rsidR="00BC4F36">
        <w:t>Rules</w:t>
      </w:r>
      <w:r w:rsidR="00D465A1" w:rsidRPr="00E96C2A">
        <w:t xml:space="preserve"> </w:t>
      </w:r>
      <w:r w:rsidR="00353FE2" w:rsidRPr="00E96C2A">
        <w:t xml:space="preserve">enable the ACCC to receive information </w:t>
      </w:r>
      <w:r w:rsidR="00D465A1" w:rsidRPr="00E96C2A">
        <w:t xml:space="preserve">on </w:t>
      </w:r>
      <w:r w:rsidR="00BC4F36">
        <w:t xml:space="preserve">the </w:t>
      </w:r>
      <w:r w:rsidR="00353FE2" w:rsidRPr="00E96C2A">
        <w:t xml:space="preserve">demand for NBN Co services – in terms of services in operation, referred to as access virtual circuits (AVC) and network capacity, referred to as connectivity virtual circuits (CVC). </w:t>
      </w:r>
    </w:p>
    <w:p w:rsidR="00471324" w:rsidRPr="00E96C2A" w:rsidRDefault="00682CBC" w:rsidP="00103BF4">
      <w:r>
        <w:t>It</w:t>
      </w:r>
      <w:r w:rsidR="00E04879" w:rsidRPr="00E96C2A">
        <w:t xml:space="preserve"> is crucial for the ACCC to be able to </w:t>
      </w:r>
      <w:r w:rsidR="00FD39A4" w:rsidRPr="00E96C2A">
        <w:t>monitor</w:t>
      </w:r>
      <w:r w:rsidR="00E04879" w:rsidRPr="00E96C2A">
        <w:t xml:space="preserve"> </w:t>
      </w:r>
      <w:r w:rsidR="003A3486" w:rsidRPr="00E96C2A">
        <w:t>how</w:t>
      </w:r>
      <w:r w:rsidR="00E04879" w:rsidRPr="00E96C2A">
        <w:t xml:space="preserve"> competition </w:t>
      </w:r>
      <w:r w:rsidR="00A07000" w:rsidRPr="00E96C2A">
        <w:t xml:space="preserve">develops </w:t>
      </w:r>
      <w:r w:rsidR="00E04879" w:rsidRPr="00E96C2A">
        <w:t xml:space="preserve">over </w:t>
      </w:r>
      <w:r>
        <w:t>the NBN</w:t>
      </w:r>
      <w:r w:rsidR="00622914" w:rsidRPr="00E96C2A">
        <w:t>,</w:t>
      </w:r>
      <w:r w:rsidR="00C37EEE" w:rsidRPr="00E96C2A">
        <w:t xml:space="preserve"> and that </w:t>
      </w:r>
      <w:r w:rsidR="00622914" w:rsidRPr="00E96C2A">
        <w:t xml:space="preserve">the use of and investment in the network occurs in </w:t>
      </w:r>
      <w:r w:rsidR="0066483A" w:rsidRPr="00E96C2A">
        <w:t xml:space="preserve">an </w:t>
      </w:r>
      <w:r w:rsidR="00622914" w:rsidRPr="00E96C2A">
        <w:t>efficient manner</w:t>
      </w:r>
      <w:r w:rsidR="00471324" w:rsidRPr="00E96C2A">
        <w:t xml:space="preserve">. </w:t>
      </w:r>
    </w:p>
    <w:p w:rsidR="00C37EEE" w:rsidRDefault="00C37EEE" w:rsidP="00103BF4">
      <w:r w:rsidRPr="00E96C2A">
        <w:t xml:space="preserve">The </w:t>
      </w:r>
      <w:r w:rsidR="00000A73">
        <w:t>extension</w:t>
      </w:r>
      <w:r w:rsidR="00682CBC">
        <w:t xml:space="preserve"> of the </w:t>
      </w:r>
      <w:r w:rsidR="00FF3E51">
        <w:t>Rules</w:t>
      </w:r>
      <w:r w:rsidRPr="00E96C2A">
        <w:t xml:space="preserve"> will </w:t>
      </w:r>
      <w:r w:rsidR="00682CBC">
        <w:t xml:space="preserve">continue to </w:t>
      </w:r>
      <w:r w:rsidR="00A91235" w:rsidRPr="00E96C2A">
        <w:t>facilitate this by providing</w:t>
      </w:r>
      <w:r w:rsidRPr="00E96C2A">
        <w:t xml:space="preserve"> information on the rate and level of take-up of different NBN access services</w:t>
      </w:r>
      <w:r w:rsidR="00A91235" w:rsidRPr="00E96C2A">
        <w:t>,</w:t>
      </w:r>
      <w:r w:rsidRPr="00E96C2A">
        <w:t xml:space="preserve"> </w:t>
      </w:r>
      <w:r w:rsidR="00A91235" w:rsidRPr="00E96C2A">
        <w:t xml:space="preserve">as well as individual components and </w:t>
      </w:r>
      <w:r w:rsidRPr="00E96C2A">
        <w:t>features</w:t>
      </w:r>
      <w:r w:rsidR="00A91235" w:rsidRPr="00E96C2A">
        <w:t xml:space="preserve"> of these services</w:t>
      </w:r>
      <w:r w:rsidRPr="00E96C2A">
        <w:t xml:space="preserve">, and the resulting market shares by NBN </w:t>
      </w:r>
      <w:r w:rsidR="00FF3E51">
        <w:t>wholesale access seekers</w:t>
      </w:r>
      <w:r w:rsidRPr="00E96C2A">
        <w:t xml:space="preserve">. </w:t>
      </w:r>
    </w:p>
    <w:p w:rsidR="00AE58AB" w:rsidRPr="00E96C2A" w:rsidRDefault="009B4B2C" w:rsidP="00AE58AB">
      <w:pPr>
        <w:pStyle w:val="Heading2"/>
      </w:pPr>
      <w:bookmarkStart w:id="8" w:name="_Toc394395776"/>
      <w:r w:rsidRPr="00E96C2A">
        <w:t>Explanat</w:t>
      </w:r>
      <w:r w:rsidR="00D8451B" w:rsidRPr="00E96C2A">
        <w:t>ory Notes</w:t>
      </w:r>
      <w:bookmarkEnd w:id="8"/>
    </w:p>
    <w:p w:rsidR="00103BF4" w:rsidRPr="00D36D3F" w:rsidRDefault="00103BF4" w:rsidP="009B4B2C">
      <w:pPr>
        <w:pStyle w:val="Heading4"/>
      </w:pPr>
      <w:r w:rsidRPr="00E96C2A">
        <w:t>Commencement</w:t>
      </w:r>
      <w:r w:rsidR="00745D71" w:rsidRPr="00E96C2A">
        <w:t xml:space="preserve"> (</w:t>
      </w:r>
      <w:r w:rsidR="00745D71" w:rsidRPr="00D36D3F">
        <w:t xml:space="preserve">clause </w:t>
      </w:r>
      <w:r w:rsidR="00EC0369">
        <w:t>2</w:t>
      </w:r>
      <w:r w:rsidR="00745D71" w:rsidRPr="00D36D3F">
        <w:t>)</w:t>
      </w:r>
    </w:p>
    <w:p w:rsidR="002D35B2" w:rsidRPr="00D36D3F" w:rsidRDefault="00745D71" w:rsidP="00AE58AB">
      <w:r w:rsidRPr="00D36D3F">
        <w:t xml:space="preserve">The </w:t>
      </w:r>
      <w:r w:rsidR="00103BF4" w:rsidRPr="00D36D3F">
        <w:t xml:space="preserve">RKR </w:t>
      </w:r>
      <w:r w:rsidR="00733DA4">
        <w:t>was set to expire on 30 September 2017. The effect of this amendment is that it will now expire on</w:t>
      </w:r>
      <w:r w:rsidR="00845F93">
        <w:t xml:space="preserve"> </w:t>
      </w:r>
      <w:r w:rsidR="009B4B2C" w:rsidRPr="00D36D3F">
        <w:t>30 </w:t>
      </w:r>
      <w:r w:rsidRPr="00D36D3F">
        <w:t>September</w:t>
      </w:r>
      <w:r w:rsidR="009B4B2C" w:rsidRPr="00D36D3F">
        <w:t> </w:t>
      </w:r>
      <w:r w:rsidR="00F9004E">
        <w:t>2020</w:t>
      </w:r>
      <w:r w:rsidR="00325F0F" w:rsidRPr="00D36D3F">
        <w:t>.</w:t>
      </w:r>
      <w:r w:rsidR="00730768" w:rsidRPr="00D36D3F">
        <w:t xml:space="preserve"> </w:t>
      </w:r>
    </w:p>
    <w:p w:rsidR="00BC4F36" w:rsidRDefault="00000A73" w:rsidP="00AE58AB">
      <w:r>
        <w:t xml:space="preserve">The ACCC consulted </w:t>
      </w:r>
      <w:r w:rsidR="00FF3E51">
        <w:t xml:space="preserve">on the extension of the Rules </w:t>
      </w:r>
      <w:r>
        <w:t xml:space="preserve">with stakeholders </w:t>
      </w:r>
      <w:r w:rsidR="002522C9">
        <w:t xml:space="preserve">in August 2017 </w:t>
      </w:r>
      <w:r w:rsidR="00BC4F36">
        <w:t xml:space="preserve">and received submissions from seven industry participants. </w:t>
      </w:r>
      <w:r w:rsidR="00BC4F36" w:rsidRPr="00BC4F36">
        <w:t xml:space="preserve">All submissions to the consultation agreed that the </w:t>
      </w:r>
      <w:r w:rsidR="00BC4F36">
        <w:t>Rules</w:t>
      </w:r>
      <w:r w:rsidR="00BC4F36" w:rsidRPr="00BC4F36">
        <w:t xml:space="preserve"> should be extended. </w:t>
      </w:r>
    </w:p>
    <w:p w:rsidR="00BC4F36" w:rsidRDefault="00BC4F36" w:rsidP="00AE58AB">
      <w:r w:rsidRPr="00BC4F36">
        <w:t xml:space="preserve">NBN Co raised no objection to the RKR being extended. Telstra, Communications Alliance and NBN Co submitted that the RKR should be extended for three years. </w:t>
      </w:r>
    </w:p>
    <w:p w:rsidR="00BC4F36" w:rsidRDefault="00BC4F36" w:rsidP="00AE58AB">
      <w:r w:rsidRPr="00BC4F36">
        <w:t xml:space="preserve">New Street Research (an institutional investor </w:t>
      </w:r>
      <w:r>
        <w:t>research firm) submitted that the Rules</w:t>
      </w:r>
      <w:r w:rsidRPr="00BC4F36">
        <w:t xml:space="preserve"> should be extended for at least three years, but support</w:t>
      </w:r>
      <w:r w:rsidR="00FF3E51">
        <w:t>ed</w:t>
      </w:r>
      <w:r w:rsidRPr="00BC4F36">
        <w:t xml:space="preserve"> a five year extension when migration of services would be completed in 2022. </w:t>
      </w:r>
      <w:bookmarkStart w:id="9" w:name="_GoBack"/>
      <w:bookmarkEnd w:id="9"/>
    </w:p>
    <w:p w:rsidR="00BC4F36" w:rsidRDefault="00BC4F36" w:rsidP="00AE58AB">
      <w:r w:rsidRPr="00BC4F36">
        <w:t xml:space="preserve">Optus, the Competitive Carriers Coalition and ACCAN supported an extension of the </w:t>
      </w:r>
      <w:r>
        <w:t>Rules</w:t>
      </w:r>
      <w:r w:rsidRPr="00BC4F36">
        <w:t xml:space="preserve"> for five years.</w:t>
      </w:r>
    </w:p>
    <w:p w:rsidR="00BC4F36" w:rsidRDefault="00BC4F36" w:rsidP="00AE58AB">
      <w:r>
        <w:t xml:space="preserve">The ACCC considers </w:t>
      </w:r>
      <w:r w:rsidRPr="00BC4F36">
        <w:t xml:space="preserve">that extending the </w:t>
      </w:r>
      <w:r>
        <w:t>Rules</w:t>
      </w:r>
      <w:r w:rsidRPr="00BC4F36">
        <w:t xml:space="preserve"> for a furt</w:t>
      </w:r>
      <w:r>
        <w:t xml:space="preserve">her three years is appropriate. A </w:t>
      </w:r>
      <w:r w:rsidRPr="00BC4F36">
        <w:t xml:space="preserve">review </w:t>
      </w:r>
      <w:r>
        <w:t xml:space="preserve">of the Rules at three years, rather than five years, </w:t>
      </w:r>
      <w:r w:rsidRPr="00BC4F36">
        <w:t xml:space="preserve">would be </w:t>
      </w:r>
      <w:r>
        <w:t>the appropriate</w:t>
      </w:r>
      <w:r w:rsidRPr="00BC4F36">
        <w:t xml:space="preserve"> </w:t>
      </w:r>
      <w:r>
        <w:t>point</w:t>
      </w:r>
      <w:r w:rsidRPr="00BC4F36">
        <w:t xml:space="preserve"> to consider the continued </w:t>
      </w:r>
      <w:r>
        <w:t xml:space="preserve">operation </w:t>
      </w:r>
      <w:r w:rsidRPr="00BC4F36">
        <w:t xml:space="preserve">of the </w:t>
      </w:r>
      <w:r>
        <w:t>Rules</w:t>
      </w:r>
      <w:r w:rsidRPr="00BC4F36">
        <w:t>.</w:t>
      </w:r>
    </w:p>
    <w:p w:rsidR="00FF3E51" w:rsidRDefault="00FF3E51" w:rsidP="00BC4F36">
      <w:r>
        <w:t>The</w:t>
      </w:r>
      <w:r w:rsidR="00BC4F36">
        <w:t xml:space="preserve"> Rules</w:t>
      </w:r>
      <w:r w:rsidR="00BC4F36" w:rsidRPr="00D36D3F">
        <w:t xml:space="preserve"> may be reviewed </w:t>
      </w:r>
      <w:r>
        <w:t>at any further time</w:t>
      </w:r>
      <w:r w:rsidR="00BC4F36" w:rsidRPr="00D36D3F">
        <w:t xml:space="preserve"> as the roll-out of the NBN progresses and new services become available.</w:t>
      </w:r>
      <w:r w:rsidR="00576D1E">
        <w:t xml:space="preserve"> </w:t>
      </w:r>
      <w:r>
        <w:t xml:space="preserve">The ACCC is undertaking further consultation a variation to the reporting requirements of the Rules that will be completed in 2017. This </w:t>
      </w:r>
      <w:r w:rsidR="002522C9">
        <w:t>Explanatory Statement relates</w:t>
      </w:r>
      <w:r>
        <w:t xml:space="preserve"> only to the extension of the</w:t>
      </w:r>
      <w:r w:rsidR="00733DA4">
        <w:t xml:space="preserve"> expiry of the</w:t>
      </w:r>
      <w:r>
        <w:t xml:space="preserve"> Rules</w:t>
      </w:r>
      <w:r w:rsidR="002522C9">
        <w:t>.</w:t>
      </w:r>
    </w:p>
    <w:sectPr w:rsidR="00FF3E51" w:rsidSect="001127AF">
      <w:pgSz w:w="11906" w:h="16838" w:code="9"/>
      <w:pgMar w:top="1440" w:right="1729" w:bottom="1582" w:left="1729" w:header="720" w:footer="1009" w:gutter="0"/>
      <w:pgNumType w:start="1"/>
      <w:cols w:space="13"/>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BB" w:rsidRDefault="00796ABB" w:rsidP="00AE58AB">
      <w:pPr>
        <w:spacing w:before="0" w:after="0"/>
      </w:pPr>
      <w:r>
        <w:separator/>
      </w:r>
    </w:p>
  </w:endnote>
  <w:endnote w:type="continuationSeparator" w:id="0">
    <w:p w:rsidR="00796ABB" w:rsidRDefault="00796ABB" w:rsidP="00AE58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BB" w:rsidRDefault="00796ABB" w:rsidP="00682C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BB" w:rsidRPr="00716BF8" w:rsidRDefault="00796ABB" w:rsidP="00682C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BB" w:rsidRPr="00D34063" w:rsidRDefault="00796ABB" w:rsidP="00682CBC">
    <w:pPr>
      <w:pBdr>
        <w:top w:val="single" w:sz="2" w:space="1" w:color="auto"/>
      </w:pBdr>
      <w:tabs>
        <w:tab w:val="right" w:pos="8448"/>
      </w:tabs>
      <w:spacing w:after="0"/>
      <w:rPr>
        <w:sz w:val="20"/>
      </w:rPr>
    </w:pPr>
    <w:r>
      <w:rPr>
        <w:rStyle w:val="PageNumber"/>
        <w:sz w:val="20"/>
      </w:rPr>
      <w:t>NBN Services in Operation Record Keeping Rules</w:t>
    </w:r>
    <w:r w:rsidR="00110B9C">
      <w:rPr>
        <w:rStyle w:val="PageNumber"/>
        <w:sz w:val="20"/>
      </w:rPr>
      <w:t xml:space="preserve"> -</w:t>
    </w:r>
    <w:r w:rsidR="00970CE5" w:rsidRPr="00970CE5">
      <w:rPr>
        <w:rStyle w:val="PageNumber"/>
        <w:sz w:val="20"/>
      </w:rPr>
      <w:t xml:space="preserve"> </w:t>
    </w:r>
    <w:r w:rsidR="00970CE5">
      <w:rPr>
        <w:rStyle w:val="PageNumber"/>
        <w:sz w:val="20"/>
      </w:rPr>
      <w:t>Explanatory statement</w:t>
    </w:r>
    <w:r>
      <w:rPr>
        <w:rStyle w:val="PageNumber"/>
        <w:sz w:val="20"/>
      </w:rPr>
      <w:tab/>
      <w:t>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BB" w:rsidRPr="00D34063" w:rsidRDefault="00796ABB" w:rsidP="00682CBC">
    <w:pPr>
      <w:pBdr>
        <w:top w:val="single" w:sz="2" w:space="1" w:color="auto"/>
      </w:pBdr>
      <w:tabs>
        <w:tab w:val="right" w:pos="8448"/>
      </w:tabs>
      <w:spacing w:after="0"/>
      <w:rPr>
        <w:sz w:val="20"/>
      </w:rPr>
    </w:pPr>
    <w:r w:rsidRPr="00D34063">
      <w:rPr>
        <w:rStyle w:val="PageNumber"/>
        <w:sz w:val="20"/>
      </w:rPr>
      <w:fldChar w:fldCharType="begin"/>
    </w:r>
    <w:r w:rsidRPr="00D34063">
      <w:rPr>
        <w:rStyle w:val="PageNumber"/>
        <w:sz w:val="20"/>
      </w:rPr>
      <w:instrText xml:space="preserve"> PAGE   \* MERGEFORMAT </w:instrText>
    </w:r>
    <w:r w:rsidRPr="00D34063">
      <w:rPr>
        <w:rStyle w:val="PageNumber"/>
        <w:sz w:val="20"/>
      </w:rPr>
      <w:fldChar w:fldCharType="separate"/>
    </w:r>
    <w:r>
      <w:rPr>
        <w:rStyle w:val="PageNumber"/>
        <w:noProof/>
        <w:sz w:val="20"/>
      </w:rPr>
      <w:t>8</w:t>
    </w:r>
    <w:r w:rsidRPr="00D34063">
      <w:rPr>
        <w:rStyle w:val="PageNumber"/>
        <w:sz w:val="20"/>
      </w:rPr>
      <w:fldChar w:fldCharType="end"/>
    </w:r>
    <w:r>
      <w:rPr>
        <w:rStyle w:val="PageNumber"/>
        <w:sz w:val="20"/>
      </w:rPr>
      <w:tab/>
      <w:t>Broadband performance monitoring and reporting in the Australian context</w:t>
    </w:r>
    <w:r w:rsidRPr="00D34063">
      <w:rPr>
        <w:rStyle w:val="PageNumber"/>
        <w:sz w:val="20"/>
      </w:rPr>
      <w:t>—</w:t>
    </w:r>
    <w:r>
      <w:rPr>
        <w:rStyle w:val="PageNumber"/>
        <w:sz w:val="20"/>
      </w:rPr>
      <w:t>Position paper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BB" w:rsidRPr="00D34063" w:rsidRDefault="00796ABB" w:rsidP="00682CBC">
    <w:pPr>
      <w:pBdr>
        <w:top w:val="single" w:sz="2" w:space="1" w:color="auto"/>
      </w:pBdr>
      <w:tabs>
        <w:tab w:val="right" w:pos="8448"/>
      </w:tabs>
      <w:spacing w:after="0"/>
      <w:rPr>
        <w:sz w:val="20"/>
      </w:rPr>
    </w:pPr>
    <w:r>
      <w:rPr>
        <w:rStyle w:val="PageNumber"/>
        <w:sz w:val="20"/>
      </w:rPr>
      <w:t>NBN Services in Operation Record Keeping Rules</w:t>
    </w:r>
    <w:r w:rsidRPr="00D34063">
      <w:rPr>
        <w:rStyle w:val="PageNumber"/>
        <w:sz w:val="20"/>
      </w:rPr>
      <w:t>—</w:t>
    </w:r>
    <w:r>
      <w:rPr>
        <w:rStyle w:val="PageNumber"/>
        <w:sz w:val="20"/>
      </w:rPr>
      <w:t>Explanatory statement</w:t>
    </w:r>
    <w:r>
      <w:rPr>
        <w:rStyle w:val="PageNumber"/>
        <w:sz w:val="20"/>
      </w:rPr>
      <w:tab/>
    </w:r>
    <w:r w:rsidRPr="00D34063">
      <w:rPr>
        <w:rStyle w:val="PageNumber"/>
        <w:sz w:val="20"/>
      </w:rPr>
      <w:fldChar w:fldCharType="begin"/>
    </w:r>
    <w:r w:rsidRPr="00D34063">
      <w:rPr>
        <w:rStyle w:val="PageNumber"/>
        <w:sz w:val="20"/>
      </w:rPr>
      <w:instrText xml:space="preserve"> PAGE   \* MERGEFORMAT </w:instrText>
    </w:r>
    <w:r w:rsidRPr="00D34063">
      <w:rPr>
        <w:rStyle w:val="PageNumber"/>
        <w:sz w:val="20"/>
      </w:rPr>
      <w:fldChar w:fldCharType="separate"/>
    </w:r>
    <w:r w:rsidR="00110B9C">
      <w:rPr>
        <w:rStyle w:val="PageNumber"/>
        <w:noProof/>
        <w:sz w:val="20"/>
      </w:rPr>
      <w:t>2</w:t>
    </w:r>
    <w:r w:rsidRPr="00D34063">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BB" w:rsidRDefault="00796ABB" w:rsidP="00AE58AB">
      <w:pPr>
        <w:spacing w:before="0" w:after="0"/>
      </w:pPr>
      <w:r>
        <w:separator/>
      </w:r>
    </w:p>
  </w:footnote>
  <w:footnote w:type="continuationSeparator" w:id="0">
    <w:p w:rsidR="00796ABB" w:rsidRDefault="00796ABB" w:rsidP="00AE58A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92816E"/>
    <w:lvl w:ilvl="0">
      <w:start w:val="1"/>
      <w:numFmt w:val="decimal"/>
      <w:lvlText w:val="%1."/>
      <w:lvlJc w:val="left"/>
      <w:pPr>
        <w:tabs>
          <w:tab w:val="num" w:pos="1492"/>
        </w:tabs>
        <w:ind w:left="1492" w:hanging="360"/>
      </w:pPr>
    </w:lvl>
  </w:abstractNum>
  <w:abstractNum w:abstractNumId="1">
    <w:nsid w:val="FFFFFF7D"/>
    <w:multiLevelType w:val="singleLevel"/>
    <w:tmpl w:val="05864E92"/>
    <w:lvl w:ilvl="0">
      <w:start w:val="1"/>
      <w:numFmt w:val="decimal"/>
      <w:lvlText w:val="%1."/>
      <w:lvlJc w:val="left"/>
      <w:pPr>
        <w:tabs>
          <w:tab w:val="num" w:pos="1209"/>
        </w:tabs>
        <w:ind w:left="1209" w:hanging="360"/>
      </w:pPr>
    </w:lvl>
  </w:abstractNum>
  <w:abstractNum w:abstractNumId="2">
    <w:nsid w:val="FFFFFF7E"/>
    <w:multiLevelType w:val="singleLevel"/>
    <w:tmpl w:val="01FEB3FA"/>
    <w:lvl w:ilvl="0">
      <w:start w:val="1"/>
      <w:numFmt w:val="decimal"/>
      <w:lvlText w:val="%1."/>
      <w:lvlJc w:val="left"/>
      <w:pPr>
        <w:tabs>
          <w:tab w:val="num" w:pos="926"/>
        </w:tabs>
        <w:ind w:left="926" w:hanging="360"/>
      </w:pPr>
    </w:lvl>
  </w:abstractNum>
  <w:abstractNum w:abstractNumId="3">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8A6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684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18CF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D0FE4C"/>
    <w:lvl w:ilvl="0">
      <w:start w:val="1"/>
      <w:numFmt w:val="decimal"/>
      <w:pStyle w:val="ListNumber"/>
      <w:lvlText w:val="%1."/>
      <w:lvlJc w:val="left"/>
      <w:pPr>
        <w:tabs>
          <w:tab w:val="num" w:pos="360"/>
        </w:tabs>
        <w:ind w:left="360" w:hanging="360"/>
      </w:pPr>
    </w:lvl>
  </w:abstractNum>
  <w:abstractNum w:abstractNumId="9">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E2249"/>
    <w:multiLevelType w:val="hybridMultilevel"/>
    <w:tmpl w:val="B3D43F3C"/>
    <w:lvl w:ilvl="0" w:tplc="9A4E4934">
      <w:start w:val="1"/>
      <w:numFmt w:val="decimal"/>
      <w:lvlText w:val="A.%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0FC3577"/>
    <w:multiLevelType w:val="multilevel"/>
    <w:tmpl w:val="8AE4EE6C"/>
    <w:lvl w:ilvl="0">
      <w:start w:val="1"/>
      <w:numFmt w:val="decimal"/>
      <w:lvlText w:val="%1."/>
      <w:lvlJc w:val="left"/>
      <w:pPr>
        <w:ind w:left="360" w:hanging="360"/>
      </w:pPr>
    </w:lvl>
    <w:lvl w:ilvl="1">
      <w:start w:val="1"/>
      <w:numFmt w:val="decimal"/>
      <w:pStyle w:val="Headingnumbered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3E73B6"/>
    <w:multiLevelType w:val="hybridMultilevel"/>
    <w:tmpl w:val="BEE61D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19B737F8"/>
    <w:multiLevelType w:val="hybridMultilevel"/>
    <w:tmpl w:val="F3745BA8"/>
    <w:lvl w:ilvl="0" w:tplc="AC54BDC0">
      <w:start w:val="1"/>
      <w:numFmt w:val="decimal"/>
      <w:pStyle w:val="Headingnumbered1"/>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1B8B512E"/>
    <w:multiLevelType w:val="hybridMultilevel"/>
    <w:tmpl w:val="43DEF1C2"/>
    <w:lvl w:ilvl="0" w:tplc="FFE8FA6A">
      <w:start w:val="1"/>
      <w:numFmt w:val="decimal"/>
      <w:lvlText w:val="F.%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1446269"/>
    <w:multiLevelType w:val="hybridMultilevel"/>
    <w:tmpl w:val="1E284E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3FA29CF"/>
    <w:multiLevelType w:val="hybridMultilevel"/>
    <w:tmpl w:val="25800C7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7">
    <w:nsid w:val="351A52DD"/>
    <w:multiLevelType w:val="hybridMultilevel"/>
    <w:tmpl w:val="498287EC"/>
    <w:lvl w:ilvl="0" w:tplc="72105402">
      <w:start w:val="1"/>
      <w:numFmt w:val="decimal"/>
      <w:lvlText w:val="C.%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0A3F73"/>
    <w:multiLevelType w:val="hybridMultilevel"/>
    <w:tmpl w:val="A5B22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4D0171"/>
    <w:multiLevelType w:val="hybridMultilevel"/>
    <w:tmpl w:val="0152EB32"/>
    <w:lvl w:ilvl="0" w:tplc="0C090001">
      <w:start w:val="1"/>
      <w:numFmt w:val="bullet"/>
      <w:lvlText w:val=""/>
      <w:lvlJc w:val="left"/>
      <w:pPr>
        <w:tabs>
          <w:tab w:val="num" w:pos="1860"/>
        </w:tabs>
        <w:ind w:left="1860" w:hanging="360"/>
      </w:pPr>
      <w:rPr>
        <w:rFonts w:ascii="Symbol" w:hAnsi="Symbol" w:hint="default"/>
      </w:rPr>
    </w:lvl>
    <w:lvl w:ilvl="1" w:tplc="0C090003" w:tentative="1">
      <w:start w:val="1"/>
      <w:numFmt w:val="bullet"/>
      <w:lvlText w:val="o"/>
      <w:lvlJc w:val="left"/>
      <w:pPr>
        <w:tabs>
          <w:tab w:val="num" w:pos="2580"/>
        </w:tabs>
        <w:ind w:left="2580" w:hanging="360"/>
      </w:pPr>
      <w:rPr>
        <w:rFonts w:ascii="Courier New" w:hAnsi="Courier New" w:cs="Courier New" w:hint="default"/>
      </w:rPr>
    </w:lvl>
    <w:lvl w:ilvl="2" w:tplc="0C090005" w:tentative="1">
      <w:start w:val="1"/>
      <w:numFmt w:val="bullet"/>
      <w:lvlText w:val=""/>
      <w:lvlJc w:val="left"/>
      <w:pPr>
        <w:tabs>
          <w:tab w:val="num" w:pos="3300"/>
        </w:tabs>
        <w:ind w:left="3300" w:hanging="360"/>
      </w:pPr>
      <w:rPr>
        <w:rFonts w:ascii="Wingdings" w:hAnsi="Wingdings" w:hint="default"/>
      </w:rPr>
    </w:lvl>
    <w:lvl w:ilvl="3" w:tplc="0C090001" w:tentative="1">
      <w:start w:val="1"/>
      <w:numFmt w:val="bullet"/>
      <w:lvlText w:val=""/>
      <w:lvlJc w:val="left"/>
      <w:pPr>
        <w:tabs>
          <w:tab w:val="num" w:pos="4020"/>
        </w:tabs>
        <w:ind w:left="4020" w:hanging="360"/>
      </w:pPr>
      <w:rPr>
        <w:rFonts w:ascii="Symbol" w:hAnsi="Symbol" w:hint="default"/>
      </w:rPr>
    </w:lvl>
    <w:lvl w:ilvl="4" w:tplc="0C090003" w:tentative="1">
      <w:start w:val="1"/>
      <w:numFmt w:val="bullet"/>
      <w:lvlText w:val="o"/>
      <w:lvlJc w:val="left"/>
      <w:pPr>
        <w:tabs>
          <w:tab w:val="num" w:pos="4740"/>
        </w:tabs>
        <w:ind w:left="4740" w:hanging="360"/>
      </w:pPr>
      <w:rPr>
        <w:rFonts w:ascii="Courier New" w:hAnsi="Courier New" w:cs="Courier New" w:hint="default"/>
      </w:rPr>
    </w:lvl>
    <w:lvl w:ilvl="5" w:tplc="0C090005" w:tentative="1">
      <w:start w:val="1"/>
      <w:numFmt w:val="bullet"/>
      <w:lvlText w:val=""/>
      <w:lvlJc w:val="left"/>
      <w:pPr>
        <w:tabs>
          <w:tab w:val="num" w:pos="5460"/>
        </w:tabs>
        <w:ind w:left="5460" w:hanging="360"/>
      </w:pPr>
      <w:rPr>
        <w:rFonts w:ascii="Wingdings" w:hAnsi="Wingdings" w:hint="default"/>
      </w:rPr>
    </w:lvl>
    <w:lvl w:ilvl="6" w:tplc="0C090001" w:tentative="1">
      <w:start w:val="1"/>
      <w:numFmt w:val="bullet"/>
      <w:lvlText w:val=""/>
      <w:lvlJc w:val="left"/>
      <w:pPr>
        <w:tabs>
          <w:tab w:val="num" w:pos="6180"/>
        </w:tabs>
        <w:ind w:left="6180" w:hanging="360"/>
      </w:pPr>
      <w:rPr>
        <w:rFonts w:ascii="Symbol" w:hAnsi="Symbol" w:hint="default"/>
      </w:rPr>
    </w:lvl>
    <w:lvl w:ilvl="7" w:tplc="0C090003" w:tentative="1">
      <w:start w:val="1"/>
      <w:numFmt w:val="bullet"/>
      <w:lvlText w:val="o"/>
      <w:lvlJc w:val="left"/>
      <w:pPr>
        <w:tabs>
          <w:tab w:val="num" w:pos="6900"/>
        </w:tabs>
        <w:ind w:left="6900" w:hanging="360"/>
      </w:pPr>
      <w:rPr>
        <w:rFonts w:ascii="Courier New" w:hAnsi="Courier New" w:cs="Courier New" w:hint="default"/>
      </w:rPr>
    </w:lvl>
    <w:lvl w:ilvl="8" w:tplc="0C090005" w:tentative="1">
      <w:start w:val="1"/>
      <w:numFmt w:val="bullet"/>
      <w:lvlText w:val=""/>
      <w:lvlJc w:val="left"/>
      <w:pPr>
        <w:tabs>
          <w:tab w:val="num" w:pos="7620"/>
        </w:tabs>
        <w:ind w:left="7620" w:hanging="360"/>
      </w:pPr>
      <w:rPr>
        <w:rFonts w:ascii="Wingdings" w:hAnsi="Wingdings" w:hint="default"/>
      </w:rPr>
    </w:lvl>
  </w:abstractNum>
  <w:abstractNum w:abstractNumId="20">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numbered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2">
    <w:nsid w:val="46AE5478"/>
    <w:multiLevelType w:val="hybridMultilevel"/>
    <w:tmpl w:val="AD6E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31249C"/>
    <w:multiLevelType w:val="hybridMultilevel"/>
    <w:tmpl w:val="B8169428"/>
    <w:lvl w:ilvl="0" w:tplc="BFAA9758">
      <w:start w:val="1"/>
      <w:numFmt w:val="decimal"/>
      <w:lvlText w:val="D.%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B356C18"/>
    <w:multiLevelType w:val="hybridMultilevel"/>
    <w:tmpl w:val="6B841378"/>
    <w:lvl w:ilvl="0" w:tplc="B02AE2B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7384C50"/>
    <w:multiLevelType w:val="hybridMultilevel"/>
    <w:tmpl w:val="45CCF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8B3C63"/>
    <w:multiLevelType w:val="hybridMultilevel"/>
    <w:tmpl w:val="283E40A4"/>
    <w:lvl w:ilvl="0" w:tplc="0C090015">
      <w:start w:val="1"/>
      <w:numFmt w:val="upperLetter"/>
      <w:lvlText w:val="%1."/>
      <w:lvlJc w:val="left"/>
      <w:pPr>
        <w:ind w:left="360" w:hanging="360"/>
      </w:pPr>
      <w:rPr>
        <w:rFonts w:hint="default"/>
      </w:rPr>
    </w:lvl>
    <w:lvl w:ilvl="1" w:tplc="A97222D4">
      <w:start w:val="1"/>
      <w:numFmt w:val="decimal"/>
      <w:lvlText w:val="B.%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8">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1D477C"/>
    <w:multiLevelType w:val="hybridMultilevel"/>
    <w:tmpl w:val="30D84736"/>
    <w:lvl w:ilvl="0" w:tplc="0C090015">
      <w:start w:val="1"/>
      <w:numFmt w:val="upperLetter"/>
      <w:lvlText w:val="%1."/>
      <w:lvlJc w:val="left"/>
      <w:pPr>
        <w:ind w:left="360" w:hanging="360"/>
      </w:pPr>
      <w:rPr>
        <w:rFonts w:hint="default"/>
      </w:rPr>
    </w:lvl>
    <w:lvl w:ilvl="1" w:tplc="3FCCD60A">
      <w:start w:val="1"/>
      <w:numFmt w:val="decimal"/>
      <w:lvlText w:val="E.%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13"/>
  </w:num>
  <w:num w:numId="3">
    <w:abstractNumId w:val="12"/>
  </w:num>
  <w:num w:numId="4">
    <w:abstractNumId w:val="28"/>
  </w:num>
  <w:num w:numId="5">
    <w:abstractNumId w:val="11"/>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21"/>
  </w:num>
  <w:num w:numId="19">
    <w:abstractNumId w:val="13"/>
    <w:lvlOverride w:ilvl="0">
      <w:startOverride w:val="1"/>
    </w:lvlOverride>
  </w:num>
  <w:num w:numId="20">
    <w:abstractNumId w:val="26"/>
  </w:num>
  <w:num w:numId="21">
    <w:abstractNumId w:val="10"/>
  </w:num>
  <w:num w:numId="22">
    <w:abstractNumId w:val="17"/>
  </w:num>
  <w:num w:numId="23">
    <w:abstractNumId w:val="23"/>
  </w:num>
  <w:num w:numId="24">
    <w:abstractNumId w:val="14"/>
  </w:num>
  <w:num w:numId="25">
    <w:abstractNumId w:val="22"/>
  </w:num>
  <w:num w:numId="26">
    <w:abstractNumId w:val="29"/>
  </w:num>
  <w:num w:numId="27">
    <w:abstractNumId w:val="15"/>
  </w:num>
  <w:num w:numId="28">
    <w:abstractNumId w:val="19"/>
  </w:num>
  <w:num w:numId="29">
    <w:abstractNumId w:val="24"/>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7476\D17 106924[V2]  TFA - NBN SIOs RKR - draft explanatory statement for instrument extending and varying RKR 2017.DOCX"/>
  </w:docVars>
  <w:rsids>
    <w:rsidRoot w:val="00AE58AB"/>
    <w:rsid w:val="00000A73"/>
    <w:rsid w:val="000115C2"/>
    <w:rsid w:val="00014839"/>
    <w:rsid w:val="00021202"/>
    <w:rsid w:val="00022E0C"/>
    <w:rsid w:val="00035780"/>
    <w:rsid w:val="00046889"/>
    <w:rsid w:val="00066A10"/>
    <w:rsid w:val="00083918"/>
    <w:rsid w:val="0009169E"/>
    <w:rsid w:val="000E1819"/>
    <w:rsid w:val="000E6C72"/>
    <w:rsid w:val="00103BF4"/>
    <w:rsid w:val="00110B9C"/>
    <w:rsid w:val="001127AF"/>
    <w:rsid w:val="00124609"/>
    <w:rsid w:val="00126456"/>
    <w:rsid w:val="00152CFE"/>
    <w:rsid w:val="00153D78"/>
    <w:rsid w:val="001573E4"/>
    <w:rsid w:val="0016529E"/>
    <w:rsid w:val="001660D0"/>
    <w:rsid w:val="001A6C16"/>
    <w:rsid w:val="001B2089"/>
    <w:rsid w:val="001C2127"/>
    <w:rsid w:val="001D31F7"/>
    <w:rsid w:val="001D73A7"/>
    <w:rsid w:val="001F2D0C"/>
    <w:rsid w:val="00251745"/>
    <w:rsid w:val="002522C9"/>
    <w:rsid w:val="002530D0"/>
    <w:rsid w:val="00286874"/>
    <w:rsid w:val="00293623"/>
    <w:rsid w:val="002A7DEF"/>
    <w:rsid w:val="002C17E3"/>
    <w:rsid w:val="002C3E72"/>
    <w:rsid w:val="002C494F"/>
    <w:rsid w:val="002D35B2"/>
    <w:rsid w:val="002D75C1"/>
    <w:rsid w:val="002F38E0"/>
    <w:rsid w:val="002F6CD1"/>
    <w:rsid w:val="00305602"/>
    <w:rsid w:val="00307F6D"/>
    <w:rsid w:val="00325F0F"/>
    <w:rsid w:val="003518B3"/>
    <w:rsid w:val="00353FE2"/>
    <w:rsid w:val="00356276"/>
    <w:rsid w:val="00374E1E"/>
    <w:rsid w:val="003A3486"/>
    <w:rsid w:val="003A404D"/>
    <w:rsid w:val="003B074B"/>
    <w:rsid w:val="003B7068"/>
    <w:rsid w:val="0041140D"/>
    <w:rsid w:val="004150F0"/>
    <w:rsid w:val="004319B4"/>
    <w:rsid w:val="00440D7C"/>
    <w:rsid w:val="004459BB"/>
    <w:rsid w:val="004541F9"/>
    <w:rsid w:val="00471324"/>
    <w:rsid w:val="00476B53"/>
    <w:rsid w:val="004A2F69"/>
    <w:rsid w:val="004D1ED0"/>
    <w:rsid w:val="004D35E8"/>
    <w:rsid w:val="004D3F14"/>
    <w:rsid w:val="004E2320"/>
    <w:rsid w:val="004E3310"/>
    <w:rsid w:val="004F2DFB"/>
    <w:rsid w:val="00500DCB"/>
    <w:rsid w:val="005140CB"/>
    <w:rsid w:val="00532467"/>
    <w:rsid w:val="00532F97"/>
    <w:rsid w:val="00542983"/>
    <w:rsid w:val="00543329"/>
    <w:rsid w:val="00564A4D"/>
    <w:rsid w:val="00576D1E"/>
    <w:rsid w:val="00591D84"/>
    <w:rsid w:val="00594E39"/>
    <w:rsid w:val="005A0881"/>
    <w:rsid w:val="005A2242"/>
    <w:rsid w:val="005B5868"/>
    <w:rsid w:val="005D44EE"/>
    <w:rsid w:val="005E3A19"/>
    <w:rsid w:val="005F1E66"/>
    <w:rsid w:val="005F536B"/>
    <w:rsid w:val="00604D1E"/>
    <w:rsid w:val="00622914"/>
    <w:rsid w:val="00632D6D"/>
    <w:rsid w:val="00640DBC"/>
    <w:rsid w:val="0066483A"/>
    <w:rsid w:val="00664CD8"/>
    <w:rsid w:val="00682CBC"/>
    <w:rsid w:val="00684078"/>
    <w:rsid w:val="0069095F"/>
    <w:rsid w:val="006A7A7B"/>
    <w:rsid w:val="006C5491"/>
    <w:rsid w:val="006C54DF"/>
    <w:rsid w:val="006E0CA4"/>
    <w:rsid w:val="006E4F3B"/>
    <w:rsid w:val="007021DA"/>
    <w:rsid w:val="00707588"/>
    <w:rsid w:val="00713F5E"/>
    <w:rsid w:val="007303C3"/>
    <w:rsid w:val="00730768"/>
    <w:rsid w:val="00733DA4"/>
    <w:rsid w:val="00740C1B"/>
    <w:rsid w:val="00743BB8"/>
    <w:rsid w:val="00745D71"/>
    <w:rsid w:val="007507BF"/>
    <w:rsid w:val="00763E5D"/>
    <w:rsid w:val="00777EE6"/>
    <w:rsid w:val="007808D0"/>
    <w:rsid w:val="00781DCC"/>
    <w:rsid w:val="00796ABB"/>
    <w:rsid w:val="007A40CB"/>
    <w:rsid w:val="007B7735"/>
    <w:rsid w:val="007C1C53"/>
    <w:rsid w:val="007C1FC8"/>
    <w:rsid w:val="007D4F8C"/>
    <w:rsid w:val="007D5653"/>
    <w:rsid w:val="007F4417"/>
    <w:rsid w:val="007F58EC"/>
    <w:rsid w:val="007F5A62"/>
    <w:rsid w:val="00804BFE"/>
    <w:rsid w:val="0082262A"/>
    <w:rsid w:val="008253CF"/>
    <w:rsid w:val="00845F93"/>
    <w:rsid w:val="00851209"/>
    <w:rsid w:val="00867B80"/>
    <w:rsid w:val="0087048F"/>
    <w:rsid w:val="00875492"/>
    <w:rsid w:val="0088532E"/>
    <w:rsid w:val="00891D25"/>
    <w:rsid w:val="008A3A31"/>
    <w:rsid w:val="008C20BB"/>
    <w:rsid w:val="008C4DDA"/>
    <w:rsid w:val="008E7031"/>
    <w:rsid w:val="008F7F3C"/>
    <w:rsid w:val="00900F56"/>
    <w:rsid w:val="0090734D"/>
    <w:rsid w:val="009672FB"/>
    <w:rsid w:val="00970CE5"/>
    <w:rsid w:val="009A2655"/>
    <w:rsid w:val="009B4B2C"/>
    <w:rsid w:val="009B5703"/>
    <w:rsid w:val="009C6313"/>
    <w:rsid w:val="009D37D3"/>
    <w:rsid w:val="009F3CCD"/>
    <w:rsid w:val="00A07000"/>
    <w:rsid w:val="00A074FD"/>
    <w:rsid w:val="00A23279"/>
    <w:rsid w:val="00A35F1F"/>
    <w:rsid w:val="00A60A26"/>
    <w:rsid w:val="00A73089"/>
    <w:rsid w:val="00A83C19"/>
    <w:rsid w:val="00A91235"/>
    <w:rsid w:val="00AA5AC3"/>
    <w:rsid w:val="00AE58AB"/>
    <w:rsid w:val="00B01CC8"/>
    <w:rsid w:val="00B02B16"/>
    <w:rsid w:val="00B67DDC"/>
    <w:rsid w:val="00B67FDB"/>
    <w:rsid w:val="00B856AD"/>
    <w:rsid w:val="00B95382"/>
    <w:rsid w:val="00BA5C91"/>
    <w:rsid w:val="00BB3C2D"/>
    <w:rsid w:val="00BC4115"/>
    <w:rsid w:val="00BC4F36"/>
    <w:rsid w:val="00BD0630"/>
    <w:rsid w:val="00BD3446"/>
    <w:rsid w:val="00BD7F95"/>
    <w:rsid w:val="00BE1F1B"/>
    <w:rsid w:val="00BE4724"/>
    <w:rsid w:val="00C20D46"/>
    <w:rsid w:val="00C34AD9"/>
    <w:rsid w:val="00C34DEA"/>
    <w:rsid w:val="00C37EEE"/>
    <w:rsid w:val="00C42B99"/>
    <w:rsid w:val="00C538A9"/>
    <w:rsid w:val="00C56564"/>
    <w:rsid w:val="00C86679"/>
    <w:rsid w:val="00CA4560"/>
    <w:rsid w:val="00CC44F2"/>
    <w:rsid w:val="00CC6684"/>
    <w:rsid w:val="00CE5E0F"/>
    <w:rsid w:val="00D110AE"/>
    <w:rsid w:val="00D36D3F"/>
    <w:rsid w:val="00D465A1"/>
    <w:rsid w:val="00D57606"/>
    <w:rsid w:val="00D61A54"/>
    <w:rsid w:val="00D8451B"/>
    <w:rsid w:val="00DA29A2"/>
    <w:rsid w:val="00DB0F93"/>
    <w:rsid w:val="00DB64EB"/>
    <w:rsid w:val="00DD1DC9"/>
    <w:rsid w:val="00DF09C1"/>
    <w:rsid w:val="00E03D70"/>
    <w:rsid w:val="00E04879"/>
    <w:rsid w:val="00E064CE"/>
    <w:rsid w:val="00E21449"/>
    <w:rsid w:val="00E25B21"/>
    <w:rsid w:val="00E25B8C"/>
    <w:rsid w:val="00E4330F"/>
    <w:rsid w:val="00E64139"/>
    <w:rsid w:val="00E70020"/>
    <w:rsid w:val="00E7198C"/>
    <w:rsid w:val="00E7553C"/>
    <w:rsid w:val="00E7624D"/>
    <w:rsid w:val="00E80D00"/>
    <w:rsid w:val="00E9366A"/>
    <w:rsid w:val="00E96C2A"/>
    <w:rsid w:val="00EA3D42"/>
    <w:rsid w:val="00EA6B1B"/>
    <w:rsid w:val="00EC0369"/>
    <w:rsid w:val="00EC7630"/>
    <w:rsid w:val="00EF7879"/>
    <w:rsid w:val="00F143B4"/>
    <w:rsid w:val="00F16EE3"/>
    <w:rsid w:val="00F55D8E"/>
    <w:rsid w:val="00F64C7B"/>
    <w:rsid w:val="00F7350E"/>
    <w:rsid w:val="00F9004E"/>
    <w:rsid w:val="00FA1BDE"/>
    <w:rsid w:val="00FB50EF"/>
    <w:rsid w:val="00FC12C9"/>
    <w:rsid w:val="00FC5AFE"/>
    <w:rsid w:val="00FD39A4"/>
    <w:rsid w:val="00FE0BE1"/>
    <w:rsid w:val="00FE0DC7"/>
    <w:rsid w:val="00FE1DE9"/>
    <w:rsid w:val="00FF3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58AB"/>
    <w:pPr>
      <w:spacing w:before="12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F64C7B"/>
    <w:pPr>
      <w:keepNext/>
      <w:keepLines/>
      <w:spacing w:before="420"/>
      <w:outlineLvl w:val="0"/>
    </w:pPr>
    <w:rPr>
      <w:rFonts w:ascii="Lucida Fax" w:eastAsiaTheme="majorEastAsia" w:hAnsi="Lucida Fax" w:cstheme="majorBidi"/>
      <w:bCs/>
      <w:color w:val="51626F"/>
      <w:sz w:val="32"/>
      <w:szCs w:val="28"/>
    </w:rPr>
  </w:style>
  <w:style w:type="paragraph" w:styleId="Heading2">
    <w:name w:val="heading 2"/>
    <w:basedOn w:val="Normal"/>
    <w:next w:val="Normal"/>
    <w:link w:val="Heading2Char"/>
    <w:unhideWhenUsed/>
    <w:qFormat/>
    <w:rsid w:val="00F64C7B"/>
    <w:pPr>
      <w:keepNext/>
      <w:keepLines/>
      <w:spacing w:before="420"/>
      <w:outlineLvl w:val="1"/>
    </w:pPr>
    <w:rPr>
      <w:rFonts w:eastAsiaTheme="majorEastAsia" w:cstheme="majorBidi"/>
      <w:b/>
      <w:bCs/>
      <w:color w:val="51626F"/>
      <w:sz w:val="28"/>
      <w:szCs w:val="26"/>
    </w:rPr>
  </w:style>
  <w:style w:type="paragraph" w:styleId="Heading3">
    <w:name w:val="heading 3"/>
    <w:basedOn w:val="Normal"/>
    <w:next w:val="Normal"/>
    <w:link w:val="Heading3Char"/>
    <w:unhideWhenUsed/>
    <w:qFormat/>
    <w:rsid w:val="00F64C7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rsid w:val="00564A4D"/>
    <w:pPr>
      <w:keepNext/>
      <w:keepLines/>
      <w:spacing w:before="200"/>
      <w:outlineLvl w:val="5"/>
    </w:pPr>
    <w:rPr>
      <w:rFonts w:eastAsiaTheme="majorEastAsia"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ind w:left="1225"/>
      <w:contextualSpacing/>
    </w:pPr>
    <w:rPr>
      <w:b/>
      <w:sz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2"/>
      </w:num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5"/>
      </w:numPr>
      <w:spacing w:before="520"/>
      <w:ind w:left="958" w:hanging="958"/>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6"/>
      </w:numPr>
      <w:spacing w:before="240" w:after="240"/>
      <w:ind w:left="958" w:hanging="958"/>
      <w:contextualSpacing/>
      <w:outlineLvl w:val="3"/>
    </w:pPr>
    <w:rPr>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contextualSpacing/>
    </w:pPr>
    <w:rPr>
      <w:rFonts w:ascii="Lucida Fax" w:hAnsi="Lucida Fax"/>
      <w:b/>
      <w:color w:val="DC503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rPr>
      <w:sz w:val="20"/>
    </w:rPr>
  </w:style>
  <w:style w:type="paragraph" w:customStyle="1" w:styleId="Bulletpoint">
    <w:name w:val="Bullet point"/>
    <w:basedOn w:val="ListBullet"/>
    <w:qFormat/>
    <w:rsid w:val="00EA3D42"/>
  </w:style>
  <w:style w:type="paragraph" w:styleId="ListBullet">
    <w:name w:val="List Bullet"/>
    <w:basedOn w:val="Normal"/>
    <w:uiPriority w:val="99"/>
    <w:semiHidden/>
    <w:unhideWhenUsed/>
    <w:rsid w:val="00D61A54"/>
    <w:pPr>
      <w:numPr>
        <w:numId w:val="7"/>
      </w:numPr>
      <w:contextualSpacing/>
    </w:pPr>
  </w:style>
  <w:style w:type="paragraph" w:customStyle="1" w:styleId="Bulletpoint2">
    <w:name w:val="Bullet point 2"/>
    <w:basedOn w:val="ListBullet2"/>
    <w:qFormat/>
    <w:rsid w:val="00EA3D42"/>
    <w:pPr>
      <w:numPr>
        <w:numId w:val="17"/>
      </w:numPr>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paragraph" w:styleId="TOC1">
    <w:name w:val="toc 1"/>
    <w:basedOn w:val="Normal"/>
    <w:next w:val="Normal"/>
    <w:uiPriority w:val="39"/>
    <w:rsid w:val="00AE58AB"/>
    <w:pPr>
      <w:tabs>
        <w:tab w:val="right" w:leader="dot" w:pos="8453"/>
      </w:tabs>
      <w:spacing w:before="240" w:after="0"/>
      <w:ind w:left="357" w:hanging="357"/>
    </w:pPr>
    <w:rPr>
      <w:b/>
    </w:rPr>
  </w:style>
  <w:style w:type="paragraph" w:styleId="TOC2">
    <w:name w:val="toc 2"/>
    <w:basedOn w:val="Normal"/>
    <w:next w:val="Normal"/>
    <w:uiPriority w:val="39"/>
    <w:rsid w:val="00AE58AB"/>
    <w:pPr>
      <w:tabs>
        <w:tab w:val="left" w:pos="851"/>
        <w:tab w:val="right" w:leader="dot" w:pos="8453"/>
      </w:tabs>
      <w:spacing w:after="0"/>
      <w:ind w:left="284"/>
    </w:pPr>
  </w:style>
  <w:style w:type="paragraph" w:styleId="TOC3">
    <w:name w:val="toc 3"/>
    <w:basedOn w:val="Normal"/>
    <w:next w:val="Normal"/>
    <w:uiPriority w:val="39"/>
    <w:rsid w:val="00AE58AB"/>
    <w:pPr>
      <w:tabs>
        <w:tab w:val="left" w:pos="1276"/>
        <w:tab w:val="right" w:leader="dot" w:pos="8454"/>
      </w:tabs>
      <w:ind w:left="567"/>
    </w:pPr>
    <w:rPr>
      <w:sz w:val="22"/>
      <w:szCs w:val="22"/>
    </w:rPr>
  </w:style>
  <w:style w:type="character" w:styleId="PageNumber">
    <w:name w:val="page number"/>
    <w:basedOn w:val="DefaultParagraphFont"/>
    <w:rsid w:val="00AE58AB"/>
  </w:style>
  <w:style w:type="paragraph" w:styleId="Header">
    <w:name w:val="header"/>
    <w:basedOn w:val="Normal"/>
    <w:link w:val="HeaderChar"/>
    <w:rsid w:val="00AE58AB"/>
    <w:pPr>
      <w:tabs>
        <w:tab w:val="center" w:pos="4153"/>
        <w:tab w:val="right" w:pos="8306"/>
      </w:tabs>
    </w:pPr>
  </w:style>
  <w:style w:type="character" w:customStyle="1" w:styleId="HeaderChar">
    <w:name w:val="Header Char"/>
    <w:basedOn w:val="DefaultParagraphFont"/>
    <w:link w:val="Header"/>
    <w:rsid w:val="00AE58AB"/>
    <w:rPr>
      <w:rFonts w:ascii="Times New Roman" w:eastAsia="Times New Roman" w:hAnsi="Times New Roman" w:cs="Times New Roman"/>
      <w:sz w:val="24"/>
      <w:szCs w:val="20"/>
      <w:lang w:eastAsia="en-AU"/>
    </w:rPr>
  </w:style>
  <w:style w:type="paragraph" w:styleId="FootnoteText">
    <w:name w:val="footnote text"/>
    <w:basedOn w:val="Footnotes"/>
    <w:link w:val="FootnoteTextChar"/>
    <w:uiPriority w:val="99"/>
    <w:rsid w:val="00AE58AB"/>
    <w:pPr>
      <w:tabs>
        <w:tab w:val="left" w:pos="284"/>
      </w:tabs>
      <w:spacing w:before="120"/>
      <w:ind w:left="454" w:hanging="454"/>
    </w:pPr>
    <w:rPr>
      <w:sz w:val="20"/>
      <w:szCs w:val="20"/>
    </w:rPr>
  </w:style>
  <w:style w:type="character" w:customStyle="1" w:styleId="FootnoteTextChar">
    <w:name w:val="Footnote Text Char"/>
    <w:basedOn w:val="DefaultParagraphFont"/>
    <w:link w:val="FootnoteText"/>
    <w:uiPriority w:val="99"/>
    <w:rsid w:val="00AE58AB"/>
    <w:rPr>
      <w:rFonts w:ascii="Times New Roman" w:eastAsia="Times New Roman" w:hAnsi="Times New Roman" w:cs="Times New Roman"/>
      <w:sz w:val="20"/>
      <w:szCs w:val="20"/>
      <w:lang w:eastAsia="en-AU"/>
    </w:rPr>
  </w:style>
  <w:style w:type="character" w:styleId="FootnoteReference">
    <w:name w:val="footnote reference"/>
    <w:uiPriority w:val="99"/>
    <w:rsid w:val="00AE58AB"/>
    <w:rPr>
      <w:rFonts w:ascii="Times New Roman" w:hAnsi="Times New Roman"/>
      <w:kern w:val="22"/>
      <w:sz w:val="22"/>
      <w:vertAlign w:val="superscript"/>
    </w:rPr>
  </w:style>
  <w:style w:type="paragraph" w:customStyle="1" w:styleId="Contentsheading">
    <w:name w:val="Contents heading"/>
    <w:rsid w:val="00AE58AB"/>
    <w:pPr>
      <w:spacing w:before="120" w:after="480" w:line="240" w:lineRule="auto"/>
      <w:ind w:left="454" w:hanging="454"/>
    </w:pPr>
    <w:rPr>
      <w:rFonts w:ascii="Arial" w:eastAsia="Times New Roman" w:hAnsi="Arial" w:cs="Times New Roman"/>
      <w:b/>
      <w:bCs/>
      <w:sz w:val="36"/>
      <w:szCs w:val="20"/>
      <w:lang w:eastAsia="en-AU"/>
    </w:rPr>
  </w:style>
  <w:style w:type="paragraph" w:customStyle="1" w:styleId="ACCCtitle">
    <w:name w:val="ACCC title"/>
    <w:rsid w:val="00AE58AB"/>
    <w:pPr>
      <w:spacing w:before="4200" w:after="240" w:line="240" w:lineRule="auto"/>
      <w:ind w:left="454" w:hanging="454"/>
      <w:contextualSpacing/>
      <w:jc w:val="center"/>
    </w:pPr>
    <w:rPr>
      <w:rFonts w:ascii="Arial" w:eastAsia="Times New Roman" w:hAnsi="Arial" w:cs="Times New Roman"/>
      <w:b/>
      <w:bCs/>
      <w:sz w:val="36"/>
      <w:szCs w:val="20"/>
      <w:lang w:eastAsia="en-AU"/>
    </w:rPr>
  </w:style>
  <w:style w:type="paragraph" w:customStyle="1" w:styleId="Contactstext">
    <w:name w:val="Contacts text"/>
    <w:qFormat/>
    <w:rsid w:val="00AE58AB"/>
    <w:pPr>
      <w:spacing w:before="60" w:after="60" w:line="240" w:lineRule="auto"/>
    </w:pPr>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543329"/>
    <w:rPr>
      <w:sz w:val="16"/>
      <w:szCs w:val="16"/>
    </w:rPr>
  </w:style>
  <w:style w:type="paragraph" w:styleId="CommentText">
    <w:name w:val="annotation text"/>
    <w:basedOn w:val="Normal"/>
    <w:link w:val="CommentTextChar"/>
    <w:semiHidden/>
    <w:unhideWhenUsed/>
    <w:rsid w:val="00543329"/>
    <w:rPr>
      <w:sz w:val="20"/>
    </w:rPr>
  </w:style>
  <w:style w:type="character" w:customStyle="1" w:styleId="CommentTextChar">
    <w:name w:val="Comment Text Char"/>
    <w:basedOn w:val="DefaultParagraphFont"/>
    <w:link w:val="CommentText"/>
    <w:semiHidden/>
    <w:rsid w:val="0054332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43329"/>
    <w:rPr>
      <w:b/>
      <w:bCs/>
    </w:rPr>
  </w:style>
  <w:style w:type="character" w:customStyle="1" w:styleId="CommentSubjectChar">
    <w:name w:val="Comment Subject Char"/>
    <w:basedOn w:val="CommentTextChar"/>
    <w:link w:val="CommentSubject"/>
    <w:uiPriority w:val="99"/>
    <w:semiHidden/>
    <w:rsid w:val="00543329"/>
    <w:rPr>
      <w:rFonts w:ascii="Times New Roman" w:eastAsia="Times New Roman" w:hAnsi="Times New Roman" w:cs="Times New Roman"/>
      <w:b/>
      <w:bCs/>
      <w:sz w:val="20"/>
      <w:szCs w:val="20"/>
      <w:lang w:eastAsia="en-AU"/>
    </w:rPr>
  </w:style>
  <w:style w:type="paragraph" w:styleId="Revision">
    <w:name w:val="Revision"/>
    <w:hidden/>
    <w:uiPriority w:val="99"/>
    <w:semiHidden/>
    <w:rsid w:val="00476B53"/>
    <w:pPr>
      <w:spacing w:after="0" w:line="240" w:lineRule="auto"/>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58AB"/>
    <w:pPr>
      <w:spacing w:before="12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F64C7B"/>
    <w:pPr>
      <w:keepNext/>
      <w:keepLines/>
      <w:spacing w:before="420"/>
      <w:outlineLvl w:val="0"/>
    </w:pPr>
    <w:rPr>
      <w:rFonts w:ascii="Lucida Fax" w:eastAsiaTheme="majorEastAsia" w:hAnsi="Lucida Fax" w:cstheme="majorBidi"/>
      <w:bCs/>
      <w:color w:val="51626F"/>
      <w:sz w:val="32"/>
      <w:szCs w:val="28"/>
    </w:rPr>
  </w:style>
  <w:style w:type="paragraph" w:styleId="Heading2">
    <w:name w:val="heading 2"/>
    <w:basedOn w:val="Normal"/>
    <w:next w:val="Normal"/>
    <w:link w:val="Heading2Char"/>
    <w:unhideWhenUsed/>
    <w:qFormat/>
    <w:rsid w:val="00F64C7B"/>
    <w:pPr>
      <w:keepNext/>
      <w:keepLines/>
      <w:spacing w:before="420"/>
      <w:outlineLvl w:val="1"/>
    </w:pPr>
    <w:rPr>
      <w:rFonts w:eastAsiaTheme="majorEastAsia" w:cstheme="majorBidi"/>
      <w:b/>
      <w:bCs/>
      <w:color w:val="51626F"/>
      <w:sz w:val="28"/>
      <w:szCs w:val="26"/>
    </w:rPr>
  </w:style>
  <w:style w:type="paragraph" w:styleId="Heading3">
    <w:name w:val="heading 3"/>
    <w:basedOn w:val="Normal"/>
    <w:next w:val="Normal"/>
    <w:link w:val="Heading3Char"/>
    <w:unhideWhenUsed/>
    <w:qFormat/>
    <w:rsid w:val="00F64C7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rsid w:val="00564A4D"/>
    <w:pPr>
      <w:keepNext/>
      <w:keepLines/>
      <w:spacing w:before="200"/>
      <w:outlineLvl w:val="5"/>
    </w:pPr>
    <w:rPr>
      <w:rFonts w:eastAsiaTheme="majorEastAsia"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ind w:left="1225"/>
      <w:contextualSpacing/>
    </w:pPr>
    <w:rPr>
      <w:b/>
      <w:sz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2"/>
      </w:num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5"/>
      </w:numPr>
      <w:spacing w:before="520"/>
      <w:ind w:left="958" w:hanging="958"/>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6"/>
      </w:numPr>
      <w:spacing w:before="240" w:after="240"/>
      <w:ind w:left="958" w:hanging="958"/>
      <w:contextualSpacing/>
      <w:outlineLvl w:val="3"/>
    </w:pPr>
    <w:rPr>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contextualSpacing/>
    </w:pPr>
    <w:rPr>
      <w:rFonts w:ascii="Lucida Fax" w:hAnsi="Lucida Fax"/>
      <w:b/>
      <w:color w:val="DC503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rPr>
      <w:sz w:val="20"/>
    </w:rPr>
  </w:style>
  <w:style w:type="paragraph" w:customStyle="1" w:styleId="Bulletpoint">
    <w:name w:val="Bullet point"/>
    <w:basedOn w:val="ListBullet"/>
    <w:qFormat/>
    <w:rsid w:val="00EA3D42"/>
  </w:style>
  <w:style w:type="paragraph" w:styleId="ListBullet">
    <w:name w:val="List Bullet"/>
    <w:basedOn w:val="Normal"/>
    <w:uiPriority w:val="99"/>
    <w:semiHidden/>
    <w:unhideWhenUsed/>
    <w:rsid w:val="00D61A54"/>
    <w:pPr>
      <w:numPr>
        <w:numId w:val="7"/>
      </w:numPr>
      <w:contextualSpacing/>
    </w:pPr>
  </w:style>
  <w:style w:type="paragraph" w:customStyle="1" w:styleId="Bulletpoint2">
    <w:name w:val="Bullet point 2"/>
    <w:basedOn w:val="ListBullet2"/>
    <w:qFormat/>
    <w:rsid w:val="00EA3D42"/>
    <w:pPr>
      <w:numPr>
        <w:numId w:val="17"/>
      </w:numPr>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paragraph" w:styleId="TOC1">
    <w:name w:val="toc 1"/>
    <w:basedOn w:val="Normal"/>
    <w:next w:val="Normal"/>
    <w:uiPriority w:val="39"/>
    <w:rsid w:val="00AE58AB"/>
    <w:pPr>
      <w:tabs>
        <w:tab w:val="right" w:leader="dot" w:pos="8453"/>
      </w:tabs>
      <w:spacing w:before="240" w:after="0"/>
      <w:ind w:left="357" w:hanging="357"/>
    </w:pPr>
    <w:rPr>
      <w:b/>
    </w:rPr>
  </w:style>
  <w:style w:type="paragraph" w:styleId="TOC2">
    <w:name w:val="toc 2"/>
    <w:basedOn w:val="Normal"/>
    <w:next w:val="Normal"/>
    <w:uiPriority w:val="39"/>
    <w:rsid w:val="00AE58AB"/>
    <w:pPr>
      <w:tabs>
        <w:tab w:val="left" w:pos="851"/>
        <w:tab w:val="right" w:leader="dot" w:pos="8453"/>
      </w:tabs>
      <w:spacing w:after="0"/>
      <w:ind w:left="284"/>
    </w:pPr>
  </w:style>
  <w:style w:type="paragraph" w:styleId="TOC3">
    <w:name w:val="toc 3"/>
    <w:basedOn w:val="Normal"/>
    <w:next w:val="Normal"/>
    <w:uiPriority w:val="39"/>
    <w:rsid w:val="00AE58AB"/>
    <w:pPr>
      <w:tabs>
        <w:tab w:val="left" w:pos="1276"/>
        <w:tab w:val="right" w:leader="dot" w:pos="8454"/>
      </w:tabs>
      <w:ind w:left="567"/>
    </w:pPr>
    <w:rPr>
      <w:sz w:val="22"/>
      <w:szCs w:val="22"/>
    </w:rPr>
  </w:style>
  <w:style w:type="character" w:styleId="PageNumber">
    <w:name w:val="page number"/>
    <w:basedOn w:val="DefaultParagraphFont"/>
    <w:rsid w:val="00AE58AB"/>
  </w:style>
  <w:style w:type="paragraph" w:styleId="Header">
    <w:name w:val="header"/>
    <w:basedOn w:val="Normal"/>
    <w:link w:val="HeaderChar"/>
    <w:rsid w:val="00AE58AB"/>
    <w:pPr>
      <w:tabs>
        <w:tab w:val="center" w:pos="4153"/>
        <w:tab w:val="right" w:pos="8306"/>
      </w:tabs>
    </w:pPr>
  </w:style>
  <w:style w:type="character" w:customStyle="1" w:styleId="HeaderChar">
    <w:name w:val="Header Char"/>
    <w:basedOn w:val="DefaultParagraphFont"/>
    <w:link w:val="Header"/>
    <w:rsid w:val="00AE58AB"/>
    <w:rPr>
      <w:rFonts w:ascii="Times New Roman" w:eastAsia="Times New Roman" w:hAnsi="Times New Roman" w:cs="Times New Roman"/>
      <w:sz w:val="24"/>
      <w:szCs w:val="20"/>
      <w:lang w:eastAsia="en-AU"/>
    </w:rPr>
  </w:style>
  <w:style w:type="paragraph" w:styleId="FootnoteText">
    <w:name w:val="footnote text"/>
    <w:basedOn w:val="Footnotes"/>
    <w:link w:val="FootnoteTextChar"/>
    <w:uiPriority w:val="99"/>
    <w:rsid w:val="00AE58AB"/>
    <w:pPr>
      <w:tabs>
        <w:tab w:val="left" w:pos="284"/>
      </w:tabs>
      <w:spacing w:before="120"/>
      <w:ind w:left="454" w:hanging="454"/>
    </w:pPr>
    <w:rPr>
      <w:sz w:val="20"/>
      <w:szCs w:val="20"/>
    </w:rPr>
  </w:style>
  <w:style w:type="character" w:customStyle="1" w:styleId="FootnoteTextChar">
    <w:name w:val="Footnote Text Char"/>
    <w:basedOn w:val="DefaultParagraphFont"/>
    <w:link w:val="FootnoteText"/>
    <w:uiPriority w:val="99"/>
    <w:rsid w:val="00AE58AB"/>
    <w:rPr>
      <w:rFonts w:ascii="Times New Roman" w:eastAsia="Times New Roman" w:hAnsi="Times New Roman" w:cs="Times New Roman"/>
      <w:sz w:val="20"/>
      <w:szCs w:val="20"/>
      <w:lang w:eastAsia="en-AU"/>
    </w:rPr>
  </w:style>
  <w:style w:type="character" w:styleId="FootnoteReference">
    <w:name w:val="footnote reference"/>
    <w:uiPriority w:val="99"/>
    <w:rsid w:val="00AE58AB"/>
    <w:rPr>
      <w:rFonts w:ascii="Times New Roman" w:hAnsi="Times New Roman"/>
      <w:kern w:val="22"/>
      <w:sz w:val="22"/>
      <w:vertAlign w:val="superscript"/>
    </w:rPr>
  </w:style>
  <w:style w:type="paragraph" w:customStyle="1" w:styleId="Contentsheading">
    <w:name w:val="Contents heading"/>
    <w:rsid w:val="00AE58AB"/>
    <w:pPr>
      <w:spacing w:before="120" w:after="480" w:line="240" w:lineRule="auto"/>
      <w:ind w:left="454" w:hanging="454"/>
    </w:pPr>
    <w:rPr>
      <w:rFonts w:ascii="Arial" w:eastAsia="Times New Roman" w:hAnsi="Arial" w:cs="Times New Roman"/>
      <w:b/>
      <w:bCs/>
      <w:sz w:val="36"/>
      <w:szCs w:val="20"/>
      <w:lang w:eastAsia="en-AU"/>
    </w:rPr>
  </w:style>
  <w:style w:type="paragraph" w:customStyle="1" w:styleId="ACCCtitle">
    <w:name w:val="ACCC title"/>
    <w:rsid w:val="00AE58AB"/>
    <w:pPr>
      <w:spacing w:before="4200" w:after="240" w:line="240" w:lineRule="auto"/>
      <w:ind w:left="454" w:hanging="454"/>
      <w:contextualSpacing/>
      <w:jc w:val="center"/>
    </w:pPr>
    <w:rPr>
      <w:rFonts w:ascii="Arial" w:eastAsia="Times New Roman" w:hAnsi="Arial" w:cs="Times New Roman"/>
      <w:b/>
      <w:bCs/>
      <w:sz w:val="36"/>
      <w:szCs w:val="20"/>
      <w:lang w:eastAsia="en-AU"/>
    </w:rPr>
  </w:style>
  <w:style w:type="paragraph" w:customStyle="1" w:styleId="Contactstext">
    <w:name w:val="Contacts text"/>
    <w:qFormat/>
    <w:rsid w:val="00AE58AB"/>
    <w:pPr>
      <w:spacing w:before="60" w:after="60" w:line="240" w:lineRule="auto"/>
    </w:pPr>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543329"/>
    <w:rPr>
      <w:sz w:val="16"/>
      <w:szCs w:val="16"/>
    </w:rPr>
  </w:style>
  <w:style w:type="paragraph" w:styleId="CommentText">
    <w:name w:val="annotation text"/>
    <w:basedOn w:val="Normal"/>
    <w:link w:val="CommentTextChar"/>
    <w:semiHidden/>
    <w:unhideWhenUsed/>
    <w:rsid w:val="00543329"/>
    <w:rPr>
      <w:sz w:val="20"/>
    </w:rPr>
  </w:style>
  <w:style w:type="character" w:customStyle="1" w:styleId="CommentTextChar">
    <w:name w:val="Comment Text Char"/>
    <w:basedOn w:val="DefaultParagraphFont"/>
    <w:link w:val="CommentText"/>
    <w:semiHidden/>
    <w:rsid w:val="0054332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43329"/>
    <w:rPr>
      <w:b/>
      <w:bCs/>
    </w:rPr>
  </w:style>
  <w:style w:type="character" w:customStyle="1" w:styleId="CommentSubjectChar">
    <w:name w:val="Comment Subject Char"/>
    <w:basedOn w:val="CommentTextChar"/>
    <w:link w:val="CommentSubject"/>
    <w:uiPriority w:val="99"/>
    <w:semiHidden/>
    <w:rsid w:val="00543329"/>
    <w:rPr>
      <w:rFonts w:ascii="Times New Roman" w:eastAsia="Times New Roman" w:hAnsi="Times New Roman" w:cs="Times New Roman"/>
      <w:b/>
      <w:bCs/>
      <w:sz w:val="20"/>
      <w:szCs w:val="20"/>
      <w:lang w:eastAsia="en-AU"/>
    </w:rPr>
  </w:style>
  <w:style w:type="paragraph" w:styleId="Revision">
    <w:name w:val="Revision"/>
    <w:hidden/>
    <w:uiPriority w:val="99"/>
    <w:semiHidden/>
    <w:rsid w:val="00476B53"/>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780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C1AE-2124-4300-A03E-AD8E592E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5AEC6E7</Template>
  <TotalTime>0</TotalTime>
  <Pages>4</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2017-09-26T04:25:00Z</dcterms:created>
  <dcterms:modified xsi:type="dcterms:W3CDTF">2017-09-26T04:26:00Z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8929737</vt:lpwstr>
  </property>
</Properties>
</file>