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F1B" w:rsidRPr="005C0C3B" w:rsidRDefault="00E52090" w:rsidP="006C6659">
      <w:pPr>
        <w:pStyle w:val="Heading1"/>
        <w:rPr>
          <w:b w:val="0"/>
        </w:rPr>
      </w:pPr>
      <w:bookmarkStart w:id="0" w:name="_GoBack"/>
      <w:bookmarkEnd w:id="0"/>
      <w:r w:rsidRPr="005C0C3B">
        <w:t>Competitive Neutrality</w:t>
      </w:r>
      <w:r w:rsidR="005E00DB" w:rsidRPr="005C0C3B">
        <w:t xml:space="preserve"> – Discussion Paper</w:t>
      </w:r>
    </w:p>
    <w:p w:rsidR="005E00DB" w:rsidRPr="000976CD" w:rsidRDefault="005E00DB" w:rsidP="000976CD">
      <w:pPr>
        <w:jc w:val="right"/>
        <w:rPr>
          <w:b/>
          <w:sz w:val="28"/>
          <w:szCs w:val="28"/>
        </w:rPr>
      </w:pPr>
      <w:r w:rsidRPr="000976CD">
        <w:rPr>
          <w:b/>
          <w:sz w:val="28"/>
          <w:szCs w:val="28"/>
        </w:rPr>
        <w:t>8</w:t>
      </w:r>
      <w:r w:rsidRPr="000976CD">
        <w:rPr>
          <w:b/>
          <w:sz w:val="28"/>
          <w:szCs w:val="28"/>
          <w:vertAlign w:val="superscript"/>
        </w:rPr>
        <w:t>th</w:t>
      </w:r>
      <w:r w:rsidRPr="000976CD">
        <w:rPr>
          <w:b/>
          <w:sz w:val="28"/>
          <w:szCs w:val="28"/>
        </w:rPr>
        <w:t xml:space="preserve"> Seoul Competition Forum</w:t>
      </w:r>
    </w:p>
    <w:p w:rsidR="00EB1A9B" w:rsidRPr="000976CD" w:rsidRDefault="00EB1A9B" w:rsidP="000976CD">
      <w:pPr>
        <w:jc w:val="right"/>
        <w:rPr>
          <w:b/>
          <w:sz w:val="28"/>
          <w:szCs w:val="28"/>
        </w:rPr>
      </w:pPr>
      <w:r w:rsidRPr="000976CD">
        <w:rPr>
          <w:b/>
          <w:sz w:val="28"/>
          <w:szCs w:val="28"/>
        </w:rPr>
        <w:t>Mark Pearson</w:t>
      </w:r>
    </w:p>
    <w:p w:rsidR="00524FC2" w:rsidRDefault="00524FC2" w:rsidP="00EB1A9B">
      <w:pPr>
        <w:spacing w:before="0"/>
        <w:jc w:val="right"/>
        <w:rPr>
          <w:b/>
          <w:sz w:val="28"/>
          <w:szCs w:val="28"/>
        </w:rPr>
      </w:pPr>
    </w:p>
    <w:p w:rsidR="00524FC2" w:rsidRDefault="00524FC2" w:rsidP="00524FC2">
      <w:pPr>
        <w:spacing w:before="0"/>
        <w:rPr>
          <w:sz w:val="20"/>
          <w:szCs w:val="20"/>
        </w:rPr>
      </w:pPr>
      <w:r w:rsidRPr="00524FC2">
        <w:rPr>
          <w:sz w:val="20"/>
          <w:szCs w:val="20"/>
        </w:rPr>
        <w:t>(The views expressed are those of the author and do not necessarily represent those of the ACCC)</w:t>
      </w:r>
    </w:p>
    <w:p w:rsidR="00524FC2" w:rsidRPr="00524FC2" w:rsidRDefault="00524FC2" w:rsidP="00524FC2">
      <w:pPr>
        <w:spacing w:before="0"/>
        <w:rPr>
          <w:sz w:val="20"/>
          <w:szCs w:val="20"/>
        </w:rPr>
      </w:pPr>
    </w:p>
    <w:p w:rsidR="005E00DB" w:rsidRPr="005C0C3B" w:rsidRDefault="005E00DB" w:rsidP="006C6659">
      <w:pPr>
        <w:pStyle w:val="Heading2"/>
      </w:pPr>
      <w:r w:rsidRPr="005C0C3B">
        <w:t>Introduction</w:t>
      </w:r>
    </w:p>
    <w:p w:rsidR="00524FC2" w:rsidRDefault="00E52090" w:rsidP="00BE1F1B">
      <w:r>
        <w:t xml:space="preserve">Competitive neutrality </w:t>
      </w:r>
      <w:r w:rsidR="00CC353D">
        <w:t xml:space="preserve">policy </w:t>
      </w:r>
      <w:r w:rsidR="00524FC2">
        <w:t xml:space="preserve">aims to address the implications of government business enterprises operating in commercial environments in competition with private operators.  It is a response to one of the challenges facing </w:t>
      </w:r>
      <w:r w:rsidR="00041C4D">
        <w:t xml:space="preserve">policy </w:t>
      </w:r>
      <w:r w:rsidR="00524FC2">
        <w:t xml:space="preserve">makers </w:t>
      </w:r>
      <w:r>
        <w:t>in developing broad</w:t>
      </w:r>
      <w:r w:rsidR="00BB4964">
        <w:t>-</w:t>
      </w:r>
      <w:r>
        <w:t>based competition policy and laws that cover all market participants</w:t>
      </w:r>
      <w:r w:rsidR="00337E45">
        <w:t xml:space="preserve"> in their economies</w:t>
      </w:r>
      <w:r>
        <w:t>.</w:t>
      </w:r>
      <w:r w:rsidR="00524FC2">
        <w:rPr>
          <w:rStyle w:val="FootnoteReference"/>
        </w:rPr>
        <w:footnoteReference w:id="1"/>
      </w:r>
      <w:r w:rsidR="00041C4D" w:rsidRPr="00041C4D">
        <w:t xml:space="preserve"> </w:t>
      </w:r>
      <w:r w:rsidR="00041C4D">
        <w:t xml:space="preserve">  </w:t>
      </w:r>
    </w:p>
    <w:p w:rsidR="00E52090" w:rsidRDefault="00E52090" w:rsidP="00BE1F1B">
      <w:r>
        <w:t>It is not uncommon now in developed and developing economies to find, if not specific policies, at least extensive discussion and debate around the role of competitive neutrality as an explicit plank of a</w:t>
      </w:r>
      <w:r w:rsidR="00001357">
        <w:t xml:space="preserve"> country’</w:t>
      </w:r>
      <w:r>
        <w:t>s competition policy.</w:t>
      </w:r>
    </w:p>
    <w:p w:rsidR="00377CC1" w:rsidRDefault="00E52090" w:rsidP="00BE1F1B">
      <w:r>
        <w:t>Bodies such as the United Nations Committee on Trade and Development (UNCTAD)</w:t>
      </w:r>
      <w:r>
        <w:rPr>
          <w:rStyle w:val="FootnoteReference"/>
        </w:rPr>
        <w:footnoteReference w:id="2"/>
      </w:r>
      <w:r>
        <w:t xml:space="preserve"> and the Organisation </w:t>
      </w:r>
      <w:r w:rsidR="002F0B7A">
        <w:t>for</w:t>
      </w:r>
      <w:r>
        <w:t xml:space="preserve"> Economic Co</w:t>
      </w:r>
      <w:r w:rsidR="002F0B7A">
        <w:t>-</w:t>
      </w:r>
      <w:r>
        <w:t>operation and Development (OECD)</w:t>
      </w:r>
      <w:r w:rsidR="002B472F">
        <w:rPr>
          <w:rStyle w:val="FootnoteReference"/>
        </w:rPr>
        <w:footnoteReference w:id="3"/>
      </w:r>
      <w:r>
        <w:t xml:space="preserve"> have undertaken in-depth assessments of the costs, ben</w:t>
      </w:r>
      <w:r w:rsidR="002B472F">
        <w:t>e</w:t>
      </w:r>
      <w:r>
        <w:t>fits, chall</w:t>
      </w:r>
      <w:r w:rsidR="002B472F">
        <w:t>e</w:t>
      </w:r>
      <w:r>
        <w:t xml:space="preserve">nges and individual country </w:t>
      </w:r>
      <w:r w:rsidR="002B472F">
        <w:t>approaches</w:t>
      </w:r>
      <w:r>
        <w:t xml:space="preserve"> to this issue.  In Australia</w:t>
      </w:r>
      <w:r w:rsidR="00FA2577">
        <w:t>,</w:t>
      </w:r>
      <w:r>
        <w:t xml:space="preserve"> competitive neutrality </w:t>
      </w:r>
      <w:r w:rsidR="00CC353D">
        <w:t>was</w:t>
      </w:r>
      <w:r>
        <w:t xml:space="preserve"> an important arm of the National </w:t>
      </w:r>
      <w:r w:rsidR="002B472F">
        <w:t>Competition</w:t>
      </w:r>
      <w:r>
        <w:t xml:space="preserve"> Policy (NCP) </w:t>
      </w:r>
      <w:r w:rsidR="002B472F">
        <w:t xml:space="preserve">implemented following the </w:t>
      </w:r>
      <w:proofErr w:type="spellStart"/>
      <w:r w:rsidR="002B472F">
        <w:t>Hilmer</w:t>
      </w:r>
      <w:proofErr w:type="spellEnd"/>
      <w:r w:rsidR="002B472F">
        <w:t xml:space="preserve"> Review into competition policy.</w:t>
      </w:r>
      <w:r w:rsidR="002B472F">
        <w:rPr>
          <w:rStyle w:val="FootnoteReference"/>
        </w:rPr>
        <w:footnoteReference w:id="4"/>
      </w:r>
      <w:r>
        <w:t xml:space="preserve"> </w:t>
      </w:r>
      <w:r w:rsidR="00377CC1">
        <w:t xml:space="preserve">  Amongst the specific concerns that the report identified as needing to be addressed was that of competitive neutrality in circumstances where private firms are competing with government businesses.</w:t>
      </w:r>
    </w:p>
    <w:p w:rsidR="00B50C86" w:rsidRDefault="00377CC1" w:rsidP="00BE1F1B">
      <w:r>
        <w:t>As recently as April 2014</w:t>
      </w:r>
      <w:r w:rsidR="00B50C86">
        <w:t>,</w:t>
      </w:r>
      <w:r>
        <w:t xml:space="preserve"> the International Competition Network (ICN) released a report on State Owned Enterprises and Competition </w:t>
      </w:r>
      <w:r w:rsidR="00001357">
        <w:t xml:space="preserve">in </w:t>
      </w:r>
      <w:r>
        <w:t xml:space="preserve">which some 36 </w:t>
      </w:r>
      <w:r w:rsidR="002E68F1">
        <w:t>jurisdictions</w:t>
      </w:r>
      <w:r w:rsidR="002B472F">
        <w:t xml:space="preserve"> </w:t>
      </w:r>
      <w:r w:rsidR="00001357">
        <w:t xml:space="preserve">reported on arrangements </w:t>
      </w:r>
      <w:r w:rsidR="00A04EAD">
        <w:t xml:space="preserve">in their </w:t>
      </w:r>
      <w:r w:rsidR="00B50C86">
        <w:t>respective</w:t>
      </w:r>
      <w:r w:rsidR="00A04EAD">
        <w:t xml:space="preserve"> countries.</w:t>
      </w:r>
      <w:r w:rsidR="00A04EAD">
        <w:rPr>
          <w:rStyle w:val="FootnoteReference"/>
        </w:rPr>
        <w:footnoteReference w:id="5"/>
      </w:r>
      <w:r w:rsidR="00A04EAD">
        <w:t xml:space="preserve">  That report specifically noted the challenge for emerging economies in trying to find the appropriate balance between their public sector actors and the rapid emergence over the previous twenty years of competition laws and policies.  The ICN for example has </w:t>
      </w:r>
      <w:r w:rsidR="00B50C86">
        <w:t>grown from 14 jurisdictions in 2001 to over 125</w:t>
      </w:r>
      <w:r w:rsidR="00711399">
        <w:t>,</w:t>
      </w:r>
      <w:r w:rsidR="00B50C86">
        <w:t xml:space="preserve"> reflecting the </w:t>
      </w:r>
      <w:r w:rsidR="00DD4F98">
        <w:t>spread</w:t>
      </w:r>
      <w:r w:rsidR="00223516">
        <w:t xml:space="preserve"> </w:t>
      </w:r>
      <w:r w:rsidR="00B50C86">
        <w:t>in competition law across the globe and underpinning the desire for clarity from policy makers and regulatory authorities in dealing with issues that may impede effective market development.</w:t>
      </w:r>
    </w:p>
    <w:p w:rsidR="00684DF0" w:rsidRPr="006C6659" w:rsidRDefault="00B50C86" w:rsidP="00BE1F1B">
      <w:r>
        <w:t>While the report notes the challenge for developing countries</w:t>
      </w:r>
      <w:r w:rsidR="00711399">
        <w:t>,</w:t>
      </w:r>
      <w:r>
        <w:t xml:space="preserve"> it is no less an issue for developed countries as they attempt to redress anti-competitive practises and regulations that apply to government businesses in many jurisdictions.  Globalisation has also led to </w:t>
      </w:r>
      <w:r>
        <w:lastRenderedPageBreak/>
        <w:t>renewed interest in the role of government business enterprises with the growth of actors in international markets that are linked directly or indirectly to their home governments.</w:t>
      </w:r>
    </w:p>
    <w:p w:rsidR="00E52090" w:rsidRPr="005C0C3B" w:rsidRDefault="00175BC9" w:rsidP="006C6659">
      <w:pPr>
        <w:pStyle w:val="Heading2"/>
      </w:pPr>
      <w:r w:rsidRPr="005C0C3B">
        <w:t>What is Competitive Neutrality?</w:t>
      </w:r>
    </w:p>
    <w:p w:rsidR="003D7C17" w:rsidRDefault="00337E45" w:rsidP="00BE1F1B">
      <w:r>
        <w:t>C</w:t>
      </w:r>
      <w:r w:rsidR="00175BC9">
        <w:t>ompetitive neutrality is</w:t>
      </w:r>
      <w:r w:rsidR="00512F0D">
        <w:t>,</w:t>
      </w:r>
      <w:r w:rsidR="00175BC9">
        <w:t xml:space="preserve"> at its simplest</w:t>
      </w:r>
      <w:r w:rsidR="00512F0D">
        <w:t>,</w:t>
      </w:r>
      <w:r w:rsidR="00175BC9">
        <w:t xml:space="preserve"> a policy </w:t>
      </w:r>
      <w:r>
        <w:t xml:space="preserve">that </w:t>
      </w:r>
      <w:r w:rsidR="00175BC9">
        <w:t>aim</w:t>
      </w:r>
      <w:r>
        <w:t>s</w:t>
      </w:r>
      <w:r w:rsidR="00175BC9">
        <w:t xml:space="preserve"> to provide for a level playing field </w:t>
      </w:r>
      <w:r w:rsidR="00223516">
        <w:t xml:space="preserve">for all </w:t>
      </w:r>
      <w:r w:rsidR="00175BC9">
        <w:t xml:space="preserve">commercial actors, whether they are government or private operators.  Government businesses (or State Owned Enterprises as they are often referred to) may find themselves in </w:t>
      </w:r>
      <w:r w:rsidR="00041C4D">
        <w:t xml:space="preserve">an </w:t>
      </w:r>
      <w:r w:rsidR="00175BC9">
        <w:t xml:space="preserve">advantageous position due to their particular structures, laws, responsibilities and/or objectives. </w:t>
      </w:r>
      <w:r>
        <w:t xml:space="preserve"> Competition policy </w:t>
      </w:r>
      <w:r w:rsidR="00041C4D">
        <w:t xml:space="preserve">and its accompanying legal framework </w:t>
      </w:r>
      <w:r>
        <w:t>should, to be effective, apply across the whole economy.  Exemptions should be the exception</w:t>
      </w:r>
      <w:r w:rsidR="00512F0D">
        <w:t>,</w:t>
      </w:r>
      <w:r>
        <w:t xml:space="preserve"> not the rule</w:t>
      </w:r>
      <w:r w:rsidR="00512F0D">
        <w:t>,</w:t>
      </w:r>
      <w:r>
        <w:t xml:space="preserve"> to ensure the competitive process and its associated benefits are achieved.</w:t>
      </w:r>
      <w:r>
        <w:rPr>
          <w:rStyle w:val="FootnoteReference"/>
        </w:rPr>
        <w:footnoteReference w:id="6"/>
      </w:r>
      <w:r w:rsidR="00175BC9">
        <w:t xml:space="preserve"> </w:t>
      </w:r>
      <w:r w:rsidR="00F53A29">
        <w:t xml:space="preserve"> </w:t>
      </w:r>
    </w:p>
    <w:p w:rsidR="00F53A29" w:rsidRDefault="00F53A29" w:rsidP="00BE1F1B">
      <w:r>
        <w:t>The Australian NCP</w:t>
      </w:r>
      <w:r w:rsidR="007E5171">
        <w:rPr>
          <w:rStyle w:val="FootnoteReference"/>
        </w:rPr>
        <w:footnoteReference w:id="7"/>
      </w:r>
      <w:r>
        <w:t xml:space="preserve"> was based on identifying and then, where possible and subject to a cost-benefit analysis, removing the legal, structural and/or regulatory </w:t>
      </w:r>
      <w:r w:rsidR="00041C4D">
        <w:t>barriers</w:t>
      </w:r>
      <w:r>
        <w:t xml:space="preserve"> that acted to restrict competition to the detriment of the broader economy.  The cost-benefit analysis </w:t>
      </w:r>
      <w:r w:rsidR="007E5171">
        <w:t xml:space="preserve">allows recognition of </w:t>
      </w:r>
      <w:r>
        <w:t>community objectives</w:t>
      </w:r>
      <w:r w:rsidR="007E5171">
        <w:t xml:space="preserve"> that</w:t>
      </w:r>
      <w:r>
        <w:t xml:space="preserve"> may lead to the acceptance of certain restrictions on competition for a greater, identifiable public benefit</w:t>
      </w:r>
      <w:r w:rsidR="00BD4889">
        <w:t>,</w:t>
      </w:r>
      <w:r w:rsidR="0065448A">
        <w:t xml:space="preserve"> but rigorous assessments </w:t>
      </w:r>
      <w:r w:rsidR="00BD4889">
        <w:t>must</w:t>
      </w:r>
      <w:r w:rsidR="0065448A">
        <w:t xml:space="preserve"> be undertaken</w:t>
      </w:r>
      <w:r w:rsidR="00BD4889">
        <w:t xml:space="preserve"> to support these conclusions</w:t>
      </w:r>
      <w:r w:rsidR="0065448A">
        <w:t>.</w:t>
      </w:r>
      <w:r>
        <w:t xml:space="preserve"> </w:t>
      </w:r>
      <w:r w:rsidR="002A58F4">
        <w:t>Importantly, under Australia’s NCP, the onus lay with proponents of regulation to make out the public interest case for continued regulation</w:t>
      </w:r>
      <w:r w:rsidR="000A1E77">
        <w:t>,</w:t>
      </w:r>
      <w:r w:rsidR="002A58F4">
        <w:t xml:space="preserve"> rather than on those proposing regulatory reform.</w:t>
      </w:r>
      <w:r>
        <w:t xml:space="preserve"> </w:t>
      </w:r>
      <w:r w:rsidR="002A58F4">
        <w:t>The “default option” was the removal of regulatory restrictions on competition</w:t>
      </w:r>
      <w:r w:rsidR="000A1E77">
        <w:t>,</w:t>
      </w:r>
      <w:r w:rsidR="002A58F4">
        <w:t xml:space="preserve"> not continuation of the status quo.</w:t>
      </w:r>
    </w:p>
    <w:p w:rsidR="002A58F4" w:rsidRDefault="00F53A29" w:rsidP="00BE1F1B">
      <w:r>
        <w:t xml:space="preserve">Competitive neutrality is </w:t>
      </w:r>
      <w:r w:rsidR="00CC353D">
        <w:t>important</w:t>
      </w:r>
      <w:r w:rsidR="003D7C17">
        <w:t>,</w:t>
      </w:r>
      <w:r w:rsidR="00CC353D">
        <w:t xml:space="preserve"> </w:t>
      </w:r>
      <w:r>
        <w:t xml:space="preserve">although not </w:t>
      </w:r>
      <w:r w:rsidR="00CC353D">
        <w:t>in</w:t>
      </w:r>
      <w:r>
        <w:t xml:space="preserve"> </w:t>
      </w:r>
      <w:proofErr w:type="gramStart"/>
      <w:r>
        <w:t>itself</w:t>
      </w:r>
      <w:proofErr w:type="gramEnd"/>
      <w:r>
        <w:t xml:space="preserve"> sufficient, for ensuring an economy</w:t>
      </w:r>
      <w:r w:rsidR="005B738B">
        <w:noBreakHyphen/>
      </w:r>
      <w:r>
        <w:t xml:space="preserve">wide application of </w:t>
      </w:r>
      <w:r w:rsidR="000A417F">
        <w:t>competition</w:t>
      </w:r>
      <w:r>
        <w:t xml:space="preserve"> law</w:t>
      </w:r>
      <w:r w:rsidR="002A58F4">
        <w:t xml:space="preserve"> and successful implementation </w:t>
      </w:r>
      <w:r w:rsidR="000D64EA">
        <w:t xml:space="preserve">of </w:t>
      </w:r>
      <w:r w:rsidR="002A58F4">
        <w:t>competition policy more broadly</w:t>
      </w:r>
      <w:r>
        <w:t xml:space="preserve">.  </w:t>
      </w:r>
      <w:r w:rsidR="002A58F4">
        <w:t>Where government businesses are significant market participants, appropriate measures for competitive neutrality become critical to the development of competition and achievement of efficiency goals.</w:t>
      </w:r>
    </w:p>
    <w:p w:rsidR="00175BC9" w:rsidRDefault="00F53A29" w:rsidP="00BE1F1B">
      <w:r>
        <w:t xml:space="preserve">Various </w:t>
      </w:r>
      <w:r w:rsidR="000A417F">
        <w:t>definitions</w:t>
      </w:r>
      <w:r>
        <w:t xml:space="preserve"> have been advanced to provide </w:t>
      </w:r>
      <w:r w:rsidR="000A417F">
        <w:t>clarity</w:t>
      </w:r>
      <w:r>
        <w:t xml:space="preserve"> to the objective of co</w:t>
      </w:r>
      <w:r w:rsidR="00060CD4">
        <w:t xml:space="preserve">mpetitive </w:t>
      </w:r>
      <w:r>
        <w:t>neutrality as a policy</w:t>
      </w:r>
      <w:r w:rsidR="005B738B">
        <w:t>,</w:t>
      </w:r>
      <w:r>
        <w:t xml:space="preserve"> but all reinforce the idea that </w:t>
      </w:r>
      <w:r w:rsidR="003D7C17">
        <w:t xml:space="preserve">a </w:t>
      </w:r>
      <w:r>
        <w:t xml:space="preserve">business involved in commercial activities </w:t>
      </w:r>
      <w:r w:rsidR="00E91B04">
        <w:t xml:space="preserve">should face the same set of legal rules, imposts, and disciplines no matter what </w:t>
      </w:r>
      <w:r w:rsidR="000A417F">
        <w:t>their</w:t>
      </w:r>
      <w:r w:rsidR="00E91B04">
        <w:t xml:space="preserve"> ownership status is.  If </w:t>
      </w:r>
      <w:r w:rsidR="000A417F">
        <w:t>government</w:t>
      </w:r>
      <w:r w:rsidR="00E91B04">
        <w:t xml:space="preserve"> </w:t>
      </w:r>
      <w:r w:rsidR="000A417F">
        <w:t>businesses</w:t>
      </w:r>
      <w:r w:rsidR="00E91B04">
        <w:t xml:space="preserve"> </w:t>
      </w:r>
      <w:r w:rsidR="000A417F">
        <w:t xml:space="preserve">are allowed to operate protected from market disciplines and pressures the end result is a distortion of the market and </w:t>
      </w:r>
      <w:r w:rsidR="009B0E9F">
        <w:t xml:space="preserve">lower </w:t>
      </w:r>
      <w:r w:rsidR="000A417F">
        <w:t>efficiency and associated productivity.</w:t>
      </w:r>
    </w:p>
    <w:p w:rsidR="003C5B80" w:rsidRDefault="009B0E9F" w:rsidP="00BE1F1B">
      <w:r>
        <w:t xml:space="preserve">The Australian </w:t>
      </w:r>
      <w:r w:rsidR="001B6EBE" w:rsidRPr="009A4073">
        <w:rPr>
          <w:i/>
        </w:rPr>
        <w:t>Commonwealth Competitive Neutrality Policy Statement</w:t>
      </w:r>
      <w:r w:rsidR="001B6EBE">
        <w:t xml:space="preserve"> </w:t>
      </w:r>
      <w:r w:rsidR="003C5B80">
        <w:t>states that “(c</w:t>
      </w:r>
      <w:proofErr w:type="gramStart"/>
      <w:r w:rsidR="003C5B80">
        <w:t>)</w:t>
      </w:r>
      <w:proofErr w:type="spellStart"/>
      <w:r w:rsidR="003C5B80">
        <w:t>ompetitive</w:t>
      </w:r>
      <w:proofErr w:type="spellEnd"/>
      <w:proofErr w:type="gramEnd"/>
      <w:r w:rsidR="003C5B80">
        <w:t xml:space="preserve"> neutrality requires that government business activities should not enjoy the net competitive advantages over their private sector compet</w:t>
      </w:r>
      <w:r w:rsidR="001C2D48">
        <w:t>itors</w:t>
      </w:r>
      <w:r w:rsidR="003C5B80">
        <w:t xml:space="preserve"> simply by virtue of the public sector ownership”.  The summary document of the OECD’s 2009 Roundtable on State Owned Enterprises and Competitive Neutrality notes that “(c)competitive neutrality can be understood as a regulatory framework (</w:t>
      </w:r>
      <w:proofErr w:type="spellStart"/>
      <w:r w:rsidR="003C5B80">
        <w:t>i</w:t>
      </w:r>
      <w:proofErr w:type="spellEnd"/>
      <w:r w:rsidR="003C5B80">
        <w:t xml:space="preserve">) within which public and private enterprises face the same set of rules and (ii) where no contact with the state brings </w:t>
      </w:r>
      <w:r w:rsidR="001C2D48">
        <w:t>competitive</w:t>
      </w:r>
      <w:r w:rsidR="003C5B80">
        <w:t xml:space="preserve"> </w:t>
      </w:r>
      <w:r w:rsidR="001C2D48">
        <w:t>advantage</w:t>
      </w:r>
      <w:r w:rsidR="003C5B80">
        <w:t xml:space="preserve"> to any market participant.”</w:t>
      </w:r>
    </w:p>
    <w:p w:rsidR="003C5B80" w:rsidRDefault="003C5B80" w:rsidP="00BE1F1B">
      <w:r>
        <w:t xml:space="preserve">Inherent in these statements is the desire to ensure that distortions that arise through government ownership that effect resource allocations should be addressed to maintain the </w:t>
      </w:r>
      <w:r w:rsidR="001C2D48">
        <w:t>integrity</w:t>
      </w:r>
      <w:r>
        <w:t xml:space="preserve"> of the markets the </w:t>
      </w:r>
      <w:r w:rsidR="001C2D48">
        <w:t>businesses</w:t>
      </w:r>
      <w:r>
        <w:t xml:space="preserve"> operate in.  </w:t>
      </w:r>
      <w:r w:rsidR="001C2D48">
        <w:t>A</w:t>
      </w:r>
      <w:r>
        <w:t>t its</w:t>
      </w:r>
      <w:r w:rsidR="001C2D48">
        <w:t xml:space="preserve"> </w:t>
      </w:r>
      <w:r>
        <w:t>most basic</w:t>
      </w:r>
      <w:r w:rsidR="005B738B">
        <w:t>,</w:t>
      </w:r>
      <w:r>
        <w:t xml:space="preserve"> the distortions are likely to arise through favourable cost </w:t>
      </w:r>
      <w:r w:rsidR="001C2D48">
        <w:t>advantages</w:t>
      </w:r>
      <w:r>
        <w:t xml:space="preserve"> </w:t>
      </w:r>
      <w:r w:rsidR="001C2D48">
        <w:t xml:space="preserve">resulting from prices that are not reflective of the true cost of operating the business.   Distortions can occur in production, consumption or </w:t>
      </w:r>
      <w:r w:rsidR="001C2D48">
        <w:lastRenderedPageBreak/>
        <w:t>investment decision</w:t>
      </w:r>
      <w:r w:rsidR="005B738B">
        <w:t>-</w:t>
      </w:r>
      <w:r w:rsidR="001C2D48">
        <w:t>making</w:t>
      </w:r>
      <w:r w:rsidR="005B738B">
        <w:t>,</w:t>
      </w:r>
      <w:r w:rsidR="001C2D48">
        <w:t xml:space="preserve"> with serious consequences for the market and impact on investment flows, private decision making in regard to business operations and consequent cost impacts on users of the products and service from those markets.</w:t>
      </w:r>
    </w:p>
    <w:p w:rsidR="00E93614" w:rsidRPr="005C0C3B" w:rsidRDefault="00E93614" w:rsidP="006C6659">
      <w:pPr>
        <w:pStyle w:val="Heading2"/>
      </w:pPr>
      <w:r w:rsidRPr="005C0C3B">
        <w:t>Advantages</w:t>
      </w:r>
      <w:r w:rsidR="00B81C08">
        <w:t xml:space="preserve"> of government ownership</w:t>
      </w:r>
    </w:p>
    <w:p w:rsidR="00E93614" w:rsidRDefault="00E93614" w:rsidP="00BE1F1B">
      <w:r>
        <w:t>A</w:t>
      </w:r>
      <w:r w:rsidR="009D11EA">
        <w:t xml:space="preserve"> number of advantages that accrue to government or state owned businesses are the result of history</w:t>
      </w:r>
      <w:r w:rsidR="003D7C17">
        <w:t xml:space="preserve"> and</w:t>
      </w:r>
      <w:r w:rsidR="009D11EA">
        <w:t xml:space="preserve"> legal structures</w:t>
      </w:r>
      <w:r w:rsidR="003D7C17">
        <w:t>.  I</w:t>
      </w:r>
      <w:r w:rsidR="009D11EA">
        <w:t xml:space="preserve">n many instances </w:t>
      </w:r>
      <w:r w:rsidR="003D7C17">
        <w:t>the advantages may well be the result of</w:t>
      </w:r>
      <w:r w:rsidR="009D11EA">
        <w:t xml:space="preserve"> government failure to react to changes in the </w:t>
      </w:r>
      <w:r>
        <w:t>competitive</w:t>
      </w:r>
      <w:r w:rsidR="009D11EA">
        <w:t xml:space="preserve"> landscape as these businesses move </w:t>
      </w:r>
      <w:r>
        <w:t>from</w:t>
      </w:r>
      <w:r w:rsidR="009D11EA">
        <w:t xml:space="preserve"> their traditional areas into </w:t>
      </w:r>
      <w:r w:rsidR="0065448A">
        <w:t>a</w:t>
      </w:r>
      <w:r w:rsidR="009D11EA">
        <w:t xml:space="preserve"> competitive business environment</w:t>
      </w:r>
      <w:r w:rsidR="001A795F">
        <w:t>,</w:t>
      </w:r>
      <w:r w:rsidR="002A58F4">
        <w:t xml:space="preserve"> or as traditionally state provided goods and services come to be available from a broader range of sources</w:t>
      </w:r>
      <w:r w:rsidR="009D11EA">
        <w:t xml:space="preserve">.  </w:t>
      </w:r>
      <w:r w:rsidR="00DC211A">
        <w:t xml:space="preserve"> </w:t>
      </w:r>
    </w:p>
    <w:p w:rsidR="00E93614" w:rsidRDefault="002A58F4" w:rsidP="00BE1F1B">
      <w:r>
        <w:t xml:space="preserve">The advantages enjoyed by government </w:t>
      </w:r>
      <w:r w:rsidR="00C932B8">
        <w:t>businesses</w:t>
      </w:r>
      <w:r>
        <w:t xml:space="preserve"> </w:t>
      </w:r>
      <w:r w:rsidR="00E93614">
        <w:t>can include direct subsidies</w:t>
      </w:r>
      <w:r w:rsidR="00C932B8">
        <w:t xml:space="preserve">, </w:t>
      </w:r>
      <w:r w:rsidR="00DD4F98">
        <w:t xml:space="preserve">regulatory advantages and </w:t>
      </w:r>
      <w:r w:rsidR="00C932B8">
        <w:t>favourable taxation</w:t>
      </w:r>
      <w:r w:rsidR="00DD4F98">
        <w:t xml:space="preserve"> or borrowing</w:t>
      </w:r>
      <w:r w:rsidR="00C932B8">
        <w:t xml:space="preserve"> arrangements. Where a government business is involved in both competitive and non-competitive (regulated or monopoly) activities</w:t>
      </w:r>
      <w:r w:rsidR="001A795F">
        <w:t>,</w:t>
      </w:r>
      <w:r w:rsidR="00E93614">
        <w:t xml:space="preserve"> cross subsidies and cost shifting between the subsidised and/or regulated parts of the entity’s business</w:t>
      </w:r>
      <w:r w:rsidR="005505E5">
        <w:t xml:space="preserve"> with the competitive parts</w:t>
      </w:r>
      <w:r w:rsidR="00C932B8">
        <w:t xml:space="preserve"> can give rise to similar advantage</w:t>
      </w:r>
      <w:r w:rsidR="00DD4F98">
        <w:t>s.</w:t>
      </w:r>
      <w:r w:rsidR="005505E5">
        <w:t xml:space="preserve">  In</w:t>
      </w:r>
      <w:r w:rsidR="00E93614">
        <w:t xml:space="preserve"> some </w:t>
      </w:r>
      <w:r w:rsidR="003E45AD">
        <w:t>situations</w:t>
      </w:r>
      <w:r w:rsidR="00A21813">
        <w:t>,</w:t>
      </w:r>
      <w:r w:rsidR="00E93614">
        <w:t xml:space="preserve"> it may be that the entity has specific information </w:t>
      </w:r>
      <w:r w:rsidR="003E45AD">
        <w:t>advantages</w:t>
      </w:r>
      <w:r w:rsidR="00E93614">
        <w:t xml:space="preserve"> or even share</w:t>
      </w:r>
      <w:r w:rsidR="00A21813">
        <w:t>s</w:t>
      </w:r>
      <w:r w:rsidR="00E93614">
        <w:t xml:space="preserve"> assets with other government entities or departments.  In </w:t>
      </w:r>
      <w:r w:rsidR="00BE6CF5">
        <w:t xml:space="preserve">the case of a </w:t>
      </w:r>
      <w:r w:rsidR="00E93614">
        <w:t xml:space="preserve">monopoly </w:t>
      </w:r>
      <w:r w:rsidR="00BE6CF5">
        <w:t>provider</w:t>
      </w:r>
      <w:r w:rsidR="00A21813">
        <w:t>,</w:t>
      </w:r>
      <w:r w:rsidR="00BE6CF5">
        <w:t xml:space="preserve"> </w:t>
      </w:r>
      <w:r w:rsidR="00E93614">
        <w:t xml:space="preserve">it could involve the use of the </w:t>
      </w:r>
      <w:r w:rsidR="003E45AD">
        <w:t>monopoly</w:t>
      </w:r>
      <w:r w:rsidR="00E93614">
        <w:t xml:space="preserve"> business to provide </w:t>
      </w:r>
      <w:r w:rsidR="003E45AD">
        <w:t>advantages</w:t>
      </w:r>
      <w:r w:rsidR="00E93614">
        <w:t xml:space="preserve"> to downstream or </w:t>
      </w:r>
      <w:r w:rsidR="003E45AD">
        <w:t>upstream</w:t>
      </w:r>
      <w:r w:rsidR="00E93614">
        <w:t xml:space="preserve"> operations that may well be operating in a </w:t>
      </w:r>
      <w:r w:rsidR="003E45AD">
        <w:t>competitive</w:t>
      </w:r>
      <w:r w:rsidR="00E93614">
        <w:t xml:space="preserve"> environment.</w:t>
      </w:r>
    </w:p>
    <w:p w:rsidR="0065448A" w:rsidRDefault="0065448A" w:rsidP="00BE1F1B">
      <w:r>
        <w:t xml:space="preserve">These entities may be able to use their power in the regulated market to restrict </w:t>
      </w:r>
      <w:r w:rsidR="007D4497">
        <w:t>entry into markets that are potentially competitive</w:t>
      </w:r>
      <w:r w:rsidR="00A21813">
        <w:t>,</w:t>
      </w:r>
      <w:r w:rsidR="007D4497">
        <w:t xml:space="preserve"> but where they are able to bring their advantages to bear and leverage them to prevent or restrict competition in those upstream or downstream markets.  Ancillary services also </w:t>
      </w:r>
      <w:r w:rsidR="00BE6CF5">
        <w:t>represent</w:t>
      </w:r>
      <w:r w:rsidR="007D4497">
        <w:t xml:space="preserve"> a market sector wherein competitive developments may be constrained</w:t>
      </w:r>
      <w:r w:rsidR="00BE6CF5">
        <w:t xml:space="preserve"> to the advantage of the incumbent monopolist</w:t>
      </w:r>
      <w:r w:rsidR="007D4497">
        <w:t xml:space="preserve">. </w:t>
      </w:r>
    </w:p>
    <w:p w:rsidR="009960BF" w:rsidRDefault="00E93614" w:rsidP="00BE1F1B">
      <w:r>
        <w:t xml:space="preserve">Government owned </w:t>
      </w:r>
      <w:r w:rsidR="003E45AD">
        <w:t>businesses</w:t>
      </w:r>
      <w:r>
        <w:t xml:space="preserve"> have </w:t>
      </w:r>
      <w:r w:rsidR="00BE6CF5">
        <w:t xml:space="preserve">often </w:t>
      </w:r>
      <w:r w:rsidR="003D7C17">
        <w:t xml:space="preserve">been </w:t>
      </w:r>
      <w:r>
        <w:t>granted immunity f</w:t>
      </w:r>
      <w:r w:rsidR="003E45AD">
        <w:t>ro</w:t>
      </w:r>
      <w:r>
        <w:t xml:space="preserve">m a range of laws and </w:t>
      </w:r>
      <w:r w:rsidR="003E45AD">
        <w:t>regulations</w:t>
      </w:r>
      <w:r>
        <w:t xml:space="preserve"> that private sector companies do</w:t>
      </w:r>
      <w:r w:rsidR="002F2DB5">
        <w:t xml:space="preserve"> </w:t>
      </w:r>
      <w:r>
        <w:t>n</w:t>
      </w:r>
      <w:r w:rsidR="002F2DB5">
        <w:t>o</w:t>
      </w:r>
      <w:r>
        <w:t xml:space="preserve">t enjoy.  These </w:t>
      </w:r>
      <w:r w:rsidR="00BE6CF5">
        <w:t>have</w:t>
      </w:r>
      <w:r>
        <w:t xml:space="preserve"> included</w:t>
      </w:r>
      <w:r w:rsidR="003516EA">
        <w:t>,</w:t>
      </w:r>
      <w:r>
        <w:t xml:space="preserve"> and in some cases still do include</w:t>
      </w:r>
      <w:r w:rsidR="00DB6045">
        <w:t>,</w:t>
      </w:r>
      <w:r>
        <w:t xml:space="preserve"> immunity from </w:t>
      </w:r>
      <w:r w:rsidR="003E45AD">
        <w:t>competition</w:t>
      </w:r>
      <w:r>
        <w:t xml:space="preserve"> laws.</w:t>
      </w:r>
      <w:r w:rsidR="003E45AD">
        <w:t xml:space="preserve">  </w:t>
      </w:r>
      <w:r w:rsidR="00BE6CF5">
        <w:t>T</w:t>
      </w:r>
      <w:r w:rsidR="003E45AD">
        <w:t xml:space="preserve">hese entities </w:t>
      </w:r>
      <w:r w:rsidR="009960BF">
        <w:t>may</w:t>
      </w:r>
      <w:r w:rsidR="003E45AD">
        <w:t xml:space="preserve"> not </w:t>
      </w:r>
      <w:r w:rsidR="009960BF">
        <w:t xml:space="preserve">be </w:t>
      </w:r>
      <w:r w:rsidR="003E45AD">
        <w:t>subject to the same taxation regimes as their private competitors</w:t>
      </w:r>
      <w:r w:rsidR="009960BF">
        <w:t>, which is fundamentally a subsidy to the operator.  In the regulatory context</w:t>
      </w:r>
      <w:r w:rsidR="003516EA">
        <w:t>,</w:t>
      </w:r>
      <w:r w:rsidR="009960BF">
        <w:t xml:space="preserve"> benefits can include regulatory holidays in addition to </w:t>
      </w:r>
      <w:r w:rsidR="00DB6045">
        <w:t xml:space="preserve">the above noted </w:t>
      </w:r>
      <w:r w:rsidR="009960BF">
        <w:t>immunity from competition laws.</w:t>
      </w:r>
    </w:p>
    <w:p w:rsidR="003516EA" w:rsidRDefault="009960BF" w:rsidP="00BE1F1B">
      <w:r>
        <w:t>There are a wide range of issues around the financing and structure of government businesses that can provide them with advantages over their private counterparts.  These include</w:t>
      </w:r>
      <w:r w:rsidR="003516EA">
        <w:t>:</w:t>
      </w:r>
      <w:r>
        <w:t xml:space="preserve"> </w:t>
      </w:r>
    </w:p>
    <w:p w:rsidR="003516EA" w:rsidRDefault="009960BF" w:rsidP="0059177F">
      <w:pPr>
        <w:pStyle w:val="ListParagraph"/>
        <w:numPr>
          <w:ilvl w:val="0"/>
          <w:numId w:val="20"/>
        </w:numPr>
      </w:pPr>
      <w:r>
        <w:t xml:space="preserve">debt guarantees, both explicit and implicit; </w:t>
      </w:r>
    </w:p>
    <w:p w:rsidR="003516EA" w:rsidRDefault="009960BF" w:rsidP="0059177F">
      <w:pPr>
        <w:pStyle w:val="ListParagraph"/>
        <w:numPr>
          <w:ilvl w:val="0"/>
          <w:numId w:val="20"/>
        </w:numPr>
      </w:pPr>
      <w:r>
        <w:t>access to government interest rates</w:t>
      </w:r>
      <w:r w:rsidR="00B81C08">
        <w:t>,</w:t>
      </w:r>
      <w:r>
        <w:t xml:space="preserve"> which are generally lower than </w:t>
      </w:r>
      <w:r w:rsidR="00504E9A">
        <w:t>those that private business</w:t>
      </w:r>
      <w:r>
        <w:t xml:space="preserve"> may access; </w:t>
      </w:r>
    </w:p>
    <w:p w:rsidR="003516EA" w:rsidRDefault="009960BF" w:rsidP="0059177F">
      <w:pPr>
        <w:pStyle w:val="ListParagraph"/>
        <w:numPr>
          <w:ilvl w:val="0"/>
          <w:numId w:val="20"/>
        </w:numPr>
      </w:pPr>
      <w:r>
        <w:t xml:space="preserve">lack </w:t>
      </w:r>
      <w:r w:rsidR="005505E5">
        <w:t xml:space="preserve">of </w:t>
      </w:r>
      <w:r w:rsidR="00BE6CF5">
        <w:t>requirements</w:t>
      </w:r>
      <w:r>
        <w:t xml:space="preserve"> to adhere to normal financial </w:t>
      </w:r>
      <w:r w:rsidR="00DD4F98">
        <w:t xml:space="preserve">and </w:t>
      </w:r>
      <w:r>
        <w:t xml:space="preserve">accounting practices, such as </w:t>
      </w:r>
      <w:r w:rsidR="00504E9A">
        <w:t>deprecation</w:t>
      </w:r>
      <w:r w:rsidR="003D7C17">
        <w:t xml:space="preserve">; and </w:t>
      </w:r>
    </w:p>
    <w:p w:rsidR="009960BF" w:rsidRDefault="003D7C17" w:rsidP="0059177F">
      <w:pPr>
        <w:pStyle w:val="ListParagraph"/>
        <w:numPr>
          <w:ilvl w:val="0"/>
          <w:numId w:val="20"/>
        </w:numPr>
      </w:pPr>
      <w:proofErr w:type="gramStart"/>
      <w:r>
        <w:t>often</w:t>
      </w:r>
      <w:proofErr w:type="gramEnd"/>
      <w:r>
        <w:t xml:space="preserve"> no requirement </w:t>
      </w:r>
      <w:r w:rsidR="009960BF">
        <w:t xml:space="preserve">to achieve what would be viewed as a normal </w:t>
      </w:r>
      <w:r w:rsidR="00504E9A">
        <w:t>return</w:t>
      </w:r>
      <w:r w:rsidR="009960BF">
        <w:t xml:space="preserve"> on investment.</w:t>
      </w:r>
    </w:p>
    <w:p w:rsidR="00504E9A" w:rsidRDefault="003D7C17" w:rsidP="00BE1F1B">
      <w:r>
        <w:t>The</w:t>
      </w:r>
      <w:r w:rsidR="00504E9A">
        <w:t xml:space="preserve"> lack of commercial drivers </w:t>
      </w:r>
      <w:r>
        <w:t>i</w:t>
      </w:r>
      <w:r w:rsidR="00504E9A">
        <w:t xml:space="preserve">s </w:t>
      </w:r>
      <w:r>
        <w:t>often f</w:t>
      </w:r>
      <w:r w:rsidR="00504E9A">
        <w:t>undamental to government businesses enjoying a status removed from the usual competitive discipline of the market.  The</w:t>
      </w:r>
      <w:r w:rsidR="000D64EA">
        <w:t>se may include</w:t>
      </w:r>
      <w:r w:rsidR="00504E9A">
        <w:t xml:space="preserve"> protection from bankruptcy and the lack of pressure from the market for corporate control in terms of takeover threats or threats to managers </w:t>
      </w:r>
      <w:r w:rsidR="00C932B8">
        <w:t xml:space="preserve">from </w:t>
      </w:r>
      <w:r w:rsidR="00504E9A">
        <w:t xml:space="preserve">commercially driven investors.  This </w:t>
      </w:r>
      <w:r w:rsidR="0005713A">
        <w:t xml:space="preserve">may </w:t>
      </w:r>
      <w:r w:rsidR="00504E9A">
        <w:t>alter</w:t>
      </w:r>
      <w:r w:rsidR="0005713A">
        <w:t xml:space="preserve"> or change</w:t>
      </w:r>
      <w:r w:rsidR="00504E9A">
        <w:t xml:space="preserve"> the incentives of manage</w:t>
      </w:r>
      <w:r w:rsidR="00D74E6F">
        <w:t>ment</w:t>
      </w:r>
      <w:r w:rsidR="00504E9A">
        <w:t xml:space="preserve"> and may undermine economic decision making with the resultant negative effect on production and consumption decisions and on </w:t>
      </w:r>
      <w:r w:rsidR="0005713A">
        <w:t>resource</w:t>
      </w:r>
      <w:r w:rsidR="00504E9A">
        <w:t xml:space="preserve"> </w:t>
      </w:r>
      <w:r w:rsidR="0005713A">
        <w:t>allocation</w:t>
      </w:r>
      <w:r w:rsidR="00504E9A">
        <w:t xml:space="preserve"> in the economy.</w:t>
      </w:r>
    </w:p>
    <w:p w:rsidR="00504E9A" w:rsidRPr="005C0C3B" w:rsidRDefault="00504E9A" w:rsidP="006C6659">
      <w:pPr>
        <w:pStyle w:val="Heading2"/>
      </w:pPr>
      <w:r w:rsidRPr="005C0C3B">
        <w:lastRenderedPageBreak/>
        <w:t>Disadvantages</w:t>
      </w:r>
      <w:r w:rsidR="00B81C08">
        <w:t xml:space="preserve"> of government ownership</w:t>
      </w:r>
    </w:p>
    <w:p w:rsidR="0005713A" w:rsidRDefault="00504E9A" w:rsidP="0005713A">
      <w:r>
        <w:t>While the focus of this discussion paper</w:t>
      </w:r>
      <w:r w:rsidR="00DF5C19">
        <w:t xml:space="preserve"> so far</w:t>
      </w:r>
      <w:r>
        <w:t xml:space="preserve"> has been on the </w:t>
      </w:r>
      <w:r w:rsidR="0005713A">
        <w:t>advantages</w:t>
      </w:r>
      <w:r>
        <w:t xml:space="preserve"> that may arise from </w:t>
      </w:r>
      <w:r w:rsidR="0005713A">
        <w:t>ownership</w:t>
      </w:r>
      <w:r>
        <w:t xml:space="preserve"> by government</w:t>
      </w:r>
      <w:r w:rsidR="00454176">
        <w:t>,</w:t>
      </w:r>
      <w:r>
        <w:t xml:space="preserve"> there are also potential </w:t>
      </w:r>
      <w:r w:rsidR="0005713A">
        <w:t>disadvantages</w:t>
      </w:r>
      <w:r>
        <w:t xml:space="preserve"> that </w:t>
      </w:r>
      <w:r w:rsidR="0005713A">
        <w:t xml:space="preserve">logically arise from their social objectives and/or </w:t>
      </w:r>
      <w:r w:rsidR="00D74E6F">
        <w:t>structures</w:t>
      </w:r>
      <w:r w:rsidR="0005713A">
        <w:t xml:space="preserve">.  These can include </w:t>
      </w:r>
      <w:r w:rsidR="00D74E6F">
        <w:t>greater</w:t>
      </w:r>
      <w:r w:rsidR="0005713A">
        <w:t xml:space="preserve"> accountability obligations, universal service obligations, </w:t>
      </w:r>
      <w:r w:rsidR="005505E5">
        <w:t>and requirements</w:t>
      </w:r>
      <w:r w:rsidR="0005713A">
        <w:t xml:space="preserve"> to comply with government wages and pension policies and even objectives around maximising or protecting </w:t>
      </w:r>
      <w:r w:rsidR="00D74E6F">
        <w:t>employment</w:t>
      </w:r>
      <w:r w:rsidR="0005713A">
        <w:t xml:space="preserve"> in the particular sector.</w:t>
      </w:r>
      <w:r w:rsidR="0005713A">
        <w:rPr>
          <w:rStyle w:val="FootnoteReference"/>
        </w:rPr>
        <w:footnoteReference w:id="8"/>
      </w:r>
      <w:r w:rsidR="0005713A">
        <w:t xml:space="preserve">  Industrial relations issues have often been raised as a </w:t>
      </w:r>
      <w:r w:rsidR="00D74E6F">
        <w:t>disadvantage</w:t>
      </w:r>
      <w:r w:rsidR="00454176">
        <w:t>,</w:t>
      </w:r>
      <w:r w:rsidR="0005713A">
        <w:t xml:space="preserve"> in that the publicly owned enterprise may have to adhere to a different set of rules and </w:t>
      </w:r>
      <w:r w:rsidR="00D74E6F">
        <w:t>regulations</w:t>
      </w:r>
      <w:r w:rsidR="0005713A">
        <w:t xml:space="preserve"> than would a private business. </w:t>
      </w:r>
      <w:r w:rsidR="00DD4F98">
        <w:t>Government businesses may also be subject to procurement rules and processes that put them in a disadvantageous competitive position.</w:t>
      </w:r>
      <w:r w:rsidR="0005713A">
        <w:t xml:space="preserve"> </w:t>
      </w:r>
    </w:p>
    <w:p w:rsidR="0005713A" w:rsidRDefault="00D74E6F" w:rsidP="0005713A">
      <w:r>
        <w:t>A</w:t>
      </w:r>
      <w:r w:rsidR="0005713A">
        <w:t xml:space="preserve"> number of objectives may be imposed </w:t>
      </w:r>
      <w:r w:rsidR="009F09DB">
        <w:t xml:space="preserve">on government businesses </w:t>
      </w:r>
      <w:r w:rsidR="0005713A">
        <w:t>by governments to achieve wider aims, including environmental, industrial policy and other social obligations.</w:t>
      </w:r>
      <w:r w:rsidR="0005713A">
        <w:rPr>
          <w:rStyle w:val="FootnoteReference"/>
        </w:rPr>
        <w:footnoteReference w:id="9"/>
      </w:r>
      <w:r w:rsidR="0005713A">
        <w:t xml:space="preserve"> </w:t>
      </w:r>
      <w:r>
        <w:t xml:space="preserve"> These can act to alter the focus of the business management from the more profit driven motives that generally underlie private sector businesses.  </w:t>
      </w:r>
    </w:p>
    <w:p w:rsidR="00A04F7E" w:rsidRPr="005C0C3B" w:rsidRDefault="00A04F7E" w:rsidP="006C6659">
      <w:pPr>
        <w:pStyle w:val="Heading2"/>
      </w:pPr>
      <w:r w:rsidRPr="005C0C3B">
        <w:t>Anti-competitive practises</w:t>
      </w:r>
      <w:r w:rsidRPr="005C0C3B">
        <w:rPr>
          <w:rStyle w:val="FootnoteReference"/>
          <w:szCs w:val="28"/>
        </w:rPr>
        <w:footnoteReference w:id="10"/>
      </w:r>
    </w:p>
    <w:p w:rsidR="00A04F7E" w:rsidRDefault="00A04F7E" w:rsidP="00A04F7E">
      <w:r>
        <w:t xml:space="preserve">The lack of incentive to price efficiently is a likely outcome of incentive structures that reward revenue over profits.  </w:t>
      </w:r>
      <w:r w:rsidR="00C932B8">
        <w:t>B</w:t>
      </w:r>
      <w:r>
        <w:t xml:space="preserve">usinesses </w:t>
      </w:r>
      <w:r w:rsidR="00C932B8">
        <w:t xml:space="preserve">in this position </w:t>
      </w:r>
      <w:r>
        <w:t xml:space="preserve">may gain a competitive advantage on their private sector competitors that allow them to compete at prices that would not be supportable, especially over the long term, if full cost was reflected in the final product or service.  </w:t>
      </w:r>
    </w:p>
    <w:p w:rsidR="00454176" w:rsidRDefault="00A04F7E" w:rsidP="00A04F7E">
      <w:proofErr w:type="spellStart"/>
      <w:r>
        <w:t>Capobianco</w:t>
      </w:r>
      <w:proofErr w:type="spellEnd"/>
      <w:r>
        <w:t xml:space="preserve"> and Christiansen provide a “catalogue” of potential anti-competitive practices that may flow from the fact that a business is government owned.  These include</w:t>
      </w:r>
      <w:r w:rsidR="000D64EA">
        <w:t>:</w:t>
      </w:r>
      <w:r>
        <w:t xml:space="preserve"> </w:t>
      </w:r>
    </w:p>
    <w:p w:rsidR="00454176" w:rsidRDefault="00A04F7E" w:rsidP="0059177F">
      <w:pPr>
        <w:pStyle w:val="ListParagraph"/>
        <w:numPr>
          <w:ilvl w:val="0"/>
          <w:numId w:val="21"/>
        </w:numPr>
      </w:pPr>
      <w:r>
        <w:t>the ability to raise rivals costs</w:t>
      </w:r>
      <w:r w:rsidR="000D64EA">
        <w:t>;</w:t>
      </w:r>
      <w:r>
        <w:t xml:space="preserve"> </w:t>
      </w:r>
    </w:p>
    <w:p w:rsidR="00454176" w:rsidRDefault="00A04F7E" w:rsidP="0059177F">
      <w:pPr>
        <w:pStyle w:val="ListParagraph"/>
        <w:numPr>
          <w:ilvl w:val="0"/>
          <w:numId w:val="21"/>
        </w:numPr>
      </w:pPr>
      <w:r>
        <w:t>price in a predatory fashion</w:t>
      </w:r>
      <w:r w:rsidR="000D64EA">
        <w:t>;</w:t>
      </w:r>
      <w:r>
        <w:t xml:space="preserve"> </w:t>
      </w:r>
    </w:p>
    <w:p w:rsidR="00454176" w:rsidRDefault="00A04F7E" w:rsidP="0059177F">
      <w:pPr>
        <w:pStyle w:val="ListParagraph"/>
        <w:numPr>
          <w:ilvl w:val="0"/>
          <w:numId w:val="21"/>
        </w:numPr>
      </w:pPr>
      <w:r>
        <w:t>raise barriers to entry</w:t>
      </w:r>
      <w:r w:rsidR="000D64EA">
        <w:t>;</w:t>
      </w:r>
      <w:r>
        <w:t xml:space="preserve"> </w:t>
      </w:r>
    </w:p>
    <w:p w:rsidR="00454176" w:rsidRDefault="00A04F7E" w:rsidP="0059177F">
      <w:pPr>
        <w:pStyle w:val="ListParagraph"/>
        <w:numPr>
          <w:ilvl w:val="0"/>
          <w:numId w:val="21"/>
        </w:numPr>
      </w:pPr>
      <w:r>
        <w:t>cross-</w:t>
      </w:r>
      <w:r w:rsidR="000D64EA">
        <w:t xml:space="preserve">subsidise; </w:t>
      </w:r>
      <w:r>
        <w:t xml:space="preserve">and </w:t>
      </w:r>
    </w:p>
    <w:p w:rsidR="00A04F7E" w:rsidRDefault="00A04F7E" w:rsidP="0059177F">
      <w:pPr>
        <w:pStyle w:val="ListParagraph"/>
        <w:numPr>
          <w:ilvl w:val="0"/>
          <w:numId w:val="21"/>
        </w:numPr>
      </w:pPr>
      <w:proofErr w:type="gramStart"/>
      <w:r>
        <w:t>make</w:t>
      </w:r>
      <w:proofErr w:type="gramEnd"/>
      <w:r>
        <w:t xml:space="preserve"> strategic use of inefficient technology to garner advantages from a lower marginal cost base.</w:t>
      </w:r>
    </w:p>
    <w:p w:rsidR="00A04F7E" w:rsidRDefault="00A04F7E" w:rsidP="00A04F7E">
      <w:r>
        <w:t>The risk is again with potential distortions in regard to consumption, production and investment</w:t>
      </w:r>
      <w:r w:rsidR="00D72009">
        <w:t>,</w:t>
      </w:r>
      <w:r>
        <w:t xml:space="preserve"> with a commensurate negative effect on </w:t>
      </w:r>
      <w:proofErr w:type="spellStart"/>
      <w:r>
        <w:t>allocative</w:t>
      </w:r>
      <w:proofErr w:type="spellEnd"/>
      <w:r>
        <w:t xml:space="preserve"> efficiency.  It may also result in impeding innovation and dynamic efficiency in the effected market.    </w:t>
      </w:r>
    </w:p>
    <w:p w:rsidR="003C2AED" w:rsidRPr="005C0C3B" w:rsidRDefault="003C2AED" w:rsidP="006C6659">
      <w:pPr>
        <w:pStyle w:val="Heading2"/>
      </w:pPr>
      <w:r w:rsidRPr="005C0C3B">
        <w:t xml:space="preserve">Barriers to </w:t>
      </w:r>
      <w:r w:rsidR="00D72009">
        <w:t>c</w:t>
      </w:r>
      <w:r w:rsidRPr="005C0C3B">
        <w:t>hange</w:t>
      </w:r>
    </w:p>
    <w:p w:rsidR="003C2AED" w:rsidRDefault="003C2AED" w:rsidP="003C2AED">
      <w:r>
        <w:t xml:space="preserve">Numerous commentators have noted the range of advantages, and at times </w:t>
      </w:r>
      <w:r w:rsidR="000D64EA">
        <w:t>disadvantages, which</w:t>
      </w:r>
      <w:r>
        <w:t xml:space="preserve"> may arise through government ownership and involvement in commercial entities. At one level</w:t>
      </w:r>
      <w:r w:rsidR="00C518BF">
        <w:t>,</w:t>
      </w:r>
      <w:r>
        <w:t xml:space="preserve"> support for government owned businesses </w:t>
      </w:r>
      <w:r w:rsidR="000D64EA">
        <w:t xml:space="preserve">may sit with </w:t>
      </w:r>
      <w:r>
        <w:t xml:space="preserve">the relationship between the political and </w:t>
      </w:r>
      <w:r w:rsidR="00C932B8">
        <w:t xml:space="preserve">departmental </w:t>
      </w:r>
      <w:r>
        <w:t xml:space="preserve">authorities acting as owners and the other stakeholders, such as business management and in some cases unions representing workers.  These relationships have the potential to undermine the corporate discipline that one usually associates with private business operating in competitive markets.  They may also act as an </w:t>
      </w:r>
      <w:r>
        <w:lastRenderedPageBreak/>
        <w:t>impediment to reform</w:t>
      </w:r>
      <w:r w:rsidR="00C518BF">
        <w:t>,</w:t>
      </w:r>
      <w:r>
        <w:t xml:space="preserve"> as there are likely to be implications for power structures and reward mechanisms flowing fr</w:t>
      </w:r>
      <w:r w:rsidR="00C518BF">
        <w:t>o</w:t>
      </w:r>
      <w:r>
        <w:t>m reforms.</w:t>
      </w:r>
    </w:p>
    <w:p w:rsidR="003C2AED" w:rsidRDefault="003C2AED" w:rsidP="003C2AED">
      <w:r>
        <w:t xml:space="preserve">The ability of </w:t>
      </w:r>
      <w:r w:rsidR="00DB6045">
        <w:t xml:space="preserve">a particular class of </w:t>
      </w:r>
      <w:r>
        <w:t xml:space="preserve">stakeholders </w:t>
      </w:r>
      <w:r w:rsidR="00DB6045">
        <w:t>or</w:t>
      </w:r>
      <w:r>
        <w:t xml:space="preserve"> management to influence the makeup of boards, senior management and the strategic direction of the organisation </w:t>
      </w:r>
      <w:r w:rsidR="00DB6045">
        <w:t xml:space="preserve">to favour their own particular interests, </w:t>
      </w:r>
      <w:r>
        <w:t xml:space="preserve">will generally be reduced if not eliminated through policies aimed at ensuring amongst other policy </w:t>
      </w:r>
      <w:r w:rsidR="00C932B8">
        <w:t>objectives</w:t>
      </w:r>
      <w:r>
        <w:t xml:space="preserve">, competitive neutrality.  </w:t>
      </w:r>
      <w:r w:rsidR="00880C20">
        <w:t>Almost inevitably, w</w:t>
      </w:r>
      <w:r>
        <w:t xml:space="preserve">henever exiting structures are challenged potential losers will argue strongly for the continuation of the status quo.  The ability to reward through patronage and nepotism and close links between management and owners can lead to decisions based on political imperatives rather than those of the market.  </w:t>
      </w:r>
    </w:p>
    <w:p w:rsidR="003C2AED" w:rsidRDefault="003C2AED" w:rsidP="003C2AED">
      <w:r>
        <w:t>The risk to effective operations becomes greater in models where the regulator and the owner have no clear separation.  Especially in the delivery of monopoly services</w:t>
      </w:r>
      <w:r w:rsidR="00C518BF">
        <w:t>,</w:t>
      </w:r>
      <w:r>
        <w:t xml:space="preserve"> we may see price and service quality impacted by structures that are not based on commercial drivers and therefore provide inputs into competitive markets that are of poor quality, not responsive to market needs (failure to innovate and lack of dynamic change) and/or are poorly priced to end users.  This has a potentially negative effect </w:t>
      </w:r>
      <w:r w:rsidR="00C518BF">
        <w:t>on</w:t>
      </w:r>
      <w:r>
        <w:t xml:space="preserve"> competitive markets that depend on those inputs and can seriously undermine market </w:t>
      </w:r>
      <w:r w:rsidR="00DB6045">
        <w:t>development in these sectors.</w:t>
      </w:r>
    </w:p>
    <w:p w:rsidR="003D7C17" w:rsidRDefault="003C2AED" w:rsidP="003C2AED">
      <w:r>
        <w:t xml:space="preserve">In addition, clarity of objectives and transparency in regards to the Government/business interface is fundamental to providing assurance to the broader market that competitive neutrality principles are adhered to.  Where </w:t>
      </w:r>
      <w:r w:rsidR="000D64EA">
        <w:t xml:space="preserve">policy </w:t>
      </w:r>
      <w:r w:rsidR="003D7C17">
        <w:t>dictates</w:t>
      </w:r>
      <w:r w:rsidR="000D64EA">
        <w:t xml:space="preserve"> that businesses depart from competitive neutrality </w:t>
      </w:r>
      <w:r w:rsidR="003D7C17">
        <w:t>principles</w:t>
      </w:r>
      <w:r w:rsidR="00DB6045">
        <w:t>, transparency</w:t>
      </w:r>
      <w:r>
        <w:t xml:space="preserve"> and clarity around </w:t>
      </w:r>
      <w:r w:rsidR="003D7C17">
        <w:t>those policies and government objectives</w:t>
      </w:r>
      <w:r>
        <w:t xml:space="preserve"> </w:t>
      </w:r>
      <w:r w:rsidR="000D64EA">
        <w:t xml:space="preserve">will help </w:t>
      </w:r>
      <w:r>
        <w:t xml:space="preserve">ensure public service obligations of government businesses are clearly articulated and </w:t>
      </w:r>
      <w:r w:rsidR="003D7C17">
        <w:t xml:space="preserve">obvious to stakeholders. </w:t>
      </w:r>
    </w:p>
    <w:p w:rsidR="003C2AED" w:rsidRDefault="003C2AED" w:rsidP="003C2AED">
      <w:r>
        <w:t>Competitive neutrality does</w:t>
      </w:r>
      <w:r w:rsidR="00C427A5">
        <w:t xml:space="preserve"> </w:t>
      </w:r>
      <w:r>
        <w:t>n</w:t>
      </w:r>
      <w:r w:rsidR="00C427A5">
        <w:t>o</w:t>
      </w:r>
      <w:r>
        <w:t>t demand of government businesses that they cease to provide services for government</w:t>
      </w:r>
      <w:r w:rsidR="00880C20">
        <w:t xml:space="preserve"> or are otherwise responsive to government objectives</w:t>
      </w:r>
      <w:r>
        <w:t>.  Community service obligations may still attach to businesses that may otherwise operate in, or provide other services to, competitive markets</w:t>
      </w:r>
      <w:r w:rsidR="00C427A5">
        <w:t>.</w:t>
      </w:r>
      <w:r>
        <w:rPr>
          <w:rStyle w:val="FootnoteReference"/>
        </w:rPr>
        <w:footnoteReference w:id="11"/>
      </w:r>
      <w:r>
        <w:t xml:space="preserve">  One aim of a competitive neutrality policy is to provide transparency to the market to ensure that the business is not obtaining an undue advantage in its commercial activities through its government ownership or relationship.  Where specific Government policies are mandated</w:t>
      </w:r>
      <w:r w:rsidR="00C427A5">
        <w:t>,</w:t>
      </w:r>
      <w:r>
        <w:t xml:space="preserve"> appropriate governance and reporting provide transparency to the market</w:t>
      </w:r>
      <w:r w:rsidR="00C427A5">
        <w:t>.</w:t>
      </w:r>
      <w:r>
        <w:t xml:space="preserve"> </w:t>
      </w:r>
      <w:r w:rsidR="00C427A5">
        <w:t>M</w:t>
      </w:r>
      <w:r>
        <w:t xml:space="preserve">easures such as accounting separation provide a level of guarantee that the </w:t>
      </w:r>
      <w:r w:rsidR="003D7C17">
        <w:t xml:space="preserve">government </w:t>
      </w:r>
      <w:r>
        <w:t xml:space="preserve">business is not cross subsiding or otherwise using its government ownership to the </w:t>
      </w:r>
      <w:r w:rsidR="003D7C17">
        <w:t>detriment</w:t>
      </w:r>
      <w:r>
        <w:t xml:space="preserve"> of the competitive process. </w:t>
      </w:r>
    </w:p>
    <w:p w:rsidR="000D64EA" w:rsidRDefault="000D64EA" w:rsidP="003C2AED">
      <w:r>
        <w:t xml:space="preserve">Another aspect of government business that is sometimes raised as a reason for </w:t>
      </w:r>
      <w:r w:rsidR="00845F8D">
        <w:t>lack of commitment to change</w:t>
      </w:r>
      <w:r w:rsidR="00C427A5">
        <w:t xml:space="preserve">, </w:t>
      </w:r>
      <w:r w:rsidR="00845F8D">
        <w:t>in light of competitive neutrality policy</w:t>
      </w:r>
      <w:r w:rsidR="00C427A5">
        <w:t>,</w:t>
      </w:r>
      <w:r w:rsidR="00845F8D">
        <w:t xml:space="preserve"> is that the b</w:t>
      </w:r>
      <w:r w:rsidR="003D7C17">
        <w:t>usiness</w:t>
      </w:r>
      <w:r w:rsidR="00845F8D">
        <w:t xml:space="preserve"> in question may be an important source of revenue to the state. </w:t>
      </w:r>
      <w:r w:rsidR="003D7C17">
        <w:t xml:space="preserve"> Protection of the revenue stream may override government commitment to opening up markets to greater competitive pressures.  </w:t>
      </w:r>
    </w:p>
    <w:p w:rsidR="00D03279" w:rsidRPr="005C0C3B" w:rsidRDefault="00C427A5" w:rsidP="006C6659">
      <w:pPr>
        <w:pStyle w:val="Heading2"/>
      </w:pPr>
      <w:r>
        <w:t xml:space="preserve">Addressing </w:t>
      </w:r>
      <w:r w:rsidR="00022B6B">
        <w:t>competitive neutrality concerns</w:t>
      </w:r>
    </w:p>
    <w:p w:rsidR="00F73BBC" w:rsidRPr="00F73BBC" w:rsidRDefault="00F73BBC" w:rsidP="006C6659">
      <w:pPr>
        <w:pStyle w:val="Heading3"/>
      </w:pPr>
      <w:r w:rsidRPr="00F73BBC">
        <w:t>Structural change</w:t>
      </w:r>
    </w:p>
    <w:p w:rsidR="00735C62" w:rsidRDefault="00735C62" w:rsidP="0005713A">
      <w:r>
        <w:t>A</w:t>
      </w:r>
      <w:r w:rsidR="00647A2A">
        <w:t xml:space="preserve"> range of reports and articles</w:t>
      </w:r>
      <w:r>
        <w:t xml:space="preserve">, some of which have been noted in this discussion paper, </w:t>
      </w:r>
      <w:r w:rsidR="00C427A5">
        <w:t xml:space="preserve"> focus on</w:t>
      </w:r>
      <w:r w:rsidR="00647A2A">
        <w:t xml:space="preserve"> issues of </w:t>
      </w:r>
      <w:r w:rsidR="003546AA">
        <w:t xml:space="preserve">structure and </w:t>
      </w:r>
      <w:r w:rsidR="00647A2A">
        <w:t xml:space="preserve">governance as a starting point for addressing competitive neutrality concerns.  These include </w:t>
      </w:r>
      <w:r>
        <w:t xml:space="preserve">privatisation and </w:t>
      </w:r>
      <w:r w:rsidR="00647A2A">
        <w:t>corporatisation</w:t>
      </w:r>
      <w:r>
        <w:t xml:space="preserve">, although it is by no means a necessary path to follow in order to achieve progress in addressing these concerns.   However, </w:t>
      </w:r>
      <w:r w:rsidR="00DB6045">
        <w:t xml:space="preserve">consideration of structural changes </w:t>
      </w:r>
      <w:r>
        <w:t xml:space="preserve">may assist policy makers to consider the question as to what, if any, businesses Governments should remain in where markets are competitive.  Even if Government decides to remain in these markets as an </w:t>
      </w:r>
      <w:r>
        <w:lastRenderedPageBreak/>
        <w:t>owner or shareholder</w:t>
      </w:r>
      <w:r w:rsidR="0098457E">
        <w:t>,</w:t>
      </w:r>
      <w:r>
        <w:t xml:space="preserve"> being forced to consider the competitiveness or otherwise of the markets in question may aid in developing appropriate transparency and reporting models. </w:t>
      </w:r>
    </w:p>
    <w:p w:rsidR="00647A2A" w:rsidRDefault="00735C62" w:rsidP="0005713A">
      <w:r>
        <w:t xml:space="preserve">Privatisation and corporatisation </w:t>
      </w:r>
      <w:r w:rsidR="00647A2A">
        <w:t xml:space="preserve">policies aim to bring private sector objectives </w:t>
      </w:r>
      <w:r w:rsidR="003546AA">
        <w:t xml:space="preserve">and </w:t>
      </w:r>
      <w:r w:rsidR="00647A2A">
        <w:t>associated incentives and drivers to the operation of the target business.  In the case of privatisation</w:t>
      </w:r>
      <w:r w:rsidR="0098457E">
        <w:t>,</w:t>
      </w:r>
      <w:r w:rsidR="00647A2A">
        <w:t xml:space="preserve"> removal of government ownership entirely </w:t>
      </w:r>
      <w:r w:rsidR="00E75944">
        <w:t xml:space="preserve">brings the entity </w:t>
      </w:r>
      <w:r w:rsidR="00DE2E87">
        <w:t>directly into the</w:t>
      </w:r>
      <w:r w:rsidR="00E75944">
        <w:t xml:space="preserve"> competitive market place</w:t>
      </w:r>
      <w:r w:rsidR="00DE2E87">
        <w:t xml:space="preserve"> with its laws, regulations and rules around corporate behaviour, shareholder activity, management responsibilities </w:t>
      </w:r>
      <w:r w:rsidR="00DA5706">
        <w:t>and strategic planning.</w:t>
      </w:r>
      <w:r w:rsidR="00E75944">
        <w:t xml:space="preserve">  In </w:t>
      </w:r>
      <w:r w:rsidR="00DE2E87">
        <w:t xml:space="preserve">the </w:t>
      </w:r>
      <w:r w:rsidR="00E75944">
        <w:t xml:space="preserve">case of </w:t>
      </w:r>
      <w:r w:rsidR="00DA5706">
        <w:t xml:space="preserve">privatised </w:t>
      </w:r>
      <w:r w:rsidR="00E75944">
        <w:t>natural monopoly assets</w:t>
      </w:r>
      <w:r w:rsidR="00BD7599">
        <w:t>,</w:t>
      </w:r>
      <w:r w:rsidR="00E75944">
        <w:t xml:space="preserve"> Australia </w:t>
      </w:r>
      <w:r w:rsidR="00DA5706">
        <w:t>g</w:t>
      </w:r>
      <w:r w:rsidR="00DE2E87">
        <w:t>overnments</w:t>
      </w:r>
      <w:r w:rsidR="00E75944">
        <w:t xml:space="preserve"> </w:t>
      </w:r>
      <w:r w:rsidR="00DE2E87">
        <w:t xml:space="preserve">took steps to separate the competitive parts of vertically integrated service providers such as utilities, </w:t>
      </w:r>
      <w:r w:rsidR="00E75944">
        <w:t xml:space="preserve">while the natural monopoly parts were subject to direct regulation by an independent regulator. </w:t>
      </w:r>
    </w:p>
    <w:p w:rsidR="00116A9B" w:rsidRDefault="00DA5706" w:rsidP="00BE1F1B">
      <w:r>
        <w:t>Effective c</w:t>
      </w:r>
      <w:r w:rsidR="00DE2E87">
        <w:t xml:space="preserve">orporatisation </w:t>
      </w:r>
      <w:r>
        <w:t>can provide for</w:t>
      </w:r>
      <w:r w:rsidR="00DE2E87">
        <w:t xml:space="preserve"> the business to be brought under a more market focused structure</w:t>
      </w:r>
      <w:r w:rsidR="00BD7599">
        <w:t>,</w:t>
      </w:r>
      <w:r w:rsidR="00DE2E87">
        <w:t xml:space="preserve"> while maintaining government ownership.  The basic reasoning behind changes in the operational form of government businesses </w:t>
      </w:r>
      <w:r w:rsidR="00BD7599">
        <w:t>is</w:t>
      </w:r>
      <w:r w:rsidR="00DE2E87">
        <w:t xml:space="preserve"> to bring greater accountability and transparency</w:t>
      </w:r>
      <w:r w:rsidR="00BD7599">
        <w:t>,</w:t>
      </w:r>
      <w:r w:rsidR="00DE2E87">
        <w:t xml:space="preserve"> so that actions that may impede competition ar</w:t>
      </w:r>
      <w:r>
        <w:t>e made obvious to stakeholders.  This includes transparency around the objectives that the Government owners may place</w:t>
      </w:r>
      <w:r w:rsidR="00BD7599">
        <w:t xml:space="preserve"> on</w:t>
      </w:r>
      <w:r>
        <w:t xml:space="preserve"> management</w:t>
      </w:r>
      <w:r w:rsidR="00BD7599">
        <w:t>,</w:t>
      </w:r>
      <w:r>
        <w:t xml:space="preserve"> so that the market may more clearly understand the commercial responsibilities versus the social responsibilities and the impact on other commercial actors.</w:t>
      </w:r>
    </w:p>
    <w:p w:rsidR="003D7C17" w:rsidRDefault="003D7C17" w:rsidP="003D7C17">
      <w:r>
        <w:t>In Australia</w:t>
      </w:r>
      <w:r w:rsidR="00BD7599">
        <w:t>,</w:t>
      </w:r>
      <w:r>
        <w:t xml:space="preserve"> competitive neutrality became one of the arms of the much broader competition policy review referred to more generally as the </w:t>
      </w:r>
      <w:proofErr w:type="spellStart"/>
      <w:r>
        <w:t>Hilmer</w:t>
      </w:r>
      <w:proofErr w:type="spellEnd"/>
      <w:r>
        <w:t xml:space="preserve"> Review.  The policy focused more broadly on moving towards greater reliance on market based mechanisms to discipline and drive performance.  In turn</w:t>
      </w:r>
      <w:r w:rsidR="00BD7599">
        <w:t>,</w:t>
      </w:r>
      <w:r>
        <w:t xml:space="preserve"> this led to welfare enhancement arising from greater efficiency and productivity</w:t>
      </w:r>
      <w:r w:rsidR="00BD7599">
        <w:t>,</w:t>
      </w:r>
      <w:r>
        <w:t xml:space="preserve"> likely to be achieved through the promotion of competitiveness.  </w:t>
      </w:r>
    </w:p>
    <w:p w:rsidR="003D7C17" w:rsidRDefault="003D7C17" w:rsidP="003D7C17">
      <w:r>
        <w:t xml:space="preserve">In her presentation referred to earlier </w:t>
      </w:r>
      <w:r w:rsidR="00621687">
        <w:t>(</w:t>
      </w:r>
      <w:r>
        <w:t>the UNCTAD Competitive Neutrality Project</w:t>
      </w:r>
      <w:r w:rsidR="00621687">
        <w:t>)</w:t>
      </w:r>
      <w:r w:rsidR="008C1603">
        <w:t>,</w:t>
      </w:r>
      <w:r>
        <w:t xml:space="preserve"> Deborah Healey notes that competitive neutrality policy was implemented in Australia against </w:t>
      </w:r>
      <w:r w:rsidR="00621687">
        <w:t>a</w:t>
      </w:r>
      <w:r>
        <w:t xml:space="preserve"> broad backdrop of policy and incentives</w:t>
      </w:r>
      <w:r w:rsidR="008C1603">
        <w:t>,</w:t>
      </w:r>
      <w:r>
        <w:t xml:space="preserve"> and as such may not necessarily be appropriate for all jurisdictions.  The Australian economy was in crisis with major productivity issues and rapidly faltering international competitiveness.  The NCP included substantial Commonwealth payments as a reward to State governments for actions they agreed to undertake under the NCP banner.</w:t>
      </w:r>
    </w:p>
    <w:p w:rsidR="008C1603" w:rsidRDefault="00DE2E87" w:rsidP="00BE1F1B">
      <w:r>
        <w:t xml:space="preserve">The </w:t>
      </w:r>
      <w:proofErr w:type="spellStart"/>
      <w:r>
        <w:t>Hilmer</w:t>
      </w:r>
      <w:proofErr w:type="spellEnd"/>
      <w:r>
        <w:t xml:space="preserve"> Review </w:t>
      </w:r>
      <w:r w:rsidR="00DA5706">
        <w:t>identified</w:t>
      </w:r>
      <w:r>
        <w:t xml:space="preserve"> five basic principles </w:t>
      </w:r>
      <w:r w:rsidR="002F5072">
        <w:t xml:space="preserve">for corporatisation </w:t>
      </w:r>
      <w:r>
        <w:t>that are repeated in the Commonwealth Competitive Policy Neutrality Statement.</w:t>
      </w:r>
      <w:r>
        <w:rPr>
          <w:rStyle w:val="FootnoteReference"/>
        </w:rPr>
        <w:footnoteReference w:id="12"/>
      </w:r>
      <w:r>
        <w:t xml:space="preserve">   These include</w:t>
      </w:r>
      <w:r w:rsidR="008C1603">
        <w:t>:</w:t>
      </w:r>
      <w:r>
        <w:t xml:space="preserve"> </w:t>
      </w:r>
    </w:p>
    <w:p w:rsidR="008C1603" w:rsidRDefault="00DE2E87" w:rsidP="0059177F">
      <w:pPr>
        <w:pStyle w:val="ListParagraph"/>
        <w:numPr>
          <w:ilvl w:val="0"/>
          <w:numId w:val="22"/>
        </w:numPr>
      </w:pPr>
      <w:r>
        <w:t xml:space="preserve">clarity and consistency of objectives; </w:t>
      </w:r>
    </w:p>
    <w:p w:rsidR="008C1603" w:rsidRDefault="00DE2E87" w:rsidP="0059177F">
      <w:pPr>
        <w:pStyle w:val="ListParagraph"/>
        <w:numPr>
          <w:ilvl w:val="0"/>
          <w:numId w:val="22"/>
        </w:numPr>
      </w:pPr>
      <w:r>
        <w:t xml:space="preserve">clear management authority and accountability; </w:t>
      </w:r>
    </w:p>
    <w:p w:rsidR="008C1603" w:rsidRDefault="00DE2E87" w:rsidP="0059177F">
      <w:pPr>
        <w:pStyle w:val="ListParagraph"/>
        <w:numPr>
          <w:ilvl w:val="0"/>
          <w:numId w:val="22"/>
        </w:numPr>
      </w:pPr>
      <w:r>
        <w:t xml:space="preserve">performance monitoring; </w:t>
      </w:r>
    </w:p>
    <w:p w:rsidR="008C1603" w:rsidRDefault="00DE2E87" w:rsidP="0059177F">
      <w:pPr>
        <w:pStyle w:val="ListParagraph"/>
        <w:numPr>
          <w:ilvl w:val="0"/>
          <w:numId w:val="22"/>
        </w:numPr>
      </w:pPr>
      <w:r>
        <w:t xml:space="preserve">effective rewards and sanctions; and </w:t>
      </w:r>
    </w:p>
    <w:p w:rsidR="008C1603" w:rsidRDefault="00DE2E87" w:rsidP="0059177F">
      <w:pPr>
        <w:pStyle w:val="ListParagraph"/>
        <w:numPr>
          <w:ilvl w:val="0"/>
          <w:numId w:val="22"/>
        </w:numPr>
      </w:pPr>
      <w:proofErr w:type="gramStart"/>
      <w:r>
        <w:t>competitive</w:t>
      </w:r>
      <w:proofErr w:type="gramEnd"/>
      <w:r>
        <w:t xml:space="preserve"> neutrality.</w:t>
      </w:r>
      <w:r w:rsidR="002F5072">
        <w:t xml:space="preserve">  </w:t>
      </w:r>
    </w:p>
    <w:p w:rsidR="00DE2E87" w:rsidRDefault="002F5072" w:rsidP="008C1603">
      <w:r>
        <w:t>The OECD Guidelines on SOE’s has a similar list</w:t>
      </w:r>
      <w:r w:rsidR="00A43083">
        <w:t>,</w:t>
      </w:r>
      <w:r>
        <w:t xml:space="preserve"> although it notes the need for a strong, independent board and a clear separation of the state ownership from day-to-day operations.  If regulated</w:t>
      </w:r>
      <w:r w:rsidR="00A43083">
        <w:t>,</w:t>
      </w:r>
      <w:r>
        <w:t xml:space="preserve"> there is also a need for the regulator to be independent of both government and the entity to ensure the integrity of decisions that may impact on that entity.</w:t>
      </w:r>
    </w:p>
    <w:p w:rsidR="00F73BBC" w:rsidRPr="00F73BBC" w:rsidRDefault="00F73BBC" w:rsidP="006C6659">
      <w:pPr>
        <w:pStyle w:val="Heading3"/>
      </w:pPr>
      <w:r w:rsidRPr="00F73BBC">
        <w:t>Specific laws</w:t>
      </w:r>
    </w:p>
    <w:p w:rsidR="002F5072" w:rsidRDefault="002F5072" w:rsidP="00BE1F1B">
      <w:r>
        <w:t xml:space="preserve">The European Union has had a long history of requiring </w:t>
      </w:r>
      <w:r w:rsidR="00CC6D1A">
        <w:t>adherence</w:t>
      </w:r>
      <w:r>
        <w:t xml:space="preserve"> to competitive neutrality principles.  Its State Aid rules and Transparency Directive</w:t>
      </w:r>
      <w:r w:rsidR="00A43083">
        <w:t>,</w:t>
      </w:r>
      <w:r>
        <w:t xml:space="preserve"> for example</w:t>
      </w:r>
      <w:r w:rsidR="00A43083">
        <w:t>,</w:t>
      </w:r>
      <w:r>
        <w:t xml:space="preserve"> provide strong direction to member states to provide full transparency and assessments in regard to State Aid and </w:t>
      </w:r>
      <w:r w:rsidR="00CC6D1A">
        <w:t>sup</w:t>
      </w:r>
      <w:r>
        <w:t>port of SOEs</w:t>
      </w:r>
      <w:r w:rsidR="00CC6D1A">
        <w:t xml:space="preserve"> to </w:t>
      </w:r>
      <w:r w:rsidR="00CF3168">
        <w:t>ensure a “level playing field”.</w:t>
      </w:r>
      <w:r>
        <w:t xml:space="preserve"> </w:t>
      </w:r>
      <w:r w:rsidR="00565588">
        <w:t xml:space="preserve"> </w:t>
      </w:r>
    </w:p>
    <w:p w:rsidR="00565588" w:rsidRDefault="00565588" w:rsidP="00BE1F1B">
      <w:r>
        <w:lastRenderedPageBreak/>
        <w:t xml:space="preserve">It is also possible to identify and then act to reform specific </w:t>
      </w:r>
      <w:r w:rsidR="00CF3168">
        <w:t>legislation</w:t>
      </w:r>
      <w:r>
        <w:t xml:space="preserve"> to address the source of concern directly.  For example</w:t>
      </w:r>
      <w:r w:rsidR="00880C20">
        <w:t>:</w:t>
      </w:r>
      <w:r>
        <w:t xml:space="preserve"> immunity </w:t>
      </w:r>
      <w:r w:rsidR="00880C20">
        <w:t xml:space="preserve">from competition laws </w:t>
      </w:r>
      <w:r>
        <w:t>can be withdrawn</w:t>
      </w:r>
      <w:r w:rsidR="00880C20">
        <w:t>,</w:t>
      </w:r>
      <w:r>
        <w:t xml:space="preserve">  </w:t>
      </w:r>
      <w:r w:rsidR="00880C20">
        <w:t>d</w:t>
      </w:r>
      <w:r>
        <w:t>eemed tax rates can be applied</w:t>
      </w:r>
      <w:r w:rsidR="00880C20">
        <w:t>, and</w:t>
      </w:r>
      <w:r>
        <w:t xml:space="preserve"> government businesses can be made subject to local planning </w:t>
      </w:r>
      <w:r w:rsidR="00880C20">
        <w:t xml:space="preserve">rules and </w:t>
      </w:r>
      <w:r>
        <w:t>authorities.</w:t>
      </w:r>
      <w:r w:rsidR="00CF3168">
        <w:t xml:space="preserve"> </w:t>
      </w:r>
    </w:p>
    <w:p w:rsidR="00CF3168" w:rsidRDefault="002670C4" w:rsidP="00BE1F1B">
      <w:r>
        <w:t>In</w:t>
      </w:r>
      <w:r w:rsidR="00CF3168">
        <w:t xml:space="preserve"> some jurisdictions government businesses are subject to the same rate of return as </w:t>
      </w:r>
      <w:r w:rsidR="00691B9B">
        <w:t>competitive</w:t>
      </w:r>
      <w:r w:rsidR="00CF3168">
        <w:t xml:space="preserve"> business</w:t>
      </w:r>
      <w:r w:rsidR="00A43083">
        <w:t>es</w:t>
      </w:r>
      <w:r w:rsidR="00CF3168">
        <w:t xml:space="preserve">.  There is also a more extensive set of policies based around identification and recognition of the full </w:t>
      </w:r>
      <w:r w:rsidR="00691B9B">
        <w:t>economic</w:t>
      </w:r>
      <w:r w:rsidR="00CF3168">
        <w:t xml:space="preserve"> cost </w:t>
      </w:r>
      <w:r w:rsidR="00691B9B">
        <w:t>attributable</w:t>
      </w:r>
      <w:r w:rsidR="00CF3168">
        <w:t xml:space="preserve"> to the product or service being delivered.  </w:t>
      </w:r>
    </w:p>
    <w:p w:rsidR="0048105C" w:rsidRDefault="00CF3168" w:rsidP="00BE1F1B">
      <w:r>
        <w:t>To be effective</w:t>
      </w:r>
      <w:r w:rsidR="00A43083">
        <w:t>,</w:t>
      </w:r>
      <w:r>
        <w:t xml:space="preserve"> policies such as these require the oversight</w:t>
      </w:r>
      <w:r w:rsidR="00DB6045">
        <w:t>,</w:t>
      </w:r>
      <w:r>
        <w:t xml:space="preserve"> monitoring and/or enforcement of a skilled</w:t>
      </w:r>
      <w:r w:rsidR="00880C20">
        <w:t xml:space="preserve"> and appropriately</w:t>
      </w:r>
      <w:r w:rsidR="00621687">
        <w:t xml:space="preserve"> </w:t>
      </w:r>
      <w:r w:rsidR="0048105C">
        <w:t>resourced</w:t>
      </w:r>
      <w:r>
        <w:t xml:space="preserve"> regulator.  </w:t>
      </w:r>
      <w:r w:rsidR="00621687">
        <w:t>T</w:t>
      </w:r>
      <w:r w:rsidR="0048105C">
        <w:t>ransparency</w:t>
      </w:r>
      <w:r>
        <w:t xml:space="preserve"> rules </w:t>
      </w:r>
      <w:r w:rsidR="0048105C">
        <w:t>and</w:t>
      </w:r>
      <w:r>
        <w:t xml:space="preserve"> accountability mechanisms around corporate governance </w:t>
      </w:r>
      <w:r w:rsidR="00621687">
        <w:t xml:space="preserve">should </w:t>
      </w:r>
      <w:r>
        <w:t xml:space="preserve">complement the regulatory oversight. </w:t>
      </w:r>
      <w:r w:rsidR="0048105C">
        <w:t xml:space="preserve"> </w:t>
      </w:r>
    </w:p>
    <w:p w:rsidR="0048105C" w:rsidRDefault="0048105C" w:rsidP="00BE1F1B">
      <w:r>
        <w:t xml:space="preserve">Many jurisdictions have several levels of government.  </w:t>
      </w:r>
      <w:r w:rsidR="00A43083">
        <w:t>I</w:t>
      </w:r>
      <w:r>
        <w:t xml:space="preserve">n Australia there are Commonwealth, State and local government entities reflecting national, regional and local arrangements.  Decisions need to be made by policy makers as to how far competitive neutrality policies need to </w:t>
      </w:r>
      <w:r w:rsidR="00691B9B">
        <w:t>descend</w:t>
      </w:r>
      <w:r>
        <w:t xml:space="preserve"> to be effective and for the benefits to outweigh the costs.  </w:t>
      </w:r>
      <w:r w:rsidR="00DA5706">
        <w:t xml:space="preserve">As noted previously, </w:t>
      </w:r>
      <w:r w:rsidR="00691B9B">
        <w:t>Commonwealth</w:t>
      </w:r>
      <w:r>
        <w:t xml:space="preserve"> government payments were </w:t>
      </w:r>
      <w:r w:rsidR="00DB3A40">
        <w:t>provided to</w:t>
      </w:r>
      <w:r>
        <w:t xml:space="preserve"> those </w:t>
      </w:r>
      <w:r w:rsidR="00691B9B">
        <w:t>Governments</w:t>
      </w:r>
      <w:r>
        <w:t xml:space="preserve"> that effectively addressed anti-</w:t>
      </w:r>
      <w:r w:rsidR="00691B9B">
        <w:t>competitive</w:t>
      </w:r>
      <w:r>
        <w:t xml:space="preserve"> </w:t>
      </w:r>
      <w:r w:rsidR="00691B9B">
        <w:t>elements</w:t>
      </w:r>
      <w:r>
        <w:t xml:space="preserve"> of their </w:t>
      </w:r>
      <w:r w:rsidR="00691B9B">
        <w:t>jurisdictional</w:t>
      </w:r>
      <w:r>
        <w:t xml:space="preserve"> legal and structural </w:t>
      </w:r>
      <w:r w:rsidR="00691B9B">
        <w:t>arrangements</w:t>
      </w:r>
      <w:r>
        <w:t>.</w:t>
      </w:r>
    </w:p>
    <w:p w:rsidR="00652BE0" w:rsidRDefault="00DA5706" w:rsidP="00BE1F1B">
      <w:r>
        <w:t>Following its recent election, t</w:t>
      </w:r>
      <w:r w:rsidR="0048105C">
        <w:t xml:space="preserve">he new Australian </w:t>
      </w:r>
      <w:r w:rsidR="00691B9B">
        <w:t>Commonwealth</w:t>
      </w:r>
      <w:r w:rsidR="0048105C">
        <w:t xml:space="preserve"> </w:t>
      </w:r>
      <w:r w:rsidR="00691B9B">
        <w:t>Government</w:t>
      </w:r>
      <w:r w:rsidR="0048105C">
        <w:t xml:space="preserve"> has initiated a broad </w:t>
      </w:r>
      <w:r w:rsidR="00691B9B">
        <w:t>ranging</w:t>
      </w:r>
      <w:r w:rsidR="0048105C">
        <w:t xml:space="preserve"> review of competition policy</w:t>
      </w:r>
      <w:r w:rsidR="00DB6045">
        <w:t>.</w:t>
      </w:r>
      <w:r w:rsidR="0048105C">
        <w:rPr>
          <w:rStyle w:val="FootnoteReference"/>
        </w:rPr>
        <w:footnoteReference w:id="13"/>
      </w:r>
      <w:r w:rsidR="0048105C">
        <w:t xml:space="preserve">  It is noteworthy that a number of </w:t>
      </w:r>
      <w:r w:rsidR="00652BE0">
        <w:t>submissions</w:t>
      </w:r>
      <w:r w:rsidR="0048105C">
        <w:t xml:space="preserve"> to the</w:t>
      </w:r>
      <w:r w:rsidR="00652BE0">
        <w:t xml:space="preserve"> review have raised competitive neutrality </w:t>
      </w:r>
      <w:r w:rsidR="00691B9B">
        <w:t>concerns</w:t>
      </w:r>
      <w:r w:rsidR="00DB3A40">
        <w:t>,</w:t>
      </w:r>
      <w:r w:rsidR="00652BE0">
        <w:t xml:space="preserve"> especially in the context of local Government procurement and </w:t>
      </w:r>
      <w:r w:rsidR="00691B9B">
        <w:t>operations</w:t>
      </w:r>
      <w:r w:rsidR="00652BE0">
        <w:t xml:space="preserve">.  </w:t>
      </w:r>
    </w:p>
    <w:p w:rsidR="00691B9B" w:rsidRDefault="00652BE0" w:rsidP="00BE1F1B">
      <w:r>
        <w:t xml:space="preserve">The </w:t>
      </w:r>
      <w:r w:rsidR="00691B9B">
        <w:t>Australian</w:t>
      </w:r>
      <w:r>
        <w:t xml:space="preserve"> competitive neutrality framework has no consequential penalties following a finding of breach of the rules.  With the demise of </w:t>
      </w:r>
      <w:r w:rsidR="00691B9B">
        <w:t>Commonwealth</w:t>
      </w:r>
      <w:r>
        <w:t xml:space="preserve"> payments to </w:t>
      </w:r>
      <w:r w:rsidR="00691B9B">
        <w:t>support</w:t>
      </w:r>
      <w:r>
        <w:t xml:space="preserve"> strong state action</w:t>
      </w:r>
      <w:r w:rsidR="00DB3A40">
        <w:t>,</w:t>
      </w:r>
      <w:r>
        <w:t xml:space="preserve"> it </w:t>
      </w:r>
      <w:r w:rsidR="00DB3A40">
        <w:t>has been</w:t>
      </w:r>
      <w:r>
        <w:t xml:space="preserve"> argued that the framework may be lacking the strong enforcement </w:t>
      </w:r>
      <w:r w:rsidR="00691B9B">
        <w:t>underpinning needed</w:t>
      </w:r>
      <w:r>
        <w:t xml:space="preserve"> to </w:t>
      </w:r>
      <w:r w:rsidR="00691B9B">
        <w:t>measure</w:t>
      </w:r>
      <w:r>
        <w:t xml:space="preserve"> progress.  </w:t>
      </w:r>
      <w:r w:rsidR="00691B9B">
        <w:t xml:space="preserve">On the other hand, as noted by </w:t>
      </w:r>
      <w:proofErr w:type="spellStart"/>
      <w:r w:rsidR="00691B9B">
        <w:t>Capobianco</w:t>
      </w:r>
      <w:proofErr w:type="spellEnd"/>
      <w:r w:rsidR="00691B9B">
        <w:t xml:space="preserve"> and Christiansen</w:t>
      </w:r>
      <w:r w:rsidR="00D862A7">
        <w:t>,</w:t>
      </w:r>
      <w:r w:rsidR="00DB6045">
        <w:t xml:space="preserve"> </w:t>
      </w:r>
      <w:r w:rsidR="00EE7DB7">
        <w:t xml:space="preserve">Australian competitive neutrality policy </w:t>
      </w:r>
      <w:r w:rsidR="00691B9B">
        <w:t xml:space="preserve">has been recognised as being effective as “(1) it deepened reform of public enterprises </w:t>
      </w:r>
      <w:r w:rsidR="00EE7DB7">
        <w:t>i</w:t>
      </w:r>
      <w:r w:rsidR="00691B9B">
        <w:t xml:space="preserve">n Australia; (2) it has been implemented by large </w:t>
      </w:r>
      <w:r w:rsidR="00DB6045">
        <w:t>government businesses</w:t>
      </w:r>
      <w:r w:rsidR="00691B9B">
        <w:t>, which led to significant efficiency gains; and (3) it substantially eliminated the advantages of government ownership”.</w:t>
      </w:r>
      <w:r w:rsidR="00691B9B">
        <w:rPr>
          <w:rStyle w:val="FootnoteReference"/>
        </w:rPr>
        <w:footnoteReference w:id="14"/>
      </w:r>
      <w:r w:rsidR="00691B9B">
        <w:t xml:space="preserve">  </w:t>
      </w:r>
    </w:p>
    <w:p w:rsidR="00F73BBC" w:rsidRPr="00F73BBC" w:rsidRDefault="00F73BBC" w:rsidP="006C6659">
      <w:pPr>
        <w:pStyle w:val="Heading3"/>
      </w:pPr>
      <w:r w:rsidRPr="00F73BBC">
        <w:t>Pricing</w:t>
      </w:r>
    </w:p>
    <w:p w:rsidR="00F73BBC" w:rsidRDefault="001F44C2" w:rsidP="00BE1F1B">
      <w:r>
        <w:t xml:space="preserve">Where it is not feasible to use structural solutions to address competitive </w:t>
      </w:r>
      <w:r w:rsidR="005002F2">
        <w:t>neutrality</w:t>
      </w:r>
      <w:r>
        <w:t xml:space="preserve"> </w:t>
      </w:r>
      <w:r w:rsidR="00EC4CD9">
        <w:t>concerns</w:t>
      </w:r>
      <w:r w:rsidR="00DB3A40">
        <w:t>,</w:t>
      </w:r>
      <w:r>
        <w:t xml:space="preserve"> ensuring that </w:t>
      </w:r>
      <w:r w:rsidR="00EC4CD9">
        <w:t>goods and services reflect true cost becomes an important objective.  Pricing may be overseen by a regulatory agency or be part of a transparent audit program where accounting separation is enforced through high visibility accounts and reports.</w:t>
      </w:r>
    </w:p>
    <w:p w:rsidR="00EC4CD9" w:rsidRDefault="00EC4CD9" w:rsidP="00BE1F1B">
      <w:r>
        <w:t>Where businesses undertake commercial activities and have shared assets</w:t>
      </w:r>
      <w:r w:rsidR="00DB3A40">
        <w:t>,</w:t>
      </w:r>
      <w:r>
        <w:t xml:space="preserve"> either within their own structure or with other parts of government</w:t>
      </w:r>
      <w:r w:rsidR="00DB3A40">
        <w:t>,</w:t>
      </w:r>
      <w:r>
        <w:t xml:space="preserve"> then cost allocation is essential in attempting to achieve competitive neutrality.  </w:t>
      </w:r>
      <w:r w:rsidR="005002F2">
        <w:t>This is especially so when the businesses have the ability to cross subsidies between the government</w:t>
      </w:r>
      <w:r w:rsidR="00DB3A40">
        <w:t>-</w:t>
      </w:r>
      <w:r w:rsidR="005002F2">
        <w:t xml:space="preserve">supported or subsidised aspects of their operations and those affecting commercial rivals.  </w:t>
      </w:r>
    </w:p>
    <w:p w:rsidR="005002F2" w:rsidRDefault="005002F2" w:rsidP="00BE1F1B">
      <w:r>
        <w:t>Full cost attribution helps to ensure that private operators are not disadvantaged due to the government owned businesses being able to internal</w:t>
      </w:r>
      <w:r w:rsidR="00621687">
        <w:t>ise</w:t>
      </w:r>
      <w:r>
        <w:t xml:space="preserve"> costs and to undertake its commercial activities subject to</w:t>
      </w:r>
      <w:r w:rsidR="00BF6A40">
        <w:t xml:space="preserve"> a</w:t>
      </w:r>
      <w:r>
        <w:t xml:space="preserve"> lesser </w:t>
      </w:r>
      <w:r w:rsidR="00621687">
        <w:t xml:space="preserve">set of </w:t>
      </w:r>
      <w:r>
        <w:t xml:space="preserve">incentives than </w:t>
      </w:r>
      <w:r w:rsidR="00621687">
        <w:t>a</w:t>
      </w:r>
      <w:r>
        <w:t xml:space="preserve"> private business.  For example, the publicly owned and operated business may well have incentives that reward increased market share over profits</w:t>
      </w:r>
      <w:r w:rsidR="00BF6A40">
        <w:t>.</w:t>
      </w:r>
      <w:r>
        <w:t xml:space="preserve"> </w:t>
      </w:r>
      <w:r w:rsidR="00BF6A40">
        <w:t>I</w:t>
      </w:r>
      <w:r>
        <w:t>n that respect</w:t>
      </w:r>
      <w:r w:rsidR="00BF6A40">
        <w:t>,</w:t>
      </w:r>
      <w:r>
        <w:t xml:space="preserve"> </w:t>
      </w:r>
      <w:r w:rsidR="00621687">
        <w:t>competition</w:t>
      </w:r>
      <w:r>
        <w:t xml:space="preserve"> </w:t>
      </w:r>
      <w:r w:rsidR="00621687">
        <w:t>may be</w:t>
      </w:r>
      <w:r>
        <w:t xml:space="preserve"> reduced due to the </w:t>
      </w:r>
      <w:r>
        <w:lastRenderedPageBreak/>
        <w:t>lack of that profit incentive</w:t>
      </w:r>
      <w:r w:rsidR="00BF6A40">
        <w:t>,</w:t>
      </w:r>
      <w:r w:rsidR="00621687">
        <w:t xml:space="preserve"> as the government enterprise prices at a level under what would be a normal competitive price.</w:t>
      </w:r>
    </w:p>
    <w:p w:rsidR="005002F2" w:rsidRDefault="005002F2" w:rsidP="00BE1F1B">
      <w:r>
        <w:t>Policies that include full cost reflective pricing are likely to account for direct costs such as pensions, wages, accommodation and implicit costs in regard to taxes and other regulatory charges.  They may also include debt, equity and commercial rate of return targets that are identified in financial targets and plans agreed by Minsters or responsible departments.</w:t>
      </w:r>
    </w:p>
    <w:p w:rsidR="005002F2" w:rsidRPr="0059177F" w:rsidRDefault="00524FC2" w:rsidP="006C6659">
      <w:pPr>
        <w:pStyle w:val="Heading3"/>
      </w:pPr>
      <w:r w:rsidRPr="0059177F">
        <w:t>Procurement</w:t>
      </w:r>
      <w:r w:rsidR="009F09DB" w:rsidRPr="0059177F">
        <w:t xml:space="preserve"> </w:t>
      </w:r>
    </w:p>
    <w:p w:rsidR="00DE7257" w:rsidRDefault="00DE7257" w:rsidP="00BE1F1B">
      <w:r>
        <w:t>As noted earlier in the paper</w:t>
      </w:r>
      <w:r w:rsidR="00BF6A40">
        <w:t>,</w:t>
      </w:r>
      <w:r>
        <w:t xml:space="preserve"> procurement </w:t>
      </w:r>
      <w:r w:rsidR="00141E92">
        <w:t>rules</w:t>
      </w:r>
      <w:r>
        <w:t xml:space="preserve"> can </w:t>
      </w:r>
      <w:r w:rsidR="00141E92">
        <w:t>sometimes</w:t>
      </w:r>
      <w:r>
        <w:t xml:space="preserve"> lead to government businesses being put at a disadvantage compared to private sector </w:t>
      </w:r>
      <w:r w:rsidR="00141E92">
        <w:t>competitors</w:t>
      </w:r>
      <w:r>
        <w:t xml:space="preserve">.  In the alternative, there has been substantial consideration given to the situation whereby the government business is actually advantaged in procurement processes due to its ownership and associated links.  </w:t>
      </w:r>
    </w:p>
    <w:p w:rsidR="00267379" w:rsidRDefault="00EC5AD3" w:rsidP="00BE1F1B">
      <w:r>
        <w:t xml:space="preserve">Procurement has attracted the attention off policy makers and </w:t>
      </w:r>
      <w:r w:rsidR="00141E92">
        <w:t>regulators</w:t>
      </w:r>
      <w:r>
        <w:t xml:space="preserve"> in the context of competitive neutrality</w:t>
      </w:r>
      <w:r w:rsidR="00BF6A40">
        <w:t>,</w:t>
      </w:r>
      <w:r>
        <w:t xml:space="preserve"> as outsourcing through tender processes has </w:t>
      </w:r>
      <w:r w:rsidR="00267379">
        <w:t xml:space="preserve">fundamentally </w:t>
      </w:r>
      <w:r>
        <w:t>altered the service delivery model in many traditional public sector markets.  The</w:t>
      </w:r>
      <w:r w:rsidR="00267379">
        <w:t xml:space="preserve"> situation </w:t>
      </w:r>
      <w:r w:rsidR="00141E92">
        <w:t>in</w:t>
      </w:r>
      <w:r w:rsidR="00267379">
        <w:t xml:space="preserve"> which a government business procures services in-house is </w:t>
      </w:r>
      <w:r w:rsidR="00141E92">
        <w:t>especially</w:t>
      </w:r>
      <w:r w:rsidR="00267379">
        <w:t xml:space="preserve"> problematic in </w:t>
      </w:r>
      <w:r w:rsidR="00621687">
        <w:t>terms</w:t>
      </w:r>
      <w:r w:rsidR="00267379">
        <w:t xml:space="preserve"> of </w:t>
      </w:r>
      <w:r w:rsidR="00141E92">
        <w:t>achieving</w:t>
      </w:r>
      <w:r w:rsidR="00267379">
        <w:t xml:space="preserve"> </w:t>
      </w:r>
      <w:r w:rsidR="00141E92">
        <w:t>efficient</w:t>
      </w:r>
      <w:r w:rsidR="00267379">
        <w:t xml:space="preserve"> outcomes for taxpayers and the </w:t>
      </w:r>
      <w:r w:rsidR="00141E92">
        <w:t>economy</w:t>
      </w:r>
      <w:r w:rsidR="00267379">
        <w:t xml:space="preserve">.  Markets can be </w:t>
      </w:r>
      <w:r w:rsidR="00141E92">
        <w:t xml:space="preserve">held back </w:t>
      </w:r>
      <w:r w:rsidR="00267379">
        <w:t xml:space="preserve">due to the inability of potential providers to gain a commercial foothold due to the </w:t>
      </w:r>
      <w:r w:rsidR="00141E92">
        <w:t>advantages</w:t>
      </w:r>
      <w:r w:rsidR="00267379">
        <w:t xml:space="preserve"> the government business is able to obtain.</w:t>
      </w:r>
    </w:p>
    <w:p w:rsidR="00141E92" w:rsidRDefault="00141E92" w:rsidP="00BE1F1B">
      <w:r>
        <w:t>Incumbents</w:t>
      </w:r>
      <w:r w:rsidR="00267379">
        <w:t xml:space="preserve"> may benefit f</w:t>
      </w:r>
      <w:r>
        <w:t>ro</w:t>
      </w:r>
      <w:r w:rsidR="00267379">
        <w:t xml:space="preserve">m information, contacts and </w:t>
      </w:r>
      <w:r>
        <w:t>access</w:t>
      </w:r>
      <w:r w:rsidR="00267379">
        <w:t xml:space="preserve"> to data that provides them with a competitive advantage un</w:t>
      </w:r>
      <w:r>
        <w:t>related</w:t>
      </w:r>
      <w:r w:rsidR="00267379">
        <w:t xml:space="preserve"> to their own capabilities.</w:t>
      </w:r>
      <w:r>
        <w:t xml:space="preserve">   A lack of openness and visibility may undermine the integrity of the procurement practices</w:t>
      </w:r>
      <w:r w:rsidR="00BF6A40">
        <w:t>,</w:t>
      </w:r>
      <w:r>
        <w:t xml:space="preserve"> leading to differences in treatment and/or opportunity based on ownership.</w:t>
      </w:r>
    </w:p>
    <w:p w:rsidR="00141E92" w:rsidRDefault="00141E92" w:rsidP="00BE1F1B">
      <w:r>
        <w:t>Discrimination can often be overcome through stronger and enforceable rules and regulations based on transparent processes.  Practical measures such as independent tender boards and probity advisors can provide significant confidence to participants, especially when competing with government entities that may well be advantaged based on implicit preferences that are unclear to the rest of the market.</w:t>
      </w:r>
    </w:p>
    <w:p w:rsidR="00DE7257" w:rsidRDefault="00267379" w:rsidP="00BE1F1B">
      <w:r>
        <w:t xml:space="preserve">  </w:t>
      </w:r>
      <w:r w:rsidR="00EC5AD3">
        <w:t xml:space="preserve"> </w:t>
      </w:r>
      <w:r w:rsidR="00DE7257">
        <w:t xml:space="preserve">    </w:t>
      </w:r>
    </w:p>
    <w:p w:rsidR="002670C4" w:rsidRPr="005C0C3B" w:rsidRDefault="002670C4" w:rsidP="006C6659">
      <w:pPr>
        <w:pStyle w:val="Heading2"/>
      </w:pPr>
      <w:r w:rsidRPr="005C0C3B">
        <w:t>Departures f</w:t>
      </w:r>
      <w:r w:rsidR="001448CC" w:rsidRPr="005C0C3B">
        <w:t>ro</w:t>
      </w:r>
      <w:r w:rsidRPr="005C0C3B">
        <w:t>m Competitive Neutrality</w:t>
      </w:r>
      <w:r w:rsidR="00691B9B" w:rsidRPr="005C0C3B">
        <w:t xml:space="preserve"> </w:t>
      </w:r>
    </w:p>
    <w:p w:rsidR="001448CC" w:rsidRDefault="002670C4" w:rsidP="00BE1F1B">
      <w:r>
        <w:t xml:space="preserve">Community service </w:t>
      </w:r>
      <w:r w:rsidR="001448CC">
        <w:t>obligations</w:t>
      </w:r>
      <w:r>
        <w:t xml:space="preserve"> </w:t>
      </w:r>
      <w:r w:rsidR="001448CC">
        <w:t>(CSOs)</w:t>
      </w:r>
      <w:r w:rsidR="00AC66D8">
        <w:t>,</w:t>
      </w:r>
      <w:r w:rsidR="001448CC">
        <w:t xml:space="preserve"> or public service </w:t>
      </w:r>
      <w:r w:rsidR="005541F4">
        <w:t>responsibilities</w:t>
      </w:r>
      <w:r w:rsidR="00AC66D8">
        <w:t>,</w:t>
      </w:r>
      <w:r w:rsidR="001448CC">
        <w:t xml:space="preserve"> are often referenced as reasons for supporting decisions by government to move away from competitive neutrality </w:t>
      </w:r>
      <w:r w:rsidR="005541F4">
        <w:t>principles</w:t>
      </w:r>
      <w:r w:rsidR="001448CC">
        <w:t>.  It is likely that where there are genuine CSOs</w:t>
      </w:r>
      <w:r w:rsidR="00AC66D8">
        <w:t>,</w:t>
      </w:r>
      <w:r w:rsidR="001448CC">
        <w:t xml:space="preserve"> clarity around objectives of the </w:t>
      </w:r>
      <w:r w:rsidR="00D15E0E">
        <w:t>businesses</w:t>
      </w:r>
      <w:r w:rsidR="001448CC">
        <w:t xml:space="preserve"> delivering the </w:t>
      </w:r>
      <w:r w:rsidR="00D15E0E">
        <w:t>service</w:t>
      </w:r>
      <w:r w:rsidR="001448CC">
        <w:t xml:space="preserve"> and transparency in regards to pricing, reporting and accountability will provide significant assurance to the market as to the </w:t>
      </w:r>
      <w:r w:rsidR="005541F4">
        <w:t>appropriateness</w:t>
      </w:r>
      <w:r w:rsidR="001448CC">
        <w:t xml:space="preserve"> o</w:t>
      </w:r>
      <w:r w:rsidR="00D15E0E">
        <w:t>r</w:t>
      </w:r>
      <w:r w:rsidR="001448CC">
        <w:t xml:space="preserve"> otherwise of delivery.  Cross subsidisation for example should be able to be addressed</w:t>
      </w:r>
      <w:r w:rsidR="00EE7DB7">
        <w:t>,</w:t>
      </w:r>
      <w:r w:rsidR="001448CC">
        <w:t xml:space="preserve"> overcoming a major risk to competitive markets.</w:t>
      </w:r>
    </w:p>
    <w:p w:rsidR="005541F4" w:rsidRDefault="001448CC" w:rsidP="00BE1F1B">
      <w:r>
        <w:t xml:space="preserve">Government run businesses have also been used as arms of industry policy in many countries.  The notion of national </w:t>
      </w:r>
      <w:r w:rsidR="00D15E0E">
        <w:t xml:space="preserve">champions </w:t>
      </w:r>
      <w:r w:rsidR="005541F4">
        <w:t>is closely linked to arguments in support of allowing government business to continue to benefit from special advantages flowing form government ownership.  This can be reflected domestically</w:t>
      </w:r>
      <w:r w:rsidR="00AC66D8">
        <w:t>,</w:t>
      </w:r>
      <w:r w:rsidR="005541F4">
        <w:t xml:space="preserve"> through </w:t>
      </w:r>
      <w:r w:rsidR="00AC66D8">
        <w:t>cushioning</w:t>
      </w:r>
      <w:r w:rsidR="005541F4">
        <w:t xml:space="preserve"> the domestic entity from competition </w:t>
      </w:r>
      <w:r w:rsidR="00EE7DB7">
        <w:t xml:space="preserve">from </w:t>
      </w:r>
      <w:r w:rsidR="005541F4">
        <w:t>new entrants</w:t>
      </w:r>
      <w:r w:rsidR="00AC66D8">
        <w:t>,</w:t>
      </w:r>
      <w:r w:rsidR="005541F4">
        <w:t xml:space="preserve"> and</w:t>
      </w:r>
      <w:r w:rsidR="00AC66D8">
        <w:t xml:space="preserve"> also</w:t>
      </w:r>
      <w:r w:rsidR="005541F4">
        <w:t xml:space="preserve"> internationally.  The latter has become much more of a focus as countries develop strong export oriented businesses that operate either directly or indirectly under the auspices of the home market government.  </w:t>
      </w:r>
    </w:p>
    <w:p w:rsidR="00B647B3" w:rsidRDefault="002368F1" w:rsidP="00BE1F1B">
      <w:r>
        <w:t>Government businesses often play a fundamental role in developing economies</w:t>
      </w:r>
      <w:r w:rsidR="00AC66D8">
        <w:t>,</w:t>
      </w:r>
      <w:r>
        <w:t xml:space="preserve"> having special rights in regard to protection from rules and </w:t>
      </w:r>
      <w:r w:rsidR="00B647B3">
        <w:t>regulations</w:t>
      </w:r>
      <w:r>
        <w:t xml:space="preserve"> that private companies would normally be required to observe.  There are risks that countries may use their government businesses to further broader industry policy objectives and to provide such things as </w:t>
      </w:r>
      <w:r w:rsidR="00B647B3">
        <w:lastRenderedPageBreak/>
        <w:t>concessionary</w:t>
      </w:r>
      <w:r>
        <w:t xml:space="preserve"> finance, fina</w:t>
      </w:r>
      <w:r w:rsidR="00B647B3">
        <w:t>n</w:t>
      </w:r>
      <w:r>
        <w:t xml:space="preserve">ce </w:t>
      </w:r>
      <w:r w:rsidR="00B647B3">
        <w:t>guarantees</w:t>
      </w:r>
      <w:r w:rsidR="00EE7DB7">
        <w:t xml:space="preserve"> or</w:t>
      </w:r>
      <w:r>
        <w:t xml:space="preserve"> </w:t>
      </w:r>
      <w:r w:rsidR="00B647B3">
        <w:t>regulatory</w:t>
      </w:r>
      <w:r>
        <w:t xml:space="preserve"> holidays</w:t>
      </w:r>
      <w:r w:rsidR="00B647B3">
        <w:t>.  If investments into international markets are not based on commercial economic factors then distortions are likely to occur as the government supported business crowds out other private competitors.</w:t>
      </w:r>
    </w:p>
    <w:p w:rsidR="00F73BBC" w:rsidRDefault="00F73BBC" w:rsidP="00BE1F1B"/>
    <w:p w:rsidR="00B647B3" w:rsidRPr="005C0C3B" w:rsidRDefault="00F73BBC" w:rsidP="006C6659">
      <w:pPr>
        <w:pStyle w:val="Heading2"/>
      </w:pPr>
      <w:r>
        <w:t xml:space="preserve">Role of </w:t>
      </w:r>
      <w:r w:rsidR="00BF6A40">
        <w:t>g</w:t>
      </w:r>
      <w:r w:rsidR="000E79D2" w:rsidRPr="005C0C3B">
        <w:t>overnance</w:t>
      </w:r>
    </w:p>
    <w:p w:rsidR="00B647B3" w:rsidRDefault="000E79D2" w:rsidP="00740D8A">
      <w:pPr>
        <w:keepNext/>
      </w:pPr>
      <w:r>
        <w:t>A</w:t>
      </w:r>
      <w:r w:rsidR="00B647B3">
        <w:t xml:space="preserve"> significant number of jurisdictions have taken steps to ensure that government businesses are subject to competition laws and address other aspects of competitive neutrality</w:t>
      </w:r>
      <w:r>
        <w:t xml:space="preserve"> (see the ICN Report referenced in the introduction)</w:t>
      </w:r>
      <w:r w:rsidR="00B647B3">
        <w:t xml:space="preserve">.  Given the obvious disparity between countries in their </w:t>
      </w:r>
      <w:r w:rsidR="00AE4D5D">
        <w:t>stages</w:t>
      </w:r>
      <w:r w:rsidR="00B647B3">
        <w:t xml:space="preserve"> of development</w:t>
      </w:r>
      <w:r w:rsidR="00740D8A">
        <w:t xml:space="preserve">, </w:t>
      </w:r>
      <w:r w:rsidR="00B647B3">
        <w:t xml:space="preserve">especially in regard to the maturity of their competition law, differences undoubtedly exist between countries.  The reports noted in this discussion paper </w:t>
      </w:r>
      <w:r w:rsidR="00AE4D5D">
        <w:t>point to significant work undertaken and underway to identify and address concerns where the risk of market distortions and negative impacts on economic welfare are likely.</w:t>
      </w:r>
    </w:p>
    <w:p w:rsidR="00AE4D5D" w:rsidRDefault="00AE4D5D" w:rsidP="00BE1F1B">
      <w:r>
        <w:t xml:space="preserve">UNCTAD, for example, has recently published a report that notes </w:t>
      </w:r>
      <w:r w:rsidR="00621687">
        <w:t xml:space="preserve">many if not all </w:t>
      </w:r>
      <w:r>
        <w:t>respondents to the Competitive Neutrality Project are at some major stage of reform through corporatisation.  This has followed a significant process of privatisation, especially in developed economies.  In line with these processes</w:t>
      </w:r>
      <w:r w:rsidR="00086FE5">
        <w:t>,</w:t>
      </w:r>
      <w:r>
        <w:t xml:space="preserve"> there is often a commitment to improved governance</w:t>
      </w:r>
      <w:r w:rsidR="00086FE5">
        <w:t xml:space="preserve"> consistent with that</w:t>
      </w:r>
      <w:r>
        <w:t xml:space="preserve"> found in private sector </w:t>
      </w:r>
      <w:r w:rsidR="0062489E">
        <w:t>corporates</w:t>
      </w:r>
      <w:r>
        <w:t xml:space="preserve">.  Public audit processes and more professional and independent Boards of Directors are examples of policies being implemented to build confidence in the operation of </w:t>
      </w:r>
      <w:r w:rsidR="0062489E">
        <w:t>state</w:t>
      </w:r>
      <w:r>
        <w:t xml:space="preserve"> businesses</w:t>
      </w:r>
      <w:r w:rsidR="00086FE5">
        <w:t>.</w:t>
      </w:r>
      <w:r>
        <w:t xml:space="preserve"> </w:t>
      </w:r>
      <w:r w:rsidR="00086FE5">
        <w:t xml:space="preserve"> These measures provide some level of</w:t>
      </w:r>
      <w:r>
        <w:t xml:space="preserve"> assur</w:t>
      </w:r>
      <w:r w:rsidR="00086FE5">
        <w:t>ance to</w:t>
      </w:r>
      <w:r>
        <w:t xml:space="preserve"> potential a</w:t>
      </w:r>
      <w:r w:rsidR="0062489E">
        <w:t>n</w:t>
      </w:r>
      <w:r>
        <w:t xml:space="preserve">d actual </w:t>
      </w:r>
      <w:r w:rsidR="0062489E">
        <w:t>competitors</w:t>
      </w:r>
      <w:r>
        <w:t xml:space="preserve"> </w:t>
      </w:r>
      <w:r w:rsidR="0062489E">
        <w:t>that they will not be disadvantaged in the markets in which they may compete.</w:t>
      </w:r>
    </w:p>
    <w:p w:rsidR="000E79D2" w:rsidRDefault="00037CD1" w:rsidP="00BE1F1B">
      <w:r>
        <w:t>Governance includes independent Boards with experienced, professional directors; Government ownership separate from the day-to-day operations of the business; clarity of objectives, both commercial and where appropriate non-commercial (or social); commercial audit processes; and performance and financial reporting requirements th</w:t>
      </w:r>
      <w:r w:rsidR="00621687">
        <w:t>at are enforced and adhered to.</w:t>
      </w:r>
      <w:r w:rsidR="00FD25E7">
        <w:t xml:space="preserve"> Norway</w:t>
      </w:r>
      <w:r w:rsidR="00621687">
        <w:t xml:space="preserve">, for example, </w:t>
      </w:r>
      <w:r w:rsidR="00FD25E7">
        <w:t xml:space="preserve">has no specific competitive neutrality policy </w:t>
      </w:r>
      <w:r w:rsidR="00621687">
        <w:t xml:space="preserve">but </w:t>
      </w:r>
      <w:r w:rsidR="00FD25E7">
        <w:t>does have in place a set of practices around corporate governance which include equal treatment of shareholders, transparency, and a focus on the board, its exercise of control and independence.</w:t>
      </w:r>
      <w:r w:rsidR="00FD25E7">
        <w:rPr>
          <w:rStyle w:val="FootnoteReference"/>
        </w:rPr>
        <w:footnoteReference w:id="15"/>
      </w:r>
      <w:r>
        <w:t xml:space="preserve"> </w:t>
      </w:r>
    </w:p>
    <w:p w:rsidR="00FD25E7" w:rsidRDefault="00FD25E7" w:rsidP="00BE1F1B">
      <w:r>
        <w:t>The OECD’s 2005 Guidelines on Corporate Governance of State-owned Enterprises are often quoted in discussions of governance and its role in addressing issues of competitive neutrality</w:t>
      </w:r>
      <w:r w:rsidR="00086FE5">
        <w:t xml:space="preserve">. These guidelines advocate </w:t>
      </w:r>
      <w:proofErr w:type="gramStart"/>
      <w:r w:rsidR="00086FE5">
        <w:t>for</w:t>
      </w:r>
      <w:r>
        <w:t xml:space="preserve">  a</w:t>
      </w:r>
      <w:proofErr w:type="gramEnd"/>
      <w:r>
        <w:t xml:space="preserve"> strong governance framework rooted in transparency, performance reporting and clarity around roles and objectives with clear lines of separation and responsibilities between management, Boards and Government ownership. </w:t>
      </w:r>
    </w:p>
    <w:p w:rsidR="000F5406" w:rsidRPr="005C0C3B" w:rsidRDefault="0062489E" w:rsidP="006C6659">
      <w:pPr>
        <w:pStyle w:val="Heading2"/>
      </w:pPr>
      <w:r w:rsidRPr="005C0C3B">
        <w:t>Conclusion</w:t>
      </w:r>
    </w:p>
    <w:p w:rsidR="000F5406" w:rsidRDefault="000F5406" w:rsidP="00BE1F1B">
      <w:r w:rsidRPr="000F5406">
        <w:t xml:space="preserve">Policy makers have long been concerned with the </w:t>
      </w:r>
      <w:r>
        <w:t>potential for government businesses (or State Owned Enterprises) to distort otherwise competitive markets</w:t>
      </w:r>
      <w:r w:rsidR="00DC5AC2">
        <w:t>,</w:t>
      </w:r>
      <w:r>
        <w:t xml:space="preserve"> due to benefits obtained through government ownership and/or specific regulatory and legal immunities.  A substantial amount of work has been undertaken across a range of countries and organisations to identify the challenges and provide a path to reform and to additional lines of research that could be undertaken.</w:t>
      </w:r>
    </w:p>
    <w:p w:rsidR="003F4D32" w:rsidRDefault="000B5C50" w:rsidP="00BE1F1B">
      <w:r>
        <w:t>Advantages</w:t>
      </w:r>
      <w:r w:rsidR="00DC5AC2">
        <w:t xml:space="preserve"> of government ownership</w:t>
      </w:r>
      <w:r w:rsidR="000F5406">
        <w:t xml:space="preserve"> could include credit finance, overt support from government </w:t>
      </w:r>
      <w:r>
        <w:t>departments</w:t>
      </w:r>
      <w:r w:rsidR="000F5406">
        <w:t xml:space="preserve"> in regard to information</w:t>
      </w:r>
      <w:r w:rsidR="003F4D32">
        <w:t xml:space="preserve"> and policy support</w:t>
      </w:r>
      <w:r w:rsidR="000F5406">
        <w:t xml:space="preserve">, immunity from taxes and </w:t>
      </w:r>
      <w:r>
        <w:t>competition</w:t>
      </w:r>
      <w:r w:rsidR="000F5406">
        <w:t xml:space="preserve"> laws, </w:t>
      </w:r>
      <w:r w:rsidR="003F4D32">
        <w:t xml:space="preserve">protection from bankruptcy and lack of requirements to meet audit and </w:t>
      </w:r>
      <w:r w:rsidR="003F4D32">
        <w:lastRenderedPageBreak/>
        <w:t>other statutory accounting requirements.  Disadvantages can come in the form of community or public service obligations, pressure to meet government requirements in regard to strategic decision making and management roles, and pressure to support government policies that may impede usual commercial operating practises.</w:t>
      </w:r>
    </w:p>
    <w:p w:rsidR="003F4D32" w:rsidRDefault="003F4D32" w:rsidP="00BE1F1B">
      <w:r>
        <w:t xml:space="preserve">Substantial work has already been undertaken to address issues </w:t>
      </w:r>
      <w:r w:rsidR="00DC5AC2">
        <w:t>a</w:t>
      </w:r>
      <w:r>
        <w:t xml:space="preserve">rising </w:t>
      </w:r>
      <w:r w:rsidR="008B5D4D">
        <w:t xml:space="preserve">from </w:t>
      </w:r>
      <w:r>
        <w:t>government ownership that may lead to distortions in the market and reduce the welfare of citizens.  However, there are a number of areas</w:t>
      </w:r>
      <w:r w:rsidR="00DC5AC2">
        <w:t>,</w:t>
      </w:r>
      <w:r>
        <w:t xml:space="preserve"> especially in regards to government businesses operating in international markets</w:t>
      </w:r>
      <w:r w:rsidR="00DC5AC2">
        <w:t>,</w:t>
      </w:r>
      <w:r>
        <w:t xml:space="preserve"> where private business is concerned at the potential for government support to undermine the competitiveness of private sector companies operating in the same environment.</w:t>
      </w:r>
    </w:p>
    <w:p w:rsidR="00175BC9" w:rsidRPr="00F53A29" w:rsidRDefault="00AE4D5D" w:rsidP="00F53A29">
      <w:pPr>
        <w:tabs>
          <w:tab w:val="left" w:pos="6031"/>
        </w:tabs>
      </w:pPr>
      <w:r w:rsidRPr="000F5406">
        <w:t xml:space="preserve">   </w:t>
      </w:r>
      <w:r w:rsidR="00F53A29">
        <w:tab/>
      </w:r>
    </w:p>
    <w:sectPr w:rsidR="00175BC9" w:rsidRPr="00F53A29" w:rsidSect="002C7517">
      <w:footerReference w:type="default" r:id="rId9"/>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78C3" w:rsidRDefault="005B78C3" w:rsidP="00E52090">
      <w:pPr>
        <w:spacing w:before="0"/>
      </w:pPr>
      <w:r>
        <w:separator/>
      </w:r>
    </w:p>
  </w:endnote>
  <w:endnote w:type="continuationSeparator" w:id="0">
    <w:p w:rsidR="005B78C3" w:rsidRDefault="005B78C3" w:rsidP="00E5209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Lucida Fax">
    <w:panose1 w:val="0206060205050502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2304892"/>
      <w:docPartObj>
        <w:docPartGallery w:val="Page Numbers (Bottom of Page)"/>
        <w:docPartUnique/>
      </w:docPartObj>
    </w:sdtPr>
    <w:sdtEndPr>
      <w:rPr>
        <w:noProof/>
      </w:rPr>
    </w:sdtEndPr>
    <w:sdtContent>
      <w:p w:rsidR="00F53A29" w:rsidRDefault="00F53A29">
        <w:pPr>
          <w:pStyle w:val="Footer"/>
          <w:jc w:val="center"/>
        </w:pPr>
        <w:r>
          <w:fldChar w:fldCharType="begin"/>
        </w:r>
        <w:r>
          <w:instrText xml:space="preserve"> PAGE   \* MERGEFORMAT </w:instrText>
        </w:r>
        <w:r>
          <w:fldChar w:fldCharType="separate"/>
        </w:r>
        <w:r w:rsidR="008317B7">
          <w:rPr>
            <w:noProof/>
          </w:rPr>
          <w:t>1</w:t>
        </w:r>
        <w:r>
          <w:rPr>
            <w:noProof/>
          </w:rPr>
          <w:fldChar w:fldCharType="end"/>
        </w:r>
      </w:p>
    </w:sdtContent>
  </w:sdt>
  <w:p w:rsidR="00F53A29" w:rsidRDefault="00F53A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78C3" w:rsidRDefault="005B78C3" w:rsidP="00E52090">
      <w:pPr>
        <w:spacing w:before="0"/>
      </w:pPr>
      <w:r>
        <w:separator/>
      </w:r>
    </w:p>
  </w:footnote>
  <w:footnote w:type="continuationSeparator" w:id="0">
    <w:p w:rsidR="005B78C3" w:rsidRDefault="005B78C3" w:rsidP="00E52090">
      <w:pPr>
        <w:spacing w:before="0"/>
      </w:pPr>
      <w:r>
        <w:continuationSeparator/>
      </w:r>
    </w:p>
  </w:footnote>
  <w:footnote w:id="1">
    <w:p w:rsidR="00524FC2" w:rsidRDefault="00524FC2">
      <w:pPr>
        <w:pStyle w:val="FootnoteText"/>
      </w:pPr>
      <w:r>
        <w:rPr>
          <w:rStyle w:val="FootnoteReference"/>
        </w:rPr>
        <w:footnoteRef/>
      </w:r>
      <w:r>
        <w:t xml:space="preserve"> While this discussion paper is focused on private v public ownership tensions</w:t>
      </w:r>
      <w:r w:rsidR="00BB4964">
        <w:t>,</w:t>
      </w:r>
      <w:r>
        <w:t xml:space="preserve"> some commentators view competitive neutrality as much broader</w:t>
      </w:r>
      <w:r w:rsidR="003D7C17">
        <w:t>.</w:t>
      </w:r>
      <w:r>
        <w:t xml:space="preserve"> </w:t>
      </w:r>
      <w:r w:rsidR="003D7C17">
        <w:t>T</w:t>
      </w:r>
      <w:r>
        <w:t xml:space="preserve">he issues raised in this paper are likely to apply to that broader </w:t>
      </w:r>
      <w:r w:rsidR="00223516">
        <w:t>context</w:t>
      </w:r>
      <w:r>
        <w:t xml:space="preserve">.  </w:t>
      </w:r>
    </w:p>
  </w:footnote>
  <w:footnote w:id="2">
    <w:p w:rsidR="00E52090" w:rsidRDefault="00E52090">
      <w:pPr>
        <w:pStyle w:val="FootnoteText"/>
      </w:pPr>
      <w:r>
        <w:rPr>
          <w:rStyle w:val="FootnoteReference"/>
        </w:rPr>
        <w:footnoteRef/>
      </w:r>
      <w:r>
        <w:t xml:space="preserve"> </w:t>
      </w:r>
      <w:proofErr w:type="gramStart"/>
      <w:r>
        <w:t xml:space="preserve">UNCTAD Competitive Neutrality Project; see Deborah Healey </w:t>
      </w:r>
      <w:r w:rsidR="002B472F">
        <w:t>presentation at UNCTAD RPP meeting July 7 2013.</w:t>
      </w:r>
      <w:proofErr w:type="gramEnd"/>
    </w:p>
  </w:footnote>
  <w:footnote w:id="3">
    <w:p w:rsidR="002B472F" w:rsidRDefault="002B472F">
      <w:pPr>
        <w:pStyle w:val="FootnoteText"/>
      </w:pPr>
      <w:r>
        <w:rPr>
          <w:rStyle w:val="FootnoteReference"/>
        </w:rPr>
        <w:footnoteRef/>
      </w:r>
      <w:r>
        <w:t xml:space="preserve"> OECD 2012; </w:t>
      </w:r>
      <w:r w:rsidRPr="00A04EAD">
        <w:rPr>
          <w:i/>
        </w:rPr>
        <w:t>Competitive Neutrality: Maintaining a Level Playing Field Between Public &amp; Private Business</w:t>
      </w:r>
      <w:r>
        <w:t xml:space="preserve">; </w:t>
      </w:r>
      <w:proofErr w:type="spellStart"/>
      <w:r>
        <w:t>Capobianco</w:t>
      </w:r>
      <w:proofErr w:type="spellEnd"/>
      <w:r>
        <w:t xml:space="preserve">, A. and H. Christiansen (2011), </w:t>
      </w:r>
      <w:r w:rsidRPr="00A04EAD">
        <w:rPr>
          <w:i/>
        </w:rPr>
        <w:t>Competitive Neutrality and State-Owned Enterprises: Challenges &amp; Policy Options</w:t>
      </w:r>
      <w:r>
        <w:t xml:space="preserve">, OECD Corporate Governance Working Papers, No. 1, OECD Publishing </w:t>
      </w:r>
    </w:p>
  </w:footnote>
  <w:footnote w:id="4">
    <w:p w:rsidR="002B472F" w:rsidRDefault="002B472F">
      <w:pPr>
        <w:pStyle w:val="FootnoteText"/>
      </w:pPr>
      <w:r>
        <w:rPr>
          <w:rStyle w:val="FootnoteReference"/>
        </w:rPr>
        <w:footnoteRef/>
      </w:r>
      <w:r>
        <w:t xml:space="preserve"> National Competition Policy, </w:t>
      </w:r>
      <w:r w:rsidRPr="00A04EAD">
        <w:rPr>
          <w:i/>
        </w:rPr>
        <w:t xml:space="preserve">Report by the </w:t>
      </w:r>
      <w:r w:rsidR="00377CC1" w:rsidRPr="00A04EAD">
        <w:rPr>
          <w:i/>
        </w:rPr>
        <w:t>Independent</w:t>
      </w:r>
      <w:r w:rsidRPr="00A04EAD">
        <w:rPr>
          <w:i/>
        </w:rPr>
        <w:t xml:space="preserve"> Committee of Inquiry</w:t>
      </w:r>
      <w:r>
        <w:t>, August 1993</w:t>
      </w:r>
      <w:r w:rsidR="00377CC1">
        <w:t>, AGPS, Canberra (“</w:t>
      </w:r>
      <w:proofErr w:type="spellStart"/>
      <w:r w:rsidR="00377CC1">
        <w:t>Hilmer</w:t>
      </w:r>
      <w:proofErr w:type="spellEnd"/>
      <w:r w:rsidR="00377CC1">
        <w:t xml:space="preserve"> Review”)</w:t>
      </w:r>
      <w:r>
        <w:t>.</w:t>
      </w:r>
    </w:p>
  </w:footnote>
  <w:footnote w:id="5">
    <w:p w:rsidR="00A04EAD" w:rsidRDefault="00A04EAD">
      <w:pPr>
        <w:pStyle w:val="FootnoteText"/>
      </w:pPr>
      <w:r>
        <w:rPr>
          <w:rStyle w:val="FootnoteReference"/>
        </w:rPr>
        <w:footnoteRef/>
      </w:r>
      <w:r>
        <w:t xml:space="preserve"> ICN Special Project of the Moroccan </w:t>
      </w:r>
      <w:proofErr w:type="spellStart"/>
      <w:r>
        <w:t>Conseil</w:t>
      </w:r>
      <w:proofErr w:type="spellEnd"/>
      <w:r>
        <w:t xml:space="preserve"> de la Concurrence, </w:t>
      </w:r>
      <w:r w:rsidRPr="00A04EAD">
        <w:rPr>
          <w:i/>
        </w:rPr>
        <w:t>State Owned Enterprises &amp; Competition</w:t>
      </w:r>
      <w:r>
        <w:t>, Marrakech, 23-25 April 2014.</w:t>
      </w:r>
    </w:p>
  </w:footnote>
  <w:footnote w:id="6">
    <w:p w:rsidR="00337E45" w:rsidRDefault="00337E45">
      <w:pPr>
        <w:pStyle w:val="FootnoteText"/>
      </w:pPr>
      <w:r>
        <w:rPr>
          <w:rStyle w:val="FootnoteReference"/>
        </w:rPr>
        <w:footnoteRef/>
      </w:r>
      <w:r>
        <w:t xml:space="preserve"> </w:t>
      </w:r>
      <w:r w:rsidR="00F53A29">
        <w:t>Competition</w:t>
      </w:r>
      <w:r>
        <w:t xml:space="preserve"> should generally</w:t>
      </w:r>
      <w:r w:rsidR="00F53A29">
        <w:t xml:space="preserve"> “…</w:t>
      </w:r>
      <w:r>
        <w:t xml:space="preserve">lead to lower prices, increased output, greater </w:t>
      </w:r>
      <w:r w:rsidR="00F53A29">
        <w:t>choice</w:t>
      </w:r>
      <w:r>
        <w:t xml:space="preserve"> and higher quality goods and services…more </w:t>
      </w:r>
      <w:r w:rsidR="00F53A29">
        <w:t>efficient</w:t>
      </w:r>
      <w:r>
        <w:t xml:space="preserve"> use of resources</w:t>
      </w:r>
      <w:r w:rsidR="00F53A29">
        <w:t xml:space="preserve"> </w:t>
      </w:r>
      <w:r>
        <w:t>when enterprises compete</w:t>
      </w:r>
      <w:r w:rsidR="00F53A29">
        <w:t>”,</w:t>
      </w:r>
      <w:r>
        <w:t xml:space="preserve"> CUTS C-</w:t>
      </w:r>
      <w:r w:rsidR="00F53A29">
        <w:t>C</w:t>
      </w:r>
      <w:r>
        <w:t>IER</w:t>
      </w:r>
      <w:r w:rsidR="00F53A29">
        <w:t xml:space="preserve"> Briefing Paper, </w:t>
      </w:r>
      <w:r w:rsidR="00F53A29" w:rsidRPr="00F53A29">
        <w:rPr>
          <w:i/>
        </w:rPr>
        <w:t>Competition Policy, Competition Law &amp; Competitive Neutrality</w:t>
      </w:r>
      <w:r w:rsidR="00F53A29">
        <w:t>, 3/2013</w:t>
      </w:r>
      <w:r w:rsidR="00BD4889">
        <w:t>.</w:t>
      </w:r>
    </w:p>
  </w:footnote>
  <w:footnote w:id="7">
    <w:p w:rsidR="007E5171" w:rsidRDefault="007E5171">
      <w:pPr>
        <w:pStyle w:val="FootnoteText"/>
      </w:pPr>
      <w:r>
        <w:rPr>
          <w:rStyle w:val="FootnoteReference"/>
        </w:rPr>
        <w:footnoteRef/>
      </w:r>
      <w:r>
        <w:t xml:space="preserve"> Australian Governments accepted the </w:t>
      </w:r>
      <w:proofErr w:type="spellStart"/>
      <w:r>
        <w:t>HiImer</w:t>
      </w:r>
      <w:proofErr w:type="spellEnd"/>
      <w:r>
        <w:t xml:space="preserve"> Review recommendations to: extend the reach of the </w:t>
      </w:r>
      <w:r w:rsidR="007D5979">
        <w:t>Tra</w:t>
      </w:r>
      <w:r>
        <w:t xml:space="preserve">de Practices Act; introduce third party access for nationally significant infrastructure; introduce competitive </w:t>
      </w:r>
      <w:r w:rsidR="007D5979">
        <w:t>neutrality to restrict unfair advantages of GBE’s; restructure monopoly businesses to increase competition; review all laws restricting competition.</w:t>
      </w:r>
    </w:p>
  </w:footnote>
  <w:footnote w:id="8">
    <w:p w:rsidR="0005713A" w:rsidRDefault="0005713A">
      <w:pPr>
        <w:pStyle w:val="FootnoteText"/>
      </w:pPr>
      <w:r>
        <w:rPr>
          <w:rStyle w:val="FootnoteReference"/>
        </w:rPr>
        <w:footnoteRef/>
      </w:r>
      <w:r>
        <w:t xml:space="preserve"> </w:t>
      </w:r>
      <w:proofErr w:type="spellStart"/>
      <w:proofErr w:type="gramStart"/>
      <w:r w:rsidRPr="0005713A">
        <w:rPr>
          <w:i/>
        </w:rPr>
        <w:t>Hilmer</w:t>
      </w:r>
      <w:proofErr w:type="spellEnd"/>
      <w:r w:rsidRPr="0005713A">
        <w:rPr>
          <w:i/>
        </w:rPr>
        <w:t xml:space="preserve"> Review</w:t>
      </w:r>
      <w:r>
        <w:t>; p 297 op</w:t>
      </w:r>
      <w:r w:rsidR="00524FC2">
        <w:t>.</w:t>
      </w:r>
      <w:r>
        <w:t xml:space="preserve"> cit</w:t>
      </w:r>
      <w:r w:rsidR="00524FC2">
        <w:t>.</w:t>
      </w:r>
      <w:proofErr w:type="gramEnd"/>
    </w:p>
  </w:footnote>
  <w:footnote w:id="9">
    <w:p w:rsidR="0005713A" w:rsidRDefault="0005713A">
      <w:pPr>
        <w:pStyle w:val="FootnoteText"/>
      </w:pPr>
      <w:r>
        <w:rPr>
          <w:rStyle w:val="FootnoteReference"/>
        </w:rPr>
        <w:footnoteRef/>
      </w:r>
      <w:r>
        <w:t xml:space="preserve"> </w:t>
      </w:r>
      <w:r w:rsidRPr="0005713A">
        <w:rPr>
          <w:i/>
        </w:rPr>
        <w:t>Competition in mixed markets: ensuring competitive neutrality</w:t>
      </w:r>
      <w:r>
        <w:t xml:space="preserve"> A working paper, Office of Fair Trading July 2012 OFT1242</w:t>
      </w:r>
    </w:p>
  </w:footnote>
  <w:footnote w:id="10">
    <w:p w:rsidR="00A04F7E" w:rsidRDefault="00A04F7E" w:rsidP="00A04F7E">
      <w:pPr>
        <w:pStyle w:val="FootnoteText"/>
      </w:pPr>
      <w:r>
        <w:rPr>
          <w:rStyle w:val="FootnoteReference"/>
        </w:rPr>
        <w:footnoteRef/>
      </w:r>
      <w:r>
        <w:t xml:space="preserve"> For an excellent discussion on this aspect of government run business (SOE’s) see </w:t>
      </w:r>
      <w:proofErr w:type="spellStart"/>
      <w:r>
        <w:t>Capobianco</w:t>
      </w:r>
      <w:proofErr w:type="spellEnd"/>
      <w:r>
        <w:t xml:space="preserve">, A. and H. Christiansen (2011) op </w:t>
      </w:r>
      <w:proofErr w:type="spellStart"/>
      <w:r>
        <w:t>cit</w:t>
      </w:r>
      <w:proofErr w:type="spellEnd"/>
    </w:p>
  </w:footnote>
  <w:footnote w:id="11">
    <w:p w:rsidR="003C2AED" w:rsidRDefault="003C2AED" w:rsidP="003C2AED">
      <w:pPr>
        <w:pStyle w:val="FootnoteText"/>
      </w:pPr>
      <w:r>
        <w:rPr>
          <w:rStyle w:val="FootnoteReference"/>
        </w:rPr>
        <w:footnoteRef/>
      </w:r>
      <w:r>
        <w:t xml:space="preserve"> For a discussion of these issues see “</w:t>
      </w:r>
      <w:proofErr w:type="spellStart"/>
      <w:r>
        <w:t>Hilmer</w:t>
      </w:r>
      <w:proofErr w:type="spellEnd"/>
      <w:r>
        <w:t xml:space="preserve"> Review”, Ch. 13, op</w:t>
      </w:r>
      <w:r w:rsidR="005002F2">
        <w:t>.</w:t>
      </w:r>
      <w:r>
        <w:t xml:space="preserve"> cit</w:t>
      </w:r>
      <w:r w:rsidR="005002F2">
        <w:t>.</w:t>
      </w:r>
    </w:p>
  </w:footnote>
  <w:footnote w:id="12">
    <w:p w:rsidR="00DE2E87" w:rsidRDefault="00DE2E87">
      <w:pPr>
        <w:pStyle w:val="FootnoteText"/>
      </w:pPr>
      <w:r>
        <w:rPr>
          <w:rStyle w:val="FootnoteReference"/>
        </w:rPr>
        <w:footnoteRef/>
      </w:r>
      <w:r w:rsidR="009D789E">
        <w:t xml:space="preserve"> </w:t>
      </w:r>
      <w:proofErr w:type="gramStart"/>
      <w:r w:rsidR="009D789E">
        <w:t>Australian Treasury,</w:t>
      </w:r>
      <w:r>
        <w:t xml:space="preserve"> Commonwealth Competitive Neutrality Policy Statement, </w:t>
      </w:r>
      <w:r w:rsidR="008C1603">
        <w:t>June 1996,</w:t>
      </w:r>
      <w:r>
        <w:t xml:space="preserve"> p 15</w:t>
      </w:r>
      <w:r w:rsidR="008C1603">
        <w:t>.</w:t>
      </w:r>
      <w:proofErr w:type="gramEnd"/>
    </w:p>
  </w:footnote>
  <w:footnote w:id="13">
    <w:p w:rsidR="0048105C" w:rsidRDefault="0048105C">
      <w:pPr>
        <w:pStyle w:val="FootnoteText"/>
      </w:pPr>
      <w:r>
        <w:rPr>
          <w:rStyle w:val="FootnoteReference"/>
        </w:rPr>
        <w:footnoteRef/>
      </w:r>
      <w:r>
        <w:t xml:space="preserve"> Competition Policy Review (the Harper Review); </w:t>
      </w:r>
      <w:r w:rsidRPr="0048105C">
        <w:t>http://competitionpolicyreview.gov.au/issues-paper/submissions/</w:t>
      </w:r>
    </w:p>
  </w:footnote>
  <w:footnote w:id="14">
    <w:p w:rsidR="00691B9B" w:rsidRDefault="00691B9B">
      <w:pPr>
        <w:pStyle w:val="FootnoteText"/>
      </w:pPr>
      <w:r>
        <w:rPr>
          <w:rStyle w:val="FootnoteReference"/>
        </w:rPr>
        <w:footnoteRef/>
      </w:r>
      <w:r>
        <w:t xml:space="preserve"> </w:t>
      </w:r>
      <w:proofErr w:type="spellStart"/>
      <w:proofErr w:type="gramStart"/>
      <w:r w:rsidR="00AE4D5D">
        <w:t>Ca</w:t>
      </w:r>
      <w:r>
        <w:t>pobi</w:t>
      </w:r>
      <w:r w:rsidR="00AE4D5D">
        <w:t>anco</w:t>
      </w:r>
      <w:proofErr w:type="spellEnd"/>
      <w:r>
        <w:t>, A. and H. Chris</w:t>
      </w:r>
      <w:r w:rsidR="00AE4D5D">
        <w:t>tiansen</w:t>
      </w:r>
      <w:r>
        <w:t>, op</w:t>
      </w:r>
      <w:r w:rsidR="005002F2">
        <w:t>.</w:t>
      </w:r>
      <w:r>
        <w:t xml:space="preserve"> cit.</w:t>
      </w:r>
      <w:proofErr w:type="gramEnd"/>
    </w:p>
  </w:footnote>
  <w:footnote w:id="15">
    <w:p w:rsidR="00FD25E7" w:rsidRDefault="00FD25E7">
      <w:pPr>
        <w:pStyle w:val="FootnoteText"/>
      </w:pPr>
      <w:r>
        <w:rPr>
          <w:rStyle w:val="FootnoteReference"/>
        </w:rPr>
        <w:footnoteRef/>
      </w:r>
      <w:r>
        <w:t xml:space="preserve"> </w:t>
      </w:r>
      <w:r w:rsidRPr="00FD25E7">
        <w:rPr>
          <w:i/>
        </w:rPr>
        <w:t>Competition in mixed markets: ensuring competitive neutrality</w:t>
      </w:r>
      <w:r>
        <w:t xml:space="preserve">; </w:t>
      </w:r>
      <w:proofErr w:type="gramStart"/>
      <w:r>
        <w:t>A</w:t>
      </w:r>
      <w:proofErr w:type="gramEnd"/>
      <w:r>
        <w:t xml:space="preserve"> working paper, Office of Fair Trading, July 2010, p 34.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C92816E"/>
    <w:lvl w:ilvl="0">
      <w:start w:val="1"/>
      <w:numFmt w:val="decimal"/>
      <w:lvlText w:val="%1."/>
      <w:lvlJc w:val="left"/>
      <w:pPr>
        <w:tabs>
          <w:tab w:val="num" w:pos="1492"/>
        </w:tabs>
        <w:ind w:left="1492" w:hanging="360"/>
      </w:pPr>
    </w:lvl>
  </w:abstractNum>
  <w:abstractNum w:abstractNumId="1">
    <w:nsid w:val="FFFFFF7D"/>
    <w:multiLevelType w:val="singleLevel"/>
    <w:tmpl w:val="05864E92"/>
    <w:lvl w:ilvl="0">
      <w:start w:val="1"/>
      <w:numFmt w:val="decimal"/>
      <w:lvlText w:val="%1."/>
      <w:lvlJc w:val="left"/>
      <w:pPr>
        <w:tabs>
          <w:tab w:val="num" w:pos="1209"/>
        </w:tabs>
        <w:ind w:left="1209" w:hanging="360"/>
      </w:pPr>
    </w:lvl>
  </w:abstractNum>
  <w:abstractNum w:abstractNumId="2">
    <w:nsid w:val="FFFFFF7E"/>
    <w:multiLevelType w:val="singleLevel"/>
    <w:tmpl w:val="01FEB3FA"/>
    <w:lvl w:ilvl="0">
      <w:start w:val="1"/>
      <w:numFmt w:val="decimal"/>
      <w:lvlText w:val="%1."/>
      <w:lvlJc w:val="left"/>
      <w:pPr>
        <w:tabs>
          <w:tab w:val="num" w:pos="926"/>
        </w:tabs>
        <w:ind w:left="926" w:hanging="360"/>
      </w:pPr>
    </w:lvl>
  </w:abstractNum>
  <w:abstractNum w:abstractNumId="3">
    <w:nsid w:val="FFFFFF7F"/>
    <w:multiLevelType w:val="singleLevel"/>
    <w:tmpl w:val="9C88B246"/>
    <w:lvl w:ilvl="0">
      <w:start w:val="1"/>
      <w:numFmt w:val="decimal"/>
      <w:pStyle w:val="ListNumber2"/>
      <w:lvlText w:val="%1."/>
      <w:lvlJc w:val="left"/>
      <w:pPr>
        <w:tabs>
          <w:tab w:val="num" w:pos="643"/>
        </w:tabs>
        <w:ind w:left="643" w:hanging="360"/>
      </w:pPr>
    </w:lvl>
  </w:abstractNum>
  <w:abstractNum w:abstractNumId="4">
    <w:nsid w:val="FFFFFF80"/>
    <w:multiLevelType w:val="singleLevel"/>
    <w:tmpl w:val="5C8A6E8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C68418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718CF9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262730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9D0FE4C"/>
    <w:lvl w:ilvl="0">
      <w:start w:val="1"/>
      <w:numFmt w:val="decimal"/>
      <w:pStyle w:val="ListNumber"/>
      <w:lvlText w:val="%1."/>
      <w:lvlJc w:val="left"/>
      <w:pPr>
        <w:tabs>
          <w:tab w:val="num" w:pos="360"/>
        </w:tabs>
        <w:ind w:left="360" w:hanging="360"/>
      </w:pPr>
    </w:lvl>
  </w:abstractNum>
  <w:abstractNum w:abstractNumId="9">
    <w:nsid w:val="FFFFFF89"/>
    <w:multiLevelType w:val="singleLevel"/>
    <w:tmpl w:val="0862F27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FC3577"/>
    <w:multiLevelType w:val="multilevel"/>
    <w:tmpl w:val="8AE4EE6C"/>
    <w:lvl w:ilvl="0">
      <w:start w:val="1"/>
      <w:numFmt w:val="decimal"/>
      <w:lvlText w:val="%1."/>
      <w:lvlJc w:val="left"/>
      <w:pPr>
        <w:ind w:left="360" w:hanging="360"/>
      </w:pPr>
    </w:lvl>
    <w:lvl w:ilvl="1">
      <w:start w:val="1"/>
      <w:numFmt w:val="decimal"/>
      <w:pStyle w:val="Headingnumbered11"/>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33E73B6"/>
    <w:multiLevelType w:val="hybridMultilevel"/>
    <w:tmpl w:val="BEE61D6A"/>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2">
    <w:nsid w:val="17BF29C8"/>
    <w:multiLevelType w:val="hybridMultilevel"/>
    <w:tmpl w:val="228CB3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19B737F8"/>
    <w:multiLevelType w:val="hybridMultilevel"/>
    <w:tmpl w:val="F3745BA8"/>
    <w:lvl w:ilvl="0" w:tplc="AC54BDC0">
      <w:start w:val="1"/>
      <w:numFmt w:val="decimal"/>
      <w:pStyle w:val="Headingnumbered1"/>
      <w:lvlText w:val="%1."/>
      <w:lvlJc w:val="left"/>
      <w:pPr>
        <w:ind w:left="36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4">
    <w:nsid w:val="429046A0"/>
    <w:multiLevelType w:val="multilevel"/>
    <w:tmpl w:val="9A30B4A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Headingnumbered111"/>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44065F76"/>
    <w:multiLevelType w:val="hybridMultilevel"/>
    <w:tmpl w:val="0882B714"/>
    <w:lvl w:ilvl="0" w:tplc="8FF0783E">
      <w:start w:val="1"/>
      <w:numFmt w:val="lowerLetter"/>
      <w:pStyle w:val="Numberedlist2"/>
      <w:lvlText w:val="%1)"/>
      <w:lvlJc w:val="left"/>
      <w:pPr>
        <w:ind w:left="1003" w:hanging="360"/>
      </w:pPr>
    </w:lvl>
    <w:lvl w:ilvl="1" w:tplc="0C090019" w:tentative="1">
      <w:start w:val="1"/>
      <w:numFmt w:val="lowerLetter"/>
      <w:lvlText w:val="%2."/>
      <w:lvlJc w:val="left"/>
      <w:pPr>
        <w:ind w:left="1723" w:hanging="360"/>
      </w:pPr>
    </w:lvl>
    <w:lvl w:ilvl="2" w:tplc="0C09001B" w:tentative="1">
      <w:start w:val="1"/>
      <w:numFmt w:val="lowerRoman"/>
      <w:lvlText w:val="%3."/>
      <w:lvlJc w:val="right"/>
      <w:pPr>
        <w:ind w:left="2443" w:hanging="180"/>
      </w:pPr>
    </w:lvl>
    <w:lvl w:ilvl="3" w:tplc="0C09000F" w:tentative="1">
      <w:start w:val="1"/>
      <w:numFmt w:val="decimal"/>
      <w:lvlText w:val="%4."/>
      <w:lvlJc w:val="left"/>
      <w:pPr>
        <w:ind w:left="3163" w:hanging="360"/>
      </w:pPr>
    </w:lvl>
    <w:lvl w:ilvl="4" w:tplc="0C090019" w:tentative="1">
      <w:start w:val="1"/>
      <w:numFmt w:val="lowerLetter"/>
      <w:lvlText w:val="%5."/>
      <w:lvlJc w:val="left"/>
      <w:pPr>
        <w:ind w:left="3883" w:hanging="360"/>
      </w:pPr>
    </w:lvl>
    <w:lvl w:ilvl="5" w:tplc="0C09001B" w:tentative="1">
      <w:start w:val="1"/>
      <w:numFmt w:val="lowerRoman"/>
      <w:lvlText w:val="%6."/>
      <w:lvlJc w:val="right"/>
      <w:pPr>
        <w:ind w:left="4603" w:hanging="180"/>
      </w:pPr>
    </w:lvl>
    <w:lvl w:ilvl="6" w:tplc="0C09000F" w:tentative="1">
      <w:start w:val="1"/>
      <w:numFmt w:val="decimal"/>
      <w:lvlText w:val="%7."/>
      <w:lvlJc w:val="left"/>
      <w:pPr>
        <w:ind w:left="5323" w:hanging="360"/>
      </w:pPr>
    </w:lvl>
    <w:lvl w:ilvl="7" w:tplc="0C090019" w:tentative="1">
      <w:start w:val="1"/>
      <w:numFmt w:val="lowerLetter"/>
      <w:lvlText w:val="%8."/>
      <w:lvlJc w:val="left"/>
      <w:pPr>
        <w:ind w:left="6043" w:hanging="360"/>
      </w:pPr>
    </w:lvl>
    <w:lvl w:ilvl="8" w:tplc="0C09001B" w:tentative="1">
      <w:start w:val="1"/>
      <w:numFmt w:val="lowerRoman"/>
      <w:lvlText w:val="%9."/>
      <w:lvlJc w:val="right"/>
      <w:pPr>
        <w:ind w:left="6763" w:hanging="180"/>
      </w:pPr>
    </w:lvl>
  </w:abstractNum>
  <w:abstractNum w:abstractNumId="16">
    <w:nsid w:val="45FE669A"/>
    <w:multiLevelType w:val="hybridMultilevel"/>
    <w:tmpl w:val="D2CEA5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7384C50"/>
    <w:multiLevelType w:val="hybridMultilevel"/>
    <w:tmpl w:val="45CCF90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6726588A"/>
    <w:multiLevelType w:val="hybridMultilevel"/>
    <w:tmpl w:val="CC927964"/>
    <w:lvl w:ilvl="0" w:tplc="956E30DC">
      <w:start w:val="1"/>
      <w:numFmt w:val="bullet"/>
      <w:pStyle w:val="Bulletpoint2"/>
      <w:lvlText w:val="o"/>
      <w:lvlJc w:val="left"/>
      <w:pPr>
        <w:ind w:left="1003" w:hanging="360"/>
      </w:pPr>
      <w:rPr>
        <w:rFonts w:ascii="Courier New" w:hAnsi="Courier New" w:cs="Courier New" w:hint="default"/>
      </w:rPr>
    </w:lvl>
    <w:lvl w:ilvl="1" w:tplc="0C090003" w:tentative="1">
      <w:start w:val="1"/>
      <w:numFmt w:val="bullet"/>
      <w:lvlText w:val="o"/>
      <w:lvlJc w:val="left"/>
      <w:pPr>
        <w:ind w:left="1723" w:hanging="360"/>
      </w:pPr>
      <w:rPr>
        <w:rFonts w:ascii="Courier New" w:hAnsi="Courier New" w:cs="Courier New" w:hint="default"/>
      </w:rPr>
    </w:lvl>
    <w:lvl w:ilvl="2" w:tplc="0C090005" w:tentative="1">
      <w:start w:val="1"/>
      <w:numFmt w:val="bullet"/>
      <w:lvlText w:val=""/>
      <w:lvlJc w:val="left"/>
      <w:pPr>
        <w:ind w:left="2443" w:hanging="360"/>
      </w:pPr>
      <w:rPr>
        <w:rFonts w:ascii="Wingdings" w:hAnsi="Wingdings" w:hint="default"/>
      </w:rPr>
    </w:lvl>
    <w:lvl w:ilvl="3" w:tplc="0C090001" w:tentative="1">
      <w:start w:val="1"/>
      <w:numFmt w:val="bullet"/>
      <w:lvlText w:val=""/>
      <w:lvlJc w:val="left"/>
      <w:pPr>
        <w:ind w:left="3163" w:hanging="360"/>
      </w:pPr>
      <w:rPr>
        <w:rFonts w:ascii="Symbol" w:hAnsi="Symbol" w:hint="default"/>
      </w:rPr>
    </w:lvl>
    <w:lvl w:ilvl="4" w:tplc="0C090003" w:tentative="1">
      <w:start w:val="1"/>
      <w:numFmt w:val="bullet"/>
      <w:lvlText w:val="o"/>
      <w:lvlJc w:val="left"/>
      <w:pPr>
        <w:ind w:left="3883" w:hanging="360"/>
      </w:pPr>
      <w:rPr>
        <w:rFonts w:ascii="Courier New" w:hAnsi="Courier New" w:cs="Courier New" w:hint="default"/>
      </w:rPr>
    </w:lvl>
    <w:lvl w:ilvl="5" w:tplc="0C090005" w:tentative="1">
      <w:start w:val="1"/>
      <w:numFmt w:val="bullet"/>
      <w:lvlText w:val=""/>
      <w:lvlJc w:val="left"/>
      <w:pPr>
        <w:ind w:left="4603" w:hanging="360"/>
      </w:pPr>
      <w:rPr>
        <w:rFonts w:ascii="Wingdings" w:hAnsi="Wingdings" w:hint="default"/>
      </w:rPr>
    </w:lvl>
    <w:lvl w:ilvl="6" w:tplc="0C090001" w:tentative="1">
      <w:start w:val="1"/>
      <w:numFmt w:val="bullet"/>
      <w:lvlText w:val=""/>
      <w:lvlJc w:val="left"/>
      <w:pPr>
        <w:ind w:left="5323" w:hanging="360"/>
      </w:pPr>
      <w:rPr>
        <w:rFonts w:ascii="Symbol" w:hAnsi="Symbol" w:hint="default"/>
      </w:rPr>
    </w:lvl>
    <w:lvl w:ilvl="7" w:tplc="0C090003" w:tentative="1">
      <w:start w:val="1"/>
      <w:numFmt w:val="bullet"/>
      <w:lvlText w:val="o"/>
      <w:lvlJc w:val="left"/>
      <w:pPr>
        <w:ind w:left="6043" w:hanging="360"/>
      </w:pPr>
      <w:rPr>
        <w:rFonts w:ascii="Courier New" w:hAnsi="Courier New" w:cs="Courier New" w:hint="default"/>
      </w:rPr>
    </w:lvl>
    <w:lvl w:ilvl="8" w:tplc="0C090005" w:tentative="1">
      <w:start w:val="1"/>
      <w:numFmt w:val="bullet"/>
      <w:lvlText w:val=""/>
      <w:lvlJc w:val="left"/>
      <w:pPr>
        <w:ind w:left="6763" w:hanging="360"/>
      </w:pPr>
      <w:rPr>
        <w:rFonts w:ascii="Wingdings" w:hAnsi="Wingdings" w:hint="default"/>
      </w:rPr>
    </w:lvl>
  </w:abstractNum>
  <w:abstractNum w:abstractNumId="19">
    <w:nsid w:val="68D46101"/>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7CA76DB0"/>
    <w:multiLevelType w:val="hybridMultilevel"/>
    <w:tmpl w:val="6EB21B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7"/>
  </w:num>
  <w:num w:numId="2">
    <w:abstractNumId w:val="13"/>
  </w:num>
  <w:num w:numId="3">
    <w:abstractNumId w:val="11"/>
  </w:num>
  <w:num w:numId="4">
    <w:abstractNumId w:val="19"/>
  </w:num>
  <w:num w:numId="5">
    <w:abstractNumId w:val="10"/>
  </w:num>
  <w:num w:numId="6">
    <w:abstractNumId w:val="14"/>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8"/>
  </w:num>
  <w:num w:numId="18">
    <w:abstractNumId w:val="15"/>
  </w:num>
  <w:num w:numId="19">
    <w:abstractNumId w:val="13"/>
    <w:lvlOverride w:ilvl="0">
      <w:startOverride w:val="1"/>
    </w:lvlOverride>
  </w:num>
  <w:num w:numId="20">
    <w:abstractNumId w:val="16"/>
  </w:num>
  <w:num w:numId="21">
    <w:abstractNumId w:val="20"/>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9701" w:allStyles="1" w:customStyles="0" w:latentStyles="0" w:stylesInUse="0" w:headingStyles="0" w:numberingStyles="0" w:tableStyles="0" w:directFormattingOnRuns="1" w:directFormattingOnParagraphs="1" w:directFormattingOnNumbering="1" w:directFormattingOnTables="0" w:clearFormatting="1" w:top3HeadingStyles="0" w:visibleStyles="0" w:alternateStyleNames="1"/>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urrentname" w:val="\\SCBRFS001.accc.local\home$\epolm\D14 113505  Competitive Neutrality – Discussion Paper for 8th Seoul Competition Forum - Mark Pearson - September 2014.DOCX.docx"/>
  </w:docVars>
  <w:rsids>
    <w:rsidRoot w:val="00E52090"/>
    <w:rsid w:val="00001357"/>
    <w:rsid w:val="00021202"/>
    <w:rsid w:val="00022B6B"/>
    <w:rsid w:val="00031B21"/>
    <w:rsid w:val="00037CD1"/>
    <w:rsid w:val="00041C4D"/>
    <w:rsid w:val="0005713A"/>
    <w:rsid w:val="00060CD4"/>
    <w:rsid w:val="00075F31"/>
    <w:rsid w:val="00086FE5"/>
    <w:rsid w:val="000976CD"/>
    <w:rsid w:val="000A1E77"/>
    <w:rsid w:val="000A417F"/>
    <w:rsid w:val="000B5C50"/>
    <w:rsid w:val="000D3F8F"/>
    <w:rsid w:val="000D64EA"/>
    <w:rsid w:val="000E1819"/>
    <w:rsid w:val="000E6C72"/>
    <w:rsid w:val="000E79D2"/>
    <w:rsid w:val="000F5406"/>
    <w:rsid w:val="00106FD0"/>
    <w:rsid w:val="00116A9B"/>
    <w:rsid w:val="00117350"/>
    <w:rsid w:val="00124609"/>
    <w:rsid w:val="00141E92"/>
    <w:rsid w:val="001448CC"/>
    <w:rsid w:val="001573E4"/>
    <w:rsid w:val="00175BC9"/>
    <w:rsid w:val="001A795F"/>
    <w:rsid w:val="001B6EBE"/>
    <w:rsid w:val="001C2D48"/>
    <w:rsid w:val="001F44C2"/>
    <w:rsid w:val="00216EB7"/>
    <w:rsid w:val="00223516"/>
    <w:rsid w:val="0022552A"/>
    <w:rsid w:val="002276E5"/>
    <w:rsid w:val="002368F1"/>
    <w:rsid w:val="00251745"/>
    <w:rsid w:val="002670C4"/>
    <w:rsid w:val="00267379"/>
    <w:rsid w:val="00286874"/>
    <w:rsid w:val="002A58F4"/>
    <w:rsid w:val="002A7DEF"/>
    <w:rsid w:val="002B472F"/>
    <w:rsid w:val="002C7517"/>
    <w:rsid w:val="002E68F1"/>
    <w:rsid w:val="002F0B7A"/>
    <w:rsid w:val="002F2DB5"/>
    <w:rsid w:val="002F5072"/>
    <w:rsid w:val="00305600"/>
    <w:rsid w:val="00307F6D"/>
    <w:rsid w:val="00337E45"/>
    <w:rsid w:val="003516EA"/>
    <w:rsid w:val="003518B3"/>
    <w:rsid w:val="003546AA"/>
    <w:rsid w:val="00366BBD"/>
    <w:rsid w:val="00377CC1"/>
    <w:rsid w:val="003C2AED"/>
    <w:rsid w:val="003C5B80"/>
    <w:rsid w:val="003D7C17"/>
    <w:rsid w:val="003E45AD"/>
    <w:rsid w:val="003E6507"/>
    <w:rsid w:val="003F4295"/>
    <w:rsid w:val="003F4D32"/>
    <w:rsid w:val="00454176"/>
    <w:rsid w:val="0048105C"/>
    <w:rsid w:val="004E53D8"/>
    <w:rsid w:val="005002F2"/>
    <w:rsid w:val="00504E9A"/>
    <w:rsid w:val="00512F0D"/>
    <w:rsid w:val="00524FC2"/>
    <w:rsid w:val="00532467"/>
    <w:rsid w:val="00546745"/>
    <w:rsid w:val="005505E5"/>
    <w:rsid w:val="005541F4"/>
    <w:rsid w:val="00564A4D"/>
    <w:rsid w:val="00565588"/>
    <w:rsid w:val="0057727B"/>
    <w:rsid w:val="0059177F"/>
    <w:rsid w:val="005B738B"/>
    <w:rsid w:val="005B78C3"/>
    <w:rsid w:val="005C0C3B"/>
    <w:rsid w:val="005E00DB"/>
    <w:rsid w:val="00621687"/>
    <w:rsid w:val="0062489E"/>
    <w:rsid w:val="00632D6D"/>
    <w:rsid w:val="00647A2A"/>
    <w:rsid w:val="00652BE0"/>
    <w:rsid w:val="0065448A"/>
    <w:rsid w:val="00677E88"/>
    <w:rsid w:val="00684DF0"/>
    <w:rsid w:val="00691B9B"/>
    <w:rsid w:val="006C6659"/>
    <w:rsid w:val="00710A66"/>
    <w:rsid w:val="00711399"/>
    <w:rsid w:val="007303C3"/>
    <w:rsid w:val="00735C62"/>
    <w:rsid w:val="00740D8A"/>
    <w:rsid w:val="0075305E"/>
    <w:rsid w:val="00763E5D"/>
    <w:rsid w:val="00777EE6"/>
    <w:rsid w:val="00783170"/>
    <w:rsid w:val="007C1C53"/>
    <w:rsid w:val="007C480A"/>
    <w:rsid w:val="007D4497"/>
    <w:rsid w:val="007D5979"/>
    <w:rsid w:val="007D5FC6"/>
    <w:rsid w:val="007E5171"/>
    <w:rsid w:val="008317B7"/>
    <w:rsid w:val="00845F8D"/>
    <w:rsid w:val="00851209"/>
    <w:rsid w:val="00880C20"/>
    <w:rsid w:val="008A5803"/>
    <w:rsid w:val="008B5D4D"/>
    <w:rsid w:val="008C1603"/>
    <w:rsid w:val="008E7031"/>
    <w:rsid w:val="00902FB1"/>
    <w:rsid w:val="00904CDE"/>
    <w:rsid w:val="009318EA"/>
    <w:rsid w:val="009841E9"/>
    <w:rsid w:val="0098457E"/>
    <w:rsid w:val="009960BF"/>
    <w:rsid w:val="009A4073"/>
    <w:rsid w:val="009B0E9F"/>
    <w:rsid w:val="009D11EA"/>
    <w:rsid w:val="009D789E"/>
    <w:rsid w:val="009E7607"/>
    <w:rsid w:val="009F09DB"/>
    <w:rsid w:val="00A04EAD"/>
    <w:rsid w:val="00A04F7E"/>
    <w:rsid w:val="00A1789F"/>
    <w:rsid w:val="00A21813"/>
    <w:rsid w:val="00A43083"/>
    <w:rsid w:val="00A60A26"/>
    <w:rsid w:val="00AA308E"/>
    <w:rsid w:val="00AA34A7"/>
    <w:rsid w:val="00AC66D8"/>
    <w:rsid w:val="00AE4D5D"/>
    <w:rsid w:val="00B50C86"/>
    <w:rsid w:val="00B647B3"/>
    <w:rsid w:val="00B81C08"/>
    <w:rsid w:val="00BB4964"/>
    <w:rsid w:val="00BD3446"/>
    <w:rsid w:val="00BD4889"/>
    <w:rsid w:val="00BD7599"/>
    <w:rsid w:val="00BE1F1B"/>
    <w:rsid w:val="00BE6CF5"/>
    <w:rsid w:val="00BF2CD5"/>
    <w:rsid w:val="00BF4905"/>
    <w:rsid w:val="00BF6A40"/>
    <w:rsid w:val="00C15B6B"/>
    <w:rsid w:val="00C427A5"/>
    <w:rsid w:val="00C518BF"/>
    <w:rsid w:val="00C538A9"/>
    <w:rsid w:val="00C86679"/>
    <w:rsid w:val="00C932B8"/>
    <w:rsid w:val="00C9717A"/>
    <w:rsid w:val="00CC353D"/>
    <w:rsid w:val="00CC6D1A"/>
    <w:rsid w:val="00CD6EC1"/>
    <w:rsid w:val="00CF3168"/>
    <w:rsid w:val="00D03279"/>
    <w:rsid w:val="00D15E0E"/>
    <w:rsid w:val="00D57B0E"/>
    <w:rsid w:val="00D61A54"/>
    <w:rsid w:val="00D72009"/>
    <w:rsid w:val="00D74E6F"/>
    <w:rsid w:val="00D862A7"/>
    <w:rsid w:val="00DA5706"/>
    <w:rsid w:val="00DB0F93"/>
    <w:rsid w:val="00DB3A40"/>
    <w:rsid w:val="00DB6045"/>
    <w:rsid w:val="00DC211A"/>
    <w:rsid w:val="00DC5AC2"/>
    <w:rsid w:val="00DD4F98"/>
    <w:rsid w:val="00DE2E87"/>
    <w:rsid w:val="00DE7257"/>
    <w:rsid w:val="00DF5C19"/>
    <w:rsid w:val="00E25B8C"/>
    <w:rsid w:val="00E52090"/>
    <w:rsid w:val="00E75944"/>
    <w:rsid w:val="00E7624D"/>
    <w:rsid w:val="00E91B04"/>
    <w:rsid w:val="00E93614"/>
    <w:rsid w:val="00EA3D42"/>
    <w:rsid w:val="00EA6B1B"/>
    <w:rsid w:val="00EB1A9B"/>
    <w:rsid w:val="00EC4CD9"/>
    <w:rsid w:val="00EC5AD3"/>
    <w:rsid w:val="00EE7DB7"/>
    <w:rsid w:val="00F53A29"/>
    <w:rsid w:val="00F64C7B"/>
    <w:rsid w:val="00F73BBC"/>
    <w:rsid w:val="00F95F2B"/>
    <w:rsid w:val="00FA2577"/>
    <w:rsid w:val="00FD25E7"/>
    <w:rsid w:val="00FE0BE1"/>
    <w:rsid w:val="00FE1D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lsdException w:name="Default Paragraph Font" w:uiPriority="1"/>
    <w:lsdException w:name="Subtitle" w:semiHidden="0" w:uiPriority="11" w:unhideWhenUsed="0"/>
    <w:lsdException w:name="Hyperlink"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60A26"/>
    <w:pPr>
      <w:spacing w:before="120" w:after="0" w:line="240" w:lineRule="auto"/>
    </w:pPr>
    <w:rPr>
      <w:rFonts w:ascii="Arial" w:hAnsi="Arial"/>
    </w:rPr>
  </w:style>
  <w:style w:type="paragraph" w:styleId="Heading1">
    <w:name w:val="heading 1"/>
    <w:basedOn w:val="Normal"/>
    <w:next w:val="Normal"/>
    <w:link w:val="Heading1Char"/>
    <w:uiPriority w:val="9"/>
    <w:qFormat/>
    <w:rsid w:val="006C6659"/>
    <w:pPr>
      <w:keepNext/>
      <w:keepLines/>
      <w:spacing w:before="60"/>
      <w:jc w:val="right"/>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6C6659"/>
    <w:pPr>
      <w:keepNext/>
      <w:keepLines/>
      <w:spacing w:before="420"/>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F64C7B"/>
    <w:pPr>
      <w:keepNext/>
      <w:keepLines/>
      <w:spacing w:before="200"/>
      <w:outlineLvl w:val="2"/>
    </w:pPr>
    <w:rPr>
      <w:rFonts w:eastAsiaTheme="majorEastAsia" w:cstheme="majorBidi"/>
      <w:b/>
      <w:bCs/>
      <w:sz w:val="24"/>
    </w:rPr>
  </w:style>
  <w:style w:type="paragraph" w:styleId="Heading4">
    <w:name w:val="heading 4"/>
    <w:basedOn w:val="Normal"/>
    <w:next w:val="Normal"/>
    <w:link w:val="Heading4Char"/>
    <w:uiPriority w:val="9"/>
    <w:unhideWhenUsed/>
    <w:qFormat/>
    <w:rsid w:val="00F64C7B"/>
    <w:pPr>
      <w:keepNext/>
      <w:keepLines/>
      <w:spacing w:before="200"/>
      <w:outlineLvl w:val="3"/>
    </w:pPr>
    <w:rPr>
      <w:rFonts w:eastAsiaTheme="majorEastAsia" w:cstheme="majorBidi"/>
      <w:b/>
      <w:bCs/>
      <w:i/>
      <w:iCs/>
      <w:color w:val="51626F"/>
      <w:sz w:val="24"/>
    </w:rPr>
  </w:style>
  <w:style w:type="paragraph" w:styleId="Heading5">
    <w:name w:val="heading 5"/>
    <w:basedOn w:val="Normal"/>
    <w:next w:val="Normal"/>
    <w:link w:val="Heading5Char"/>
    <w:uiPriority w:val="9"/>
    <w:unhideWhenUsed/>
    <w:qFormat/>
    <w:rsid w:val="00564A4D"/>
    <w:pPr>
      <w:keepNext/>
      <w:keepLines/>
      <w:spacing w:before="200"/>
      <w:outlineLvl w:val="4"/>
    </w:pPr>
    <w:rPr>
      <w:rFonts w:eastAsiaTheme="majorEastAsia" w:cstheme="majorBidi"/>
      <w:b/>
      <w:color w:val="243F60" w:themeColor="accent1" w:themeShade="7F"/>
    </w:rPr>
  </w:style>
  <w:style w:type="paragraph" w:styleId="Heading6">
    <w:name w:val="heading 6"/>
    <w:basedOn w:val="Normal"/>
    <w:next w:val="Normal"/>
    <w:link w:val="Heading6Char"/>
    <w:uiPriority w:val="9"/>
    <w:unhideWhenUsed/>
    <w:rsid w:val="00564A4D"/>
    <w:pPr>
      <w:keepNext/>
      <w:keepLines/>
      <w:spacing w:before="200"/>
      <w:outlineLvl w:val="5"/>
    </w:pPr>
    <w:rPr>
      <w:rFonts w:eastAsiaTheme="majorEastAsia" w:cstheme="majorBidi"/>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6659"/>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6C6659"/>
    <w:rPr>
      <w:rFonts w:ascii="Arial" w:eastAsiaTheme="majorEastAsia" w:hAnsi="Arial" w:cstheme="majorBidi"/>
      <w:b/>
      <w:bCs/>
      <w:sz w:val="28"/>
      <w:szCs w:val="26"/>
    </w:rPr>
  </w:style>
  <w:style w:type="character" w:customStyle="1" w:styleId="Heading3Char">
    <w:name w:val="Heading 3 Char"/>
    <w:basedOn w:val="DefaultParagraphFont"/>
    <w:link w:val="Heading3"/>
    <w:uiPriority w:val="9"/>
    <w:rsid w:val="00F64C7B"/>
    <w:rPr>
      <w:rFonts w:ascii="Arial" w:eastAsiaTheme="majorEastAsia" w:hAnsi="Arial" w:cstheme="majorBidi"/>
      <w:b/>
      <w:bCs/>
      <w:sz w:val="24"/>
    </w:rPr>
  </w:style>
  <w:style w:type="character" w:customStyle="1" w:styleId="Heading4Char">
    <w:name w:val="Heading 4 Char"/>
    <w:basedOn w:val="DefaultParagraphFont"/>
    <w:link w:val="Heading4"/>
    <w:uiPriority w:val="9"/>
    <w:rsid w:val="00F64C7B"/>
    <w:rPr>
      <w:rFonts w:ascii="Arial" w:eastAsiaTheme="majorEastAsia" w:hAnsi="Arial" w:cstheme="majorBidi"/>
      <w:b/>
      <w:bCs/>
      <w:i/>
      <w:iCs/>
      <w:color w:val="51626F"/>
      <w:sz w:val="24"/>
    </w:rPr>
  </w:style>
  <w:style w:type="character" w:customStyle="1" w:styleId="Heading5Char">
    <w:name w:val="Heading 5 Char"/>
    <w:basedOn w:val="DefaultParagraphFont"/>
    <w:link w:val="Heading5"/>
    <w:uiPriority w:val="9"/>
    <w:rsid w:val="00564A4D"/>
    <w:rPr>
      <w:rFonts w:ascii="Arial" w:eastAsiaTheme="majorEastAsia" w:hAnsi="Arial" w:cstheme="majorBidi"/>
      <w:b/>
      <w:color w:val="243F60" w:themeColor="accent1" w:themeShade="7F"/>
    </w:rPr>
  </w:style>
  <w:style w:type="character" w:customStyle="1" w:styleId="Heading6Char">
    <w:name w:val="Heading 6 Char"/>
    <w:basedOn w:val="DefaultParagraphFont"/>
    <w:link w:val="Heading6"/>
    <w:uiPriority w:val="9"/>
    <w:rsid w:val="00564A4D"/>
    <w:rPr>
      <w:rFonts w:ascii="Arial" w:eastAsiaTheme="majorEastAsia" w:hAnsi="Arial" w:cstheme="majorBidi"/>
      <w:i/>
      <w:iCs/>
      <w:sz w:val="20"/>
    </w:rPr>
  </w:style>
  <w:style w:type="paragraph" w:customStyle="1" w:styleId="Reporttitle">
    <w:name w:val="Report title"/>
    <w:basedOn w:val="Normal"/>
    <w:link w:val="ReporttitleChar"/>
    <w:qFormat/>
    <w:rsid w:val="00532467"/>
    <w:pPr>
      <w:spacing w:before="520"/>
    </w:pPr>
    <w:rPr>
      <w:rFonts w:ascii="Lucida Fax" w:hAnsi="Lucida Fax"/>
      <w:b/>
      <w:color w:val="4F2D7F"/>
      <w:sz w:val="56"/>
      <w:szCs w:val="56"/>
    </w:rPr>
  </w:style>
  <w:style w:type="character" w:customStyle="1" w:styleId="ReporttitleChar">
    <w:name w:val="Report title Char"/>
    <w:basedOn w:val="DefaultParagraphFont"/>
    <w:link w:val="Reporttitle"/>
    <w:rsid w:val="00532467"/>
    <w:rPr>
      <w:rFonts w:ascii="Lucida Fax" w:hAnsi="Lucida Fax"/>
      <w:b/>
      <w:color w:val="4F2D7F"/>
      <w:sz w:val="56"/>
      <w:szCs w:val="56"/>
    </w:rPr>
  </w:style>
  <w:style w:type="paragraph" w:customStyle="1" w:styleId="Chaptertitle">
    <w:name w:val="Chapter title"/>
    <w:basedOn w:val="Reporttitle"/>
    <w:link w:val="ChaptertitleChar"/>
    <w:qFormat/>
    <w:rsid w:val="00532467"/>
    <w:rPr>
      <w:b w:val="0"/>
      <w:sz w:val="52"/>
      <w:szCs w:val="52"/>
    </w:rPr>
  </w:style>
  <w:style w:type="character" w:customStyle="1" w:styleId="ChaptertitleChar">
    <w:name w:val="Chapter title Char"/>
    <w:basedOn w:val="ReporttitleChar"/>
    <w:link w:val="Chaptertitle"/>
    <w:rsid w:val="00532467"/>
    <w:rPr>
      <w:rFonts w:ascii="Lucida Fax" w:hAnsi="Lucida Fax"/>
      <w:b w:val="0"/>
      <w:color w:val="4F2D7F"/>
      <w:sz w:val="52"/>
      <w:szCs w:val="52"/>
    </w:rPr>
  </w:style>
  <w:style w:type="paragraph" w:customStyle="1" w:styleId="Numberedlist">
    <w:name w:val="Numbered list"/>
    <w:basedOn w:val="ListNumber"/>
    <w:qFormat/>
    <w:rsid w:val="00EA3D42"/>
    <w:pPr>
      <w:ind w:left="357" w:hanging="357"/>
    </w:pPr>
  </w:style>
  <w:style w:type="paragraph" w:customStyle="1" w:styleId="Numberedlist2">
    <w:name w:val="Numbered list 2"/>
    <w:basedOn w:val="ListNumber2"/>
    <w:qFormat/>
    <w:rsid w:val="00EA3D42"/>
    <w:pPr>
      <w:numPr>
        <w:numId w:val="18"/>
      </w:numPr>
    </w:pPr>
  </w:style>
  <w:style w:type="paragraph" w:customStyle="1" w:styleId="Copyrighttext">
    <w:name w:val="Copyright text"/>
    <w:basedOn w:val="Normal"/>
    <w:link w:val="CopyrighttextChar"/>
    <w:qFormat/>
    <w:rsid w:val="00EA3D42"/>
    <w:pPr>
      <w:ind w:left="1225"/>
      <w:contextualSpacing/>
    </w:pPr>
    <w:rPr>
      <w:sz w:val="16"/>
      <w:szCs w:val="16"/>
    </w:rPr>
  </w:style>
  <w:style w:type="character" w:customStyle="1" w:styleId="CopyrighttextChar">
    <w:name w:val="Copyright text Char"/>
    <w:basedOn w:val="DefaultParagraphFont"/>
    <w:link w:val="Copyrighttext"/>
    <w:rsid w:val="00EA3D42"/>
    <w:rPr>
      <w:rFonts w:ascii="Arial" w:hAnsi="Arial"/>
      <w:sz w:val="16"/>
      <w:szCs w:val="16"/>
    </w:rPr>
  </w:style>
  <w:style w:type="paragraph" w:customStyle="1" w:styleId="TableofcontentsTOCheading">
    <w:name w:val="Table of contents (TOC) heading"/>
    <w:basedOn w:val="Normal"/>
    <w:link w:val="TableofcontentsTOCheadingChar"/>
    <w:qFormat/>
    <w:rsid w:val="00EA3D42"/>
    <w:pPr>
      <w:spacing w:before="240" w:after="120"/>
      <w:ind w:left="1225"/>
      <w:contextualSpacing/>
    </w:pPr>
    <w:rPr>
      <w:b/>
      <w:sz w:val="20"/>
      <w:szCs w:val="20"/>
    </w:rPr>
  </w:style>
  <w:style w:type="character" w:customStyle="1" w:styleId="TableofcontentsTOCheadingChar">
    <w:name w:val="Table of contents (TOC) heading Char"/>
    <w:basedOn w:val="DefaultParagraphFont"/>
    <w:link w:val="TableofcontentsTOCheading"/>
    <w:rsid w:val="00EA3D42"/>
    <w:rPr>
      <w:rFonts w:ascii="Arial" w:hAnsi="Arial"/>
      <w:b/>
      <w:sz w:val="20"/>
      <w:szCs w:val="20"/>
    </w:rPr>
  </w:style>
  <w:style w:type="paragraph" w:customStyle="1" w:styleId="Tableofcontentstext">
    <w:name w:val="Table of contents text"/>
    <w:basedOn w:val="Normal"/>
    <w:link w:val="TableofcontentstextChar"/>
    <w:qFormat/>
    <w:rsid w:val="00EA3D42"/>
    <w:pPr>
      <w:ind w:left="1225"/>
      <w:contextualSpacing/>
    </w:pPr>
    <w:rPr>
      <w:sz w:val="20"/>
      <w:szCs w:val="20"/>
    </w:rPr>
  </w:style>
  <w:style w:type="character" w:customStyle="1" w:styleId="TableofcontentstextChar">
    <w:name w:val="Table of contents text Char"/>
    <w:basedOn w:val="DefaultParagraphFont"/>
    <w:link w:val="Tableofcontentstext"/>
    <w:rsid w:val="00EA3D42"/>
    <w:rPr>
      <w:rFonts w:ascii="Arial" w:hAnsi="Arial"/>
      <w:sz w:val="20"/>
      <w:szCs w:val="20"/>
    </w:rPr>
  </w:style>
  <w:style w:type="paragraph" w:customStyle="1" w:styleId="Headingnumbered1">
    <w:name w:val="Heading numbered 1."/>
    <w:basedOn w:val="Normal"/>
    <w:link w:val="Headingnumbered1Char"/>
    <w:qFormat/>
    <w:rsid w:val="00021202"/>
    <w:pPr>
      <w:numPr>
        <w:numId w:val="2"/>
      </w:numPr>
      <w:spacing w:before="520"/>
      <w:contextualSpacing/>
      <w:outlineLvl w:val="1"/>
    </w:pPr>
    <w:rPr>
      <w:rFonts w:ascii="Lucida Fax" w:hAnsi="Lucida Fax"/>
      <w:color w:val="51626F"/>
      <w:sz w:val="32"/>
      <w:szCs w:val="32"/>
    </w:rPr>
  </w:style>
  <w:style w:type="character" w:customStyle="1" w:styleId="Headingnumbered1Char">
    <w:name w:val="Heading numbered 1. Char"/>
    <w:basedOn w:val="DefaultParagraphFont"/>
    <w:link w:val="Headingnumbered1"/>
    <w:rsid w:val="00021202"/>
    <w:rPr>
      <w:rFonts w:ascii="Lucida Fax" w:hAnsi="Lucida Fax"/>
      <w:color w:val="51626F"/>
      <w:sz w:val="32"/>
      <w:szCs w:val="32"/>
    </w:rPr>
  </w:style>
  <w:style w:type="paragraph" w:customStyle="1" w:styleId="Headingnumbered11">
    <w:name w:val="Heading numbered 1.1"/>
    <w:basedOn w:val="Normal"/>
    <w:link w:val="Headingnumbered11Char"/>
    <w:qFormat/>
    <w:rsid w:val="00021202"/>
    <w:pPr>
      <w:numPr>
        <w:ilvl w:val="1"/>
        <w:numId w:val="5"/>
      </w:numPr>
      <w:spacing w:before="520"/>
      <w:ind w:left="958" w:hanging="958"/>
      <w:contextualSpacing/>
      <w:outlineLvl w:val="2"/>
    </w:pPr>
    <w:rPr>
      <w:b/>
      <w:color w:val="51626F"/>
      <w:sz w:val="28"/>
      <w:szCs w:val="24"/>
    </w:rPr>
  </w:style>
  <w:style w:type="character" w:customStyle="1" w:styleId="Headingnumbered11Char">
    <w:name w:val="Heading numbered 1.1 Char"/>
    <w:basedOn w:val="DefaultParagraphFont"/>
    <w:link w:val="Headingnumbered11"/>
    <w:rsid w:val="00021202"/>
    <w:rPr>
      <w:rFonts w:ascii="Arial" w:hAnsi="Arial"/>
      <w:b/>
      <w:color w:val="51626F"/>
      <w:sz w:val="28"/>
      <w:szCs w:val="24"/>
    </w:rPr>
  </w:style>
  <w:style w:type="paragraph" w:customStyle="1" w:styleId="Headingnumbered111">
    <w:name w:val="Heading numbered 1.1.1"/>
    <w:basedOn w:val="Normal"/>
    <w:link w:val="Headingnumbered111Char"/>
    <w:qFormat/>
    <w:rsid w:val="00021202"/>
    <w:pPr>
      <w:numPr>
        <w:ilvl w:val="2"/>
        <w:numId w:val="6"/>
      </w:numPr>
      <w:spacing w:before="240" w:after="240"/>
      <w:ind w:left="958" w:hanging="958"/>
      <w:contextualSpacing/>
      <w:outlineLvl w:val="3"/>
    </w:pPr>
    <w:rPr>
      <w:sz w:val="24"/>
      <w:szCs w:val="24"/>
    </w:rPr>
  </w:style>
  <w:style w:type="character" w:customStyle="1" w:styleId="Headingnumbered111Char">
    <w:name w:val="Heading numbered 1.1.1 Char"/>
    <w:basedOn w:val="DefaultParagraphFont"/>
    <w:link w:val="Headingnumbered111"/>
    <w:rsid w:val="00021202"/>
    <w:rPr>
      <w:rFonts w:ascii="Arial" w:hAnsi="Arial"/>
      <w:sz w:val="24"/>
      <w:szCs w:val="24"/>
    </w:rPr>
  </w:style>
  <w:style w:type="paragraph" w:customStyle="1" w:styleId="Tableheadingtext">
    <w:name w:val="Table heading text"/>
    <w:basedOn w:val="Normal"/>
    <w:link w:val="TableheadingtextChar"/>
    <w:qFormat/>
    <w:rsid w:val="00EA3D42"/>
    <w:pPr>
      <w:spacing w:before="240" w:after="240"/>
      <w:contextualSpacing/>
    </w:pPr>
    <w:rPr>
      <w:b/>
      <w:sz w:val="20"/>
      <w:szCs w:val="20"/>
    </w:rPr>
  </w:style>
  <w:style w:type="character" w:customStyle="1" w:styleId="TableheadingtextChar">
    <w:name w:val="Table heading text Char"/>
    <w:basedOn w:val="DefaultParagraphFont"/>
    <w:link w:val="Tableheadingtext"/>
    <w:rsid w:val="00EA3D42"/>
    <w:rPr>
      <w:rFonts w:ascii="Arial" w:hAnsi="Arial"/>
      <w:b/>
      <w:sz w:val="20"/>
      <w:szCs w:val="20"/>
    </w:rPr>
  </w:style>
  <w:style w:type="paragraph" w:customStyle="1" w:styleId="Tablebodytext">
    <w:name w:val="Table body text"/>
    <w:basedOn w:val="Normal"/>
    <w:link w:val="TablebodytextChar"/>
    <w:qFormat/>
    <w:rsid w:val="00EA3D42"/>
    <w:pPr>
      <w:ind w:left="1225"/>
      <w:contextualSpacing/>
    </w:pPr>
    <w:rPr>
      <w:sz w:val="20"/>
    </w:rPr>
  </w:style>
  <w:style w:type="character" w:customStyle="1" w:styleId="TablebodytextChar">
    <w:name w:val="Table body text Char"/>
    <w:basedOn w:val="DefaultParagraphFont"/>
    <w:link w:val="Tablebodytext"/>
    <w:rsid w:val="00EA3D42"/>
    <w:rPr>
      <w:rFonts w:ascii="Arial" w:hAnsi="Arial"/>
      <w:sz w:val="20"/>
    </w:rPr>
  </w:style>
  <w:style w:type="paragraph" w:customStyle="1" w:styleId="Chartheading">
    <w:name w:val="Chart heading"/>
    <w:basedOn w:val="Normal"/>
    <w:link w:val="ChartheadingChar"/>
    <w:qFormat/>
    <w:rsid w:val="00EA3D42"/>
    <w:pPr>
      <w:spacing w:before="240" w:after="240"/>
      <w:contextualSpacing/>
    </w:pPr>
    <w:rPr>
      <w:b/>
      <w:sz w:val="20"/>
      <w:szCs w:val="20"/>
    </w:rPr>
  </w:style>
  <w:style w:type="character" w:customStyle="1" w:styleId="ChartheadingChar">
    <w:name w:val="Chart heading Char"/>
    <w:basedOn w:val="DefaultParagraphFont"/>
    <w:link w:val="Chartheading"/>
    <w:rsid w:val="00EA3D42"/>
    <w:rPr>
      <w:rFonts w:ascii="Arial" w:hAnsi="Arial"/>
      <w:b/>
      <w:sz w:val="20"/>
      <w:szCs w:val="20"/>
    </w:rPr>
  </w:style>
  <w:style w:type="paragraph" w:customStyle="1" w:styleId="Boxedtextheading">
    <w:name w:val="Boxed text heading"/>
    <w:basedOn w:val="Normal"/>
    <w:link w:val="BoxedtextheadingChar"/>
    <w:qFormat/>
    <w:rsid w:val="00BE1F1B"/>
    <w:pPr>
      <w:pBdr>
        <w:top w:val="single" w:sz="4" w:space="4" w:color="auto"/>
        <w:left w:val="single" w:sz="4" w:space="4" w:color="auto"/>
        <w:bottom w:val="single" w:sz="4" w:space="4" w:color="auto"/>
        <w:right w:val="single" w:sz="4" w:space="4" w:color="auto"/>
      </w:pBdr>
      <w:spacing w:before="240" w:after="240"/>
      <w:contextualSpacing/>
    </w:pPr>
    <w:rPr>
      <w:b/>
      <w:sz w:val="20"/>
      <w:szCs w:val="20"/>
    </w:rPr>
  </w:style>
  <w:style w:type="character" w:customStyle="1" w:styleId="BoxedtextheadingChar">
    <w:name w:val="Boxed text heading Char"/>
    <w:basedOn w:val="DefaultParagraphFont"/>
    <w:link w:val="Boxedtextheading"/>
    <w:rsid w:val="00BE1F1B"/>
    <w:rPr>
      <w:rFonts w:ascii="Arial" w:hAnsi="Arial"/>
      <w:b/>
      <w:sz w:val="20"/>
      <w:szCs w:val="20"/>
    </w:rPr>
  </w:style>
  <w:style w:type="paragraph" w:customStyle="1" w:styleId="Boxedtext">
    <w:name w:val="Boxed text"/>
    <w:basedOn w:val="Normal"/>
    <w:link w:val="BoxedtextChar"/>
    <w:qFormat/>
    <w:rsid w:val="00BE1F1B"/>
    <w:pPr>
      <w:pBdr>
        <w:top w:val="single" w:sz="4" w:space="4" w:color="auto"/>
        <w:left w:val="single" w:sz="4" w:space="4" w:color="auto"/>
        <w:bottom w:val="single" w:sz="4" w:space="4" w:color="auto"/>
        <w:right w:val="single" w:sz="4" w:space="4" w:color="auto"/>
      </w:pBdr>
      <w:contextualSpacing/>
    </w:pPr>
    <w:rPr>
      <w:sz w:val="20"/>
      <w:szCs w:val="20"/>
    </w:rPr>
  </w:style>
  <w:style w:type="character" w:customStyle="1" w:styleId="BoxedtextChar">
    <w:name w:val="Boxed text Char"/>
    <w:basedOn w:val="DefaultParagraphFont"/>
    <w:link w:val="Boxedtext"/>
    <w:rsid w:val="00BE1F1B"/>
    <w:rPr>
      <w:rFonts w:ascii="Arial" w:hAnsi="Arial"/>
      <w:sz w:val="20"/>
      <w:szCs w:val="20"/>
    </w:rPr>
  </w:style>
  <w:style w:type="paragraph" w:customStyle="1" w:styleId="Pullquoteheading">
    <w:name w:val="Pull quote heading"/>
    <w:basedOn w:val="Normal"/>
    <w:link w:val="PullquoteheadingChar"/>
    <w:qFormat/>
    <w:rsid w:val="00EA3D42"/>
    <w:pPr>
      <w:spacing w:after="120"/>
      <w:contextualSpacing/>
    </w:pPr>
    <w:rPr>
      <w:rFonts w:ascii="Lucida Fax" w:hAnsi="Lucida Fax"/>
      <w:b/>
      <w:color w:val="DC5034"/>
      <w:sz w:val="24"/>
      <w:szCs w:val="24"/>
    </w:rPr>
  </w:style>
  <w:style w:type="character" w:customStyle="1" w:styleId="PullquoteheadingChar">
    <w:name w:val="Pull quote heading Char"/>
    <w:basedOn w:val="DefaultParagraphFont"/>
    <w:link w:val="Pullquoteheading"/>
    <w:rsid w:val="00EA3D42"/>
    <w:rPr>
      <w:rFonts w:ascii="Lucida Fax" w:hAnsi="Lucida Fax"/>
      <w:b/>
      <w:color w:val="DC5034"/>
      <w:sz w:val="24"/>
      <w:szCs w:val="24"/>
    </w:rPr>
  </w:style>
  <w:style w:type="paragraph" w:customStyle="1" w:styleId="Pullquotetext">
    <w:name w:val="Pull quote text"/>
    <w:basedOn w:val="Pullquoteheading"/>
    <w:link w:val="PullquotetextChar"/>
    <w:qFormat/>
    <w:rsid w:val="007C1C53"/>
    <w:rPr>
      <w:b w:val="0"/>
    </w:rPr>
  </w:style>
  <w:style w:type="character" w:customStyle="1" w:styleId="PullquotetextChar">
    <w:name w:val="Pull quote text Char"/>
    <w:basedOn w:val="PullquoteheadingChar"/>
    <w:link w:val="Pullquotetext"/>
    <w:rsid w:val="007C1C53"/>
    <w:rPr>
      <w:rFonts w:ascii="Lucida Fax" w:hAnsi="Lucida Fax"/>
      <w:b w:val="0"/>
      <w:color w:val="DC5034"/>
      <w:sz w:val="24"/>
      <w:szCs w:val="24"/>
    </w:rPr>
  </w:style>
  <w:style w:type="paragraph" w:customStyle="1" w:styleId="Note">
    <w:name w:val="Note"/>
    <w:basedOn w:val="Normal"/>
    <w:link w:val="NoteChar"/>
    <w:qFormat/>
    <w:rsid w:val="00EA3D42"/>
    <w:pPr>
      <w:spacing w:after="120"/>
      <w:contextualSpacing/>
    </w:pPr>
    <w:rPr>
      <w:i/>
      <w:sz w:val="16"/>
      <w:szCs w:val="16"/>
    </w:rPr>
  </w:style>
  <w:style w:type="character" w:customStyle="1" w:styleId="NoteChar">
    <w:name w:val="Note Char"/>
    <w:basedOn w:val="DefaultParagraphFont"/>
    <w:link w:val="Note"/>
    <w:rsid w:val="00EA3D42"/>
    <w:rPr>
      <w:rFonts w:ascii="Arial" w:hAnsi="Arial"/>
      <w:i/>
      <w:sz w:val="16"/>
      <w:szCs w:val="16"/>
    </w:rPr>
  </w:style>
  <w:style w:type="paragraph" w:customStyle="1" w:styleId="Source">
    <w:name w:val="Source"/>
    <w:basedOn w:val="Normal"/>
    <w:link w:val="SourceChar"/>
    <w:qFormat/>
    <w:rsid w:val="00EA3D42"/>
    <w:pPr>
      <w:spacing w:before="60"/>
      <w:contextualSpacing/>
    </w:pPr>
    <w:rPr>
      <w:sz w:val="16"/>
      <w:szCs w:val="16"/>
    </w:rPr>
  </w:style>
  <w:style w:type="character" w:customStyle="1" w:styleId="SourceChar">
    <w:name w:val="Source Char"/>
    <w:basedOn w:val="DefaultParagraphFont"/>
    <w:link w:val="Source"/>
    <w:rsid w:val="00EA3D42"/>
    <w:rPr>
      <w:rFonts w:ascii="Arial" w:hAnsi="Arial"/>
      <w:sz w:val="16"/>
      <w:szCs w:val="16"/>
    </w:rPr>
  </w:style>
  <w:style w:type="paragraph" w:customStyle="1" w:styleId="Footnotes">
    <w:name w:val="Footnotes"/>
    <w:basedOn w:val="Normal"/>
    <w:link w:val="FootnotesChar"/>
    <w:qFormat/>
    <w:rsid w:val="00EA3D42"/>
    <w:pPr>
      <w:spacing w:before="60"/>
      <w:contextualSpacing/>
    </w:pPr>
    <w:rPr>
      <w:sz w:val="16"/>
      <w:szCs w:val="16"/>
    </w:rPr>
  </w:style>
  <w:style w:type="character" w:customStyle="1" w:styleId="FootnotesChar">
    <w:name w:val="Footnotes Char"/>
    <w:basedOn w:val="DefaultParagraphFont"/>
    <w:link w:val="Footnotes"/>
    <w:rsid w:val="00EA3D42"/>
    <w:rPr>
      <w:rFonts w:ascii="Arial" w:hAnsi="Arial"/>
      <w:sz w:val="16"/>
      <w:szCs w:val="16"/>
    </w:rPr>
  </w:style>
  <w:style w:type="paragraph" w:styleId="Quote">
    <w:name w:val="Quote"/>
    <w:basedOn w:val="Normal"/>
    <w:next w:val="Normal"/>
    <w:link w:val="QuoteChar"/>
    <w:uiPriority w:val="29"/>
    <w:qFormat/>
    <w:rsid w:val="00D61A54"/>
    <w:pPr>
      <w:ind w:left="340"/>
    </w:pPr>
    <w:rPr>
      <w:i/>
      <w:iCs/>
      <w:color w:val="000000" w:themeColor="text1"/>
    </w:rPr>
  </w:style>
  <w:style w:type="character" w:customStyle="1" w:styleId="QuoteChar">
    <w:name w:val="Quote Char"/>
    <w:basedOn w:val="DefaultParagraphFont"/>
    <w:link w:val="Quote"/>
    <w:uiPriority w:val="29"/>
    <w:rsid w:val="00D61A54"/>
    <w:rPr>
      <w:rFonts w:ascii="Arial" w:hAnsi="Arial"/>
      <w:i/>
      <w:iCs/>
      <w:color w:val="000000" w:themeColor="text1"/>
    </w:rPr>
  </w:style>
  <w:style w:type="paragraph" w:customStyle="1" w:styleId="Charttext">
    <w:name w:val="Chart text"/>
    <w:basedOn w:val="Normal"/>
    <w:qFormat/>
    <w:rsid w:val="007C1C53"/>
    <w:pPr>
      <w:spacing w:after="120"/>
    </w:pPr>
    <w:rPr>
      <w:sz w:val="20"/>
    </w:rPr>
  </w:style>
  <w:style w:type="paragraph" w:customStyle="1" w:styleId="Bulletpoint">
    <w:name w:val="Bullet point"/>
    <w:basedOn w:val="ListBullet"/>
    <w:qFormat/>
    <w:rsid w:val="00EA3D42"/>
    <w:rPr>
      <w:rFonts w:cs="Times New Roman"/>
    </w:rPr>
  </w:style>
  <w:style w:type="paragraph" w:styleId="ListBullet">
    <w:name w:val="List Bullet"/>
    <w:basedOn w:val="Normal"/>
    <w:uiPriority w:val="99"/>
    <w:semiHidden/>
    <w:unhideWhenUsed/>
    <w:rsid w:val="00D61A54"/>
    <w:pPr>
      <w:numPr>
        <w:numId w:val="7"/>
      </w:numPr>
      <w:contextualSpacing/>
    </w:pPr>
  </w:style>
  <w:style w:type="paragraph" w:customStyle="1" w:styleId="Bulletpoint2">
    <w:name w:val="Bullet point 2"/>
    <w:basedOn w:val="ListBullet2"/>
    <w:qFormat/>
    <w:rsid w:val="00EA3D42"/>
    <w:pPr>
      <w:numPr>
        <w:numId w:val="17"/>
      </w:numPr>
    </w:pPr>
  </w:style>
  <w:style w:type="paragraph" w:styleId="ListNumber">
    <w:name w:val="List Number"/>
    <w:basedOn w:val="Normal"/>
    <w:uiPriority w:val="99"/>
    <w:semiHidden/>
    <w:unhideWhenUsed/>
    <w:rsid w:val="00EA3D42"/>
    <w:pPr>
      <w:numPr>
        <w:numId w:val="12"/>
      </w:numPr>
      <w:contextualSpacing/>
    </w:pPr>
  </w:style>
  <w:style w:type="paragraph" w:styleId="ListBullet2">
    <w:name w:val="List Bullet 2"/>
    <w:basedOn w:val="Normal"/>
    <w:uiPriority w:val="99"/>
    <w:semiHidden/>
    <w:unhideWhenUsed/>
    <w:rsid w:val="00EA3D42"/>
    <w:pPr>
      <w:numPr>
        <w:numId w:val="8"/>
      </w:numPr>
      <w:contextualSpacing/>
    </w:pPr>
  </w:style>
  <w:style w:type="paragraph" w:styleId="TOCHeading">
    <w:name w:val="TOC Heading"/>
    <w:basedOn w:val="Heading1"/>
    <w:next w:val="Normal"/>
    <w:uiPriority w:val="39"/>
    <w:semiHidden/>
    <w:unhideWhenUsed/>
    <w:qFormat/>
    <w:rsid w:val="003518B3"/>
    <w:pPr>
      <w:spacing w:before="480" w:line="276" w:lineRule="auto"/>
      <w:outlineLvl w:val="9"/>
    </w:pPr>
    <w:rPr>
      <w:rFonts w:asciiTheme="majorHAnsi" w:hAnsiTheme="majorHAnsi"/>
      <w:b w:val="0"/>
      <w:color w:val="365F91" w:themeColor="accent1" w:themeShade="BF"/>
      <w:lang w:val="en-US" w:eastAsia="ja-JP"/>
    </w:rPr>
  </w:style>
  <w:style w:type="paragraph" w:styleId="ListNumber2">
    <w:name w:val="List Number 2"/>
    <w:basedOn w:val="Normal"/>
    <w:uiPriority w:val="99"/>
    <w:semiHidden/>
    <w:unhideWhenUsed/>
    <w:rsid w:val="00EA3D42"/>
    <w:pPr>
      <w:numPr>
        <w:numId w:val="13"/>
      </w:numPr>
      <w:contextualSpacing/>
    </w:pPr>
  </w:style>
  <w:style w:type="character" w:styleId="Hyperlink">
    <w:name w:val="Hyperlink"/>
    <w:basedOn w:val="DefaultParagraphFont"/>
    <w:uiPriority w:val="99"/>
    <w:unhideWhenUsed/>
    <w:qFormat/>
    <w:rsid w:val="00BE1F1B"/>
    <w:rPr>
      <w:rFonts w:ascii="Arial" w:hAnsi="Arial"/>
      <w:color w:val="0000FF"/>
      <w:sz w:val="22"/>
      <w:u w:val="single"/>
    </w:rPr>
  </w:style>
  <w:style w:type="paragraph" w:styleId="BalloonText">
    <w:name w:val="Balloon Text"/>
    <w:basedOn w:val="Normal"/>
    <w:link w:val="BalloonTextChar"/>
    <w:uiPriority w:val="99"/>
    <w:semiHidden/>
    <w:unhideWhenUsed/>
    <w:rsid w:val="003518B3"/>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8B3"/>
    <w:rPr>
      <w:rFonts w:ascii="Tahoma" w:hAnsi="Tahoma" w:cs="Tahoma"/>
      <w:sz w:val="16"/>
      <w:szCs w:val="16"/>
    </w:rPr>
  </w:style>
  <w:style w:type="paragraph" w:styleId="Footer">
    <w:name w:val="footer"/>
    <w:basedOn w:val="Normal"/>
    <w:link w:val="FooterChar"/>
    <w:uiPriority w:val="99"/>
    <w:unhideWhenUsed/>
    <w:qFormat/>
    <w:rsid w:val="001573E4"/>
    <w:pPr>
      <w:tabs>
        <w:tab w:val="center" w:pos="4513"/>
        <w:tab w:val="right" w:pos="9026"/>
      </w:tabs>
      <w:spacing w:before="60"/>
    </w:pPr>
    <w:rPr>
      <w:sz w:val="16"/>
    </w:rPr>
  </w:style>
  <w:style w:type="character" w:customStyle="1" w:styleId="FooterChar">
    <w:name w:val="Footer Char"/>
    <w:basedOn w:val="DefaultParagraphFont"/>
    <w:link w:val="Footer"/>
    <w:uiPriority w:val="99"/>
    <w:rsid w:val="001573E4"/>
    <w:rPr>
      <w:rFonts w:ascii="Arial" w:hAnsi="Arial"/>
      <w:sz w:val="16"/>
    </w:rPr>
  </w:style>
  <w:style w:type="paragraph" w:styleId="ListParagraph">
    <w:name w:val="List Paragraph"/>
    <w:basedOn w:val="Normal"/>
    <w:uiPriority w:val="34"/>
    <w:qFormat/>
    <w:rsid w:val="00A60A26"/>
    <w:pPr>
      <w:ind w:left="357"/>
      <w:contextualSpacing/>
    </w:pPr>
  </w:style>
  <w:style w:type="paragraph" w:styleId="FootnoteText">
    <w:name w:val="footnote text"/>
    <w:basedOn w:val="Normal"/>
    <w:link w:val="FootnoteTextChar"/>
    <w:uiPriority w:val="99"/>
    <w:semiHidden/>
    <w:unhideWhenUsed/>
    <w:rsid w:val="00E52090"/>
    <w:pPr>
      <w:spacing w:before="0"/>
    </w:pPr>
    <w:rPr>
      <w:sz w:val="20"/>
      <w:szCs w:val="20"/>
    </w:rPr>
  </w:style>
  <w:style w:type="character" w:customStyle="1" w:styleId="FootnoteTextChar">
    <w:name w:val="Footnote Text Char"/>
    <w:basedOn w:val="DefaultParagraphFont"/>
    <w:link w:val="FootnoteText"/>
    <w:uiPriority w:val="99"/>
    <w:semiHidden/>
    <w:rsid w:val="00E52090"/>
    <w:rPr>
      <w:rFonts w:ascii="Arial" w:hAnsi="Arial"/>
      <w:sz w:val="20"/>
      <w:szCs w:val="20"/>
    </w:rPr>
  </w:style>
  <w:style w:type="character" w:styleId="FootnoteReference">
    <w:name w:val="footnote reference"/>
    <w:basedOn w:val="DefaultParagraphFont"/>
    <w:uiPriority w:val="99"/>
    <w:semiHidden/>
    <w:unhideWhenUsed/>
    <w:rsid w:val="00E52090"/>
    <w:rPr>
      <w:vertAlign w:val="superscript"/>
    </w:rPr>
  </w:style>
  <w:style w:type="paragraph" w:styleId="Header">
    <w:name w:val="header"/>
    <w:basedOn w:val="Normal"/>
    <w:link w:val="HeaderChar"/>
    <w:uiPriority w:val="99"/>
    <w:unhideWhenUsed/>
    <w:rsid w:val="00F53A29"/>
    <w:pPr>
      <w:tabs>
        <w:tab w:val="center" w:pos="4513"/>
        <w:tab w:val="right" w:pos="9026"/>
      </w:tabs>
      <w:spacing w:before="0"/>
    </w:pPr>
  </w:style>
  <w:style w:type="character" w:customStyle="1" w:styleId="HeaderChar">
    <w:name w:val="Header Char"/>
    <w:basedOn w:val="DefaultParagraphFont"/>
    <w:link w:val="Header"/>
    <w:uiPriority w:val="99"/>
    <w:rsid w:val="00F53A29"/>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lsdException w:name="Default Paragraph Font" w:uiPriority="1"/>
    <w:lsdException w:name="Subtitle" w:semiHidden="0" w:uiPriority="11" w:unhideWhenUsed="0"/>
    <w:lsdException w:name="Hyperlink"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60A26"/>
    <w:pPr>
      <w:spacing w:before="120" w:after="0" w:line="240" w:lineRule="auto"/>
    </w:pPr>
    <w:rPr>
      <w:rFonts w:ascii="Arial" w:hAnsi="Arial"/>
    </w:rPr>
  </w:style>
  <w:style w:type="paragraph" w:styleId="Heading1">
    <w:name w:val="heading 1"/>
    <w:basedOn w:val="Normal"/>
    <w:next w:val="Normal"/>
    <w:link w:val="Heading1Char"/>
    <w:uiPriority w:val="9"/>
    <w:qFormat/>
    <w:rsid w:val="006C6659"/>
    <w:pPr>
      <w:keepNext/>
      <w:keepLines/>
      <w:spacing w:before="60"/>
      <w:jc w:val="right"/>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6C6659"/>
    <w:pPr>
      <w:keepNext/>
      <w:keepLines/>
      <w:spacing w:before="420"/>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F64C7B"/>
    <w:pPr>
      <w:keepNext/>
      <w:keepLines/>
      <w:spacing w:before="200"/>
      <w:outlineLvl w:val="2"/>
    </w:pPr>
    <w:rPr>
      <w:rFonts w:eastAsiaTheme="majorEastAsia" w:cstheme="majorBidi"/>
      <w:b/>
      <w:bCs/>
      <w:sz w:val="24"/>
    </w:rPr>
  </w:style>
  <w:style w:type="paragraph" w:styleId="Heading4">
    <w:name w:val="heading 4"/>
    <w:basedOn w:val="Normal"/>
    <w:next w:val="Normal"/>
    <w:link w:val="Heading4Char"/>
    <w:uiPriority w:val="9"/>
    <w:unhideWhenUsed/>
    <w:qFormat/>
    <w:rsid w:val="00F64C7B"/>
    <w:pPr>
      <w:keepNext/>
      <w:keepLines/>
      <w:spacing w:before="200"/>
      <w:outlineLvl w:val="3"/>
    </w:pPr>
    <w:rPr>
      <w:rFonts w:eastAsiaTheme="majorEastAsia" w:cstheme="majorBidi"/>
      <w:b/>
      <w:bCs/>
      <w:i/>
      <w:iCs/>
      <w:color w:val="51626F"/>
      <w:sz w:val="24"/>
    </w:rPr>
  </w:style>
  <w:style w:type="paragraph" w:styleId="Heading5">
    <w:name w:val="heading 5"/>
    <w:basedOn w:val="Normal"/>
    <w:next w:val="Normal"/>
    <w:link w:val="Heading5Char"/>
    <w:uiPriority w:val="9"/>
    <w:unhideWhenUsed/>
    <w:qFormat/>
    <w:rsid w:val="00564A4D"/>
    <w:pPr>
      <w:keepNext/>
      <w:keepLines/>
      <w:spacing w:before="200"/>
      <w:outlineLvl w:val="4"/>
    </w:pPr>
    <w:rPr>
      <w:rFonts w:eastAsiaTheme="majorEastAsia" w:cstheme="majorBidi"/>
      <w:b/>
      <w:color w:val="243F60" w:themeColor="accent1" w:themeShade="7F"/>
    </w:rPr>
  </w:style>
  <w:style w:type="paragraph" w:styleId="Heading6">
    <w:name w:val="heading 6"/>
    <w:basedOn w:val="Normal"/>
    <w:next w:val="Normal"/>
    <w:link w:val="Heading6Char"/>
    <w:uiPriority w:val="9"/>
    <w:unhideWhenUsed/>
    <w:rsid w:val="00564A4D"/>
    <w:pPr>
      <w:keepNext/>
      <w:keepLines/>
      <w:spacing w:before="200"/>
      <w:outlineLvl w:val="5"/>
    </w:pPr>
    <w:rPr>
      <w:rFonts w:eastAsiaTheme="majorEastAsia" w:cstheme="majorBidi"/>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6659"/>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6C6659"/>
    <w:rPr>
      <w:rFonts w:ascii="Arial" w:eastAsiaTheme="majorEastAsia" w:hAnsi="Arial" w:cstheme="majorBidi"/>
      <w:b/>
      <w:bCs/>
      <w:sz w:val="28"/>
      <w:szCs w:val="26"/>
    </w:rPr>
  </w:style>
  <w:style w:type="character" w:customStyle="1" w:styleId="Heading3Char">
    <w:name w:val="Heading 3 Char"/>
    <w:basedOn w:val="DefaultParagraphFont"/>
    <w:link w:val="Heading3"/>
    <w:uiPriority w:val="9"/>
    <w:rsid w:val="00F64C7B"/>
    <w:rPr>
      <w:rFonts w:ascii="Arial" w:eastAsiaTheme="majorEastAsia" w:hAnsi="Arial" w:cstheme="majorBidi"/>
      <w:b/>
      <w:bCs/>
      <w:sz w:val="24"/>
    </w:rPr>
  </w:style>
  <w:style w:type="character" w:customStyle="1" w:styleId="Heading4Char">
    <w:name w:val="Heading 4 Char"/>
    <w:basedOn w:val="DefaultParagraphFont"/>
    <w:link w:val="Heading4"/>
    <w:uiPriority w:val="9"/>
    <w:rsid w:val="00F64C7B"/>
    <w:rPr>
      <w:rFonts w:ascii="Arial" w:eastAsiaTheme="majorEastAsia" w:hAnsi="Arial" w:cstheme="majorBidi"/>
      <w:b/>
      <w:bCs/>
      <w:i/>
      <w:iCs/>
      <w:color w:val="51626F"/>
      <w:sz w:val="24"/>
    </w:rPr>
  </w:style>
  <w:style w:type="character" w:customStyle="1" w:styleId="Heading5Char">
    <w:name w:val="Heading 5 Char"/>
    <w:basedOn w:val="DefaultParagraphFont"/>
    <w:link w:val="Heading5"/>
    <w:uiPriority w:val="9"/>
    <w:rsid w:val="00564A4D"/>
    <w:rPr>
      <w:rFonts w:ascii="Arial" w:eastAsiaTheme="majorEastAsia" w:hAnsi="Arial" w:cstheme="majorBidi"/>
      <w:b/>
      <w:color w:val="243F60" w:themeColor="accent1" w:themeShade="7F"/>
    </w:rPr>
  </w:style>
  <w:style w:type="character" w:customStyle="1" w:styleId="Heading6Char">
    <w:name w:val="Heading 6 Char"/>
    <w:basedOn w:val="DefaultParagraphFont"/>
    <w:link w:val="Heading6"/>
    <w:uiPriority w:val="9"/>
    <w:rsid w:val="00564A4D"/>
    <w:rPr>
      <w:rFonts w:ascii="Arial" w:eastAsiaTheme="majorEastAsia" w:hAnsi="Arial" w:cstheme="majorBidi"/>
      <w:i/>
      <w:iCs/>
      <w:sz w:val="20"/>
    </w:rPr>
  </w:style>
  <w:style w:type="paragraph" w:customStyle="1" w:styleId="Reporttitle">
    <w:name w:val="Report title"/>
    <w:basedOn w:val="Normal"/>
    <w:link w:val="ReporttitleChar"/>
    <w:qFormat/>
    <w:rsid w:val="00532467"/>
    <w:pPr>
      <w:spacing w:before="520"/>
    </w:pPr>
    <w:rPr>
      <w:rFonts w:ascii="Lucida Fax" w:hAnsi="Lucida Fax"/>
      <w:b/>
      <w:color w:val="4F2D7F"/>
      <w:sz w:val="56"/>
      <w:szCs w:val="56"/>
    </w:rPr>
  </w:style>
  <w:style w:type="character" w:customStyle="1" w:styleId="ReporttitleChar">
    <w:name w:val="Report title Char"/>
    <w:basedOn w:val="DefaultParagraphFont"/>
    <w:link w:val="Reporttitle"/>
    <w:rsid w:val="00532467"/>
    <w:rPr>
      <w:rFonts w:ascii="Lucida Fax" w:hAnsi="Lucida Fax"/>
      <w:b/>
      <w:color w:val="4F2D7F"/>
      <w:sz w:val="56"/>
      <w:szCs w:val="56"/>
    </w:rPr>
  </w:style>
  <w:style w:type="paragraph" w:customStyle="1" w:styleId="Chaptertitle">
    <w:name w:val="Chapter title"/>
    <w:basedOn w:val="Reporttitle"/>
    <w:link w:val="ChaptertitleChar"/>
    <w:qFormat/>
    <w:rsid w:val="00532467"/>
    <w:rPr>
      <w:b w:val="0"/>
      <w:sz w:val="52"/>
      <w:szCs w:val="52"/>
    </w:rPr>
  </w:style>
  <w:style w:type="character" w:customStyle="1" w:styleId="ChaptertitleChar">
    <w:name w:val="Chapter title Char"/>
    <w:basedOn w:val="ReporttitleChar"/>
    <w:link w:val="Chaptertitle"/>
    <w:rsid w:val="00532467"/>
    <w:rPr>
      <w:rFonts w:ascii="Lucida Fax" w:hAnsi="Lucida Fax"/>
      <w:b w:val="0"/>
      <w:color w:val="4F2D7F"/>
      <w:sz w:val="52"/>
      <w:szCs w:val="52"/>
    </w:rPr>
  </w:style>
  <w:style w:type="paragraph" w:customStyle="1" w:styleId="Numberedlist">
    <w:name w:val="Numbered list"/>
    <w:basedOn w:val="ListNumber"/>
    <w:qFormat/>
    <w:rsid w:val="00EA3D42"/>
    <w:pPr>
      <w:ind w:left="357" w:hanging="357"/>
    </w:pPr>
  </w:style>
  <w:style w:type="paragraph" w:customStyle="1" w:styleId="Numberedlist2">
    <w:name w:val="Numbered list 2"/>
    <w:basedOn w:val="ListNumber2"/>
    <w:qFormat/>
    <w:rsid w:val="00EA3D42"/>
    <w:pPr>
      <w:numPr>
        <w:numId w:val="18"/>
      </w:numPr>
    </w:pPr>
  </w:style>
  <w:style w:type="paragraph" w:customStyle="1" w:styleId="Copyrighttext">
    <w:name w:val="Copyright text"/>
    <w:basedOn w:val="Normal"/>
    <w:link w:val="CopyrighttextChar"/>
    <w:qFormat/>
    <w:rsid w:val="00EA3D42"/>
    <w:pPr>
      <w:ind w:left="1225"/>
      <w:contextualSpacing/>
    </w:pPr>
    <w:rPr>
      <w:sz w:val="16"/>
      <w:szCs w:val="16"/>
    </w:rPr>
  </w:style>
  <w:style w:type="character" w:customStyle="1" w:styleId="CopyrighttextChar">
    <w:name w:val="Copyright text Char"/>
    <w:basedOn w:val="DefaultParagraphFont"/>
    <w:link w:val="Copyrighttext"/>
    <w:rsid w:val="00EA3D42"/>
    <w:rPr>
      <w:rFonts w:ascii="Arial" w:hAnsi="Arial"/>
      <w:sz w:val="16"/>
      <w:szCs w:val="16"/>
    </w:rPr>
  </w:style>
  <w:style w:type="paragraph" w:customStyle="1" w:styleId="TableofcontentsTOCheading">
    <w:name w:val="Table of contents (TOC) heading"/>
    <w:basedOn w:val="Normal"/>
    <w:link w:val="TableofcontentsTOCheadingChar"/>
    <w:qFormat/>
    <w:rsid w:val="00EA3D42"/>
    <w:pPr>
      <w:spacing w:before="240" w:after="120"/>
      <w:ind w:left="1225"/>
      <w:contextualSpacing/>
    </w:pPr>
    <w:rPr>
      <w:b/>
      <w:sz w:val="20"/>
      <w:szCs w:val="20"/>
    </w:rPr>
  </w:style>
  <w:style w:type="character" w:customStyle="1" w:styleId="TableofcontentsTOCheadingChar">
    <w:name w:val="Table of contents (TOC) heading Char"/>
    <w:basedOn w:val="DefaultParagraphFont"/>
    <w:link w:val="TableofcontentsTOCheading"/>
    <w:rsid w:val="00EA3D42"/>
    <w:rPr>
      <w:rFonts w:ascii="Arial" w:hAnsi="Arial"/>
      <w:b/>
      <w:sz w:val="20"/>
      <w:szCs w:val="20"/>
    </w:rPr>
  </w:style>
  <w:style w:type="paragraph" w:customStyle="1" w:styleId="Tableofcontentstext">
    <w:name w:val="Table of contents text"/>
    <w:basedOn w:val="Normal"/>
    <w:link w:val="TableofcontentstextChar"/>
    <w:qFormat/>
    <w:rsid w:val="00EA3D42"/>
    <w:pPr>
      <w:ind w:left="1225"/>
      <w:contextualSpacing/>
    </w:pPr>
    <w:rPr>
      <w:sz w:val="20"/>
      <w:szCs w:val="20"/>
    </w:rPr>
  </w:style>
  <w:style w:type="character" w:customStyle="1" w:styleId="TableofcontentstextChar">
    <w:name w:val="Table of contents text Char"/>
    <w:basedOn w:val="DefaultParagraphFont"/>
    <w:link w:val="Tableofcontentstext"/>
    <w:rsid w:val="00EA3D42"/>
    <w:rPr>
      <w:rFonts w:ascii="Arial" w:hAnsi="Arial"/>
      <w:sz w:val="20"/>
      <w:szCs w:val="20"/>
    </w:rPr>
  </w:style>
  <w:style w:type="paragraph" w:customStyle="1" w:styleId="Headingnumbered1">
    <w:name w:val="Heading numbered 1."/>
    <w:basedOn w:val="Normal"/>
    <w:link w:val="Headingnumbered1Char"/>
    <w:qFormat/>
    <w:rsid w:val="00021202"/>
    <w:pPr>
      <w:numPr>
        <w:numId w:val="2"/>
      </w:numPr>
      <w:spacing w:before="520"/>
      <w:contextualSpacing/>
      <w:outlineLvl w:val="1"/>
    </w:pPr>
    <w:rPr>
      <w:rFonts w:ascii="Lucida Fax" w:hAnsi="Lucida Fax"/>
      <w:color w:val="51626F"/>
      <w:sz w:val="32"/>
      <w:szCs w:val="32"/>
    </w:rPr>
  </w:style>
  <w:style w:type="character" w:customStyle="1" w:styleId="Headingnumbered1Char">
    <w:name w:val="Heading numbered 1. Char"/>
    <w:basedOn w:val="DefaultParagraphFont"/>
    <w:link w:val="Headingnumbered1"/>
    <w:rsid w:val="00021202"/>
    <w:rPr>
      <w:rFonts w:ascii="Lucida Fax" w:hAnsi="Lucida Fax"/>
      <w:color w:val="51626F"/>
      <w:sz w:val="32"/>
      <w:szCs w:val="32"/>
    </w:rPr>
  </w:style>
  <w:style w:type="paragraph" w:customStyle="1" w:styleId="Headingnumbered11">
    <w:name w:val="Heading numbered 1.1"/>
    <w:basedOn w:val="Normal"/>
    <w:link w:val="Headingnumbered11Char"/>
    <w:qFormat/>
    <w:rsid w:val="00021202"/>
    <w:pPr>
      <w:numPr>
        <w:ilvl w:val="1"/>
        <w:numId w:val="5"/>
      </w:numPr>
      <w:spacing w:before="520"/>
      <w:ind w:left="958" w:hanging="958"/>
      <w:contextualSpacing/>
      <w:outlineLvl w:val="2"/>
    </w:pPr>
    <w:rPr>
      <w:b/>
      <w:color w:val="51626F"/>
      <w:sz w:val="28"/>
      <w:szCs w:val="24"/>
    </w:rPr>
  </w:style>
  <w:style w:type="character" w:customStyle="1" w:styleId="Headingnumbered11Char">
    <w:name w:val="Heading numbered 1.1 Char"/>
    <w:basedOn w:val="DefaultParagraphFont"/>
    <w:link w:val="Headingnumbered11"/>
    <w:rsid w:val="00021202"/>
    <w:rPr>
      <w:rFonts w:ascii="Arial" w:hAnsi="Arial"/>
      <w:b/>
      <w:color w:val="51626F"/>
      <w:sz w:val="28"/>
      <w:szCs w:val="24"/>
    </w:rPr>
  </w:style>
  <w:style w:type="paragraph" w:customStyle="1" w:styleId="Headingnumbered111">
    <w:name w:val="Heading numbered 1.1.1"/>
    <w:basedOn w:val="Normal"/>
    <w:link w:val="Headingnumbered111Char"/>
    <w:qFormat/>
    <w:rsid w:val="00021202"/>
    <w:pPr>
      <w:numPr>
        <w:ilvl w:val="2"/>
        <w:numId w:val="6"/>
      </w:numPr>
      <w:spacing w:before="240" w:after="240"/>
      <w:ind w:left="958" w:hanging="958"/>
      <w:contextualSpacing/>
      <w:outlineLvl w:val="3"/>
    </w:pPr>
    <w:rPr>
      <w:sz w:val="24"/>
      <w:szCs w:val="24"/>
    </w:rPr>
  </w:style>
  <w:style w:type="character" w:customStyle="1" w:styleId="Headingnumbered111Char">
    <w:name w:val="Heading numbered 1.1.1 Char"/>
    <w:basedOn w:val="DefaultParagraphFont"/>
    <w:link w:val="Headingnumbered111"/>
    <w:rsid w:val="00021202"/>
    <w:rPr>
      <w:rFonts w:ascii="Arial" w:hAnsi="Arial"/>
      <w:sz w:val="24"/>
      <w:szCs w:val="24"/>
    </w:rPr>
  </w:style>
  <w:style w:type="paragraph" w:customStyle="1" w:styleId="Tableheadingtext">
    <w:name w:val="Table heading text"/>
    <w:basedOn w:val="Normal"/>
    <w:link w:val="TableheadingtextChar"/>
    <w:qFormat/>
    <w:rsid w:val="00EA3D42"/>
    <w:pPr>
      <w:spacing w:before="240" w:after="240"/>
      <w:contextualSpacing/>
    </w:pPr>
    <w:rPr>
      <w:b/>
      <w:sz w:val="20"/>
      <w:szCs w:val="20"/>
    </w:rPr>
  </w:style>
  <w:style w:type="character" w:customStyle="1" w:styleId="TableheadingtextChar">
    <w:name w:val="Table heading text Char"/>
    <w:basedOn w:val="DefaultParagraphFont"/>
    <w:link w:val="Tableheadingtext"/>
    <w:rsid w:val="00EA3D42"/>
    <w:rPr>
      <w:rFonts w:ascii="Arial" w:hAnsi="Arial"/>
      <w:b/>
      <w:sz w:val="20"/>
      <w:szCs w:val="20"/>
    </w:rPr>
  </w:style>
  <w:style w:type="paragraph" w:customStyle="1" w:styleId="Tablebodytext">
    <w:name w:val="Table body text"/>
    <w:basedOn w:val="Normal"/>
    <w:link w:val="TablebodytextChar"/>
    <w:qFormat/>
    <w:rsid w:val="00EA3D42"/>
    <w:pPr>
      <w:ind w:left="1225"/>
      <w:contextualSpacing/>
    </w:pPr>
    <w:rPr>
      <w:sz w:val="20"/>
    </w:rPr>
  </w:style>
  <w:style w:type="character" w:customStyle="1" w:styleId="TablebodytextChar">
    <w:name w:val="Table body text Char"/>
    <w:basedOn w:val="DefaultParagraphFont"/>
    <w:link w:val="Tablebodytext"/>
    <w:rsid w:val="00EA3D42"/>
    <w:rPr>
      <w:rFonts w:ascii="Arial" w:hAnsi="Arial"/>
      <w:sz w:val="20"/>
    </w:rPr>
  </w:style>
  <w:style w:type="paragraph" w:customStyle="1" w:styleId="Chartheading">
    <w:name w:val="Chart heading"/>
    <w:basedOn w:val="Normal"/>
    <w:link w:val="ChartheadingChar"/>
    <w:qFormat/>
    <w:rsid w:val="00EA3D42"/>
    <w:pPr>
      <w:spacing w:before="240" w:after="240"/>
      <w:contextualSpacing/>
    </w:pPr>
    <w:rPr>
      <w:b/>
      <w:sz w:val="20"/>
      <w:szCs w:val="20"/>
    </w:rPr>
  </w:style>
  <w:style w:type="character" w:customStyle="1" w:styleId="ChartheadingChar">
    <w:name w:val="Chart heading Char"/>
    <w:basedOn w:val="DefaultParagraphFont"/>
    <w:link w:val="Chartheading"/>
    <w:rsid w:val="00EA3D42"/>
    <w:rPr>
      <w:rFonts w:ascii="Arial" w:hAnsi="Arial"/>
      <w:b/>
      <w:sz w:val="20"/>
      <w:szCs w:val="20"/>
    </w:rPr>
  </w:style>
  <w:style w:type="paragraph" w:customStyle="1" w:styleId="Boxedtextheading">
    <w:name w:val="Boxed text heading"/>
    <w:basedOn w:val="Normal"/>
    <w:link w:val="BoxedtextheadingChar"/>
    <w:qFormat/>
    <w:rsid w:val="00BE1F1B"/>
    <w:pPr>
      <w:pBdr>
        <w:top w:val="single" w:sz="4" w:space="4" w:color="auto"/>
        <w:left w:val="single" w:sz="4" w:space="4" w:color="auto"/>
        <w:bottom w:val="single" w:sz="4" w:space="4" w:color="auto"/>
        <w:right w:val="single" w:sz="4" w:space="4" w:color="auto"/>
      </w:pBdr>
      <w:spacing w:before="240" w:after="240"/>
      <w:contextualSpacing/>
    </w:pPr>
    <w:rPr>
      <w:b/>
      <w:sz w:val="20"/>
      <w:szCs w:val="20"/>
    </w:rPr>
  </w:style>
  <w:style w:type="character" w:customStyle="1" w:styleId="BoxedtextheadingChar">
    <w:name w:val="Boxed text heading Char"/>
    <w:basedOn w:val="DefaultParagraphFont"/>
    <w:link w:val="Boxedtextheading"/>
    <w:rsid w:val="00BE1F1B"/>
    <w:rPr>
      <w:rFonts w:ascii="Arial" w:hAnsi="Arial"/>
      <w:b/>
      <w:sz w:val="20"/>
      <w:szCs w:val="20"/>
    </w:rPr>
  </w:style>
  <w:style w:type="paragraph" w:customStyle="1" w:styleId="Boxedtext">
    <w:name w:val="Boxed text"/>
    <w:basedOn w:val="Normal"/>
    <w:link w:val="BoxedtextChar"/>
    <w:qFormat/>
    <w:rsid w:val="00BE1F1B"/>
    <w:pPr>
      <w:pBdr>
        <w:top w:val="single" w:sz="4" w:space="4" w:color="auto"/>
        <w:left w:val="single" w:sz="4" w:space="4" w:color="auto"/>
        <w:bottom w:val="single" w:sz="4" w:space="4" w:color="auto"/>
        <w:right w:val="single" w:sz="4" w:space="4" w:color="auto"/>
      </w:pBdr>
      <w:contextualSpacing/>
    </w:pPr>
    <w:rPr>
      <w:sz w:val="20"/>
      <w:szCs w:val="20"/>
    </w:rPr>
  </w:style>
  <w:style w:type="character" w:customStyle="1" w:styleId="BoxedtextChar">
    <w:name w:val="Boxed text Char"/>
    <w:basedOn w:val="DefaultParagraphFont"/>
    <w:link w:val="Boxedtext"/>
    <w:rsid w:val="00BE1F1B"/>
    <w:rPr>
      <w:rFonts w:ascii="Arial" w:hAnsi="Arial"/>
      <w:sz w:val="20"/>
      <w:szCs w:val="20"/>
    </w:rPr>
  </w:style>
  <w:style w:type="paragraph" w:customStyle="1" w:styleId="Pullquoteheading">
    <w:name w:val="Pull quote heading"/>
    <w:basedOn w:val="Normal"/>
    <w:link w:val="PullquoteheadingChar"/>
    <w:qFormat/>
    <w:rsid w:val="00EA3D42"/>
    <w:pPr>
      <w:spacing w:after="120"/>
      <w:contextualSpacing/>
    </w:pPr>
    <w:rPr>
      <w:rFonts w:ascii="Lucida Fax" w:hAnsi="Lucida Fax"/>
      <w:b/>
      <w:color w:val="DC5034"/>
      <w:sz w:val="24"/>
      <w:szCs w:val="24"/>
    </w:rPr>
  </w:style>
  <w:style w:type="character" w:customStyle="1" w:styleId="PullquoteheadingChar">
    <w:name w:val="Pull quote heading Char"/>
    <w:basedOn w:val="DefaultParagraphFont"/>
    <w:link w:val="Pullquoteheading"/>
    <w:rsid w:val="00EA3D42"/>
    <w:rPr>
      <w:rFonts w:ascii="Lucida Fax" w:hAnsi="Lucida Fax"/>
      <w:b/>
      <w:color w:val="DC5034"/>
      <w:sz w:val="24"/>
      <w:szCs w:val="24"/>
    </w:rPr>
  </w:style>
  <w:style w:type="paragraph" w:customStyle="1" w:styleId="Pullquotetext">
    <w:name w:val="Pull quote text"/>
    <w:basedOn w:val="Pullquoteheading"/>
    <w:link w:val="PullquotetextChar"/>
    <w:qFormat/>
    <w:rsid w:val="007C1C53"/>
    <w:rPr>
      <w:b w:val="0"/>
    </w:rPr>
  </w:style>
  <w:style w:type="character" w:customStyle="1" w:styleId="PullquotetextChar">
    <w:name w:val="Pull quote text Char"/>
    <w:basedOn w:val="PullquoteheadingChar"/>
    <w:link w:val="Pullquotetext"/>
    <w:rsid w:val="007C1C53"/>
    <w:rPr>
      <w:rFonts w:ascii="Lucida Fax" w:hAnsi="Lucida Fax"/>
      <w:b w:val="0"/>
      <w:color w:val="DC5034"/>
      <w:sz w:val="24"/>
      <w:szCs w:val="24"/>
    </w:rPr>
  </w:style>
  <w:style w:type="paragraph" w:customStyle="1" w:styleId="Note">
    <w:name w:val="Note"/>
    <w:basedOn w:val="Normal"/>
    <w:link w:val="NoteChar"/>
    <w:qFormat/>
    <w:rsid w:val="00EA3D42"/>
    <w:pPr>
      <w:spacing w:after="120"/>
      <w:contextualSpacing/>
    </w:pPr>
    <w:rPr>
      <w:i/>
      <w:sz w:val="16"/>
      <w:szCs w:val="16"/>
    </w:rPr>
  </w:style>
  <w:style w:type="character" w:customStyle="1" w:styleId="NoteChar">
    <w:name w:val="Note Char"/>
    <w:basedOn w:val="DefaultParagraphFont"/>
    <w:link w:val="Note"/>
    <w:rsid w:val="00EA3D42"/>
    <w:rPr>
      <w:rFonts w:ascii="Arial" w:hAnsi="Arial"/>
      <w:i/>
      <w:sz w:val="16"/>
      <w:szCs w:val="16"/>
    </w:rPr>
  </w:style>
  <w:style w:type="paragraph" w:customStyle="1" w:styleId="Source">
    <w:name w:val="Source"/>
    <w:basedOn w:val="Normal"/>
    <w:link w:val="SourceChar"/>
    <w:qFormat/>
    <w:rsid w:val="00EA3D42"/>
    <w:pPr>
      <w:spacing w:before="60"/>
      <w:contextualSpacing/>
    </w:pPr>
    <w:rPr>
      <w:sz w:val="16"/>
      <w:szCs w:val="16"/>
    </w:rPr>
  </w:style>
  <w:style w:type="character" w:customStyle="1" w:styleId="SourceChar">
    <w:name w:val="Source Char"/>
    <w:basedOn w:val="DefaultParagraphFont"/>
    <w:link w:val="Source"/>
    <w:rsid w:val="00EA3D42"/>
    <w:rPr>
      <w:rFonts w:ascii="Arial" w:hAnsi="Arial"/>
      <w:sz w:val="16"/>
      <w:szCs w:val="16"/>
    </w:rPr>
  </w:style>
  <w:style w:type="paragraph" w:customStyle="1" w:styleId="Footnotes">
    <w:name w:val="Footnotes"/>
    <w:basedOn w:val="Normal"/>
    <w:link w:val="FootnotesChar"/>
    <w:qFormat/>
    <w:rsid w:val="00EA3D42"/>
    <w:pPr>
      <w:spacing w:before="60"/>
      <w:contextualSpacing/>
    </w:pPr>
    <w:rPr>
      <w:sz w:val="16"/>
      <w:szCs w:val="16"/>
    </w:rPr>
  </w:style>
  <w:style w:type="character" w:customStyle="1" w:styleId="FootnotesChar">
    <w:name w:val="Footnotes Char"/>
    <w:basedOn w:val="DefaultParagraphFont"/>
    <w:link w:val="Footnotes"/>
    <w:rsid w:val="00EA3D42"/>
    <w:rPr>
      <w:rFonts w:ascii="Arial" w:hAnsi="Arial"/>
      <w:sz w:val="16"/>
      <w:szCs w:val="16"/>
    </w:rPr>
  </w:style>
  <w:style w:type="paragraph" w:styleId="Quote">
    <w:name w:val="Quote"/>
    <w:basedOn w:val="Normal"/>
    <w:next w:val="Normal"/>
    <w:link w:val="QuoteChar"/>
    <w:uiPriority w:val="29"/>
    <w:qFormat/>
    <w:rsid w:val="00D61A54"/>
    <w:pPr>
      <w:ind w:left="340"/>
    </w:pPr>
    <w:rPr>
      <w:i/>
      <w:iCs/>
      <w:color w:val="000000" w:themeColor="text1"/>
    </w:rPr>
  </w:style>
  <w:style w:type="character" w:customStyle="1" w:styleId="QuoteChar">
    <w:name w:val="Quote Char"/>
    <w:basedOn w:val="DefaultParagraphFont"/>
    <w:link w:val="Quote"/>
    <w:uiPriority w:val="29"/>
    <w:rsid w:val="00D61A54"/>
    <w:rPr>
      <w:rFonts w:ascii="Arial" w:hAnsi="Arial"/>
      <w:i/>
      <w:iCs/>
      <w:color w:val="000000" w:themeColor="text1"/>
    </w:rPr>
  </w:style>
  <w:style w:type="paragraph" w:customStyle="1" w:styleId="Charttext">
    <w:name w:val="Chart text"/>
    <w:basedOn w:val="Normal"/>
    <w:qFormat/>
    <w:rsid w:val="007C1C53"/>
    <w:pPr>
      <w:spacing w:after="120"/>
    </w:pPr>
    <w:rPr>
      <w:sz w:val="20"/>
    </w:rPr>
  </w:style>
  <w:style w:type="paragraph" w:customStyle="1" w:styleId="Bulletpoint">
    <w:name w:val="Bullet point"/>
    <w:basedOn w:val="ListBullet"/>
    <w:qFormat/>
    <w:rsid w:val="00EA3D42"/>
    <w:rPr>
      <w:rFonts w:cs="Times New Roman"/>
    </w:rPr>
  </w:style>
  <w:style w:type="paragraph" w:styleId="ListBullet">
    <w:name w:val="List Bullet"/>
    <w:basedOn w:val="Normal"/>
    <w:uiPriority w:val="99"/>
    <w:semiHidden/>
    <w:unhideWhenUsed/>
    <w:rsid w:val="00D61A54"/>
    <w:pPr>
      <w:numPr>
        <w:numId w:val="7"/>
      </w:numPr>
      <w:contextualSpacing/>
    </w:pPr>
  </w:style>
  <w:style w:type="paragraph" w:customStyle="1" w:styleId="Bulletpoint2">
    <w:name w:val="Bullet point 2"/>
    <w:basedOn w:val="ListBullet2"/>
    <w:qFormat/>
    <w:rsid w:val="00EA3D42"/>
    <w:pPr>
      <w:numPr>
        <w:numId w:val="17"/>
      </w:numPr>
    </w:pPr>
  </w:style>
  <w:style w:type="paragraph" w:styleId="ListNumber">
    <w:name w:val="List Number"/>
    <w:basedOn w:val="Normal"/>
    <w:uiPriority w:val="99"/>
    <w:semiHidden/>
    <w:unhideWhenUsed/>
    <w:rsid w:val="00EA3D42"/>
    <w:pPr>
      <w:numPr>
        <w:numId w:val="12"/>
      </w:numPr>
      <w:contextualSpacing/>
    </w:pPr>
  </w:style>
  <w:style w:type="paragraph" w:styleId="ListBullet2">
    <w:name w:val="List Bullet 2"/>
    <w:basedOn w:val="Normal"/>
    <w:uiPriority w:val="99"/>
    <w:semiHidden/>
    <w:unhideWhenUsed/>
    <w:rsid w:val="00EA3D42"/>
    <w:pPr>
      <w:numPr>
        <w:numId w:val="8"/>
      </w:numPr>
      <w:contextualSpacing/>
    </w:pPr>
  </w:style>
  <w:style w:type="paragraph" w:styleId="TOCHeading">
    <w:name w:val="TOC Heading"/>
    <w:basedOn w:val="Heading1"/>
    <w:next w:val="Normal"/>
    <w:uiPriority w:val="39"/>
    <w:semiHidden/>
    <w:unhideWhenUsed/>
    <w:qFormat/>
    <w:rsid w:val="003518B3"/>
    <w:pPr>
      <w:spacing w:before="480" w:line="276" w:lineRule="auto"/>
      <w:outlineLvl w:val="9"/>
    </w:pPr>
    <w:rPr>
      <w:rFonts w:asciiTheme="majorHAnsi" w:hAnsiTheme="majorHAnsi"/>
      <w:b w:val="0"/>
      <w:color w:val="365F91" w:themeColor="accent1" w:themeShade="BF"/>
      <w:lang w:val="en-US" w:eastAsia="ja-JP"/>
    </w:rPr>
  </w:style>
  <w:style w:type="paragraph" w:styleId="ListNumber2">
    <w:name w:val="List Number 2"/>
    <w:basedOn w:val="Normal"/>
    <w:uiPriority w:val="99"/>
    <w:semiHidden/>
    <w:unhideWhenUsed/>
    <w:rsid w:val="00EA3D42"/>
    <w:pPr>
      <w:numPr>
        <w:numId w:val="13"/>
      </w:numPr>
      <w:contextualSpacing/>
    </w:pPr>
  </w:style>
  <w:style w:type="character" w:styleId="Hyperlink">
    <w:name w:val="Hyperlink"/>
    <w:basedOn w:val="DefaultParagraphFont"/>
    <w:uiPriority w:val="99"/>
    <w:unhideWhenUsed/>
    <w:qFormat/>
    <w:rsid w:val="00BE1F1B"/>
    <w:rPr>
      <w:rFonts w:ascii="Arial" w:hAnsi="Arial"/>
      <w:color w:val="0000FF"/>
      <w:sz w:val="22"/>
      <w:u w:val="single"/>
    </w:rPr>
  </w:style>
  <w:style w:type="paragraph" w:styleId="BalloonText">
    <w:name w:val="Balloon Text"/>
    <w:basedOn w:val="Normal"/>
    <w:link w:val="BalloonTextChar"/>
    <w:uiPriority w:val="99"/>
    <w:semiHidden/>
    <w:unhideWhenUsed/>
    <w:rsid w:val="003518B3"/>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8B3"/>
    <w:rPr>
      <w:rFonts w:ascii="Tahoma" w:hAnsi="Tahoma" w:cs="Tahoma"/>
      <w:sz w:val="16"/>
      <w:szCs w:val="16"/>
    </w:rPr>
  </w:style>
  <w:style w:type="paragraph" w:styleId="Footer">
    <w:name w:val="footer"/>
    <w:basedOn w:val="Normal"/>
    <w:link w:val="FooterChar"/>
    <w:uiPriority w:val="99"/>
    <w:unhideWhenUsed/>
    <w:qFormat/>
    <w:rsid w:val="001573E4"/>
    <w:pPr>
      <w:tabs>
        <w:tab w:val="center" w:pos="4513"/>
        <w:tab w:val="right" w:pos="9026"/>
      </w:tabs>
      <w:spacing w:before="60"/>
    </w:pPr>
    <w:rPr>
      <w:sz w:val="16"/>
    </w:rPr>
  </w:style>
  <w:style w:type="character" w:customStyle="1" w:styleId="FooterChar">
    <w:name w:val="Footer Char"/>
    <w:basedOn w:val="DefaultParagraphFont"/>
    <w:link w:val="Footer"/>
    <w:uiPriority w:val="99"/>
    <w:rsid w:val="001573E4"/>
    <w:rPr>
      <w:rFonts w:ascii="Arial" w:hAnsi="Arial"/>
      <w:sz w:val="16"/>
    </w:rPr>
  </w:style>
  <w:style w:type="paragraph" w:styleId="ListParagraph">
    <w:name w:val="List Paragraph"/>
    <w:basedOn w:val="Normal"/>
    <w:uiPriority w:val="34"/>
    <w:qFormat/>
    <w:rsid w:val="00A60A26"/>
    <w:pPr>
      <w:ind w:left="357"/>
      <w:contextualSpacing/>
    </w:pPr>
  </w:style>
  <w:style w:type="paragraph" w:styleId="FootnoteText">
    <w:name w:val="footnote text"/>
    <w:basedOn w:val="Normal"/>
    <w:link w:val="FootnoteTextChar"/>
    <w:uiPriority w:val="99"/>
    <w:semiHidden/>
    <w:unhideWhenUsed/>
    <w:rsid w:val="00E52090"/>
    <w:pPr>
      <w:spacing w:before="0"/>
    </w:pPr>
    <w:rPr>
      <w:sz w:val="20"/>
      <w:szCs w:val="20"/>
    </w:rPr>
  </w:style>
  <w:style w:type="character" w:customStyle="1" w:styleId="FootnoteTextChar">
    <w:name w:val="Footnote Text Char"/>
    <w:basedOn w:val="DefaultParagraphFont"/>
    <w:link w:val="FootnoteText"/>
    <w:uiPriority w:val="99"/>
    <w:semiHidden/>
    <w:rsid w:val="00E52090"/>
    <w:rPr>
      <w:rFonts w:ascii="Arial" w:hAnsi="Arial"/>
      <w:sz w:val="20"/>
      <w:szCs w:val="20"/>
    </w:rPr>
  </w:style>
  <w:style w:type="character" w:styleId="FootnoteReference">
    <w:name w:val="footnote reference"/>
    <w:basedOn w:val="DefaultParagraphFont"/>
    <w:uiPriority w:val="99"/>
    <w:semiHidden/>
    <w:unhideWhenUsed/>
    <w:rsid w:val="00E52090"/>
    <w:rPr>
      <w:vertAlign w:val="superscript"/>
    </w:rPr>
  </w:style>
  <w:style w:type="paragraph" w:styleId="Header">
    <w:name w:val="header"/>
    <w:basedOn w:val="Normal"/>
    <w:link w:val="HeaderChar"/>
    <w:uiPriority w:val="99"/>
    <w:unhideWhenUsed/>
    <w:rsid w:val="00F53A29"/>
    <w:pPr>
      <w:tabs>
        <w:tab w:val="center" w:pos="4513"/>
        <w:tab w:val="right" w:pos="9026"/>
      </w:tabs>
      <w:spacing w:before="0"/>
    </w:pPr>
  </w:style>
  <w:style w:type="character" w:customStyle="1" w:styleId="HeaderChar">
    <w:name w:val="Header Char"/>
    <w:basedOn w:val="DefaultParagraphFont"/>
    <w:link w:val="Header"/>
    <w:uiPriority w:val="99"/>
    <w:rsid w:val="00F53A29"/>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5834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A2C3E8-5BB8-44A7-B8F4-993735B43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45BEBD31.dotm</Template>
  <TotalTime>0</TotalTime>
  <Pages>10</Pages>
  <Words>4726</Words>
  <Characters>26942</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ACCC</Company>
  <LinksUpToDate>false</LinksUpToDate>
  <CharactersWithSpaces>31605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Pearson, Mark</dc:creator>
  <cp:keywords/>
  <dc:description/>
  <cp:lastModifiedBy>Polmear, Erin</cp:lastModifiedBy>
  <cp:revision>2</cp:revision>
  <cp:lastPrinted>2014-09-25T05:11:00Z</cp:lastPrinted>
  <dcterms:created xsi:type="dcterms:W3CDTF">2014-09-25T05:14:00Z</dcterms:created>
  <dcterms:modified xsi:type="dcterms:W3CDTF">2014-09-25T05:14:00Z</dcterms:modified>
</cp:coreProperties>
</file>