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3892015"/>
        <w:docPartObj>
          <w:docPartGallery w:val="Cover Pages"/>
          <w:docPartUnique/>
        </w:docPartObj>
      </w:sdtPr>
      <w:sdtEndPr/>
      <w:sdtContent>
        <w:p w:rsidR="00C11F8D" w:rsidRDefault="00844CC1" w:rsidP="008945B4">
          <w:r>
            <w:rPr>
              <w:noProof/>
              <w:lang w:eastAsia="en-AU"/>
            </w:rPr>
            <w:drawing>
              <wp:anchor distT="0" distB="0" distL="114300" distR="114300" simplePos="0" relativeHeight="251707392" behindDoc="0" locked="0" layoutInCell="1" allowOverlap="1" wp14:anchorId="1BE1FBBB" wp14:editId="4782F572">
                <wp:simplePos x="0" y="0"/>
                <wp:positionH relativeFrom="column">
                  <wp:posOffset>-705485</wp:posOffset>
                </wp:positionH>
                <wp:positionV relativeFrom="paragraph">
                  <wp:posOffset>-813435</wp:posOffset>
                </wp:positionV>
                <wp:extent cx="7496175" cy="10600055"/>
                <wp:effectExtent l="0" t="0" r="9525"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er stevedoring monitoring report_2015_C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6175" cy="10600055"/>
                        </a:xfrm>
                        <a:prstGeom prst="rect">
                          <a:avLst/>
                        </a:prstGeom>
                      </pic:spPr>
                    </pic:pic>
                  </a:graphicData>
                </a:graphic>
                <wp14:sizeRelH relativeFrom="page">
                  <wp14:pctWidth>0</wp14:pctWidth>
                </wp14:sizeRelH>
                <wp14:sizeRelV relativeFrom="page">
                  <wp14:pctHeight>0</wp14:pctHeight>
                </wp14:sizeRelV>
              </wp:anchor>
            </w:drawing>
          </w:r>
        </w:p>
        <w:p w:rsidR="00C11F8D" w:rsidRDefault="00C11F8D"/>
        <w:p w:rsidR="00C11F8D" w:rsidRDefault="00C11F8D"/>
        <w:p w:rsidR="00C11F8D" w:rsidRDefault="00C11F8D">
          <w:r>
            <w:br w:type="page"/>
          </w:r>
        </w:p>
        <w:p w:rsidR="0062126A" w:rsidRDefault="0062126A">
          <w:r>
            <w:lastRenderedPageBreak/>
            <w:br w:type="page"/>
          </w:r>
        </w:p>
        <w:p w:rsidR="00687F39" w:rsidRDefault="00687F39" w:rsidP="008945B4">
          <w:r>
            <w:rPr>
              <w:noProof/>
              <w:lang w:eastAsia="en-AU"/>
            </w:rPr>
            <w:lastRenderedPageBreak/>
            <w:drawing>
              <wp:inline distT="0" distB="0" distL="0" distR="0" wp14:anchorId="060EFF51" wp14:editId="0865854B">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E64B54"/>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E64B54">
                <w:pPr>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687F39" w:rsidRPr="00C755AD" w:rsidRDefault="001D4CBE" w:rsidP="00303C4A">
                <w:pPr>
                  <w:pStyle w:val="Title"/>
                </w:pPr>
                <w:bookmarkStart w:id="1" w:name="_Toc430758987"/>
                <w:bookmarkStart w:id="2" w:name="_Toc433649848"/>
                <w:bookmarkStart w:id="3" w:name="_Toc433666976"/>
                <w:r>
                  <w:t>Container stevedoring monitoring report no.17</w:t>
                </w:r>
                <w:bookmarkEnd w:id="1"/>
                <w:bookmarkEnd w:id="2"/>
                <w:bookmarkEnd w:id="3"/>
              </w:p>
            </w:tc>
          </w:tr>
          <w:tr w:rsidR="00687F39" w:rsidRPr="00C755AD" w:rsidTr="00C755AD">
            <w:tc>
              <w:tcPr>
                <w:tcW w:w="9242" w:type="dxa"/>
              </w:tcPr>
              <w:p w:rsidR="00687F39" w:rsidRPr="00C755AD" w:rsidRDefault="00687F39" w:rsidP="001D4CBE">
                <w:pPr>
                  <w:pStyle w:val="Subtitle"/>
                </w:pPr>
              </w:p>
            </w:tc>
          </w:tr>
          <w:tr w:rsidR="00687F39" w:rsidRPr="00C755AD" w:rsidTr="00C755AD">
            <w:tc>
              <w:tcPr>
                <w:tcW w:w="9242" w:type="dxa"/>
              </w:tcPr>
              <w:p w:rsidR="00687F39" w:rsidRPr="00C755AD" w:rsidRDefault="00687F39" w:rsidP="00303C4A"/>
              <w:p w:rsidR="00687F39" w:rsidRPr="00C755AD" w:rsidRDefault="001D4CBE" w:rsidP="00303C4A">
                <w:pPr>
                  <w:pStyle w:val="CoverDate"/>
                </w:pPr>
                <w:r>
                  <w:t>October 2015</w:t>
                </w:r>
              </w:p>
            </w:tc>
          </w:tr>
        </w:tbl>
        <w:p w:rsidR="00687F39" w:rsidRPr="003B5A70" w:rsidRDefault="00687F39" w:rsidP="005E6C0E">
          <w:pPr>
            <w:tabs>
              <w:tab w:val="left" w:pos="340"/>
              <w:tab w:val="left" w:pos="680"/>
              <w:tab w:val="left" w:pos="1021"/>
              <w:tab w:val="left" w:pos="1361"/>
            </w:tabs>
          </w:pPr>
        </w:p>
        <w:p w:rsidR="00D97319" w:rsidRDefault="00687F39" w:rsidP="00D97319">
          <w:r>
            <w:br w:type="page"/>
          </w:r>
        </w:p>
      </w:sdtContent>
    </w:sdt>
    <w:p w:rsidR="00D97319" w:rsidRDefault="00D97319" w:rsidP="006E5543">
      <w:pPr>
        <w:pStyle w:val="Copyrighttext"/>
      </w:pPr>
      <w:r>
        <w:rPr>
          <w:noProof/>
          <w:lang w:eastAsia="en-AU"/>
        </w:rPr>
        <w:lastRenderedPageBreak/>
        <w:drawing>
          <wp:inline distT="0" distB="0" distL="0" distR="0" wp14:anchorId="5C284432" wp14:editId="0FCD15E6">
            <wp:extent cx="1181100" cy="914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D97319" w:rsidRDefault="00D97319" w:rsidP="006E5543">
      <w:pPr>
        <w:pStyle w:val="Copyrighttext"/>
      </w:pPr>
    </w:p>
    <w:p w:rsidR="002529AA" w:rsidRDefault="002529AA" w:rsidP="002529AA">
      <w:pPr>
        <w:pStyle w:val="Copyrighttext"/>
      </w:pPr>
      <w:r>
        <w:t xml:space="preserve">ISBN </w:t>
      </w:r>
      <w:r w:rsidRPr="002529AA">
        <w:t>978-1-922145-64-2</w:t>
      </w:r>
    </w:p>
    <w:p w:rsidR="002529AA" w:rsidRDefault="002529AA" w:rsidP="002529AA">
      <w:pPr>
        <w:pStyle w:val="Copyrighttext"/>
      </w:pPr>
    </w:p>
    <w:p w:rsidR="002529AA" w:rsidRDefault="002529AA" w:rsidP="002529AA">
      <w:pPr>
        <w:pStyle w:val="Copyrighttext"/>
      </w:pPr>
      <w:r>
        <w:t xml:space="preserve">Australian Competition and Consumer Commission </w:t>
      </w:r>
    </w:p>
    <w:p w:rsidR="002529AA" w:rsidRDefault="002529AA" w:rsidP="002529AA">
      <w:pPr>
        <w:pStyle w:val="Copyrighttext"/>
      </w:pPr>
      <w:r>
        <w:t xml:space="preserve">23 Marcus Clarke Street, Canberra, Australian Capital Territory, 2601 </w:t>
      </w:r>
    </w:p>
    <w:p w:rsidR="002529AA" w:rsidRDefault="002529AA" w:rsidP="002529AA">
      <w:pPr>
        <w:pStyle w:val="Copyrighttext"/>
      </w:pPr>
    </w:p>
    <w:p w:rsidR="002529AA" w:rsidRDefault="002529AA" w:rsidP="002529AA">
      <w:pPr>
        <w:pStyle w:val="Copyrighttext"/>
      </w:pPr>
      <w:r>
        <w:t>© Commonwealth of Australia 2015</w:t>
      </w:r>
    </w:p>
    <w:p w:rsidR="002529AA" w:rsidRDefault="002529AA" w:rsidP="002529AA">
      <w:pPr>
        <w:pStyle w:val="Copyrighttext"/>
      </w:pPr>
    </w:p>
    <w:p w:rsidR="002529AA" w:rsidRDefault="002529AA" w:rsidP="002529AA">
      <w:pPr>
        <w:pStyle w:val="Copyrighttext"/>
      </w:pPr>
      <w:r>
        <w:t>This work is copyright. In addition to any use permitted under the Copyright Act 1968, all material contained within this work is provided under a Creative Commons Attribution 3.0 Australia licence, with the exception of:</w:t>
      </w:r>
    </w:p>
    <w:p w:rsidR="002529AA" w:rsidRDefault="002529AA" w:rsidP="002529AA">
      <w:pPr>
        <w:pStyle w:val="Copyrighttext"/>
      </w:pPr>
      <w:r>
        <w:t>•</w:t>
      </w:r>
      <w:r>
        <w:tab/>
      </w:r>
      <w:proofErr w:type="gramStart"/>
      <w:r>
        <w:t>the</w:t>
      </w:r>
      <w:proofErr w:type="gramEnd"/>
      <w:r>
        <w:t xml:space="preserve"> Commonwealth Coat of Arms</w:t>
      </w:r>
    </w:p>
    <w:p w:rsidR="002529AA" w:rsidRDefault="002529AA" w:rsidP="002529AA">
      <w:pPr>
        <w:pStyle w:val="Copyrighttext"/>
      </w:pPr>
      <w:r>
        <w:t>•</w:t>
      </w:r>
      <w:r>
        <w:tab/>
      </w:r>
      <w:proofErr w:type="gramStart"/>
      <w:r>
        <w:t>the</w:t>
      </w:r>
      <w:proofErr w:type="gramEnd"/>
      <w:r>
        <w:t xml:space="preserve"> ACCC and AER logos</w:t>
      </w:r>
    </w:p>
    <w:p w:rsidR="002529AA" w:rsidRDefault="002529AA" w:rsidP="001D43C0">
      <w:pPr>
        <w:pStyle w:val="Copyrighttext"/>
        <w:ind w:left="340" w:hanging="340"/>
      </w:pPr>
      <w:r>
        <w:t>•</w:t>
      </w:r>
      <w:r>
        <w:tab/>
        <w:t>any illustration, diagram, photograph or graphic over which the Australian Competition and Consumer Commission does not hold copyright, but which may be part of or contained within this publication.</w:t>
      </w:r>
    </w:p>
    <w:p w:rsidR="002529AA" w:rsidRDefault="002529AA" w:rsidP="001D43C0">
      <w:pPr>
        <w:pStyle w:val="Copyrighttext"/>
        <w:ind w:left="340" w:hanging="340"/>
      </w:pPr>
    </w:p>
    <w:p w:rsidR="002529AA" w:rsidRDefault="002529AA" w:rsidP="002529AA">
      <w:pPr>
        <w:pStyle w:val="Copyrighttext"/>
      </w:pPr>
      <w:r>
        <w:t xml:space="preserve">The details of the relevant licence conditions are available on the Creative Commons website, as is the full legal code for the CC BY 3.0 AU licence. </w:t>
      </w:r>
    </w:p>
    <w:p w:rsidR="002529AA" w:rsidRDefault="002529AA" w:rsidP="002529AA">
      <w:pPr>
        <w:pStyle w:val="Copyrighttext"/>
      </w:pPr>
    </w:p>
    <w:p w:rsidR="00D97319" w:rsidRDefault="002529AA" w:rsidP="002529AA">
      <w:pPr>
        <w:pStyle w:val="Copyrighttext"/>
      </w:pPr>
      <w:r>
        <w:t>Requests and inquiries concerning reproduction and rights should be addressed to the Director, Corporate Communications, ACCC, GPO Box 3131, Canberra ACT 2601, or publishing.unit@accc.gov.au.</w:t>
      </w:r>
    </w:p>
    <w:p w:rsidR="00D47465" w:rsidRDefault="00D47465" w:rsidP="002529AA">
      <w:pPr>
        <w:pStyle w:val="Copyrighttext"/>
      </w:pPr>
    </w:p>
    <w:p w:rsidR="00D47465" w:rsidRDefault="00D47465" w:rsidP="002529AA">
      <w:pPr>
        <w:pStyle w:val="Copyrighttext"/>
      </w:pPr>
    </w:p>
    <w:p w:rsidR="00D47465" w:rsidRDefault="00D47465" w:rsidP="002529AA">
      <w:pPr>
        <w:pStyle w:val="Copyrighttext"/>
      </w:pPr>
      <w:r w:rsidRPr="00D47465">
        <w:t xml:space="preserve">The ACCC </w:t>
      </w:r>
      <w:r w:rsidR="009951BA">
        <w:t>would like to thank</w:t>
      </w:r>
      <w:r w:rsidRPr="00D47465">
        <w:t xml:space="preserve"> NSW Ports for providing the front cover image.  </w:t>
      </w:r>
    </w:p>
    <w:p w:rsidR="0062126A" w:rsidRDefault="0062126A" w:rsidP="002529AA">
      <w:pPr>
        <w:pStyle w:val="Copyrighttext"/>
        <w:sectPr w:rsidR="0062126A" w:rsidSect="0001113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pgNumType w:fmt="lowerRoman" w:start="0"/>
          <w:cols w:space="708"/>
          <w:titlePg/>
          <w:docGrid w:linePitch="360"/>
        </w:sectPr>
      </w:pPr>
    </w:p>
    <w:p w:rsidR="0062126A" w:rsidRDefault="0062126A" w:rsidP="002529AA">
      <w:pPr>
        <w:pStyle w:val="Copyrighttext"/>
      </w:pPr>
    </w:p>
    <w:p w:rsidR="00D97319" w:rsidRPr="00A20E5A" w:rsidRDefault="00D97319" w:rsidP="00D97319">
      <w:bookmarkStart w:id="4" w:name="_Toc352671883"/>
    </w:p>
    <w:p w:rsidR="00D97319" w:rsidRDefault="00D97319" w:rsidP="00E64B54">
      <w:bookmarkStart w:id="5" w:name="_Toc352682566"/>
      <w:r>
        <w:br w:type="page"/>
      </w:r>
    </w:p>
    <w:p w:rsidR="009B657D" w:rsidRDefault="009B657D" w:rsidP="009B657D">
      <w:pPr>
        <w:pStyle w:val="Heading1"/>
      </w:pPr>
      <w:bookmarkStart w:id="6" w:name="_Toc433649849"/>
      <w:bookmarkStart w:id="7" w:name="_Toc433666977"/>
      <w:r>
        <w:lastRenderedPageBreak/>
        <w:t>Contents</w:t>
      </w:r>
      <w:bookmarkEnd w:id="6"/>
      <w:bookmarkEnd w:id="7"/>
    </w:p>
    <w:sdt>
      <w:sdtPr>
        <w:rPr>
          <w:bCs/>
          <w:noProof w:val="0"/>
          <w:lang w:val="en-AU" w:eastAsia="en-US"/>
        </w:rPr>
        <w:id w:val="1492219088"/>
        <w:docPartObj>
          <w:docPartGallery w:val="Table of Contents"/>
          <w:docPartUnique/>
        </w:docPartObj>
      </w:sdtPr>
      <w:sdtEndPr>
        <w:rPr>
          <w:bCs w:val="0"/>
          <w:sz w:val="16"/>
        </w:rPr>
      </w:sdtEndPr>
      <w:sdtContent>
        <w:p w:rsidR="00C32528" w:rsidRPr="00C32528" w:rsidRDefault="00D0094A">
          <w:pPr>
            <w:pStyle w:val="TOC1"/>
            <w:rPr>
              <w:rFonts w:asciiTheme="minorHAnsi" w:eastAsiaTheme="minorEastAsia" w:hAnsiTheme="minorHAnsi"/>
              <w:sz w:val="20"/>
              <w:lang w:val="en-AU" w:eastAsia="en-AU"/>
            </w:rPr>
          </w:pPr>
          <w:r w:rsidRPr="00C32528">
            <w:rPr>
              <w:sz w:val="16"/>
            </w:rPr>
            <w:fldChar w:fldCharType="begin"/>
          </w:r>
          <w:r w:rsidRPr="00C32528">
            <w:rPr>
              <w:sz w:val="16"/>
            </w:rPr>
            <w:instrText xml:space="preserve"> TOC \o "1-3" \h \z \u \t "Heading 6,1" </w:instrText>
          </w:r>
          <w:r w:rsidRPr="00C32528">
            <w:rPr>
              <w:sz w:val="16"/>
            </w:rPr>
            <w:fldChar w:fldCharType="separate"/>
          </w:r>
          <w:hyperlink w:anchor="_Toc433666978" w:history="1">
            <w:r w:rsidR="00C32528" w:rsidRPr="00C32528">
              <w:rPr>
                <w:rStyle w:val="Hyperlink"/>
                <w:sz w:val="20"/>
              </w:rPr>
              <w:t>Glossary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_Toc433666978 \h </w:instrText>
            </w:r>
            <w:r w:rsidR="00C32528" w:rsidRPr="00C32528">
              <w:rPr>
                <w:webHidden/>
                <w:sz w:val="20"/>
              </w:rPr>
            </w:r>
            <w:r w:rsidR="00C32528" w:rsidRPr="00C32528">
              <w:rPr>
                <w:webHidden/>
                <w:sz w:val="20"/>
              </w:rPr>
              <w:fldChar w:fldCharType="separate"/>
            </w:r>
            <w:r w:rsidR="00DD3148">
              <w:rPr>
                <w:webHidden/>
                <w:sz w:val="20"/>
              </w:rPr>
              <w:t>iii</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6979" w:history="1">
            <w:r w:rsidR="00C32528" w:rsidRPr="00C32528">
              <w:rPr>
                <w:rStyle w:val="Hyperlink"/>
                <w:sz w:val="20"/>
              </w:rPr>
              <w:t>Key messages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_Toc433666979 \h </w:instrText>
            </w:r>
            <w:r w:rsidR="00C32528" w:rsidRPr="00C32528">
              <w:rPr>
                <w:webHidden/>
                <w:sz w:val="20"/>
              </w:rPr>
            </w:r>
            <w:r w:rsidR="00C32528" w:rsidRPr="00C32528">
              <w:rPr>
                <w:webHidden/>
                <w:sz w:val="20"/>
              </w:rPr>
              <w:fldChar w:fldCharType="separate"/>
            </w:r>
            <w:r w:rsidR="00DD3148">
              <w:rPr>
                <w:webHidden/>
                <w:sz w:val="20"/>
              </w:rPr>
              <w:t>v</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80" w:history="1">
            <w:r w:rsidR="00C32528" w:rsidRPr="00C32528">
              <w:rPr>
                <w:rStyle w:val="Hyperlink"/>
                <w:sz w:val="20"/>
              </w:rPr>
              <w:t>Industry improvements are being driven by increased competition in container stevedoring</w:t>
            </w:r>
            <w:r w:rsidR="0003006C">
              <w:rPr>
                <w:rStyle w:val="Hyperlink"/>
                <w:sz w:val="20"/>
              </w:rPr>
              <w:t xml:space="preserve"> </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_Toc433666980 \h </w:instrText>
            </w:r>
            <w:r w:rsidR="00C32528" w:rsidRPr="00C32528">
              <w:rPr>
                <w:webHidden/>
                <w:sz w:val="20"/>
              </w:rPr>
            </w:r>
            <w:r w:rsidR="00C32528" w:rsidRPr="00C32528">
              <w:rPr>
                <w:webHidden/>
                <w:sz w:val="20"/>
              </w:rPr>
              <w:fldChar w:fldCharType="separate"/>
            </w:r>
            <w:r w:rsidR="00DD3148">
              <w:rPr>
                <w:webHidden/>
                <w:sz w:val="20"/>
              </w:rPr>
              <w:t>v</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81" w:history="1">
            <w:r w:rsidR="00C32528" w:rsidRPr="00C32528">
              <w:rPr>
                <w:rStyle w:val="Hyperlink"/>
                <w:sz w:val="20"/>
              </w:rPr>
              <w:t>But new entrants to Australian stevedoring face challenges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_Toc433666981 \h </w:instrText>
            </w:r>
            <w:r w:rsidR="00C32528" w:rsidRPr="00C32528">
              <w:rPr>
                <w:webHidden/>
                <w:sz w:val="20"/>
              </w:rPr>
            </w:r>
            <w:r w:rsidR="00C32528" w:rsidRPr="00C32528">
              <w:rPr>
                <w:webHidden/>
                <w:sz w:val="20"/>
              </w:rPr>
              <w:fldChar w:fldCharType="separate"/>
            </w:r>
            <w:r w:rsidR="00DD3148">
              <w:rPr>
                <w:webHidden/>
                <w:sz w:val="20"/>
              </w:rPr>
              <w:t>v</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82" w:history="1">
            <w:r w:rsidR="00C32528" w:rsidRPr="00C32528">
              <w:rPr>
                <w:rStyle w:val="Hyperlink"/>
                <w:sz w:val="20"/>
              </w:rPr>
              <w:t>Change is needed elsewhere in the supply chain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_Toc433666982 \h </w:instrText>
            </w:r>
            <w:r w:rsidR="00C32528" w:rsidRPr="00C32528">
              <w:rPr>
                <w:webHidden/>
                <w:sz w:val="20"/>
              </w:rPr>
            </w:r>
            <w:r w:rsidR="00C32528" w:rsidRPr="00C32528">
              <w:rPr>
                <w:webHidden/>
                <w:sz w:val="20"/>
              </w:rPr>
              <w:fldChar w:fldCharType="separate"/>
            </w:r>
            <w:r w:rsidR="00DD3148">
              <w:rPr>
                <w:webHidden/>
                <w:sz w:val="20"/>
              </w:rPr>
              <w:t>v</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6983" w:history="1">
            <w:r w:rsidR="00C32528" w:rsidRPr="00C32528">
              <w:rPr>
                <w:rStyle w:val="Hyperlink"/>
                <w:sz w:val="20"/>
              </w:rPr>
              <w:t>Summary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_Toc433666983 \h </w:instrText>
            </w:r>
            <w:r w:rsidR="00C32528" w:rsidRPr="00C32528">
              <w:rPr>
                <w:webHidden/>
                <w:sz w:val="20"/>
              </w:rPr>
            </w:r>
            <w:r w:rsidR="00C32528" w:rsidRPr="00C32528">
              <w:rPr>
                <w:webHidden/>
                <w:sz w:val="20"/>
              </w:rPr>
              <w:fldChar w:fldCharType="separate"/>
            </w:r>
            <w:r w:rsidR="00DD3148">
              <w:rPr>
                <w:webHidden/>
                <w:sz w:val="20"/>
              </w:rPr>
              <w:t>vi</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6984" w:history="1">
            <w:r w:rsidR="00C32528" w:rsidRPr="00C32528">
              <w:rPr>
                <w:rStyle w:val="Hyperlink"/>
                <w:sz w:val="20"/>
              </w:rPr>
              <w:t>1.</w:t>
            </w:r>
            <w:r w:rsidR="00C32528" w:rsidRPr="00C32528">
              <w:rPr>
                <w:rFonts w:asciiTheme="minorHAnsi" w:eastAsiaTheme="minorEastAsia" w:hAnsiTheme="minorHAnsi"/>
                <w:sz w:val="20"/>
                <w:lang w:val="en-AU" w:eastAsia="en-AU"/>
              </w:rPr>
              <w:tab/>
            </w:r>
            <w:r w:rsidR="00C32528" w:rsidRPr="00C32528">
              <w:rPr>
                <w:rStyle w:val="Hyperlink"/>
                <w:sz w:val="20"/>
              </w:rPr>
              <w:t>Performance of Australian stevedoring, and supply chain challenges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_Toc433666984 \h </w:instrText>
            </w:r>
            <w:r w:rsidR="00C32528" w:rsidRPr="00C32528">
              <w:rPr>
                <w:webHidden/>
                <w:sz w:val="20"/>
              </w:rPr>
            </w:r>
            <w:r w:rsidR="00C32528" w:rsidRPr="00C32528">
              <w:rPr>
                <w:webHidden/>
                <w:sz w:val="20"/>
              </w:rPr>
              <w:fldChar w:fldCharType="separate"/>
            </w:r>
            <w:r w:rsidR="00DD3148">
              <w:rPr>
                <w:webHidden/>
                <w:sz w:val="20"/>
              </w:rPr>
              <w:t>1</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6985" w:history="1">
            <w:r w:rsidR="00C32528" w:rsidRPr="00C32528">
              <w:rPr>
                <w:rStyle w:val="Hyperlink"/>
                <w:sz w:val="20"/>
              </w:rPr>
              <w:t>1.1.</w:t>
            </w:r>
            <w:r w:rsidR="00C32528" w:rsidRPr="00C32528">
              <w:rPr>
                <w:rFonts w:asciiTheme="minorHAnsi" w:eastAsiaTheme="minorEastAsia" w:hAnsiTheme="minorHAnsi"/>
                <w:sz w:val="20"/>
                <w:lang w:eastAsia="en-AU"/>
              </w:rPr>
              <w:tab/>
            </w:r>
            <w:r w:rsidR="00C32528" w:rsidRPr="00C32528">
              <w:rPr>
                <w:rStyle w:val="Hyperlink"/>
                <w:sz w:val="20"/>
              </w:rPr>
              <w:t>Introduction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_Toc433666985 \h </w:instrText>
            </w:r>
            <w:r w:rsidR="00C32528" w:rsidRPr="00C32528">
              <w:rPr>
                <w:webHidden/>
                <w:sz w:val="20"/>
              </w:rPr>
            </w:r>
            <w:r w:rsidR="00C32528" w:rsidRPr="00C32528">
              <w:rPr>
                <w:webHidden/>
                <w:sz w:val="20"/>
              </w:rPr>
              <w:fldChar w:fldCharType="separate"/>
            </w:r>
            <w:r w:rsidR="00DD3148">
              <w:rPr>
                <w:webHidden/>
                <w:sz w:val="20"/>
              </w:rPr>
              <w:t>1</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86" w:history="1">
            <w:r w:rsidR="00C32528" w:rsidRPr="00C32528">
              <w:rPr>
                <w:rStyle w:val="Hyperlink"/>
                <w:sz w:val="20"/>
              </w:rPr>
              <w:t>What is container stevedoring?</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_Toc433666986 \h </w:instrText>
            </w:r>
            <w:r w:rsidR="00C32528" w:rsidRPr="00C32528">
              <w:rPr>
                <w:webHidden/>
                <w:sz w:val="20"/>
              </w:rPr>
            </w:r>
            <w:r w:rsidR="00C32528" w:rsidRPr="00C32528">
              <w:rPr>
                <w:webHidden/>
                <w:sz w:val="20"/>
              </w:rPr>
              <w:fldChar w:fldCharType="separate"/>
            </w:r>
            <w:r w:rsidR="00DD3148">
              <w:rPr>
                <w:webHidden/>
                <w:sz w:val="20"/>
              </w:rPr>
              <w:t>1</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87" w:history="1">
            <w:r w:rsidR="00C32528" w:rsidRPr="00C32528">
              <w:rPr>
                <w:rStyle w:val="Hyperlink"/>
                <w:sz w:val="20"/>
              </w:rPr>
              <w:t>Who provides container stevedoring in Australia?</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_Toc433666987 \h </w:instrText>
            </w:r>
            <w:r w:rsidR="00C32528" w:rsidRPr="00C32528">
              <w:rPr>
                <w:webHidden/>
                <w:sz w:val="20"/>
              </w:rPr>
            </w:r>
            <w:r w:rsidR="00C32528" w:rsidRPr="00C32528">
              <w:rPr>
                <w:webHidden/>
                <w:sz w:val="20"/>
              </w:rPr>
              <w:fldChar w:fldCharType="separate"/>
            </w:r>
            <w:r w:rsidR="00DD3148">
              <w:rPr>
                <w:webHidden/>
                <w:sz w:val="20"/>
              </w:rPr>
              <w:t>1</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88" w:history="1">
            <w:r w:rsidR="00C32528" w:rsidRPr="00C32528">
              <w:rPr>
                <w:rStyle w:val="Hyperlink"/>
                <w:sz w:val="20"/>
              </w:rPr>
              <w:t>What is the ACCC’s role in relation to container stevedoring?</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_Toc433666988 \h </w:instrText>
            </w:r>
            <w:r w:rsidR="00C32528" w:rsidRPr="00C32528">
              <w:rPr>
                <w:webHidden/>
                <w:sz w:val="20"/>
              </w:rPr>
            </w:r>
            <w:r w:rsidR="00C32528" w:rsidRPr="00C32528">
              <w:rPr>
                <w:webHidden/>
                <w:sz w:val="20"/>
              </w:rPr>
              <w:fldChar w:fldCharType="separate"/>
            </w:r>
            <w:r w:rsidR="00DD3148">
              <w:rPr>
                <w:webHidden/>
                <w:sz w:val="20"/>
              </w:rPr>
              <w:t>2</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6989" w:history="1">
            <w:r w:rsidR="00C32528" w:rsidRPr="00C32528">
              <w:rPr>
                <w:rStyle w:val="Hyperlink"/>
                <w:sz w:val="20"/>
              </w:rPr>
              <w:t>1.2.</w:t>
            </w:r>
            <w:r w:rsidR="00C32528" w:rsidRPr="00C32528">
              <w:rPr>
                <w:rFonts w:asciiTheme="minorHAnsi" w:eastAsiaTheme="minorEastAsia" w:hAnsiTheme="minorHAnsi"/>
                <w:sz w:val="20"/>
                <w:lang w:eastAsia="en-AU"/>
              </w:rPr>
              <w:tab/>
            </w:r>
            <w:r w:rsidR="00C32528" w:rsidRPr="00C32528">
              <w:rPr>
                <w:rStyle w:val="Hyperlink"/>
                <w:sz w:val="20"/>
              </w:rPr>
              <w:t>Improvements in Australian stevedoring since 1998–99</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_Toc433666989 \h </w:instrText>
            </w:r>
            <w:r w:rsidR="00C32528" w:rsidRPr="00C32528">
              <w:rPr>
                <w:webHidden/>
                <w:sz w:val="20"/>
              </w:rPr>
            </w:r>
            <w:r w:rsidR="00C32528" w:rsidRPr="00C32528">
              <w:rPr>
                <w:webHidden/>
                <w:sz w:val="20"/>
              </w:rPr>
              <w:fldChar w:fldCharType="separate"/>
            </w:r>
            <w:r w:rsidR="00DD3148">
              <w:rPr>
                <w:webHidden/>
                <w:sz w:val="20"/>
              </w:rPr>
              <w:t>2</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6990" w:history="1">
            <w:r w:rsidR="00C32528" w:rsidRPr="00C32528">
              <w:rPr>
                <w:rStyle w:val="Hyperlink"/>
                <w:sz w:val="20"/>
              </w:rPr>
              <w:t>1.3.</w:t>
            </w:r>
            <w:r w:rsidR="00C32528" w:rsidRPr="00C32528">
              <w:rPr>
                <w:rFonts w:asciiTheme="minorHAnsi" w:eastAsiaTheme="minorEastAsia" w:hAnsiTheme="minorHAnsi"/>
                <w:sz w:val="20"/>
                <w:lang w:eastAsia="en-AU"/>
              </w:rPr>
              <w:tab/>
            </w:r>
            <w:r w:rsidR="00C32528" w:rsidRPr="00C32528">
              <w:rPr>
                <w:rStyle w:val="Hyperlink"/>
                <w:sz w:val="20"/>
              </w:rPr>
              <w:t>Increased competition is delivering changes in the industry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_Toc433666990 \h </w:instrText>
            </w:r>
            <w:r w:rsidR="00C32528" w:rsidRPr="00C32528">
              <w:rPr>
                <w:webHidden/>
                <w:sz w:val="20"/>
              </w:rPr>
            </w:r>
            <w:r w:rsidR="00C32528" w:rsidRPr="00C32528">
              <w:rPr>
                <w:webHidden/>
                <w:sz w:val="20"/>
              </w:rPr>
              <w:fldChar w:fldCharType="separate"/>
            </w:r>
            <w:r w:rsidR="00DD3148">
              <w:rPr>
                <w:webHidden/>
                <w:sz w:val="20"/>
              </w:rPr>
              <w:t>3</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91" w:history="1">
            <w:r w:rsidR="00C32528" w:rsidRPr="00C32528">
              <w:rPr>
                <w:rStyle w:val="Hyperlink"/>
                <w:sz w:val="20"/>
              </w:rPr>
              <w:t>1.3.1.</w:t>
            </w:r>
            <w:r w:rsidR="00C32528" w:rsidRPr="00C32528">
              <w:rPr>
                <w:rFonts w:asciiTheme="minorHAnsi" w:eastAsiaTheme="minorEastAsia" w:hAnsiTheme="minorHAnsi"/>
                <w:sz w:val="20"/>
                <w:lang w:eastAsia="en-AU"/>
              </w:rPr>
              <w:tab/>
            </w:r>
            <w:r w:rsidR="00C32528" w:rsidRPr="00C32528">
              <w:rPr>
                <w:rStyle w:val="Hyperlink"/>
                <w:sz w:val="20"/>
              </w:rPr>
              <w:t>There are reports the stevedores have improved their customer service</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_Toc433666991 \h </w:instrText>
            </w:r>
            <w:r w:rsidR="00C32528" w:rsidRPr="00C32528">
              <w:rPr>
                <w:webHidden/>
                <w:sz w:val="20"/>
              </w:rPr>
            </w:r>
            <w:r w:rsidR="00C32528" w:rsidRPr="00C32528">
              <w:rPr>
                <w:webHidden/>
                <w:sz w:val="20"/>
              </w:rPr>
              <w:fldChar w:fldCharType="separate"/>
            </w:r>
            <w:r w:rsidR="00DD3148">
              <w:rPr>
                <w:webHidden/>
                <w:sz w:val="20"/>
              </w:rPr>
              <w:t>5</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92" w:history="1">
            <w:r w:rsidR="00C32528" w:rsidRPr="00C32528">
              <w:rPr>
                <w:rStyle w:val="Hyperlink"/>
                <w:sz w:val="20"/>
              </w:rPr>
              <w:t>1.3.2.</w:t>
            </w:r>
            <w:r w:rsidR="00C32528" w:rsidRPr="00C32528">
              <w:rPr>
                <w:rFonts w:asciiTheme="minorHAnsi" w:eastAsiaTheme="minorEastAsia" w:hAnsiTheme="minorHAnsi"/>
                <w:sz w:val="20"/>
                <w:lang w:eastAsia="en-AU"/>
              </w:rPr>
              <w:tab/>
            </w:r>
            <w:r w:rsidR="00C32528" w:rsidRPr="00C32528">
              <w:rPr>
                <w:rStyle w:val="Hyperlink"/>
                <w:sz w:val="20"/>
              </w:rPr>
              <w:t>There is evidence of price competition in the industry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_Toc433666992 \h </w:instrText>
            </w:r>
            <w:r w:rsidR="00C32528" w:rsidRPr="00C32528">
              <w:rPr>
                <w:webHidden/>
                <w:sz w:val="20"/>
              </w:rPr>
            </w:r>
            <w:r w:rsidR="00C32528" w:rsidRPr="00C32528">
              <w:rPr>
                <w:webHidden/>
                <w:sz w:val="20"/>
              </w:rPr>
              <w:fldChar w:fldCharType="separate"/>
            </w:r>
            <w:r w:rsidR="00DD3148">
              <w:rPr>
                <w:webHidden/>
                <w:sz w:val="20"/>
              </w:rPr>
              <w:t>6</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93" w:history="1">
            <w:r w:rsidR="00C32528" w:rsidRPr="00C32528">
              <w:rPr>
                <w:rStyle w:val="Hyperlink"/>
                <w:sz w:val="20"/>
              </w:rPr>
              <w:t>1.3.3.</w:t>
            </w:r>
            <w:r w:rsidR="00C32528" w:rsidRPr="00C32528">
              <w:rPr>
                <w:rFonts w:asciiTheme="minorHAnsi" w:eastAsiaTheme="minorEastAsia" w:hAnsiTheme="minorHAnsi"/>
                <w:sz w:val="20"/>
                <w:lang w:eastAsia="en-AU"/>
              </w:rPr>
              <w:tab/>
            </w:r>
            <w:r w:rsidR="00C32528" w:rsidRPr="00C32528">
              <w:rPr>
                <w:rStyle w:val="Hyperlink"/>
                <w:sz w:val="20"/>
              </w:rPr>
              <w:t>Stevedores are continuing to invest in new capacity and equipment, with a trend towards automation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_Toc433666993 \h </w:instrText>
            </w:r>
            <w:r w:rsidR="00C32528" w:rsidRPr="00C32528">
              <w:rPr>
                <w:webHidden/>
                <w:sz w:val="20"/>
              </w:rPr>
            </w:r>
            <w:r w:rsidR="00C32528" w:rsidRPr="00C32528">
              <w:rPr>
                <w:webHidden/>
                <w:sz w:val="20"/>
              </w:rPr>
              <w:fldChar w:fldCharType="separate"/>
            </w:r>
            <w:r w:rsidR="00DD3148">
              <w:rPr>
                <w:webHidden/>
                <w:sz w:val="20"/>
              </w:rPr>
              <w:t>6</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94" w:history="1">
            <w:r w:rsidR="00C32528" w:rsidRPr="00C32528">
              <w:rPr>
                <w:rStyle w:val="Hyperlink"/>
                <w:sz w:val="20"/>
              </w:rPr>
              <w:t>1.3.4.</w:t>
            </w:r>
            <w:r w:rsidR="00C32528" w:rsidRPr="00C32528">
              <w:rPr>
                <w:rFonts w:asciiTheme="minorHAnsi" w:eastAsiaTheme="minorEastAsia" w:hAnsiTheme="minorHAnsi"/>
                <w:sz w:val="20"/>
                <w:lang w:eastAsia="en-AU"/>
              </w:rPr>
              <w:tab/>
            </w:r>
            <w:r w:rsidR="00C32528" w:rsidRPr="00C32528">
              <w:rPr>
                <w:rStyle w:val="Hyperlink"/>
                <w:sz w:val="20"/>
              </w:rPr>
              <w:t>Productivity remained close to record high levels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_Toc433666994 \h </w:instrText>
            </w:r>
            <w:r w:rsidR="00C32528" w:rsidRPr="00C32528">
              <w:rPr>
                <w:webHidden/>
                <w:sz w:val="20"/>
              </w:rPr>
            </w:r>
            <w:r w:rsidR="00C32528" w:rsidRPr="00C32528">
              <w:rPr>
                <w:webHidden/>
                <w:sz w:val="20"/>
              </w:rPr>
              <w:fldChar w:fldCharType="separate"/>
            </w:r>
            <w:r w:rsidR="00DD3148">
              <w:rPr>
                <w:webHidden/>
                <w:sz w:val="20"/>
              </w:rPr>
              <w:t>9</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95" w:history="1">
            <w:r w:rsidR="00C32528" w:rsidRPr="00C32528">
              <w:rPr>
                <w:rStyle w:val="Hyperlink"/>
                <w:sz w:val="20"/>
              </w:rPr>
              <w:t>1.3.5.</w:t>
            </w:r>
            <w:r w:rsidR="00C32528" w:rsidRPr="00C32528">
              <w:rPr>
                <w:rFonts w:asciiTheme="minorHAnsi" w:eastAsiaTheme="minorEastAsia" w:hAnsiTheme="minorHAnsi"/>
                <w:sz w:val="20"/>
                <w:lang w:eastAsia="en-AU"/>
              </w:rPr>
              <w:tab/>
            </w:r>
            <w:r w:rsidR="00C32528" w:rsidRPr="00C32528">
              <w:rPr>
                <w:rStyle w:val="Hyperlink"/>
                <w:sz w:val="20"/>
              </w:rPr>
              <w:t>The incumbent stevedores are looking to offer a broader range of services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_Toc433666995 \h </w:instrText>
            </w:r>
            <w:r w:rsidR="00C32528" w:rsidRPr="00C32528">
              <w:rPr>
                <w:webHidden/>
                <w:sz w:val="20"/>
              </w:rPr>
            </w:r>
            <w:r w:rsidR="00C32528" w:rsidRPr="00C32528">
              <w:rPr>
                <w:webHidden/>
                <w:sz w:val="20"/>
              </w:rPr>
              <w:fldChar w:fldCharType="separate"/>
            </w:r>
            <w:r w:rsidR="00DD3148">
              <w:rPr>
                <w:webHidden/>
                <w:sz w:val="20"/>
              </w:rPr>
              <w:t>10</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96" w:history="1">
            <w:r w:rsidR="00C32528" w:rsidRPr="00C32528">
              <w:rPr>
                <w:rStyle w:val="Hyperlink"/>
                <w:sz w:val="20"/>
              </w:rPr>
              <w:t>1.3.6.</w:t>
            </w:r>
            <w:r w:rsidR="00C32528" w:rsidRPr="00C32528">
              <w:rPr>
                <w:rFonts w:asciiTheme="minorHAnsi" w:eastAsiaTheme="minorEastAsia" w:hAnsiTheme="minorHAnsi"/>
                <w:sz w:val="20"/>
                <w:lang w:eastAsia="en-AU"/>
              </w:rPr>
              <w:tab/>
            </w:r>
            <w:r w:rsidR="00C32528" w:rsidRPr="00C32528">
              <w:rPr>
                <w:rStyle w:val="Hyperlink"/>
                <w:sz w:val="20"/>
              </w:rPr>
              <w:t>With a more competitive industry dynamic, Fremantle Ports is tendering its new stevedoring leases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_Toc433666996 \h </w:instrText>
            </w:r>
            <w:r w:rsidR="00C32528" w:rsidRPr="00C32528">
              <w:rPr>
                <w:webHidden/>
                <w:sz w:val="20"/>
              </w:rPr>
            </w:r>
            <w:r w:rsidR="00C32528" w:rsidRPr="00C32528">
              <w:rPr>
                <w:webHidden/>
                <w:sz w:val="20"/>
              </w:rPr>
              <w:fldChar w:fldCharType="separate"/>
            </w:r>
            <w:r w:rsidR="00DD3148">
              <w:rPr>
                <w:webHidden/>
                <w:sz w:val="20"/>
              </w:rPr>
              <w:t>12</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97" w:history="1">
            <w:r w:rsidR="00C32528" w:rsidRPr="00C32528">
              <w:rPr>
                <w:rStyle w:val="Hyperlink"/>
                <w:sz w:val="20"/>
              </w:rPr>
              <w:t>1.3.7.</w:t>
            </w:r>
            <w:r w:rsidR="00C32528" w:rsidRPr="00C32528">
              <w:rPr>
                <w:rFonts w:asciiTheme="minorHAnsi" w:eastAsiaTheme="minorEastAsia" w:hAnsiTheme="minorHAnsi"/>
                <w:sz w:val="20"/>
                <w:lang w:eastAsia="en-AU"/>
              </w:rPr>
              <w:tab/>
            </w:r>
            <w:r w:rsidR="00C32528" w:rsidRPr="00C32528">
              <w:rPr>
                <w:rStyle w:val="Hyperlink"/>
                <w:sz w:val="20"/>
              </w:rPr>
              <w:t>There continue to be challenges for new entrants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_Toc433666997 \h </w:instrText>
            </w:r>
            <w:r w:rsidR="00C32528" w:rsidRPr="00C32528">
              <w:rPr>
                <w:webHidden/>
                <w:sz w:val="20"/>
              </w:rPr>
            </w:r>
            <w:r w:rsidR="00C32528" w:rsidRPr="00C32528">
              <w:rPr>
                <w:webHidden/>
                <w:sz w:val="20"/>
              </w:rPr>
              <w:fldChar w:fldCharType="separate"/>
            </w:r>
            <w:r w:rsidR="00DD3148">
              <w:rPr>
                <w:webHidden/>
                <w:sz w:val="20"/>
              </w:rPr>
              <w:t>13</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6998" w:history="1">
            <w:r w:rsidR="00C32528" w:rsidRPr="00C32528">
              <w:rPr>
                <w:rStyle w:val="Hyperlink"/>
                <w:sz w:val="20"/>
              </w:rPr>
              <w:t>1.4.</w:t>
            </w:r>
            <w:r w:rsidR="00C32528" w:rsidRPr="00C32528">
              <w:rPr>
                <w:rFonts w:asciiTheme="minorHAnsi" w:eastAsiaTheme="minorEastAsia" w:hAnsiTheme="minorHAnsi"/>
                <w:sz w:val="20"/>
                <w:lang w:eastAsia="en-AU"/>
              </w:rPr>
              <w:tab/>
            </w:r>
            <w:r w:rsidR="00C32528" w:rsidRPr="00C32528">
              <w:rPr>
                <w:rStyle w:val="Hyperlink"/>
                <w:sz w:val="20"/>
              </w:rPr>
              <w:t>Port operators pose risks to the supply chain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_Toc433666998 \h </w:instrText>
            </w:r>
            <w:r w:rsidR="00C32528" w:rsidRPr="00C32528">
              <w:rPr>
                <w:webHidden/>
                <w:sz w:val="20"/>
              </w:rPr>
            </w:r>
            <w:r w:rsidR="00C32528" w:rsidRPr="00C32528">
              <w:rPr>
                <w:webHidden/>
                <w:sz w:val="20"/>
              </w:rPr>
              <w:fldChar w:fldCharType="separate"/>
            </w:r>
            <w:r w:rsidR="00DD3148">
              <w:rPr>
                <w:webHidden/>
                <w:sz w:val="20"/>
              </w:rPr>
              <w:t>15</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6999" w:history="1">
            <w:r w:rsidR="00C32528" w:rsidRPr="00C32528">
              <w:rPr>
                <w:rStyle w:val="Hyperlink"/>
                <w:sz w:val="20"/>
              </w:rPr>
              <w:t>1.4.1.</w:t>
            </w:r>
            <w:r w:rsidR="00C32528" w:rsidRPr="00C32528">
              <w:rPr>
                <w:rFonts w:asciiTheme="minorHAnsi" w:eastAsiaTheme="minorEastAsia" w:hAnsiTheme="minorHAnsi"/>
                <w:sz w:val="20"/>
                <w:lang w:eastAsia="en-AU"/>
              </w:rPr>
              <w:tab/>
            </w:r>
            <w:r w:rsidR="00C32528" w:rsidRPr="00C32528">
              <w:rPr>
                <w:rStyle w:val="Hyperlink"/>
                <w:sz w:val="20"/>
              </w:rPr>
              <w:t>Port privatisations provide opportunities for state governments to mitigate the risks of monopoly power</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_Toc433666999 \h </w:instrText>
            </w:r>
            <w:r w:rsidR="00C32528" w:rsidRPr="00C32528">
              <w:rPr>
                <w:webHidden/>
                <w:sz w:val="20"/>
              </w:rPr>
            </w:r>
            <w:r w:rsidR="00C32528" w:rsidRPr="00C32528">
              <w:rPr>
                <w:webHidden/>
                <w:sz w:val="20"/>
              </w:rPr>
              <w:fldChar w:fldCharType="separate"/>
            </w:r>
            <w:r w:rsidR="00DD3148">
              <w:rPr>
                <w:webHidden/>
                <w:sz w:val="20"/>
              </w:rPr>
              <w:t>15</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00" w:history="1">
            <w:r w:rsidR="00C32528" w:rsidRPr="00C32528">
              <w:rPr>
                <w:rStyle w:val="Hyperlink"/>
                <w:sz w:val="20"/>
              </w:rPr>
              <w:t>1.5.</w:t>
            </w:r>
            <w:r w:rsidR="00C32528" w:rsidRPr="00C32528">
              <w:rPr>
                <w:rFonts w:asciiTheme="minorHAnsi" w:eastAsiaTheme="minorEastAsia" w:hAnsiTheme="minorHAnsi"/>
                <w:sz w:val="20"/>
                <w:lang w:eastAsia="en-AU"/>
              </w:rPr>
              <w:tab/>
            </w:r>
            <w:r w:rsidR="00C32528" w:rsidRPr="00C32528">
              <w:rPr>
                <w:rStyle w:val="Hyperlink"/>
                <w:sz w:val="20"/>
              </w:rPr>
              <w:t>There are opportunities to improve road, rail and sea connections to container ports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_Toc433667000 \h </w:instrText>
            </w:r>
            <w:r w:rsidR="00C32528" w:rsidRPr="00C32528">
              <w:rPr>
                <w:webHidden/>
                <w:sz w:val="20"/>
              </w:rPr>
            </w:r>
            <w:r w:rsidR="00C32528" w:rsidRPr="00C32528">
              <w:rPr>
                <w:webHidden/>
                <w:sz w:val="20"/>
              </w:rPr>
              <w:fldChar w:fldCharType="separate"/>
            </w:r>
            <w:r w:rsidR="00DD3148">
              <w:rPr>
                <w:webHidden/>
                <w:sz w:val="20"/>
              </w:rPr>
              <w:t>21</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01" w:history="1">
            <w:r w:rsidR="00C32528" w:rsidRPr="00C32528">
              <w:rPr>
                <w:rStyle w:val="Hyperlink"/>
                <w:sz w:val="20"/>
              </w:rPr>
              <w:t>1.5.1.</w:t>
            </w:r>
            <w:r w:rsidR="00C32528" w:rsidRPr="00C32528">
              <w:rPr>
                <w:rFonts w:asciiTheme="minorHAnsi" w:eastAsiaTheme="minorEastAsia" w:hAnsiTheme="minorHAnsi"/>
                <w:sz w:val="20"/>
                <w:lang w:eastAsia="en-AU"/>
              </w:rPr>
              <w:tab/>
            </w:r>
            <w:r w:rsidR="00C32528" w:rsidRPr="00C32528">
              <w:rPr>
                <w:rStyle w:val="Hyperlink"/>
                <w:sz w:val="20"/>
              </w:rPr>
              <w:t>Many parties have a role in efficient container flows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_Toc433667001 \h </w:instrText>
            </w:r>
            <w:r w:rsidR="00C32528" w:rsidRPr="00C32528">
              <w:rPr>
                <w:webHidden/>
                <w:sz w:val="20"/>
              </w:rPr>
            </w:r>
            <w:r w:rsidR="00C32528" w:rsidRPr="00C32528">
              <w:rPr>
                <w:webHidden/>
                <w:sz w:val="20"/>
              </w:rPr>
              <w:fldChar w:fldCharType="separate"/>
            </w:r>
            <w:r w:rsidR="00DD3148">
              <w:rPr>
                <w:webHidden/>
                <w:sz w:val="20"/>
              </w:rPr>
              <w:t>22</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02" w:history="1">
            <w:r w:rsidR="00C32528" w:rsidRPr="00C32528">
              <w:rPr>
                <w:rStyle w:val="Hyperlink"/>
                <w:sz w:val="20"/>
              </w:rPr>
              <w:t>1.5.2.</w:t>
            </w:r>
            <w:r w:rsidR="00C32528" w:rsidRPr="00C32528">
              <w:rPr>
                <w:rFonts w:asciiTheme="minorHAnsi" w:eastAsiaTheme="minorEastAsia" w:hAnsiTheme="minorHAnsi"/>
                <w:sz w:val="20"/>
                <w:lang w:eastAsia="en-AU"/>
              </w:rPr>
              <w:tab/>
            </w:r>
            <w:r w:rsidR="00C32528" w:rsidRPr="00C32528">
              <w:rPr>
                <w:rStyle w:val="Hyperlink"/>
                <w:sz w:val="20"/>
              </w:rPr>
              <w:t>Road reform to promote investment and efficient modal choice</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_Toc433667002 \h </w:instrText>
            </w:r>
            <w:r w:rsidR="00C32528" w:rsidRPr="00C32528">
              <w:rPr>
                <w:webHidden/>
                <w:sz w:val="20"/>
              </w:rPr>
            </w:r>
            <w:r w:rsidR="00C32528" w:rsidRPr="00C32528">
              <w:rPr>
                <w:webHidden/>
                <w:sz w:val="20"/>
              </w:rPr>
              <w:fldChar w:fldCharType="separate"/>
            </w:r>
            <w:r w:rsidR="00DD3148">
              <w:rPr>
                <w:webHidden/>
                <w:sz w:val="20"/>
              </w:rPr>
              <w:t>24</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03" w:history="1">
            <w:r w:rsidR="00C32528" w:rsidRPr="00C32528">
              <w:rPr>
                <w:rStyle w:val="Hyperlink"/>
                <w:sz w:val="20"/>
              </w:rPr>
              <w:t>1.5.3.</w:t>
            </w:r>
            <w:r w:rsidR="00C32528" w:rsidRPr="00C32528">
              <w:rPr>
                <w:rFonts w:asciiTheme="minorHAnsi" w:eastAsiaTheme="minorEastAsia" w:hAnsiTheme="minorHAnsi"/>
                <w:sz w:val="20"/>
                <w:lang w:eastAsia="en-AU"/>
              </w:rPr>
              <w:tab/>
            </w:r>
            <w:r w:rsidR="00C32528" w:rsidRPr="00C32528">
              <w:rPr>
                <w:rStyle w:val="Hyperlink"/>
                <w:sz w:val="20"/>
              </w:rPr>
              <w:t>Coastal shipping reform to reduce freight costs and reduce impediments to competition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_Toc433667003 \h </w:instrText>
            </w:r>
            <w:r w:rsidR="00C32528" w:rsidRPr="00C32528">
              <w:rPr>
                <w:webHidden/>
                <w:sz w:val="20"/>
              </w:rPr>
            </w:r>
            <w:r w:rsidR="00C32528" w:rsidRPr="00C32528">
              <w:rPr>
                <w:webHidden/>
                <w:sz w:val="20"/>
              </w:rPr>
              <w:fldChar w:fldCharType="separate"/>
            </w:r>
            <w:r w:rsidR="00DD3148">
              <w:rPr>
                <w:webHidden/>
                <w:sz w:val="20"/>
              </w:rPr>
              <w:t>27</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04" w:history="1">
            <w:r w:rsidR="00C32528" w:rsidRPr="00C32528">
              <w:rPr>
                <w:rStyle w:val="Hyperlink"/>
                <w:sz w:val="20"/>
              </w:rPr>
              <w:t>1.5.4.</w:t>
            </w:r>
            <w:r w:rsidR="00C32528" w:rsidRPr="00C32528">
              <w:rPr>
                <w:rFonts w:asciiTheme="minorHAnsi" w:eastAsiaTheme="minorEastAsia" w:hAnsiTheme="minorHAnsi"/>
                <w:sz w:val="20"/>
                <w:lang w:eastAsia="en-AU"/>
              </w:rPr>
              <w:tab/>
            </w:r>
            <w:r w:rsidR="00C32528" w:rsidRPr="00C32528">
              <w:rPr>
                <w:rStyle w:val="Hyperlink"/>
                <w:sz w:val="20"/>
              </w:rPr>
              <w:t>Public-sector planning and targeted infrastructure expenditure can boost productivity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_Toc433667004 \h </w:instrText>
            </w:r>
            <w:r w:rsidR="00C32528" w:rsidRPr="00C32528">
              <w:rPr>
                <w:webHidden/>
                <w:sz w:val="20"/>
              </w:rPr>
            </w:r>
            <w:r w:rsidR="00C32528" w:rsidRPr="00C32528">
              <w:rPr>
                <w:webHidden/>
                <w:sz w:val="20"/>
              </w:rPr>
              <w:fldChar w:fldCharType="separate"/>
            </w:r>
            <w:r w:rsidR="00DD3148">
              <w:rPr>
                <w:webHidden/>
                <w:sz w:val="20"/>
              </w:rPr>
              <w:t>27</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05" w:history="1">
            <w:r w:rsidR="00C32528" w:rsidRPr="00C32528">
              <w:rPr>
                <w:rStyle w:val="Hyperlink"/>
                <w:sz w:val="20"/>
              </w:rPr>
              <w:t>1.6.</w:t>
            </w:r>
            <w:r w:rsidR="00C32528" w:rsidRPr="00C32528">
              <w:rPr>
                <w:rFonts w:asciiTheme="minorHAnsi" w:eastAsiaTheme="minorEastAsia" w:hAnsiTheme="minorHAnsi"/>
                <w:sz w:val="20"/>
                <w:lang w:eastAsia="en-AU"/>
              </w:rPr>
              <w:tab/>
            </w:r>
            <w:r w:rsidR="00C32528" w:rsidRPr="00C32528">
              <w:rPr>
                <w:rStyle w:val="Hyperlink"/>
                <w:sz w:val="20"/>
              </w:rPr>
              <w:t>Conclusion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_Toc433667005 \h </w:instrText>
            </w:r>
            <w:r w:rsidR="00C32528" w:rsidRPr="00C32528">
              <w:rPr>
                <w:webHidden/>
                <w:sz w:val="20"/>
              </w:rPr>
            </w:r>
            <w:r w:rsidR="00C32528" w:rsidRPr="00C32528">
              <w:rPr>
                <w:webHidden/>
                <w:sz w:val="20"/>
              </w:rPr>
              <w:fldChar w:fldCharType="separate"/>
            </w:r>
            <w:r w:rsidR="00DD3148">
              <w:rPr>
                <w:webHidden/>
                <w:sz w:val="20"/>
              </w:rPr>
              <w:t>29</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06" w:history="1">
            <w:r w:rsidR="00C32528" w:rsidRPr="00C32528">
              <w:rPr>
                <w:rStyle w:val="Hyperlink"/>
                <w:sz w:val="20"/>
              </w:rPr>
              <w:t>2.</w:t>
            </w:r>
            <w:r w:rsidR="00C32528" w:rsidRPr="00C32528">
              <w:rPr>
                <w:rFonts w:asciiTheme="minorHAnsi" w:eastAsiaTheme="minorEastAsia" w:hAnsiTheme="minorHAnsi"/>
                <w:sz w:val="20"/>
                <w:lang w:val="en-AU" w:eastAsia="en-AU"/>
              </w:rPr>
              <w:tab/>
            </w:r>
            <w:r w:rsidR="00C32528" w:rsidRPr="00C32528">
              <w:rPr>
                <w:rStyle w:val="Hyperlink"/>
                <w:sz w:val="20"/>
              </w:rPr>
              <w:t>Monitoring results: Productivity and throughput</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_Toc433667006 \h </w:instrText>
            </w:r>
            <w:r w:rsidR="00C32528" w:rsidRPr="00C32528">
              <w:rPr>
                <w:webHidden/>
                <w:sz w:val="20"/>
              </w:rPr>
            </w:r>
            <w:r w:rsidR="00C32528" w:rsidRPr="00C32528">
              <w:rPr>
                <w:webHidden/>
                <w:sz w:val="20"/>
              </w:rPr>
              <w:fldChar w:fldCharType="separate"/>
            </w:r>
            <w:r w:rsidR="00DD3148">
              <w:rPr>
                <w:webHidden/>
                <w:sz w:val="20"/>
              </w:rPr>
              <w:t>30</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07" w:history="1">
            <w:r w:rsidR="00C32528" w:rsidRPr="00C32528">
              <w:rPr>
                <w:rStyle w:val="Hyperlink"/>
                <w:sz w:val="20"/>
              </w:rPr>
              <w:t>2.1.</w:t>
            </w:r>
            <w:r w:rsidR="00C32528" w:rsidRPr="00C32528">
              <w:rPr>
                <w:rFonts w:asciiTheme="minorHAnsi" w:eastAsiaTheme="minorEastAsia" w:hAnsiTheme="minorHAnsi"/>
                <w:sz w:val="20"/>
                <w:lang w:eastAsia="en-AU"/>
              </w:rPr>
              <w:tab/>
            </w:r>
            <w:r w:rsidR="00C32528" w:rsidRPr="00C32528">
              <w:rPr>
                <w:rStyle w:val="Hyperlink"/>
                <w:sz w:val="20"/>
              </w:rPr>
              <w:t>Introduction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_Toc433667007 \h </w:instrText>
            </w:r>
            <w:r w:rsidR="00C32528" w:rsidRPr="00C32528">
              <w:rPr>
                <w:webHidden/>
                <w:sz w:val="20"/>
              </w:rPr>
            </w:r>
            <w:r w:rsidR="00C32528" w:rsidRPr="00C32528">
              <w:rPr>
                <w:webHidden/>
                <w:sz w:val="20"/>
              </w:rPr>
              <w:fldChar w:fldCharType="separate"/>
            </w:r>
            <w:r w:rsidR="00DD3148">
              <w:rPr>
                <w:webHidden/>
                <w:sz w:val="20"/>
              </w:rPr>
              <w:t>30</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08" w:history="1">
            <w:r w:rsidR="00C32528" w:rsidRPr="00C32528">
              <w:rPr>
                <w:rStyle w:val="Hyperlink"/>
                <w:sz w:val="20"/>
              </w:rPr>
              <w:t>2.2.</w:t>
            </w:r>
            <w:r w:rsidR="00C32528" w:rsidRPr="00C32528">
              <w:rPr>
                <w:rFonts w:asciiTheme="minorHAnsi" w:eastAsiaTheme="minorEastAsia" w:hAnsiTheme="minorHAnsi"/>
                <w:sz w:val="20"/>
                <w:lang w:eastAsia="en-AU"/>
              </w:rPr>
              <w:tab/>
            </w:r>
            <w:r w:rsidR="00C32528" w:rsidRPr="00C32528">
              <w:rPr>
                <w:rStyle w:val="Hyperlink"/>
                <w:sz w:val="20"/>
              </w:rPr>
              <w:t>Quayside container stevedoring services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_Toc433667008 \h </w:instrText>
            </w:r>
            <w:r w:rsidR="00C32528" w:rsidRPr="00C32528">
              <w:rPr>
                <w:webHidden/>
                <w:sz w:val="20"/>
              </w:rPr>
            </w:r>
            <w:r w:rsidR="00C32528" w:rsidRPr="00C32528">
              <w:rPr>
                <w:webHidden/>
                <w:sz w:val="20"/>
              </w:rPr>
              <w:fldChar w:fldCharType="separate"/>
            </w:r>
            <w:r w:rsidR="00DD3148">
              <w:rPr>
                <w:webHidden/>
                <w:sz w:val="20"/>
              </w:rPr>
              <w:t>30</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09" w:history="1">
            <w:r w:rsidR="00C32528" w:rsidRPr="00C32528">
              <w:rPr>
                <w:rStyle w:val="Hyperlink"/>
                <w:sz w:val="20"/>
              </w:rPr>
              <w:t>2.2.1.</w:t>
            </w:r>
            <w:r w:rsidR="00C32528" w:rsidRPr="00C32528">
              <w:rPr>
                <w:rFonts w:asciiTheme="minorHAnsi" w:eastAsiaTheme="minorEastAsia" w:hAnsiTheme="minorHAnsi"/>
                <w:sz w:val="20"/>
                <w:lang w:eastAsia="en-AU"/>
              </w:rPr>
              <w:tab/>
            </w:r>
            <w:r w:rsidR="00C32528" w:rsidRPr="00C32528">
              <w:rPr>
                <w:rStyle w:val="Hyperlink"/>
                <w:sz w:val="20"/>
              </w:rPr>
              <w:t>Volume and shares by port</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_Toc433667009 \h </w:instrText>
            </w:r>
            <w:r w:rsidR="00C32528" w:rsidRPr="00C32528">
              <w:rPr>
                <w:webHidden/>
                <w:sz w:val="20"/>
              </w:rPr>
            </w:r>
            <w:r w:rsidR="00C32528" w:rsidRPr="00C32528">
              <w:rPr>
                <w:webHidden/>
                <w:sz w:val="20"/>
              </w:rPr>
              <w:fldChar w:fldCharType="separate"/>
            </w:r>
            <w:r w:rsidR="00DD3148">
              <w:rPr>
                <w:webHidden/>
                <w:sz w:val="20"/>
              </w:rPr>
              <w:t>30</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10" w:history="1">
            <w:r w:rsidR="00C32528" w:rsidRPr="00C32528">
              <w:rPr>
                <w:rStyle w:val="Hyperlink"/>
                <w:sz w:val="20"/>
              </w:rPr>
              <w:t>2.2.2.</w:t>
            </w:r>
            <w:r w:rsidR="00C32528" w:rsidRPr="00C32528">
              <w:rPr>
                <w:rFonts w:asciiTheme="minorHAnsi" w:eastAsiaTheme="minorEastAsia" w:hAnsiTheme="minorHAnsi"/>
                <w:sz w:val="20"/>
                <w:lang w:eastAsia="en-AU"/>
              </w:rPr>
              <w:tab/>
            </w:r>
            <w:r w:rsidR="00C32528" w:rsidRPr="00C32528">
              <w:rPr>
                <w:rStyle w:val="Hyperlink"/>
                <w:sz w:val="20"/>
              </w:rPr>
              <w:t>Productivity trends in quayside stevedoring</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_Toc433667010 \h </w:instrText>
            </w:r>
            <w:r w:rsidR="00C32528" w:rsidRPr="00C32528">
              <w:rPr>
                <w:webHidden/>
                <w:sz w:val="20"/>
              </w:rPr>
            </w:r>
            <w:r w:rsidR="00C32528" w:rsidRPr="00C32528">
              <w:rPr>
                <w:webHidden/>
                <w:sz w:val="20"/>
              </w:rPr>
              <w:fldChar w:fldCharType="separate"/>
            </w:r>
            <w:r w:rsidR="00DD3148">
              <w:rPr>
                <w:webHidden/>
                <w:sz w:val="20"/>
              </w:rPr>
              <w:t>32</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11" w:history="1">
            <w:r w:rsidR="00C32528" w:rsidRPr="00C32528">
              <w:rPr>
                <w:rStyle w:val="Hyperlink"/>
                <w:sz w:val="20"/>
              </w:rPr>
              <w:t>2.3.</w:t>
            </w:r>
            <w:r w:rsidR="00C32528" w:rsidRPr="00C32528">
              <w:rPr>
                <w:rFonts w:asciiTheme="minorHAnsi" w:eastAsiaTheme="minorEastAsia" w:hAnsiTheme="minorHAnsi"/>
                <w:sz w:val="20"/>
                <w:lang w:eastAsia="en-AU"/>
              </w:rPr>
              <w:tab/>
            </w:r>
            <w:r w:rsidR="00C32528" w:rsidRPr="00C32528">
              <w:rPr>
                <w:rStyle w:val="Hyperlink"/>
                <w:sz w:val="20"/>
              </w:rPr>
              <w:t>Landside container stevedoring services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_Toc433667011 \h </w:instrText>
            </w:r>
            <w:r w:rsidR="00C32528" w:rsidRPr="00C32528">
              <w:rPr>
                <w:webHidden/>
                <w:sz w:val="20"/>
              </w:rPr>
            </w:r>
            <w:r w:rsidR="00C32528" w:rsidRPr="00C32528">
              <w:rPr>
                <w:webHidden/>
                <w:sz w:val="20"/>
              </w:rPr>
              <w:fldChar w:fldCharType="separate"/>
            </w:r>
            <w:r w:rsidR="00DD3148">
              <w:rPr>
                <w:webHidden/>
                <w:sz w:val="20"/>
              </w:rPr>
              <w:t>38</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12" w:history="1">
            <w:r w:rsidR="00C32528" w:rsidRPr="00C32528">
              <w:rPr>
                <w:rStyle w:val="Hyperlink"/>
                <w:sz w:val="20"/>
              </w:rPr>
              <w:t>2.3.1.</w:t>
            </w:r>
            <w:r w:rsidR="00C32528" w:rsidRPr="00C32528">
              <w:rPr>
                <w:rFonts w:asciiTheme="minorHAnsi" w:eastAsiaTheme="minorEastAsia" w:hAnsiTheme="minorHAnsi"/>
                <w:sz w:val="20"/>
                <w:lang w:eastAsia="en-AU"/>
              </w:rPr>
              <w:tab/>
            </w:r>
            <w:r w:rsidR="00C32528" w:rsidRPr="00C32528">
              <w:rPr>
                <w:rStyle w:val="Hyperlink"/>
                <w:sz w:val="20"/>
              </w:rPr>
              <w:t>Size of the landside freight task</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_Toc433667012 \h </w:instrText>
            </w:r>
            <w:r w:rsidR="00C32528" w:rsidRPr="00C32528">
              <w:rPr>
                <w:webHidden/>
                <w:sz w:val="20"/>
              </w:rPr>
            </w:r>
            <w:r w:rsidR="00C32528" w:rsidRPr="00C32528">
              <w:rPr>
                <w:webHidden/>
                <w:sz w:val="20"/>
              </w:rPr>
              <w:fldChar w:fldCharType="separate"/>
            </w:r>
            <w:r w:rsidR="00DD3148">
              <w:rPr>
                <w:webHidden/>
                <w:sz w:val="20"/>
              </w:rPr>
              <w:t>38</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13" w:history="1">
            <w:r w:rsidR="00C32528" w:rsidRPr="00C32528">
              <w:rPr>
                <w:rStyle w:val="Hyperlink"/>
                <w:sz w:val="20"/>
              </w:rPr>
              <w:t>2.3.2.</w:t>
            </w:r>
            <w:r w:rsidR="00C32528" w:rsidRPr="00C32528">
              <w:rPr>
                <w:rFonts w:asciiTheme="minorHAnsi" w:eastAsiaTheme="minorEastAsia" w:hAnsiTheme="minorHAnsi"/>
                <w:sz w:val="20"/>
                <w:lang w:eastAsia="en-AU"/>
              </w:rPr>
              <w:tab/>
            </w:r>
            <w:r w:rsidR="00C32528" w:rsidRPr="00C32528">
              <w:rPr>
                <w:rStyle w:val="Hyperlink"/>
                <w:sz w:val="20"/>
              </w:rPr>
              <w:t>Productivity in landside stevedoring services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_Toc433667013 \h </w:instrText>
            </w:r>
            <w:r w:rsidR="00C32528" w:rsidRPr="00C32528">
              <w:rPr>
                <w:webHidden/>
                <w:sz w:val="20"/>
              </w:rPr>
            </w:r>
            <w:r w:rsidR="00C32528" w:rsidRPr="00C32528">
              <w:rPr>
                <w:webHidden/>
                <w:sz w:val="20"/>
              </w:rPr>
              <w:fldChar w:fldCharType="separate"/>
            </w:r>
            <w:r w:rsidR="00DD3148">
              <w:rPr>
                <w:webHidden/>
                <w:sz w:val="20"/>
              </w:rPr>
              <w:t>40</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14" w:history="1">
            <w:r w:rsidR="00C32528" w:rsidRPr="00C32528">
              <w:rPr>
                <w:rStyle w:val="Hyperlink"/>
                <w:sz w:val="20"/>
              </w:rPr>
              <w:t>2.3.3.</w:t>
            </w:r>
            <w:r w:rsidR="00C32528" w:rsidRPr="00C32528">
              <w:rPr>
                <w:rFonts w:asciiTheme="minorHAnsi" w:eastAsiaTheme="minorEastAsia" w:hAnsiTheme="minorHAnsi"/>
                <w:sz w:val="20"/>
                <w:lang w:eastAsia="en-AU"/>
              </w:rPr>
              <w:tab/>
            </w:r>
            <w:r w:rsidR="00C32528" w:rsidRPr="00C32528">
              <w:rPr>
                <w:rStyle w:val="Hyperlink"/>
                <w:sz w:val="20"/>
              </w:rPr>
              <w:t>Concluding ACCC observations about stevedoring productivity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_Toc433667014 \h </w:instrText>
            </w:r>
            <w:r w:rsidR="00C32528" w:rsidRPr="00C32528">
              <w:rPr>
                <w:webHidden/>
                <w:sz w:val="20"/>
              </w:rPr>
            </w:r>
            <w:r w:rsidR="00C32528" w:rsidRPr="00C32528">
              <w:rPr>
                <w:webHidden/>
                <w:sz w:val="20"/>
              </w:rPr>
              <w:fldChar w:fldCharType="separate"/>
            </w:r>
            <w:r w:rsidR="00DD3148">
              <w:rPr>
                <w:webHidden/>
                <w:sz w:val="20"/>
              </w:rPr>
              <w:t>43</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15" w:history="1">
            <w:r w:rsidR="00C32528" w:rsidRPr="00C32528">
              <w:rPr>
                <w:rStyle w:val="Hyperlink"/>
                <w:sz w:val="20"/>
              </w:rPr>
              <w:t>3.</w:t>
            </w:r>
            <w:r w:rsidR="00C32528" w:rsidRPr="00C32528">
              <w:rPr>
                <w:rFonts w:asciiTheme="minorHAnsi" w:eastAsiaTheme="minorEastAsia" w:hAnsiTheme="minorHAnsi"/>
                <w:sz w:val="20"/>
                <w:lang w:val="en-AU" w:eastAsia="en-AU"/>
              </w:rPr>
              <w:tab/>
            </w:r>
            <w:r w:rsidR="00C32528" w:rsidRPr="00C32528">
              <w:rPr>
                <w:rStyle w:val="Hyperlink"/>
                <w:sz w:val="20"/>
              </w:rPr>
              <w:t>Monitoring results: Financials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_Toc433667015 \h </w:instrText>
            </w:r>
            <w:r w:rsidR="00C32528" w:rsidRPr="00C32528">
              <w:rPr>
                <w:webHidden/>
                <w:sz w:val="20"/>
              </w:rPr>
            </w:r>
            <w:r w:rsidR="00C32528" w:rsidRPr="00C32528">
              <w:rPr>
                <w:webHidden/>
                <w:sz w:val="20"/>
              </w:rPr>
              <w:fldChar w:fldCharType="separate"/>
            </w:r>
            <w:r w:rsidR="00DD3148">
              <w:rPr>
                <w:webHidden/>
                <w:sz w:val="20"/>
              </w:rPr>
              <w:t>44</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16" w:history="1">
            <w:r w:rsidR="00C32528" w:rsidRPr="00C32528">
              <w:rPr>
                <w:rStyle w:val="Hyperlink"/>
                <w:sz w:val="20"/>
              </w:rPr>
              <w:t>3.1.</w:t>
            </w:r>
            <w:r w:rsidR="00C32528" w:rsidRPr="00C32528">
              <w:rPr>
                <w:rFonts w:asciiTheme="minorHAnsi" w:eastAsiaTheme="minorEastAsia" w:hAnsiTheme="minorHAnsi"/>
                <w:sz w:val="20"/>
                <w:lang w:eastAsia="en-AU"/>
              </w:rPr>
              <w:tab/>
            </w:r>
            <w:r w:rsidR="00C32528" w:rsidRPr="00C32528">
              <w:rPr>
                <w:rStyle w:val="Hyperlink"/>
                <w:sz w:val="20"/>
              </w:rPr>
              <w:t>Introduction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_Toc433667016 \h </w:instrText>
            </w:r>
            <w:r w:rsidR="00C32528" w:rsidRPr="00C32528">
              <w:rPr>
                <w:webHidden/>
                <w:sz w:val="20"/>
              </w:rPr>
            </w:r>
            <w:r w:rsidR="00C32528" w:rsidRPr="00C32528">
              <w:rPr>
                <w:webHidden/>
                <w:sz w:val="20"/>
              </w:rPr>
              <w:fldChar w:fldCharType="separate"/>
            </w:r>
            <w:r w:rsidR="00DD3148">
              <w:rPr>
                <w:webHidden/>
                <w:sz w:val="20"/>
              </w:rPr>
              <w:t>44</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17" w:history="1">
            <w:r w:rsidR="00C32528" w:rsidRPr="00C32528">
              <w:rPr>
                <w:rStyle w:val="Hyperlink"/>
                <w:sz w:val="20"/>
              </w:rPr>
              <w:t>3.2.</w:t>
            </w:r>
            <w:r w:rsidR="00C32528" w:rsidRPr="00C32528">
              <w:rPr>
                <w:rFonts w:asciiTheme="minorHAnsi" w:eastAsiaTheme="minorEastAsia" w:hAnsiTheme="minorHAnsi"/>
                <w:sz w:val="20"/>
                <w:lang w:eastAsia="en-AU"/>
              </w:rPr>
              <w:tab/>
            </w:r>
            <w:r w:rsidR="00C32528" w:rsidRPr="00C32528">
              <w:rPr>
                <w:rStyle w:val="Hyperlink"/>
                <w:sz w:val="20"/>
              </w:rPr>
              <w:t>Overview of unit revenues, costs and margins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_Toc433667017 \h </w:instrText>
            </w:r>
            <w:r w:rsidR="00C32528" w:rsidRPr="00C32528">
              <w:rPr>
                <w:webHidden/>
                <w:sz w:val="20"/>
              </w:rPr>
            </w:r>
            <w:r w:rsidR="00C32528" w:rsidRPr="00C32528">
              <w:rPr>
                <w:webHidden/>
                <w:sz w:val="20"/>
              </w:rPr>
              <w:fldChar w:fldCharType="separate"/>
            </w:r>
            <w:r w:rsidR="00DD3148">
              <w:rPr>
                <w:webHidden/>
                <w:sz w:val="20"/>
              </w:rPr>
              <w:t>44</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18" w:history="1">
            <w:r w:rsidR="00C32528" w:rsidRPr="00C32528">
              <w:rPr>
                <w:rStyle w:val="Hyperlink"/>
                <w:sz w:val="20"/>
              </w:rPr>
              <w:t>3.3.</w:t>
            </w:r>
            <w:r w:rsidR="00C32528" w:rsidRPr="00C32528">
              <w:rPr>
                <w:rFonts w:asciiTheme="minorHAnsi" w:eastAsiaTheme="minorEastAsia" w:hAnsiTheme="minorHAnsi"/>
                <w:sz w:val="20"/>
                <w:lang w:eastAsia="en-AU"/>
              </w:rPr>
              <w:tab/>
            </w:r>
            <w:r w:rsidR="00C32528" w:rsidRPr="00C32528">
              <w:rPr>
                <w:rStyle w:val="Hyperlink"/>
                <w:sz w:val="20"/>
              </w:rPr>
              <w:t>Revenues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_Toc433667018 \h </w:instrText>
            </w:r>
            <w:r w:rsidR="00C32528" w:rsidRPr="00C32528">
              <w:rPr>
                <w:webHidden/>
                <w:sz w:val="20"/>
              </w:rPr>
            </w:r>
            <w:r w:rsidR="00C32528" w:rsidRPr="00C32528">
              <w:rPr>
                <w:webHidden/>
                <w:sz w:val="20"/>
              </w:rPr>
              <w:fldChar w:fldCharType="separate"/>
            </w:r>
            <w:r w:rsidR="00DD3148">
              <w:rPr>
                <w:webHidden/>
                <w:sz w:val="20"/>
              </w:rPr>
              <w:t>46</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19" w:history="1">
            <w:r w:rsidR="00C32528" w:rsidRPr="00C32528">
              <w:rPr>
                <w:rStyle w:val="Hyperlink"/>
                <w:sz w:val="20"/>
              </w:rPr>
              <w:t>3.3.1.</w:t>
            </w:r>
            <w:r w:rsidR="00C32528" w:rsidRPr="00C32528">
              <w:rPr>
                <w:rFonts w:asciiTheme="minorHAnsi" w:eastAsiaTheme="minorEastAsia" w:hAnsiTheme="minorHAnsi"/>
                <w:sz w:val="20"/>
                <w:lang w:eastAsia="en-AU"/>
              </w:rPr>
              <w:tab/>
            </w:r>
            <w:r w:rsidR="00C32528" w:rsidRPr="00C32528">
              <w:rPr>
                <w:rStyle w:val="Hyperlink"/>
                <w:sz w:val="20"/>
              </w:rPr>
              <w:t>Sources of revenue</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_Toc433667019 \h </w:instrText>
            </w:r>
            <w:r w:rsidR="00C32528" w:rsidRPr="00C32528">
              <w:rPr>
                <w:webHidden/>
                <w:sz w:val="20"/>
              </w:rPr>
            </w:r>
            <w:r w:rsidR="00C32528" w:rsidRPr="00C32528">
              <w:rPr>
                <w:webHidden/>
                <w:sz w:val="20"/>
              </w:rPr>
              <w:fldChar w:fldCharType="separate"/>
            </w:r>
            <w:r w:rsidR="00DD3148">
              <w:rPr>
                <w:webHidden/>
                <w:sz w:val="20"/>
              </w:rPr>
              <w:t>46</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20" w:history="1">
            <w:r w:rsidR="00C32528" w:rsidRPr="00C32528">
              <w:rPr>
                <w:rStyle w:val="Hyperlink"/>
                <w:sz w:val="20"/>
              </w:rPr>
              <w:t>3.3.2.</w:t>
            </w:r>
            <w:r w:rsidR="00C32528" w:rsidRPr="00C32528">
              <w:rPr>
                <w:rFonts w:asciiTheme="minorHAnsi" w:eastAsiaTheme="minorEastAsia" w:hAnsiTheme="minorHAnsi"/>
                <w:sz w:val="20"/>
                <w:lang w:eastAsia="en-AU"/>
              </w:rPr>
              <w:tab/>
            </w:r>
            <w:r w:rsidR="00C32528" w:rsidRPr="00C32528">
              <w:rPr>
                <w:rStyle w:val="Hyperlink"/>
                <w:sz w:val="20"/>
              </w:rPr>
              <w:t>Unit stevedoring revenue—by type of container</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_Toc433667020 \h </w:instrText>
            </w:r>
            <w:r w:rsidR="00C32528" w:rsidRPr="00C32528">
              <w:rPr>
                <w:webHidden/>
                <w:sz w:val="20"/>
              </w:rPr>
            </w:r>
            <w:r w:rsidR="00C32528" w:rsidRPr="00C32528">
              <w:rPr>
                <w:webHidden/>
                <w:sz w:val="20"/>
              </w:rPr>
              <w:fldChar w:fldCharType="separate"/>
            </w:r>
            <w:r w:rsidR="00DD3148">
              <w:rPr>
                <w:webHidden/>
                <w:sz w:val="20"/>
              </w:rPr>
              <w:t>48</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21" w:history="1">
            <w:r w:rsidR="00C32528" w:rsidRPr="00C32528">
              <w:rPr>
                <w:rStyle w:val="Hyperlink"/>
                <w:sz w:val="20"/>
              </w:rPr>
              <w:t>3.3.3.</w:t>
            </w:r>
            <w:r w:rsidR="00C32528" w:rsidRPr="00C32528">
              <w:rPr>
                <w:rFonts w:asciiTheme="minorHAnsi" w:eastAsiaTheme="minorEastAsia" w:hAnsiTheme="minorHAnsi"/>
                <w:sz w:val="20"/>
                <w:lang w:eastAsia="en-AU"/>
              </w:rPr>
              <w:tab/>
            </w:r>
            <w:r w:rsidR="00C32528" w:rsidRPr="00C32528">
              <w:rPr>
                <w:rStyle w:val="Hyperlink"/>
                <w:sz w:val="20"/>
              </w:rPr>
              <w:t>Non-stevedoring revenue—revenue from ancillary services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_Toc433667021 \h </w:instrText>
            </w:r>
            <w:r w:rsidR="00C32528" w:rsidRPr="00C32528">
              <w:rPr>
                <w:webHidden/>
                <w:sz w:val="20"/>
              </w:rPr>
            </w:r>
            <w:r w:rsidR="00C32528" w:rsidRPr="00C32528">
              <w:rPr>
                <w:webHidden/>
                <w:sz w:val="20"/>
              </w:rPr>
              <w:fldChar w:fldCharType="separate"/>
            </w:r>
            <w:r w:rsidR="00DD3148">
              <w:rPr>
                <w:webHidden/>
                <w:sz w:val="20"/>
              </w:rPr>
              <w:t>50</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22" w:history="1">
            <w:r w:rsidR="00C32528" w:rsidRPr="00C32528">
              <w:rPr>
                <w:rStyle w:val="Hyperlink"/>
                <w:sz w:val="20"/>
              </w:rPr>
              <w:t>3.4.</w:t>
            </w:r>
            <w:r w:rsidR="00C32528" w:rsidRPr="00C32528">
              <w:rPr>
                <w:rFonts w:asciiTheme="minorHAnsi" w:eastAsiaTheme="minorEastAsia" w:hAnsiTheme="minorHAnsi"/>
                <w:sz w:val="20"/>
                <w:lang w:eastAsia="en-AU"/>
              </w:rPr>
              <w:tab/>
            </w:r>
            <w:r w:rsidR="00C32528" w:rsidRPr="00C32528">
              <w:rPr>
                <w:rStyle w:val="Hyperlink"/>
                <w:sz w:val="20"/>
              </w:rPr>
              <w:t>Costs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_Toc433667022 \h </w:instrText>
            </w:r>
            <w:r w:rsidR="00C32528" w:rsidRPr="00C32528">
              <w:rPr>
                <w:webHidden/>
                <w:sz w:val="20"/>
              </w:rPr>
            </w:r>
            <w:r w:rsidR="00C32528" w:rsidRPr="00C32528">
              <w:rPr>
                <w:webHidden/>
                <w:sz w:val="20"/>
              </w:rPr>
              <w:fldChar w:fldCharType="separate"/>
            </w:r>
            <w:r w:rsidR="00DD3148">
              <w:rPr>
                <w:webHidden/>
                <w:sz w:val="20"/>
              </w:rPr>
              <w:t>51</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23" w:history="1">
            <w:r w:rsidR="00C32528" w:rsidRPr="00C32528">
              <w:rPr>
                <w:rStyle w:val="Hyperlink"/>
                <w:sz w:val="20"/>
              </w:rPr>
              <w:t>3.4.1.</w:t>
            </w:r>
            <w:r w:rsidR="00C32528" w:rsidRPr="00C32528">
              <w:rPr>
                <w:rFonts w:asciiTheme="minorHAnsi" w:eastAsiaTheme="minorEastAsia" w:hAnsiTheme="minorHAnsi"/>
                <w:sz w:val="20"/>
                <w:lang w:eastAsia="en-AU"/>
              </w:rPr>
              <w:tab/>
            </w:r>
            <w:r w:rsidR="00C32528" w:rsidRPr="00C32528">
              <w:rPr>
                <w:rStyle w:val="Hyperlink"/>
                <w:sz w:val="20"/>
              </w:rPr>
              <w:t>Relative cost shares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_Toc433667023 \h </w:instrText>
            </w:r>
            <w:r w:rsidR="00C32528" w:rsidRPr="00C32528">
              <w:rPr>
                <w:webHidden/>
                <w:sz w:val="20"/>
              </w:rPr>
            </w:r>
            <w:r w:rsidR="00C32528" w:rsidRPr="00C32528">
              <w:rPr>
                <w:webHidden/>
                <w:sz w:val="20"/>
              </w:rPr>
              <w:fldChar w:fldCharType="separate"/>
            </w:r>
            <w:r w:rsidR="00DD3148">
              <w:rPr>
                <w:webHidden/>
                <w:sz w:val="20"/>
              </w:rPr>
              <w:t>51</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24" w:history="1">
            <w:r w:rsidR="00C32528" w:rsidRPr="00C32528">
              <w:rPr>
                <w:rStyle w:val="Hyperlink"/>
                <w:sz w:val="20"/>
              </w:rPr>
              <w:t>3.4.2.</w:t>
            </w:r>
            <w:r w:rsidR="00C32528" w:rsidRPr="00C32528">
              <w:rPr>
                <w:rFonts w:asciiTheme="minorHAnsi" w:eastAsiaTheme="minorEastAsia" w:hAnsiTheme="minorHAnsi"/>
                <w:sz w:val="20"/>
                <w:lang w:eastAsia="en-AU"/>
              </w:rPr>
              <w:tab/>
            </w:r>
            <w:r w:rsidR="00C32528" w:rsidRPr="00C32528">
              <w:rPr>
                <w:rStyle w:val="Hyperlink"/>
                <w:sz w:val="20"/>
              </w:rPr>
              <w:t>Variations in unit cost components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_Toc433667024 \h </w:instrText>
            </w:r>
            <w:r w:rsidR="00C32528" w:rsidRPr="00C32528">
              <w:rPr>
                <w:webHidden/>
                <w:sz w:val="20"/>
              </w:rPr>
            </w:r>
            <w:r w:rsidR="00C32528" w:rsidRPr="00C32528">
              <w:rPr>
                <w:webHidden/>
                <w:sz w:val="20"/>
              </w:rPr>
              <w:fldChar w:fldCharType="separate"/>
            </w:r>
            <w:r w:rsidR="00DD3148">
              <w:rPr>
                <w:webHidden/>
                <w:sz w:val="20"/>
              </w:rPr>
              <w:t>52</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25" w:history="1">
            <w:r w:rsidR="00C32528" w:rsidRPr="00C32528">
              <w:rPr>
                <w:rStyle w:val="Hyperlink"/>
                <w:sz w:val="20"/>
              </w:rPr>
              <w:t>3.5.</w:t>
            </w:r>
            <w:r w:rsidR="00C32528" w:rsidRPr="00C32528">
              <w:rPr>
                <w:rFonts w:asciiTheme="minorHAnsi" w:eastAsiaTheme="minorEastAsia" w:hAnsiTheme="minorHAnsi"/>
                <w:sz w:val="20"/>
                <w:lang w:eastAsia="en-AU"/>
              </w:rPr>
              <w:tab/>
            </w:r>
            <w:r w:rsidR="00C32528" w:rsidRPr="00C32528">
              <w:rPr>
                <w:rStyle w:val="Hyperlink"/>
                <w:sz w:val="20"/>
              </w:rPr>
              <w:t>Major capital investments in terminal capacity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_Toc433667025 \h </w:instrText>
            </w:r>
            <w:r w:rsidR="00C32528" w:rsidRPr="00C32528">
              <w:rPr>
                <w:webHidden/>
                <w:sz w:val="20"/>
              </w:rPr>
            </w:r>
            <w:r w:rsidR="00C32528" w:rsidRPr="00C32528">
              <w:rPr>
                <w:webHidden/>
                <w:sz w:val="20"/>
              </w:rPr>
              <w:fldChar w:fldCharType="separate"/>
            </w:r>
            <w:r w:rsidR="00DD3148">
              <w:rPr>
                <w:webHidden/>
                <w:sz w:val="20"/>
              </w:rPr>
              <w:t>53</w:t>
            </w:r>
            <w:r w:rsidR="00C32528" w:rsidRPr="00C32528">
              <w:rPr>
                <w:webHidden/>
                <w:sz w:val="20"/>
              </w:rPr>
              <w:fldChar w:fldCharType="end"/>
            </w:r>
          </w:hyperlink>
        </w:p>
        <w:p w:rsidR="00C32528" w:rsidRPr="00C32528" w:rsidRDefault="0099073A">
          <w:pPr>
            <w:pStyle w:val="TOC2"/>
            <w:rPr>
              <w:rFonts w:asciiTheme="minorHAnsi" w:eastAsiaTheme="minorEastAsia" w:hAnsiTheme="minorHAnsi"/>
              <w:sz w:val="20"/>
              <w:lang w:eastAsia="en-AU"/>
            </w:rPr>
          </w:pPr>
          <w:hyperlink w:anchor="_Toc433667026" w:history="1">
            <w:r w:rsidR="00C32528" w:rsidRPr="00C32528">
              <w:rPr>
                <w:rStyle w:val="Hyperlink"/>
                <w:sz w:val="20"/>
              </w:rPr>
              <w:t>3.6.</w:t>
            </w:r>
            <w:r w:rsidR="00C32528" w:rsidRPr="00C32528">
              <w:rPr>
                <w:rFonts w:asciiTheme="minorHAnsi" w:eastAsiaTheme="minorEastAsia" w:hAnsiTheme="minorHAnsi"/>
                <w:sz w:val="20"/>
                <w:lang w:eastAsia="en-AU"/>
              </w:rPr>
              <w:tab/>
            </w:r>
            <w:r w:rsidR="00C32528" w:rsidRPr="00C32528">
              <w:rPr>
                <w:rStyle w:val="Hyperlink"/>
                <w:sz w:val="20"/>
              </w:rPr>
              <w:t>Rates of return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_Toc433667026 \h </w:instrText>
            </w:r>
            <w:r w:rsidR="00C32528" w:rsidRPr="00C32528">
              <w:rPr>
                <w:webHidden/>
                <w:sz w:val="20"/>
              </w:rPr>
            </w:r>
            <w:r w:rsidR="00C32528" w:rsidRPr="00C32528">
              <w:rPr>
                <w:webHidden/>
                <w:sz w:val="20"/>
              </w:rPr>
              <w:fldChar w:fldCharType="separate"/>
            </w:r>
            <w:r w:rsidR="00DD3148">
              <w:rPr>
                <w:webHidden/>
                <w:sz w:val="20"/>
              </w:rPr>
              <w:t>53</w:t>
            </w:r>
            <w:r w:rsidR="00C32528" w:rsidRPr="00C32528">
              <w:rPr>
                <w:webHidden/>
                <w:sz w:val="20"/>
              </w:rPr>
              <w:fldChar w:fldCharType="end"/>
            </w:r>
          </w:hyperlink>
        </w:p>
        <w:p w:rsidR="00C32528" w:rsidRPr="00C32528" w:rsidRDefault="0099073A">
          <w:pPr>
            <w:pStyle w:val="TOC3"/>
            <w:rPr>
              <w:rFonts w:asciiTheme="minorHAnsi" w:eastAsiaTheme="minorEastAsia" w:hAnsiTheme="minorHAnsi"/>
              <w:sz w:val="20"/>
              <w:lang w:eastAsia="en-AU"/>
            </w:rPr>
          </w:pPr>
          <w:hyperlink w:anchor="_Toc433667027" w:history="1">
            <w:r w:rsidR="00C32528" w:rsidRPr="00C32528">
              <w:rPr>
                <w:rStyle w:val="Hyperlink"/>
                <w:sz w:val="20"/>
              </w:rPr>
              <w:t>3.6.1.</w:t>
            </w:r>
            <w:r w:rsidR="00C32528" w:rsidRPr="00C32528">
              <w:rPr>
                <w:rFonts w:asciiTheme="minorHAnsi" w:eastAsiaTheme="minorEastAsia" w:hAnsiTheme="minorHAnsi"/>
                <w:sz w:val="20"/>
                <w:lang w:eastAsia="en-AU"/>
              </w:rPr>
              <w:tab/>
            </w:r>
            <w:r w:rsidR="00C32528" w:rsidRPr="00C32528">
              <w:rPr>
                <w:rStyle w:val="Hyperlink"/>
                <w:sz w:val="20"/>
              </w:rPr>
              <w:t>Concluding ACCC observations about industry profitability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_Toc433667027 \h </w:instrText>
            </w:r>
            <w:r w:rsidR="00C32528" w:rsidRPr="00C32528">
              <w:rPr>
                <w:webHidden/>
                <w:sz w:val="20"/>
              </w:rPr>
            </w:r>
            <w:r w:rsidR="00C32528" w:rsidRPr="00C32528">
              <w:rPr>
                <w:webHidden/>
                <w:sz w:val="20"/>
              </w:rPr>
              <w:fldChar w:fldCharType="separate"/>
            </w:r>
            <w:r w:rsidR="00DD3148">
              <w:rPr>
                <w:webHidden/>
                <w:sz w:val="20"/>
              </w:rPr>
              <w:t>55</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28" w:history="1">
            <w:r w:rsidR="00C32528" w:rsidRPr="00C32528">
              <w:rPr>
                <w:rStyle w:val="Hyperlink"/>
                <w:sz w:val="20"/>
              </w:rPr>
              <w:t>A</w:t>
            </w:r>
            <w:r w:rsidR="00C32528" w:rsidRPr="00C32528">
              <w:rPr>
                <w:rFonts w:asciiTheme="minorHAnsi" w:eastAsiaTheme="minorEastAsia" w:hAnsiTheme="minorHAnsi"/>
                <w:sz w:val="20"/>
                <w:lang w:val="en-AU" w:eastAsia="en-AU"/>
              </w:rPr>
              <w:tab/>
            </w:r>
            <w:r w:rsidR="00C32528" w:rsidRPr="00C32528">
              <w:rPr>
                <w:rStyle w:val="Hyperlink"/>
                <w:sz w:val="20"/>
              </w:rPr>
              <w:t>Company-specific data</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_Toc433667028 \h </w:instrText>
            </w:r>
            <w:r w:rsidR="00C32528" w:rsidRPr="00C32528">
              <w:rPr>
                <w:webHidden/>
                <w:sz w:val="20"/>
              </w:rPr>
            </w:r>
            <w:r w:rsidR="00C32528" w:rsidRPr="00C32528">
              <w:rPr>
                <w:webHidden/>
                <w:sz w:val="20"/>
              </w:rPr>
              <w:fldChar w:fldCharType="separate"/>
            </w:r>
            <w:r w:rsidR="00DD3148">
              <w:rPr>
                <w:webHidden/>
                <w:sz w:val="20"/>
              </w:rPr>
              <w:t>56</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29" w:history="1">
            <w:r w:rsidR="00C32528" w:rsidRPr="00C32528">
              <w:rPr>
                <w:rStyle w:val="Hyperlink"/>
                <w:sz w:val="20"/>
              </w:rPr>
              <w:t>B</w:t>
            </w:r>
            <w:r w:rsidR="00C32528" w:rsidRPr="00C32528">
              <w:rPr>
                <w:rFonts w:asciiTheme="minorHAnsi" w:eastAsiaTheme="minorEastAsia" w:hAnsiTheme="minorHAnsi"/>
                <w:sz w:val="20"/>
                <w:lang w:val="en-AU" w:eastAsia="en-AU"/>
              </w:rPr>
              <w:tab/>
            </w:r>
            <w:r w:rsidR="00C32528" w:rsidRPr="00C32528">
              <w:rPr>
                <w:rStyle w:val="Hyperlink"/>
                <w:sz w:val="20"/>
              </w:rPr>
              <w:t>Selected industry data</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_Toc433667029 \h </w:instrText>
            </w:r>
            <w:r w:rsidR="00C32528" w:rsidRPr="00C32528">
              <w:rPr>
                <w:webHidden/>
                <w:sz w:val="20"/>
              </w:rPr>
            </w:r>
            <w:r w:rsidR="00C32528" w:rsidRPr="00C32528">
              <w:rPr>
                <w:webHidden/>
                <w:sz w:val="20"/>
              </w:rPr>
              <w:fldChar w:fldCharType="separate"/>
            </w:r>
            <w:r w:rsidR="00DD3148">
              <w:rPr>
                <w:webHidden/>
                <w:sz w:val="20"/>
              </w:rPr>
              <w:t>61</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30" w:history="1">
            <w:r w:rsidR="00C32528" w:rsidRPr="00C32528">
              <w:rPr>
                <w:rStyle w:val="Hyperlink"/>
                <w:sz w:val="20"/>
              </w:rPr>
              <w:t>C</w:t>
            </w:r>
            <w:r w:rsidR="00C32528" w:rsidRPr="00C32528">
              <w:rPr>
                <w:rFonts w:asciiTheme="minorHAnsi" w:eastAsiaTheme="minorEastAsia" w:hAnsiTheme="minorHAnsi"/>
                <w:sz w:val="20"/>
                <w:lang w:val="en-AU" w:eastAsia="en-AU"/>
              </w:rPr>
              <w:tab/>
            </w:r>
            <w:r w:rsidR="00C32528" w:rsidRPr="00C32528">
              <w:rPr>
                <w:rStyle w:val="Hyperlink"/>
                <w:sz w:val="20"/>
              </w:rPr>
              <w:t>Company trends in cost components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_Toc433667030 \h </w:instrText>
            </w:r>
            <w:r w:rsidR="00C32528" w:rsidRPr="00C32528">
              <w:rPr>
                <w:webHidden/>
                <w:sz w:val="20"/>
              </w:rPr>
            </w:r>
            <w:r w:rsidR="00C32528" w:rsidRPr="00C32528">
              <w:rPr>
                <w:webHidden/>
                <w:sz w:val="20"/>
              </w:rPr>
              <w:fldChar w:fldCharType="separate"/>
            </w:r>
            <w:r w:rsidR="00DD3148">
              <w:rPr>
                <w:webHidden/>
                <w:sz w:val="20"/>
              </w:rPr>
              <w:t>65</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31" w:history="1">
            <w:r w:rsidR="00C32528" w:rsidRPr="00C32528">
              <w:rPr>
                <w:rStyle w:val="Hyperlink"/>
                <w:sz w:val="20"/>
              </w:rPr>
              <w:t>D</w:t>
            </w:r>
            <w:r w:rsidR="00C32528" w:rsidRPr="00C32528">
              <w:rPr>
                <w:rFonts w:asciiTheme="minorHAnsi" w:eastAsiaTheme="minorEastAsia" w:hAnsiTheme="minorHAnsi"/>
                <w:sz w:val="20"/>
                <w:lang w:val="en-AU" w:eastAsia="en-AU"/>
              </w:rPr>
              <w:tab/>
            </w:r>
            <w:r w:rsidR="00C32528" w:rsidRPr="00C32528">
              <w:rPr>
                <w:rStyle w:val="Hyperlink"/>
                <w:sz w:val="20"/>
              </w:rPr>
              <w:t>Characteristics of the stevedoring industry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_Toc433667031 \h </w:instrText>
            </w:r>
            <w:r w:rsidR="00C32528" w:rsidRPr="00C32528">
              <w:rPr>
                <w:webHidden/>
                <w:sz w:val="20"/>
              </w:rPr>
            </w:r>
            <w:r w:rsidR="00C32528" w:rsidRPr="00C32528">
              <w:rPr>
                <w:webHidden/>
                <w:sz w:val="20"/>
              </w:rPr>
              <w:fldChar w:fldCharType="separate"/>
            </w:r>
            <w:r w:rsidR="00DD3148">
              <w:rPr>
                <w:webHidden/>
                <w:sz w:val="20"/>
              </w:rPr>
              <w:t>72</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32" w:history="1">
            <w:r w:rsidR="00C32528" w:rsidRPr="00C32528">
              <w:rPr>
                <w:rStyle w:val="Hyperlink"/>
                <w:sz w:val="20"/>
              </w:rPr>
              <w:t>E</w:t>
            </w:r>
            <w:r w:rsidR="00C32528" w:rsidRPr="00C32528">
              <w:rPr>
                <w:rFonts w:asciiTheme="minorHAnsi" w:eastAsiaTheme="minorEastAsia" w:hAnsiTheme="minorHAnsi"/>
                <w:sz w:val="20"/>
                <w:lang w:val="en-AU" w:eastAsia="en-AU"/>
              </w:rPr>
              <w:tab/>
            </w:r>
            <w:r w:rsidR="00C32528" w:rsidRPr="00C32528">
              <w:rPr>
                <w:rStyle w:val="Hyperlink"/>
                <w:sz w:val="20"/>
              </w:rPr>
              <w:t>ACCC monitoring methodology</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_Toc433667032 \h </w:instrText>
            </w:r>
            <w:r w:rsidR="00C32528" w:rsidRPr="00C32528">
              <w:rPr>
                <w:webHidden/>
                <w:sz w:val="20"/>
              </w:rPr>
            </w:r>
            <w:r w:rsidR="00C32528" w:rsidRPr="00C32528">
              <w:rPr>
                <w:webHidden/>
                <w:sz w:val="20"/>
              </w:rPr>
              <w:fldChar w:fldCharType="separate"/>
            </w:r>
            <w:r w:rsidR="00DD3148">
              <w:rPr>
                <w:webHidden/>
                <w:sz w:val="20"/>
              </w:rPr>
              <w:t>78</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33" w:history="1">
            <w:r w:rsidR="00C32528" w:rsidRPr="00C32528">
              <w:rPr>
                <w:rStyle w:val="Hyperlink"/>
                <w:sz w:val="20"/>
              </w:rPr>
              <w:t>F</w:t>
            </w:r>
            <w:r w:rsidR="00C32528" w:rsidRPr="00C32528">
              <w:rPr>
                <w:rFonts w:asciiTheme="minorHAnsi" w:eastAsiaTheme="minorEastAsia" w:hAnsiTheme="minorHAnsi"/>
                <w:sz w:val="20"/>
                <w:lang w:val="en-AU" w:eastAsia="en-AU"/>
              </w:rPr>
              <w:tab/>
            </w:r>
            <w:r w:rsidR="00C32528" w:rsidRPr="00C32528">
              <w:rPr>
                <w:rStyle w:val="Hyperlink"/>
                <w:sz w:val="20"/>
              </w:rPr>
              <w:t>Ministerial direction</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_Toc433667033 \h </w:instrText>
            </w:r>
            <w:r w:rsidR="00C32528" w:rsidRPr="00C32528">
              <w:rPr>
                <w:webHidden/>
                <w:sz w:val="20"/>
              </w:rPr>
            </w:r>
            <w:r w:rsidR="00C32528" w:rsidRPr="00C32528">
              <w:rPr>
                <w:webHidden/>
                <w:sz w:val="20"/>
              </w:rPr>
              <w:fldChar w:fldCharType="separate"/>
            </w:r>
            <w:r w:rsidR="00DD3148">
              <w:rPr>
                <w:webHidden/>
                <w:sz w:val="20"/>
              </w:rPr>
              <w:t>84</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34" w:history="1">
            <w:r w:rsidR="00C32528" w:rsidRPr="00C32528">
              <w:rPr>
                <w:rStyle w:val="Hyperlink"/>
                <w:sz w:val="20"/>
              </w:rPr>
              <w:t>G</w:t>
            </w:r>
            <w:r w:rsidR="00C32528" w:rsidRPr="00C32528">
              <w:rPr>
                <w:rFonts w:asciiTheme="minorHAnsi" w:eastAsiaTheme="minorEastAsia" w:hAnsiTheme="minorHAnsi"/>
                <w:sz w:val="20"/>
                <w:lang w:val="en-AU" w:eastAsia="en-AU"/>
              </w:rPr>
              <w:tab/>
            </w:r>
            <w:r w:rsidR="00C32528" w:rsidRPr="00C32528">
              <w:rPr>
                <w:rStyle w:val="Hyperlink"/>
                <w:sz w:val="20"/>
              </w:rPr>
              <w:t>Part VIIA, Competition and Consumer Act 2010</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_Toc433667034 \h </w:instrText>
            </w:r>
            <w:r w:rsidR="00C32528" w:rsidRPr="00C32528">
              <w:rPr>
                <w:webHidden/>
                <w:sz w:val="20"/>
              </w:rPr>
            </w:r>
            <w:r w:rsidR="00C32528" w:rsidRPr="00C32528">
              <w:rPr>
                <w:webHidden/>
                <w:sz w:val="20"/>
              </w:rPr>
              <w:fldChar w:fldCharType="separate"/>
            </w:r>
            <w:r w:rsidR="00DD3148">
              <w:rPr>
                <w:webHidden/>
                <w:sz w:val="20"/>
              </w:rPr>
              <w:t>85</w:t>
            </w:r>
            <w:r w:rsidR="00C32528" w:rsidRPr="00C32528">
              <w:rPr>
                <w:webHidden/>
                <w:sz w:val="20"/>
              </w:rPr>
              <w:fldChar w:fldCharType="end"/>
            </w:r>
          </w:hyperlink>
        </w:p>
        <w:p w:rsidR="00C32528" w:rsidRPr="00C32528" w:rsidRDefault="0099073A">
          <w:pPr>
            <w:pStyle w:val="TOC1"/>
            <w:rPr>
              <w:rFonts w:asciiTheme="minorHAnsi" w:eastAsiaTheme="minorEastAsia" w:hAnsiTheme="minorHAnsi"/>
              <w:sz w:val="20"/>
              <w:lang w:val="en-AU" w:eastAsia="en-AU"/>
            </w:rPr>
          </w:pPr>
          <w:hyperlink w:anchor="_Toc433667035" w:history="1">
            <w:r w:rsidR="00C32528" w:rsidRPr="00C32528">
              <w:rPr>
                <w:rStyle w:val="Hyperlink"/>
                <w:sz w:val="20"/>
              </w:rPr>
              <w:t>Contacts</w:t>
            </w:r>
            <w:r w:rsidR="00C32528" w:rsidRPr="00C32528">
              <w:rPr>
                <w:webHidden/>
                <w:sz w:val="20"/>
              </w:rPr>
              <w:tab/>
            </w:r>
            <w:r w:rsidR="00C32528" w:rsidRPr="00C32528">
              <w:rPr>
                <w:webHidden/>
                <w:sz w:val="20"/>
              </w:rPr>
              <w:fldChar w:fldCharType="begin"/>
            </w:r>
            <w:r w:rsidR="00C32528" w:rsidRPr="00C32528">
              <w:rPr>
                <w:webHidden/>
                <w:sz w:val="20"/>
              </w:rPr>
              <w:instrText xml:space="preserve"> PAGEREF _Toc433667035 \h </w:instrText>
            </w:r>
            <w:r w:rsidR="00C32528" w:rsidRPr="00C32528">
              <w:rPr>
                <w:webHidden/>
                <w:sz w:val="20"/>
              </w:rPr>
            </w:r>
            <w:r w:rsidR="00C32528" w:rsidRPr="00C32528">
              <w:rPr>
                <w:webHidden/>
                <w:sz w:val="20"/>
              </w:rPr>
              <w:fldChar w:fldCharType="separate"/>
            </w:r>
            <w:r w:rsidR="00DD3148">
              <w:rPr>
                <w:webHidden/>
                <w:sz w:val="20"/>
              </w:rPr>
              <w:t>87</w:t>
            </w:r>
            <w:r w:rsidR="00C32528" w:rsidRPr="00C32528">
              <w:rPr>
                <w:webHidden/>
                <w:sz w:val="20"/>
              </w:rPr>
              <w:fldChar w:fldCharType="end"/>
            </w:r>
          </w:hyperlink>
        </w:p>
        <w:p w:rsidR="00D0094A" w:rsidRPr="00A038AA" w:rsidRDefault="00D0094A" w:rsidP="0053436E">
          <w:pPr>
            <w:rPr>
              <w:sz w:val="18"/>
            </w:rPr>
          </w:pPr>
          <w:r w:rsidRPr="00C32528">
            <w:rPr>
              <w:sz w:val="16"/>
            </w:rPr>
            <w:fldChar w:fldCharType="end"/>
          </w:r>
        </w:p>
      </w:sdtContent>
    </w:sdt>
    <w:p w:rsidR="0048480F" w:rsidRPr="00A038AA" w:rsidRDefault="0048480F">
      <w:pPr>
        <w:rPr>
          <w:rFonts w:ascii="Lucida Fax" w:eastAsiaTheme="majorEastAsia" w:hAnsi="Lucida Fax" w:cstheme="majorBidi"/>
          <w:bCs/>
          <w:color w:val="51626F"/>
          <w:sz w:val="28"/>
          <w:szCs w:val="28"/>
        </w:rPr>
      </w:pPr>
      <w:r w:rsidRPr="00A038AA">
        <w:rPr>
          <w:sz w:val="20"/>
        </w:rPr>
        <w:br w:type="page"/>
      </w:r>
    </w:p>
    <w:p w:rsidR="00D97319" w:rsidRDefault="00D97319" w:rsidP="00D97319">
      <w:pPr>
        <w:pStyle w:val="Heading1"/>
      </w:pPr>
      <w:bookmarkStart w:id="8" w:name="_Toc433666978"/>
      <w:r>
        <w:lastRenderedPageBreak/>
        <w:t>Glossary</w:t>
      </w:r>
      <w:bookmarkEnd w:id="5"/>
      <w:bookmarkEnd w:id="8"/>
    </w:p>
    <w:tbl>
      <w:tblPr>
        <w:tblStyle w:val="TableGrid"/>
        <w:tblW w:w="0" w:type="auto"/>
        <w:tblBorders>
          <w:top w:val="none" w:sz="0" w:space="0" w:color="auto"/>
          <w:bottom w:val="none" w:sz="0" w:space="0" w:color="auto"/>
        </w:tblBorders>
        <w:tblLook w:val="0620" w:firstRow="1" w:lastRow="0" w:firstColumn="0" w:lastColumn="0" w:noHBand="1" w:noVBand="1"/>
      </w:tblPr>
      <w:tblGrid>
        <w:gridCol w:w="2166"/>
        <w:gridCol w:w="6498"/>
      </w:tblGrid>
      <w:tr w:rsidR="00D97319" w:rsidTr="00B04835">
        <w:trPr>
          <w:cnfStyle w:val="100000000000" w:firstRow="1" w:lastRow="0" w:firstColumn="0" w:lastColumn="0" w:oddVBand="0" w:evenVBand="0" w:oddHBand="0" w:evenHBand="0" w:firstRowFirstColumn="0" w:firstRowLastColumn="0" w:lastRowFirstColumn="0" w:lastRowLastColumn="0"/>
          <w:trHeight w:val="43"/>
        </w:trPr>
        <w:tc>
          <w:tcPr>
            <w:tcW w:w="21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19" w:rsidRPr="00626A49" w:rsidRDefault="00D97319" w:rsidP="00D97319">
            <w:pPr>
              <w:pStyle w:val="Tabletext"/>
            </w:pPr>
          </w:p>
        </w:tc>
        <w:tc>
          <w:tcPr>
            <w:tcW w:w="64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19" w:rsidRPr="00626A49" w:rsidRDefault="00D97319" w:rsidP="00D97319">
            <w:pPr>
              <w:pStyle w:val="Tabletext"/>
            </w:pPr>
          </w:p>
        </w:tc>
      </w:tr>
      <w:tr w:rsidR="00D97319" w:rsidTr="00B04835">
        <w:trPr>
          <w:trHeight w:val="37"/>
        </w:trPr>
        <w:tc>
          <w:tcPr>
            <w:tcW w:w="2166" w:type="dxa"/>
          </w:tcPr>
          <w:p w:rsidR="00D97319" w:rsidRPr="00626A49" w:rsidRDefault="001D4CBE" w:rsidP="001D4CBE">
            <w:pPr>
              <w:pStyle w:val="Tabletext"/>
            </w:pPr>
            <w:r>
              <w:t>ABS</w:t>
            </w:r>
          </w:p>
        </w:tc>
        <w:tc>
          <w:tcPr>
            <w:tcW w:w="6498" w:type="dxa"/>
          </w:tcPr>
          <w:p w:rsidR="00D97319" w:rsidRPr="00626A49" w:rsidRDefault="001D4CBE" w:rsidP="00D97319">
            <w:pPr>
              <w:pStyle w:val="Tabletext"/>
            </w:pPr>
            <w:r w:rsidRPr="001D4CBE">
              <w:t>Australian Bureau of Statistics</w:t>
            </w:r>
          </w:p>
        </w:tc>
      </w:tr>
      <w:tr w:rsidR="00D97319" w:rsidTr="00B04835">
        <w:trPr>
          <w:trHeight w:val="37"/>
        </w:trPr>
        <w:tc>
          <w:tcPr>
            <w:tcW w:w="2166" w:type="dxa"/>
          </w:tcPr>
          <w:p w:rsidR="00D97319" w:rsidRPr="00626A49" w:rsidRDefault="001D4CBE" w:rsidP="00D97319">
            <w:pPr>
              <w:pStyle w:val="Tabletext"/>
            </w:pPr>
            <w:r>
              <w:t>ACCC</w:t>
            </w:r>
          </w:p>
        </w:tc>
        <w:tc>
          <w:tcPr>
            <w:tcW w:w="6498" w:type="dxa"/>
          </w:tcPr>
          <w:p w:rsidR="00D97319" w:rsidRPr="00626A49" w:rsidRDefault="001D4CBE" w:rsidP="00D97319">
            <w:pPr>
              <w:pStyle w:val="Tabletext"/>
            </w:pPr>
            <w:r w:rsidRPr="001D4CBE">
              <w:t>Australian Competition and Consumer Commission</w:t>
            </w:r>
          </w:p>
        </w:tc>
      </w:tr>
      <w:tr w:rsidR="00D97319" w:rsidTr="00B04835">
        <w:trPr>
          <w:trHeight w:val="37"/>
        </w:trPr>
        <w:tc>
          <w:tcPr>
            <w:tcW w:w="2166" w:type="dxa"/>
          </w:tcPr>
          <w:p w:rsidR="00D97319" w:rsidRPr="00626A49" w:rsidRDefault="001D4CBE" w:rsidP="00D97319">
            <w:pPr>
              <w:pStyle w:val="Tabletext"/>
            </w:pPr>
            <w:r>
              <w:t>ACS</w:t>
            </w:r>
          </w:p>
        </w:tc>
        <w:tc>
          <w:tcPr>
            <w:tcW w:w="6498" w:type="dxa"/>
          </w:tcPr>
          <w:p w:rsidR="00D97319" w:rsidRPr="00626A49" w:rsidRDefault="001D4CBE" w:rsidP="00D97319">
            <w:pPr>
              <w:pStyle w:val="Tabletext"/>
            </w:pPr>
            <w:r w:rsidRPr="001D4CBE">
              <w:t>Australian Customs and Border Protection Service</w:t>
            </w:r>
          </w:p>
        </w:tc>
      </w:tr>
      <w:tr w:rsidR="00D97319" w:rsidTr="00B04835">
        <w:trPr>
          <w:trHeight w:val="37"/>
        </w:trPr>
        <w:tc>
          <w:tcPr>
            <w:tcW w:w="2166" w:type="dxa"/>
          </w:tcPr>
          <w:p w:rsidR="00D97319" w:rsidRPr="00626A49" w:rsidRDefault="001D4CBE" w:rsidP="00D97319">
            <w:pPr>
              <w:pStyle w:val="Tabletext"/>
            </w:pPr>
            <w:r>
              <w:t>ASC</w:t>
            </w:r>
          </w:p>
        </w:tc>
        <w:tc>
          <w:tcPr>
            <w:tcW w:w="6498" w:type="dxa"/>
          </w:tcPr>
          <w:p w:rsidR="00D97319" w:rsidRPr="00626A49" w:rsidRDefault="001D4CBE" w:rsidP="00D97319">
            <w:pPr>
              <w:pStyle w:val="Tabletext"/>
            </w:pPr>
            <w:r w:rsidRPr="001D4CBE">
              <w:t>automated stacking crane</w:t>
            </w:r>
          </w:p>
        </w:tc>
      </w:tr>
      <w:tr w:rsidR="001E37B2" w:rsidTr="00B04835">
        <w:trPr>
          <w:trHeight w:val="37"/>
        </w:trPr>
        <w:tc>
          <w:tcPr>
            <w:tcW w:w="2166" w:type="dxa"/>
          </w:tcPr>
          <w:p w:rsidR="001E37B2" w:rsidRDefault="001E37B2" w:rsidP="00D97319">
            <w:pPr>
              <w:pStyle w:val="Tabletext"/>
            </w:pPr>
            <w:r>
              <w:t>Asciano</w:t>
            </w:r>
          </w:p>
        </w:tc>
        <w:tc>
          <w:tcPr>
            <w:tcW w:w="6498" w:type="dxa"/>
          </w:tcPr>
          <w:p w:rsidR="001E37B2" w:rsidRPr="001D4CBE" w:rsidRDefault="001E37B2" w:rsidP="00D97319">
            <w:pPr>
              <w:pStyle w:val="Tabletext"/>
            </w:pPr>
            <w:r>
              <w:t>Asciano Limited</w:t>
            </w:r>
          </w:p>
        </w:tc>
      </w:tr>
      <w:tr w:rsidR="00D97319" w:rsidTr="00B04835">
        <w:trPr>
          <w:trHeight w:val="37"/>
        </w:trPr>
        <w:tc>
          <w:tcPr>
            <w:tcW w:w="2166" w:type="dxa"/>
          </w:tcPr>
          <w:p w:rsidR="00D97319" w:rsidRPr="00626A49" w:rsidRDefault="001D4CBE" w:rsidP="00D97319">
            <w:pPr>
              <w:pStyle w:val="Tabletext"/>
            </w:pPr>
            <w:r>
              <w:t>ASX</w:t>
            </w:r>
          </w:p>
        </w:tc>
        <w:tc>
          <w:tcPr>
            <w:tcW w:w="6498" w:type="dxa"/>
          </w:tcPr>
          <w:p w:rsidR="00D97319" w:rsidRPr="00626A49" w:rsidRDefault="001D4CBE" w:rsidP="00D97319">
            <w:pPr>
              <w:pStyle w:val="Tabletext"/>
            </w:pPr>
            <w:r w:rsidRPr="001D4CBE">
              <w:t>Australian Securities Exchange</w:t>
            </w:r>
          </w:p>
        </w:tc>
      </w:tr>
      <w:tr w:rsidR="007553EB" w:rsidTr="00B04835">
        <w:trPr>
          <w:trHeight w:val="37"/>
        </w:trPr>
        <w:tc>
          <w:tcPr>
            <w:tcW w:w="2166" w:type="dxa"/>
          </w:tcPr>
          <w:p w:rsidR="007553EB" w:rsidRDefault="007553EB" w:rsidP="00D97319">
            <w:pPr>
              <w:pStyle w:val="Tabletext"/>
            </w:pPr>
            <w:proofErr w:type="spellStart"/>
            <w:r>
              <w:t>AutoStrads</w:t>
            </w:r>
            <w:proofErr w:type="spellEnd"/>
            <w:r>
              <w:t>™</w:t>
            </w:r>
          </w:p>
        </w:tc>
        <w:tc>
          <w:tcPr>
            <w:tcW w:w="6498" w:type="dxa"/>
          </w:tcPr>
          <w:p w:rsidR="007553EB" w:rsidRPr="001D4CBE" w:rsidRDefault="007553EB" w:rsidP="00B237C8">
            <w:pPr>
              <w:pStyle w:val="Tabletext"/>
            </w:pPr>
            <w:r>
              <w:t>automated straddle</w:t>
            </w:r>
            <w:r w:rsidR="00B237C8">
              <w:t xml:space="preserve"> carriers technology </w:t>
            </w:r>
          </w:p>
        </w:tc>
      </w:tr>
      <w:tr w:rsidR="00D97319" w:rsidTr="00B04835">
        <w:trPr>
          <w:trHeight w:val="37"/>
        </w:trPr>
        <w:tc>
          <w:tcPr>
            <w:tcW w:w="2166" w:type="dxa"/>
          </w:tcPr>
          <w:p w:rsidR="00D97319" w:rsidRPr="00626A49" w:rsidRDefault="001D4CBE" w:rsidP="00D97319">
            <w:pPr>
              <w:pStyle w:val="Tabletext"/>
            </w:pPr>
            <w:r>
              <w:t>BITRE</w:t>
            </w:r>
          </w:p>
        </w:tc>
        <w:tc>
          <w:tcPr>
            <w:tcW w:w="6498" w:type="dxa"/>
          </w:tcPr>
          <w:p w:rsidR="00D97319" w:rsidRPr="00626A49" w:rsidRDefault="001D4CBE" w:rsidP="00D97319">
            <w:pPr>
              <w:pStyle w:val="Tabletext"/>
            </w:pPr>
            <w:r w:rsidRPr="001D4CBE">
              <w:t>Bureau of Infrastructure, Transport and Regional Economics</w:t>
            </w:r>
          </w:p>
        </w:tc>
      </w:tr>
      <w:tr w:rsidR="00D97319" w:rsidTr="00B04835">
        <w:trPr>
          <w:trHeight w:val="37"/>
        </w:trPr>
        <w:tc>
          <w:tcPr>
            <w:tcW w:w="2166" w:type="dxa"/>
          </w:tcPr>
          <w:p w:rsidR="00D97319" w:rsidRPr="00626A49" w:rsidRDefault="001D4CBE" w:rsidP="00D97319">
            <w:pPr>
              <w:pStyle w:val="Tabletext"/>
            </w:pPr>
            <w:r>
              <w:t>CEFs</w:t>
            </w:r>
          </w:p>
        </w:tc>
        <w:tc>
          <w:tcPr>
            <w:tcW w:w="6498" w:type="dxa"/>
          </w:tcPr>
          <w:p w:rsidR="00D97319" w:rsidRPr="00626A49" w:rsidRDefault="001D4CBE" w:rsidP="00D97319">
            <w:pPr>
              <w:pStyle w:val="Tabletext"/>
            </w:pPr>
            <w:r w:rsidRPr="001D4CBE">
              <w:t>container examination facilities</w:t>
            </w:r>
          </w:p>
        </w:tc>
      </w:tr>
      <w:tr w:rsidR="00D97319" w:rsidTr="00B04835">
        <w:trPr>
          <w:trHeight w:val="37"/>
        </w:trPr>
        <w:tc>
          <w:tcPr>
            <w:tcW w:w="2166" w:type="dxa"/>
          </w:tcPr>
          <w:p w:rsidR="00D97319" w:rsidRPr="00626A49" w:rsidRDefault="001D4CBE" w:rsidP="00D97319">
            <w:pPr>
              <w:pStyle w:val="Tabletext"/>
            </w:pPr>
            <w:r>
              <w:t>CCA</w:t>
            </w:r>
          </w:p>
        </w:tc>
        <w:tc>
          <w:tcPr>
            <w:tcW w:w="6498" w:type="dxa"/>
          </w:tcPr>
          <w:p w:rsidR="00D97319" w:rsidRPr="001D4CBE" w:rsidRDefault="001D4CBE" w:rsidP="00D97319">
            <w:pPr>
              <w:pStyle w:val="Tabletext"/>
              <w:rPr>
                <w:i/>
              </w:rPr>
            </w:pPr>
            <w:r w:rsidRPr="001D4CBE">
              <w:rPr>
                <w:i/>
              </w:rPr>
              <w:t>Competition and Consumer Act 2010</w:t>
            </w:r>
          </w:p>
        </w:tc>
      </w:tr>
      <w:tr w:rsidR="00D97319" w:rsidTr="00B04835">
        <w:trPr>
          <w:trHeight w:val="37"/>
        </w:trPr>
        <w:tc>
          <w:tcPr>
            <w:tcW w:w="2166" w:type="dxa"/>
          </w:tcPr>
          <w:p w:rsidR="00D97319" w:rsidRPr="00626A49" w:rsidRDefault="001D4CBE" w:rsidP="00D97319">
            <w:pPr>
              <w:pStyle w:val="Tabletext"/>
            </w:pPr>
            <w:r>
              <w:t>COAG</w:t>
            </w:r>
          </w:p>
        </w:tc>
        <w:tc>
          <w:tcPr>
            <w:tcW w:w="6498" w:type="dxa"/>
          </w:tcPr>
          <w:p w:rsidR="00D97319" w:rsidRPr="00626A49" w:rsidRDefault="001D4CBE" w:rsidP="00D97319">
            <w:pPr>
              <w:pStyle w:val="Tabletext"/>
            </w:pPr>
            <w:r w:rsidRPr="001D4CBE">
              <w:t>Council of Australian Governments</w:t>
            </w:r>
          </w:p>
        </w:tc>
      </w:tr>
      <w:tr w:rsidR="00D97319" w:rsidTr="00B04835">
        <w:trPr>
          <w:trHeight w:val="37"/>
        </w:trPr>
        <w:tc>
          <w:tcPr>
            <w:tcW w:w="2166" w:type="dxa"/>
          </w:tcPr>
          <w:p w:rsidR="00D97319" w:rsidRPr="00626A49" w:rsidRDefault="001D4CBE" w:rsidP="00D97319">
            <w:pPr>
              <w:pStyle w:val="Tabletext"/>
            </w:pPr>
            <w:r>
              <w:t>CPI</w:t>
            </w:r>
          </w:p>
        </w:tc>
        <w:tc>
          <w:tcPr>
            <w:tcW w:w="6498" w:type="dxa"/>
          </w:tcPr>
          <w:p w:rsidR="00D97319" w:rsidRPr="00626A49" w:rsidRDefault="006B269D" w:rsidP="006B269D">
            <w:pPr>
              <w:pStyle w:val="Tabletext"/>
            </w:pPr>
            <w:r>
              <w:t>C</w:t>
            </w:r>
            <w:r w:rsidR="001D4CBE" w:rsidRPr="001D4CBE">
              <w:t xml:space="preserve">onsumer </w:t>
            </w:r>
            <w:r>
              <w:t>P</w:t>
            </w:r>
            <w:r w:rsidR="001D4CBE" w:rsidRPr="001D4CBE">
              <w:t xml:space="preserve">rice </w:t>
            </w:r>
            <w:r>
              <w:t>I</w:t>
            </w:r>
            <w:r w:rsidR="001D4CBE" w:rsidRPr="001D4CBE">
              <w:t>ndex</w:t>
            </w:r>
          </w:p>
        </w:tc>
      </w:tr>
      <w:tr w:rsidR="001D4CBE" w:rsidTr="00B04835">
        <w:trPr>
          <w:trHeight w:val="37"/>
        </w:trPr>
        <w:tc>
          <w:tcPr>
            <w:tcW w:w="2166" w:type="dxa"/>
          </w:tcPr>
          <w:p w:rsidR="001D4CBE" w:rsidRDefault="001D4CBE" w:rsidP="00D97319">
            <w:pPr>
              <w:pStyle w:val="Tabletext"/>
            </w:pPr>
            <w:r>
              <w:t>DP World</w:t>
            </w:r>
          </w:p>
        </w:tc>
        <w:tc>
          <w:tcPr>
            <w:tcW w:w="6498" w:type="dxa"/>
          </w:tcPr>
          <w:p w:rsidR="001D4CBE" w:rsidRPr="00626A49" w:rsidRDefault="001D4CBE" w:rsidP="00D97319">
            <w:pPr>
              <w:pStyle w:val="Tabletext"/>
            </w:pPr>
            <w:r w:rsidRPr="001D4CBE">
              <w:t>DP World Australia Ltd, jointly owned by DP World (25 per cent) and Citi Infrastructure Investors (75 per cent)</w:t>
            </w:r>
          </w:p>
        </w:tc>
      </w:tr>
      <w:tr w:rsidR="001D4CBE" w:rsidTr="00B04835">
        <w:trPr>
          <w:trHeight w:val="37"/>
        </w:trPr>
        <w:tc>
          <w:tcPr>
            <w:tcW w:w="2166" w:type="dxa"/>
          </w:tcPr>
          <w:p w:rsidR="001D4CBE" w:rsidRDefault="001D4CBE" w:rsidP="00D97319">
            <w:pPr>
              <w:pStyle w:val="Tabletext"/>
            </w:pPr>
            <w:r>
              <w:t>EBA</w:t>
            </w:r>
          </w:p>
        </w:tc>
        <w:tc>
          <w:tcPr>
            <w:tcW w:w="6498" w:type="dxa"/>
          </w:tcPr>
          <w:p w:rsidR="001D4CBE" w:rsidRPr="00626A49" w:rsidRDefault="001D4CBE" w:rsidP="00D97319">
            <w:pPr>
              <w:pStyle w:val="Tabletext"/>
            </w:pPr>
            <w:r w:rsidRPr="001D4CBE">
              <w:t>enterprise bargaining agreement</w:t>
            </w:r>
          </w:p>
        </w:tc>
      </w:tr>
      <w:tr w:rsidR="001D4CBE" w:rsidTr="00B04835">
        <w:trPr>
          <w:trHeight w:val="37"/>
        </w:trPr>
        <w:tc>
          <w:tcPr>
            <w:tcW w:w="2166" w:type="dxa"/>
          </w:tcPr>
          <w:p w:rsidR="001D4CBE" w:rsidRDefault="001D4CBE" w:rsidP="00D97319">
            <w:pPr>
              <w:pStyle w:val="Tabletext"/>
            </w:pPr>
            <w:r>
              <w:t>EBITA</w:t>
            </w:r>
          </w:p>
        </w:tc>
        <w:tc>
          <w:tcPr>
            <w:tcW w:w="6498" w:type="dxa"/>
          </w:tcPr>
          <w:p w:rsidR="001D4CBE" w:rsidRPr="00626A49" w:rsidRDefault="001D4CBE" w:rsidP="00D97319">
            <w:pPr>
              <w:pStyle w:val="Tabletext"/>
            </w:pPr>
            <w:r w:rsidRPr="001D4CBE">
              <w:t>earnings before interest, tax and amortisation</w:t>
            </w:r>
          </w:p>
        </w:tc>
      </w:tr>
      <w:tr w:rsidR="001D4CBE" w:rsidTr="00B04835">
        <w:trPr>
          <w:trHeight w:val="37"/>
        </w:trPr>
        <w:tc>
          <w:tcPr>
            <w:tcW w:w="2166" w:type="dxa"/>
          </w:tcPr>
          <w:p w:rsidR="001D4CBE" w:rsidRDefault="001D4CBE" w:rsidP="00D97319">
            <w:pPr>
              <w:pStyle w:val="Tabletext"/>
            </w:pPr>
            <w:r>
              <w:t>Elapsed crane time</w:t>
            </w:r>
          </w:p>
        </w:tc>
        <w:tc>
          <w:tcPr>
            <w:tcW w:w="6498" w:type="dxa"/>
          </w:tcPr>
          <w:p w:rsidR="001D4CBE" w:rsidRPr="00626A49" w:rsidRDefault="001D4CBE" w:rsidP="001D4CBE">
            <w:pPr>
              <w:pStyle w:val="Tabletext"/>
            </w:pPr>
            <w:r w:rsidRPr="001D4CBE">
              <w:t>Elapsed crane time is the crane time allocated by the stevedores. It is computed as the total allocated crane hours less operational and non-operational delays. Elapsed crane time is an input to calculating the ‘net crane rate’.</w:t>
            </w:r>
          </w:p>
        </w:tc>
      </w:tr>
      <w:tr w:rsidR="001D4CBE" w:rsidTr="00B04835">
        <w:trPr>
          <w:trHeight w:val="37"/>
        </w:trPr>
        <w:tc>
          <w:tcPr>
            <w:tcW w:w="2166" w:type="dxa"/>
          </w:tcPr>
          <w:p w:rsidR="001D4CBE" w:rsidRDefault="001D4CBE" w:rsidP="00D97319">
            <w:pPr>
              <w:pStyle w:val="Tabletext"/>
            </w:pPr>
            <w:r>
              <w:t>Elapsed labour rate</w:t>
            </w:r>
          </w:p>
        </w:tc>
        <w:tc>
          <w:tcPr>
            <w:tcW w:w="6498" w:type="dxa"/>
          </w:tcPr>
          <w:p w:rsidR="001D4CBE" w:rsidRPr="00626A49" w:rsidRDefault="001D4CBE" w:rsidP="00D97319">
            <w:pPr>
              <w:pStyle w:val="Tabletext"/>
            </w:pPr>
            <w:r w:rsidRPr="001D4CBE">
              <w:t>The elapsed labour rate is an indicator of labour productivity. The elapsed labour rate is computed as the number of containers handled divided by the elapsed labour time. See below for definition of ‘elapsed labour time’.</w:t>
            </w:r>
          </w:p>
        </w:tc>
      </w:tr>
      <w:tr w:rsidR="001D4CBE" w:rsidTr="00B04835">
        <w:trPr>
          <w:trHeight w:val="37"/>
        </w:trPr>
        <w:tc>
          <w:tcPr>
            <w:tcW w:w="2166" w:type="dxa"/>
          </w:tcPr>
          <w:p w:rsidR="001D4CBE" w:rsidRDefault="001D4CBE" w:rsidP="00D97319">
            <w:pPr>
              <w:pStyle w:val="Tabletext"/>
            </w:pPr>
            <w:r>
              <w:t>Elapsed labour time</w:t>
            </w:r>
          </w:p>
        </w:tc>
        <w:tc>
          <w:tcPr>
            <w:tcW w:w="6498" w:type="dxa"/>
          </w:tcPr>
          <w:p w:rsidR="001D4CBE" w:rsidRPr="00626A49" w:rsidRDefault="001D4CBE" w:rsidP="001D4CBE">
            <w:pPr>
              <w:pStyle w:val="Tabletext"/>
            </w:pPr>
            <w:r w:rsidRPr="001D4CBE">
              <w:t>The elapsed labour time is the elapsed time between labour first boarding the ship and labour last leaving the ship, less any time when the labour has not worked, including non-operational delays. Elapsed labour time is an input to calculating the ‘elapsed labour rate’.</w:t>
            </w:r>
          </w:p>
        </w:tc>
      </w:tr>
      <w:tr w:rsidR="005C017A" w:rsidTr="00B04835">
        <w:trPr>
          <w:trHeight w:val="37"/>
        </w:trPr>
        <w:tc>
          <w:tcPr>
            <w:tcW w:w="2166" w:type="dxa"/>
          </w:tcPr>
          <w:p w:rsidR="005C017A" w:rsidRDefault="005C017A" w:rsidP="00D97319">
            <w:pPr>
              <w:pStyle w:val="Tabletext"/>
            </w:pPr>
            <w:r>
              <w:t>ESC</w:t>
            </w:r>
          </w:p>
        </w:tc>
        <w:tc>
          <w:tcPr>
            <w:tcW w:w="6498" w:type="dxa"/>
          </w:tcPr>
          <w:p w:rsidR="005C017A" w:rsidRPr="001D4CBE" w:rsidRDefault="005C017A" w:rsidP="001D4CBE">
            <w:pPr>
              <w:pStyle w:val="Tabletext"/>
            </w:pPr>
            <w:r>
              <w:t>Essential Services Commission of Victoria</w:t>
            </w:r>
          </w:p>
        </w:tc>
      </w:tr>
      <w:tr w:rsidR="001D4CBE" w:rsidTr="00B04835">
        <w:trPr>
          <w:trHeight w:val="37"/>
        </w:trPr>
        <w:tc>
          <w:tcPr>
            <w:tcW w:w="2166" w:type="dxa"/>
          </w:tcPr>
          <w:p w:rsidR="001D4CBE" w:rsidRDefault="001D4CBE" w:rsidP="00D97319">
            <w:pPr>
              <w:pStyle w:val="Tabletext"/>
            </w:pPr>
            <w:r>
              <w:t>FACT</w:t>
            </w:r>
          </w:p>
        </w:tc>
        <w:tc>
          <w:tcPr>
            <w:tcW w:w="6498" w:type="dxa"/>
          </w:tcPr>
          <w:p w:rsidR="001D4CBE" w:rsidRPr="00626A49" w:rsidRDefault="001D4CBE" w:rsidP="00D97319">
            <w:pPr>
              <w:pStyle w:val="Tabletext"/>
            </w:pPr>
            <w:r w:rsidRPr="001D4CBE">
              <w:t>Flinders Adelaide Container Terminal Pty Ltd, the sole container stevedore at Port Adelaide</w:t>
            </w:r>
          </w:p>
        </w:tc>
      </w:tr>
      <w:tr w:rsidR="001D4CBE" w:rsidTr="00B04835">
        <w:trPr>
          <w:trHeight w:val="37"/>
        </w:trPr>
        <w:tc>
          <w:tcPr>
            <w:tcW w:w="2166" w:type="dxa"/>
          </w:tcPr>
          <w:p w:rsidR="001D4CBE" w:rsidRDefault="001D4CBE" w:rsidP="00D97319">
            <w:pPr>
              <w:pStyle w:val="Tabletext"/>
            </w:pPr>
            <w:r>
              <w:t>GDP</w:t>
            </w:r>
          </w:p>
        </w:tc>
        <w:tc>
          <w:tcPr>
            <w:tcW w:w="6498" w:type="dxa"/>
          </w:tcPr>
          <w:p w:rsidR="001D4CBE" w:rsidRPr="00626A49" w:rsidRDefault="001D4CBE" w:rsidP="00D97319">
            <w:pPr>
              <w:pStyle w:val="Tabletext"/>
            </w:pPr>
            <w:r w:rsidRPr="001D4CBE">
              <w:t>gross domestic product</w:t>
            </w:r>
          </w:p>
        </w:tc>
      </w:tr>
      <w:tr w:rsidR="001D4CBE" w:rsidTr="00B04835">
        <w:trPr>
          <w:trHeight w:val="37"/>
        </w:trPr>
        <w:tc>
          <w:tcPr>
            <w:tcW w:w="2166" w:type="dxa"/>
          </w:tcPr>
          <w:p w:rsidR="001D4CBE" w:rsidRDefault="0051494F" w:rsidP="00D97319">
            <w:pPr>
              <w:pStyle w:val="Tabletext"/>
            </w:pPr>
            <w:r>
              <w:t>Hutchison</w:t>
            </w:r>
          </w:p>
        </w:tc>
        <w:tc>
          <w:tcPr>
            <w:tcW w:w="6498" w:type="dxa"/>
          </w:tcPr>
          <w:p w:rsidR="001D4CBE" w:rsidRPr="00626A49" w:rsidRDefault="001D4CBE" w:rsidP="00D97319">
            <w:pPr>
              <w:pStyle w:val="Tabletext"/>
            </w:pPr>
            <w:r w:rsidRPr="001D4CBE">
              <w:t>Hutchison Ports Australia, a member of Hutchison Port Holdings Group</w:t>
            </w:r>
          </w:p>
        </w:tc>
      </w:tr>
      <w:tr w:rsidR="001D4CBE" w:rsidTr="00B04835">
        <w:trPr>
          <w:trHeight w:val="37"/>
        </w:trPr>
        <w:tc>
          <w:tcPr>
            <w:tcW w:w="2166" w:type="dxa"/>
          </w:tcPr>
          <w:p w:rsidR="001D4CBE" w:rsidRDefault="001D4CBE" w:rsidP="00D97319">
            <w:pPr>
              <w:pStyle w:val="Tabletext"/>
            </w:pPr>
            <w:r>
              <w:t>Net crane rate</w:t>
            </w:r>
          </w:p>
        </w:tc>
        <w:tc>
          <w:tcPr>
            <w:tcW w:w="6498" w:type="dxa"/>
          </w:tcPr>
          <w:p w:rsidR="001D4CBE" w:rsidRPr="00626A49" w:rsidRDefault="001D4CBE" w:rsidP="00E76E0B">
            <w:pPr>
              <w:pStyle w:val="Tabletext"/>
            </w:pPr>
            <w:r w:rsidRPr="001D4CBE">
              <w:t>The net crane rate is an indicator of capital productivity and reflects the intensity to which quay cranes are worked. It is measured by dividing total number of containers</w:t>
            </w:r>
            <w:r w:rsidR="00E76E0B">
              <w:t xml:space="preserve"> or </w:t>
            </w:r>
            <w:r w:rsidR="001B2097" w:rsidRPr="001B2097">
              <w:t>TEU</w:t>
            </w:r>
            <w:r w:rsidR="00E76E0B">
              <w:t>s</w:t>
            </w:r>
            <w:r w:rsidRPr="001D4CBE">
              <w:t xml:space="preserve"> handled by the elapsed crane time. See above for definition of ‘elapsed crane time’.</w:t>
            </w:r>
          </w:p>
        </w:tc>
      </w:tr>
      <w:tr w:rsidR="001D4CBE" w:rsidTr="00B04835">
        <w:trPr>
          <w:trHeight w:val="37"/>
        </w:trPr>
        <w:tc>
          <w:tcPr>
            <w:tcW w:w="2166" w:type="dxa"/>
          </w:tcPr>
          <w:p w:rsidR="001D4CBE" w:rsidRDefault="001D4CBE" w:rsidP="00D97319">
            <w:pPr>
              <w:pStyle w:val="Tabletext"/>
            </w:pPr>
            <w:r>
              <w:lastRenderedPageBreak/>
              <w:t>Patrick</w:t>
            </w:r>
          </w:p>
        </w:tc>
        <w:tc>
          <w:tcPr>
            <w:tcW w:w="6498" w:type="dxa"/>
          </w:tcPr>
          <w:p w:rsidR="001D4CBE" w:rsidRPr="00626A49" w:rsidRDefault="001D4CBE" w:rsidP="00D97319">
            <w:pPr>
              <w:pStyle w:val="Tabletext"/>
            </w:pPr>
            <w:r w:rsidRPr="001D4CBE">
              <w:t>Patrick Terminals and Logistics, a division of Asciano Ltd</w:t>
            </w:r>
          </w:p>
        </w:tc>
      </w:tr>
      <w:tr w:rsidR="001D4CBE" w:rsidTr="00B04835">
        <w:trPr>
          <w:trHeight w:val="37"/>
        </w:trPr>
        <w:tc>
          <w:tcPr>
            <w:tcW w:w="2166" w:type="dxa"/>
          </w:tcPr>
          <w:p w:rsidR="001D4CBE" w:rsidRDefault="001D4CBE" w:rsidP="00D97319">
            <w:pPr>
              <w:pStyle w:val="Tabletext"/>
            </w:pPr>
            <w:r>
              <w:t>PBLIS</w:t>
            </w:r>
          </w:p>
        </w:tc>
        <w:tc>
          <w:tcPr>
            <w:tcW w:w="6498" w:type="dxa"/>
          </w:tcPr>
          <w:p w:rsidR="001D4CBE" w:rsidRPr="00626A49" w:rsidRDefault="001D4CBE" w:rsidP="00D97319">
            <w:pPr>
              <w:pStyle w:val="Tabletext"/>
            </w:pPr>
            <w:r w:rsidRPr="001D4CBE">
              <w:t>Port Botany Landside Improvement Strategy</w:t>
            </w:r>
          </w:p>
        </w:tc>
      </w:tr>
      <w:tr w:rsidR="001D4CBE" w:rsidTr="00B04835">
        <w:trPr>
          <w:trHeight w:val="37"/>
        </w:trPr>
        <w:tc>
          <w:tcPr>
            <w:tcW w:w="2166" w:type="dxa"/>
          </w:tcPr>
          <w:p w:rsidR="001D4CBE" w:rsidRDefault="001D4CBE" w:rsidP="00D97319">
            <w:pPr>
              <w:pStyle w:val="Tabletext"/>
            </w:pPr>
            <w:r>
              <w:t>PC</w:t>
            </w:r>
          </w:p>
        </w:tc>
        <w:tc>
          <w:tcPr>
            <w:tcW w:w="6498" w:type="dxa"/>
          </w:tcPr>
          <w:p w:rsidR="001D4CBE" w:rsidRPr="00626A49" w:rsidRDefault="001D4CBE" w:rsidP="00D97319">
            <w:pPr>
              <w:pStyle w:val="Tabletext"/>
            </w:pPr>
            <w:r w:rsidRPr="001D4CBE">
              <w:t>Productivity Commission</w:t>
            </w:r>
          </w:p>
        </w:tc>
      </w:tr>
      <w:tr w:rsidR="001D4CBE" w:rsidTr="00B04835">
        <w:trPr>
          <w:trHeight w:val="37"/>
        </w:trPr>
        <w:tc>
          <w:tcPr>
            <w:tcW w:w="2166" w:type="dxa"/>
          </w:tcPr>
          <w:p w:rsidR="001D4CBE" w:rsidRDefault="001D4CBE" w:rsidP="00D97319">
            <w:pPr>
              <w:pStyle w:val="Tabletext"/>
            </w:pPr>
            <w:r>
              <w:t>Real terms</w:t>
            </w:r>
          </w:p>
        </w:tc>
        <w:tc>
          <w:tcPr>
            <w:tcW w:w="6498" w:type="dxa"/>
          </w:tcPr>
          <w:p w:rsidR="001D4CBE" w:rsidRPr="00626A49" w:rsidRDefault="001D4CBE" w:rsidP="00D97319">
            <w:pPr>
              <w:pStyle w:val="Tabletext"/>
            </w:pPr>
            <w:r w:rsidRPr="001D4CBE">
              <w:t>A value expressed in the money of a particular base time period (e.g. 2012–13 dollars). Values in real terms remove the impact of inflation and provide for better comparison of values over time.</w:t>
            </w:r>
          </w:p>
        </w:tc>
      </w:tr>
      <w:tr w:rsidR="001D4CBE" w:rsidTr="00B04835">
        <w:trPr>
          <w:trHeight w:val="37"/>
        </w:trPr>
        <w:tc>
          <w:tcPr>
            <w:tcW w:w="2166" w:type="dxa"/>
          </w:tcPr>
          <w:p w:rsidR="001D4CBE" w:rsidRDefault="001D4CBE" w:rsidP="00D97319">
            <w:pPr>
              <w:pStyle w:val="Tabletext"/>
            </w:pPr>
            <w:r>
              <w:t>S&amp;P</w:t>
            </w:r>
          </w:p>
        </w:tc>
        <w:tc>
          <w:tcPr>
            <w:tcW w:w="6498" w:type="dxa"/>
          </w:tcPr>
          <w:p w:rsidR="001D4CBE" w:rsidRPr="00626A49" w:rsidRDefault="001D4CBE" w:rsidP="001D4CBE">
            <w:pPr>
              <w:pStyle w:val="Tabletext"/>
            </w:pPr>
            <w:r w:rsidRPr="001D4CBE">
              <w:t xml:space="preserve">Standard &amp; </w:t>
            </w:r>
            <w:proofErr w:type="spellStart"/>
            <w:r w:rsidRPr="001D4CBE">
              <w:t>Poors</w:t>
            </w:r>
            <w:proofErr w:type="spellEnd"/>
          </w:p>
        </w:tc>
      </w:tr>
      <w:tr w:rsidR="001D4CBE" w:rsidTr="00B04835">
        <w:trPr>
          <w:trHeight w:val="37"/>
        </w:trPr>
        <w:tc>
          <w:tcPr>
            <w:tcW w:w="2166" w:type="dxa"/>
          </w:tcPr>
          <w:p w:rsidR="001D4CBE" w:rsidRDefault="001D4CBE" w:rsidP="00D97319">
            <w:pPr>
              <w:pStyle w:val="Tabletext"/>
            </w:pPr>
            <w:r>
              <w:t>Ship rate</w:t>
            </w:r>
          </w:p>
        </w:tc>
        <w:tc>
          <w:tcPr>
            <w:tcW w:w="6498" w:type="dxa"/>
          </w:tcPr>
          <w:p w:rsidR="001D4CBE" w:rsidRPr="00626A49" w:rsidRDefault="001D4CBE" w:rsidP="00D97319">
            <w:pPr>
              <w:pStyle w:val="Tabletext"/>
            </w:pPr>
            <w:r w:rsidRPr="001D4CBE">
              <w:t>The ship rate is an indicator of labour and capital productivity while the ship is being worked. It is calculated by multiplying the net crane rate by crane intensity. Crane intensity is defined as the total number of allocated crane hours divided by the elapsed time from labour first boarding the ship to labour last leaving the ship.</w:t>
            </w:r>
          </w:p>
        </w:tc>
      </w:tr>
      <w:tr w:rsidR="001D4CBE" w:rsidTr="00B04835">
        <w:trPr>
          <w:trHeight w:val="37"/>
        </w:trPr>
        <w:tc>
          <w:tcPr>
            <w:tcW w:w="2166" w:type="dxa"/>
          </w:tcPr>
          <w:p w:rsidR="001D4CBE" w:rsidRDefault="001D4CBE" w:rsidP="00D97319">
            <w:pPr>
              <w:pStyle w:val="Tabletext"/>
            </w:pPr>
            <w:r>
              <w:t>Tangible assets</w:t>
            </w:r>
          </w:p>
        </w:tc>
        <w:tc>
          <w:tcPr>
            <w:tcW w:w="6498" w:type="dxa"/>
          </w:tcPr>
          <w:p w:rsidR="001D4CBE" w:rsidRPr="00626A49" w:rsidRDefault="001D4CBE" w:rsidP="00D97319">
            <w:pPr>
              <w:pStyle w:val="Tabletext"/>
            </w:pPr>
            <w:r w:rsidRPr="001D4CBE">
              <w:t>The physical infrastructure used by the stevedores to provide container stevedoring services.</w:t>
            </w:r>
          </w:p>
        </w:tc>
      </w:tr>
      <w:tr w:rsidR="001D4CBE" w:rsidTr="00B04835">
        <w:trPr>
          <w:trHeight w:val="37"/>
        </w:trPr>
        <w:tc>
          <w:tcPr>
            <w:tcW w:w="2166" w:type="dxa"/>
          </w:tcPr>
          <w:p w:rsidR="001D4CBE" w:rsidRDefault="001D4CBE" w:rsidP="00D97319">
            <w:pPr>
              <w:pStyle w:val="Tabletext"/>
            </w:pPr>
            <w:r>
              <w:t>TEU</w:t>
            </w:r>
          </w:p>
        </w:tc>
        <w:tc>
          <w:tcPr>
            <w:tcW w:w="6498" w:type="dxa"/>
          </w:tcPr>
          <w:p w:rsidR="001D4CBE" w:rsidRPr="00626A49" w:rsidRDefault="001D4CBE" w:rsidP="00D97319">
            <w:pPr>
              <w:pStyle w:val="Tabletext"/>
            </w:pPr>
            <w:r w:rsidRPr="001D4CBE">
              <w:t xml:space="preserve">20-foot equivalent unit. TEU is the standard unit of measurement for shipping containers. One TEU is equivalent to one 20-foot shipping container. One 40-foot shipping container is equivalent to two </w:t>
            </w:r>
            <w:r w:rsidR="00E76E0B">
              <w:t>TEUs</w:t>
            </w:r>
            <w:r w:rsidRPr="001D4CBE">
              <w:t>.</w:t>
            </w:r>
          </w:p>
        </w:tc>
      </w:tr>
      <w:tr w:rsidR="001D4CBE" w:rsidTr="00B04835">
        <w:trPr>
          <w:trHeight w:val="37"/>
        </w:trPr>
        <w:tc>
          <w:tcPr>
            <w:tcW w:w="2166" w:type="dxa"/>
          </w:tcPr>
          <w:p w:rsidR="001D4CBE" w:rsidRDefault="001D4CBE" w:rsidP="00D97319">
            <w:pPr>
              <w:pStyle w:val="Tabletext"/>
            </w:pPr>
            <w:r>
              <w:t>VBS</w:t>
            </w:r>
          </w:p>
        </w:tc>
        <w:tc>
          <w:tcPr>
            <w:tcW w:w="6498" w:type="dxa"/>
          </w:tcPr>
          <w:p w:rsidR="001D4CBE" w:rsidRPr="00626A49" w:rsidRDefault="001D4CBE" w:rsidP="00D97319">
            <w:pPr>
              <w:pStyle w:val="Tabletext"/>
            </w:pPr>
            <w:r w:rsidRPr="001D4CBE">
              <w:t>vehicle booking system</w:t>
            </w:r>
          </w:p>
        </w:tc>
      </w:tr>
      <w:tr w:rsidR="001D4CBE" w:rsidTr="00B04835">
        <w:trPr>
          <w:trHeight w:val="37"/>
        </w:trPr>
        <w:tc>
          <w:tcPr>
            <w:tcW w:w="2166" w:type="dxa"/>
          </w:tcPr>
          <w:p w:rsidR="001D4CBE" w:rsidRDefault="001D4CBE" w:rsidP="00D97319">
            <w:pPr>
              <w:pStyle w:val="Tabletext"/>
            </w:pPr>
            <w:r>
              <w:t>VICTL</w:t>
            </w:r>
          </w:p>
        </w:tc>
        <w:tc>
          <w:tcPr>
            <w:tcW w:w="6498" w:type="dxa"/>
          </w:tcPr>
          <w:p w:rsidR="001D4CBE" w:rsidRPr="00626A49" w:rsidRDefault="001D4CBE" w:rsidP="00574FDF">
            <w:pPr>
              <w:pStyle w:val="Tabletext"/>
            </w:pPr>
            <w:r w:rsidRPr="001D4CBE">
              <w:t>Victorian International Container Terminal Ltd</w:t>
            </w:r>
            <w:r w:rsidR="00574FDF">
              <w:t xml:space="preserve"> which is owned by </w:t>
            </w:r>
            <w:r w:rsidRPr="001D4CBE">
              <w:t>International Container Terminal Services Inc.</w:t>
            </w:r>
          </w:p>
        </w:tc>
      </w:tr>
    </w:tbl>
    <w:p w:rsidR="001D4CBE" w:rsidRDefault="00D97319" w:rsidP="001D4CBE">
      <w:bookmarkStart w:id="9" w:name="_Toc352682567"/>
      <w:r>
        <w:br w:type="page"/>
      </w:r>
    </w:p>
    <w:tbl>
      <w:tblPr>
        <w:tblStyle w:val="LightShading11"/>
        <w:tblW w:w="0" w:type="auto"/>
        <w:tblBorders>
          <w:top w:val="single" w:sz="8" w:space="0" w:color="D5D6D2" w:themeColor="background2"/>
          <w:left w:val="single" w:sz="8" w:space="0" w:color="D5D6D2" w:themeColor="background2"/>
          <w:bottom w:val="single" w:sz="8" w:space="0" w:color="D5D6D2" w:themeColor="background2"/>
          <w:right w:val="single" w:sz="8" w:space="0" w:color="D5D6D2" w:themeColor="background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42"/>
      </w:tblGrid>
      <w:tr w:rsidR="001D4CBE" w:rsidTr="00D21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1D4CBE" w:rsidRDefault="001D4CBE">
            <w:pPr>
              <w:pStyle w:val="Heading1"/>
              <w:outlineLvl w:val="0"/>
            </w:pPr>
            <w:bookmarkStart w:id="10" w:name="_Toc433666979"/>
            <w:r>
              <w:lastRenderedPageBreak/>
              <w:t xml:space="preserve">Key </w:t>
            </w:r>
            <w:r w:rsidRPr="00CC49D4">
              <w:t>messages</w:t>
            </w:r>
            <w:bookmarkEnd w:id="10"/>
          </w:p>
          <w:p w:rsidR="004D2321" w:rsidRPr="004D2321" w:rsidRDefault="004D2321" w:rsidP="004D2321"/>
          <w:p w:rsidR="00705716" w:rsidRPr="004426E0" w:rsidRDefault="00127493" w:rsidP="00BB2499">
            <w:pPr>
              <w:pStyle w:val="Heading3"/>
              <w:outlineLvl w:val="2"/>
            </w:pPr>
            <w:bookmarkStart w:id="11" w:name="_Toc430758990"/>
            <w:bookmarkStart w:id="12" w:name="_Toc433666980"/>
            <w:r>
              <w:t>Industry</w:t>
            </w:r>
            <w:r w:rsidR="00292787">
              <w:t xml:space="preserve"> improvements </w:t>
            </w:r>
            <w:r>
              <w:t xml:space="preserve">are being driven by </w:t>
            </w:r>
            <w:r w:rsidR="008A572C">
              <w:t xml:space="preserve">increased </w:t>
            </w:r>
            <w:r>
              <w:t>competition in container stevedoring</w:t>
            </w:r>
            <w:bookmarkEnd w:id="11"/>
            <w:bookmarkEnd w:id="12"/>
            <w:r>
              <w:t xml:space="preserve"> </w:t>
            </w:r>
          </w:p>
          <w:p w:rsidR="0038173A" w:rsidRPr="00662875" w:rsidRDefault="00C2110E" w:rsidP="00662875">
            <w:pPr>
              <w:pStyle w:val="Heading8"/>
              <w:outlineLvl w:val="7"/>
              <w:rPr>
                <w:color w:val="auto"/>
              </w:rPr>
            </w:pPr>
            <w:r w:rsidRPr="00662875">
              <w:rPr>
                <w:color w:val="auto"/>
              </w:rPr>
              <w:t xml:space="preserve">The monitoring results for </w:t>
            </w:r>
            <w:r w:rsidR="00D8433D">
              <w:rPr>
                <w:color w:val="auto"/>
              </w:rPr>
              <w:t>2014–15</w:t>
            </w:r>
            <w:r w:rsidR="00127493" w:rsidRPr="00662875">
              <w:rPr>
                <w:color w:val="auto"/>
              </w:rPr>
              <w:t xml:space="preserve"> were generally positive</w:t>
            </w:r>
            <w:r w:rsidR="0038173A" w:rsidRPr="00662875">
              <w:rPr>
                <w:color w:val="auto"/>
              </w:rPr>
              <w:t>:</w:t>
            </w:r>
          </w:p>
          <w:p w:rsidR="0038173A" w:rsidRDefault="0038173A" w:rsidP="00662875">
            <w:pPr>
              <w:pStyle w:val="Bulletpoint"/>
            </w:pPr>
            <w:r>
              <w:t>a</w:t>
            </w:r>
            <w:r w:rsidR="00292787" w:rsidRPr="004B65E6">
              <w:t xml:space="preserve">verage </w:t>
            </w:r>
            <w:r w:rsidR="00687D15" w:rsidRPr="004B65E6">
              <w:t xml:space="preserve">stevedoring </w:t>
            </w:r>
            <w:r w:rsidR="00292787" w:rsidRPr="004B65E6">
              <w:t>prices fell</w:t>
            </w:r>
            <w:r w:rsidR="008A572C">
              <w:t xml:space="preserve"> by the largest amount observed over the history of the monitoring program</w:t>
            </w:r>
          </w:p>
          <w:p w:rsidR="0038173A" w:rsidRDefault="00292787" w:rsidP="00662875">
            <w:pPr>
              <w:pStyle w:val="Bulletpoint"/>
            </w:pPr>
            <w:r w:rsidRPr="004B65E6">
              <w:t xml:space="preserve">investment </w:t>
            </w:r>
            <w:r w:rsidR="00687D15" w:rsidRPr="004B65E6">
              <w:t xml:space="preserve">in terminals </w:t>
            </w:r>
            <w:r w:rsidRPr="004B65E6">
              <w:t>continued</w:t>
            </w:r>
          </w:p>
          <w:p w:rsidR="0038173A" w:rsidRDefault="00292787" w:rsidP="00662875">
            <w:pPr>
              <w:pStyle w:val="Bulletpoint"/>
            </w:pPr>
            <w:r w:rsidRPr="004B65E6">
              <w:t xml:space="preserve">productivity remained close to record high levels </w:t>
            </w:r>
          </w:p>
          <w:p w:rsidR="00292787" w:rsidRPr="00662875" w:rsidRDefault="00292787" w:rsidP="00662875">
            <w:pPr>
              <w:pStyle w:val="Bulletpoint"/>
            </w:pPr>
            <w:proofErr w:type="gramStart"/>
            <w:r w:rsidRPr="00662875">
              <w:t>service</w:t>
            </w:r>
            <w:proofErr w:type="gramEnd"/>
            <w:r w:rsidRPr="00662875">
              <w:t xml:space="preserve"> levels </w:t>
            </w:r>
            <w:r w:rsidR="00E25FC5">
              <w:t>generally</w:t>
            </w:r>
            <w:r w:rsidR="00E25FC5" w:rsidRPr="00662875">
              <w:t xml:space="preserve"> </w:t>
            </w:r>
            <w:r w:rsidRPr="00662875">
              <w:t xml:space="preserve">improved. </w:t>
            </w:r>
          </w:p>
          <w:p w:rsidR="0038173A" w:rsidRPr="00662875" w:rsidRDefault="00793FFE" w:rsidP="00662875">
            <w:pPr>
              <w:pStyle w:val="Heading8"/>
              <w:outlineLvl w:val="7"/>
              <w:rPr>
                <w:color w:val="auto"/>
              </w:rPr>
            </w:pPr>
            <w:r w:rsidRPr="00662875">
              <w:rPr>
                <w:color w:val="auto"/>
              </w:rPr>
              <w:t>These results</w:t>
            </w:r>
            <w:r w:rsidR="00C2110E" w:rsidRPr="00662875">
              <w:rPr>
                <w:color w:val="auto"/>
              </w:rPr>
              <w:t xml:space="preserve"> build on improvements</w:t>
            </w:r>
            <w:r w:rsidR="00127493" w:rsidRPr="00662875">
              <w:rPr>
                <w:color w:val="auto"/>
              </w:rPr>
              <w:t xml:space="preserve"> observed last</w:t>
            </w:r>
            <w:r w:rsidR="00C2110E" w:rsidRPr="00662875">
              <w:rPr>
                <w:color w:val="auto"/>
              </w:rPr>
              <w:t xml:space="preserve"> year and significant gains since the waterfront reforms of 1998.  </w:t>
            </w:r>
          </w:p>
          <w:p w:rsidR="00292787" w:rsidRPr="00662875" w:rsidRDefault="00292787" w:rsidP="00662875">
            <w:pPr>
              <w:pStyle w:val="Heading8"/>
              <w:outlineLvl w:val="7"/>
              <w:rPr>
                <w:sz w:val="16"/>
                <w:szCs w:val="16"/>
              </w:rPr>
            </w:pPr>
          </w:p>
          <w:p w:rsidR="00CC49D4" w:rsidRPr="004D74A8" w:rsidRDefault="00292787" w:rsidP="00BB2499">
            <w:pPr>
              <w:pStyle w:val="Heading3"/>
              <w:outlineLvl w:val="2"/>
            </w:pPr>
            <w:bookmarkStart w:id="13" w:name="_Toc430758991"/>
            <w:bookmarkStart w:id="14" w:name="_Toc433666981"/>
            <w:r>
              <w:t>But new</w:t>
            </w:r>
            <w:r w:rsidRPr="0085313C">
              <w:t xml:space="preserve"> entrants </w:t>
            </w:r>
            <w:r>
              <w:t xml:space="preserve">to Australian stevedoring </w:t>
            </w:r>
            <w:r w:rsidRPr="0085313C">
              <w:t>face challenges</w:t>
            </w:r>
            <w:bookmarkEnd w:id="13"/>
            <w:bookmarkEnd w:id="14"/>
            <w:r w:rsidRPr="0085313C">
              <w:t xml:space="preserve">  </w:t>
            </w:r>
          </w:p>
          <w:p w:rsidR="00127493" w:rsidRPr="004B65E6" w:rsidRDefault="00C2110E" w:rsidP="004B65E6">
            <w:pPr>
              <w:pStyle w:val="Heading8"/>
              <w:outlineLvl w:val="7"/>
              <w:rPr>
                <w:color w:val="auto"/>
              </w:rPr>
            </w:pPr>
            <w:r w:rsidRPr="004B65E6">
              <w:rPr>
                <w:color w:val="auto"/>
              </w:rPr>
              <w:t xml:space="preserve">While </w:t>
            </w:r>
            <w:r w:rsidR="00793FFE" w:rsidRPr="004B65E6">
              <w:rPr>
                <w:color w:val="auto"/>
              </w:rPr>
              <w:t xml:space="preserve">increased </w:t>
            </w:r>
            <w:r w:rsidRPr="004B65E6">
              <w:rPr>
                <w:color w:val="auto"/>
              </w:rPr>
              <w:t>competition is delivering benefits, new entrants to Australian stevedoring face challenges</w:t>
            </w:r>
            <w:r w:rsidR="00BB52EB" w:rsidRPr="004B65E6">
              <w:rPr>
                <w:color w:val="auto"/>
              </w:rPr>
              <w:t xml:space="preserve"> </w:t>
            </w:r>
            <w:r w:rsidR="00687D15" w:rsidRPr="004B65E6">
              <w:rPr>
                <w:color w:val="auto"/>
              </w:rPr>
              <w:t>in establishing</w:t>
            </w:r>
            <w:r w:rsidR="00BB52EB" w:rsidRPr="004B65E6">
              <w:rPr>
                <w:color w:val="auto"/>
              </w:rPr>
              <w:t xml:space="preserve"> their</w:t>
            </w:r>
            <w:r w:rsidR="002E7596" w:rsidRPr="004B65E6">
              <w:rPr>
                <w:color w:val="auto"/>
              </w:rPr>
              <w:t xml:space="preserve"> industry</w:t>
            </w:r>
            <w:r w:rsidR="00BB52EB" w:rsidRPr="004B65E6">
              <w:rPr>
                <w:color w:val="auto"/>
              </w:rPr>
              <w:t xml:space="preserve"> </w:t>
            </w:r>
            <w:r w:rsidR="00687D15" w:rsidRPr="004B65E6">
              <w:rPr>
                <w:color w:val="auto"/>
              </w:rPr>
              <w:t>presence.</w:t>
            </w:r>
            <w:r w:rsidR="00127493" w:rsidRPr="004B65E6">
              <w:rPr>
                <w:color w:val="auto"/>
              </w:rPr>
              <w:t xml:space="preserve"> </w:t>
            </w:r>
          </w:p>
          <w:p w:rsidR="00127493" w:rsidRDefault="00127493" w:rsidP="004B65E6">
            <w:pPr>
              <w:pStyle w:val="Heading8"/>
              <w:outlineLvl w:val="7"/>
              <w:rPr>
                <w:color w:val="auto"/>
              </w:rPr>
            </w:pPr>
            <w:r w:rsidRPr="004B65E6">
              <w:rPr>
                <w:color w:val="auto"/>
              </w:rPr>
              <w:t>Some of these are likely to be within a stevedore’s control, while other</w:t>
            </w:r>
            <w:r w:rsidR="00191F12" w:rsidRPr="004B65E6">
              <w:rPr>
                <w:color w:val="auto"/>
              </w:rPr>
              <w:t>s</w:t>
            </w:r>
            <w:r w:rsidRPr="004B65E6">
              <w:rPr>
                <w:color w:val="auto"/>
              </w:rPr>
              <w:t xml:space="preserve"> are not. </w:t>
            </w:r>
          </w:p>
          <w:p w:rsidR="00467A41" w:rsidRDefault="0004069D" w:rsidP="00C97747">
            <w:pPr>
              <w:pStyle w:val="Heading8"/>
              <w:outlineLvl w:val="7"/>
            </w:pPr>
            <w:r w:rsidRPr="003D3038">
              <w:rPr>
                <w:color w:val="auto"/>
              </w:rPr>
              <w:t xml:space="preserve">If shipping lines are impeded or dissuaded from switching to new stevedores due to existing arrangements or </w:t>
            </w:r>
            <w:r w:rsidR="000B3987">
              <w:rPr>
                <w:color w:val="auto"/>
              </w:rPr>
              <w:t xml:space="preserve">service </w:t>
            </w:r>
            <w:r w:rsidRPr="003D3038">
              <w:rPr>
                <w:color w:val="auto"/>
              </w:rPr>
              <w:t xml:space="preserve">preferences (for example, for a national stevedoring </w:t>
            </w:r>
            <w:r w:rsidR="000B3987">
              <w:rPr>
                <w:color w:val="auto"/>
              </w:rPr>
              <w:t>contract</w:t>
            </w:r>
            <w:r w:rsidRPr="003D3038">
              <w:rPr>
                <w:color w:val="auto"/>
              </w:rPr>
              <w:t xml:space="preserve">), the shipping industry and new </w:t>
            </w:r>
            <w:r w:rsidR="00DE5C97">
              <w:rPr>
                <w:color w:val="auto"/>
              </w:rPr>
              <w:t>entrants</w:t>
            </w:r>
            <w:r w:rsidRPr="003D3038">
              <w:rPr>
                <w:color w:val="auto"/>
              </w:rPr>
              <w:t xml:space="preserve"> may be able to develop innovative and flexible </w:t>
            </w:r>
            <w:r w:rsidR="00E5318A">
              <w:rPr>
                <w:color w:val="auto"/>
              </w:rPr>
              <w:t>solutions</w:t>
            </w:r>
            <w:r w:rsidRPr="003D3038">
              <w:rPr>
                <w:color w:val="auto"/>
              </w:rPr>
              <w:t xml:space="preserve">. </w:t>
            </w:r>
          </w:p>
          <w:p w:rsidR="00467A41" w:rsidRPr="003D3038" w:rsidRDefault="00467A41" w:rsidP="00C97747">
            <w:pPr>
              <w:pStyle w:val="Heading8"/>
              <w:outlineLvl w:val="7"/>
              <w:rPr>
                <w:color w:val="auto"/>
              </w:rPr>
            </w:pPr>
            <w:r w:rsidRPr="003D3038">
              <w:rPr>
                <w:color w:val="auto"/>
              </w:rPr>
              <w:t xml:space="preserve">It is critical that any obstacles to switching are overcome </w:t>
            </w:r>
            <w:r w:rsidR="0004069D" w:rsidRPr="003D3038">
              <w:rPr>
                <w:color w:val="auto"/>
              </w:rPr>
              <w:t>if</w:t>
            </w:r>
            <w:r w:rsidRPr="003D3038">
              <w:rPr>
                <w:color w:val="auto"/>
              </w:rPr>
              <w:t xml:space="preserve"> imp</w:t>
            </w:r>
            <w:r w:rsidR="00B4106B" w:rsidRPr="003D3038">
              <w:rPr>
                <w:color w:val="auto"/>
              </w:rPr>
              <w:t xml:space="preserve">rovements recently observed </w:t>
            </w:r>
            <w:r w:rsidR="000F7ACC">
              <w:rPr>
                <w:color w:val="auto"/>
              </w:rPr>
              <w:t xml:space="preserve">in stevedoring </w:t>
            </w:r>
            <w:r w:rsidR="0004069D" w:rsidRPr="003D3038">
              <w:rPr>
                <w:color w:val="auto"/>
              </w:rPr>
              <w:t xml:space="preserve">are </w:t>
            </w:r>
            <w:r w:rsidRPr="003D3038">
              <w:rPr>
                <w:color w:val="auto"/>
              </w:rPr>
              <w:t xml:space="preserve">to continue into the future. </w:t>
            </w:r>
          </w:p>
          <w:p w:rsidR="001D4CBE" w:rsidRDefault="001D4CBE" w:rsidP="00662875">
            <w:pPr>
              <w:pStyle w:val="Heading8"/>
              <w:outlineLvl w:val="7"/>
            </w:pPr>
          </w:p>
          <w:p w:rsidR="00991C48" w:rsidRDefault="000803B9" w:rsidP="00BB2499">
            <w:pPr>
              <w:pStyle w:val="Heading3"/>
              <w:outlineLvl w:val="2"/>
            </w:pPr>
            <w:bookmarkStart w:id="15" w:name="_Toc430758992"/>
            <w:bookmarkStart w:id="16" w:name="_Toc433666982"/>
            <w:r>
              <w:t>Change is needed elsewhere in the supply chain</w:t>
            </w:r>
            <w:bookmarkEnd w:id="15"/>
            <w:bookmarkEnd w:id="16"/>
            <w:r w:rsidR="00292787">
              <w:t xml:space="preserve"> </w:t>
            </w:r>
          </w:p>
          <w:p w:rsidR="00793FFE" w:rsidRPr="004B65E6" w:rsidRDefault="00991C48" w:rsidP="004B65E6">
            <w:pPr>
              <w:pStyle w:val="Heading8"/>
              <w:outlineLvl w:val="7"/>
              <w:rPr>
                <w:color w:val="auto"/>
              </w:rPr>
            </w:pPr>
            <w:r w:rsidRPr="004B65E6">
              <w:rPr>
                <w:color w:val="auto"/>
              </w:rPr>
              <w:t>For</w:t>
            </w:r>
            <w:r w:rsidR="00191F12" w:rsidRPr="004B65E6">
              <w:rPr>
                <w:color w:val="auto"/>
              </w:rPr>
              <w:t xml:space="preserve"> </w:t>
            </w:r>
            <w:r w:rsidRPr="004B65E6">
              <w:rPr>
                <w:color w:val="auto"/>
              </w:rPr>
              <w:t xml:space="preserve">improvements in stevedoring to flow to Australian consumers and exporters, </w:t>
            </w:r>
            <w:r w:rsidR="00CD17E1">
              <w:rPr>
                <w:color w:val="auto"/>
              </w:rPr>
              <w:t>measures</w:t>
            </w:r>
            <w:r w:rsidR="00662875" w:rsidRPr="004B65E6" w:rsidDel="00314BDC">
              <w:rPr>
                <w:color w:val="auto"/>
              </w:rPr>
              <w:t xml:space="preserve"> </w:t>
            </w:r>
            <w:r w:rsidR="000B3987">
              <w:rPr>
                <w:color w:val="auto"/>
              </w:rPr>
              <w:t>are</w:t>
            </w:r>
            <w:r w:rsidR="000B3987" w:rsidRPr="004B65E6">
              <w:rPr>
                <w:color w:val="auto"/>
              </w:rPr>
              <w:t xml:space="preserve"> needed</w:t>
            </w:r>
            <w:r w:rsidR="000B3987">
              <w:rPr>
                <w:color w:val="auto"/>
              </w:rPr>
              <w:t xml:space="preserve"> </w:t>
            </w:r>
            <w:r w:rsidR="00402FB5">
              <w:rPr>
                <w:color w:val="auto"/>
              </w:rPr>
              <w:t xml:space="preserve">to improve the efficiency of </w:t>
            </w:r>
            <w:r w:rsidR="00BA01CE" w:rsidRPr="004B65E6">
              <w:rPr>
                <w:color w:val="auto"/>
              </w:rPr>
              <w:t xml:space="preserve">the </w:t>
            </w:r>
            <w:r w:rsidR="00BB2499">
              <w:rPr>
                <w:color w:val="auto"/>
              </w:rPr>
              <w:t xml:space="preserve">container </w:t>
            </w:r>
            <w:r w:rsidR="00BA01CE" w:rsidRPr="004B65E6">
              <w:rPr>
                <w:color w:val="auto"/>
              </w:rPr>
              <w:t xml:space="preserve">supply chain. </w:t>
            </w:r>
          </w:p>
          <w:p w:rsidR="00BA01CE" w:rsidRPr="004B65E6" w:rsidRDefault="00331515" w:rsidP="004B65E6">
            <w:pPr>
              <w:pStyle w:val="Heading8"/>
              <w:outlineLvl w:val="7"/>
              <w:rPr>
                <w:color w:val="auto"/>
              </w:rPr>
            </w:pPr>
            <w:r w:rsidRPr="00D508ED">
              <w:rPr>
                <w:color w:val="auto"/>
              </w:rPr>
              <w:t>T</w:t>
            </w:r>
            <w:r w:rsidR="00E71BFF" w:rsidRPr="00D508ED">
              <w:rPr>
                <w:color w:val="auto"/>
              </w:rPr>
              <w:t xml:space="preserve">he </w:t>
            </w:r>
            <w:r w:rsidRPr="00D508ED">
              <w:rPr>
                <w:color w:val="auto"/>
              </w:rPr>
              <w:t>ACCC</w:t>
            </w:r>
            <w:r w:rsidR="00E71BFF" w:rsidRPr="00D508ED">
              <w:rPr>
                <w:color w:val="auto"/>
              </w:rPr>
              <w:t xml:space="preserve"> </w:t>
            </w:r>
            <w:r w:rsidR="00BA01CE" w:rsidRPr="00D508ED">
              <w:rPr>
                <w:color w:val="auto"/>
              </w:rPr>
              <w:t xml:space="preserve">is </w:t>
            </w:r>
            <w:r w:rsidRPr="00D508ED">
              <w:rPr>
                <w:color w:val="auto"/>
              </w:rPr>
              <w:t xml:space="preserve">particularly concerned that </w:t>
            </w:r>
            <w:r w:rsidR="00BA01CE" w:rsidRPr="00D508ED">
              <w:rPr>
                <w:color w:val="auto"/>
              </w:rPr>
              <w:t>the existence of</w:t>
            </w:r>
            <w:r w:rsidR="002E7596" w:rsidRPr="00D508ED">
              <w:rPr>
                <w:color w:val="auto"/>
              </w:rPr>
              <w:t xml:space="preserve"> entrenched and</w:t>
            </w:r>
            <w:r w:rsidR="00BA01CE" w:rsidRPr="00D508ED">
              <w:rPr>
                <w:color w:val="auto"/>
              </w:rPr>
              <w:t xml:space="preserve"> </w:t>
            </w:r>
            <w:r w:rsidR="003E0B71" w:rsidRPr="00D508ED">
              <w:rPr>
                <w:color w:val="auto"/>
              </w:rPr>
              <w:t xml:space="preserve">inadequately </w:t>
            </w:r>
            <w:r w:rsidR="00BA01CE" w:rsidRPr="00D508ED">
              <w:rPr>
                <w:color w:val="auto"/>
              </w:rPr>
              <w:t xml:space="preserve">regulated </w:t>
            </w:r>
            <w:r w:rsidR="002E7596" w:rsidRPr="00D508ED">
              <w:rPr>
                <w:color w:val="auto"/>
              </w:rPr>
              <w:t>monopoly port operators</w:t>
            </w:r>
            <w:r w:rsidRPr="00D508ED">
              <w:rPr>
                <w:color w:val="auto"/>
              </w:rPr>
              <w:t xml:space="preserve"> </w:t>
            </w:r>
            <w:r w:rsidR="006C15F5" w:rsidRPr="00D508ED">
              <w:rPr>
                <w:color w:val="auto"/>
              </w:rPr>
              <w:t xml:space="preserve">is adding costs to the economy and </w:t>
            </w:r>
            <w:r w:rsidR="007A6153" w:rsidRPr="00D508ED">
              <w:rPr>
                <w:color w:val="auto"/>
              </w:rPr>
              <w:t xml:space="preserve">effectively </w:t>
            </w:r>
            <w:r w:rsidRPr="00D508ED">
              <w:rPr>
                <w:color w:val="auto"/>
              </w:rPr>
              <w:t>amoun</w:t>
            </w:r>
            <w:r w:rsidR="002118E7" w:rsidRPr="00D508ED">
              <w:rPr>
                <w:color w:val="auto"/>
              </w:rPr>
              <w:t>t</w:t>
            </w:r>
            <w:r w:rsidR="006C15F5" w:rsidRPr="00D508ED">
              <w:rPr>
                <w:color w:val="auto"/>
              </w:rPr>
              <w:t>s</w:t>
            </w:r>
            <w:r w:rsidRPr="00D508ED">
              <w:rPr>
                <w:color w:val="auto"/>
              </w:rPr>
              <w:t xml:space="preserve"> to</w:t>
            </w:r>
            <w:r w:rsidR="007A6153" w:rsidRPr="00D508ED">
              <w:rPr>
                <w:color w:val="auto"/>
              </w:rPr>
              <w:t xml:space="preserve"> a </w:t>
            </w:r>
            <w:r w:rsidRPr="00D508ED">
              <w:rPr>
                <w:color w:val="auto"/>
              </w:rPr>
              <w:t>tax on consumers</w:t>
            </w:r>
            <w:r w:rsidR="003A618E" w:rsidRPr="00D508ED">
              <w:rPr>
                <w:color w:val="auto"/>
              </w:rPr>
              <w:t xml:space="preserve"> and exporters</w:t>
            </w:r>
            <w:r w:rsidR="002118E7" w:rsidRPr="00D508ED">
              <w:rPr>
                <w:color w:val="auto"/>
              </w:rPr>
              <w:t xml:space="preserve"> </w:t>
            </w:r>
            <w:r w:rsidR="00391591" w:rsidRPr="00D508ED">
              <w:rPr>
                <w:color w:val="auto"/>
              </w:rPr>
              <w:t>into the future</w:t>
            </w:r>
            <w:r w:rsidR="00BA01CE" w:rsidRPr="00D508ED">
              <w:rPr>
                <w:color w:val="auto"/>
              </w:rPr>
              <w:t>.</w:t>
            </w:r>
          </w:p>
          <w:p w:rsidR="00292787" w:rsidRPr="004B65E6" w:rsidRDefault="00BB2499" w:rsidP="004B65E6">
            <w:pPr>
              <w:pStyle w:val="Heading8"/>
              <w:outlineLvl w:val="7"/>
              <w:rPr>
                <w:color w:val="auto"/>
              </w:rPr>
            </w:pPr>
            <w:r>
              <w:rPr>
                <w:color w:val="auto"/>
              </w:rPr>
              <w:t>F</w:t>
            </w:r>
            <w:r w:rsidR="00793FFE" w:rsidRPr="004B65E6">
              <w:rPr>
                <w:color w:val="auto"/>
              </w:rPr>
              <w:t xml:space="preserve">urther efforts to improve the </w:t>
            </w:r>
            <w:r w:rsidR="00314BDC">
              <w:rPr>
                <w:color w:val="auto"/>
              </w:rPr>
              <w:t xml:space="preserve">efficiency of the </w:t>
            </w:r>
            <w:r w:rsidR="00793FFE" w:rsidRPr="004B65E6">
              <w:rPr>
                <w:color w:val="auto"/>
              </w:rPr>
              <w:t>supply chain</w:t>
            </w:r>
            <w:r w:rsidR="006C15F5">
              <w:rPr>
                <w:color w:val="auto"/>
              </w:rPr>
              <w:t xml:space="preserve"> beyond stevedoring</w:t>
            </w:r>
            <w:r w:rsidR="00331515">
              <w:rPr>
                <w:color w:val="auto"/>
              </w:rPr>
              <w:t>, for example through road reform,</w:t>
            </w:r>
            <w:r w:rsidR="00793FFE" w:rsidRPr="004B65E6">
              <w:rPr>
                <w:color w:val="auto"/>
              </w:rPr>
              <w:t xml:space="preserve"> would </w:t>
            </w:r>
            <w:r>
              <w:rPr>
                <w:color w:val="auto"/>
              </w:rPr>
              <w:t>benefit</w:t>
            </w:r>
            <w:r w:rsidR="00793FFE" w:rsidRPr="004B65E6">
              <w:rPr>
                <w:color w:val="auto"/>
              </w:rPr>
              <w:t xml:space="preserve"> Australian </w:t>
            </w:r>
            <w:r w:rsidR="000748F6">
              <w:rPr>
                <w:color w:val="auto"/>
              </w:rPr>
              <w:t xml:space="preserve">consumers and businesses </w:t>
            </w:r>
            <w:r>
              <w:rPr>
                <w:color w:val="auto"/>
              </w:rPr>
              <w:t xml:space="preserve">by way of cheaper </w:t>
            </w:r>
            <w:r w:rsidR="001E322E">
              <w:rPr>
                <w:color w:val="auto"/>
              </w:rPr>
              <w:t>prices</w:t>
            </w:r>
            <w:r w:rsidR="00793FFE" w:rsidRPr="004B65E6">
              <w:rPr>
                <w:color w:val="auto"/>
              </w:rPr>
              <w:t xml:space="preserve"> and more competitive exports. </w:t>
            </w:r>
          </w:p>
          <w:p w:rsidR="00292787" w:rsidRDefault="00292787" w:rsidP="001D4CBE"/>
          <w:p w:rsidR="00292787" w:rsidRPr="001D4CBE" w:rsidRDefault="00292787" w:rsidP="001D4CBE"/>
        </w:tc>
      </w:tr>
    </w:tbl>
    <w:p w:rsidR="001D4CBE" w:rsidRDefault="001D4CBE" w:rsidP="001D4CBE">
      <w:r>
        <w:br w:type="page"/>
      </w:r>
    </w:p>
    <w:p w:rsidR="00D97319" w:rsidRDefault="00D97319" w:rsidP="00D97319">
      <w:pPr>
        <w:pStyle w:val="Heading1"/>
      </w:pPr>
      <w:bookmarkStart w:id="17" w:name="_Toc433666983"/>
      <w:r>
        <w:lastRenderedPageBreak/>
        <w:t>Summary</w:t>
      </w:r>
      <w:bookmarkEnd w:id="9"/>
      <w:bookmarkEnd w:id="17"/>
    </w:p>
    <w:p w:rsidR="00EA74BC" w:rsidRDefault="00EA74BC" w:rsidP="00EA74BC">
      <w:bookmarkStart w:id="18" w:name="_Toc352682568"/>
      <w:r>
        <w:t xml:space="preserve">Australian container stevedoring continued to show signs of increased competition </w:t>
      </w:r>
      <w:proofErr w:type="gramStart"/>
      <w:r>
        <w:t>in</w:t>
      </w:r>
      <w:r w:rsidR="0048480F">
        <w:t xml:space="preserve"> </w:t>
      </w:r>
      <w:proofErr w:type="gramEnd"/>
      <w:r w:rsidR="00954CFC">
        <w:fldChar w:fldCharType="begin"/>
      </w:r>
      <w:r w:rsidR="00954CFC">
        <w:instrText>EQ 2014–15</w:instrText>
      </w:r>
      <w:r w:rsidR="00954CFC">
        <w:fldChar w:fldCharType="end"/>
      </w:r>
      <w:r>
        <w:t xml:space="preserve">, as the industry transitions from the long-held duopoly at the major ports. </w:t>
      </w:r>
    </w:p>
    <w:p w:rsidR="00EA74BC" w:rsidRDefault="00EA74BC" w:rsidP="00EA74BC">
      <w:r>
        <w:t xml:space="preserve">Average prices fell, investment continued, productivity remained close to record levels, and service levels reportedly improved. </w:t>
      </w:r>
    </w:p>
    <w:p w:rsidR="00EA74BC" w:rsidRDefault="00EA74BC" w:rsidP="00EA74BC">
      <w:r>
        <w:t xml:space="preserve">While these are positive results, new entrants face challenges in seeking to establish themselves in the market. </w:t>
      </w:r>
    </w:p>
    <w:p w:rsidR="00EA74BC" w:rsidRDefault="00EA74BC" w:rsidP="00EA74BC">
      <w:pPr>
        <w:pStyle w:val="Heading4"/>
      </w:pPr>
      <w:r>
        <w:t xml:space="preserve">New entrants to Australian stevedoring face challenges </w:t>
      </w:r>
    </w:p>
    <w:p w:rsidR="00EA74BC" w:rsidRDefault="00EA74BC" w:rsidP="00EA74BC">
      <w:r>
        <w:t xml:space="preserve">Hutchison Ports Australia, the </w:t>
      </w:r>
      <w:r w:rsidR="008A572C">
        <w:t xml:space="preserve">third </w:t>
      </w:r>
      <w:r>
        <w:t xml:space="preserve">stevedore in Brisbane and Sydney, </w:t>
      </w:r>
      <w:r w:rsidR="002908AD">
        <w:t xml:space="preserve">has been operational since 2013 but </w:t>
      </w:r>
      <w:r>
        <w:t xml:space="preserve">is yet to attract </w:t>
      </w:r>
      <w:r w:rsidR="00B824BF">
        <w:t xml:space="preserve">adequate </w:t>
      </w:r>
      <w:r>
        <w:t xml:space="preserve">market share. </w:t>
      </w:r>
      <w:r w:rsidR="002908AD">
        <w:t>This suggests new entrants face significant challenges. S</w:t>
      </w:r>
      <w:r>
        <w:t xml:space="preserve">ome of </w:t>
      </w:r>
      <w:r w:rsidR="002908AD">
        <w:t xml:space="preserve">the factors contributing to </w:t>
      </w:r>
      <w:r w:rsidR="00966E9E">
        <w:t>this</w:t>
      </w:r>
      <w:r w:rsidR="000F7ACC">
        <w:t xml:space="preserve"> </w:t>
      </w:r>
      <w:r>
        <w:t xml:space="preserve">may be within </w:t>
      </w:r>
      <w:r w:rsidR="00BA01CE">
        <w:t xml:space="preserve">a </w:t>
      </w:r>
      <w:r>
        <w:t>stevedore’s control, while others are not.</w:t>
      </w:r>
    </w:p>
    <w:p w:rsidR="00EA74BC" w:rsidRDefault="00EA74BC" w:rsidP="00EA74BC">
      <w:r>
        <w:t>Entering</w:t>
      </w:r>
      <w:r w:rsidRPr="000254B3">
        <w:t xml:space="preserve"> a well-established, capital intensive industry like container stevedoring </w:t>
      </w:r>
      <w:r>
        <w:t>inevitably comes</w:t>
      </w:r>
      <w:r w:rsidRPr="000254B3">
        <w:t xml:space="preserve"> </w:t>
      </w:r>
      <w:r>
        <w:t>with</w:t>
      </w:r>
      <w:r w:rsidRPr="000254B3">
        <w:t xml:space="preserve"> challenges</w:t>
      </w:r>
      <w:r>
        <w:t xml:space="preserve">. It requires large and lumpy upfront capital investment. Coupled with this, opportunities to tender for business may be relatively infrequent as shipping lines can be contracted to rival stevedores for up to five years. </w:t>
      </w:r>
    </w:p>
    <w:p w:rsidR="00EA74BC" w:rsidRDefault="00EA74BC" w:rsidP="00EA74BC">
      <w:r w:rsidRPr="00921D0F">
        <w:t>Exacerbating the</w:t>
      </w:r>
      <w:r w:rsidR="000803B9">
        <w:t>se</w:t>
      </w:r>
      <w:r w:rsidRPr="00921D0F">
        <w:t xml:space="preserve"> </w:t>
      </w:r>
      <w:r>
        <w:t>challenge</w:t>
      </w:r>
      <w:r w:rsidR="000803B9">
        <w:t>s</w:t>
      </w:r>
      <w:r>
        <w:t xml:space="preserve"> </w:t>
      </w:r>
      <w:r w:rsidRPr="00921D0F">
        <w:t xml:space="preserve">may be </w:t>
      </w:r>
      <w:r>
        <w:t xml:space="preserve">specific arrangements or characteristics unique to </w:t>
      </w:r>
      <w:r w:rsidR="00351E2D">
        <w:t xml:space="preserve">Australian </w:t>
      </w:r>
      <w:r>
        <w:t>stevedoring</w:t>
      </w:r>
      <w:r w:rsidRPr="00921D0F">
        <w:t>.</w:t>
      </w:r>
      <w:r>
        <w:t xml:space="preserve"> For example, some shipping lines are understood to prefer a national stevedoring service</w:t>
      </w:r>
      <w:r w:rsidR="00097A76">
        <w:t>,</w:t>
      </w:r>
      <w:r>
        <w:t xml:space="preserve"> which a new entrant operating in just one or two ports may not be able to provide</w:t>
      </w:r>
      <w:r w:rsidR="004A6547">
        <w:t>,</w:t>
      </w:r>
      <w:r>
        <w:t xml:space="preserve"> at least until a third terminal is available in Melbourne. </w:t>
      </w:r>
    </w:p>
    <w:p w:rsidR="005C27BF" w:rsidRDefault="00B92136" w:rsidP="000C67E7">
      <w:r w:rsidRPr="00B92136">
        <w:t xml:space="preserve">If there are obstacles to shipping lines switching to new stevedores, the ACCC considers </w:t>
      </w:r>
      <w:r w:rsidR="00973549">
        <w:t xml:space="preserve">that </w:t>
      </w:r>
      <w:r w:rsidRPr="00B92136">
        <w:t>the shipping industry</w:t>
      </w:r>
      <w:r w:rsidR="00D8433D">
        <w:t>—</w:t>
      </w:r>
      <w:r w:rsidRPr="00B92136">
        <w:t>which for so long called for improved stevedoring performance in Australia</w:t>
      </w:r>
      <w:r w:rsidR="00D8433D">
        <w:t>—</w:t>
      </w:r>
      <w:r w:rsidRPr="00B92136">
        <w:t xml:space="preserve">may have a role in overcoming these. </w:t>
      </w:r>
    </w:p>
    <w:p w:rsidR="006C2822" w:rsidRPr="0068078D" w:rsidRDefault="006C2822" w:rsidP="000C67E7">
      <w:r>
        <w:t xml:space="preserve">For example, if shipping lines are impeded or dissuaded from switching due to existing arrangements </w:t>
      </w:r>
      <w:r w:rsidR="000F7ACC">
        <w:t>with stevedores</w:t>
      </w:r>
      <w:r>
        <w:t xml:space="preserve"> or service preferences (for example, for a national stevedoring service), the shipping industry may be able to work with new stevedores to develop innovative and flexible commercial arrangements.</w:t>
      </w:r>
    </w:p>
    <w:p w:rsidR="00CD7174" w:rsidRDefault="005C27BF" w:rsidP="00EA74BC">
      <w:r>
        <w:t xml:space="preserve">It </w:t>
      </w:r>
      <w:r w:rsidR="00B92136" w:rsidRPr="00B92136">
        <w:t xml:space="preserve">is critical </w:t>
      </w:r>
      <w:r>
        <w:t xml:space="preserve">that any obstacles to switching are overcome </w:t>
      </w:r>
      <w:r w:rsidR="00B92136" w:rsidRPr="00B92136">
        <w:t>if improvements recently observed are to continue into the future.</w:t>
      </w:r>
      <w:r w:rsidR="00CD7174">
        <w:t xml:space="preserve"> </w:t>
      </w:r>
    </w:p>
    <w:p w:rsidR="00EA74BC" w:rsidRPr="003C7402" w:rsidRDefault="00EA74BC" w:rsidP="00EA74BC">
      <w:r>
        <w:t xml:space="preserve">New entrants, for their part, </w:t>
      </w:r>
      <w:r w:rsidR="000F7ACC">
        <w:t xml:space="preserve">need to </w:t>
      </w:r>
      <w:r w:rsidR="002D020B">
        <w:t xml:space="preserve">carefully </w:t>
      </w:r>
      <w:r>
        <w:t>assess</w:t>
      </w:r>
      <w:r w:rsidR="0078117E">
        <w:t xml:space="preserve"> and plan for</w:t>
      </w:r>
      <w:r>
        <w:t xml:space="preserve"> </w:t>
      </w:r>
      <w:r w:rsidR="0078117E">
        <w:t xml:space="preserve">market </w:t>
      </w:r>
      <w:r w:rsidR="00BA01CE">
        <w:t>characteristics</w:t>
      </w:r>
      <w:r w:rsidR="0078117E">
        <w:t xml:space="preserve"> that may be unique to the local market in order to optimise their investments</w:t>
      </w:r>
      <w:r>
        <w:t>.</w:t>
      </w:r>
    </w:p>
    <w:p w:rsidR="00EA74BC" w:rsidRDefault="00EA74BC" w:rsidP="00EA74BC">
      <w:pPr>
        <w:pStyle w:val="Heading4"/>
      </w:pPr>
      <w:r>
        <w:t xml:space="preserve">Increased competition is continuing to drive performance improvements  </w:t>
      </w:r>
    </w:p>
    <w:p w:rsidR="00EA74BC" w:rsidRDefault="00EA74BC" w:rsidP="00EA74BC">
      <w:r>
        <w:t>The monitoring results for 2014</w:t>
      </w:r>
      <w:r w:rsidR="00D8433D">
        <w:t>–</w:t>
      </w:r>
      <w:r>
        <w:t xml:space="preserve">15 show that, </w:t>
      </w:r>
      <w:r w:rsidR="004110B9">
        <w:t xml:space="preserve">while </w:t>
      </w:r>
      <w:r w:rsidR="00CF1580">
        <w:t xml:space="preserve">challenges </w:t>
      </w:r>
      <w:r w:rsidR="004110B9">
        <w:t xml:space="preserve">are </w:t>
      </w:r>
      <w:r>
        <w:t>faced by new entrants, i</w:t>
      </w:r>
      <w:r w:rsidRPr="007C4DE4">
        <w:t>ncreased competition</w:t>
      </w:r>
      <w:r>
        <w:t xml:space="preserve"> in </w:t>
      </w:r>
      <w:r w:rsidR="004110B9">
        <w:t>the industry</w:t>
      </w:r>
      <w:r w:rsidR="004110B9" w:rsidRPr="007C4DE4">
        <w:t xml:space="preserve"> </w:t>
      </w:r>
      <w:r>
        <w:t>is delivering</w:t>
      </w:r>
      <w:r w:rsidRPr="007C4DE4">
        <w:t xml:space="preserve"> benefits to </w:t>
      </w:r>
      <w:r>
        <w:t xml:space="preserve">service </w:t>
      </w:r>
      <w:r w:rsidRPr="007C4DE4">
        <w:t>users.</w:t>
      </w:r>
    </w:p>
    <w:p w:rsidR="00EA74BC" w:rsidRDefault="00EA74BC" w:rsidP="00EA74BC">
      <w:pPr>
        <w:pStyle w:val="Heading5"/>
      </w:pPr>
      <w:r>
        <w:t xml:space="preserve">Average prices fell </w:t>
      </w:r>
    </w:p>
    <w:p w:rsidR="00EA74BC" w:rsidRDefault="00EA74BC" w:rsidP="00EA74BC">
      <w:pPr>
        <w:tabs>
          <w:tab w:val="left" w:pos="820"/>
        </w:tabs>
      </w:pPr>
      <w:r>
        <w:t>Unit stevedoring revenue</w:t>
      </w:r>
      <w:r w:rsidR="001C3EF3">
        <w:t>s</w:t>
      </w:r>
      <w:r>
        <w:t xml:space="preserve"> (which the ACCC uses as a proxy for average prices) fell by the largest amount observed over the history of the monitoring program</w:t>
      </w:r>
      <w:r w:rsidR="00BA01CE" w:rsidRPr="00BA01CE">
        <w:t xml:space="preserve"> </w:t>
      </w:r>
      <w:r w:rsidR="00BA01CE">
        <w:t xml:space="preserve">in </w:t>
      </w:r>
      <w:r w:rsidR="00D8433D">
        <w:t>2014–15</w:t>
      </w:r>
      <w:r>
        <w:t xml:space="preserve">. </w:t>
      </w:r>
    </w:p>
    <w:p w:rsidR="00EA74BC" w:rsidRDefault="002908AD" w:rsidP="00EA74BC">
      <w:pPr>
        <w:tabs>
          <w:tab w:val="left" w:pos="820"/>
        </w:tabs>
      </w:pPr>
      <w:r>
        <w:t xml:space="preserve">Nominal unit </w:t>
      </w:r>
      <w:r w:rsidR="00EA74BC">
        <w:t xml:space="preserve">stevedoring revenue for 20-foot containers fell by 2.3 per cent, from $221.48 in </w:t>
      </w:r>
      <w:r w:rsidR="00D8433D">
        <w:t>2013–14</w:t>
      </w:r>
      <w:r w:rsidR="00EA74BC">
        <w:t xml:space="preserve"> to $216.50 in </w:t>
      </w:r>
      <w:r w:rsidR="00D8433D">
        <w:t>2014–15</w:t>
      </w:r>
      <w:r w:rsidR="00EA74BC">
        <w:t xml:space="preserve">. </w:t>
      </w:r>
      <w:r>
        <w:t xml:space="preserve">Nominal unit </w:t>
      </w:r>
      <w:r w:rsidR="00EA74BC">
        <w:t>stevedoring revenues for 40</w:t>
      </w:r>
      <w:r w:rsidR="001938B2">
        <w:noBreakHyphen/>
      </w:r>
      <w:r w:rsidR="00EA74BC">
        <w:t>foot containers fell by 1.7 per cent, from $</w:t>
      </w:r>
      <w:r w:rsidR="00EA74BC" w:rsidRPr="00097A76">
        <w:t>111.57</w:t>
      </w:r>
      <w:r w:rsidR="00EA74BC" w:rsidRPr="00EA74BC">
        <w:t xml:space="preserve"> </w:t>
      </w:r>
      <w:r w:rsidR="00EA74BC">
        <w:t xml:space="preserve">to $109.69.  </w:t>
      </w:r>
    </w:p>
    <w:p w:rsidR="00EA74BC" w:rsidRDefault="00EA74BC" w:rsidP="00EA74BC">
      <w:pPr>
        <w:tabs>
          <w:tab w:val="left" w:pos="820"/>
        </w:tabs>
      </w:pPr>
      <w:r>
        <w:lastRenderedPageBreak/>
        <w:t xml:space="preserve">This is the second consecutive year that unit revenues have declined. This is a significant result as it may indicate greater pricing pressure in the industry. Prior to </w:t>
      </w:r>
      <w:r w:rsidR="00BA01CE">
        <w:t>this</w:t>
      </w:r>
      <w:r>
        <w:t>, unit stevedoring revenues had risen in most years by around 1 per cent</w:t>
      </w:r>
      <w:r w:rsidR="00150B7D">
        <w:t xml:space="preserve"> </w:t>
      </w:r>
      <w:r w:rsidR="009951BA">
        <w:t xml:space="preserve">on average </w:t>
      </w:r>
      <w:r w:rsidR="00150B7D">
        <w:t xml:space="preserve">per </w:t>
      </w:r>
      <w:r w:rsidR="003A6531">
        <w:t>year</w:t>
      </w:r>
      <w:r>
        <w:t xml:space="preserve">. </w:t>
      </w:r>
    </w:p>
    <w:p w:rsidR="00EA74BC" w:rsidRDefault="00EA74BC" w:rsidP="00EA74BC">
      <w:pPr>
        <w:pStyle w:val="Heading5"/>
      </w:pPr>
      <w:r>
        <w:t>There are reports of improved customer service</w:t>
      </w:r>
    </w:p>
    <w:p w:rsidR="00EA74BC" w:rsidRDefault="00EA74BC" w:rsidP="00EA74BC">
      <w:r w:rsidRPr="00460024">
        <w:t>The ACCC has received feedback from industry that the stevedores’ customer service levels have generally improved</w:t>
      </w:r>
      <w:r w:rsidR="00C86689">
        <w:t xml:space="preserve">. In particular, service users reported </w:t>
      </w:r>
      <w:r w:rsidRPr="00460024">
        <w:t>that the stevedores are more receptive</w:t>
      </w:r>
      <w:r>
        <w:t xml:space="preserve"> and looking to offer a broader range of services. </w:t>
      </w:r>
    </w:p>
    <w:p w:rsidR="00EA74BC" w:rsidRDefault="00EA74BC" w:rsidP="00EA74BC">
      <w:pPr>
        <w:pStyle w:val="Heading5"/>
      </w:pPr>
      <w:r>
        <w:t xml:space="preserve">Productivity remained close to record levels </w:t>
      </w:r>
    </w:p>
    <w:p w:rsidR="00EA74BC" w:rsidRDefault="00EA74BC" w:rsidP="00EA74BC">
      <w:r>
        <w:t xml:space="preserve">Productivity on the wharves remained largely unchanged in </w:t>
      </w:r>
      <w:r w:rsidR="00D8433D">
        <w:t>2014–15</w:t>
      </w:r>
      <w:r>
        <w:t xml:space="preserve"> following an increase last year to record </w:t>
      </w:r>
      <w:r w:rsidR="00C86689">
        <w:t xml:space="preserve">high </w:t>
      </w:r>
      <w:r>
        <w:t xml:space="preserve">levels. </w:t>
      </w:r>
    </w:p>
    <w:p w:rsidR="00EA74BC" w:rsidRDefault="00EA74BC" w:rsidP="00EA74BC">
      <w:r>
        <w:t>Capital productivity, as measured by the net crane rate, decreased slightly from 30.8 to 30.6</w:t>
      </w:r>
      <w:r w:rsidR="004A6547" w:rsidRPr="004A6547">
        <w:t xml:space="preserve"> </w:t>
      </w:r>
      <w:r w:rsidR="004A6547">
        <w:t>containers per hour</w:t>
      </w:r>
      <w:r>
        <w:t xml:space="preserve"> in </w:t>
      </w:r>
      <w:r w:rsidR="00D8433D">
        <w:t>2014–15</w:t>
      </w:r>
      <w:r>
        <w:t>. A key driver of this was a significant fall at Port Botany towards the end of the year as Patrick transitioned to its semi-automated terminal system.</w:t>
      </w:r>
      <w:r w:rsidR="00CD17E1">
        <w:t xml:space="preserve"> Such declines are expected to be temporary.</w:t>
      </w:r>
    </w:p>
    <w:p w:rsidR="00EA74BC" w:rsidRDefault="00EA74BC" w:rsidP="00EA74BC">
      <w:r>
        <w:t xml:space="preserve">Labour productivity, as measured </w:t>
      </w:r>
      <w:r w:rsidR="00150B7D">
        <w:t xml:space="preserve">by </w:t>
      </w:r>
      <w:r>
        <w:t>the elapsed labour rate, also decreased slightly</w:t>
      </w:r>
      <w:r w:rsidR="00A1117F">
        <w:t>,</w:t>
      </w:r>
      <w:r>
        <w:t xml:space="preserve"> from 45.6 to 45.3</w:t>
      </w:r>
      <w:r w:rsidR="004A6547" w:rsidRPr="004A6547">
        <w:t xml:space="preserve"> </w:t>
      </w:r>
      <w:r w:rsidR="004A6547">
        <w:t>containers per hour</w:t>
      </w:r>
      <w:r>
        <w:t xml:space="preserve"> in </w:t>
      </w:r>
      <w:r w:rsidR="00D8433D">
        <w:t>2014–15</w:t>
      </w:r>
      <w:r>
        <w:t xml:space="preserve">.  </w:t>
      </w:r>
    </w:p>
    <w:p w:rsidR="00EA74BC" w:rsidRDefault="00EA74BC" w:rsidP="00EA74BC">
      <w:pPr>
        <w:pStyle w:val="Heading5"/>
      </w:pPr>
      <w:r>
        <w:t>Significant investment was undertaken at most ports</w:t>
      </w:r>
    </w:p>
    <w:p w:rsidR="00EA74BC" w:rsidRDefault="00EA74BC" w:rsidP="00EA74BC">
      <w:r>
        <w:t xml:space="preserve">Investment continued, with the </w:t>
      </w:r>
      <w:r w:rsidR="00150B7D">
        <w:t xml:space="preserve">industry’s </w:t>
      </w:r>
      <w:r>
        <w:t xml:space="preserve">asset base increasing </w:t>
      </w:r>
      <w:r w:rsidRPr="00EA74BC">
        <w:t xml:space="preserve">by </w:t>
      </w:r>
      <w:r w:rsidRPr="00097A76">
        <w:t>14</w:t>
      </w:r>
      <w:r w:rsidRPr="00EA74BC">
        <w:t>.0</w:t>
      </w:r>
      <w:r>
        <w:t xml:space="preserve"> per cent</w:t>
      </w:r>
      <w:r w:rsidR="00CD17E1">
        <w:t xml:space="preserve"> in </w:t>
      </w:r>
      <w:r w:rsidR="00D8433D">
        <w:t>2014–15</w:t>
      </w:r>
      <w:r>
        <w:t xml:space="preserve">. Over the last three years, the industry asset base has more than doubled. </w:t>
      </w:r>
      <w:r w:rsidR="00AD6C62">
        <w:t>Investment by</w:t>
      </w:r>
      <w:r w:rsidR="00450D5C">
        <w:t xml:space="preserve"> incumbents </w:t>
      </w:r>
      <w:r w:rsidR="00AD6C62">
        <w:t xml:space="preserve">has represented a significant proportion of this.  </w:t>
      </w:r>
    </w:p>
    <w:p w:rsidR="00EA74BC" w:rsidRDefault="00EA74BC" w:rsidP="00EA74BC">
      <w:r>
        <w:t xml:space="preserve">A key investment in </w:t>
      </w:r>
      <w:r w:rsidR="00D8433D">
        <w:t>2014–15</w:t>
      </w:r>
      <w:r>
        <w:t xml:space="preserve"> was Patrick</w:t>
      </w:r>
      <w:r w:rsidR="00150B7D">
        <w:t>’s</w:t>
      </w:r>
      <w:r>
        <w:t xml:space="preserve"> </w:t>
      </w:r>
      <w:r w:rsidR="007B6F43">
        <w:t>semi-automation of</w:t>
      </w:r>
      <w:r>
        <w:t xml:space="preserve"> its Port Botany terminal. </w:t>
      </w:r>
      <w:r w:rsidR="006D4841">
        <w:t xml:space="preserve">Flinders Adelaide </w:t>
      </w:r>
      <w:r>
        <w:t xml:space="preserve">and DP World installed new quay cranes, while Hutchison continued to develop its </w:t>
      </w:r>
      <w:r w:rsidR="00CD17E1">
        <w:t xml:space="preserve">new </w:t>
      </w:r>
      <w:r>
        <w:t xml:space="preserve">terminals. </w:t>
      </w:r>
    </w:p>
    <w:p w:rsidR="00EA74BC" w:rsidRDefault="00EA74BC" w:rsidP="00EA74BC">
      <w:r>
        <w:t xml:space="preserve">Recent investments are significant as they are expected by the stevedores to deliver operating efficiencies and improve productivity in future years.  </w:t>
      </w:r>
    </w:p>
    <w:p w:rsidR="00EA74BC" w:rsidRPr="00A70A39" w:rsidRDefault="00EA74BC" w:rsidP="00EA74BC">
      <w:pPr>
        <w:pStyle w:val="Heading5"/>
      </w:pPr>
      <w:r>
        <w:t xml:space="preserve">Industry profitability </w:t>
      </w:r>
      <w:r w:rsidR="00C86689">
        <w:t>was reasonably high</w:t>
      </w:r>
      <w:r>
        <w:t xml:space="preserve">, </w:t>
      </w:r>
      <w:r w:rsidR="00C86689">
        <w:t xml:space="preserve">given </w:t>
      </w:r>
      <w:r>
        <w:t xml:space="preserve">substantial asset expansion </w:t>
      </w:r>
    </w:p>
    <w:p w:rsidR="00AD6C62" w:rsidRDefault="00EA74BC" w:rsidP="00EA74BC">
      <w:r w:rsidRPr="00E71BFF">
        <w:t>Mostly due to</w:t>
      </w:r>
      <w:r>
        <w:t xml:space="preserve"> the expansion of the industry’s asset base, industry profitability as measured by rate of return on average tangible assets fell to 10.4 per cent in </w:t>
      </w:r>
      <w:r w:rsidR="00D8433D">
        <w:t>2014–15</w:t>
      </w:r>
      <w:r>
        <w:t xml:space="preserve">, from 13.2 per cent last year. </w:t>
      </w:r>
    </w:p>
    <w:p w:rsidR="00EA74BC" w:rsidRDefault="00AD6C62" w:rsidP="00EA74BC">
      <w:r>
        <w:t>Even removing the effect of Hutchison</w:t>
      </w:r>
      <w:r w:rsidR="00C66C66">
        <w:t xml:space="preserve"> (since the recognition </w:t>
      </w:r>
      <w:r w:rsidR="00F505ED">
        <w:t>of new terminal</w:t>
      </w:r>
      <w:r w:rsidR="007B6F43">
        <w:t xml:space="preserve"> assets</w:t>
      </w:r>
      <w:r w:rsidR="00F505ED">
        <w:t xml:space="preserve"> </w:t>
      </w:r>
      <w:r w:rsidR="00C66C66">
        <w:t>will deflate the industry return on assets measure)</w:t>
      </w:r>
      <w:r>
        <w:t xml:space="preserve">, the rate of return would have fallen considerably </w:t>
      </w:r>
      <w:r w:rsidR="00C66C66">
        <w:t xml:space="preserve">from </w:t>
      </w:r>
      <w:r>
        <w:t>its peak of 29.2</w:t>
      </w:r>
      <w:r w:rsidR="00D8203C">
        <w:t xml:space="preserve"> per cent</w:t>
      </w:r>
      <w:r>
        <w:t xml:space="preserve"> in </w:t>
      </w:r>
      <w:r w:rsidR="00D8433D">
        <w:t>2011–12</w:t>
      </w:r>
      <w:r>
        <w:t>.</w:t>
      </w:r>
    </w:p>
    <w:p w:rsidR="00EA74BC" w:rsidRDefault="00EA74BC" w:rsidP="00EA74BC">
      <w:r>
        <w:t>Industry profitability is now closely aligned with the benchmark used in the report</w:t>
      </w:r>
      <w:r w:rsidR="007A6153">
        <w:t>—</w:t>
      </w:r>
      <w:r w:rsidR="00150B7D">
        <w:t xml:space="preserve">the average rate of return for </w:t>
      </w:r>
      <w:r>
        <w:t>industrial</w:t>
      </w:r>
      <w:r w:rsidR="00150B7D">
        <w:t>-</w:t>
      </w:r>
      <w:r w:rsidRPr="004E02FD">
        <w:t xml:space="preserve">related companies </w:t>
      </w:r>
      <w:r>
        <w:t>in</w:t>
      </w:r>
      <w:r w:rsidRPr="004E02FD">
        <w:t xml:space="preserve"> the </w:t>
      </w:r>
      <w:r w:rsidR="00574FDF">
        <w:t>S&amp;P/</w:t>
      </w:r>
      <w:r w:rsidRPr="004E02FD">
        <w:t>ASX</w:t>
      </w:r>
      <w:r w:rsidR="00CD7174">
        <w:t xml:space="preserve"> 200. </w:t>
      </w:r>
      <w:r>
        <w:t xml:space="preserve">In </w:t>
      </w:r>
      <w:r w:rsidR="00D8433D">
        <w:t>2014–15</w:t>
      </w:r>
      <w:r>
        <w:t>, t</w:t>
      </w:r>
      <w:r w:rsidRPr="004E02FD">
        <w:t xml:space="preserve">he </w:t>
      </w:r>
      <w:r>
        <w:t xml:space="preserve">rate of </w:t>
      </w:r>
      <w:r w:rsidRPr="004E02FD">
        <w:t>return for the Industrial</w:t>
      </w:r>
      <w:r>
        <w:t>s</w:t>
      </w:r>
      <w:r w:rsidRPr="004E02FD">
        <w:t xml:space="preserve"> </w:t>
      </w:r>
      <w:r>
        <w:t>I</w:t>
      </w:r>
      <w:r w:rsidRPr="004E02FD">
        <w:t>ndex was 9.5 per</w:t>
      </w:r>
      <w:r>
        <w:t xml:space="preserve"> cent. </w:t>
      </w:r>
    </w:p>
    <w:p w:rsidR="00EA74BC" w:rsidRDefault="00EA74BC" w:rsidP="00EA74BC">
      <w:pPr>
        <w:pStyle w:val="Heading4"/>
      </w:pPr>
      <w:r>
        <w:t xml:space="preserve">Recent improvements build upon historical achievements in industry performance </w:t>
      </w:r>
    </w:p>
    <w:p w:rsidR="00C86689" w:rsidRDefault="00EA74BC" w:rsidP="00EA74BC">
      <w:r>
        <w:t xml:space="preserve">Recent </w:t>
      </w:r>
      <w:r w:rsidRPr="00E63A99">
        <w:t>improvements</w:t>
      </w:r>
      <w:r>
        <w:t xml:space="preserve"> in industry performance </w:t>
      </w:r>
      <w:r w:rsidRPr="00E63A99">
        <w:t xml:space="preserve">build </w:t>
      </w:r>
      <w:r>
        <w:t xml:space="preserve">upon significant </w:t>
      </w:r>
      <w:r w:rsidRPr="00E63A99">
        <w:t xml:space="preserve">achievements since the </w:t>
      </w:r>
      <w:r w:rsidR="00C86689" w:rsidRPr="00C86689">
        <w:t>Government</w:t>
      </w:r>
      <w:r w:rsidR="00C86689">
        <w:t>’s</w:t>
      </w:r>
      <w:r w:rsidR="00C86689" w:rsidRPr="00C86689">
        <w:t xml:space="preserve"> </w:t>
      </w:r>
      <w:r w:rsidR="00C86689">
        <w:t xml:space="preserve">reform </w:t>
      </w:r>
      <w:r w:rsidR="00C86689" w:rsidRPr="00C86689">
        <w:t>package to reduce the cost and improve the productivity of the waterfront</w:t>
      </w:r>
      <w:r w:rsidR="00C86689">
        <w:t xml:space="preserve"> was introduced in 1998</w:t>
      </w:r>
      <w:r w:rsidRPr="00E63A99">
        <w:t>.</w:t>
      </w:r>
      <w:r>
        <w:t xml:space="preserve"> </w:t>
      </w:r>
    </w:p>
    <w:p w:rsidR="00EA74BC" w:rsidRDefault="002908AD" w:rsidP="001D43C0">
      <w:pPr>
        <w:keepNext/>
      </w:pPr>
      <w:r>
        <w:lastRenderedPageBreak/>
        <w:t>S</w:t>
      </w:r>
      <w:r w:rsidR="00EA74BC">
        <w:t>ince 1998–99:</w:t>
      </w:r>
    </w:p>
    <w:p w:rsidR="00EA74BC" w:rsidRDefault="00EA74BC" w:rsidP="00EA74BC">
      <w:pPr>
        <w:pStyle w:val="Bulletpoint"/>
      </w:pPr>
      <w:r w:rsidRPr="00E71BFF">
        <w:rPr>
          <w:b/>
        </w:rPr>
        <w:t>Volumes</w:t>
      </w:r>
      <w:r>
        <w:t xml:space="preserve"> handled have more than doubled from 2.9 million 20-foot equivalent units (</w:t>
      </w:r>
      <w:r w:rsidR="00E76E0B">
        <w:t>TEUs</w:t>
      </w:r>
      <w:r>
        <w:t xml:space="preserve">) to 7.1 million </w:t>
      </w:r>
      <w:r w:rsidR="00E76E0B">
        <w:t>TEUs</w:t>
      </w:r>
      <w:r>
        <w:t>.</w:t>
      </w:r>
    </w:p>
    <w:p w:rsidR="00EA74BC" w:rsidRDefault="00EA74BC" w:rsidP="00EA74BC">
      <w:pPr>
        <w:pStyle w:val="Bulletpoint"/>
      </w:pPr>
      <w:r>
        <w:t xml:space="preserve">Real </w:t>
      </w:r>
      <w:r w:rsidRPr="00E71BFF">
        <w:rPr>
          <w:b/>
        </w:rPr>
        <w:t>unit costs</w:t>
      </w:r>
      <w:r>
        <w:t xml:space="preserve"> have fallen </w:t>
      </w:r>
      <w:r w:rsidRPr="005F20E6">
        <w:t>by 42.2</w:t>
      </w:r>
      <w:r>
        <w:t xml:space="preserve"> per cent, assisted by economies of scale.</w:t>
      </w:r>
    </w:p>
    <w:p w:rsidR="00EA74BC" w:rsidRDefault="00EA74BC" w:rsidP="00EA74BC">
      <w:pPr>
        <w:pStyle w:val="Bulletpoint"/>
      </w:pPr>
      <w:r>
        <w:t xml:space="preserve">Real </w:t>
      </w:r>
      <w:r w:rsidRPr="00E71BFF">
        <w:rPr>
          <w:b/>
        </w:rPr>
        <w:t>unit revenues</w:t>
      </w:r>
      <w:r>
        <w:t xml:space="preserve"> have fallen </w:t>
      </w:r>
      <w:r w:rsidRPr="005F20E6">
        <w:t>by 39.8 per</w:t>
      </w:r>
      <w:r>
        <w:t xml:space="preserve"> cent, indicating that the benefits of lower costs have been shared with users through lower prices.</w:t>
      </w:r>
    </w:p>
    <w:p w:rsidR="00EA74BC" w:rsidRDefault="00EA74BC" w:rsidP="00EA74BC">
      <w:pPr>
        <w:pStyle w:val="Bulletpoint"/>
      </w:pPr>
      <w:r w:rsidRPr="00E71BFF">
        <w:rPr>
          <w:b/>
        </w:rPr>
        <w:t>Productivity</w:t>
      </w:r>
      <w:r>
        <w:t xml:space="preserve"> has improved. Capital productivity has risen from 19.6 to 30.6 containers per hour. Labour productivity has more than doubled, from 22.4 to 45.3 containers per hour.</w:t>
      </w:r>
    </w:p>
    <w:p w:rsidR="00EA74BC" w:rsidRDefault="00EA74BC" w:rsidP="00EA74BC">
      <w:pPr>
        <w:pStyle w:val="Bulletpoint"/>
      </w:pPr>
      <w:r>
        <w:t xml:space="preserve">Substantial </w:t>
      </w:r>
      <w:r w:rsidRPr="00E71BFF">
        <w:rPr>
          <w:b/>
        </w:rPr>
        <w:t>investment</w:t>
      </w:r>
      <w:r>
        <w:t xml:space="preserve"> in capacity and productivity has occurred.</w:t>
      </w:r>
    </w:p>
    <w:p w:rsidR="00EA74BC" w:rsidRDefault="00C86689" w:rsidP="00E71BFF">
      <w:pPr>
        <w:pStyle w:val="Heading4"/>
      </w:pPr>
      <w:r>
        <w:t xml:space="preserve">Focus </w:t>
      </w:r>
      <w:r w:rsidR="00EA74BC">
        <w:t xml:space="preserve">should </w:t>
      </w:r>
      <w:r>
        <w:t xml:space="preserve">now </w:t>
      </w:r>
      <w:r w:rsidR="00EA74BC">
        <w:t>be placed on other parts of the supply chain to improve container freight flows</w:t>
      </w:r>
    </w:p>
    <w:p w:rsidR="00EA74BC" w:rsidRDefault="00EA74BC" w:rsidP="00EA74BC">
      <w:r>
        <w:t xml:space="preserve">To date, considerable reform effort has been focused on the stevedoring industry. The first wave of reform came in 1998. The second wave of reform came more recently by way </w:t>
      </w:r>
      <w:r w:rsidR="00574FDF">
        <w:t xml:space="preserve">of </w:t>
      </w:r>
      <w:r>
        <w:t xml:space="preserve">opportunities for new entry. This is now yielding results. </w:t>
      </w:r>
    </w:p>
    <w:p w:rsidR="00EA74BC" w:rsidRDefault="00EA74BC" w:rsidP="00EA74BC">
      <w:r>
        <w:t>Of concern, though, is that improvements in stevedoring could be negated by inefficiencies elsewhere in the supply chain</w:t>
      </w:r>
      <w:r w:rsidR="007A6153">
        <w:t>—</w:t>
      </w:r>
      <w:r>
        <w:t>in particular, by the existence of</w:t>
      </w:r>
      <w:r w:rsidR="003E0B71">
        <w:t xml:space="preserve"> inadequately</w:t>
      </w:r>
      <w:r>
        <w:t xml:space="preserve"> regulated monopoly ports, and impediments to transporting containers within Australia efficiently. </w:t>
      </w:r>
    </w:p>
    <w:p w:rsidR="00EA74BC" w:rsidRDefault="00D8203C" w:rsidP="00EA74BC">
      <w:pPr>
        <w:pStyle w:val="Heading5"/>
      </w:pPr>
      <w:r>
        <w:t>Inadequately regulated monopoly p</w:t>
      </w:r>
      <w:r w:rsidR="00EA74BC">
        <w:t>ort operators pose risks to the supply chain</w:t>
      </w:r>
    </w:p>
    <w:p w:rsidR="00EA74BC" w:rsidRDefault="00EA74BC" w:rsidP="00EA74BC">
      <w:r>
        <w:t xml:space="preserve">Port operators are </w:t>
      </w:r>
      <w:r w:rsidR="00DB31C2">
        <w:t xml:space="preserve">the </w:t>
      </w:r>
      <w:r>
        <w:t xml:space="preserve">landlords </w:t>
      </w:r>
      <w:r w:rsidR="00DB31C2">
        <w:t>of</w:t>
      </w:r>
      <w:r>
        <w:t xml:space="preserve"> container stevedores and also impose charges on shipping lines. </w:t>
      </w:r>
      <w:r w:rsidR="00C66C66">
        <w:t>Monopoly p</w:t>
      </w:r>
      <w:r>
        <w:t xml:space="preserve">orts require </w:t>
      </w:r>
      <w:r w:rsidR="00C66C66">
        <w:t xml:space="preserve">appropriate </w:t>
      </w:r>
      <w:r>
        <w:t xml:space="preserve">economic regulation to constrain their </w:t>
      </w:r>
      <w:r w:rsidR="00DB31C2">
        <w:t xml:space="preserve">operators from exercising </w:t>
      </w:r>
      <w:r>
        <w:t xml:space="preserve">pricing power. </w:t>
      </w:r>
    </w:p>
    <w:p w:rsidR="00EA74BC" w:rsidRDefault="00A032C1" w:rsidP="00EA74BC">
      <w:r>
        <w:t>Rather than regulating pric</w:t>
      </w:r>
      <w:r w:rsidR="002B2519">
        <w:t>ing</w:t>
      </w:r>
      <w:r>
        <w:t xml:space="preserve"> and access</w:t>
      </w:r>
      <w:r w:rsidR="002B2519">
        <w:t xml:space="preserve"> upfront</w:t>
      </w:r>
      <w:r>
        <w:t xml:space="preserve">, </w:t>
      </w:r>
      <w:r w:rsidR="00EA74BC">
        <w:t>state governments have to date generally opted for price monitoring regimes</w:t>
      </w:r>
      <w:r w:rsidR="002B2519">
        <w:t>, with the potential for regulation in the future at the discretion of the government</w:t>
      </w:r>
      <w:r>
        <w:t xml:space="preserve">. The </w:t>
      </w:r>
      <w:r w:rsidR="00EA74BC">
        <w:t xml:space="preserve">ACCC considers </w:t>
      </w:r>
      <w:r w:rsidR="002B2519">
        <w:t>such arrangements</w:t>
      </w:r>
      <w:r w:rsidR="004110B9">
        <w:t xml:space="preserve"> </w:t>
      </w:r>
      <w:r w:rsidR="00F505ED">
        <w:t xml:space="preserve">are </w:t>
      </w:r>
      <w:r w:rsidR="00EA74BC">
        <w:t xml:space="preserve">insufficient to adequately constrain </w:t>
      </w:r>
      <w:r w:rsidR="002B2519">
        <w:t xml:space="preserve">monopoly </w:t>
      </w:r>
      <w:r w:rsidR="00EA74BC">
        <w:t>powe</w:t>
      </w:r>
      <w:r w:rsidR="00E267ED">
        <w:t xml:space="preserve">r and </w:t>
      </w:r>
      <w:r w:rsidR="002832C6">
        <w:t xml:space="preserve">are </w:t>
      </w:r>
      <w:r w:rsidR="00E267ED">
        <w:t>not a substitute fo</w:t>
      </w:r>
      <w:r w:rsidR="00EA74BC">
        <w:t>r</w:t>
      </w:r>
      <w:r w:rsidR="00E267ED">
        <w:t xml:space="preserve"> upfront economic regulation</w:t>
      </w:r>
      <w:r w:rsidR="00EA74BC">
        <w:t xml:space="preserve">. </w:t>
      </w:r>
    </w:p>
    <w:p w:rsidR="00EA74BC" w:rsidRDefault="00EA74BC" w:rsidP="00EA74BC">
      <w:r>
        <w:t>In the ACCC’s view, a</w:t>
      </w:r>
      <w:r w:rsidR="00A032C1">
        <w:t>n</w:t>
      </w:r>
      <w:r>
        <w:t xml:space="preserve"> </w:t>
      </w:r>
      <w:r w:rsidR="00A032C1" w:rsidRPr="00D007FA">
        <w:t>effective</w:t>
      </w:r>
      <w:r w:rsidR="00A032C1">
        <w:t xml:space="preserve"> </w:t>
      </w:r>
      <w:r>
        <w:t>regulatory model would be a negotiate</w:t>
      </w:r>
      <w:r>
        <w:noBreakHyphen/>
        <w:t xml:space="preserve">arbitrate framework, which provides for commercial </w:t>
      </w:r>
      <w:r w:rsidR="00150B7D">
        <w:t>negotiation</w:t>
      </w:r>
      <w:r>
        <w:t xml:space="preserve"> in the first instance, with the fall-back of arbitration </w:t>
      </w:r>
      <w:r w:rsidR="004371ED">
        <w:t xml:space="preserve">by an independent regulator </w:t>
      </w:r>
      <w:r>
        <w:t>where negotiations fail. Such a model can be used to better balance the bargaining power</w:t>
      </w:r>
      <w:r w:rsidRPr="00AE794D">
        <w:t xml:space="preserve"> </w:t>
      </w:r>
      <w:r>
        <w:t>of</w:t>
      </w:r>
      <w:r w:rsidRPr="00AE794D">
        <w:t xml:space="preserve"> </w:t>
      </w:r>
      <w:r>
        <w:t>access seekers (for example, stevedores and shipping lines) with access providers (port</w:t>
      </w:r>
      <w:r w:rsidR="00734A31">
        <w:t xml:space="preserve"> operators</w:t>
      </w:r>
      <w:r>
        <w:t>)</w:t>
      </w:r>
      <w:r w:rsidRPr="00AE794D">
        <w:t>.</w:t>
      </w:r>
    </w:p>
    <w:p w:rsidR="005D7EBA" w:rsidRDefault="00EA74BC" w:rsidP="005D7EBA">
      <w:r>
        <w:t xml:space="preserve">The ACCC encourages </w:t>
      </w:r>
      <w:r w:rsidRPr="0070039D">
        <w:t>governments to establish sufficient regulatory constraints at</w:t>
      </w:r>
      <w:r w:rsidRPr="001E78B6">
        <w:t xml:space="preserve"> the time of privatising monopoly assets. </w:t>
      </w:r>
      <w:r w:rsidR="004371ED">
        <w:t>An example of the</w:t>
      </w:r>
      <w:r w:rsidR="005D7EBA" w:rsidRPr="00D007FA">
        <w:t xml:space="preserve"> danger of </w:t>
      </w:r>
      <w:r w:rsidR="00E267ED" w:rsidRPr="00D007FA">
        <w:t>privatising</w:t>
      </w:r>
      <w:r w:rsidR="00F40045" w:rsidRPr="00D007FA">
        <w:t xml:space="preserve"> </w:t>
      </w:r>
      <w:r w:rsidR="005D7EBA" w:rsidRPr="0070039D">
        <w:t>asset</w:t>
      </w:r>
      <w:r w:rsidR="005D7EBA" w:rsidRPr="001E78B6">
        <w:t>s</w:t>
      </w:r>
      <w:r w:rsidR="005D7EBA" w:rsidRPr="003128E0">
        <w:t xml:space="preserve"> without </w:t>
      </w:r>
      <w:proofErr w:type="gramStart"/>
      <w:r w:rsidR="005D7EBA" w:rsidRPr="003128E0">
        <w:t>appropriate regulatory controls</w:t>
      </w:r>
      <w:r w:rsidR="005D7EBA" w:rsidRPr="00D007FA">
        <w:t xml:space="preserve"> is</w:t>
      </w:r>
      <w:proofErr w:type="gramEnd"/>
      <w:r w:rsidR="005D7EBA" w:rsidRPr="00D007FA">
        <w:t xml:space="preserve"> </w:t>
      </w:r>
      <w:r w:rsidR="00734A31">
        <w:t>illustrated</w:t>
      </w:r>
      <w:r w:rsidR="005D7EBA" w:rsidRPr="00D007FA">
        <w:t xml:space="preserve"> by recent </w:t>
      </w:r>
      <w:r w:rsidR="004371ED">
        <w:t>developments</w:t>
      </w:r>
      <w:r w:rsidR="005D7EBA" w:rsidRPr="00D007FA">
        <w:t xml:space="preserve"> at the Port of Newcastle</w:t>
      </w:r>
      <w:r w:rsidR="004371ED">
        <w:t>—the world’s largest coal export port. The Port of Newcastle was leased in 2014 with effectively no regulatory oversight.</w:t>
      </w:r>
      <w:r w:rsidR="00E641A1">
        <w:rPr>
          <w:rStyle w:val="FootnoteReference"/>
        </w:rPr>
        <w:footnoteReference w:id="1"/>
      </w:r>
      <w:r w:rsidR="004371ED">
        <w:t xml:space="preserve"> </w:t>
      </w:r>
      <w:r w:rsidR="004371ED" w:rsidRPr="004371ED">
        <w:t xml:space="preserve">The Port of Newcastle has since increased </w:t>
      </w:r>
      <w:r w:rsidR="00791388">
        <w:t xml:space="preserve">its </w:t>
      </w:r>
      <w:r w:rsidR="004371ED" w:rsidRPr="004371ED">
        <w:t xml:space="preserve">prices and revalued its assets without any independent check on the appropriateness of those </w:t>
      </w:r>
      <w:r w:rsidR="004371ED">
        <w:t>charges</w:t>
      </w:r>
      <w:r w:rsidR="004371ED" w:rsidRPr="004371ED">
        <w:t>.</w:t>
      </w:r>
      <w:r w:rsidR="004371ED">
        <w:t xml:space="preserve"> </w:t>
      </w:r>
    </w:p>
    <w:p w:rsidR="0074094D" w:rsidRDefault="00D8789B" w:rsidP="004116A4">
      <w:r w:rsidRPr="00095872">
        <w:t xml:space="preserve">The ACCC is therefore encouraged by the intended approach of the Victorian Government to strengthen the arrangements to apply to the Port of Melbourne once it is privatised. The </w:t>
      </w:r>
      <w:r w:rsidRPr="00095872">
        <w:lastRenderedPageBreak/>
        <w:t xml:space="preserve">proposed amendments include capping certain charges to </w:t>
      </w:r>
      <w:r w:rsidR="00E047DE" w:rsidRPr="00095872">
        <w:t>CPI</w:t>
      </w:r>
      <w:r w:rsidRPr="00095872">
        <w:t xml:space="preserve"> for at least 15 years, regular reviews by the Essential Services Commission of Victoria (ESC) of the lessee’s compliance against strengthened pricing principles, and the ability for more direct forms of regulation to be imposed. The ACCC considers the proposed amendments </w:t>
      </w:r>
      <w:r w:rsidR="00915B45" w:rsidRPr="00095872">
        <w:t xml:space="preserve">move the dial towards a more robust regulatory regime to apply post-privatisation, </w:t>
      </w:r>
      <w:r w:rsidRPr="00095872">
        <w:t>and are more rigorous than measures in place at other major Australian container ports.</w:t>
      </w:r>
    </w:p>
    <w:p w:rsidR="00797F92" w:rsidRDefault="00797F92" w:rsidP="00D27AA9">
      <w:pPr>
        <w:pStyle w:val="Heading5"/>
      </w:pPr>
      <w:r>
        <w:t xml:space="preserve">When privatising assets, governments should protect opportunities for competition </w:t>
      </w:r>
      <w:r w:rsidR="004110B9" w:rsidRPr="00D007FA">
        <w:t>w</w:t>
      </w:r>
      <w:r w:rsidRPr="00D007FA">
        <w:t>here possible</w:t>
      </w:r>
    </w:p>
    <w:p w:rsidR="002E1DFF" w:rsidRDefault="00EA74BC" w:rsidP="00797F92">
      <w:r>
        <w:t xml:space="preserve">The ACCC also urges governments to protect any opportunities for </w:t>
      </w:r>
      <w:r w:rsidR="008007C8">
        <w:t xml:space="preserve">future </w:t>
      </w:r>
      <w:r>
        <w:t xml:space="preserve">competition between </w:t>
      </w:r>
      <w:r w:rsidR="00644F7A">
        <w:t xml:space="preserve">port </w:t>
      </w:r>
      <w:r>
        <w:t>facilities</w:t>
      </w:r>
      <w:r w:rsidR="007A6153">
        <w:t>—</w:t>
      </w:r>
      <w:r w:rsidRPr="004D2027">
        <w:t>for example</w:t>
      </w:r>
      <w:r>
        <w:t>,</w:t>
      </w:r>
      <w:r w:rsidRPr="004D2027">
        <w:t xml:space="preserve"> by separating (rather than integrating) potentially competitive facilities and avoiding clauses that impede </w:t>
      </w:r>
      <w:r w:rsidR="00974A45">
        <w:t xml:space="preserve">the development of </w:t>
      </w:r>
      <w:r w:rsidRPr="004D2027">
        <w:t>competition.</w:t>
      </w:r>
      <w:r w:rsidR="005F12C0">
        <w:t xml:space="preserve"> </w:t>
      </w:r>
      <w:r w:rsidR="002E1DFF">
        <w:t xml:space="preserve">Sale clauses and market structures that limit competition </w:t>
      </w:r>
      <w:r w:rsidR="00F505ED">
        <w:t xml:space="preserve">between port facilities </w:t>
      </w:r>
      <w:r w:rsidR="002E1DFF">
        <w:t xml:space="preserve">are poor outcomes from a competition policy perspective.   </w:t>
      </w:r>
    </w:p>
    <w:p w:rsidR="002E1DFF" w:rsidRDefault="00496E85" w:rsidP="002E1DFF">
      <w:r>
        <w:t>I</w:t>
      </w:r>
      <w:r w:rsidRPr="00496E85">
        <w:t xml:space="preserve">n this regard, the ACCC notes the NSW Government’s </w:t>
      </w:r>
      <w:r w:rsidR="00791388">
        <w:t xml:space="preserve">lease </w:t>
      </w:r>
      <w:r w:rsidR="00DA33DD">
        <w:t>of</w:t>
      </w:r>
      <w:r w:rsidRPr="00496E85">
        <w:t xml:space="preserve"> Port Botany and Port Kembla to the same owner</w:t>
      </w:r>
      <w:r w:rsidR="005F12C0">
        <w:t xml:space="preserve">, the latter of which </w:t>
      </w:r>
      <w:r w:rsidR="00E641A1">
        <w:t>was</w:t>
      </w:r>
      <w:r w:rsidR="005F12C0">
        <w:t xml:space="preserve"> identified by the NSW Government as the location for</w:t>
      </w:r>
      <w:r w:rsidR="002E1DFF">
        <w:t xml:space="preserve"> </w:t>
      </w:r>
      <w:r w:rsidR="00E641A1">
        <w:t xml:space="preserve">future </w:t>
      </w:r>
      <w:r w:rsidR="002E1DFF">
        <w:t xml:space="preserve">container </w:t>
      </w:r>
      <w:r w:rsidR="00E641A1">
        <w:t>handling facilities shortly before the sale</w:t>
      </w:r>
      <w:r w:rsidR="002E1DFF">
        <w:t xml:space="preserve">. </w:t>
      </w:r>
    </w:p>
    <w:p w:rsidR="002E1DFF" w:rsidRDefault="00E641A1" w:rsidP="002E1DFF">
      <w:r>
        <w:t xml:space="preserve">The Port of Fremantle is </w:t>
      </w:r>
      <w:r w:rsidR="00784FAE">
        <w:t xml:space="preserve">the </w:t>
      </w:r>
      <w:r w:rsidR="00023D2A">
        <w:t xml:space="preserve">last </w:t>
      </w:r>
      <w:r>
        <w:t xml:space="preserve">major container port in Australia </w:t>
      </w:r>
      <w:r w:rsidR="00023D2A">
        <w:t xml:space="preserve">proposed </w:t>
      </w:r>
      <w:r w:rsidR="008A2F76">
        <w:t>to be privatised</w:t>
      </w:r>
      <w:r>
        <w:t xml:space="preserve">. </w:t>
      </w:r>
      <w:r w:rsidR="002E1DFF">
        <w:t xml:space="preserve">The WA government </w:t>
      </w:r>
      <w:r w:rsidR="006C3541">
        <w:t>may wish to</w:t>
      </w:r>
      <w:r w:rsidR="002E1DFF">
        <w:t xml:space="preserve"> consider whether the </w:t>
      </w:r>
      <w:r w:rsidR="00A366D3">
        <w:t>forthcoming</w:t>
      </w:r>
      <w:r w:rsidR="002E1DFF">
        <w:t xml:space="preserve"> privatisation of the Port of Fremantle presents </w:t>
      </w:r>
      <w:r w:rsidR="00797F92">
        <w:t>the</w:t>
      </w:r>
      <w:r w:rsidR="002E1DFF">
        <w:t xml:space="preserve"> opportunity to </w:t>
      </w:r>
      <w:r w:rsidR="00A366D3">
        <w:t>facilitate</w:t>
      </w:r>
      <w:r w:rsidR="002E1DFF">
        <w:t xml:space="preserve"> </w:t>
      </w:r>
      <w:r w:rsidR="00A366D3">
        <w:t xml:space="preserve">future </w:t>
      </w:r>
      <w:r w:rsidR="002E1DFF">
        <w:t xml:space="preserve">competition, for example between existing </w:t>
      </w:r>
      <w:r w:rsidR="00797F92">
        <w:t xml:space="preserve">container handling </w:t>
      </w:r>
      <w:r w:rsidR="002E1DFF">
        <w:t xml:space="preserve">facilities in </w:t>
      </w:r>
      <w:r w:rsidR="00C14A65">
        <w:t xml:space="preserve">the </w:t>
      </w:r>
      <w:r w:rsidR="002E1DFF">
        <w:t xml:space="preserve">Inner Harbour and possible </w:t>
      </w:r>
      <w:r w:rsidR="00A366D3">
        <w:t>new</w:t>
      </w:r>
      <w:r w:rsidR="002E1DFF">
        <w:t xml:space="preserve"> facilities in </w:t>
      </w:r>
      <w:r w:rsidR="00C14A65">
        <w:t xml:space="preserve">the </w:t>
      </w:r>
      <w:r w:rsidR="002E1DFF">
        <w:t>Outer Harbour.</w:t>
      </w:r>
    </w:p>
    <w:p w:rsidR="00EA74BC" w:rsidRDefault="00150B7D" w:rsidP="00EA74BC">
      <w:pPr>
        <w:pStyle w:val="Heading5"/>
      </w:pPr>
      <w:r>
        <w:t>O</w:t>
      </w:r>
      <w:r w:rsidR="00EA74BC">
        <w:t xml:space="preserve">pportunities </w:t>
      </w:r>
      <w:r>
        <w:t xml:space="preserve">exist </w:t>
      </w:r>
      <w:r w:rsidR="00EA74BC">
        <w:t xml:space="preserve">to improve </w:t>
      </w:r>
      <w:r w:rsidR="00097A76">
        <w:t>road, rail and sea connections to container ports</w:t>
      </w:r>
    </w:p>
    <w:p w:rsidR="00EA74BC" w:rsidRDefault="00EA74BC" w:rsidP="00EA74BC">
      <w:r>
        <w:t xml:space="preserve">A number of impediments </w:t>
      </w:r>
      <w:r w:rsidR="00644F7A">
        <w:t xml:space="preserve">currently </w:t>
      </w:r>
      <w:r>
        <w:t xml:space="preserve">exist to transporting containers within Australia as efficiently as possible. </w:t>
      </w:r>
      <w:r w:rsidR="00644F7A">
        <w:t>I</w:t>
      </w:r>
      <w:r>
        <w:t>nitiatives that can be undertaken to boost productivity in the freight sector and minimise infrastructure requirements include:</w:t>
      </w:r>
    </w:p>
    <w:p w:rsidR="00EA74BC" w:rsidRDefault="00EA74BC" w:rsidP="00EA74BC">
      <w:pPr>
        <w:pStyle w:val="Bulletpoint"/>
      </w:pPr>
      <w:r w:rsidRPr="00817693">
        <w:rPr>
          <w:b/>
        </w:rPr>
        <w:t>road reform</w:t>
      </w:r>
      <w:r>
        <w:t xml:space="preserve"> </w:t>
      </w:r>
      <w:r w:rsidR="00047FB4">
        <w:t>to improve signals for road investment as well as rail investment and use</w:t>
      </w:r>
    </w:p>
    <w:p w:rsidR="00EA74BC" w:rsidRDefault="00EA74BC" w:rsidP="00EA74BC">
      <w:pPr>
        <w:pStyle w:val="Bulletpoint"/>
      </w:pPr>
      <w:r w:rsidRPr="00817693">
        <w:rPr>
          <w:b/>
        </w:rPr>
        <w:t>coastal shipping reform</w:t>
      </w:r>
      <w:r w:rsidR="001A3F05">
        <w:t>,</w:t>
      </w:r>
      <w:r w:rsidR="00047FB4">
        <w:t xml:space="preserve"> </w:t>
      </w:r>
      <w:r w:rsidR="001A3F05">
        <w:t xml:space="preserve">to remove regulatory impediments </w:t>
      </w:r>
      <w:r w:rsidR="000803B9">
        <w:t>to</w:t>
      </w:r>
      <w:r w:rsidR="00CD7174">
        <w:t xml:space="preserve"> international</w:t>
      </w:r>
      <w:r w:rsidR="001A3F05">
        <w:t xml:space="preserve"> shipping lines offering domestic </w:t>
      </w:r>
      <w:r w:rsidR="00770B41">
        <w:t xml:space="preserve">freight </w:t>
      </w:r>
      <w:r w:rsidR="00582928">
        <w:t xml:space="preserve">shipping </w:t>
      </w:r>
      <w:r w:rsidR="00407D3D">
        <w:t>services</w:t>
      </w:r>
      <w:r w:rsidR="001A3F05">
        <w:t xml:space="preserve"> </w:t>
      </w:r>
    </w:p>
    <w:p w:rsidR="00EA74BC" w:rsidRDefault="0048092C" w:rsidP="00EA74BC">
      <w:pPr>
        <w:pStyle w:val="Bulletpoint"/>
      </w:pPr>
      <w:r w:rsidRPr="00817693">
        <w:t>possible</w:t>
      </w:r>
      <w:r>
        <w:rPr>
          <w:b/>
        </w:rPr>
        <w:t xml:space="preserve"> </w:t>
      </w:r>
      <w:r w:rsidR="00EA74BC" w:rsidRPr="00817693">
        <w:rPr>
          <w:b/>
        </w:rPr>
        <w:t xml:space="preserve">initiatives to </w:t>
      </w:r>
      <w:r w:rsidR="00582928" w:rsidRPr="00817693">
        <w:rPr>
          <w:b/>
        </w:rPr>
        <w:t xml:space="preserve">align </w:t>
      </w:r>
      <w:r w:rsidR="00EA74BC" w:rsidRPr="00817693">
        <w:rPr>
          <w:b/>
        </w:rPr>
        <w:t xml:space="preserve">the stevedores’ </w:t>
      </w:r>
      <w:r>
        <w:rPr>
          <w:b/>
        </w:rPr>
        <w:t xml:space="preserve">commercial </w:t>
      </w:r>
      <w:r w:rsidR="00EA74BC" w:rsidRPr="00817693">
        <w:rPr>
          <w:b/>
        </w:rPr>
        <w:t>incentives</w:t>
      </w:r>
      <w:r w:rsidR="00EA74BC">
        <w:t xml:space="preserve"> </w:t>
      </w:r>
      <w:r w:rsidR="00582928">
        <w:t>w</w:t>
      </w:r>
      <w:r>
        <w:t>ith the</w:t>
      </w:r>
      <w:r w:rsidR="00582928">
        <w:t xml:space="preserve"> </w:t>
      </w:r>
      <w:r w:rsidR="00407D3D">
        <w:t xml:space="preserve">wider </w:t>
      </w:r>
      <w:r w:rsidR="00582928">
        <w:t>landside supply chain</w:t>
      </w:r>
    </w:p>
    <w:p w:rsidR="00EA74BC" w:rsidRDefault="00533F27" w:rsidP="00533F27">
      <w:pPr>
        <w:pStyle w:val="Bulletpoint"/>
      </w:pPr>
      <w:proofErr w:type="gramStart"/>
      <w:r>
        <w:t>a</w:t>
      </w:r>
      <w:r w:rsidRPr="00533F27">
        <w:t>dequate</w:t>
      </w:r>
      <w:proofErr w:type="gramEnd"/>
      <w:r w:rsidRPr="00533F27">
        <w:t xml:space="preserve"> </w:t>
      </w:r>
      <w:r w:rsidRPr="00817693">
        <w:rPr>
          <w:b/>
        </w:rPr>
        <w:t>public sector planning and targeted project selection</w:t>
      </w:r>
      <w:r>
        <w:t xml:space="preserve"> </w:t>
      </w:r>
      <w:r w:rsidRPr="00533F27">
        <w:t xml:space="preserve">to ensure </w:t>
      </w:r>
      <w:r w:rsidR="00676F73">
        <w:t>that</w:t>
      </w:r>
      <w:r w:rsidRPr="00533F27">
        <w:t xml:space="preserve"> </w:t>
      </w:r>
      <w:r w:rsidR="00582928">
        <w:t xml:space="preserve">the </w:t>
      </w:r>
      <w:r w:rsidRPr="00533F27">
        <w:t xml:space="preserve">infrastructure required </w:t>
      </w:r>
      <w:r>
        <w:t>is</w:t>
      </w:r>
      <w:r w:rsidRPr="00533F27">
        <w:t xml:space="preserve"> delivered at </w:t>
      </w:r>
      <w:r w:rsidR="00974A45">
        <w:t>efficient</w:t>
      </w:r>
      <w:r w:rsidR="00974A45" w:rsidRPr="00533F27">
        <w:t xml:space="preserve"> </w:t>
      </w:r>
      <w:r w:rsidRPr="00533F27">
        <w:t>cost</w:t>
      </w:r>
      <w:r w:rsidR="00582928">
        <w:t xml:space="preserve"> and </w:t>
      </w:r>
      <w:r w:rsidR="00407D3D">
        <w:t>supports enhanced national</w:t>
      </w:r>
      <w:r w:rsidR="00582928">
        <w:t xml:space="preserve"> productivity</w:t>
      </w:r>
      <w:r w:rsidRPr="00533F27">
        <w:t xml:space="preserve">. </w:t>
      </w:r>
      <w:r w:rsidR="00EA74BC">
        <w:t xml:space="preserve">  </w:t>
      </w:r>
    </w:p>
    <w:p w:rsidR="00EA74BC" w:rsidRDefault="00EA74BC" w:rsidP="00EA74BC">
      <w:r>
        <w:t xml:space="preserve">These initiatives are important for improving </w:t>
      </w:r>
      <w:r w:rsidR="00427A14">
        <w:t xml:space="preserve">the efficiency of </w:t>
      </w:r>
      <w:r>
        <w:t xml:space="preserve">domestic </w:t>
      </w:r>
      <w:r w:rsidR="00427A14">
        <w:t xml:space="preserve">transport </w:t>
      </w:r>
      <w:r w:rsidR="006B329A">
        <w:t>connections to container ports</w:t>
      </w:r>
      <w:r>
        <w:t xml:space="preserve">, </w:t>
      </w:r>
      <w:r w:rsidR="00427A14">
        <w:t xml:space="preserve">and therefore the choices that </w:t>
      </w:r>
      <w:r w:rsidR="006A6CF7">
        <w:t>are</w:t>
      </w:r>
      <w:r w:rsidR="00427A14">
        <w:t xml:space="preserve"> made between t</w:t>
      </w:r>
      <w:r w:rsidR="006A6CF7">
        <w:t>ransport modes</w:t>
      </w:r>
      <w:r>
        <w:t xml:space="preserve">.  </w:t>
      </w:r>
    </w:p>
    <w:p w:rsidR="00EA74BC" w:rsidRDefault="00EA74BC" w:rsidP="00EA74BC">
      <w:r w:rsidRPr="005A12AF">
        <w:t>With container volumes expected to</w:t>
      </w:r>
      <w:r w:rsidR="00097A76">
        <w:t xml:space="preserve"> more than</w:t>
      </w:r>
      <w:r w:rsidRPr="005A12AF">
        <w:t xml:space="preserve"> double over the next 20 years,</w:t>
      </w:r>
      <w:r>
        <w:t xml:space="preserve"> such efforts will help </w:t>
      </w:r>
      <w:r w:rsidRPr="005A12AF">
        <w:t xml:space="preserve">ensure Australia </w:t>
      </w:r>
      <w:r>
        <w:t>can handle future container volumes</w:t>
      </w:r>
      <w:r w:rsidR="00CD7174">
        <w:t>,</w:t>
      </w:r>
      <w:r>
        <w:t xml:space="preserve"> and importantly,</w:t>
      </w:r>
      <w:r w:rsidRPr="005A12AF">
        <w:t xml:space="preserve"> at </w:t>
      </w:r>
      <w:r w:rsidR="00A032C1">
        <w:t>efficient</w:t>
      </w:r>
      <w:r w:rsidR="00A032C1" w:rsidRPr="005A12AF">
        <w:t xml:space="preserve"> </w:t>
      </w:r>
      <w:r w:rsidRPr="005A12AF">
        <w:t xml:space="preserve">cost to Australian businesses and </w:t>
      </w:r>
      <w:r>
        <w:t>consumers</w:t>
      </w:r>
      <w:r w:rsidRPr="005A12AF">
        <w:t>.</w:t>
      </w:r>
    </w:p>
    <w:p w:rsidR="004D2321" w:rsidRDefault="004D2321" w:rsidP="005A12AF"/>
    <w:p w:rsidR="00844CC1" w:rsidRDefault="00844CC1" w:rsidP="005A12AF">
      <w:pPr>
        <w:sectPr w:rsidR="00844CC1" w:rsidSect="0062126A">
          <w:footerReference w:type="default" r:id="rId19"/>
          <w:type w:val="continuous"/>
          <w:pgSz w:w="11906" w:h="16838"/>
          <w:pgMar w:top="1276" w:right="1440" w:bottom="1440" w:left="1440" w:header="708" w:footer="708" w:gutter="0"/>
          <w:pgNumType w:fmt="lowerRoman" w:start="0"/>
          <w:cols w:space="708"/>
          <w:titlePg/>
          <w:docGrid w:linePitch="360"/>
        </w:sectPr>
      </w:pPr>
    </w:p>
    <w:p w:rsidR="004D2321" w:rsidRDefault="004D2321" w:rsidP="005A12AF"/>
    <w:p w:rsidR="00573665" w:rsidRDefault="00D97319" w:rsidP="005A12AF">
      <w:pPr>
        <w:sectPr w:rsidR="00573665" w:rsidSect="00844CC1">
          <w:pgSz w:w="11906" w:h="16838"/>
          <w:pgMar w:top="1276" w:right="1440" w:bottom="1440" w:left="1440" w:header="708" w:footer="708" w:gutter="0"/>
          <w:pgNumType w:fmt="lowerRoman" w:start="0"/>
          <w:cols w:space="708"/>
          <w:titlePg/>
          <w:docGrid w:linePitch="360"/>
        </w:sectPr>
      </w:pPr>
      <w:r>
        <w:br w:type="page"/>
      </w:r>
    </w:p>
    <w:p w:rsidR="00E71BFF" w:rsidRDefault="00E71BFF" w:rsidP="00E71BFF">
      <w:pPr>
        <w:pStyle w:val="Numbered1"/>
      </w:pPr>
      <w:bookmarkStart w:id="19" w:name="_Toc433666984"/>
      <w:bookmarkStart w:id="20" w:name="_Toc419809858"/>
      <w:bookmarkEnd w:id="4"/>
      <w:bookmarkEnd w:id="18"/>
      <w:r>
        <w:lastRenderedPageBreak/>
        <w:t>Performance of Australian stevedoring, and supply</w:t>
      </w:r>
      <w:r w:rsidR="006B329A">
        <w:t xml:space="preserve"> </w:t>
      </w:r>
      <w:r>
        <w:t>chain challenges</w:t>
      </w:r>
      <w:bookmarkEnd w:id="19"/>
    </w:p>
    <w:p w:rsidR="00E71BFF" w:rsidRDefault="00E71BFF" w:rsidP="00E71BFF">
      <w:pPr>
        <w:pStyle w:val="Numbered11"/>
      </w:pPr>
      <w:bookmarkStart w:id="21" w:name="_Toc433666985"/>
      <w:r>
        <w:t>Introduction</w:t>
      </w:r>
      <w:bookmarkEnd w:id="21"/>
    </w:p>
    <w:p w:rsidR="00E71BFF" w:rsidRDefault="00E71BFF" w:rsidP="00E71BFF">
      <w:r>
        <w:t xml:space="preserve">Most consumer goods imported into Australia are handled by a container stevedore. Increased efficiency in stevedoring should, in a competitive market, eventually be passed onto consumers in the form of lower prices. Last year’s </w:t>
      </w:r>
      <w:r w:rsidRPr="00011B82">
        <w:rPr>
          <w:i/>
        </w:rPr>
        <w:t>Container stevedoring monitoring report</w:t>
      </w:r>
      <w:r>
        <w:t xml:space="preserve"> </w:t>
      </w:r>
      <w:r w:rsidRPr="007513F5">
        <w:t xml:space="preserve">found that increased competition in container stevedoring </w:t>
      </w:r>
      <w:r>
        <w:t>was</w:t>
      </w:r>
      <w:r w:rsidRPr="007513F5">
        <w:t xml:space="preserve"> </w:t>
      </w:r>
      <w:r w:rsidR="0043755D">
        <w:t xml:space="preserve">beginning to </w:t>
      </w:r>
      <w:r w:rsidRPr="007513F5">
        <w:t xml:space="preserve">deliver benefits to users of stevedoring services and the wider Australian community. </w:t>
      </w:r>
      <w:r>
        <w:t>This report reveals that this trend is continuing, and that there is an increased focus on improving customer service.</w:t>
      </w:r>
    </w:p>
    <w:p w:rsidR="00402FB5" w:rsidRDefault="00E71BFF" w:rsidP="00E71BFF">
      <w:r>
        <w:t xml:space="preserve">While much has been done to improve the performance of the container stevedoring industry, there is a risk that the increased efficiency in stevedoring may be negated by inefficiencies elsewhere in the supply chain. </w:t>
      </w:r>
    </w:p>
    <w:p w:rsidR="00E71BFF" w:rsidRDefault="00E71BFF" w:rsidP="00E71BFF">
      <w:r>
        <w:t>Port</w:t>
      </w:r>
      <w:r w:rsidR="00734A31">
        <w:t xml:space="preserve"> operators</w:t>
      </w:r>
      <w:r>
        <w:t xml:space="preserve"> are the stevedores’ landlords and </w:t>
      </w:r>
      <w:r w:rsidR="00734A31">
        <w:t xml:space="preserve">ports </w:t>
      </w:r>
      <w:r w:rsidR="00402FB5">
        <w:t xml:space="preserve">often </w:t>
      </w:r>
      <w:r>
        <w:t xml:space="preserve">exhibit monopoly characteristics. </w:t>
      </w:r>
      <w:r w:rsidR="00402FB5">
        <w:t>Where regulation is inadequate</w:t>
      </w:r>
      <w:r w:rsidR="00B92136">
        <w:t>,</w:t>
      </w:r>
      <w:r w:rsidR="00402FB5">
        <w:t xml:space="preserve"> there is a</w:t>
      </w:r>
      <w:r>
        <w:t xml:space="preserve"> risk of monopoly pricing, so the benefits of increased efficiency </w:t>
      </w:r>
      <w:r w:rsidR="00402FB5">
        <w:t xml:space="preserve">in stevedoring </w:t>
      </w:r>
      <w:r>
        <w:t xml:space="preserve">could end up with the port operator rather than </w:t>
      </w:r>
      <w:r w:rsidR="00734A31">
        <w:t xml:space="preserve">being </w:t>
      </w:r>
      <w:r>
        <w:t xml:space="preserve">passed down the supply chain to consumers. </w:t>
      </w:r>
      <w:r w:rsidR="00D4636B">
        <w:t>T</w:t>
      </w:r>
      <w:r>
        <w:t xml:space="preserve">he ACCC </w:t>
      </w:r>
      <w:r w:rsidR="00D4636B">
        <w:t xml:space="preserve">urges </w:t>
      </w:r>
      <w:r w:rsidR="009620DF" w:rsidRPr="009620DF">
        <w:t>governments to establish sufficient regulatory constraints</w:t>
      </w:r>
      <w:r w:rsidR="000E48A1">
        <w:t xml:space="preserve"> on ports</w:t>
      </w:r>
      <w:r w:rsidR="004253DB">
        <w:t>,</w:t>
      </w:r>
      <w:r w:rsidR="009620DF">
        <w:t xml:space="preserve"> and </w:t>
      </w:r>
      <w:r w:rsidR="000E48A1">
        <w:t xml:space="preserve">to </w:t>
      </w:r>
      <w:r w:rsidR="009620DF">
        <w:t>protect opportunities for future competition</w:t>
      </w:r>
      <w:r w:rsidR="009620DF" w:rsidRPr="009620DF">
        <w:t xml:space="preserve"> at the time of privatising </w:t>
      </w:r>
      <w:r w:rsidR="004110B9">
        <w:t>port</w:t>
      </w:r>
      <w:r w:rsidR="009620DF">
        <w:t xml:space="preserve"> </w:t>
      </w:r>
      <w:r w:rsidR="009620DF" w:rsidRPr="009620DF">
        <w:t>assets.</w:t>
      </w:r>
      <w:r w:rsidR="00D4636B">
        <w:t xml:space="preserve"> </w:t>
      </w:r>
    </w:p>
    <w:p w:rsidR="00E71BFF" w:rsidRDefault="00E71BFF" w:rsidP="00E71BFF">
      <w:r w:rsidRPr="009B657D">
        <w:t xml:space="preserve">The other area where the benefits from increased stevedoring efficiency may be lost is </w:t>
      </w:r>
      <w:r w:rsidR="00734A31">
        <w:t xml:space="preserve">in </w:t>
      </w:r>
      <w:r w:rsidR="00F026AB" w:rsidRPr="009B657D">
        <w:t>domestic transport connections to container terminals</w:t>
      </w:r>
      <w:r w:rsidRPr="009B657D">
        <w:t xml:space="preserve">. </w:t>
      </w:r>
      <w:r w:rsidR="00F026AB" w:rsidRPr="0068444A">
        <w:t xml:space="preserve">A number of impediments currently exist to transporting containers within Australia as efficiently as possible, including regulatory and policy settings which may distort market signals. </w:t>
      </w:r>
    </w:p>
    <w:p w:rsidR="00AF3C54" w:rsidRDefault="00AF3C54" w:rsidP="00C950F7">
      <w:pPr>
        <w:pStyle w:val="Tabletitle"/>
        <w:shd w:val="clear" w:color="auto" w:fill="D9D9D9" w:themeFill="background1" w:themeFillShade="D9"/>
      </w:pPr>
      <w:r>
        <w:t>Text box 1.1: Industry background</w:t>
      </w:r>
    </w:p>
    <w:p w:rsidR="00E71BFF" w:rsidRDefault="00E71BFF" w:rsidP="00C950F7">
      <w:pPr>
        <w:pStyle w:val="Heading3"/>
        <w:shd w:val="clear" w:color="auto" w:fill="D9D9D9" w:themeFill="background1" w:themeFillShade="D9"/>
      </w:pPr>
      <w:bookmarkStart w:id="22" w:name="_Toc433666986"/>
      <w:r>
        <w:t>What is container stevedoring?</w:t>
      </w:r>
      <w:bookmarkEnd w:id="22"/>
    </w:p>
    <w:p w:rsidR="00E71BFF" w:rsidRDefault="00E71BFF" w:rsidP="00C950F7">
      <w:pPr>
        <w:shd w:val="clear" w:color="auto" w:fill="D9D9D9" w:themeFill="background1" w:themeFillShade="D9"/>
      </w:pPr>
      <w:r w:rsidRPr="007D324D">
        <w:t xml:space="preserve">Container stevedoring involves lifting containerised </w:t>
      </w:r>
      <w:r>
        <w:t>cargo on and off ships</w:t>
      </w:r>
      <w:r w:rsidRPr="007D324D">
        <w:t>. Container stevedor</w:t>
      </w:r>
      <w:r>
        <w:t>es</w:t>
      </w:r>
      <w:r w:rsidRPr="007D324D">
        <w:t xml:space="preserve"> provide related services such as storage, maintenance and repositioning of containers. Stevedores also provide services that facilitate the </w:t>
      </w:r>
      <w:r>
        <w:t xml:space="preserve">landside </w:t>
      </w:r>
      <w:r w:rsidRPr="007D324D">
        <w:t xml:space="preserve">movement of containers </w:t>
      </w:r>
      <w:r w:rsidR="00734A31">
        <w:t xml:space="preserve">to and </w:t>
      </w:r>
      <w:r w:rsidRPr="007D324D">
        <w:t xml:space="preserve">from the terminals </w:t>
      </w:r>
      <w:r>
        <w:t>by</w:t>
      </w:r>
      <w:r w:rsidRPr="007D324D">
        <w:t xml:space="preserve"> road and rail.</w:t>
      </w:r>
    </w:p>
    <w:p w:rsidR="00E71BFF" w:rsidRDefault="00E71BFF" w:rsidP="00C950F7">
      <w:pPr>
        <w:pStyle w:val="Heading3"/>
        <w:shd w:val="clear" w:color="auto" w:fill="D9D9D9" w:themeFill="background1" w:themeFillShade="D9"/>
      </w:pPr>
      <w:bookmarkStart w:id="23" w:name="_Toc433666987"/>
      <w:r>
        <w:t>Who provides container stevedoring in Australia?</w:t>
      </w:r>
      <w:bookmarkEnd w:id="23"/>
    </w:p>
    <w:p w:rsidR="00E71BFF" w:rsidRDefault="00E71BFF" w:rsidP="00C950F7">
      <w:pPr>
        <w:shd w:val="clear" w:color="auto" w:fill="D9D9D9" w:themeFill="background1" w:themeFillShade="D9"/>
      </w:pPr>
      <w:r>
        <w:t>In Australia, container stevedoring services are provided by specialist companies that own container handling equipment such as cranes and straddles. They lease port terminals, which includes berthing and yard space, from port operators.</w:t>
      </w:r>
    </w:p>
    <w:p w:rsidR="00E71BFF" w:rsidRDefault="00E71BFF" w:rsidP="00C950F7">
      <w:pPr>
        <w:shd w:val="clear" w:color="auto" w:fill="D9D9D9" w:themeFill="background1" w:themeFillShade="D9"/>
      </w:pPr>
      <w:r>
        <w:t xml:space="preserve">There are currently four container terminal operators </w:t>
      </w:r>
      <w:r w:rsidR="00B92136">
        <w:t>covered by the ACCC’s monitoring program</w:t>
      </w:r>
      <w:r>
        <w:t xml:space="preserve">. These are Patrick Terminals &amp; Logistics (a division of Asciano Ltd) (Patrick), DP World Australia (DP World), Hutchison Ports Australia (Hutchison) and Flinders Adelaide Container Terminal (FACT). </w:t>
      </w:r>
    </w:p>
    <w:p w:rsidR="00E71BFF" w:rsidRDefault="00E71BFF" w:rsidP="00C950F7">
      <w:pPr>
        <w:shd w:val="clear" w:color="auto" w:fill="D9D9D9" w:themeFill="background1" w:themeFillShade="D9"/>
      </w:pPr>
      <w:r>
        <w:t xml:space="preserve">Patrick and DP World operate container terminals at the Port of Brisbane, Port Botany (Sydney), Port of Melbourne and Port of Fremantle. </w:t>
      </w:r>
    </w:p>
    <w:p w:rsidR="00E71BFF" w:rsidRDefault="00E71BFF" w:rsidP="00C950F7">
      <w:pPr>
        <w:shd w:val="clear" w:color="auto" w:fill="D9D9D9" w:themeFill="background1" w:themeFillShade="D9"/>
      </w:pPr>
      <w:r>
        <w:t xml:space="preserve">Hutchison </w:t>
      </w:r>
      <w:r w:rsidR="00D263E9">
        <w:t>recently entered</w:t>
      </w:r>
      <w:r>
        <w:t xml:space="preserve"> the Australian stevedoring industry</w:t>
      </w:r>
      <w:r w:rsidR="00D263E9">
        <w:t>,</w:t>
      </w:r>
      <w:r>
        <w:t xml:space="preserve"> </w:t>
      </w:r>
      <w:r w:rsidR="00D263E9">
        <w:t>commencing operations</w:t>
      </w:r>
      <w:r>
        <w:t xml:space="preserve"> in Brisbane </w:t>
      </w:r>
      <w:r w:rsidR="00D263E9" w:rsidRPr="00AA2298">
        <w:t xml:space="preserve">in </w:t>
      </w:r>
      <w:r w:rsidR="00D8433D">
        <w:t>2012–13</w:t>
      </w:r>
      <w:r w:rsidR="00D263E9">
        <w:t xml:space="preserve"> </w:t>
      </w:r>
      <w:r>
        <w:t xml:space="preserve">and Sydney </w:t>
      </w:r>
      <w:r w:rsidR="00D263E9">
        <w:t>in</w:t>
      </w:r>
      <w:r>
        <w:t xml:space="preserve"> </w:t>
      </w:r>
      <w:r w:rsidR="00D8433D">
        <w:t>2013–14</w:t>
      </w:r>
      <w:r w:rsidRPr="00AA2298">
        <w:t xml:space="preserve">. </w:t>
      </w:r>
    </w:p>
    <w:p w:rsidR="00E71BFF" w:rsidRDefault="00E71BFF" w:rsidP="00C950F7">
      <w:pPr>
        <w:shd w:val="clear" w:color="auto" w:fill="D9D9D9" w:themeFill="background1" w:themeFillShade="D9"/>
      </w:pPr>
      <w:r>
        <w:lastRenderedPageBreak/>
        <w:t>In</w:t>
      </w:r>
      <w:r w:rsidRPr="00AA2298">
        <w:t xml:space="preserve"> Melbourne</w:t>
      </w:r>
      <w:r>
        <w:t>,</w:t>
      </w:r>
      <w:r w:rsidRPr="00AA2298">
        <w:t xml:space="preserve"> a new </w:t>
      </w:r>
      <w:r>
        <w:t>operator</w:t>
      </w:r>
      <w:r w:rsidRPr="00AA2298">
        <w:t xml:space="preserve">, Victorian International Container Terminal Limited (VICTL), is </w:t>
      </w:r>
      <w:r>
        <w:t>scheduled</w:t>
      </w:r>
      <w:r w:rsidRPr="00AA2298">
        <w:t xml:space="preserve"> to </w:t>
      </w:r>
      <w:r w:rsidR="009951BA">
        <w:t>be ready for operation by the end of</w:t>
      </w:r>
      <w:r w:rsidRPr="00AA2298">
        <w:t xml:space="preserve"> 2016.</w:t>
      </w:r>
      <w:r w:rsidRPr="002B54F1">
        <w:t xml:space="preserve"> </w:t>
      </w:r>
    </w:p>
    <w:p w:rsidR="00E71BFF" w:rsidRDefault="00E71BFF" w:rsidP="00C950F7">
      <w:pPr>
        <w:shd w:val="clear" w:color="auto" w:fill="D9D9D9" w:themeFill="background1" w:themeFillShade="D9"/>
      </w:pPr>
      <w:r>
        <w:t>FACT is the sole container stevedore at the Port of Adelaide.</w:t>
      </w:r>
    </w:p>
    <w:p w:rsidR="00E71BFF" w:rsidRDefault="00E71BFF" w:rsidP="00C950F7">
      <w:pPr>
        <w:pStyle w:val="Heading3"/>
        <w:shd w:val="clear" w:color="auto" w:fill="D9D9D9" w:themeFill="background1" w:themeFillShade="D9"/>
      </w:pPr>
      <w:bookmarkStart w:id="24" w:name="_Toc433666988"/>
      <w:r>
        <w:t>What is the ACCC’s role in relation to container stevedoring?</w:t>
      </w:r>
      <w:bookmarkEnd w:id="24"/>
    </w:p>
    <w:p w:rsidR="00E71BFF" w:rsidRDefault="00E71BFF" w:rsidP="00C950F7">
      <w:pPr>
        <w:shd w:val="clear" w:color="auto" w:fill="D9D9D9" w:themeFill="background1" w:themeFillShade="D9"/>
      </w:pPr>
      <w:r>
        <w:t xml:space="preserve">The ACCC is required to monitor prices, costs and profits of the container stevedores at the ports </w:t>
      </w:r>
      <w:r w:rsidR="003D25B8">
        <w:t xml:space="preserve">in </w:t>
      </w:r>
      <w:r>
        <w:t>Adelaide, Brisbane, Burnie, Fremantle, Melbourne and Sydney.</w:t>
      </w:r>
      <w:r>
        <w:rPr>
          <w:rStyle w:val="FootnoteReference"/>
        </w:rPr>
        <w:footnoteReference w:id="2"/>
      </w:r>
      <w:r>
        <w:t xml:space="preserve"> This role is conducted pursuant to a ministerial direction under Part VIIA of the </w:t>
      </w:r>
      <w:r w:rsidRPr="007B0742">
        <w:rPr>
          <w:i/>
        </w:rPr>
        <w:t>Competition and Consumer Act 2010</w:t>
      </w:r>
      <w:r w:rsidR="00574FDF">
        <w:t xml:space="preserve"> (CCA)</w:t>
      </w:r>
      <w:r>
        <w:t>.</w:t>
      </w:r>
    </w:p>
    <w:p w:rsidR="00E71BFF" w:rsidRDefault="00E71BFF" w:rsidP="00C950F7">
      <w:pPr>
        <w:shd w:val="clear" w:color="auto" w:fill="D9D9D9" w:themeFill="background1" w:themeFillShade="D9"/>
      </w:pPr>
      <w:r>
        <w:t xml:space="preserve">As part of this role, the ACCC releases an annual </w:t>
      </w:r>
      <w:r w:rsidRPr="00011B82">
        <w:rPr>
          <w:i/>
        </w:rPr>
        <w:t>Container stevedoring monitoring report</w:t>
      </w:r>
      <w:r>
        <w:t>. These reports provide information to governments and the community about the operating performance of</w:t>
      </w:r>
      <w:r w:rsidR="00D263E9">
        <w:t xml:space="preserve"> the container stevedores,</w:t>
      </w:r>
      <w:r>
        <w:t xml:space="preserve"> </w:t>
      </w:r>
      <w:r w:rsidR="00D263E9">
        <w:t>as well as</w:t>
      </w:r>
      <w:r>
        <w:t xml:space="preserve"> the level of competition, investment and productivity in</w:t>
      </w:r>
      <w:r w:rsidR="00D263E9">
        <w:t xml:space="preserve"> the</w:t>
      </w:r>
      <w:r>
        <w:t xml:space="preserve"> industry.</w:t>
      </w:r>
      <w:r w:rsidRPr="002B54F1">
        <w:t xml:space="preserve"> </w:t>
      </w:r>
      <w:r>
        <w:t>This is the ACCC’s 17</w:t>
      </w:r>
      <w:r w:rsidRPr="00C45222">
        <w:rPr>
          <w:vertAlign w:val="superscript"/>
        </w:rPr>
        <w:t>th</w:t>
      </w:r>
      <w:r>
        <w:t xml:space="preserve"> report.</w:t>
      </w:r>
    </w:p>
    <w:p w:rsidR="00E71BFF" w:rsidRPr="0053436E" w:rsidRDefault="00E71BFF" w:rsidP="0053436E">
      <w:pPr>
        <w:shd w:val="clear" w:color="auto" w:fill="D9D9D9" w:themeFill="background1" w:themeFillShade="D9"/>
        <w:rPr>
          <w:sz w:val="16"/>
          <w:szCs w:val="16"/>
        </w:rPr>
      </w:pPr>
    </w:p>
    <w:p w:rsidR="00E71BFF" w:rsidRDefault="00E71BFF" w:rsidP="00E71BFF">
      <w:pPr>
        <w:pStyle w:val="Numbered11"/>
      </w:pPr>
      <w:bookmarkStart w:id="25" w:name="_Toc433666989"/>
      <w:r>
        <w:t xml:space="preserve">Improvements in Australian stevedoring since </w:t>
      </w:r>
      <w:r w:rsidR="00D8433D">
        <w:t>1998–99</w:t>
      </w:r>
      <w:bookmarkEnd w:id="25"/>
    </w:p>
    <w:p w:rsidR="00E71BFF" w:rsidRDefault="00E71BFF" w:rsidP="00E71BFF">
      <w:r>
        <w:t xml:space="preserve">The ACCC began monitoring the container stevedoring industry in </w:t>
      </w:r>
      <w:r w:rsidR="00D8433D">
        <w:t>1998–99</w:t>
      </w:r>
      <w:r>
        <w:t xml:space="preserve">. The monitoring program was introduced at the time of the Australian Government’s reform package for the Australian waterfront, which set benchmarks agreed to by the stevedores to improve productivity and reduce costs across the waterfront supply chain, among others. </w:t>
      </w:r>
    </w:p>
    <w:p w:rsidR="00E71BFF" w:rsidRDefault="00E71BFF" w:rsidP="00E71BFF">
      <w:r>
        <w:t xml:space="preserve">At this time, </w:t>
      </w:r>
      <w:r w:rsidRPr="00183E90">
        <w:t xml:space="preserve">there were two </w:t>
      </w:r>
      <w:r>
        <w:t xml:space="preserve">dominant </w:t>
      </w:r>
      <w:r w:rsidRPr="00183E90">
        <w:t xml:space="preserve">container stevedores operating at </w:t>
      </w:r>
      <w:r>
        <w:t>the</w:t>
      </w:r>
      <w:r w:rsidRPr="00183E90">
        <w:t xml:space="preserve"> four </w:t>
      </w:r>
      <w:r>
        <w:t>largest</w:t>
      </w:r>
      <w:r w:rsidRPr="00183E90">
        <w:t xml:space="preserve"> ports (Brisbane, </w:t>
      </w:r>
      <w:r>
        <w:t>Sydney, Melbourne and Fremantle):</w:t>
      </w:r>
      <w:r w:rsidRPr="00183E90">
        <w:t xml:space="preserve"> Patrick and </w:t>
      </w:r>
      <w:r>
        <w:t xml:space="preserve">P&amp;O Ports (now </w:t>
      </w:r>
      <w:r w:rsidRPr="00183E90">
        <w:t>DP</w:t>
      </w:r>
      <w:r>
        <w:t> </w:t>
      </w:r>
      <w:r w:rsidRPr="00183E90">
        <w:t>World Australia</w:t>
      </w:r>
      <w:r>
        <w:t>).</w:t>
      </w:r>
      <w:r>
        <w:rPr>
          <w:rStyle w:val="FootnoteReference"/>
        </w:rPr>
        <w:footnoteReference w:id="3"/>
      </w:r>
      <w:r w:rsidRPr="0003424F">
        <w:t xml:space="preserve"> </w:t>
      </w:r>
      <w:r>
        <w:t xml:space="preserve">Market shares held by these two companies have </w:t>
      </w:r>
      <w:r w:rsidR="00C950F7">
        <w:t xml:space="preserve">varied over time but </w:t>
      </w:r>
      <w:r>
        <w:t xml:space="preserve">generally fluctuated between 45 and 55 per </w:t>
      </w:r>
      <w:r w:rsidRPr="00350EF9">
        <w:t>cent at each port.</w:t>
      </w:r>
      <w:r w:rsidR="0055370A">
        <w:rPr>
          <w:rStyle w:val="FootnoteReference"/>
        </w:rPr>
        <w:footnoteReference w:id="4"/>
      </w:r>
    </w:p>
    <w:p w:rsidR="00E71BFF" w:rsidRDefault="00E71BFF" w:rsidP="00E71BFF">
      <w:r>
        <w:t>In 1998, the Productivity Commission (PC) conducted an international benchmarking study of the Australian waterfront and found container stevedoring performance was significantly lower compared to other international ports. It found that “[c]</w:t>
      </w:r>
      <w:proofErr w:type="spellStart"/>
      <w:r>
        <w:t>ontainer</w:t>
      </w:r>
      <w:proofErr w:type="spellEnd"/>
      <w:r>
        <w:t xml:space="preserve"> stevedoring charges were higher than overseas, ship loading and unloading were slower, and services were less reliable”.</w:t>
      </w:r>
      <w:r>
        <w:rPr>
          <w:rStyle w:val="FootnoteReference"/>
        </w:rPr>
        <w:footnoteReference w:id="5"/>
      </w:r>
      <w:r w:rsidR="005B2CA0">
        <w:t xml:space="preserve"> </w:t>
      </w:r>
      <w:r w:rsidRPr="004B0517">
        <w:t xml:space="preserve">Timeliness and reliability </w:t>
      </w:r>
      <w:r w:rsidR="005B2CA0">
        <w:t>were</w:t>
      </w:r>
      <w:r w:rsidR="005B2CA0" w:rsidRPr="004B0517">
        <w:t xml:space="preserve"> </w:t>
      </w:r>
      <w:r w:rsidRPr="004B0517">
        <w:t xml:space="preserve">found to be amongst the most </w:t>
      </w:r>
      <w:r w:rsidR="003D25B8">
        <w:t>significant</w:t>
      </w:r>
      <w:r w:rsidR="003D25B8" w:rsidRPr="004B0517">
        <w:t xml:space="preserve"> </w:t>
      </w:r>
      <w:r w:rsidRPr="004B0517">
        <w:t xml:space="preserve">problems, with delays experienced by about one-fifth of ships calling at the five largest ports. </w:t>
      </w:r>
      <w:r>
        <w:t>This put</w:t>
      </w:r>
      <w:r w:rsidRPr="004B0517">
        <w:t xml:space="preserve"> the reform priority on reversing this drain on consumer welfare. </w:t>
      </w:r>
    </w:p>
    <w:p w:rsidR="00E71BFF" w:rsidRDefault="00E71BFF" w:rsidP="00E71BFF">
      <w:r>
        <w:t>The performance of the container stevedoring industry has improved markedly since that time, as documented by the ACCC’s monitoring program</w:t>
      </w:r>
      <w:r w:rsidR="00EE477E">
        <w:t xml:space="preserve"> (</w:t>
      </w:r>
      <w:r w:rsidR="003D25B8">
        <w:t xml:space="preserve">see </w:t>
      </w:r>
      <w:r w:rsidR="00EE477E">
        <w:t>text box 1.2)</w:t>
      </w:r>
      <w:r>
        <w:t xml:space="preserve">. </w:t>
      </w:r>
      <w:r w:rsidRPr="00391CCE">
        <w:t xml:space="preserve">The history of the monitoring </w:t>
      </w:r>
      <w:r>
        <w:t xml:space="preserve">program </w:t>
      </w:r>
      <w:r w:rsidRPr="00391CCE">
        <w:t>shows that reform has been an effective impetus to increasing waterfront productivity and encouraging investment in a more efficient stevedoring service.</w:t>
      </w:r>
      <w:r w:rsidRPr="00391CCE" w:rsidDel="00A30917">
        <w:t xml:space="preserve"> </w:t>
      </w:r>
    </w:p>
    <w:p w:rsidR="000F31EF" w:rsidRDefault="000F31EF" w:rsidP="000F31EF">
      <w:r>
        <w:t xml:space="preserve">The effect of improvements in stevedoring </w:t>
      </w:r>
      <w:r w:rsidR="003D25B8">
        <w:t xml:space="preserve">is expected to </w:t>
      </w:r>
      <w:r>
        <w:t xml:space="preserve">flow to </w:t>
      </w:r>
      <w:r w:rsidR="003D25B8">
        <w:t xml:space="preserve">Australian </w:t>
      </w:r>
      <w:r>
        <w:t>consumers and exporters by way of cheaper imports and more competitive exports.</w:t>
      </w:r>
    </w:p>
    <w:p w:rsidR="00AF3C54" w:rsidRDefault="00AF3C54" w:rsidP="00C950F7">
      <w:pPr>
        <w:pStyle w:val="Tabletitle"/>
        <w:shd w:val="clear" w:color="auto" w:fill="D9D9D9" w:themeFill="background1" w:themeFillShade="D9"/>
      </w:pPr>
      <w:r>
        <w:lastRenderedPageBreak/>
        <w:t xml:space="preserve">Text box 1.2: </w:t>
      </w:r>
      <w:r w:rsidRPr="00AF3C54">
        <w:t>Historical performance of the container stevedoring industry</w:t>
      </w:r>
    </w:p>
    <w:p w:rsidR="00E71BFF" w:rsidRPr="00AC7B5F" w:rsidRDefault="00E71BFF" w:rsidP="00C950F7">
      <w:pPr>
        <w:keepNext/>
        <w:shd w:val="clear" w:color="auto" w:fill="D9D9D9" w:themeFill="background1" w:themeFillShade="D9"/>
      </w:pPr>
      <w:r>
        <w:t xml:space="preserve">The ACCC monitoring program has found that since </w:t>
      </w:r>
      <w:r w:rsidR="00D8433D">
        <w:t>1998–99</w:t>
      </w:r>
      <w:r>
        <w:t>:</w:t>
      </w:r>
    </w:p>
    <w:p w:rsidR="00E71BFF" w:rsidRDefault="00E71BFF" w:rsidP="00C950F7">
      <w:pPr>
        <w:pStyle w:val="Bulletpoint"/>
        <w:shd w:val="clear" w:color="auto" w:fill="D9D9D9" w:themeFill="background1" w:themeFillShade="D9"/>
        <w:ind w:left="360" w:hanging="360"/>
      </w:pPr>
      <w:r w:rsidRPr="0042259B">
        <w:rPr>
          <w:b/>
        </w:rPr>
        <w:t>Significantly higher volumes</w:t>
      </w:r>
      <w:r>
        <w:rPr>
          <w:b/>
        </w:rPr>
        <w:t xml:space="preserve"> </w:t>
      </w:r>
      <w:r>
        <w:t>are now processed by container stevedoring terminals</w:t>
      </w:r>
      <w:r w:rsidR="00981D1E">
        <w:t xml:space="preserve">. Since </w:t>
      </w:r>
      <w:r w:rsidR="00D8433D">
        <w:t>1998–99</w:t>
      </w:r>
      <w:r>
        <w:t xml:space="preserve">, the number of </w:t>
      </w:r>
      <w:r w:rsidR="00E76E0B">
        <w:t>TEU</w:t>
      </w:r>
      <w:r w:rsidR="00F26BCE">
        <w:t>s</w:t>
      </w:r>
      <w:r w:rsidRPr="005076BC">
        <w:rPr>
          <w:rStyle w:val="FootnoteReference"/>
        </w:rPr>
        <w:footnoteReference w:id="6"/>
      </w:r>
      <w:r>
        <w:t xml:space="preserve"> has increased by </w:t>
      </w:r>
      <w:r w:rsidR="005C017A">
        <w:t xml:space="preserve">147.5 </w:t>
      </w:r>
      <w:r>
        <w:t xml:space="preserve">per cent, from 2.9 million to 7.1 million </w:t>
      </w:r>
      <w:r w:rsidR="00E76E0B">
        <w:t>TEUs</w:t>
      </w:r>
      <w:r>
        <w:t xml:space="preserve"> in </w:t>
      </w:r>
      <w:r w:rsidR="00D8433D">
        <w:t>2014–15</w:t>
      </w:r>
      <w:r>
        <w:t xml:space="preserve">. </w:t>
      </w:r>
    </w:p>
    <w:p w:rsidR="00E71BFF" w:rsidRDefault="00E71BFF" w:rsidP="00C950F7">
      <w:pPr>
        <w:pStyle w:val="Bulletpoint"/>
        <w:shd w:val="clear" w:color="auto" w:fill="D9D9D9" w:themeFill="background1" w:themeFillShade="D9"/>
        <w:ind w:left="360" w:hanging="360"/>
      </w:pPr>
      <w:r>
        <w:rPr>
          <w:b/>
        </w:rPr>
        <w:t>Improved p</w:t>
      </w:r>
      <w:r w:rsidRPr="0042259B">
        <w:rPr>
          <w:b/>
        </w:rPr>
        <w:t xml:space="preserve">roductivity </w:t>
      </w:r>
      <w:r>
        <w:rPr>
          <w:b/>
        </w:rPr>
        <w:t>by</w:t>
      </w:r>
      <w:r w:rsidRPr="0042259B">
        <w:rPr>
          <w:b/>
        </w:rPr>
        <w:t xml:space="preserve"> the stevedores</w:t>
      </w:r>
      <w:r w:rsidRPr="005F534F">
        <w:t>—</w:t>
      </w:r>
      <w:r>
        <w:t xml:space="preserve">the average net crane rate (a commonly used measure of capital productivity) for the five major ports has improved from 19.6 containers per hour in </w:t>
      </w:r>
      <w:r w:rsidR="00D8433D">
        <w:t>1998–99</w:t>
      </w:r>
      <w:r>
        <w:t xml:space="preserve"> to 30.6 in </w:t>
      </w:r>
      <w:r w:rsidR="00D8433D">
        <w:t>2014–15</w:t>
      </w:r>
      <w:r>
        <w:t xml:space="preserve">. The average elapsed labour rate (a commonly used measure of labour productivity) has also increased, from 22.4 containers per hour in </w:t>
      </w:r>
      <w:r w:rsidR="00D8433D">
        <w:t>1998–99</w:t>
      </w:r>
      <w:r>
        <w:t xml:space="preserve"> to 45.3 in </w:t>
      </w:r>
      <w:r w:rsidR="00D8433D">
        <w:t>2014–15</w:t>
      </w:r>
      <w:r>
        <w:t xml:space="preserve">. </w:t>
      </w:r>
    </w:p>
    <w:p w:rsidR="00E71BFF" w:rsidRDefault="00E71BFF" w:rsidP="00C950F7">
      <w:pPr>
        <w:pStyle w:val="Bulletpoint"/>
        <w:shd w:val="clear" w:color="auto" w:fill="D9D9D9" w:themeFill="background1" w:themeFillShade="D9"/>
        <w:ind w:left="360" w:hanging="360"/>
      </w:pPr>
      <w:r w:rsidRPr="005F534F">
        <w:rPr>
          <w:b/>
        </w:rPr>
        <w:t>Lower real unit costs and average prices</w:t>
      </w:r>
      <w:r w:rsidRPr="005F534F">
        <w:t xml:space="preserve">—costs </w:t>
      </w:r>
      <w:r>
        <w:t xml:space="preserve">per TEU </w:t>
      </w:r>
      <w:r w:rsidRPr="005F534F">
        <w:t xml:space="preserve">for the stevedores </w:t>
      </w:r>
      <w:r>
        <w:t xml:space="preserve">have decreased in </w:t>
      </w:r>
      <w:r w:rsidRPr="005F534F">
        <w:t>real terms</w:t>
      </w:r>
      <w:r>
        <w:rPr>
          <w:rStyle w:val="FootnoteReference"/>
        </w:rPr>
        <w:footnoteReference w:id="7"/>
      </w:r>
      <w:r>
        <w:t xml:space="preserve"> by 42.2 per cent s</w:t>
      </w:r>
      <w:r w:rsidRPr="005F534F">
        <w:t>in</w:t>
      </w:r>
      <w:r>
        <w:t>ce</w:t>
      </w:r>
      <w:r w:rsidRPr="005F534F">
        <w:t xml:space="preserve"> 1998–99</w:t>
      </w:r>
      <w:r>
        <w:t>. U</w:t>
      </w:r>
      <w:r w:rsidRPr="005F534F">
        <w:t>nit revenues (a proxy for average prices for users of stevedoring terminal services)</w:t>
      </w:r>
      <w:r>
        <w:t xml:space="preserve"> </w:t>
      </w:r>
      <w:r w:rsidRPr="005F534F">
        <w:t xml:space="preserve">are </w:t>
      </w:r>
      <w:r>
        <w:t>39.8</w:t>
      </w:r>
      <w:r w:rsidRPr="005F534F">
        <w:t xml:space="preserve"> per cent lower</w:t>
      </w:r>
      <w:r>
        <w:t xml:space="preserve">. </w:t>
      </w:r>
    </w:p>
    <w:p w:rsidR="00E71BFF" w:rsidRDefault="00E71BFF" w:rsidP="00C950F7">
      <w:pPr>
        <w:pStyle w:val="Bulletpoint"/>
        <w:shd w:val="clear" w:color="auto" w:fill="D9D9D9" w:themeFill="background1" w:themeFillShade="D9"/>
        <w:ind w:left="360" w:hanging="360"/>
      </w:pPr>
      <w:r>
        <w:rPr>
          <w:b/>
        </w:rPr>
        <w:t>Increased i</w:t>
      </w:r>
      <w:r w:rsidRPr="0042259B">
        <w:rPr>
          <w:b/>
        </w:rPr>
        <w:t>nvestment in capacity and efficiencies</w:t>
      </w:r>
      <w:r w:rsidRPr="005F534F">
        <w:t>—</w:t>
      </w:r>
      <w:r>
        <w:t xml:space="preserve">the value of assets employed in container stevedoring has increased substantially since </w:t>
      </w:r>
      <w:r w:rsidR="00D8433D">
        <w:t>1998–99</w:t>
      </w:r>
      <w:r>
        <w:t xml:space="preserve">, and has more than doubled since Hutchison commenced. </w:t>
      </w:r>
    </w:p>
    <w:p w:rsidR="00E71BFF" w:rsidRDefault="00E71BFF" w:rsidP="00C950F7">
      <w:pPr>
        <w:pStyle w:val="Bulletpoint"/>
        <w:shd w:val="clear" w:color="auto" w:fill="D9D9D9" w:themeFill="background1" w:themeFillShade="D9"/>
        <w:ind w:left="360" w:hanging="360"/>
      </w:pPr>
      <w:r>
        <w:rPr>
          <w:b/>
        </w:rPr>
        <w:t>Industry profitability has fluctuated</w:t>
      </w:r>
      <w:r w:rsidRPr="005F534F">
        <w:t>—</w:t>
      </w:r>
      <w:r>
        <w:t xml:space="preserve">after rising significantly over the monitoring period, peaking in </w:t>
      </w:r>
      <w:r w:rsidR="00D8433D">
        <w:t>2011–12</w:t>
      </w:r>
      <w:r>
        <w:t xml:space="preserve"> at 29.2 per cent, </w:t>
      </w:r>
      <w:r w:rsidRPr="00D55343">
        <w:t xml:space="preserve">profitability levels </w:t>
      </w:r>
      <w:r>
        <w:t>have decreased and are now similar to those</w:t>
      </w:r>
      <w:r w:rsidRPr="00D55343">
        <w:t xml:space="preserve"> reported in </w:t>
      </w:r>
      <w:r w:rsidR="00D8433D">
        <w:t>1998–99</w:t>
      </w:r>
      <w:r w:rsidRPr="00D55343">
        <w:t>. The industry rate of return</w:t>
      </w:r>
      <w:r>
        <w:rPr>
          <w:rStyle w:val="FootnoteReference"/>
        </w:rPr>
        <w:footnoteReference w:id="8"/>
      </w:r>
      <w:r w:rsidRPr="00D55343">
        <w:t xml:space="preserve"> on average tangible assets</w:t>
      </w:r>
      <w:r>
        <w:rPr>
          <w:rStyle w:val="FootnoteReference"/>
        </w:rPr>
        <w:footnoteReference w:id="9"/>
      </w:r>
      <w:r w:rsidRPr="00D55343">
        <w:t xml:space="preserve"> in 201</w:t>
      </w:r>
      <w:r>
        <w:t>4</w:t>
      </w:r>
      <w:r w:rsidRPr="00D55343">
        <w:t>–1</w:t>
      </w:r>
      <w:r>
        <w:t xml:space="preserve">5 was </w:t>
      </w:r>
      <w:r w:rsidRPr="00D55343">
        <w:t>1</w:t>
      </w:r>
      <w:r>
        <w:t>0</w:t>
      </w:r>
      <w:r w:rsidRPr="00D55343">
        <w:t>.</w:t>
      </w:r>
      <w:r>
        <w:t>4 </w:t>
      </w:r>
      <w:r w:rsidRPr="00D55343">
        <w:t xml:space="preserve">per cent </w:t>
      </w:r>
      <w:r>
        <w:t>compared to 10.6 per </w:t>
      </w:r>
      <w:r w:rsidRPr="00D55343">
        <w:t>cent in 1998–99.</w:t>
      </w:r>
      <w:r>
        <w:t xml:space="preserve"> </w:t>
      </w:r>
    </w:p>
    <w:p w:rsidR="0053436E" w:rsidRPr="0053436E" w:rsidRDefault="0053436E" w:rsidP="0053436E">
      <w:pPr>
        <w:pStyle w:val="Bulletpoint"/>
        <w:numPr>
          <w:ilvl w:val="0"/>
          <w:numId w:val="0"/>
        </w:numPr>
        <w:shd w:val="clear" w:color="auto" w:fill="D9D9D9" w:themeFill="background1" w:themeFillShade="D9"/>
        <w:rPr>
          <w:sz w:val="16"/>
          <w:szCs w:val="16"/>
        </w:rPr>
      </w:pPr>
    </w:p>
    <w:p w:rsidR="00E71BFF" w:rsidRDefault="00E71BFF" w:rsidP="00E71BFF">
      <w:pPr>
        <w:pStyle w:val="Numbered11"/>
      </w:pPr>
      <w:bookmarkStart w:id="26" w:name="_Toc433666990"/>
      <w:r>
        <w:t>Increased competition is delivering changes in the industry</w:t>
      </w:r>
      <w:bookmarkEnd w:id="26"/>
    </w:p>
    <w:p w:rsidR="00E71BFF" w:rsidRDefault="00E71BFF" w:rsidP="00E71BFF">
      <w:r>
        <w:t>In recent years, container stevedoring has been undergoing another period of significant change. The impetus for the change was the entry of a third stevedore, Hutchison, in Brisbane and Sydney in 2013.</w:t>
      </w:r>
      <w:r>
        <w:rPr>
          <w:rStyle w:val="FootnoteReference"/>
        </w:rPr>
        <w:footnoteReference w:id="10"/>
      </w:r>
      <w:r>
        <w:t xml:space="preserve"> </w:t>
      </w:r>
      <w:r w:rsidR="00981D1E">
        <w:t>In</w:t>
      </w:r>
      <w:r>
        <w:t xml:space="preserve"> Melbourne, another stevedore, VICTL, </w:t>
      </w:r>
      <w:r w:rsidR="00AF525A">
        <w:t xml:space="preserve">is scheduled to be </w:t>
      </w:r>
      <w:r w:rsidR="00AF525A" w:rsidRPr="00AF525A">
        <w:t>ready for operation by the end of 2016</w:t>
      </w:r>
      <w:r>
        <w:t>.</w:t>
      </w:r>
      <w:r w:rsidRPr="002178F3">
        <w:t xml:space="preserve"> </w:t>
      </w:r>
    </w:p>
    <w:p w:rsidR="00E71BFF" w:rsidRDefault="00E71BFF" w:rsidP="00E71BFF">
      <w:r>
        <w:t xml:space="preserve">In Fremantle, there have been other developments. Patrick’s market share </w:t>
      </w:r>
      <w:r w:rsidR="00AF525A">
        <w:t xml:space="preserve">has </w:t>
      </w:r>
      <w:r>
        <w:t>increased in recent years with the switching of two major shipping lines from DP World,</w:t>
      </w:r>
      <w:r>
        <w:rPr>
          <w:rStyle w:val="FootnoteReference"/>
        </w:rPr>
        <w:footnoteReference w:id="11"/>
      </w:r>
      <w:r>
        <w:t xml:space="preserve"> and the port </w:t>
      </w:r>
      <w:r w:rsidR="009E0398">
        <w:t xml:space="preserve">operator </w:t>
      </w:r>
      <w:r>
        <w:t xml:space="preserve">has put the leases for the </w:t>
      </w:r>
      <w:r w:rsidR="00D263E9">
        <w:t xml:space="preserve">container </w:t>
      </w:r>
      <w:r>
        <w:t xml:space="preserve">terminals to the market. </w:t>
      </w:r>
    </w:p>
    <w:p w:rsidR="00E71BFF" w:rsidRDefault="00E71BFF" w:rsidP="00E71BFF">
      <w:r>
        <w:t xml:space="preserve">While there are signs of improvements in the industry resulting from increased competition, challenges exist for new operators seeking to establish themselves. Entering Australian stevedoring is not without its difficulties and it will take new stevedores time to embed their operations and attract shipping line customers. Hutchison is reported to be experiencing </w:t>
      </w:r>
      <w:r w:rsidR="00D263E9">
        <w:lastRenderedPageBreak/>
        <w:t>challenges</w:t>
      </w:r>
      <w:r w:rsidR="00BE0B92">
        <w:t>, some of which may be within a stevedores’ influence or control while others are not.</w:t>
      </w:r>
      <w:r>
        <w:t xml:space="preserve"> These issues are discussed further in section</w:t>
      </w:r>
      <w:r w:rsidR="003545C8">
        <w:t xml:space="preserve"> 1.3.7</w:t>
      </w:r>
      <w:r>
        <w:t xml:space="preserve">. </w:t>
      </w:r>
    </w:p>
    <w:p w:rsidR="00E71BFF" w:rsidRDefault="00E71BFF" w:rsidP="00E71BFF">
      <w:r>
        <w:t xml:space="preserve">In Adelaide, there remains a single container stevedore, FACT. The Port of Adelaide is operated by FACT’s parent company, Flinders Ports. While there is only one stevedore at this port, </w:t>
      </w:r>
      <w:r w:rsidR="00D263E9">
        <w:t xml:space="preserve">it </w:t>
      </w:r>
      <w:r w:rsidR="00AF4EB7">
        <w:t>may</w:t>
      </w:r>
      <w:r>
        <w:t xml:space="preserve"> </w:t>
      </w:r>
      <w:r w:rsidRPr="00350EF9">
        <w:t xml:space="preserve">face </w:t>
      </w:r>
      <w:r w:rsidRPr="00AF4EB7">
        <w:t xml:space="preserve">some </w:t>
      </w:r>
      <w:r w:rsidR="00B70B8F" w:rsidRPr="00AF4EB7">
        <w:t xml:space="preserve">limited </w:t>
      </w:r>
      <w:r w:rsidRPr="00AF4EB7">
        <w:t>competition from the Port of Melbourne</w:t>
      </w:r>
      <w:r w:rsidR="00B70B8F" w:rsidRPr="00AF4EB7">
        <w:t>,</w:t>
      </w:r>
      <w:r w:rsidRPr="00AF4EB7">
        <w:t xml:space="preserve"> </w:t>
      </w:r>
      <w:r w:rsidR="002331AE" w:rsidRPr="00AF4EB7">
        <w:t xml:space="preserve">as </w:t>
      </w:r>
      <w:r w:rsidR="00B70B8F" w:rsidRPr="00AF4EB7">
        <w:t xml:space="preserve">it is understood </w:t>
      </w:r>
      <w:r w:rsidR="00AF4EB7">
        <w:t xml:space="preserve">that </w:t>
      </w:r>
      <w:r w:rsidR="002331AE" w:rsidRPr="00AF4EB7">
        <w:t>some South Australian</w:t>
      </w:r>
      <w:r w:rsidR="002331AE">
        <w:t xml:space="preserve"> trade i</w:t>
      </w:r>
      <w:r w:rsidR="009D54B7">
        <w:t>s</w:t>
      </w:r>
      <w:r w:rsidR="002331AE" w:rsidRPr="00350EF9">
        <w:t xml:space="preserve"> </w:t>
      </w:r>
      <w:r w:rsidRPr="00350EF9">
        <w:t xml:space="preserve">transported </w:t>
      </w:r>
      <w:r w:rsidR="002331AE">
        <w:t xml:space="preserve">there </w:t>
      </w:r>
      <w:r w:rsidRPr="00350EF9">
        <w:t xml:space="preserve">by </w:t>
      </w:r>
      <w:r w:rsidRPr="00E86D20">
        <w:t xml:space="preserve">rail. In 2008, </w:t>
      </w:r>
      <w:r w:rsidR="005B2CA0" w:rsidRPr="00E86D20">
        <w:t xml:space="preserve">the </w:t>
      </w:r>
      <w:r w:rsidRPr="00E86D20">
        <w:t xml:space="preserve">South Australian port review under </w:t>
      </w:r>
      <w:r w:rsidR="00980886">
        <w:t xml:space="preserve">the </w:t>
      </w:r>
      <w:r w:rsidRPr="00E86D20">
        <w:t>C</w:t>
      </w:r>
      <w:r w:rsidR="00980886">
        <w:t xml:space="preserve">ompetition and </w:t>
      </w:r>
      <w:r w:rsidRPr="00E86D20">
        <w:t>I</w:t>
      </w:r>
      <w:r w:rsidR="00980886">
        <w:t xml:space="preserve">nfrastructure </w:t>
      </w:r>
      <w:r w:rsidRPr="00E86D20">
        <w:t>R</w:t>
      </w:r>
      <w:r w:rsidR="00980886">
        <w:t xml:space="preserve">eform </w:t>
      </w:r>
      <w:r w:rsidRPr="00E86D20">
        <w:t>A</w:t>
      </w:r>
      <w:r w:rsidR="00980886">
        <w:t>greement</w:t>
      </w:r>
      <w:r w:rsidR="0074379E">
        <w:t xml:space="preserve"> </w:t>
      </w:r>
      <w:r w:rsidR="00DB0902">
        <w:t xml:space="preserve">(CIRA) </w:t>
      </w:r>
      <w:r w:rsidRPr="00E86D20">
        <w:t xml:space="preserve">stated there was an agreement between the Minister, the port and stevedore at the time to </w:t>
      </w:r>
      <w:r w:rsidR="000E5E1E" w:rsidRPr="00E86D20">
        <w:t xml:space="preserve">not </w:t>
      </w:r>
      <w:r w:rsidRPr="00E86D20">
        <w:t xml:space="preserve">permit another container terminal </w:t>
      </w:r>
      <w:r w:rsidR="00E86D20" w:rsidRPr="00E86D20">
        <w:t xml:space="preserve">at Outer Harbor </w:t>
      </w:r>
      <w:r w:rsidRPr="00E86D20">
        <w:t>until the current facility’s throughput exceeded 225 000 TEU</w:t>
      </w:r>
      <w:r w:rsidR="00D263E9">
        <w:t>s</w:t>
      </w:r>
      <w:r w:rsidRPr="00E86D20">
        <w:t xml:space="preserve"> </w:t>
      </w:r>
      <w:r w:rsidR="00E86D20" w:rsidRPr="00E86D20">
        <w:t xml:space="preserve">of full containers </w:t>
      </w:r>
      <w:r w:rsidR="003A6531">
        <w:t>per year</w:t>
      </w:r>
      <w:r w:rsidRPr="00E86D20">
        <w:t>. Industry estimates were said to suggest that the minimum efficient scale to support two stevedores would be significantly larger than 225 000 TEU</w:t>
      </w:r>
      <w:r w:rsidR="00D263E9">
        <w:t>s</w:t>
      </w:r>
      <w:r w:rsidRPr="00E86D20">
        <w:t>.</w:t>
      </w:r>
      <w:r w:rsidRPr="00E86D20">
        <w:rPr>
          <w:rStyle w:val="FootnoteReference"/>
        </w:rPr>
        <w:footnoteReference w:id="12"/>
      </w:r>
      <w:r w:rsidRPr="00E86D20">
        <w:t xml:space="preserve"> In </w:t>
      </w:r>
      <w:r w:rsidR="00D8433D">
        <w:t>2014–15</w:t>
      </w:r>
      <w:r w:rsidRPr="00E86D20">
        <w:t xml:space="preserve">, </w:t>
      </w:r>
      <w:r w:rsidR="000C0F28">
        <w:t xml:space="preserve">total </w:t>
      </w:r>
      <w:r w:rsidRPr="00E86D20">
        <w:t xml:space="preserve">volume was about 366 000 </w:t>
      </w:r>
      <w:r w:rsidR="00E76E0B">
        <w:t>TEUs</w:t>
      </w:r>
      <w:r w:rsidR="00DB0902">
        <w:t xml:space="preserve"> (made up of 291 000 </w:t>
      </w:r>
      <w:r w:rsidR="00E76E0B">
        <w:t>TEUs</w:t>
      </w:r>
      <w:r w:rsidR="00DB0902">
        <w:t xml:space="preserve"> of full containers and 75 000 </w:t>
      </w:r>
      <w:r w:rsidR="00E76E0B">
        <w:t>TEUs</w:t>
      </w:r>
      <w:r w:rsidR="00DB0902">
        <w:t xml:space="preserve"> of empty containers)</w:t>
      </w:r>
      <w:r w:rsidR="000C0F28">
        <w:t>.</w:t>
      </w:r>
    </w:p>
    <w:p w:rsidR="00E71BFF" w:rsidRDefault="00E71BFF" w:rsidP="00E71BFF">
      <w:r>
        <w:t xml:space="preserve">At this stage there are no plans of which the ACCC is aware to expand the port to allow for competition </w:t>
      </w:r>
      <w:r w:rsidR="009D54B7">
        <w:t xml:space="preserve">from </w:t>
      </w:r>
      <w:r>
        <w:t xml:space="preserve">a second stevedore. Flinders Ports’ strategy is to expand FACT’s terminal to increase its capacity to 2.5 million </w:t>
      </w:r>
      <w:r w:rsidR="00E76E0B">
        <w:t>TEUs</w:t>
      </w:r>
      <w:r>
        <w:t xml:space="preserve"> </w:t>
      </w:r>
      <w:r w:rsidR="003A6531">
        <w:t>per year</w:t>
      </w:r>
      <w:r>
        <w:t>.</w:t>
      </w:r>
      <w:r>
        <w:rPr>
          <w:rStyle w:val="FootnoteReference"/>
        </w:rPr>
        <w:footnoteReference w:id="13"/>
      </w:r>
      <w:r>
        <w:t xml:space="preserve"> Given the common ownership of the port and </w:t>
      </w:r>
      <w:r w:rsidR="00011B82">
        <w:t>it’s</w:t>
      </w:r>
      <w:r w:rsidR="009D54B7">
        <w:t xml:space="preserve"> only container </w:t>
      </w:r>
      <w:r>
        <w:t>terminal</w:t>
      </w:r>
      <w:r w:rsidR="00DB0902">
        <w:t>,</w:t>
      </w:r>
      <w:r>
        <w:t xml:space="preserve"> Flinders Ports would </w:t>
      </w:r>
      <w:r w:rsidR="009D54B7">
        <w:t xml:space="preserve">likely </w:t>
      </w:r>
      <w:r>
        <w:t>have little</w:t>
      </w:r>
      <w:r w:rsidRPr="002D186D">
        <w:t xml:space="preserve"> incentive to </w:t>
      </w:r>
      <w:r>
        <w:t>provide</w:t>
      </w:r>
      <w:r w:rsidRPr="002D186D">
        <w:t xml:space="preserve"> </w:t>
      </w:r>
      <w:r>
        <w:t xml:space="preserve">an </w:t>
      </w:r>
      <w:r w:rsidRPr="002D186D">
        <w:t xml:space="preserve">opportunity for a second </w:t>
      </w:r>
      <w:r>
        <w:t>container stevedore</w:t>
      </w:r>
      <w:r w:rsidR="009D54B7">
        <w:t xml:space="preserve"> to begin operating at the port</w:t>
      </w:r>
      <w:r w:rsidRPr="002D186D">
        <w:t xml:space="preserve">. </w:t>
      </w:r>
      <w:r>
        <w:t>In light of the</w:t>
      </w:r>
      <w:r w:rsidR="009D54B7">
        <w:t>se</w:t>
      </w:r>
      <w:r>
        <w:t xml:space="preserve"> unique circumstances at </w:t>
      </w:r>
      <w:r w:rsidR="009D54B7">
        <w:t xml:space="preserve">the Port of </w:t>
      </w:r>
      <w:r>
        <w:t>Adelaide, especially the lack of</w:t>
      </w:r>
      <w:r w:rsidRPr="00331588">
        <w:t xml:space="preserve"> </w:t>
      </w:r>
      <w:r>
        <w:t>intra-port stevedoring competition, the comments in this section about an increased competitive dynamic in the industry relate broadly to the other four major ports.</w:t>
      </w:r>
    </w:p>
    <w:p w:rsidR="00E71BFF" w:rsidRDefault="00E71BFF" w:rsidP="00E71BFF">
      <w:r>
        <w:t xml:space="preserve">Increased </w:t>
      </w:r>
      <w:proofErr w:type="gramStart"/>
      <w:r>
        <w:t>competition in the industry today is likely being driven by two interrelated factors</w:t>
      </w:r>
      <w:r w:rsidR="007A6153">
        <w:t>—</w:t>
      </w:r>
      <w:r>
        <w:t>spare</w:t>
      </w:r>
      <w:proofErr w:type="gramEnd"/>
      <w:r>
        <w:t xml:space="preserve"> capacity and new entry. Spare capacity has arisen directly from the new terminals in Brisbane and Sydney, and also as a result of investments and improved productivity by the incumbent stevedores.</w:t>
      </w:r>
      <w:r w:rsidRPr="008D47EC">
        <w:t xml:space="preserve"> </w:t>
      </w:r>
      <w:r>
        <w:t xml:space="preserve">For example, in Fremantle, Patrick has been able to increase its productivity to service additional ships and trucks as a result of it </w:t>
      </w:r>
      <w:r w:rsidR="00724012">
        <w:t xml:space="preserve">gaining </w:t>
      </w:r>
      <w:r>
        <w:t xml:space="preserve">two </w:t>
      </w:r>
      <w:r w:rsidR="00724012">
        <w:t xml:space="preserve">major shipping lines </w:t>
      </w:r>
      <w:r w:rsidR="009D54B7">
        <w:t xml:space="preserve">which were previously with </w:t>
      </w:r>
      <w:r>
        <w:t>DP World.</w:t>
      </w:r>
    </w:p>
    <w:p w:rsidR="00E71BFF" w:rsidRDefault="00E71BFF" w:rsidP="00E71BFF">
      <w:r>
        <w:t xml:space="preserve">In competitive markets, companies face pressure to lower prices and improve products in order to maximise sales. This </w:t>
      </w:r>
      <w:r w:rsidR="005B2CA0">
        <w:t>creates incentives</w:t>
      </w:r>
      <w:r>
        <w:t xml:space="preserve"> to innovate and seek ways of lowering costs and improving products. In this way, c</w:t>
      </w:r>
      <w:r w:rsidRPr="00491041">
        <w:t xml:space="preserve">ompetitive markets improve the </w:t>
      </w:r>
      <w:r>
        <w:t>productivity</w:t>
      </w:r>
      <w:r w:rsidRPr="00491041">
        <w:t xml:space="preserve"> of the economy</w:t>
      </w:r>
      <w:r>
        <w:t>, and</w:t>
      </w:r>
      <w:r w:rsidRPr="00491041">
        <w:t xml:space="preserve"> increase prosperity and consumer</w:t>
      </w:r>
      <w:r w:rsidR="009D54B7">
        <w:t xml:space="preserve"> welfare</w:t>
      </w:r>
      <w:r w:rsidRPr="00491041">
        <w:t>.</w:t>
      </w:r>
    </w:p>
    <w:p w:rsidR="00E71BFF" w:rsidRDefault="00E71BFF" w:rsidP="00E71BFF">
      <w:r>
        <w:t>In the stevedoring industry, t</w:t>
      </w:r>
      <w:r w:rsidRPr="007D166A">
        <w:t xml:space="preserve">he benefits of increased competition </w:t>
      </w:r>
      <w:r>
        <w:t xml:space="preserve">are expected </w:t>
      </w:r>
      <w:r w:rsidRPr="007D166A">
        <w:t xml:space="preserve">to flow directly to the stevedores’ </w:t>
      </w:r>
      <w:r>
        <w:t xml:space="preserve">quay-side </w:t>
      </w:r>
      <w:r w:rsidRPr="007D166A">
        <w:t xml:space="preserve">customers, shipping lines. </w:t>
      </w:r>
      <w:r>
        <w:t>These benefits may take the form of reduced charges and/or better service</w:t>
      </w:r>
      <w:r w:rsidR="007A6153">
        <w:t>—</w:t>
      </w:r>
      <w:r>
        <w:t xml:space="preserve">for example, the provision of more suitable berthing windows and a speedier service. </w:t>
      </w:r>
    </w:p>
    <w:p w:rsidR="00E71BFF" w:rsidRDefault="00E71BFF" w:rsidP="00E71BFF">
      <w:r>
        <w:t>A</w:t>
      </w:r>
      <w:r w:rsidRPr="007D166A">
        <w:t>s a consequence</w:t>
      </w:r>
      <w:r>
        <w:t xml:space="preserve">, shipping lines </w:t>
      </w:r>
      <w:r w:rsidRPr="007D166A">
        <w:t>may</w:t>
      </w:r>
      <w:r>
        <w:t xml:space="preserve"> </w:t>
      </w:r>
      <w:r w:rsidRPr="007D166A">
        <w:t>be able to improve the reliability and productivity of their</w:t>
      </w:r>
      <w:r>
        <w:t xml:space="preserve"> own</w:t>
      </w:r>
      <w:r w:rsidRPr="007D166A">
        <w:t xml:space="preserve"> shipping services. For example, </w:t>
      </w:r>
      <w:r w:rsidR="009D54B7">
        <w:t>they</w:t>
      </w:r>
      <w:r w:rsidR="009D54B7" w:rsidRPr="007D166A">
        <w:t xml:space="preserve"> </w:t>
      </w:r>
      <w:r w:rsidRPr="007D166A">
        <w:t xml:space="preserve">may be able to reduce the frequency with which they need to ‘fast steam’ between ports if they can secure </w:t>
      </w:r>
      <w:r w:rsidR="005B2CA0">
        <w:t xml:space="preserve">a </w:t>
      </w:r>
      <w:r w:rsidRPr="007D166A">
        <w:t xml:space="preserve">more </w:t>
      </w:r>
      <w:r>
        <w:t>convenient stevedoring service.</w:t>
      </w:r>
      <w:r w:rsidR="00DB4278">
        <w:rPr>
          <w:rStyle w:val="FootnoteReference"/>
        </w:rPr>
        <w:footnoteReference w:id="14"/>
      </w:r>
      <w:r>
        <w:t xml:space="preserve"> This may allow lines to reduce their </w:t>
      </w:r>
      <w:r w:rsidR="00DB0902">
        <w:t xml:space="preserve">operating </w:t>
      </w:r>
      <w:r>
        <w:t>costs and sea freight rates.</w:t>
      </w:r>
      <w:r w:rsidRPr="000D4395">
        <w:t xml:space="preserve"> </w:t>
      </w:r>
    </w:p>
    <w:p w:rsidR="00E71BFF" w:rsidRDefault="00E71BFF" w:rsidP="0074379E">
      <w:pPr>
        <w:pStyle w:val="Numbered111"/>
      </w:pPr>
      <w:bookmarkStart w:id="27" w:name="_Toc433666991"/>
      <w:r>
        <w:t>There are reports the stevedores have improved their customer service</w:t>
      </w:r>
      <w:bookmarkEnd w:id="27"/>
    </w:p>
    <w:p w:rsidR="00DB0902" w:rsidRDefault="00E71BFF" w:rsidP="00E71BFF">
      <w:r>
        <w:t>One of the ways the long</w:t>
      </w:r>
      <w:r w:rsidR="0055370A">
        <w:t xml:space="preserve"> </w:t>
      </w:r>
      <w:r>
        <w:t>term incumbents reacted to the entry of a third stevedore</w:t>
      </w:r>
      <w:r w:rsidR="009D54B7">
        <w:t xml:space="preserve"> in Brisbane and Sydney</w:t>
      </w:r>
      <w:r>
        <w:t xml:space="preserve"> was to make public announcements that they would improve their focus on customer service. </w:t>
      </w:r>
    </w:p>
    <w:p w:rsidR="00E71BFF" w:rsidRDefault="00E71BFF" w:rsidP="00E71BFF">
      <w:r>
        <w:t xml:space="preserve">Patrick identified increased competition resulting from the entry of a third stevedore as a key business risk in </w:t>
      </w:r>
      <w:r w:rsidR="00AF525A">
        <w:t>August 2014</w:t>
      </w:r>
      <w:r>
        <w:t>,</w:t>
      </w:r>
      <w:r>
        <w:rPr>
          <w:rStyle w:val="FootnoteReference"/>
        </w:rPr>
        <w:footnoteReference w:id="15"/>
      </w:r>
      <w:r>
        <w:t xml:space="preserve"> and indicated that it was taking steps to prepare for new entry:</w:t>
      </w:r>
    </w:p>
    <w:p w:rsidR="00E71BFF" w:rsidRDefault="00E71BFF" w:rsidP="00E71BFF">
      <w:pPr>
        <w:pStyle w:val="Quote"/>
      </w:pPr>
      <w:r>
        <w:t>[T]here is going to be a third player that is going to become quite dominant in this market over the years to come. So really our focus is on low cost and high levels of service and good relationships with our existing customers.</w:t>
      </w:r>
      <w:r>
        <w:rPr>
          <w:rStyle w:val="FootnoteReference"/>
        </w:rPr>
        <w:footnoteReference w:id="16"/>
      </w:r>
    </w:p>
    <w:p w:rsidR="00E71BFF" w:rsidRDefault="00E71BFF" w:rsidP="00E71BFF">
      <w:r w:rsidRPr="00331CAA">
        <w:t>Similarly, DP World has stated that its expectation of an increased level of competitiveness in the market is reflected in its changes to its management team and investment in its business.</w:t>
      </w:r>
      <w:r w:rsidRPr="00331CAA">
        <w:rPr>
          <w:rStyle w:val="FootnoteReference"/>
        </w:rPr>
        <w:footnoteReference w:id="17"/>
      </w:r>
      <w:r w:rsidRPr="00331CAA">
        <w:t xml:space="preserve"> Paul </w:t>
      </w:r>
      <w:proofErr w:type="spellStart"/>
      <w:r w:rsidRPr="00331CAA">
        <w:t>Scurrah</w:t>
      </w:r>
      <w:proofErr w:type="spellEnd"/>
      <w:r w:rsidRPr="00331CAA">
        <w:t>, Managing Director and CEO of DP World Australia, reportedly said:</w:t>
      </w:r>
    </w:p>
    <w:p w:rsidR="00E71BFF" w:rsidRDefault="00E71BFF" w:rsidP="00E71BFF">
      <w:pPr>
        <w:pStyle w:val="Quote"/>
      </w:pPr>
      <w:r>
        <w:t>The vision is to establish ourselves as the Australian market leader… we will meet competition head on with a service focus.</w:t>
      </w:r>
      <w:r>
        <w:rPr>
          <w:rStyle w:val="FootnoteReference"/>
        </w:rPr>
        <w:footnoteReference w:id="18"/>
      </w:r>
      <w:r>
        <w:t xml:space="preserve"> </w:t>
      </w:r>
    </w:p>
    <w:p w:rsidR="00E71BFF" w:rsidRPr="00BA7BED" w:rsidRDefault="00E71BFF" w:rsidP="00E71BFF">
      <w:pPr>
        <w:pStyle w:val="Quote"/>
      </w:pPr>
      <w:r w:rsidRPr="00BA7BED">
        <w:t>Patrick is a formidable competitor, th</w:t>
      </w:r>
      <w:r>
        <w:t xml:space="preserve">ey’re very protective of their </w:t>
      </w:r>
      <w:r w:rsidRPr="00BA7BED">
        <w:t>market share and they are increasingly getting better. Hutchison will ab</w:t>
      </w:r>
      <w:r>
        <w:t>solutely get their act together...</w:t>
      </w:r>
      <w:r w:rsidRPr="00BA7BED">
        <w:t>. so rather than hope that’s not going to happen we need to prepare for it.</w:t>
      </w:r>
      <w:r>
        <w:rPr>
          <w:rStyle w:val="FootnoteReference"/>
        </w:rPr>
        <w:footnoteReference w:id="19"/>
      </w:r>
    </w:p>
    <w:p w:rsidR="00E71BFF" w:rsidRDefault="00E71BFF" w:rsidP="00E71BFF">
      <w:r>
        <w:t xml:space="preserve">These statements recognised that service levels needed to be improved in response to </w:t>
      </w:r>
      <w:r w:rsidR="00DB0902">
        <w:t xml:space="preserve">the </w:t>
      </w:r>
      <w:r>
        <w:t>changes occurring in the industry.</w:t>
      </w:r>
    </w:p>
    <w:p w:rsidR="00E71BFF" w:rsidRDefault="00E71BFF" w:rsidP="00E71BFF">
      <w:r>
        <w:t xml:space="preserve">The ACCC has received feedback from industry stakeholders that the stevedores’ customer service levels have generally improved since those statements were made. Some stakeholders communicated a view that the stevedores are generally more responsive to shipping lines </w:t>
      </w:r>
      <w:r w:rsidRPr="001509EA">
        <w:t>and are looking to offer a broader range of services.</w:t>
      </w:r>
      <w:r>
        <w:t xml:space="preserve"> This is a positive development as there was general consensus that previously</w:t>
      </w:r>
      <w:r w:rsidR="00F26BCE">
        <w:t>,</w:t>
      </w:r>
      <w:r>
        <w:t xml:space="preserve"> customer service was well below expectations.</w:t>
      </w:r>
    </w:p>
    <w:p w:rsidR="00095865" w:rsidRDefault="00E71BFF" w:rsidP="00095865">
      <w:r>
        <w:t>Improved customer service may have enhanced</w:t>
      </w:r>
      <w:r w:rsidDel="000D4395">
        <w:t xml:space="preserve"> </w:t>
      </w:r>
      <w:r>
        <w:t>the incumbents’ ability to retain customers in the face of competition from new terminal operators, and in some cases attract customers from each other.</w:t>
      </w:r>
      <w:r w:rsidRPr="00AD0254">
        <w:t xml:space="preserve"> </w:t>
      </w:r>
      <w:r w:rsidR="007C4466">
        <w:t xml:space="preserve">While improved customer service is certainly a positive development, it has likely </w:t>
      </w:r>
      <w:r w:rsidR="00391591">
        <w:t>increased the challenge</w:t>
      </w:r>
      <w:r w:rsidR="007C4466">
        <w:t xml:space="preserve"> for new stevedores </w:t>
      </w:r>
      <w:r w:rsidR="00391591">
        <w:t>of</w:t>
      </w:r>
      <w:r w:rsidR="007C4466">
        <w:t xml:space="preserve"> gain</w:t>
      </w:r>
      <w:r w:rsidR="00391591">
        <w:t>ing</w:t>
      </w:r>
      <w:r w:rsidR="007C4466">
        <w:t xml:space="preserve"> market share</w:t>
      </w:r>
      <w:r w:rsidR="00095865">
        <w:t xml:space="preserve">. </w:t>
      </w:r>
      <w:r w:rsidR="00AF525A">
        <w:t xml:space="preserve">In July 2015, </w:t>
      </w:r>
      <w:r w:rsidR="002A4A2F">
        <w:t>Grant Gilfillan</w:t>
      </w:r>
      <w:r w:rsidR="007C4466">
        <w:t xml:space="preserve"> </w:t>
      </w:r>
      <w:r w:rsidR="002A4A2F">
        <w:t>(the CEO of Sydney Ports Corporation at the time it awarded the terminal lease to Hutchison) commented</w:t>
      </w:r>
      <w:r w:rsidR="00095865">
        <w:t>:</w:t>
      </w:r>
    </w:p>
    <w:p w:rsidR="00095865" w:rsidRDefault="00095865" w:rsidP="00095865">
      <w:pPr>
        <w:pStyle w:val="Quote"/>
      </w:pPr>
      <w:r>
        <w:t>[D]</w:t>
      </w:r>
      <w:proofErr w:type="spellStart"/>
      <w:r>
        <w:t>uring</w:t>
      </w:r>
      <w:proofErr w:type="spellEnd"/>
      <w:r>
        <w:t xml:space="preserve"> the period when Hutchison could have been more convincingly promoting their offering with a service-hungry shipping industry [from late 2009 to 2013], their competitors in DPW and Patrick were actively rising to the </w:t>
      </w:r>
      <w:r w:rsidR="00C2083D">
        <w:t xml:space="preserve">looming </w:t>
      </w:r>
      <w:r>
        <w:t>challenge and securing contracts, implementing automation and innovation and striving for higher standards of operational leadership.</w:t>
      </w:r>
      <w:r>
        <w:rPr>
          <w:rStyle w:val="FootnoteReference"/>
        </w:rPr>
        <w:footnoteReference w:id="20"/>
      </w:r>
    </w:p>
    <w:p w:rsidR="00E71BFF" w:rsidRDefault="002A4A2F" w:rsidP="00E71BFF">
      <w:r>
        <w:t>The potential challenges facing new entrants are</w:t>
      </w:r>
      <w:r w:rsidR="00095865">
        <w:t xml:space="preserve"> discussed in section 1.3.7.</w:t>
      </w:r>
    </w:p>
    <w:p w:rsidR="00E71BFF" w:rsidRDefault="00E71BFF" w:rsidP="00D007FA">
      <w:pPr>
        <w:pStyle w:val="Numbered111"/>
      </w:pPr>
      <w:bookmarkStart w:id="28" w:name="_Toc433666992"/>
      <w:r>
        <w:t>There is evidence of price competition in the industry</w:t>
      </w:r>
      <w:bookmarkEnd w:id="28"/>
    </w:p>
    <w:p w:rsidR="00E71BFF" w:rsidRDefault="00E71BFF" w:rsidP="00E71BFF">
      <w:r>
        <w:t xml:space="preserve">Increased competition also appears to have </w:t>
      </w:r>
      <w:r w:rsidR="005B2CA0">
        <w:t>increased the level of pricing pressure in the industry</w:t>
      </w:r>
      <w:r>
        <w:t xml:space="preserve">. </w:t>
      </w:r>
    </w:p>
    <w:p w:rsidR="00E71BFF" w:rsidRDefault="00E71BFF" w:rsidP="00E71BFF">
      <w:r>
        <w:t>While the ACCC monitoring program does not collect information on the actual prices charged for stevedoring services (as these are subject to private negotiation between shipping lines and stevedores), unit revenues</w:t>
      </w:r>
      <w:r>
        <w:rPr>
          <w:rStyle w:val="FootnoteReference"/>
        </w:rPr>
        <w:footnoteReference w:id="21"/>
      </w:r>
      <w:r>
        <w:t xml:space="preserve"> can be used as a ‘proxy’ or indicator of average charges in the industry. </w:t>
      </w:r>
    </w:p>
    <w:p w:rsidR="00E71BFF" w:rsidRDefault="00E71BFF" w:rsidP="00E71BFF">
      <w:r>
        <w:t xml:space="preserve">Unit revenue measures on a 20- and 40-foot basis are a better indicator of average charges in the industry than unit revenue measures overall. These measures remove the effect of changes over time in the proportion of 20- and 40-foot containers handled </w:t>
      </w:r>
      <w:r w:rsidR="00C24C1B">
        <w:t xml:space="preserve">by </w:t>
      </w:r>
      <w:r>
        <w:t xml:space="preserve">the industry. </w:t>
      </w:r>
    </w:p>
    <w:p w:rsidR="00E71BFF" w:rsidRDefault="00E71BFF" w:rsidP="00E71BFF">
      <w:r>
        <w:t xml:space="preserve">In </w:t>
      </w:r>
      <w:r w:rsidR="00D8433D">
        <w:t>2014–15</w:t>
      </w:r>
      <w:r>
        <w:t xml:space="preserve">, </w:t>
      </w:r>
      <w:r w:rsidR="003C742F">
        <w:t xml:space="preserve">nominal </w:t>
      </w:r>
      <w:r>
        <w:t>unit stevedoring revenues earned on 20-foot container</w:t>
      </w:r>
      <w:r w:rsidR="005B2CA0">
        <w:t>s</w:t>
      </w:r>
      <w:r>
        <w:t xml:space="preserve"> decreased by 2.3 per cent. </w:t>
      </w:r>
      <w:r w:rsidR="003C742F">
        <w:t xml:space="preserve">Nominal unit </w:t>
      </w:r>
      <w:r>
        <w:t xml:space="preserve">stevedoring revenues earned on 40-foot containers also decreased, by 1.7 per cent. This follows declines in these measures in </w:t>
      </w:r>
      <w:r w:rsidR="00D8433D">
        <w:t>2013–14</w:t>
      </w:r>
      <w:r>
        <w:t>, by 1.1 and 1.0 per cent respectively. These</w:t>
      </w:r>
      <w:r w:rsidRPr="001D662A">
        <w:t xml:space="preserve"> represent the largest annual declines observed over the </w:t>
      </w:r>
      <w:r w:rsidR="007553EB">
        <w:t xml:space="preserve">course of the </w:t>
      </w:r>
      <w:r w:rsidRPr="001D662A">
        <w:t>ACCC’s monitoring program.</w:t>
      </w:r>
      <w:r w:rsidR="00450D5C">
        <w:t xml:space="preserve"> </w:t>
      </w:r>
      <w:r w:rsidRPr="00331CAA">
        <w:t xml:space="preserve">This is a noteworthy result as prior to these years </w:t>
      </w:r>
      <w:r w:rsidR="00AF525A">
        <w:t>these measures</w:t>
      </w:r>
      <w:r w:rsidRPr="00331CAA">
        <w:t xml:space="preserve"> had increased in most years.</w:t>
      </w:r>
      <w:r w:rsidRPr="00331CAA">
        <w:rPr>
          <w:rStyle w:val="FootnoteReference"/>
        </w:rPr>
        <w:footnoteReference w:id="22"/>
      </w:r>
      <w:r w:rsidRPr="00331CAA">
        <w:t xml:space="preserve"> The average increase each year was 1.</w:t>
      </w:r>
      <w:r w:rsidR="00DC2B91">
        <w:t>3</w:t>
      </w:r>
      <w:r w:rsidR="00DC2B91" w:rsidRPr="00331CAA">
        <w:t xml:space="preserve"> </w:t>
      </w:r>
      <w:r w:rsidRPr="00331CAA">
        <w:t>per cent for 20</w:t>
      </w:r>
      <w:r w:rsidRPr="00331CAA">
        <w:noBreakHyphen/>
        <w:t xml:space="preserve">foot containers and </w:t>
      </w:r>
      <w:r w:rsidR="00DC2B91">
        <w:t>1</w:t>
      </w:r>
      <w:r w:rsidRPr="00331CAA">
        <w:t>.</w:t>
      </w:r>
      <w:r w:rsidR="00DC2B91">
        <w:t>1</w:t>
      </w:r>
      <w:r w:rsidR="00DC2B91" w:rsidRPr="00331CAA">
        <w:t xml:space="preserve"> </w:t>
      </w:r>
      <w:r w:rsidRPr="00331CAA">
        <w:t>per cent for 40-foot containers.</w:t>
      </w:r>
      <w:r w:rsidRPr="00775D31">
        <w:rPr>
          <w:rStyle w:val="FootnoteReference"/>
        </w:rPr>
        <w:t xml:space="preserve"> </w:t>
      </w:r>
    </w:p>
    <w:p w:rsidR="00E71BFF" w:rsidRDefault="00E71BFF" w:rsidP="00E71BFF">
      <w:r>
        <w:t>Declining unit revenues over the last two years indicates there may have been increased pricing pressure in the industry. There would likely be supply and demand drivers for any such pricing pressure. On the supply side, with increased competition and capacity, stevedores are expected to use price to try to maintain market share and win new business from shipping lines. On the demand side, shipping lines may have a heightened incentive to look for reduced charges from stevedores, given reports of over-capacity and weak demand in container shipping putting downward pressure on sea-freight rates and shipping profitability.</w:t>
      </w:r>
      <w:r>
        <w:rPr>
          <w:rStyle w:val="FootnoteReference"/>
        </w:rPr>
        <w:footnoteReference w:id="23"/>
      </w:r>
    </w:p>
    <w:p w:rsidR="00BC45FF" w:rsidRDefault="00BC45FF" w:rsidP="001D43C0">
      <w:pPr>
        <w:shd w:val="clear" w:color="auto" w:fill="FFFFFF" w:themeFill="background1"/>
      </w:pPr>
      <w:r>
        <w:t>Even excluding Hutchison’s impact, unit stevedoring revenue</w:t>
      </w:r>
      <w:r w:rsidR="006108D0">
        <w:t>s</w:t>
      </w:r>
      <w:r>
        <w:t xml:space="preserve"> would have declined by a significant amount. This indicates that the decline in unit stevedoring revenue</w:t>
      </w:r>
      <w:r w:rsidR="006108D0">
        <w:t>s</w:t>
      </w:r>
      <w:r>
        <w:t xml:space="preserve"> is not solely </w:t>
      </w:r>
      <w:r w:rsidRPr="00A21A84">
        <w:t>attributed to new entrant’s</w:t>
      </w:r>
      <w:r>
        <w:t xml:space="preserve"> average pricing</w:t>
      </w:r>
      <w:r w:rsidRPr="00A21A84">
        <w:t xml:space="preserve">. </w:t>
      </w:r>
    </w:p>
    <w:p w:rsidR="00E71BFF" w:rsidRDefault="00E71BFF" w:rsidP="0074379E">
      <w:pPr>
        <w:pStyle w:val="Numbered111"/>
      </w:pPr>
      <w:bookmarkStart w:id="29" w:name="_Toc433666993"/>
      <w:r>
        <w:t>Stevedores are continuing to invest in new capacity and equipment, with a trend towards automation</w:t>
      </w:r>
      <w:bookmarkEnd w:id="29"/>
    </w:p>
    <w:p w:rsidR="00E71BFF" w:rsidRDefault="006108D0" w:rsidP="00E71BFF">
      <w:r>
        <w:t>A</w:t>
      </w:r>
      <w:r w:rsidR="00E71BFF">
        <w:t xml:space="preserve"> significant investment over the past three years </w:t>
      </w:r>
      <w:r w:rsidR="0084252B">
        <w:t xml:space="preserve">has </w:t>
      </w:r>
      <w:r w:rsidR="00E71BFF">
        <w:t xml:space="preserve">been the commissioning of </w:t>
      </w:r>
      <w:r w:rsidR="0084252B">
        <w:t xml:space="preserve">Hutchison’s </w:t>
      </w:r>
      <w:r w:rsidR="00E71BFF">
        <w:t xml:space="preserve">two new terminals </w:t>
      </w:r>
      <w:r w:rsidR="00DB4278">
        <w:t>in Brisbane and Sydney</w:t>
      </w:r>
      <w:r w:rsidR="00E71BFF">
        <w:t>. Over the same period</w:t>
      </w:r>
      <w:r w:rsidR="0084252B">
        <w:t>,</w:t>
      </w:r>
      <w:r w:rsidR="00E71BFF">
        <w:t xml:space="preserve"> the incumbent stevedores have also been investing, most significantly in automated terminal handling equipment. </w:t>
      </w:r>
    </w:p>
    <w:p w:rsidR="00E71BFF" w:rsidRDefault="00E71BFF" w:rsidP="00E71BFF">
      <w:r>
        <w:t xml:space="preserve">A major capital investment by a </w:t>
      </w:r>
      <w:r w:rsidR="006108D0">
        <w:t xml:space="preserve">container </w:t>
      </w:r>
      <w:r>
        <w:t xml:space="preserve">stevedore in </w:t>
      </w:r>
      <w:r w:rsidR="00D8433D">
        <w:t>2014–15</w:t>
      </w:r>
      <w:r>
        <w:t xml:space="preserve"> was the completion of Patrick’s semi</w:t>
      </w:r>
      <w:r w:rsidR="0084252B">
        <w:noBreakHyphen/>
      </w:r>
      <w:r>
        <w:t xml:space="preserve">automation of its </w:t>
      </w:r>
      <w:r w:rsidR="00DB4278">
        <w:t xml:space="preserve">Port </w:t>
      </w:r>
      <w:r>
        <w:t>Botany terminal, which came online in the second half of the year. This is the same system as its Brisbane terminal, which was semi-automated in 2006, although it is twice as large.</w:t>
      </w:r>
      <w:r>
        <w:rPr>
          <w:rStyle w:val="FootnoteReference"/>
        </w:rPr>
        <w:footnoteReference w:id="24"/>
      </w:r>
      <w:r>
        <w:t xml:space="preserve"> </w:t>
      </w:r>
    </w:p>
    <w:p w:rsidR="00E71BFF" w:rsidRDefault="00E71BFF" w:rsidP="00E71BFF">
      <w:r>
        <w:t>The semi</w:t>
      </w:r>
      <w:r>
        <w:noBreakHyphen/>
        <w:t xml:space="preserve">automation of DP World’s Brisbane terminal was completed last financial year and is now fully operational. VICTL’s terminal is under construction and according to the company will be fully </w:t>
      </w:r>
      <w:r w:rsidRPr="002C788B">
        <w:t>automated from the gate to the quayside</w:t>
      </w:r>
      <w:r>
        <w:t>.</w:t>
      </w:r>
      <w:r>
        <w:rPr>
          <w:rStyle w:val="FootnoteReference"/>
        </w:rPr>
        <w:footnoteReference w:id="25"/>
      </w:r>
    </w:p>
    <w:p w:rsidR="00E71BFF" w:rsidRDefault="00E71BFF" w:rsidP="00E71BFF">
      <w:r>
        <w:t xml:space="preserve">Two key types of automated equipment have been introduced </w:t>
      </w:r>
      <w:r w:rsidR="0084252B">
        <w:t>in the industry</w:t>
      </w:r>
      <w:r w:rsidR="007A6153">
        <w:t>—</w:t>
      </w:r>
      <w:r>
        <w:t>automated straddles (</w:t>
      </w:r>
      <w:proofErr w:type="spellStart"/>
      <w:r>
        <w:t>AutoStrads</w:t>
      </w:r>
      <w:proofErr w:type="spellEnd"/>
      <w:r>
        <w:t xml:space="preserve">™) by Patrick and automated stacking cranes (ASCs) by Hutchison and DP World. </w:t>
      </w:r>
      <w:proofErr w:type="spellStart"/>
      <w:r>
        <w:t>AutoStrads</w:t>
      </w:r>
      <w:proofErr w:type="spellEnd"/>
      <w:r w:rsidR="00DB4278">
        <w:t>™</w:t>
      </w:r>
      <w:r>
        <w:t xml:space="preserve"> transport</w:t>
      </w:r>
      <w:r w:rsidRPr="008439E0">
        <w:t xml:space="preserve"> </w:t>
      </w:r>
      <w:r>
        <w:t>containers</w:t>
      </w:r>
      <w:r w:rsidRPr="008439E0">
        <w:t xml:space="preserve"> </w:t>
      </w:r>
      <w:r>
        <w:t>between</w:t>
      </w:r>
      <w:r w:rsidRPr="008439E0">
        <w:t xml:space="preserve"> </w:t>
      </w:r>
      <w:r w:rsidR="0084252B">
        <w:t xml:space="preserve">the </w:t>
      </w:r>
      <w:r>
        <w:t>q</w:t>
      </w:r>
      <w:r w:rsidRPr="008439E0">
        <w:t xml:space="preserve">uay crane </w:t>
      </w:r>
      <w:r>
        <w:t>and</w:t>
      </w:r>
      <w:r w:rsidRPr="008439E0">
        <w:t xml:space="preserve"> </w:t>
      </w:r>
      <w:r>
        <w:t xml:space="preserve">the </w:t>
      </w:r>
      <w:r w:rsidRPr="008439E0">
        <w:t>yard</w:t>
      </w:r>
      <w:r>
        <w:t>,</w:t>
      </w:r>
      <w:r w:rsidRPr="008439E0">
        <w:t xml:space="preserve"> and the yard </w:t>
      </w:r>
      <w:r>
        <w:t>and</w:t>
      </w:r>
      <w:r w:rsidRPr="008439E0">
        <w:t xml:space="preserve"> </w:t>
      </w:r>
      <w:r>
        <w:t>trucks</w:t>
      </w:r>
      <w:r w:rsidRPr="008439E0">
        <w:t>.</w:t>
      </w:r>
      <w:r>
        <w:t xml:space="preserve"> Under an ASC model, containers are manually transported from the quay crane to the yard, and placed in front of a module or ‘stack’ serviced by an ASC. The AS</w:t>
      </w:r>
      <w:r w:rsidR="00A10218">
        <w:t>C</w:t>
      </w:r>
      <w:r>
        <w:t xml:space="preserve"> then automatically select</w:t>
      </w:r>
      <w:r w:rsidR="0084252B">
        <w:t>s</w:t>
      </w:r>
      <w:r>
        <w:t xml:space="preserve"> and load</w:t>
      </w:r>
      <w:r w:rsidR="0084252B">
        <w:t>s</w:t>
      </w:r>
      <w:r>
        <w:t xml:space="preserve"> containers onto trucks as they call at the terminal.</w:t>
      </w:r>
      <w:r>
        <w:rPr>
          <w:rStyle w:val="FootnoteReference"/>
        </w:rPr>
        <w:footnoteReference w:id="26"/>
      </w:r>
    </w:p>
    <w:p w:rsidR="00E71BFF" w:rsidRDefault="00E71BFF" w:rsidP="0074379E">
      <w:pPr>
        <w:pStyle w:val="Heading4"/>
      </w:pPr>
      <w:r>
        <w:t>Costs and potential benefits of automation</w:t>
      </w:r>
    </w:p>
    <w:p w:rsidR="00E71BFF" w:rsidRDefault="00E71BFF" w:rsidP="00E71BFF">
      <w:r>
        <w:t>The trend towards automation has required significant financial investment. However, it is expected by the stevedores to lead to a reduction in operating costs and other benefits, such as improved safety and productivity. Labour cost savings are also associated with automated equipment.</w:t>
      </w:r>
    </w:p>
    <w:p w:rsidR="00E71BFF" w:rsidRDefault="00E71BFF" w:rsidP="00E71BFF">
      <w:r>
        <w:t xml:space="preserve">For example, Patrick reportedly spent $500 million </w:t>
      </w:r>
      <w:r w:rsidR="00F05DCE">
        <w:t xml:space="preserve">redeveloping and </w:t>
      </w:r>
      <w:r>
        <w:t>automating its Port Botany terminal.</w:t>
      </w:r>
      <w:r w:rsidR="00C61D58">
        <w:rPr>
          <w:rStyle w:val="FootnoteReference"/>
        </w:rPr>
        <w:footnoteReference w:id="27"/>
      </w:r>
      <w:r>
        <w:t xml:space="preserve"> This terminal can</w:t>
      </w:r>
      <w:r w:rsidDel="00E8286F">
        <w:t xml:space="preserve"> </w:t>
      </w:r>
      <w:r>
        <w:t>now reportedly operate 20 per cent quicker and with 30 per cent lower costs than DP World’s neighbouring terminal.</w:t>
      </w:r>
    </w:p>
    <w:p w:rsidR="00E71BFF" w:rsidRDefault="00E71BFF" w:rsidP="00E71BFF">
      <w:r>
        <w:t>DP World spent $</w:t>
      </w:r>
      <w:r w:rsidRPr="00D51145">
        <w:t>250</w:t>
      </w:r>
      <w:r>
        <w:t xml:space="preserve"> million automating its Brisbane terminal</w:t>
      </w:r>
      <w:r w:rsidR="0084252B">
        <w:t xml:space="preserve"> in 2013-14</w:t>
      </w:r>
      <w:r>
        <w:t>.</w:t>
      </w:r>
      <w:r w:rsidR="002A4A2F">
        <w:rPr>
          <w:rStyle w:val="FootnoteReference"/>
        </w:rPr>
        <w:footnoteReference w:id="28"/>
      </w:r>
      <w:r>
        <w:t xml:space="preserve"> According to DP World, within months the terminal was operating more efficiently, quicker and with improved safety</w:t>
      </w:r>
      <w:r w:rsidRPr="007377D8">
        <w:t>.</w:t>
      </w:r>
    </w:p>
    <w:p w:rsidR="00E71BFF" w:rsidRPr="00331CAA" w:rsidRDefault="00E71BFF" w:rsidP="00E71BFF">
      <w:r>
        <w:t>The initial capital costs of introducing automated equipment are often exacerbated by implementation problems</w:t>
      </w:r>
      <w:r w:rsidR="007A6153">
        <w:t>—</w:t>
      </w:r>
      <w:r>
        <w:t xml:space="preserve">a level of which is inevitable with such significant modal change. The experience of some stevedores has been that </w:t>
      </w:r>
      <w:r w:rsidR="0084252B">
        <w:t xml:space="preserve">new </w:t>
      </w:r>
      <w:r>
        <w:t xml:space="preserve">technology does not initially work as planned, and internal and external users need to be educated on how to use the system. Automated equipment tends to be less flexible so both the stevedore and truck operators need to have good </w:t>
      </w:r>
      <w:r w:rsidRPr="00331CAA">
        <w:t>systems in place for them to operate efficiently.</w:t>
      </w:r>
    </w:p>
    <w:p w:rsidR="00E71BFF" w:rsidRPr="00331CAA" w:rsidRDefault="00E71BFF" w:rsidP="00E71BFF">
      <w:r w:rsidRPr="00331CAA">
        <w:t xml:space="preserve">It appears investment in automation will continue with DP World </w:t>
      </w:r>
      <w:r w:rsidR="004F66C6">
        <w:t>reportedly indicating</w:t>
      </w:r>
      <w:r w:rsidR="004F66C6" w:rsidRPr="00331CAA">
        <w:t xml:space="preserve"> </w:t>
      </w:r>
      <w:r w:rsidRPr="00331CAA">
        <w:t>it plans to eventually automate all its Australian ports.</w:t>
      </w:r>
      <w:r w:rsidRPr="00331CAA">
        <w:rPr>
          <w:rStyle w:val="FootnoteReference"/>
        </w:rPr>
        <w:footnoteReference w:id="29"/>
      </w:r>
      <w:r w:rsidRPr="00331CAA">
        <w:t xml:space="preserve"> </w:t>
      </w:r>
      <w:r w:rsidR="004F66C6">
        <w:t>It will reportedly</w:t>
      </w:r>
      <w:r w:rsidRPr="00331CAA">
        <w:t xml:space="preserve"> </w:t>
      </w:r>
      <w:r w:rsidR="000837C5">
        <w:t xml:space="preserve">consider </w:t>
      </w:r>
      <w:r w:rsidR="000837C5" w:rsidRPr="00331CAA">
        <w:t>automat</w:t>
      </w:r>
      <w:r w:rsidR="000837C5">
        <w:t>ing</w:t>
      </w:r>
      <w:r w:rsidR="000837C5" w:rsidRPr="00331CAA">
        <w:t xml:space="preserve"> </w:t>
      </w:r>
      <w:r w:rsidRPr="00331CAA">
        <w:t xml:space="preserve">its Port Botany terminal </w:t>
      </w:r>
      <w:r w:rsidR="004F66C6">
        <w:t>when it is</w:t>
      </w:r>
      <w:r w:rsidRPr="00331CAA">
        <w:t xml:space="preserve"> satisfied with the performance of its newly </w:t>
      </w:r>
      <w:r w:rsidR="006108D0">
        <w:t>semi-</w:t>
      </w:r>
      <w:r w:rsidRPr="00331CAA">
        <w:t>automated Brisbane terminal.</w:t>
      </w:r>
    </w:p>
    <w:p w:rsidR="00E71BFF" w:rsidRDefault="00E71BFF" w:rsidP="00E71BFF">
      <w:r w:rsidRPr="00331CAA">
        <w:t>The investments by the stevedores during</w:t>
      </w:r>
      <w:r>
        <w:t xml:space="preserve"> </w:t>
      </w:r>
      <w:r w:rsidR="00D8433D">
        <w:t>2014–15</w:t>
      </w:r>
      <w:r>
        <w:t xml:space="preserve"> and planned for the future are outlined in text box </w:t>
      </w:r>
      <w:r w:rsidR="000F31EF">
        <w:t>1.3</w:t>
      </w:r>
      <w:r>
        <w:t>. This information is provided by the stevedores as part of the monitoring program.</w:t>
      </w:r>
    </w:p>
    <w:p w:rsidR="00AF3C54" w:rsidRDefault="00AF3C54" w:rsidP="00C950F7">
      <w:pPr>
        <w:pStyle w:val="Tabletitle"/>
        <w:shd w:val="clear" w:color="auto" w:fill="D9D9D9" w:themeFill="background1" w:themeFillShade="D9"/>
      </w:pPr>
      <w:r>
        <w:t xml:space="preserve">Text box 1.3: </w:t>
      </w:r>
      <w:r w:rsidRPr="00AF3C54">
        <w:t>Key investments undertaken and planned by the stevedores</w:t>
      </w:r>
    </w:p>
    <w:p w:rsidR="00E71BFF" w:rsidRDefault="00E71BFF" w:rsidP="0053436E">
      <w:pPr>
        <w:pStyle w:val="Heading5"/>
        <w:shd w:val="clear" w:color="auto" w:fill="D9D9D9" w:themeFill="background1" w:themeFillShade="D9"/>
      </w:pPr>
      <w:r>
        <w:t>Patrick</w:t>
      </w:r>
    </w:p>
    <w:p w:rsidR="00E71BFF" w:rsidRDefault="00E71BFF" w:rsidP="00C950F7">
      <w:pPr>
        <w:shd w:val="clear" w:color="auto" w:fill="D9D9D9" w:themeFill="background1" w:themeFillShade="D9"/>
      </w:pPr>
      <w:r>
        <w:t xml:space="preserve">Patrick reported the following major investments for </w:t>
      </w:r>
      <w:r w:rsidR="00D8433D">
        <w:t>2014–15</w:t>
      </w:r>
      <w:r>
        <w:t xml:space="preserve"> and plans for the future:</w:t>
      </w:r>
    </w:p>
    <w:p w:rsidR="00E71BFF" w:rsidRDefault="00E71BFF" w:rsidP="00C950F7">
      <w:pPr>
        <w:pStyle w:val="Bulletpoint"/>
        <w:shd w:val="clear" w:color="auto" w:fill="D9D9D9" w:themeFill="background1" w:themeFillShade="D9"/>
        <w:ind w:left="360" w:hanging="360"/>
      </w:pPr>
      <w:r>
        <w:tab/>
        <w:t xml:space="preserve">The four new cranes ordered in </w:t>
      </w:r>
      <w:r w:rsidR="00D8433D">
        <w:t>2013–14</w:t>
      </w:r>
      <w:r>
        <w:t xml:space="preserve"> were delivered and will be commissioned over 2015-16.</w:t>
      </w:r>
    </w:p>
    <w:p w:rsidR="00E71BFF" w:rsidRPr="00860D37" w:rsidRDefault="00E71BFF" w:rsidP="00320585">
      <w:pPr>
        <w:pStyle w:val="Bulletpoint"/>
        <w:shd w:val="clear" w:color="auto" w:fill="D9D9D9" w:themeFill="background1" w:themeFillShade="D9"/>
        <w:ind w:left="360" w:hanging="360"/>
      </w:pPr>
      <w:r>
        <w:tab/>
        <w:t>Completion of redevelopment of the Port Botany terminal which cutover to automation in April 2015.</w:t>
      </w:r>
      <w:r w:rsidR="006108D0">
        <w:t xml:space="preserve"> </w:t>
      </w:r>
      <w:r>
        <w:t>The Port Botany redevelopment includes a new truck ramp entry point and new semi</w:t>
      </w:r>
      <w:r w:rsidR="007F2432">
        <w:noBreakHyphen/>
      </w:r>
      <w:r>
        <w:t>automated truck grids.</w:t>
      </w:r>
    </w:p>
    <w:p w:rsidR="00E71BFF" w:rsidRDefault="00E71BFF" w:rsidP="00D508ED">
      <w:pPr>
        <w:pStyle w:val="Bulletpoint"/>
        <w:shd w:val="clear" w:color="auto" w:fill="D9D9D9" w:themeFill="background1" w:themeFillShade="D9"/>
        <w:ind w:left="360" w:hanging="360"/>
      </w:pPr>
      <w:r>
        <w:tab/>
        <w:t xml:space="preserve">Patrick has been implementing </w:t>
      </w:r>
      <w:proofErr w:type="gramStart"/>
      <w:r>
        <w:t>an optical</w:t>
      </w:r>
      <w:proofErr w:type="gramEnd"/>
      <w:r>
        <w:t xml:space="preserve"> camera recognition (OCR) system across some terminals with the aim of streamlining entry conditions and reducing truck turn</w:t>
      </w:r>
      <w:r w:rsidR="007F2432">
        <w:noBreakHyphen/>
      </w:r>
      <w:r>
        <w:t>around times.</w:t>
      </w:r>
      <w:r w:rsidR="006108D0">
        <w:t xml:space="preserve"> </w:t>
      </w:r>
      <w:r>
        <w:t>Patrick is assessing its remaining terminals for suitability for installation of the OCR system.</w:t>
      </w:r>
    </w:p>
    <w:p w:rsidR="00E71BFF" w:rsidRDefault="00E71BFF" w:rsidP="00C950F7">
      <w:pPr>
        <w:pStyle w:val="Bulletpoint"/>
        <w:shd w:val="clear" w:color="auto" w:fill="D9D9D9" w:themeFill="background1" w:themeFillShade="D9"/>
        <w:ind w:left="360" w:hanging="360"/>
      </w:pPr>
      <w:r>
        <w:tab/>
        <w:t>In 2015-16, Patrick plans to complete commissioning of cranes at the “knuckle” area of Port Botany and in Brisbane.</w:t>
      </w:r>
    </w:p>
    <w:p w:rsidR="00E71BFF" w:rsidRDefault="00E71BFF" w:rsidP="00C950F7">
      <w:pPr>
        <w:pStyle w:val="Heading5"/>
        <w:shd w:val="clear" w:color="auto" w:fill="D9D9D9" w:themeFill="background1" w:themeFillShade="D9"/>
      </w:pPr>
      <w:r>
        <w:t>DP World</w:t>
      </w:r>
    </w:p>
    <w:p w:rsidR="00E71BFF" w:rsidRDefault="00E71BFF" w:rsidP="00C950F7">
      <w:pPr>
        <w:shd w:val="clear" w:color="auto" w:fill="D9D9D9" w:themeFill="background1" w:themeFillShade="D9"/>
      </w:pPr>
      <w:r>
        <w:t>DP World reported the following investments for 2014–15:</w:t>
      </w:r>
    </w:p>
    <w:p w:rsidR="00E71BFF" w:rsidRDefault="00E71BFF" w:rsidP="00C950F7">
      <w:pPr>
        <w:pStyle w:val="Bulletpoint"/>
        <w:shd w:val="clear" w:color="auto" w:fill="D9D9D9" w:themeFill="background1" w:themeFillShade="D9"/>
        <w:ind w:left="360" w:hanging="360"/>
      </w:pPr>
      <w:r>
        <w:t>Two new super post-</w:t>
      </w:r>
      <w:proofErr w:type="spellStart"/>
      <w:r>
        <w:t>panamax</w:t>
      </w:r>
      <w:proofErr w:type="spellEnd"/>
      <w:r>
        <w:t xml:space="preserve"> quay cranes were commissioned in Sydney and Fremantle in early 2015. These cranes provide terminals with additional capacity as well as reliability. </w:t>
      </w:r>
    </w:p>
    <w:p w:rsidR="00E71BFF" w:rsidRDefault="00E71BFF" w:rsidP="00C950F7">
      <w:pPr>
        <w:pStyle w:val="Bulletpoint"/>
        <w:numPr>
          <w:ilvl w:val="0"/>
          <w:numId w:val="0"/>
        </w:numPr>
        <w:shd w:val="clear" w:color="auto" w:fill="D9D9D9" w:themeFill="background1" w:themeFillShade="D9"/>
      </w:pPr>
      <w:r>
        <w:t>DP World reported the following planned investments for 2015–16 and beyond:</w:t>
      </w:r>
    </w:p>
    <w:p w:rsidR="00E71BFF" w:rsidRDefault="00E71BFF" w:rsidP="00C950F7">
      <w:pPr>
        <w:pStyle w:val="Bulletpoint"/>
        <w:shd w:val="clear" w:color="auto" w:fill="D9D9D9" w:themeFill="background1" w:themeFillShade="D9"/>
        <w:ind w:left="360" w:hanging="360"/>
      </w:pPr>
      <w:r>
        <w:t xml:space="preserve">Two new ASCs have been ordered for the semi-automated terminal in Brisbane. The new cranes will </w:t>
      </w:r>
      <w:r w:rsidR="00C61E19">
        <w:t>increase the</w:t>
      </w:r>
      <w:r>
        <w:t xml:space="preserve"> fleet of ASCs</w:t>
      </w:r>
      <w:r w:rsidR="00C61E19">
        <w:t xml:space="preserve"> to 16</w:t>
      </w:r>
      <w:r>
        <w:t xml:space="preserve"> bringing the number of modules servicing container trade to eight (increasing yard capacity). The two new ASCs will be installed in ‘Module One’ at the terminal.</w:t>
      </w:r>
    </w:p>
    <w:p w:rsidR="00E71BFF" w:rsidRDefault="00E71BFF" w:rsidP="00C950F7">
      <w:pPr>
        <w:pStyle w:val="Bulletpoint"/>
        <w:shd w:val="clear" w:color="auto" w:fill="D9D9D9" w:themeFill="background1" w:themeFillShade="D9"/>
        <w:ind w:left="360" w:hanging="360"/>
      </w:pPr>
      <w:r>
        <w:t xml:space="preserve">The addition of Module One </w:t>
      </w:r>
      <w:r w:rsidR="00F26BCE">
        <w:t xml:space="preserve">in </w:t>
      </w:r>
      <w:r>
        <w:t xml:space="preserve">Brisbane is expected to deliver improved quay crane productivity and vessel schedule integrity. Module </w:t>
      </w:r>
      <w:proofErr w:type="gramStart"/>
      <w:r>
        <w:t>One</w:t>
      </w:r>
      <w:proofErr w:type="gramEnd"/>
      <w:r>
        <w:t xml:space="preserve"> will also increase the number of waterside exchange lanes from 28 to 32, allowing additional freight to be transferred between ASCs and straddle carriers at any time. The two new ASCs are expected to be handed over for use in January 2017.</w:t>
      </w:r>
    </w:p>
    <w:p w:rsidR="00E71BFF" w:rsidRDefault="00E71BFF" w:rsidP="00C950F7">
      <w:pPr>
        <w:pStyle w:val="Bulletpoint"/>
        <w:shd w:val="clear" w:color="auto" w:fill="D9D9D9" w:themeFill="background1" w:themeFillShade="D9"/>
        <w:ind w:left="360" w:hanging="360"/>
      </w:pPr>
      <w:r>
        <w:t>In Melbourne, a project is underway to expand the yard capacity by developing an unused area in the existing terminal. This civil project is expected to be completed in the third quarter of 2016. DP World is also looking to replace a number of the straddle carriers in its Melbourne fleet as part of an on-going equipment replacement program.</w:t>
      </w:r>
    </w:p>
    <w:p w:rsidR="00E71BFF" w:rsidRDefault="00E71BFF" w:rsidP="00C950F7">
      <w:pPr>
        <w:pStyle w:val="Heading5"/>
        <w:shd w:val="clear" w:color="auto" w:fill="D9D9D9" w:themeFill="background1" w:themeFillShade="D9"/>
      </w:pPr>
      <w:r>
        <w:t>FACT</w:t>
      </w:r>
    </w:p>
    <w:p w:rsidR="00E71BFF" w:rsidRDefault="00E71BFF" w:rsidP="00C950F7">
      <w:pPr>
        <w:shd w:val="clear" w:color="auto" w:fill="D9D9D9" w:themeFill="background1" w:themeFillShade="D9"/>
      </w:pPr>
      <w:r>
        <w:t>FACT reported the following investments for 2014–15:</w:t>
      </w:r>
    </w:p>
    <w:p w:rsidR="00E71BFF" w:rsidRDefault="00E71BFF" w:rsidP="00C950F7">
      <w:pPr>
        <w:pStyle w:val="Bulletpoint"/>
        <w:shd w:val="clear" w:color="auto" w:fill="D9D9D9" w:themeFill="background1" w:themeFillShade="D9"/>
        <w:ind w:left="360" w:hanging="360"/>
      </w:pPr>
      <w:r>
        <w:t>An additional 2.4ha hardstand,</w:t>
      </w:r>
      <w:r>
        <w:rPr>
          <w:rStyle w:val="FootnoteReference"/>
        </w:rPr>
        <w:footnoteReference w:id="30"/>
      </w:r>
      <w:r>
        <w:t xml:space="preserve"> providing additional container stacking area.</w:t>
      </w:r>
    </w:p>
    <w:p w:rsidR="00E71BFF" w:rsidRDefault="00E71BFF" w:rsidP="00C950F7">
      <w:pPr>
        <w:pStyle w:val="Bulletpoint"/>
        <w:shd w:val="clear" w:color="auto" w:fill="D9D9D9" w:themeFill="background1" w:themeFillShade="D9"/>
        <w:ind w:left="360" w:hanging="360"/>
      </w:pPr>
      <w:r>
        <w:t>Two post-</w:t>
      </w:r>
      <w:proofErr w:type="spellStart"/>
      <w:r>
        <w:t>panamax</w:t>
      </w:r>
      <w:proofErr w:type="spellEnd"/>
      <w:r>
        <w:t xml:space="preserve"> (</w:t>
      </w:r>
      <w:proofErr w:type="spellStart"/>
      <w:r>
        <w:t>Liebherr</w:t>
      </w:r>
      <w:proofErr w:type="spellEnd"/>
      <w:r>
        <w:t>) cranes.</w:t>
      </w:r>
    </w:p>
    <w:p w:rsidR="00E71BFF" w:rsidRDefault="00CD403F" w:rsidP="00C950F7">
      <w:pPr>
        <w:pStyle w:val="Bulletpoint"/>
        <w:shd w:val="clear" w:color="auto" w:fill="D9D9D9" w:themeFill="background1" w:themeFillShade="D9"/>
        <w:ind w:left="360" w:hanging="360"/>
      </w:pPr>
      <w:r>
        <w:t xml:space="preserve">Finalise payment of </w:t>
      </w:r>
      <w:r w:rsidR="00E71BFF" w:rsidRPr="005076BC">
        <w:t xml:space="preserve">ZPMC </w:t>
      </w:r>
      <w:r w:rsidR="00E71BFF">
        <w:t xml:space="preserve">quayside </w:t>
      </w:r>
      <w:r w:rsidR="00E71BFF" w:rsidRPr="005076BC">
        <w:t>crane</w:t>
      </w:r>
      <w:r w:rsidR="00E71BFF">
        <w:t>.</w:t>
      </w:r>
    </w:p>
    <w:p w:rsidR="00E71BFF" w:rsidRDefault="00E71BFF" w:rsidP="00C950F7">
      <w:pPr>
        <w:pStyle w:val="Bulletpoint"/>
        <w:shd w:val="clear" w:color="auto" w:fill="D9D9D9" w:themeFill="background1" w:themeFillShade="D9"/>
        <w:ind w:left="360" w:hanging="360"/>
      </w:pPr>
      <w:r>
        <w:t>Five straddle carriers.</w:t>
      </w:r>
    </w:p>
    <w:p w:rsidR="00E71BFF" w:rsidRDefault="00E71BFF" w:rsidP="00C950F7">
      <w:pPr>
        <w:pStyle w:val="Bulletpoint"/>
        <w:shd w:val="clear" w:color="auto" w:fill="D9D9D9" w:themeFill="background1" w:themeFillShade="D9"/>
        <w:ind w:left="360" w:hanging="360"/>
      </w:pPr>
      <w:r>
        <w:t>Crane training simulator to train drivers for new cranes.</w:t>
      </w:r>
    </w:p>
    <w:p w:rsidR="00E71BFF" w:rsidRDefault="00E71BFF" w:rsidP="00C950F7">
      <w:pPr>
        <w:pStyle w:val="Bulletpoint"/>
        <w:shd w:val="clear" w:color="auto" w:fill="D9D9D9" w:themeFill="background1" w:themeFillShade="D9"/>
        <w:ind w:left="360" w:hanging="360"/>
      </w:pPr>
      <w:r>
        <w:t>Replacement of terminal operational vehicles and additional plant and equipment.</w:t>
      </w:r>
    </w:p>
    <w:p w:rsidR="00E71BFF" w:rsidRDefault="00E71BFF" w:rsidP="00C950F7">
      <w:pPr>
        <w:shd w:val="clear" w:color="auto" w:fill="D9D9D9" w:themeFill="background1" w:themeFillShade="D9"/>
      </w:pPr>
      <w:r>
        <w:t>FACT reported the following planned investments for 2015–16 and beyond:</w:t>
      </w:r>
    </w:p>
    <w:p w:rsidR="00E71BFF" w:rsidRDefault="00E71BFF" w:rsidP="00C950F7">
      <w:pPr>
        <w:pStyle w:val="Bulletpoint"/>
        <w:shd w:val="clear" w:color="auto" w:fill="D9D9D9" w:themeFill="background1" w:themeFillShade="D9"/>
        <w:ind w:left="360" w:hanging="360"/>
      </w:pPr>
      <w:r>
        <w:t>Increase the size of the straddle fleet with two straddle carriers.</w:t>
      </w:r>
    </w:p>
    <w:p w:rsidR="00E71BFF" w:rsidRDefault="00E71BFF" w:rsidP="00C950F7">
      <w:pPr>
        <w:pStyle w:val="Bulletpoint"/>
        <w:shd w:val="clear" w:color="auto" w:fill="D9D9D9" w:themeFill="background1" w:themeFillShade="D9"/>
        <w:ind w:left="360" w:hanging="360"/>
      </w:pPr>
      <w:r>
        <w:t>Additional hardstand.</w:t>
      </w:r>
    </w:p>
    <w:p w:rsidR="00E71BFF" w:rsidRDefault="00E71BFF" w:rsidP="00C950F7">
      <w:pPr>
        <w:pStyle w:val="Bulletpoint"/>
        <w:shd w:val="clear" w:color="auto" w:fill="D9D9D9" w:themeFill="background1" w:themeFillShade="D9"/>
        <w:ind w:left="360" w:hanging="360"/>
      </w:pPr>
      <w:r>
        <w:t>Replace damaged rail spur at the rail intermodal.</w:t>
      </w:r>
    </w:p>
    <w:p w:rsidR="00E71BFF" w:rsidRDefault="00E71BFF" w:rsidP="00C950F7">
      <w:pPr>
        <w:pStyle w:val="Bulletpoint"/>
        <w:shd w:val="clear" w:color="auto" w:fill="D9D9D9" w:themeFill="background1" w:themeFillShade="D9"/>
        <w:ind w:left="360" w:hanging="360"/>
      </w:pPr>
      <w:r>
        <w:t>Replacement or upgrade of terminal systems, additional weight detection system, operational vehicles and additional plant and equipment.</w:t>
      </w:r>
    </w:p>
    <w:p w:rsidR="00E71BFF" w:rsidRDefault="00E71BFF" w:rsidP="00C950F7">
      <w:pPr>
        <w:pStyle w:val="Bulletpoint"/>
        <w:shd w:val="clear" w:color="auto" w:fill="D9D9D9" w:themeFill="background1" w:themeFillShade="D9"/>
        <w:ind w:left="360" w:hanging="360"/>
      </w:pPr>
      <w:r>
        <w:t xml:space="preserve">With the capital investment made and improvements implemented since 2012 (particularly over </w:t>
      </w:r>
      <w:r w:rsidR="00D8433D">
        <w:t>2014–15</w:t>
      </w:r>
      <w:r>
        <w:t xml:space="preserve">), FACT considers the terminal has considerable capacity to </w:t>
      </w:r>
      <w:r w:rsidR="00CD403F">
        <w:t xml:space="preserve">accommodate future volume </w:t>
      </w:r>
      <w:r>
        <w:t>grow</w:t>
      </w:r>
      <w:r w:rsidR="00CD403F">
        <w:t>th</w:t>
      </w:r>
      <w:r>
        <w:t>.</w:t>
      </w:r>
    </w:p>
    <w:p w:rsidR="00E71BFF" w:rsidRDefault="00E71BFF" w:rsidP="00C950F7">
      <w:pPr>
        <w:pStyle w:val="Heading5"/>
        <w:shd w:val="clear" w:color="auto" w:fill="D9D9D9" w:themeFill="background1" w:themeFillShade="D9"/>
      </w:pPr>
      <w:r>
        <w:t>Hutchison</w:t>
      </w:r>
    </w:p>
    <w:p w:rsidR="00E71BFF" w:rsidRDefault="00E71BFF" w:rsidP="00C950F7">
      <w:pPr>
        <w:shd w:val="clear" w:color="auto" w:fill="D9D9D9" w:themeFill="background1" w:themeFillShade="D9"/>
      </w:pPr>
      <w:r>
        <w:t>Hutchison reported the following investments were undertaken in 2014–15:</w:t>
      </w:r>
    </w:p>
    <w:p w:rsidR="00E71BFF" w:rsidRDefault="00E71BFF" w:rsidP="00C950F7">
      <w:pPr>
        <w:pStyle w:val="Bulletpoint"/>
        <w:shd w:val="clear" w:color="auto" w:fill="D9D9D9" w:themeFill="background1" w:themeFillShade="D9"/>
        <w:ind w:left="360" w:hanging="360"/>
      </w:pPr>
      <w:r>
        <w:t>In Sydney, Hutchison has added as part of its Phase 2 expansion an additional three ASC blocks to increase its landside capacity to meet container slot demands to match its quay-side capacity. This brings the number of ASC blocks at its Port Botany</w:t>
      </w:r>
      <w:r w:rsidRPr="00C605B4">
        <w:t xml:space="preserve"> </w:t>
      </w:r>
      <w:r>
        <w:t>terminal to six. Hutchison has also added two more reach stackers to facilitate its rail and empty yard operations at Port Botany.</w:t>
      </w:r>
    </w:p>
    <w:p w:rsidR="00E71BFF" w:rsidRDefault="00E71BFF" w:rsidP="00C950F7">
      <w:pPr>
        <w:pStyle w:val="Bulletpoint"/>
        <w:shd w:val="clear" w:color="auto" w:fill="D9D9D9" w:themeFill="background1" w:themeFillShade="D9"/>
      </w:pPr>
      <w:r>
        <w:t xml:space="preserve">In Brisbane, Hutchison commissioned two more quay cranes, in addition to its existing two quay cranes, and added a manual handling area to the terminal. </w:t>
      </w:r>
    </w:p>
    <w:p w:rsidR="00E71BFF" w:rsidRDefault="00E71BFF" w:rsidP="00C950F7">
      <w:pPr>
        <w:shd w:val="clear" w:color="auto" w:fill="D9D9D9" w:themeFill="background1" w:themeFillShade="D9"/>
      </w:pPr>
      <w:r>
        <w:t>Hutchison reported the following planned investments for 2015–16 and beyond:</w:t>
      </w:r>
    </w:p>
    <w:p w:rsidR="00E71BFF" w:rsidRDefault="00E71BFF" w:rsidP="00C950F7">
      <w:pPr>
        <w:pStyle w:val="Bulletpoint"/>
        <w:shd w:val="clear" w:color="auto" w:fill="D9D9D9" w:themeFill="background1" w:themeFillShade="D9"/>
        <w:ind w:left="360" w:hanging="360"/>
      </w:pPr>
      <w:r>
        <w:t>In Sydney, further investment plans beyond Phase 2 will depend on market demand. Port Botany will, for the present, focus on building up its productivity and service offering after its first full start-up year of operations.</w:t>
      </w:r>
    </w:p>
    <w:p w:rsidR="00E71BFF" w:rsidRDefault="00E71BFF" w:rsidP="00C950F7">
      <w:pPr>
        <w:pStyle w:val="Bulletpoint"/>
        <w:shd w:val="clear" w:color="auto" w:fill="D9D9D9" w:themeFill="background1" w:themeFillShade="D9"/>
        <w:ind w:left="360" w:hanging="360"/>
      </w:pPr>
      <w:r>
        <w:t>In Brisbane, Phase 2 involving the completion of Berth 12 beyond the wharf strip will continue after the successful removal of a damaged quay crane.</w:t>
      </w:r>
      <w:r>
        <w:rPr>
          <w:rStyle w:val="FootnoteReference"/>
        </w:rPr>
        <w:footnoteReference w:id="31"/>
      </w:r>
      <w:r>
        <w:t xml:space="preserve"> Phase 2 will add an additional three </w:t>
      </w:r>
      <w:r w:rsidR="00A10218">
        <w:t>ASC</w:t>
      </w:r>
      <w:r>
        <w:t xml:space="preserve"> blocks to the existing three blocks already at the terminal. The damaged quay crane is anticipated to delay Phase 2 expansion by at least 12 months.</w:t>
      </w:r>
    </w:p>
    <w:p w:rsidR="0053436E" w:rsidRPr="0053436E" w:rsidRDefault="0053436E" w:rsidP="0053436E">
      <w:pPr>
        <w:pStyle w:val="Bulletpoint"/>
        <w:numPr>
          <w:ilvl w:val="0"/>
          <w:numId w:val="0"/>
        </w:numPr>
        <w:shd w:val="clear" w:color="auto" w:fill="D9D9D9" w:themeFill="background1" w:themeFillShade="D9"/>
        <w:rPr>
          <w:sz w:val="16"/>
          <w:szCs w:val="16"/>
        </w:rPr>
      </w:pPr>
    </w:p>
    <w:p w:rsidR="00E71BFF" w:rsidRPr="00EF3AE5" w:rsidRDefault="00E71BFF" w:rsidP="0074379E">
      <w:pPr>
        <w:pStyle w:val="Numbered111"/>
      </w:pPr>
      <w:bookmarkStart w:id="30" w:name="_Toc433666994"/>
      <w:r w:rsidRPr="00EF3AE5">
        <w:t>Productivity</w:t>
      </w:r>
      <w:r>
        <w:t xml:space="preserve"> remained close to record high levels</w:t>
      </w:r>
      <w:bookmarkEnd w:id="30"/>
    </w:p>
    <w:p w:rsidR="00E71BFF" w:rsidRPr="002F692F" w:rsidRDefault="00E71BFF" w:rsidP="00E71BFF">
      <w:r w:rsidRPr="001509EA">
        <w:t xml:space="preserve">In </w:t>
      </w:r>
      <w:r w:rsidR="00D8433D">
        <w:t>2014–15</w:t>
      </w:r>
      <w:r w:rsidRPr="001509EA">
        <w:t xml:space="preserve">, </w:t>
      </w:r>
      <w:r>
        <w:t>p</w:t>
      </w:r>
      <w:r w:rsidRPr="00EF3AE5">
        <w:t>roductivity</w:t>
      </w:r>
      <w:r>
        <w:t>,</w:t>
      </w:r>
      <w:r w:rsidRPr="00EF3AE5">
        <w:t xml:space="preserve"> </w:t>
      </w:r>
      <w:r w:rsidRPr="003F0C17">
        <w:t>measure</w:t>
      </w:r>
      <w:r w:rsidRPr="004F6F7F">
        <w:t xml:space="preserve">d both in terms </w:t>
      </w:r>
      <w:r w:rsidRPr="001509EA">
        <w:t>of the net crane rate and elapsed labour rate</w:t>
      </w:r>
      <w:r>
        <w:t>,</w:t>
      </w:r>
      <w:r w:rsidRPr="00EF3AE5">
        <w:t xml:space="preserve"> </w:t>
      </w:r>
      <w:r>
        <w:t>was</w:t>
      </w:r>
      <w:r w:rsidRPr="00EF3AE5">
        <w:t xml:space="preserve"> close to </w:t>
      </w:r>
      <w:r w:rsidRPr="003F0C17">
        <w:t>record</w:t>
      </w:r>
      <w:r w:rsidRPr="004F6F7F">
        <w:t xml:space="preserve"> </w:t>
      </w:r>
      <w:r>
        <w:t xml:space="preserve">high </w:t>
      </w:r>
      <w:r w:rsidRPr="004F6F7F">
        <w:t>level</w:t>
      </w:r>
      <w:r w:rsidRPr="001509EA">
        <w:t xml:space="preserve">s. </w:t>
      </w:r>
    </w:p>
    <w:p w:rsidR="00E71BFF" w:rsidRDefault="00E71BFF" w:rsidP="00E71BFF">
      <w:r>
        <w:t>Long</w:t>
      </w:r>
      <w:r w:rsidR="0055370A">
        <w:t xml:space="preserve"> </w:t>
      </w:r>
      <w:r>
        <w:t>term p</w:t>
      </w:r>
      <w:r w:rsidRPr="00E10AC4">
        <w:t>roductivity gains</w:t>
      </w:r>
      <w:r>
        <w:t xml:space="preserve"> have come from a number of sources such as investments in new equipment like cranes and straddles and the roll</w:t>
      </w:r>
      <w:r w:rsidR="00A10218">
        <w:t>-</w:t>
      </w:r>
      <w:r>
        <w:t xml:space="preserve">out of semi-automated terminal handling systems. </w:t>
      </w:r>
    </w:p>
    <w:p w:rsidR="00E71BFF" w:rsidRPr="00EF3AE5" w:rsidRDefault="00E71BFF" w:rsidP="00E71BFF">
      <w:r>
        <w:t>On a national basis,</w:t>
      </w:r>
      <w:r w:rsidRPr="00EF3AE5">
        <w:t xml:space="preserve"> </w:t>
      </w:r>
      <w:r>
        <w:t>the net crane and elapsed labour rates</w:t>
      </w:r>
      <w:r w:rsidRPr="00EF3AE5">
        <w:t xml:space="preserve"> </w:t>
      </w:r>
      <w:r w:rsidRPr="003F0C17">
        <w:t>dipped slightly</w:t>
      </w:r>
      <w:r w:rsidRPr="00821D46">
        <w:t xml:space="preserve"> </w:t>
      </w:r>
      <w:r>
        <w:t>i</w:t>
      </w:r>
      <w:r w:rsidRPr="007738A8">
        <w:t xml:space="preserve">n </w:t>
      </w:r>
      <w:r w:rsidR="00D8433D">
        <w:t>2014–15</w:t>
      </w:r>
      <w:r w:rsidRPr="00EF3AE5">
        <w:t xml:space="preserve">, having </w:t>
      </w:r>
      <w:r w:rsidRPr="003F0C17">
        <w:t>increased</w:t>
      </w:r>
      <w:r w:rsidRPr="004F6F7F">
        <w:t xml:space="preserve"> </w:t>
      </w:r>
      <w:r w:rsidRPr="001509EA">
        <w:t xml:space="preserve">to </w:t>
      </w:r>
      <w:r>
        <w:t>their highest</w:t>
      </w:r>
      <w:r w:rsidRPr="00EF3AE5">
        <w:t xml:space="preserve"> levels</w:t>
      </w:r>
      <w:r>
        <w:t xml:space="preserve"> observed over the history of the monitoring program</w:t>
      </w:r>
      <w:r w:rsidRPr="00EF3AE5">
        <w:t xml:space="preserve"> in </w:t>
      </w:r>
      <w:r w:rsidR="00D8433D">
        <w:t>2013–14</w:t>
      </w:r>
      <w:r w:rsidRPr="00EF3AE5">
        <w:t xml:space="preserve">. </w:t>
      </w:r>
      <w:r>
        <w:t xml:space="preserve">The average net crane rate decreased from 30.8 </w:t>
      </w:r>
      <w:r w:rsidRPr="00362016">
        <w:t>containers per hour</w:t>
      </w:r>
      <w:r>
        <w:t xml:space="preserve"> in </w:t>
      </w:r>
      <w:r w:rsidR="0048480F">
        <w:fldChar w:fldCharType="begin"/>
      </w:r>
      <w:r w:rsidR="0048480F">
        <w:instrText xml:space="preserve"> EQ 2013–14 </w:instrText>
      </w:r>
      <w:r w:rsidR="0048480F">
        <w:fldChar w:fldCharType="end"/>
      </w:r>
      <w:r>
        <w:t xml:space="preserve">to 30.6 in </w:t>
      </w:r>
      <w:r w:rsidR="00D8433D">
        <w:t>2014–15</w:t>
      </w:r>
      <w:r>
        <w:t xml:space="preserve">. Similarly, the average elapsed labour rate decreased from 45.6 </w:t>
      </w:r>
      <w:r w:rsidR="006108D0">
        <w:t xml:space="preserve">to 45.3 </w:t>
      </w:r>
      <w:r w:rsidRPr="00362016">
        <w:t>containers per hour</w:t>
      </w:r>
      <w:r>
        <w:t>. Improvements in Fremantle and Adelaide were offset by falls at the other three ports</w:t>
      </w:r>
      <w:r w:rsidR="007A6153">
        <w:t>—</w:t>
      </w:r>
      <w:r>
        <w:t>in particular, Port Botany.</w:t>
      </w:r>
    </w:p>
    <w:p w:rsidR="00E71BFF" w:rsidRPr="00331CAA" w:rsidRDefault="00E71BFF" w:rsidP="00E71BFF">
      <w:r>
        <w:t xml:space="preserve">Port Botany had the largest fall in productivity over the </w:t>
      </w:r>
      <w:r w:rsidR="00D8433D">
        <w:t>2014–15</w:t>
      </w:r>
      <w:r>
        <w:t xml:space="preserve"> monitoring period. This is expected to be related to implementation issues and temporary disruptions associated with Patrick’s roll-out of </w:t>
      </w:r>
      <w:proofErr w:type="spellStart"/>
      <w:r>
        <w:t>AutoStrad</w:t>
      </w:r>
      <w:proofErr w:type="spellEnd"/>
      <w:r w:rsidR="00DB4278">
        <w:t>™</w:t>
      </w:r>
      <w:r>
        <w:t xml:space="preserve"> equipment and transition to a semi</w:t>
      </w:r>
      <w:r>
        <w:noBreakHyphen/>
        <w:t xml:space="preserve">automated terminal handling system. During this period, temporary arrangements were in place which saw Patrick subcontracting volumes to the two other </w:t>
      </w:r>
      <w:r w:rsidRPr="00331CAA">
        <w:t xml:space="preserve">terminals. </w:t>
      </w:r>
    </w:p>
    <w:p w:rsidR="00E71BFF" w:rsidRDefault="00E71BFF" w:rsidP="00E71BFF">
      <w:r w:rsidRPr="00331CAA">
        <w:t xml:space="preserve">Fremantle and Adelaide had strong productivity improvements in </w:t>
      </w:r>
      <w:r w:rsidR="00D8433D">
        <w:t>2014–15</w:t>
      </w:r>
      <w:r w:rsidRPr="00331CAA">
        <w:t xml:space="preserve">, where new capital equipment was commissioned during the monitoring period. </w:t>
      </w:r>
      <w:r w:rsidR="00FB5AC6">
        <w:t>In Fremantle, n</w:t>
      </w:r>
      <w:r w:rsidR="00FB5AC6" w:rsidRPr="00750BAF">
        <w:t xml:space="preserve">ew </w:t>
      </w:r>
      <w:r w:rsidRPr="00750BAF">
        <w:t xml:space="preserve">quay cranes </w:t>
      </w:r>
      <w:r w:rsidR="00750BAF">
        <w:t xml:space="preserve">were </w:t>
      </w:r>
      <w:r w:rsidRPr="00750BAF">
        <w:t>installed</w:t>
      </w:r>
      <w:r w:rsidRPr="00331CAA">
        <w:t>.</w:t>
      </w:r>
      <w:r w:rsidR="0074379E">
        <w:t xml:space="preserve"> </w:t>
      </w:r>
      <w:r w:rsidR="007F2432">
        <w:t>T</w:t>
      </w:r>
      <w:r w:rsidRPr="00331CAA">
        <w:t xml:space="preserve">he tender process underway for the new terminal leases may </w:t>
      </w:r>
      <w:r w:rsidR="007F2432">
        <w:t xml:space="preserve">also </w:t>
      </w:r>
      <w:r w:rsidRPr="00331CAA">
        <w:t>provide additional</w:t>
      </w:r>
      <w:r>
        <w:t xml:space="preserve"> incentive for improved productivity performance, as both stevedores are understood to be seeking to be reappointed.</w:t>
      </w:r>
      <w:r>
        <w:rPr>
          <w:rStyle w:val="FootnoteReference"/>
        </w:rPr>
        <w:footnoteReference w:id="32"/>
      </w:r>
      <w:r>
        <w:t xml:space="preserve"> </w:t>
      </w:r>
      <w:r w:rsidR="00133A35">
        <w:t>In</w:t>
      </w:r>
      <w:r w:rsidR="00133A35" w:rsidRPr="00331CAA">
        <w:t xml:space="preserve"> Adelaide</w:t>
      </w:r>
      <w:r w:rsidR="00FB5AC6">
        <w:t>,</w:t>
      </w:r>
      <w:r w:rsidR="00133A35" w:rsidRPr="00331CAA">
        <w:t xml:space="preserve"> a new crane training simulator</w:t>
      </w:r>
      <w:r w:rsidR="00133A35">
        <w:t xml:space="preserve"> was acquired</w:t>
      </w:r>
      <w:r w:rsidR="00133A35" w:rsidRPr="00331CAA">
        <w:t xml:space="preserve"> </w:t>
      </w:r>
      <w:r w:rsidR="00133A35">
        <w:t xml:space="preserve">and a new enterprise bargaining agreement (EBA) was finalised, both of which may have </w:t>
      </w:r>
      <w:r w:rsidR="0074379E">
        <w:t>contributed</w:t>
      </w:r>
      <w:r w:rsidR="00133A35">
        <w:t xml:space="preserve"> to</w:t>
      </w:r>
      <w:r w:rsidR="0074379E">
        <w:t xml:space="preserve"> </w:t>
      </w:r>
      <w:r w:rsidR="00133A35">
        <w:t xml:space="preserve">improvements in productivity. </w:t>
      </w:r>
      <w:r w:rsidR="00FB5AC6">
        <w:t>T</w:t>
      </w:r>
      <w:r w:rsidR="0074379E">
        <w:t>wo</w:t>
      </w:r>
      <w:r w:rsidR="00133A35">
        <w:t xml:space="preserve"> new post-</w:t>
      </w:r>
      <w:proofErr w:type="spellStart"/>
      <w:r w:rsidR="008612BC" w:rsidRPr="008612BC">
        <w:t>panamax</w:t>
      </w:r>
      <w:proofErr w:type="spellEnd"/>
      <w:r w:rsidR="00133A35">
        <w:t xml:space="preserve"> cranes</w:t>
      </w:r>
      <w:r w:rsidR="0074379E">
        <w:t xml:space="preserve"> recently acquired</w:t>
      </w:r>
      <w:r w:rsidR="00133A35" w:rsidRPr="00331CAA">
        <w:t xml:space="preserve"> </w:t>
      </w:r>
      <w:r w:rsidR="007F2432">
        <w:t xml:space="preserve">by FACT </w:t>
      </w:r>
      <w:r w:rsidR="0074379E">
        <w:t>may</w:t>
      </w:r>
      <w:r w:rsidR="00133A35" w:rsidRPr="00331CAA">
        <w:t xml:space="preserve"> be </w:t>
      </w:r>
      <w:r w:rsidR="0074379E">
        <w:t xml:space="preserve">a </w:t>
      </w:r>
      <w:r w:rsidR="00133A35" w:rsidRPr="00331CAA">
        <w:t>source of productivity improvements</w:t>
      </w:r>
      <w:r w:rsidR="0074379E">
        <w:t xml:space="preserve"> in the future</w:t>
      </w:r>
      <w:r w:rsidR="00133A35">
        <w:t>.</w:t>
      </w:r>
    </w:p>
    <w:p w:rsidR="00C10959" w:rsidRDefault="00C10959" w:rsidP="00C10959">
      <w:r>
        <w:t xml:space="preserve">Since </w:t>
      </w:r>
      <w:r w:rsidR="00D8433D">
        <w:t>1998–99</w:t>
      </w:r>
      <w:r>
        <w:t>, productivity</w:t>
      </w:r>
      <w:r w:rsidRPr="005173EA">
        <w:t xml:space="preserve"> </w:t>
      </w:r>
      <w:r>
        <w:t xml:space="preserve">has increased significantly. Capital productivity, measured by the net crane rate has risen from 19.6 to 30.6 containers per hour. Labour productivity has more than doubled, from 22.4 to 45.3 containers per hour. This is in contrast to national </w:t>
      </w:r>
      <w:r w:rsidR="00A038AA">
        <w:t xml:space="preserve">multi-factor </w:t>
      </w:r>
      <w:r>
        <w:t xml:space="preserve">productivity which, from </w:t>
      </w:r>
      <w:r w:rsidR="00D8433D">
        <w:t>1998–99</w:t>
      </w:r>
      <w:r>
        <w:t xml:space="preserve"> to </w:t>
      </w:r>
      <w:r w:rsidR="00D8433D">
        <w:t>2013–14</w:t>
      </w:r>
      <w:r>
        <w:t>, fell slightly. Over the same period</w:t>
      </w:r>
      <w:r w:rsidR="005978B8">
        <w:t>,</w:t>
      </w:r>
      <w:r>
        <w:t xml:space="preserve"> </w:t>
      </w:r>
      <w:r w:rsidR="00A038AA">
        <w:t xml:space="preserve">multi-factor </w:t>
      </w:r>
      <w:r>
        <w:t xml:space="preserve">productivity in the </w:t>
      </w:r>
      <w:r w:rsidR="005978B8">
        <w:t>e</w:t>
      </w:r>
      <w:r w:rsidR="005978B8" w:rsidRPr="005978B8">
        <w:t>lectricity, gas, water and waste services</w:t>
      </w:r>
      <w:r w:rsidR="005978B8">
        <w:t xml:space="preserve"> industry sector</w:t>
      </w:r>
      <w:r>
        <w:t xml:space="preserve">, which like container stevedoring is </w:t>
      </w:r>
      <w:r w:rsidR="005978B8">
        <w:t xml:space="preserve">generally </w:t>
      </w:r>
      <w:r>
        <w:t>heavily dependent on infrastructure, fell significantly (by 40.7 per cent).</w:t>
      </w:r>
      <w:r>
        <w:rPr>
          <w:rStyle w:val="FootnoteReference"/>
        </w:rPr>
        <w:footnoteReference w:id="33"/>
      </w:r>
      <w:r>
        <w:t xml:space="preserve"> This is consistent with the findings of the Australian Energy Regulator which </w:t>
      </w:r>
      <w:r w:rsidR="007F2432">
        <w:t xml:space="preserve">has </w:t>
      </w:r>
      <w:r>
        <w:t>found p</w:t>
      </w:r>
      <w:r w:rsidRPr="007820DD">
        <w:t xml:space="preserve">roductivity across the </w:t>
      </w:r>
      <w:r>
        <w:t>electricity distribution s</w:t>
      </w:r>
      <w:r w:rsidRPr="007820DD">
        <w:t>ector declin</w:t>
      </w:r>
      <w:r>
        <w:t>ed over the past seven years</w:t>
      </w:r>
      <w:r w:rsidRPr="007820DD">
        <w:t>.</w:t>
      </w:r>
      <w:r>
        <w:rPr>
          <w:rStyle w:val="FootnoteReference"/>
        </w:rPr>
        <w:footnoteReference w:id="34"/>
      </w:r>
    </w:p>
    <w:p w:rsidR="00E71BFF" w:rsidRDefault="00E71BFF" w:rsidP="00E71BFF">
      <w:r>
        <w:t xml:space="preserve">More detailed information on the stevedores’ productivity is provided in chapter 2.  </w:t>
      </w:r>
    </w:p>
    <w:p w:rsidR="00E71BFF" w:rsidRDefault="00E71BFF" w:rsidP="0074379E">
      <w:pPr>
        <w:pStyle w:val="Numbered111"/>
      </w:pPr>
      <w:bookmarkStart w:id="31" w:name="_Toc433666995"/>
      <w:r>
        <w:t>The incumbent stevedores are looking to offer a broader range of services</w:t>
      </w:r>
      <w:bookmarkEnd w:id="31"/>
      <w:r>
        <w:t xml:space="preserve"> </w:t>
      </w:r>
    </w:p>
    <w:p w:rsidR="00E71BFF" w:rsidRPr="008A7DA0" w:rsidRDefault="00E71BFF" w:rsidP="0070039D">
      <w:r w:rsidRPr="008A7DA0">
        <w:t xml:space="preserve">With increased competition </w:t>
      </w:r>
      <w:r w:rsidR="0070039D">
        <w:t>and lower returns in the industry</w:t>
      </w:r>
      <w:r w:rsidRPr="008A7DA0">
        <w:t xml:space="preserve">, </w:t>
      </w:r>
      <w:r>
        <w:t xml:space="preserve">it </w:t>
      </w:r>
      <w:r w:rsidRPr="008A7DA0">
        <w:t xml:space="preserve">is possible that investments outside of stevedoring have become more </w:t>
      </w:r>
      <w:r>
        <w:t>attractive</w:t>
      </w:r>
      <w:r w:rsidRPr="008A7DA0">
        <w:t xml:space="preserve">. The stevedores may be </w:t>
      </w:r>
      <w:r w:rsidR="001E78B6">
        <w:t>seeking</w:t>
      </w:r>
      <w:r w:rsidRPr="008A7DA0">
        <w:t xml:space="preserve"> to increase their returns by offering</w:t>
      </w:r>
      <w:r w:rsidR="0070039D">
        <w:t xml:space="preserve"> a more integrated service </w:t>
      </w:r>
      <w:r w:rsidR="00C42A0C">
        <w:t xml:space="preserve">between </w:t>
      </w:r>
      <w:r w:rsidR="0070039D">
        <w:t xml:space="preserve">port </w:t>
      </w:r>
      <w:r w:rsidR="00C42A0C">
        <w:t xml:space="preserve">and </w:t>
      </w:r>
      <w:r w:rsidR="0070039D">
        <w:t>origin/des</w:t>
      </w:r>
      <w:r w:rsidR="00C42A0C">
        <w:t>t</w:t>
      </w:r>
      <w:r w:rsidR="0070039D">
        <w:t>ination</w:t>
      </w:r>
      <w:r w:rsidRPr="008A7DA0">
        <w:t>.</w:t>
      </w:r>
    </w:p>
    <w:p w:rsidR="0002124F" w:rsidRDefault="00023D2A" w:rsidP="002E37E4">
      <w:r>
        <w:t>D</w:t>
      </w:r>
      <w:r w:rsidR="001E78B6" w:rsidRPr="008A7DA0" w:rsidDel="0070039D">
        <w:t>uring the monitoring period</w:t>
      </w:r>
      <w:r w:rsidR="007F2432">
        <w:t>,</w:t>
      </w:r>
      <w:r>
        <w:t xml:space="preserve"> both Patrick and DP World</w:t>
      </w:r>
      <w:r w:rsidR="001E78B6" w:rsidRPr="008A7DA0" w:rsidDel="0070039D">
        <w:t xml:space="preserve"> </w:t>
      </w:r>
      <w:r>
        <w:t xml:space="preserve">have </w:t>
      </w:r>
      <w:r w:rsidR="009D54B7">
        <w:t>invest</w:t>
      </w:r>
      <w:r>
        <w:t>ed</w:t>
      </w:r>
      <w:r w:rsidR="001E78B6">
        <w:t xml:space="preserve"> </w:t>
      </w:r>
      <w:r>
        <w:t xml:space="preserve">(or invested further) </w:t>
      </w:r>
      <w:r w:rsidR="001E78B6" w:rsidRPr="008A7DA0" w:rsidDel="0070039D">
        <w:t>in the landside container supply chain</w:t>
      </w:r>
      <w:r w:rsidR="007A6153">
        <w:t>—</w:t>
      </w:r>
      <w:r w:rsidR="001E78B6" w:rsidDel="0070039D">
        <w:t>i</w:t>
      </w:r>
      <w:r w:rsidR="001E78B6" w:rsidRPr="008A7DA0" w:rsidDel="0070039D">
        <w:t>n particular</w:t>
      </w:r>
      <w:r w:rsidR="001E78B6" w:rsidDel="0070039D">
        <w:t>,</w:t>
      </w:r>
      <w:r w:rsidR="001E78B6" w:rsidRPr="008A7DA0" w:rsidDel="0070039D">
        <w:t xml:space="preserve"> seeking partnerships with established landside freight and logistics companies. There are a number of examples in this respect. </w:t>
      </w:r>
      <w:r w:rsidR="001E78B6" w:rsidDel="0070039D">
        <w:t xml:space="preserve">These are outlined below. </w:t>
      </w:r>
    </w:p>
    <w:p w:rsidR="00E71BFF" w:rsidRPr="008A7DA0" w:rsidRDefault="00E71BFF" w:rsidP="002E37E4">
      <w:r w:rsidRPr="008A7DA0">
        <w:t>In October 2014, DP World acquired a 50 per cent share of logistics and warehousing company AWH</w:t>
      </w:r>
      <w:r w:rsidR="005B2CA0">
        <w:t xml:space="preserve"> Pty Ltd</w:t>
      </w:r>
      <w:r w:rsidRPr="008A7DA0">
        <w:t>.</w:t>
      </w:r>
      <w:r w:rsidR="001D37DD">
        <w:rPr>
          <w:rStyle w:val="FootnoteReference"/>
        </w:rPr>
        <w:footnoteReference w:id="35"/>
      </w:r>
      <w:r w:rsidR="004F66C6">
        <w:t xml:space="preserve"> According to DP World this signalled the first step towards its ‘beyond the gate’ strategy.</w:t>
      </w:r>
      <w:r w:rsidRPr="008A7DA0">
        <w:t xml:space="preserve"> DP World further announced a partnership with SCT Logistics in May 2015, reportedly aimed at providing exporters from the Wimmera region of Victoria with the opportunity to use rail to directly access the stevedore’s container terminal </w:t>
      </w:r>
      <w:r w:rsidR="007F2432">
        <w:t>in</w:t>
      </w:r>
      <w:r w:rsidR="007F2432" w:rsidRPr="008A7DA0">
        <w:t xml:space="preserve"> </w:t>
      </w:r>
      <w:r w:rsidRPr="008A7DA0">
        <w:t>Melbourne.</w:t>
      </w:r>
      <w:r w:rsidR="00990DE5">
        <w:rPr>
          <w:rStyle w:val="FootnoteReference"/>
        </w:rPr>
        <w:footnoteReference w:id="36"/>
      </w:r>
    </w:p>
    <w:p w:rsidR="00E71BFF" w:rsidRDefault="00E71BFF" w:rsidP="00E71BFF">
      <w:r w:rsidRPr="008A7DA0">
        <w:t>In July 2015, DP World announced it was considering a joint venture with freight and logistics services company Toll Group</w:t>
      </w:r>
      <w:r>
        <w:t>.</w:t>
      </w:r>
      <w:r w:rsidR="00E74EF5">
        <w:rPr>
          <w:rStyle w:val="FootnoteReference"/>
        </w:rPr>
        <w:footnoteReference w:id="37"/>
      </w:r>
      <w:r>
        <w:t xml:space="preserve"> This joint venture</w:t>
      </w:r>
      <w:r w:rsidRPr="008A7DA0">
        <w:t xml:space="preserve"> </w:t>
      </w:r>
      <w:r w:rsidR="007F2432">
        <w:t>will</w:t>
      </w:r>
      <w:r w:rsidR="007F2432" w:rsidRPr="008A7DA0">
        <w:t xml:space="preserve"> </w:t>
      </w:r>
      <w:r>
        <w:t xml:space="preserve">reportedly </w:t>
      </w:r>
      <w:r w:rsidRPr="008A7DA0">
        <w:t xml:space="preserve">use rail to transport containers between Port Botany and an intermodal terminal in Villawood, with a direct rail connection to DP World’s staging facility next to the wharf. The media release by the companies said: </w:t>
      </w:r>
    </w:p>
    <w:p w:rsidR="00E71BFF" w:rsidRPr="00331CAA" w:rsidRDefault="00E71BFF" w:rsidP="00E71BFF">
      <w:pPr>
        <w:pStyle w:val="Quote"/>
      </w:pPr>
      <w:r w:rsidRPr="00331CAA">
        <w:t>By using the expertise and existing assets of DP World Australia and Toll, this proposed joint venture will create new efficiencies and competition in the Sydney import-export (IMEX) supply chain.</w:t>
      </w:r>
    </w:p>
    <w:p w:rsidR="004F66C6" w:rsidRPr="00331CAA" w:rsidRDefault="00E71BFF" w:rsidP="00E71BFF">
      <w:r w:rsidRPr="00331CAA">
        <w:t xml:space="preserve">DP World </w:t>
      </w:r>
      <w:r w:rsidR="00A97795">
        <w:t xml:space="preserve">has indicated </w:t>
      </w:r>
      <w:r w:rsidR="00FB5AC6">
        <w:t xml:space="preserve">it is seeking to get </w:t>
      </w:r>
      <w:r w:rsidR="002A4A2F">
        <w:t>‘</w:t>
      </w:r>
      <w:r w:rsidRPr="00331CAA">
        <w:t>closer to the farm for exporters and closer to the end consumer for importers</w:t>
      </w:r>
      <w:r w:rsidR="00A97795">
        <w:t>’</w:t>
      </w:r>
      <w:r w:rsidRPr="00331CAA">
        <w:t>.</w:t>
      </w:r>
      <w:r w:rsidRPr="00331CAA">
        <w:rPr>
          <w:rStyle w:val="FootnoteReference"/>
        </w:rPr>
        <w:footnoteReference w:id="38"/>
      </w:r>
      <w:r w:rsidRPr="00331CAA">
        <w:t xml:space="preserve">  </w:t>
      </w:r>
    </w:p>
    <w:p w:rsidR="00E71BFF" w:rsidRPr="004A4223" w:rsidRDefault="007D4D3C" w:rsidP="00E71BFF">
      <w:r>
        <w:t>On 1 August 2015</w:t>
      </w:r>
      <w:r w:rsidR="007F2432">
        <w:t>,</w:t>
      </w:r>
      <w:r w:rsidR="00E71BFF" w:rsidRPr="00331CAA">
        <w:t xml:space="preserve"> Patrick enter</w:t>
      </w:r>
      <w:r>
        <w:t>ed</w:t>
      </w:r>
      <w:r w:rsidR="00E71BFF" w:rsidRPr="00331CAA">
        <w:t xml:space="preserve"> into a joint venture with Australian Container Freight Services (ACFS), combining their two landside logistics businesses. It is expected the joint venture will be one of the</w:t>
      </w:r>
      <w:r w:rsidR="00E71BFF" w:rsidRPr="004A4223">
        <w:t xml:space="preserve"> largest providers of container transport, and warehousing and distribution services in Sydney, Melbourne, Brisbane and Fremantle. The ACCC reviewed the proposed joint venture arrangements under section 50 of the CCA insofar as it provided for an ac</w:t>
      </w:r>
      <w:r w:rsidR="00FB5AC6">
        <w:t>quisition of shares or assets.</w:t>
      </w:r>
      <w:r w:rsidR="00F131AF" w:rsidRPr="00F67004">
        <w:rPr>
          <w:rStyle w:val="FootnoteReference"/>
          <w:bCs/>
          <w:iCs/>
        </w:rPr>
        <w:footnoteReference w:id="39"/>
      </w:r>
      <w:r w:rsidR="00FB5AC6">
        <w:t xml:space="preserve"> </w:t>
      </w:r>
      <w:r w:rsidR="00E71BFF" w:rsidRPr="004A4223">
        <w:t>The ACCC concluded the acquisition was unlikely to lead to a substantial lessening of competition. The ACCC determined that, following the joint venture, Patrick and ACFS would continue to face competition from a number of alternative logistics providers (including Qube, Toll Extra, Swift, Chalmers and others).</w:t>
      </w:r>
    </w:p>
    <w:p w:rsidR="00E71BFF" w:rsidRDefault="00E71BFF" w:rsidP="00E71BFF">
      <w:r>
        <w:t>The ACCC notes that of the stevedores operating at the four largest ports, Patrick is currently the only solely domestic operator</w:t>
      </w:r>
      <w:r w:rsidR="007A6153">
        <w:t>—</w:t>
      </w:r>
      <w:r>
        <w:t xml:space="preserve">that is, without affiliated port operations overseas. </w:t>
      </w:r>
      <w:proofErr w:type="gramStart"/>
      <w:r w:rsidR="007F2432">
        <w:t xml:space="preserve">Both </w:t>
      </w:r>
      <w:r>
        <w:t>DP</w:t>
      </w:r>
      <w:proofErr w:type="gramEnd"/>
      <w:r>
        <w:t xml:space="preserve"> World and Hutchison (as well as VICTL) have international connections through their foreign parent companies. </w:t>
      </w:r>
    </w:p>
    <w:p w:rsidR="00E71BFF" w:rsidRDefault="00E71BFF" w:rsidP="00E71BFF">
      <w:r w:rsidRPr="004A4223">
        <w:t>Comments by Asciano in May 2015 indicated that Patrick was looking to develop an alliance with an international company, possibly by selling a minority stake</w:t>
      </w:r>
      <w:r w:rsidR="00DC33BE">
        <w:t>:</w:t>
      </w:r>
      <w:r>
        <w:rPr>
          <w:rStyle w:val="FootnoteReference"/>
        </w:rPr>
        <w:footnoteReference w:id="40"/>
      </w:r>
      <w:r w:rsidRPr="004A4223">
        <w:t xml:space="preserve">  </w:t>
      </w:r>
    </w:p>
    <w:p w:rsidR="00FD69F7" w:rsidRDefault="00E71BFF" w:rsidP="0074379E">
      <w:pPr>
        <w:pStyle w:val="Quote"/>
      </w:pPr>
      <w:r>
        <w:t>Our customers are global, all our competitors are global, and we are purely Australian, so if we can find some sort of strategic link that would allow us to participate in that world, potentially putting our toe in the water for growth with them, that would be attractive.</w:t>
      </w:r>
      <w:r>
        <w:rPr>
          <w:rStyle w:val="FootnoteReference"/>
        </w:rPr>
        <w:footnoteReference w:id="41"/>
      </w:r>
      <w:r>
        <w:t xml:space="preserve">  </w:t>
      </w:r>
    </w:p>
    <w:p w:rsidR="00377A00" w:rsidRDefault="00377A00" w:rsidP="00377A00">
      <w:r>
        <w:t xml:space="preserve">Since then, Asciano has received a proposal from a consortium </w:t>
      </w:r>
      <w:r w:rsidRPr="003060D7">
        <w:t xml:space="preserve">assembled by </w:t>
      </w:r>
      <w:r>
        <w:t xml:space="preserve">Brookfield Infrastructure </w:t>
      </w:r>
      <w:r w:rsidRPr="003060D7">
        <w:t>Partners L.P. (</w:t>
      </w:r>
      <w:r w:rsidRPr="0002124F">
        <w:rPr>
          <w:bCs/>
        </w:rPr>
        <w:t>Brookfield</w:t>
      </w:r>
      <w:r w:rsidRPr="003060D7">
        <w:t xml:space="preserve">) </w:t>
      </w:r>
      <w:r>
        <w:t>to acquire Asciano Limited</w:t>
      </w:r>
      <w:r w:rsidR="00F455C7">
        <w:t xml:space="preserve"> (Asciano)</w:t>
      </w:r>
      <w:r>
        <w:t>.</w:t>
      </w:r>
      <w:r>
        <w:rPr>
          <w:rStyle w:val="FootnoteReference"/>
        </w:rPr>
        <w:footnoteReference w:id="42"/>
      </w:r>
      <w:r>
        <w:t xml:space="preserve"> Asciano holds interests in above rail freight services, as well as operating as a stevedore. Brookfield has interests in port and rail infrastructure globally, including 30 port terminals in North America, UK and across Europe, and rail freight networks in Western Australia.</w:t>
      </w:r>
      <w:r>
        <w:rPr>
          <w:rStyle w:val="FootnoteReference"/>
        </w:rPr>
        <w:footnoteReference w:id="43"/>
      </w:r>
      <w:r>
        <w:t xml:space="preserve"> As a result, if Brookfield acquires Asciano, </w:t>
      </w:r>
      <w:r w:rsidRPr="003060D7">
        <w:t>the vertical integration arising from the proposed acquisition will result in the merged entity having interests in stevedoring as well as above rail freight services and below rail infrastructure in Australia</w:t>
      </w:r>
      <w:r w:rsidRPr="002371AA">
        <w:t>.</w:t>
      </w:r>
    </w:p>
    <w:p w:rsidR="0038098D" w:rsidRPr="00095872" w:rsidRDefault="00377A00" w:rsidP="00377A00">
      <w:r w:rsidRPr="00095872">
        <w:t>Vertical and conglomerate mergers will often promote efficiency by combining complementary or related assets or services which may benefit customers through increased convenience and reduced transaction costs. In the majority of cases, non</w:t>
      </w:r>
      <w:r w:rsidR="007F2432" w:rsidRPr="00095872">
        <w:noBreakHyphen/>
      </w:r>
      <w:r w:rsidRPr="00095872">
        <w:t xml:space="preserve">horizontal mergers will raise no competition concerns. </w:t>
      </w:r>
      <w:r w:rsidR="0038098D" w:rsidRPr="00095872">
        <w:t>However, non-horizontal mergers may raise competition concerns where the merged entity has market power at one vertical level that can be leveraged to reduce or foreclose competition in the complementary (vertically related) market.</w:t>
      </w:r>
    </w:p>
    <w:p w:rsidR="00377A00" w:rsidRDefault="00377A00" w:rsidP="00377A00">
      <w:r w:rsidRPr="00095872">
        <w:t>If a firm proposes to enter an upstream or downstream market by acquiring shares or assets, the ACCC can assess any anti-competitive effects under section 50 of the CCA. However, if a firm enters a market, or expands its presence, without acquiring any shares or assets, its conduct will fall outside the scope of section 50.</w:t>
      </w:r>
      <w:r w:rsidR="0038098D" w:rsidRPr="00095872">
        <w:t xml:space="preserve"> Conduct may</w:t>
      </w:r>
      <w:r w:rsidR="000B0BDE" w:rsidRPr="00095872">
        <w:t>, however,</w:t>
      </w:r>
      <w:r w:rsidR="0038098D" w:rsidRPr="00095872">
        <w:t xml:space="preserve"> raise competition concerns under other p</w:t>
      </w:r>
      <w:r w:rsidR="00C12B74" w:rsidRPr="00095872">
        <w:t>rovisions of Part IV of the CCA</w:t>
      </w:r>
      <w:r w:rsidR="0038098D" w:rsidRPr="00095872">
        <w:t xml:space="preserve">, for example where a contract </w:t>
      </w:r>
      <w:r w:rsidR="00C12B74" w:rsidRPr="00095872">
        <w:t xml:space="preserve">or </w:t>
      </w:r>
      <w:r w:rsidR="0038098D" w:rsidRPr="00095872">
        <w:t>arrangement results in a substantial lessening of competition.</w:t>
      </w:r>
      <w:r w:rsidR="0038098D" w:rsidRPr="00095872">
        <w:rPr>
          <w:rStyle w:val="FootnoteReference"/>
        </w:rPr>
        <w:footnoteReference w:id="44"/>
      </w:r>
      <w:r w:rsidR="0038098D">
        <w:t xml:space="preserve"> </w:t>
      </w:r>
    </w:p>
    <w:p w:rsidR="00E71BFF" w:rsidRDefault="00E71BFF" w:rsidP="0074379E">
      <w:pPr>
        <w:pStyle w:val="Numbered111"/>
      </w:pPr>
      <w:bookmarkStart w:id="32" w:name="_Toc433666996"/>
      <w:r>
        <w:t>With a more competitive industry dynamic, Fremantle Ports is tendering its new stevedoring leases</w:t>
      </w:r>
      <w:bookmarkEnd w:id="32"/>
    </w:p>
    <w:p w:rsidR="00E71BFF" w:rsidRDefault="00E71BFF" w:rsidP="00E71BFF">
      <w:r>
        <w:t>In October 2014, Fremantle Ports put the leases over the two stevedoring terminals up for tender.</w:t>
      </w:r>
      <w:r>
        <w:rPr>
          <w:rStyle w:val="FootnoteReference"/>
        </w:rPr>
        <w:footnoteReference w:id="45"/>
      </w:r>
      <w:r>
        <w:t xml:space="preserve"> Patrick and DP World currently have 21-year leases, which are due to expire in May 2017. This has the potential to be a positive development as Fremantle Ports has the opportunity to improve the capacity and performance of the terminals, including their interactions with the landside supply chain. The strategic objectives Fremantle Ports is seeking from the tender include</w:t>
      </w:r>
      <w:r w:rsidR="00004632">
        <w:t xml:space="preserve"> to</w:t>
      </w:r>
      <w:r>
        <w:t>:</w:t>
      </w:r>
    </w:p>
    <w:p w:rsidR="00E71BFF" w:rsidRDefault="00004632" w:rsidP="00E71BFF">
      <w:pPr>
        <w:pStyle w:val="Quote"/>
      </w:pPr>
      <w:r>
        <w:t>[M]</w:t>
      </w:r>
      <w:proofErr w:type="spellStart"/>
      <w:r>
        <w:t>aximise</w:t>
      </w:r>
      <w:proofErr w:type="spellEnd"/>
      <w:r>
        <w:t xml:space="preserve"> </w:t>
      </w:r>
      <w:r w:rsidR="00E71BFF">
        <w:t>terminal throughput capacity by achieving efficiencies that are comparable to leading international container terminal operations; and</w:t>
      </w:r>
    </w:p>
    <w:p w:rsidR="00E71BFF" w:rsidRDefault="00004632" w:rsidP="00E71BFF">
      <w:pPr>
        <w:pStyle w:val="Quote"/>
      </w:pPr>
      <w:r>
        <w:t>[</w:t>
      </w:r>
      <w:r w:rsidR="00E71BFF">
        <w:t>E</w:t>
      </w:r>
      <w:r>
        <w:t>]</w:t>
      </w:r>
      <w:proofErr w:type="spellStart"/>
      <w:r>
        <w:t>nsure</w:t>
      </w:r>
      <w:proofErr w:type="spellEnd"/>
      <w:r>
        <w:t xml:space="preserve"> </w:t>
      </w:r>
      <w:r w:rsidR="00E71BFF">
        <w:t>container terminal operators work proactively with supply chain participants (for example, shipping, rail and trucking companies) to develop efficiencies that will ensure sustainable growth within and beyond the port gate.</w:t>
      </w:r>
      <w:r w:rsidR="00E71BFF">
        <w:rPr>
          <w:rStyle w:val="FootnoteReference"/>
        </w:rPr>
        <w:footnoteReference w:id="46"/>
      </w:r>
    </w:p>
    <w:p w:rsidR="00E71BFF" w:rsidRDefault="00E71BFF" w:rsidP="00E71BFF">
      <w:r>
        <w:t xml:space="preserve">Fremantle Ports may </w:t>
      </w:r>
      <w:r w:rsidR="005B1F63">
        <w:t xml:space="preserve">be </w:t>
      </w:r>
      <w:r>
        <w:t>follow</w:t>
      </w:r>
      <w:r w:rsidR="005B1F63">
        <w:t>ing</w:t>
      </w:r>
      <w:r>
        <w:t xml:space="preserve"> other port operators who have taken advantage of the renegotiation of stevedoring leases to introduce benchmarks or incentives for performance.</w:t>
      </w:r>
    </w:p>
    <w:p w:rsidR="00E71BFF" w:rsidRDefault="00E71BFF" w:rsidP="00E71BFF">
      <w:r>
        <w:t xml:space="preserve">For example, when Sydney Ports Corporation renegotiated </w:t>
      </w:r>
      <w:r w:rsidR="00646D30">
        <w:t>its stevedoring</w:t>
      </w:r>
      <w:r>
        <w:t xml:space="preserve"> terminal leases</w:t>
      </w:r>
      <w:r w:rsidR="00646D30">
        <w:t>,</w:t>
      </w:r>
      <w:r>
        <w:t xml:space="preserve"> the ACCC understand</w:t>
      </w:r>
      <w:r w:rsidR="001B0C01">
        <w:t>s</w:t>
      </w:r>
      <w:r>
        <w:t xml:space="preserve"> there was a performance based component of the rent, as well as other measures to improve efficiency</w:t>
      </w:r>
      <w:r w:rsidR="00646D30">
        <w:t>,</w:t>
      </w:r>
      <w:r>
        <w:t xml:space="preserve"> and targets for servicing road and rail.</w:t>
      </w:r>
      <w:r>
        <w:rPr>
          <w:rStyle w:val="FootnoteReference"/>
        </w:rPr>
        <w:footnoteReference w:id="47"/>
      </w:r>
      <w:r>
        <w:t xml:space="preserve"> Another example is when the Port of Melbourne sought expressions of interest for a third terminal operator</w:t>
      </w:r>
      <w:r w:rsidR="005B1F63">
        <w:t>.</w:t>
      </w:r>
      <w:r>
        <w:t xml:space="preserve"> </w:t>
      </w:r>
      <w:r w:rsidR="005B1F63">
        <w:t>I</w:t>
      </w:r>
      <w:r>
        <w:t xml:space="preserve">t requested </w:t>
      </w:r>
      <w:r w:rsidR="00646D30">
        <w:t xml:space="preserve">that </w:t>
      </w:r>
      <w:r>
        <w:t xml:space="preserve">bidders </w:t>
      </w:r>
      <w:r w:rsidR="00646D30">
        <w:t xml:space="preserve">specified the average </w:t>
      </w:r>
      <w:r>
        <w:t xml:space="preserve">truck turnaround times they would achieve, </w:t>
      </w:r>
      <w:r w:rsidR="00646D30">
        <w:t xml:space="preserve">their </w:t>
      </w:r>
      <w:r>
        <w:t>plans for increasing off-peak truck arrivals and other landside key performance indicators</w:t>
      </w:r>
      <w:r w:rsidR="00646D30">
        <w:t xml:space="preserve"> to which they would adhere</w:t>
      </w:r>
      <w:r>
        <w:t>.</w:t>
      </w:r>
      <w:r>
        <w:rPr>
          <w:rStyle w:val="FootnoteReference"/>
        </w:rPr>
        <w:footnoteReference w:id="48"/>
      </w:r>
      <w:r>
        <w:t xml:space="preserve"> </w:t>
      </w:r>
    </w:p>
    <w:p w:rsidR="00E71BFF" w:rsidRDefault="00E71BFF" w:rsidP="00E71BFF">
      <w:r>
        <w:t xml:space="preserve">If, as it appears, there is a trend toward performance based stevedoring leases, the ACCC believes this </w:t>
      </w:r>
      <w:r w:rsidR="005B1F63">
        <w:t>is a</w:t>
      </w:r>
      <w:r w:rsidR="001B0C01">
        <w:t xml:space="preserve"> </w:t>
      </w:r>
      <w:r>
        <w:t xml:space="preserve">positive development </w:t>
      </w:r>
      <w:r w:rsidR="005B1F63">
        <w:t>if it</w:t>
      </w:r>
      <w:r>
        <w:t xml:space="preserve"> lead</w:t>
      </w:r>
      <w:r w:rsidR="005B1F63">
        <w:t>s</w:t>
      </w:r>
      <w:r>
        <w:t xml:space="preserve"> to increased efficiencies at the terminals and along the supply chain. </w:t>
      </w:r>
    </w:p>
    <w:p w:rsidR="00E71BFF" w:rsidRDefault="00E71BFF" w:rsidP="00E71BFF">
      <w:r>
        <w:t xml:space="preserve">Potential benefits, however, could be lost if bidders for new stevedoring leases are chosen based on price at the expense of competitive outcomes and improved terminal performance. This is particularly relevant in the context of the </w:t>
      </w:r>
      <w:r w:rsidR="00FD69F7">
        <w:t xml:space="preserve">proposed </w:t>
      </w:r>
      <w:r>
        <w:t xml:space="preserve">privatisation of </w:t>
      </w:r>
      <w:r w:rsidR="009D54B7">
        <w:t>the Port of Fremantle</w:t>
      </w:r>
      <w:r w:rsidR="00004632">
        <w:t>, as t</w:t>
      </w:r>
      <w:r>
        <w:t xml:space="preserve">his may provide a basis for inflating the value of the terminals and therefore the amount that bidders </w:t>
      </w:r>
      <w:r w:rsidR="00F05DCE">
        <w:t xml:space="preserve">for the </w:t>
      </w:r>
      <w:r w:rsidR="009D54B7">
        <w:t xml:space="preserve">long term lease of the </w:t>
      </w:r>
      <w:r w:rsidR="00F05DCE">
        <w:t xml:space="preserve">port </w:t>
      </w:r>
      <w:r>
        <w:t xml:space="preserve">are willing to put forward. </w:t>
      </w:r>
    </w:p>
    <w:p w:rsidR="00E71BFF" w:rsidRDefault="00E71BFF" w:rsidP="0074379E">
      <w:pPr>
        <w:pStyle w:val="Numbered111"/>
      </w:pPr>
      <w:bookmarkStart w:id="33" w:name="_Toc433666997"/>
      <w:r>
        <w:t>There continue to be challenges for new entrants</w:t>
      </w:r>
      <w:bookmarkEnd w:id="33"/>
    </w:p>
    <w:p w:rsidR="00E71BFF" w:rsidRDefault="00E71BFF" w:rsidP="00E71BFF">
      <w:r>
        <w:t xml:space="preserve">While greater competition in the Australian stevedoring </w:t>
      </w:r>
      <w:r w:rsidR="000F31EF">
        <w:t xml:space="preserve">industry </w:t>
      </w:r>
      <w:r>
        <w:t xml:space="preserve">is delivering changes to the benefit of users of stevedoring services, challenges remain for new entrants. Hutchison </w:t>
      </w:r>
      <w:r w:rsidR="004E4187">
        <w:t>has been operational since 2013 but</w:t>
      </w:r>
      <w:r>
        <w:t xml:space="preserve"> is yet to attract </w:t>
      </w:r>
      <w:r w:rsidR="005B1F63">
        <w:t>adequate</w:t>
      </w:r>
      <w:r>
        <w:t xml:space="preserve"> market share. </w:t>
      </w:r>
      <w:r w:rsidR="00B22B49">
        <w:t>S</w:t>
      </w:r>
      <w:r w:rsidR="004E4187">
        <w:t>ome of th</w:t>
      </w:r>
      <w:r w:rsidR="003F1745">
        <w:t xml:space="preserve">is may be internal to Hutchison, </w:t>
      </w:r>
      <w:r w:rsidR="00B22B49">
        <w:t xml:space="preserve">however, </w:t>
      </w:r>
      <w:r w:rsidR="003F1745">
        <w:t xml:space="preserve">other issues relate to the industry more broadly. </w:t>
      </w:r>
    </w:p>
    <w:p w:rsidR="00E71BFF" w:rsidRDefault="00E71BFF" w:rsidP="00E71BFF">
      <w:r>
        <w:t xml:space="preserve">Past monitoring reports have documented a number of factors likely to present challenges </w:t>
      </w:r>
      <w:r w:rsidR="00C65441">
        <w:t xml:space="preserve">to new </w:t>
      </w:r>
      <w:r>
        <w:t xml:space="preserve">entrants. These included the need for economies of scale, the availability of contracts with shipping lines, differences in timing of new terminals and a preference of some lines for </w:t>
      </w:r>
      <w:r w:rsidR="00DD32A0">
        <w:t xml:space="preserve">a </w:t>
      </w:r>
      <w:r>
        <w:t xml:space="preserve">national </w:t>
      </w:r>
      <w:r w:rsidR="00DD32A0">
        <w:t>stevedoring service</w:t>
      </w:r>
      <w:r>
        <w:t>.</w:t>
      </w:r>
      <w:r>
        <w:rPr>
          <w:rStyle w:val="FootnoteReference"/>
        </w:rPr>
        <w:footnoteReference w:id="49"/>
      </w:r>
      <w:r>
        <w:t xml:space="preserve"> Others included existing relationships between lines and stevedores, possible rebates and discounts offered by the incumbents based on national volumes and subcontracting arrangements between the incumbent stevedores.</w:t>
      </w:r>
      <w:r>
        <w:rPr>
          <w:rStyle w:val="FootnoteReference"/>
        </w:rPr>
        <w:footnoteReference w:id="50"/>
      </w:r>
      <w:r>
        <w:t xml:space="preserve"> Many of these challenges are likely to still be relevant. </w:t>
      </w:r>
    </w:p>
    <w:p w:rsidR="00E71BFF" w:rsidRDefault="00E71BFF" w:rsidP="00E71BFF">
      <w:r>
        <w:t xml:space="preserve">In relation to subcontracting, Hutchison previously expressed the view that: </w:t>
      </w:r>
    </w:p>
    <w:p w:rsidR="00E71BFF" w:rsidRDefault="00E71BFF" w:rsidP="00E71BFF">
      <w:pPr>
        <w:pStyle w:val="Quote"/>
      </w:pPr>
      <w:r>
        <w:t>[A]</w:t>
      </w:r>
      <w:proofErr w:type="spellStart"/>
      <w:r>
        <w:t>greements</w:t>
      </w:r>
      <w:proofErr w:type="spellEnd"/>
      <w:r>
        <w:t xml:space="preserve"> that automatically </w:t>
      </w:r>
      <w:proofErr w:type="gramStart"/>
      <w:r>
        <w:t>transfer overflow</w:t>
      </w:r>
      <w:proofErr w:type="gramEnd"/>
      <w:r>
        <w:t xml:space="preserve"> work to another stevedore are no longer appropriate in market where there are more than two suppliers.</w:t>
      </w:r>
      <w:r>
        <w:rPr>
          <w:rStyle w:val="FootnoteReference"/>
        </w:rPr>
        <w:footnoteReference w:id="51"/>
      </w:r>
      <w:r>
        <w:t xml:space="preserve"> </w:t>
      </w:r>
    </w:p>
    <w:p w:rsidR="00E71BFF" w:rsidRDefault="00E71BFF" w:rsidP="00E71BFF">
      <w:r>
        <w:t xml:space="preserve">It was further noted by Hutchison (in relation to the incumbent stevedores) that: </w:t>
      </w:r>
    </w:p>
    <w:p w:rsidR="00E71BFF" w:rsidRDefault="00E71BFF" w:rsidP="00E71BFF">
      <w:pPr>
        <w:pStyle w:val="Quote"/>
      </w:pPr>
      <w:r>
        <w:t>T</w:t>
      </w:r>
      <w:r w:rsidRPr="003E060A">
        <w:t>he prospect of helping a new entrant into the market by directing overflow work could be considered by them as a disincentive</w:t>
      </w:r>
      <w:r>
        <w:t xml:space="preserve">. </w:t>
      </w:r>
    </w:p>
    <w:p w:rsidR="00E71BFF" w:rsidRDefault="00E71BFF" w:rsidP="00E71BFF">
      <w:r>
        <w:t xml:space="preserve">The ACCC notes that during </w:t>
      </w:r>
      <w:r w:rsidR="00D8433D">
        <w:t>2014–15</w:t>
      </w:r>
      <w:r w:rsidR="005B1F63">
        <w:t>,</w:t>
      </w:r>
      <w:r>
        <w:t xml:space="preserve"> Patrick</w:t>
      </w:r>
      <w:r w:rsidRPr="00440B18">
        <w:t xml:space="preserve"> </w:t>
      </w:r>
      <w:r>
        <w:t xml:space="preserve">subcontracted work to both DP World and Hutchison when it </w:t>
      </w:r>
      <w:r w:rsidRPr="00440B18">
        <w:t xml:space="preserve">had reduced capacity as it </w:t>
      </w:r>
      <w:r>
        <w:t xml:space="preserve">installed and </w:t>
      </w:r>
      <w:r w:rsidRPr="00440B18">
        <w:t xml:space="preserve">transitioned to </w:t>
      </w:r>
      <w:r>
        <w:t>its semi</w:t>
      </w:r>
      <w:r>
        <w:noBreakHyphen/>
      </w:r>
      <w:r w:rsidRPr="00440B18">
        <w:t>automated terminal</w:t>
      </w:r>
      <w:r>
        <w:t xml:space="preserve"> system </w:t>
      </w:r>
      <w:r w:rsidRPr="00750BBA">
        <w:t>at Port Botany.</w:t>
      </w:r>
      <w:r>
        <w:rPr>
          <w:rStyle w:val="FootnoteReference"/>
        </w:rPr>
        <w:footnoteReference w:id="52"/>
      </w:r>
      <w:r>
        <w:t xml:space="preserve"> It therefore appear</w:t>
      </w:r>
      <w:r w:rsidR="001B45E1">
        <w:t>s</w:t>
      </w:r>
      <w:r>
        <w:t xml:space="preserve"> there can be opportunities for new entrants to be included in subcontracting arrangements. </w:t>
      </w:r>
    </w:p>
    <w:p w:rsidR="002D020B" w:rsidRDefault="000D424F" w:rsidP="00E71BFF">
      <w:r>
        <w:t>Other concerns raised by H</w:t>
      </w:r>
      <w:r w:rsidR="001B0C01">
        <w:t>utchison</w:t>
      </w:r>
      <w:r>
        <w:t xml:space="preserve"> </w:t>
      </w:r>
      <w:r w:rsidR="002D020B">
        <w:t xml:space="preserve">upon entering the industry </w:t>
      </w:r>
      <w:r>
        <w:t>were around the nature</w:t>
      </w:r>
      <w:r w:rsidR="002D020B">
        <w:t xml:space="preserve"> of</w:t>
      </w:r>
      <w:r>
        <w:t xml:space="preserve"> shipping lines</w:t>
      </w:r>
      <w:r w:rsidR="002D020B">
        <w:t>’</w:t>
      </w:r>
      <w:r>
        <w:t xml:space="preserve"> agreements with stevedores. </w:t>
      </w:r>
    </w:p>
    <w:p w:rsidR="002D020B" w:rsidRDefault="000D424F" w:rsidP="00E71BFF">
      <w:r>
        <w:t xml:space="preserve">For example, </w:t>
      </w:r>
      <w:r w:rsidR="002D020B">
        <w:t>H</w:t>
      </w:r>
      <w:r w:rsidR="001B0C01">
        <w:t>utchison</w:t>
      </w:r>
      <w:r w:rsidR="002D020B">
        <w:t xml:space="preserve"> previously expressed concern that where shipping lines are operating within a </w:t>
      </w:r>
      <w:r w:rsidR="001C2720">
        <w:t>conference</w:t>
      </w:r>
      <w:r w:rsidR="002D020B">
        <w:t>, staggered end dates of</w:t>
      </w:r>
      <w:r w:rsidR="002D020B" w:rsidRPr="000D424F">
        <w:t xml:space="preserve"> shipping line</w:t>
      </w:r>
      <w:r w:rsidR="00C65441">
        <w:t>s’</w:t>
      </w:r>
      <w:r w:rsidR="002D020B" w:rsidRPr="000D424F">
        <w:t xml:space="preserve"> agreements with stevedores make it difficult for conference services to go to the market. </w:t>
      </w:r>
      <w:r w:rsidR="002D020B">
        <w:t xml:space="preserve">The ACCC has previously noted that this a commercial matter for shipping lines to consider in their negotiations with stevedores. </w:t>
      </w:r>
    </w:p>
    <w:p w:rsidR="005257D8" w:rsidRDefault="00E71BFF" w:rsidP="00E71BFF">
      <w:r>
        <w:t xml:space="preserve">The need to be able to offer a national service to shipping lines has </w:t>
      </w:r>
      <w:r w:rsidR="002D020B">
        <w:t xml:space="preserve">also </w:t>
      </w:r>
      <w:r>
        <w:t>been raised as a possible challenge for new entrants.</w:t>
      </w:r>
      <w:r w:rsidDel="004D0174">
        <w:t xml:space="preserve"> </w:t>
      </w:r>
      <w:r>
        <w:t>A new stevedore operating in just one or two ports may not be able to offer a national service and therefore the advantages it may provide</w:t>
      </w:r>
      <w:r w:rsidRPr="00FD4940">
        <w:t xml:space="preserve"> </w:t>
      </w:r>
      <w:r>
        <w:t>shipping lines.</w:t>
      </w:r>
      <w:r w:rsidRPr="004C3212">
        <w:t xml:space="preserve"> </w:t>
      </w:r>
      <w:r>
        <w:t xml:space="preserve">For example, national contracts may reduce transaction costs by allowing a shipping line to deal with a single stevedore rather than a different one at each port. Further, a stevedore that provides a national service may be able to offer lines incentives in terms of volume discounts, and coordinate its terminals so </w:t>
      </w:r>
      <w:r w:rsidR="001B0C01">
        <w:t xml:space="preserve">that </w:t>
      </w:r>
      <w:r>
        <w:t xml:space="preserve">a vessel that arrives </w:t>
      </w:r>
      <w:r w:rsidR="00C65441">
        <w:t xml:space="preserve">late </w:t>
      </w:r>
      <w:r>
        <w:t>at a port can be brought back on schedule by the time it leaves Australia.</w:t>
      </w:r>
      <w:r w:rsidR="005257D8" w:rsidRPr="005257D8">
        <w:t xml:space="preserve"> </w:t>
      </w:r>
    </w:p>
    <w:p w:rsidR="005257D8" w:rsidRDefault="00E71BFF" w:rsidP="005257D8">
      <w:r>
        <w:t>Feedback from stakeholders has been mixed on the extent to which the inability to offer a national service presents a challenge to new entrants. Some indicated it is not an issue by comparing Australia with other regions, for example, Europe, where lines generally use a different stevedore in each port. The increase in capacity may also mean it is now easier to get late ships back on schedule</w:t>
      </w:r>
      <w:r w:rsidRPr="006A28CE">
        <w:t xml:space="preserve"> </w:t>
      </w:r>
      <w:r>
        <w:t xml:space="preserve">regardless of whether a national contract is in place. Further, heightened competition may mean that stevedores </w:t>
      </w:r>
      <w:r w:rsidR="001B45E1">
        <w:t xml:space="preserve">now </w:t>
      </w:r>
      <w:r>
        <w:t xml:space="preserve">have a stronger incentive to do so. Others believe national contracting remains an important factor, and therefore a challenge for new entrants. </w:t>
      </w:r>
      <w:r w:rsidR="005257D8">
        <w:t>Hutchison reported that s</w:t>
      </w:r>
      <w:r w:rsidR="005257D8" w:rsidRPr="005257D8">
        <w:t xml:space="preserve">hipping lines prefer a three port stevedoring option on the east coast (i.e. Brisbane, Sydney and Melbourne) that is provided by the same company. Hutchison </w:t>
      </w:r>
      <w:r w:rsidR="005257D8">
        <w:t xml:space="preserve">noted it </w:t>
      </w:r>
      <w:r w:rsidR="005257D8" w:rsidRPr="005257D8">
        <w:t>does not have a presence in Melbourne and this is a challenge.</w:t>
      </w:r>
    </w:p>
    <w:p w:rsidR="00E71BFF" w:rsidRDefault="00E71BFF" w:rsidP="00E71BFF">
      <w:r>
        <w:t>Related to national contracting is the challenge presented by differences in the timing of new entry across the three east coast ports. Differences in timing</w:t>
      </w:r>
      <w:r w:rsidRPr="00982CF0">
        <w:t xml:space="preserve"> reflect</w:t>
      </w:r>
      <w:r>
        <w:t xml:space="preserve"> each</w:t>
      </w:r>
      <w:r w:rsidRPr="00982CF0">
        <w:t xml:space="preserve"> </w:t>
      </w:r>
      <w:r>
        <w:t xml:space="preserve">port’s decision about their individual </w:t>
      </w:r>
      <w:r w:rsidRPr="00982CF0">
        <w:t>requirements for capacity.</w:t>
      </w:r>
      <w:r>
        <w:t xml:space="preserve"> However, it also means there will be some years where Hutchison is </w:t>
      </w:r>
      <w:r w:rsidRPr="00297B2A">
        <w:t xml:space="preserve">competing against the incumbent stevedores without a third terminal operator </w:t>
      </w:r>
      <w:r w:rsidR="001B45E1">
        <w:t>at</w:t>
      </w:r>
      <w:r w:rsidRPr="00297B2A">
        <w:t xml:space="preserve"> </w:t>
      </w:r>
      <w:r w:rsidRPr="005E78F1">
        <w:t>Australia’s largest port</w:t>
      </w:r>
      <w:r w:rsidR="00C65441">
        <w:t xml:space="preserve"> in Melbourne</w:t>
      </w:r>
      <w:r w:rsidRPr="00297B2A">
        <w:t>.</w:t>
      </w:r>
      <w:r>
        <w:t xml:space="preserve"> The significance of a third terminal in Melbourne is that it will provide additional choice (and capacity) to shipping lines at that port, and may also provide Hutchison with the opportunity to form an alliance. The </w:t>
      </w:r>
      <w:r w:rsidRPr="00FB0717">
        <w:t xml:space="preserve">third </w:t>
      </w:r>
      <w:r>
        <w:t>operator</w:t>
      </w:r>
      <w:r w:rsidRPr="00FB0717">
        <w:t xml:space="preserve"> in Melbourne, VICTL, is due to </w:t>
      </w:r>
      <w:r w:rsidR="0064718B">
        <w:t>be ready for operation by the end of</w:t>
      </w:r>
      <w:r w:rsidRPr="00FB0717">
        <w:t xml:space="preserve"> 2016.</w:t>
      </w:r>
    </w:p>
    <w:p w:rsidR="00E71BFF" w:rsidRDefault="00E71BFF" w:rsidP="00E71BFF">
      <w:r>
        <w:t xml:space="preserve">The ACCC notes VICTL may </w:t>
      </w:r>
      <w:r w:rsidR="001E78B6">
        <w:t>face its own</w:t>
      </w:r>
      <w:r>
        <w:t xml:space="preserve"> challenge</w:t>
      </w:r>
      <w:r w:rsidR="001E78B6">
        <w:t>s</w:t>
      </w:r>
      <w:r>
        <w:t xml:space="preserve"> if, as reported, its rent is well above that being paid by the incumbents in Melbourne. If this is significant, it could limit VICTL’s ability to compete </w:t>
      </w:r>
      <w:r w:rsidR="00D44899">
        <w:t>whilst</w:t>
      </w:r>
      <w:r w:rsidR="001E78B6">
        <w:t xml:space="preserve"> earn</w:t>
      </w:r>
      <w:r w:rsidR="00D44899">
        <w:t>ing</w:t>
      </w:r>
      <w:r w:rsidR="001E78B6">
        <w:t xml:space="preserve"> a sustainable return</w:t>
      </w:r>
      <w:r>
        <w:t xml:space="preserve">. </w:t>
      </w:r>
    </w:p>
    <w:p w:rsidR="00E71BFF" w:rsidRDefault="00E71BFF" w:rsidP="00D27AA9">
      <w:r>
        <w:t xml:space="preserve">The competitive responses of the incumbent stevedores to new entry </w:t>
      </w:r>
      <w:r w:rsidR="00B22B49">
        <w:t>ha</w:t>
      </w:r>
      <w:r w:rsidR="002900AF">
        <w:t>ve</w:t>
      </w:r>
      <w:r w:rsidR="00B22B49">
        <w:t xml:space="preserve"> </w:t>
      </w:r>
      <w:r>
        <w:t xml:space="preserve">also </w:t>
      </w:r>
      <w:r w:rsidR="00B22B49">
        <w:t xml:space="preserve">likely </w:t>
      </w:r>
      <w:r>
        <w:t>increase</w:t>
      </w:r>
      <w:r w:rsidR="00B22B49">
        <w:t>d</w:t>
      </w:r>
      <w:r>
        <w:t xml:space="preserve"> the challenge of attracting market share. Two years on from Hutchison’s entry, there are strong indications the incumbents have responded positively to a more competitive environment and fought to retain market share. On top of this, it has been suggested by some stakeholders that Hutchison has had trouble responding. For example, that Hutchison did not fully account for some of the local market’s unique characteristics, and that it could have put more work into marketing </w:t>
      </w:r>
      <w:r w:rsidR="001B45E1">
        <w:t>and</w:t>
      </w:r>
      <w:r>
        <w:t xml:space="preserve"> building relationships in the industry</w:t>
      </w:r>
      <w:r w:rsidR="00D44899">
        <w:t xml:space="preserve"> </w:t>
      </w:r>
      <w:r w:rsidR="00310C23">
        <w:t>earlier on</w:t>
      </w:r>
      <w:r>
        <w:t>.</w:t>
      </w:r>
      <w:r w:rsidR="00D44899">
        <w:t xml:space="preserve"> This has also been </w:t>
      </w:r>
      <w:r w:rsidR="00310C23">
        <w:t>suggested</w:t>
      </w:r>
      <w:r w:rsidR="00D44899">
        <w:t xml:space="preserve"> </w:t>
      </w:r>
      <w:r w:rsidR="00B22B49">
        <w:t>in</w:t>
      </w:r>
      <w:r w:rsidR="00D44899">
        <w:t xml:space="preserve"> some media reports.</w:t>
      </w:r>
      <w:r>
        <w:rPr>
          <w:rStyle w:val="FootnoteReference"/>
        </w:rPr>
        <w:footnoteReference w:id="53"/>
      </w:r>
    </w:p>
    <w:p w:rsidR="00E71BFF" w:rsidRDefault="00E71BFF" w:rsidP="00E71BFF">
      <w:r>
        <w:t xml:space="preserve">Since commencing, Hutchison has acquired some shipping services including the </w:t>
      </w:r>
      <w:proofErr w:type="spellStart"/>
      <w:r>
        <w:t>Auspac</w:t>
      </w:r>
      <w:proofErr w:type="spellEnd"/>
      <w:r>
        <w:t xml:space="preserve"> consortium, Kiwi International Express (KIX) service</w:t>
      </w:r>
      <w:r w:rsidR="005257D8">
        <w:t xml:space="preserve">, </w:t>
      </w:r>
      <w:r w:rsidR="005257D8" w:rsidRPr="005257D8">
        <w:t>Panama (PAD) service</w:t>
      </w:r>
      <w:r>
        <w:t xml:space="preserve"> and </w:t>
      </w:r>
      <w:r w:rsidR="005257D8" w:rsidRPr="005257D8">
        <w:t>South East Asia Australia Lane (ASAL) service</w:t>
      </w:r>
      <w:r>
        <w:t>.</w:t>
      </w:r>
      <w:r>
        <w:rPr>
          <w:rStyle w:val="FootnoteReference"/>
        </w:rPr>
        <w:footnoteReference w:id="54"/>
      </w:r>
      <w:r>
        <w:t xml:space="preserve"> During </w:t>
      </w:r>
      <w:r w:rsidR="00D8433D">
        <w:t>2014–15</w:t>
      </w:r>
      <w:r>
        <w:t xml:space="preserve">, press reports indicated Hutchison also acquired ANL’s </w:t>
      </w:r>
      <w:proofErr w:type="spellStart"/>
      <w:r>
        <w:t>Tranztas</w:t>
      </w:r>
      <w:proofErr w:type="spellEnd"/>
      <w:r>
        <w:t xml:space="preserve"> service at Port Botany. This service also stops in Melbourne where it uses DP World.</w:t>
      </w:r>
      <w:r>
        <w:rPr>
          <w:rStyle w:val="FootnoteReference"/>
        </w:rPr>
        <w:footnoteReference w:id="55"/>
      </w:r>
      <w:r>
        <w:t xml:space="preserve"> </w:t>
      </w:r>
    </w:p>
    <w:p w:rsidR="00310C23" w:rsidRPr="0068078D" w:rsidRDefault="004F1A4B" w:rsidP="00310C23">
      <w:r>
        <w:t>If there are obstacles to shipping lines switching to new stevedores, t</w:t>
      </w:r>
      <w:r w:rsidR="00E71BFF">
        <w:t>he ACCC considers the shipping industry</w:t>
      </w:r>
      <w:r w:rsidR="007A6153">
        <w:t>—</w:t>
      </w:r>
      <w:r w:rsidR="00E71BFF">
        <w:t>which for so long called for improved stevedoring performance in Australia</w:t>
      </w:r>
      <w:r w:rsidR="007A6153">
        <w:t>—</w:t>
      </w:r>
      <w:r w:rsidR="0084003F">
        <w:t xml:space="preserve">may </w:t>
      </w:r>
      <w:r w:rsidR="001230F9">
        <w:t>have a role in overcoming these</w:t>
      </w:r>
      <w:r>
        <w:t xml:space="preserve">. </w:t>
      </w:r>
      <w:r w:rsidR="00242A21">
        <w:t xml:space="preserve">For example, if shipping lines are impeded or dissuaded from switching due to existing arrangements </w:t>
      </w:r>
      <w:r w:rsidR="00023D2A">
        <w:t>with stevedores</w:t>
      </w:r>
      <w:r w:rsidR="00242A21">
        <w:t xml:space="preserve"> or </w:t>
      </w:r>
      <w:r w:rsidR="00023D2A">
        <w:t xml:space="preserve">service </w:t>
      </w:r>
      <w:r w:rsidR="00242A21">
        <w:t>preferences</w:t>
      </w:r>
      <w:r w:rsidR="00AF4EB7">
        <w:t xml:space="preserve"> (for example, for a national stevedoring service)</w:t>
      </w:r>
      <w:r w:rsidR="00242A21">
        <w:t xml:space="preserve">, </w:t>
      </w:r>
      <w:r w:rsidR="00310C23">
        <w:t xml:space="preserve">the shipping industry may be able to work with new entrants to develop innovative and flexible commercial </w:t>
      </w:r>
      <w:r w:rsidR="00AF4EB7">
        <w:t>arrangements</w:t>
      </w:r>
      <w:r w:rsidR="00310C23">
        <w:t xml:space="preserve">. </w:t>
      </w:r>
    </w:p>
    <w:p w:rsidR="00E71BFF" w:rsidRDefault="00C33FDD" w:rsidP="00E71BFF">
      <w:r>
        <w:t xml:space="preserve">It </w:t>
      </w:r>
      <w:r w:rsidR="004F1A4B">
        <w:t xml:space="preserve">is critical </w:t>
      </w:r>
      <w:r>
        <w:t>that any</w:t>
      </w:r>
      <w:r w:rsidR="00024F88">
        <w:t xml:space="preserve"> obstacles </w:t>
      </w:r>
      <w:r w:rsidR="0064718B">
        <w:t xml:space="preserve">to switching </w:t>
      </w:r>
      <w:r w:rsidR="00024F88">
        <w:t xml:space="preserve">are addressed </w:t>
      </w:r>
      <w:r w:rsidR="00E71BFF">
        <w:t>if improvements recently observed</w:t>
      </w:r>
      <w:r w:rsidR="004F1A4B">
        <w:t xml:space="preserve"> are</w:t>
      </w:r>
      <w:r w:rsidR="00E71BFF">
        <w:t xml:space="preserve"> to continue into the future. </w:t>
      </w:r>
    </w:p>
    <w:p w:rsidR="00E71BFF" w:rsidRDefault="00E71BFF" w:rsidP="00E71BFF">
      <w:pPr>
        <w:pStyle w:val="Numbered11"/>
      </w:pPr>
      <w:bookmarkStart w:id="34" w:name="_Toc433666998"/>
      <w:r>
        <w:t>Port operators pose risks to the supply chain</w:t>
      </w:r>
      <w:bookmarkEnd w:id="34"/>
    </w:p>
    <w:p w:rsidR="00E71BFF" w:rsidRDefault="00E71BFF" w:rsidP="00E71BFF">
      <w:r>
        <w:t xml:space="preserve">The ACCC considers it important that recent </w:t>
      </w:r>
      <w:r w:rsidRPr="005076BC">
        <w:t xml:space="preserve">improvements in stevedoring are not negated by inefficiencies elsewhere in the container supply chain. This is </w:t>
      </w:r>
      <w:r>
        <w:t>to ensure</w:t>
      </w:r>
      <w:r w:rsidRPr="005076BC">
        <w:t xml:space="preserve"> that the benefits of improvements in stevedoring are passed through to Australian</w:t>
      </w:r>
      <w:r>
        <w:t xml:space="preserve"> consumers and exporters</w:t>
      </w:r>
      <w:r w:rsidRPr="005076BC">
        <w:t>.</w:t>
      </w:r>
      <w:r>
        <w:t xml:space="preserve"> </w:t>
      </w:r>
    </w:p>
    <w:p w:rsidR="00E71BFF" w:rsidRDefault="00E71BFF" w:rsidP="00E71BFF">
      <w:r>
        <w:t xml:space="preserve">As landlords of container stevedores, port operators are a key component of the supply chain. Port operators also set charges for port access by other parties such as shipping lines. The charges port operators levy and the services and facilities they provide can have a considerable impact on the supply chain. </w:t>
      </w:r>
    </w:p>
    <w:p w:rsidR="00E71BFF" w:rsidRDefault="00E71BFF" w:rsidP="00E71BFF">
      <w:pPr>
        <w:pStyle w:val="Numbered111"/>
      </w:pPr>
      <w:bookmarkStart w:id="35" w:name="_Toc433666999"/>
      <w:r>
        <w:t>Port privatisations provide opportunities for state governments to mitigate the risks of monopoly power</w:t>
      </w:r>
      <w:bookmarkEnd w:id="35"/>
    </w:p>
    <w:p w:rsidR="00E71BFF" w:rsidRDefault="00E71BFF" w:rsidP="00E71BFF">
      <w:pPr>
        <w:pStyle w:val="Heading4"/>
      </w:pPr>
      <w:r>
        <w:t xml:space="preserve">There has been a trend of port privatisations </w:t>
      </w:r>
    </w:p>
    <w:p w:rsidR="00E71BFF" w:rsidRDefault="00E71BFF" w:rsidP="00E71BFF">
      <w:r>
        <w:t>There has been a trend towards the privatisation</w:t>
      </w:r>
      <w:r w:rsidRPr="00C931C7">
        <w:t xml:space="preserve"> </w:t>
      </w:r>
      <w:r>
        <w:t>of ports in Australia through the sale of long</w:t>
      </w:r>
      <w:r w:rsidR="0055370A">
        <w:t> </w:t>
      </w:r>
      <w:r>
        <w:t xml:space="preserve">term leases by state governments. The first was in 2001 when the Port of Adelaide was acquired along with six other South Australian ports by Flinders Ports. </w:t>
      </w:r>
    </w:p>
    <w:p w:rsidR="00E71BFF" w:rsidRDefault="00E71BFF" w:rsidP="00E71BFF">
      <w:r>
        <w:t>The trend has increased in recent years, with a 99-year lease over the Port of Brisbane acquired by Q Port Holdings in 2010, and 99-year lease</w:t>
      </w:r>
      <w:r w:rsidR="0064718B">
        <w:t>s</w:t>
      </w:r>
      <w:r>
        <w:t xml:space="preserve"> </w:t>
      </w:r>
      <w:r w:rsidR="007F2077">
        <w:t xml:space="preserve">over </w:t>
      </w:r>
      <w:r>
        <w:t>Port Botany and Port Kembla acquired by NSW Ports</w:t>
      </w:r>
      <w:r w:rsidRPr="00060585">
        <w:t xml:space="preserve"> </w:t>
      </w:r>
      <w:r>
        <w:t>in 2013.</w:t>
      </w:r>
    </w:p>
    <w:p w:rsidR="00E71BFF" w:rsidRDefault="00E71BFF" w:rsidP="00E71BFF">
      <w:r>
        <w:t>More recently, the Victorian and Western Australian governments have announced their intention to privatise their respective container ports. The privatisation of the Port of Melbourne was announced last year</w:t>
      </w:r>
      <w:r w:rsidR="0064718B">
        <w:t>, while t</w:t>
      </w:r>
      <w:r>
        <w:t xml:space="preserve">he privatisation of the Port of Fremantle was announced in May 2015. If these processes go ahead as intended, </w:t>
      </w:r>
      <w:r w:rsidR="0064718B">
        <w:t>soon</w:t>
      </w:r>
      <w:r>
        <w:t xml:space="preserve"> all five mainland container ports will be privatised.</w:t>
      </w:r>
    </w:p>
    <w:p w:rsidR="00E71BFF" w:rsidRDefault="00E71BFF" w:rsidP="00E71BFF">
      <w:pPr>
        <w:pStyle w:val="Heading4"/>
      </w:pPr>
      <w:r>
        <w:t xml:space="preserve">Privatisations executed correctly can unlock economic benefits  </w:t>
      </w:r>
    </w:p>
    <w:p w:rsidR="00E71BFF" w:rsidRDefault="00E71BFF" w:rsidP="00E71BFF">
      <w:r>
        <w:t>The ACCC considers the</w:t>
      </w:r>
      <w:r w:rsidRPr="00092A17">
        <w:t xml:space="preserve"> privatisation of assets, if implemented appropriately, is an effective way </w:t>
      </w:r>
      <w:r>
        <w:t>to promote the</w:t>
      </w:r>
      <w:r w:rsidRPr="00092A17">
        <w:t xml:space="preserve"> interests of users and the wider community.</w:t>
      </w:r>
      <w:r w:rsidRPr="0007753A">
        <w:t xml:space="preserve"> Through competition for capital, private ownership improves a firm’s productivity incentive. Privately owned firms have greater incentive and ability to be cost efficient and innovative compared to government owned enterprises. </w:t>
      </w:r>
      <w:r>
        <w:t>Proceeds from a sale can also be reinvested in new infrastructure, which depending on the project, may improve the welfare of Australians.</w:t>
      </w:r>
    </w:p>
    <w:p w:rsidR="00E71BFF" w:rsidRDefault="00E71BFF" w:rsidP="00E71BFF">
      <w:pPr>
        <w:pStyle w:val="Heading4"/>
      </w:pPr>
      <w:r>
        <w:t>There is a tension, however, between short</w:t>
      </w:r>
      <w:r w:rsidR="0055370A">
        <w:t xml:space="preserve"> </w:t>
      </w:r>
      <w:r>
        <w:t>term budgetary considerations and longer-term competition goals</w:t>
      </w:r>
    </w:p>
    <w:p w:rsidR="00E71BFF" w:rsidRDefault="00E71BFF" w:rsidP="00E71BFF">
      <w:r>
        <w:t>In the ACCC’s view, a privatisation process provides an opportunity for state governments to mitigate the risk of a private operator using their monopoly position to the detriment of consumers. There are two key considerations for governments in this respect</w:t>
      </w:r>
      <w:r w:rsidR="007A6153">
        <w:t>—</w:t>
      </w:r>
      <w:r>
        <w:t>introducing appropriate pricing and access regulation,</w:t>
      </w:r>
      <w:r w:rsidRPr="0056433F">
        <w:t xml:space="preserve"> </w:t>
      </w:r>
      <w:r>
        <w:t>and ensuring the sale structure and conditions promote future competition where possible.</w:t>
      </w:r>
    </w:p>
    <w:p w:rsidR="00E71BFF" w:rsidRDefault="00E71BFF" w:rsidP="00E71BFF">
      <w:r>
        <w:t>Budgetary pressures may, however, mean that governments do not take advantage of this opportunity and instead seek to maximise the sale price at the expense of competitive outcomes and adequate regulatory protecti</w:t>
      </w:r>
      <w:r w:rsidRPr="00C143D6">
        <w:t xml:space="preserve">ons. </w:t>
      </w:r>
    </w:p>
    <w:p w:rsidR="00E71BFF" w:rsidRDefault="00E71BFF" w:rsidP="00E71BFF">
      <w:r>
        <w:t>It is clear that l</w:t>
      </w:r>
      <w:r w:rsidRPr="00C143D6">
        <w:t xml:space="preserve">eases to operate ports may </w:t>
      </w:r>
      <w:r>
        <w:t>attract</w:t>
      </w:r>
      <w:r w:rsidRPr="00C143D6">
        <w:t xml:space="preserve"> high prices if bidders anticipate the ability to </w:t>
      </w:r>
      <w:r>
        <w:t xml:space="preserve">persistently </w:t>
      </w:r>
      <w:r w:rsidRPr="00C143D6">
        <w:t>earn monopoly profits</w:t>
      </w:r>
      <w:r>
        <w:t xml:space="preserve"> and recover the price paid from port users. The ACCC is of the view that such a scenario effectively imposes a tax on Australian consumers for decades to come. </w:t>
      </w:r>
      <w:r w:rsidR="00015F8A" w:rsidRPr="00015F8A">
        <w:t xml:space="preserve">The higher sale price is </w:t>
      </w:r>
      <w:r w:rsidR="00015F8A">
        <w:t xml:space="preserve">essentially a </w:t>
      </w:r>
      <w:r w:rsidR="00015F8A" w:rsidRPr="00015F8A">
        <w:t>capitalisation of economic rent</w:t>
      </w:r>
      <w:r w:rsidR="00015F8A">
        <w:t>, with</w:t>
      </w:r>
      <w:r w:rsidR="00015F8A" w:rsidRPr="00015F8A">
        <w:t xml:space="preserve"> the return the port make</w:t>
      </w:r>
      <w:r w:rsidR="00015F8A">
        <w:t xml:space="preserve">s </w:t>
      </w:r>
      <w:r w:rsidR="00015F8A" w:rsidRPr="00015F8A">
        <w:t xml:space="preserve">effectively a tax on </w:t>
      </w:r>
      <w:r w:rsidR="00023D2A">
        <w:t>consumers</w:t>
      </w:r>
      <w:r w:rsidR="00015F8A" w:rsidRPr="00015F8A">
        <w:t xml:space="preserve"> which is collected over the term of the lease by the port operator.</w:t>
      </w:r>
    </w:p>
    <w:p w:rsidR="002118E7" w:rsidRDefault="002118E7" w:rsidP="00E71BFF">
      <w:r w:rsidRPr="00540144">
        <w:t>For example, the Port of Newcastle was privatised in May 2014 with effectively no regulatory oversight.</w:t>
      </w:r>
      <w:r w:rsidRPr="00540144">
        <w:rPr>
          <w:vertAlign w:val="superscript"/>
        </w:rPr>
        <w:footnoteReference w:id="56"/>
      </w:r>
      <w:r w:rsidRPr="00540144">
        <w:t xml:space="preserve"> As outlined in text box 1.4, the Port of Newcastle has since increased prices and revalued its assets without any independent check on the appropriateness of those cha</w:t>
      </w:r>
      <w:r w:rsidR="004371ED">
        <w:t>r</w:t>
      </w:r>
      <w:r w:rsidRPr="00540144">
        <w:t>ges</w:t>
      </w:r>
      <w:r>
        <w:t>.</w:t>
      </w:r>
    </w:p>
    <w:p w:rsidR="002118E7" w:rsidRDefault="002118E7" w:rsidP="002118E7">
      <w:pPr>
        <w:pStyle w:val="Heading5"/>
        <w:shd w:val="clear" w:color="auto" w:fill="D9D9D9" w:themeFill="background1" w:themeFillShade="D9"/>
      </w:pPr>
      <w:r>
        <w:t>Text box 1.4: Privatisation of the Port of Newcastle</w:t>
      </w:r>
    </w:p>
    <w:p w:rsidR="002118E7" w:rsidRDefault="002118E7" w:rsidP="002118E7">
      <w:pPr>
        <w:pStyle w:val="Bulletpoint"/>
        <w:shd w:val="clear" w:color="auto" w:fill="D9D9D9" w:themeFill="background1" w:themeFillShade="D9"/>
        <w:ind w:left="360" w:hanging="360"/>
      </w:pPr>
      <w:r w:rsidRPr="003D0140">
        <w:t>The Port of Newcastle was privatised in May 2014 with a 98</w:t>
      </w:r>
      <w:r w:rsidR="00A02637">
        <w:t>-</w:t>
      </w:r>
      <w:r w:rsidRPr="003D0140">
        <w:t>year lease from the NSW Government to Port of Newcastle Operations (PNO).</w:t>
      </w:r>
      <w:r>
        <w:t xml:space="preserve"> PNO is a consortium jointly owned by Hastings Fund Management Group and China Merchants Group.</w:t>
      </w:r>
    </w:p>
    <w:p w:rsidR="002118E7" w:rsidRDefault="002118E7" w:rsidP="002118E7">
      <w:pPr>
        <w:pStyle w:val="Bulletpoint"/>
        <w:shd w:val="clear" w:color="auto" w:fill="D9D9D9" w:themeFill="background1" w:themeFillShade="D9"/>
        <w:ind w:left="360" w:hanging="360"/>
      </w:pPr>
      <w:r w:rsidDel="004163F4">
        <w:t xml:space="preserve">The Port of Newcastle handles more than 25 different cargoes and </w:t>
      </w:r>
      <w:r w:rsidR="00304E64" w:rsidDel="004163F4">
        <w:t>2,169</w:t>
      </w:r>
      <w:r w:rsidDel="004163F4">
        <w:t xml:space="preserve"> ship </w:t>
      </w:r>
      <w:r w:rsidR="00304E64" w:rsidDel="004163F4">
        <w:t>visits</w:t>
      </w:r>
      <w:r w:rsidDel="004163F4">
        <w:t xml:space="preserve"> p</w:t>
      </w:r>
      <w:r w:rsidR="003A6531" w:rsidDel="004163F4">
        <w:t>er year</w:t>
      </w:r>
      <w:r w:rsidDel="004163F4">
        <w:t xml:space="preserve">. </w:t>
      </w:r>
      <w:r>
        <w:t>The Port of Newcastle is the world’s largest coal export port, from which most of Australia’s thermal coal is exported. In 2014, 159 million tonnes of</w:t>
      </w:r>
      <w:r w:rsidR="001B17A6">
        <w:t xml:space="preserve"> coal was exported through the p</w:t>
      </w:r>
      <w:r>
        <w:t>ort.</w:t>
      </w:r>
      <w:r>
        <w:rPr>
          <w:rStyle w:val="FootnoteReference"/>
        </w:rPr>
        <w:footnoteReference w:id="57"/>
      </w:r>
      <w:r>
        <w:t xml:space="preserve"> </w:t>
      </w:r>
    </w:p>
    <w:p w:rsidR="002118E7" w:rsidRDefault="002118E7" w:rsidP="002118E7">
      <w:pPr>
        <w:pStyle w:val="Bulletpoint"/>
        <w:shd w:val="clear" w:color="auto" w:fill="D9D9D9" w:themeFill="background1" w:themeFillShade="D9"/>
        <w:ind w:left="360" w:hanging="360"/>
      </w:pPr>
      <w:r w:rsidRPr="003D0140">
        <w:t xml:space="preserve">PNO paid $1.75 billion for lease of the </w:t>
      </w:r>
      <w:r w:rsidR="00023D2A" w:rsidRPr="001D43C0">
        <w:t>port</w:t>
      </w:r>
      <w:r w:rsidR="00023D2A">
        <w:t xml:space="preserve"> </w:t>
      </w:r>
      <w:r w:rsidRPr="003D0140">
        <w:t>assets, amounting to a multiple of 27 times earnings.</w:t>
      </w:r>
      <w:r w:rsidRPr="003D0140">
        <w:rPr>
          <w:vertAlign w:val="superscript"/>
        </w:rPr>
        <w:footnoteReference w:id="58"/>
      </w:r>
      <w:r w:rsidRPr="003D0140">
        <w:t xml:space="preserve"> </w:t>
      </w:r>
      <w:r>
        <w:t>The NSW government’s budgeted sale price was $700 million.</w:t>
      </w:r>
    </w:p>
    <w:p w:rsidR="002118E7" w:rsidRDefault="002118E7" w:rsidP="002118E7">
      <w:pPr>
        <w:pStyle w:val="Bulletpoint"/>
        <w:shd w:val="clear" w:color="auto" w:fill="D9D9D9" w:themeFill="background1" w:themeFillShade="D9"/>
        <w:ind w:left="360" w:hanging="360"/>
      </w:pPr>
      <w:r w:rsidRPr="003D0140">
        <w:t>After privatisation, in its 2014 Annual Trade Report released in April 2015, PNO published the value of its Port of Newcastle trade assets at $2.398 billion.</w:t>
      </w:r>
      <w:r w:rsidRPr="003D0140">
        <w:rPr>
          <w:vertAlign w:val="superscript"/>
        </w:rPr>
        <w:footnoteReference w:id="59"/>
      </w:r>
      <w:r w:rsidRPr="003D0140">
        <w:t xml:space="preserve"> </w:t>
      </w:r>
      <w:r>
        <w:t>PNO defines its trade assets as</w:t>
      </w:r>
      <w:r w:rsidRPr="00B86B2C">
        <w:t xml:space="preserve"> those assets which generate revenue excluding those assets</w:t>
      </w:r>
      <w:r>
        <w:t xml:space="preserve"> </w:t>
      </w:r>
      <w:r w:rsidRPr="00B86B2C">
        <w:t>which are associated with property leasing activities.</w:t>
      </w:r>
    </w:p>
    <w:p w:rsidR="002118E7" w:rsidRDefault="002118E7" w:rsidP="002118E7">
      <w:pPr>
        <w:pStyle w:val="Bulletpoint"/>
        <w:shd w:val="clear" w:color="auto" w:fill="D9D9D9" w:themeFill="background1" w:themeFillShade="D9"/>
        <w:ind w:left="360" w:hanging="360"/>
      </w:pPr>
      <w:r w:rsidRPr="003D0140">
        <w:t xml:space="preserve">On 1 January 2015, PNO implemented new charges, including raising the navigation service charges levied on vessels at the time of port entry. </w:t>
      </w:r>
      <w:r>
        <w:t>B</w:t>
      </w:r>
      <w:r w:rsidRPr="00FC0769">
        <w:t xml:space="preserve">ased on the weighted average size </w:t>
      </w:r>
      <w:r>
        <w:t xml:space="preserve">coal </w:t>
      </w:r>
      <w:r w:rsidRPr="00FC0769">
        <w:t>vessel</w:t>
      </w:r>
      <w:r w:rsidR="00B41E16">
        <w:t>,</w:t>
      </w:r>
      <w:r>
        <w:rPr>
          <w:rStyle w:val="FootnoteReference"/>
        </w:rPr>
        <w:footnoteReference w:id="60"/>
      </w:r>
      <w:r w:rsidRPr="00FC0769">
        <w:t xml:space="preserve"> the increase to navi</w:t>
      </w:r>
      <w:r>
        <w:t>gation service charges</w:t>
      </w:r>
      <w:r w:rsidRPr="00FC0769">
        <w:t xml:space="preserve"> </w:t>
      </w:r>
      <w:r>
        <w:t xml:space="preserve">is </w:t>
      </w:r>
      <w:r w:rsidRPr="00FC0769">
        <w:t xml:space="preserve">approximately 12.7 cents per tonne of coal and </w:t>
      </w:r>
      <w:r>
        <w:t>for all other</w:t>
      </w:r>
      <w:r w:rsidRPr="00FC0769">
        <w:t xml:space="preserve"> charges </w:t>
      </w:r>
      <w:r>
        <w:t>a</w:t>
      </w:r>
      <w:r w:rsidRPr="00FC0769">
        <w:t xml:space="preserve"> price increase of 3.9</w:t>
      </w:r>
      <w:r w:rsidR="00B41E16">
        <w:t xml:space="preserve"> per cent</w:t>
      </w:r>
      <w:r w:rsidRPr="00FC0769">
        <w:t xml:space="preserve"> in 2015 and 2016.</w:t>
      </w:r>
      <w:r>
        <w:rPr>
          <w:rStyle w:val="FootnoteReference"/>
        </w:rPr>
        <w:footnoteReference w:id="61"/>
      </w:r>
    </w:p>
    <w:p w:rsidR="002118E7" w:rsidRDefault="002118E7" w:rsidP="0090461E">
      <w:pPr>
        <w:pStyle w:val="Bulletpoint"/>
        <w:shd w:val="clear" w:color="auto" w:fill="D9D9D9" w:themeFill="background1" w:themeFillShade="D9"/>
        <w:ind w:left="360" w:hanging="360"/>
      </w:pPr>
      <w:r>
        <w:t>Users are concerned</w:t>
      </w:r>
      <w:r w:rsidRPr="003D0140">
        <w:t xml:space="preserve"> that additional price rises would be necessary if PNO were to seek full recovery of its published value of its trade assets of $2.398 billion.</w:t>
      </w:r>
      <w:r>
        <w:tab/>
      </w:r>
    </w:p>
    <w:p w:rsidR="00CF7B5F" w:rsidRDefault="00CF7B5F" w:rsidP="0090461E">
      <w:pPr>
        <w:pStyle w:val="Bulletpoint"/>
        <w:numPr>
          <w:ilvl w:val="0"/>
          <w:numId w:val="0"/>
        </w:numPr>
        <w:shd w:val="clear" w:color="auto" w:fill="D9D9D9" w:themeFill="background1" w:themeFillShade="D9"/>
      </w:pPr>
    </w:p>
    <w:p w:rsidR="00E71BFF" w:rsidRDefault="00E71BFF" w:rsidP="00E71BFF">
      <w:pPr>
        <w:pStyle w:val="Heading4"/>
      </w:pPr>
      <w:r>
        <w:t xml:space="preserve">Opportunities for future competition between ports should be left open </w:t>
      </w:r>
    </w:p>
    <w:p w:rsidR="00E71BFF" w:rsidRDefault="00E71BFF" w:rsidP="00E71BFF">
      <w:r>
        <w:t>The market structure entrenched at the time of a privatisation can have serious implications for the state of competition</w:t>
      </w:r>
      <w:r w:rsidRPr="00D14062">
        <w:t xml:space="preserve"> </w:t>
      </w:r>
      <w:r>
        <w:t>in the future. Opportunities for competition between ports should be protected by governments where possible</w:t>
      </w:r>
      <w:r w:rsidRPr="006626A3">
        <w:t xml:space="preserve">, for example by separating </w:t>
      </w:r>
      <w:r>
        <w:t>(</w:t>
      </w:r>
      <w:r w:rsidRPr="006626A3">
        <w:t>rather than integrating</w:t>
      </w:r>
      <w:r>
        <w:t>)</w:t>
      </w:r>
      <w:r w:rsidRPr="006626A3">
        <w:t xml:space="preserve"> potentially competitive facilities and avoiding </w:t>
      </w:r>
      <w:r>
        <w:t>clauses</w:t>
      </w:r>
      <w:r w:rsidRPr="006626A3">
        <w:t xml:space="preserve"> from agreements with successful bidders</w:t>
      </w:r>
      <w:r>
        <w:t xml:space="preserve"> that impede competition</w:t>
      </w:r>
      <w:r w:rsidRPr="006626A3">
        <w:t>.</w:t>
      </w:r>
    </w:p>
    <w:p w:rsidR="00E71BFF" w:rsidRDefault="00E71BFF" w:rsidP="00E71BFF">
      <w:r>
        <w:t xml:space="preserve">One way by which competitive outcomes can be compromised is where clauses are inserted into sale contracts which have the effect of limiting the impact, or eliminating the prospect of, future competition. </w:t>
      </w:r>
    </w:p>
    <w:p w:rsidR="00FD69F7" w:rsidRDefault="00E71BFF" w:rsidP="00E71BFF">
      <w:r>
        <w:t>The ACCC notes that when the</w:t>
      </w:r>
      <w:r w:rsidRPr="004D2B61">
        <w:t xml:space="preserve"> </w:t>
      </w:r>
      <w:r>
        <w:t xml:space="preserve">legislation for privatising of the Port of Melbourne was introduced to parliament in May 2015, it was reported that there will be a clause in the contract for compensation to be paid to the buyer if the port’s profits are undermined by the development of another port by the Victorian </w:t>
      </w:r>
      <w:r w:rsidR="004F0F2D">
        <w:t>g</w:t>
      </w:r>
      <w:r>
        <w:t>overnment within 50 years unless the Port of Melbourne is at capacity.</w:t>
      </w:r>
      <w:r>
        <w:rPr>
          <w:rStyle w:val="FootnoteReference"/>
        </w:rPr>
        <w:footnoteReference w:id="62"/>
      </w:r>
      <w:r>
        <w:t xml:space="preserve"> </w:t>
      </w:r>
    </w:p>
    <w:p w:rsidR="00E71BFF" w:rsidRDefault="00E71BFF" w:rsidP="00E71BFF">
      <w:r>
        <w:t xml:space="preserve">The ACCC notes that prior to the last state election, the </w:t>
      </w:r>
      <w:r w:rsidR="00FD69F7">
        <w:t xml:space="preserve">then </w:t>
      </w:r>
      <w:r>
        <w:t xml:space="preserve">Victorian </w:t>
      </w:r>
      <w:r w:rsidR="00DB31C2">
        <w:t>g</w:t>
      </w:r>
      <w:r>
        <w:t>overnment’s policy was to develop a second container port at the Port of Hastings. The</w:t>
      </w:r>
      <w:r w:rsidR="0064718B">
        <w:t xml:space="preserve"> then</w:t>
      </w:r>
      <w:r>
        <w:t xml:space="preserve"> </w:t>
      </w:r>
      <w:r w:rsidR="00DB31C2">
        <w:t>g</w:t>
      </w:r>
      <w:r>
        <w:t>overnment had indicated the second container port would be operational within 10 to 15 years.</w:t>
      </w:r>
      <w:r>
        <w:rPr>
          <w:rStyle w:val="FootnoteReference"/>
        </w:rPr>
        <w:footnoteReference w:id="63"/>
      </w:r>
      <w:r>
        <w:t xml:space="preserve"> The Opposition at the time had expressed a preference for a port at ‘Bay West’, though its final decision was </w:t>
      </w:r>
      <w:r w:rsidR="00FD69F7">
        <w:t xml:space="preserve">proposed </w:t>
      </w:r>
      <w:r>
        <w:t xml:space="preserve">to be subject to advice from Infrastructure Victoria. The timing and scale of </w:t>
      </w:r>
      <w:r w:rsidR="004F659D">
        <w:t xml:space="preserve">any </w:t>
      </w:r>
      <w:r w:rsidRPr="00526D0F">
        <w:t xml:space="preserve">such development remains unclear. </w:t>
      </w:r>
    </w:p>
    <w:p w:rsidR="00E71BFF" w:rsidRDefault="00E71BFF" w:rsidP="00E71BFF">
      <w:r>
        <w:t xml:space="preserve">Another way future competition can be compromised though the privatisation process is by </w:t>
      </w:r>
      <w:r w:rsidR="007F2077">
        <w:t xml:space="preserve">the sale of </w:t>
      </w:r>
      <w:r>
        <w:t>potentially competing ports to the same operator. In this regard, the ACCC notes the NSW Government</w:t>
      </w:r>
      <w:r w:rsidR="00DA33DD">
        <w:t>’s</w:t>
      </w:r>
      <w:r>
        <w:t xml:space="preserve"> </w:t>
      </w:r>
      <w:r w:rsidR="00DA33DD">
        <w:t>sale of</w:t>
      </w:r>
      <w:r>
        <w:t xml:space="preserve"> Port Botany and Port Kembla to the same owner. </w:t>
      </w:r>
      <w:r w:rsidRPr="00D007FA">
        <w:t xml:space="preserve">Shortly before the sale, Port Kembla was identified by the NSW </w:t>
      </w:r>
      <w:r w:rsidR="0064718B">
        <w:t>g</w:t>
      </w:r>
      <w:r w:rsidR="0064718B" w:rsidRPr="00D007FA">
        <w:t xml:space="preserve">overnment </w:t>
      </w:r>
      <w:r w:rsidRPr="00D007FA">
        <w:t xml:space="preserve">as the location for the state’s second container </w:t>
      </w:r>
      <w:r w:rsidR="00C37091">
        <w:t>handling facilities</w:t>
      </w:r>
      <w:r>
        <w:t>.</w:t>
      </w:r>
      <w:r>
        <w:rPr>
          <w:rStyle w:val="FootnoteReference"/>
        </w:rPr>
        <w:footnoteReference w:id="64"/>
      </w:r>
      <w:r>
        <w:t xml:space="preserve"> </w:t>
      </w:r>
    </w:p>
    <w:p w:rsidR="00E71BFF" w:rsidRDefault="00E71BFF" w:rsidP="00E71BFF">
      <w:r>
        <w:t xml:space="preserve">While the ACCC appreciates that governments have broader interests </w:t>
      </w:r>
      <w:r w:rsidR="00EF0293">
        <w:t xml:space="preserve">than </w:t>
      </w:r>
      <w:r>
        <w:t xml:space="preserve">competition policy to consider, sale clauses and market structures that limit competition are poor outcomes from a competition policy perspective.   </w:t>
      </w:r>
    </w:p>
    <w:p w:rsidR="00E71BFF" w:rsidRDefault="00E71BFF" w:rsidP="00E71BFF">
      <w:r>
        <w:t>In relation to the Port of Fremantle, the ACCC notes the forthcoming privatisation may present the WA government with an opportunity to facilitate future competition, for example between the existing facilities</w:t>
      </w:r>
      <w:r w:rsidR="0064718B">
        <w:t xml:space="preserve"> in Fremantle (the</w:t>
      </w:r>
      <w:r>
        <w:t xml:space="preserve"> Inner Harbour</w:t>
      </w:r>
      <w:r w:rsidR="0064718B">
        <w:t>)</w:t>
      </w:r>
      <w:r>
        <w:t xml:space="preserve"> and possible new facilities in Outer Harbour. </w:t>
      </w:r>
    </w:p>
    <w:p w:rsidR="00E71BFF" w:rsidRDefault="00E71BFF" w:rsidP="00E71BFF">
      <w:r>
        <w:t xml:space="preserve">Since the early 2000s, the WA government has identified Outer Harbour </w:t>
      </w:r>
      <w:r w:rsidR="00D11881">
        <w:t>as the likely location for the s</w:t>
      </w:r>
      <w:r>
        <w:t>tate’s second container port once the existing port in Fremantle reached capacity.</w:t>
      </w:r>
      <w:r>
        <w:rPr>
          <w:rStyle w:val="FootnoteReference"/>
        </w:rPr>
        <w:footnoteReference w:id="65"/>
      </w:r>
      <w:r>
        <w:t xml:space="preserve"> According to the WA Planning Commission, the decision was the result of extensive research and consideration of a number of alternative locations. Both the Inner and Outer harbours are currently operated by Fremantle Ports.</w:t>
      </w:r>
    </w:p>
    <w:p w:rsidR="00E71BFF" w:rsidRDefault="00E71BFF" w:rsidP="00E71BFF">
      <w:r>
        <w:t>A number of subsequent reports have supported the development of additional container handling facilities at this location, most recently the Fremantle Ports 2014 Annual Report, which stated under the heading of “Outer Harbour port planning”:</w:t>
      </w:r>
    </w:p>
    <w:p w:rsidR="00E71BFF" w:rsidRPr="00331CAA" w:rsidRDefault="00E71BFF" w:rsidP="00E71BFF">
      <w:pPr>
        <w:pStyle w:val="Quote"/>
      </w:pPr>
      <w:r>
        <w:t xml:space="preserve">Fremantle Port’s Inner Harbour container trade is expected to reach optimal capacity within the next 10 to 15 years, with the timing dependent on trade trends and other </w:t>
      </w:r>
      <w:r w:rsidRPr="00331CAA">
        <w:t>factors. When this occurs, additional facilities will be needed to cater for further growth.</w:t>
      </w:r>
      <w:r w:rsidRPr="0090461E">
        <w:rPr>
          <w:rStyle w:val="FootnoteReference"/>
          <w:i w:val="0"/>
        </w:rPr>
        <w:footnoteReference w:id="66"/>
      </w:r>
    </w:p>
    <w:p w:rsidR="00E71BFF" w:rsidRDefault="00E71BFF" w:rsidP="00E71BFF">
      <w:pPr>
        <w:pStyle w:val="Heading4"/>
      </w:pPr>
      <w:r w:rsidRPr="00331CAA">
        <w:t>Appropriate regulation prior to privatisation is needed to constrain monopolies</w:t>
      </w:r>
    </w:p>
    <w:p w:rsidR="00E71BFF" w:rsidRPr="00A76DF8" w:rsidRDefault="00E71BFF" w:rsidP="00E16F7D">
      <w:pPr>
        <w:pStyle w:val="Heading5"/>
      </w:pPr>
      <w:r w:rsidRPr="00A76DF8">
        <w:t xml:space="preserve">The case for regulation </w:t>
      </w:r>
    </w:p>
    <w:p w:rsidR="00E71BFF" w:rsidRDefault="00BC5D09" w:rsidP="00E71BFF">
      <w:r w:rsidRPr="00E929B3">
        <w:t>Most m</w:t>
      </w:r>
      <w:r w:rsidR="00E71BFF" w:rsidRPr="00E929B3">
        <w:t>ajor container ports are considered to be monopoly or near monopoly assets because the costs of using alternative facilities (as well as transportation networks) are generally significantly higher. Their operators, therefore, tend to have market power. Privatisation transfers this market power from the public to the private sector.</w:t>
      </w:r>
      <w:r w:rsidR="00E71BFF">
        <w:t xml:space="preserve"> </w:t>
      </w:r>
    </w:p>
    <w:p w:rsidR="00BE46DC" w:rsidRDefault="00E71BFF" w:rsidP="00E71BFF">
      <w:r>
        <w:t xml:space="preserve">Appropriate price and access regulation of container ports is required to protect competition in upstream and downstream markets (which rely on port access), and the interests of consumers </w:t>
      </w:r>
      <w:r w:rsidR="000F31EF">
        <w:t xml:space="preserve">and businesses </w:t>
      </w:r>
      <w:r>
        <w:t xml:space="preserve">who rely on efficient port operations for affordable imports and competitive exports. </w:t>
      </w:r>
    </w:p>
    <w:p w:rsidR="00E71BFF" w:rsidRDefault="00555AD1" w:rsidP="00E71BFF">
      <w:r w:rsidRPr="00E929B3">
        <w:t xml:space="preserve">The ACCC does not consider price monitoring to be a substitute for price and access regulation. </w:t>
      </w:r>
      <w:r w:rsidR="00BE46DC" w:rsidRPr="00E929B3">
        <w:t xml:space="preserve">Such arrangements are in the ACCC’s view, insufficient to adequately constrain the monopoly or near monopoly power of </w:t>
      </w:r>
      <w:r w:rsidR="00B03D0F" w:rsidRPr="00E929B3">
        <w:t xml:space="preserve">most </w:t>
      </w:r>
      <w:r w:rsidR="00BE46DC" w:rsidRPr="00E929B3">
        <w:t>ports.</w:t>
      </w:r>
      <w:r w:rsidR="00023D2A" w:rsidRPr="00E929B3">
        <w:rPr>
          <w:rStyle w:val="FootnoteReference"/>
        </w:rPr>
        <w:footnoteReference w:id="67"/>
      </w:r>
    </w:p>
    <w:p w:rsidR="00E71BFF" w:rsidRDefault="00E71BFF" w:rsidP="00E71BFF">
      <w:r>
        <w:t xml:space="preserve">The </w:t>
      </w:r>
      <w:r w:rsidRPr="00FA7B76">
        <w:t xml:space="preserve">privatisation process provides state and territory governments </w:t>
      </w:r>
      <w:r>
        <w:t xml:space="preserve">with the opportunity </w:t>
      </w:r>
      <w:r w:rsidRPr="00FA7B76">
        <w:t xml:space="preserve">to </w:t>
      </w:r>
      <w:r w:rsidR="00271412">
        <w:t>consider the appropriate</w:t>
      </w:r>
      <w:r>
        <w:t xml:space="preserve"> approach to regulating port operators</w:t>
      </w:r>
      <w:r w:rsidRPr="00FA7B76">
        <w:t xml:space="preserve">. The need to </w:t>
      </w:r>
      <w:r>
        <w:t xml:space="preserve">undertake a </w:t>
      </w:r>
      <w:r w:rsidRPr="00FA7B76">
        <w:t>review</w:t>
      </w:r>
      <w:r>
        <w:t xml:space="preserve"> into the </w:t>
      </w:r>
      <w:r w:rsidRPr="00821645">
        <w:t xml:space="preserve">price and service regulations </w:t>
      </w:r>
      <w:r w:rsidRPr="00FA7B76">
        <w:t>at the</w:t>
      </w:r>
      <w:r>
        <w:t xml:space="preserve"> time of privatising</w:t>
      </w:r>
      <w:r w:rsidRPr="00FA7B76">
        <w:t xml:space="preserve"> </w:t>
      </w:r>
      <w:r>
        <w:t>a monopoly</w:t>
      </w:r>
      <w:r w:rsidRPr="00821645">
        <w:t xml:space="preserve"> </w:t>
      </w:r>
      <w:r>
        <w:t xml:space="preserve">was recognised and agreed to by state and territory governments under </w:t>
      </w:r>
      <w:r w:rsidRPr="00FA7B76">
        <w:t>the Competition Principles Agreement</w:t>
      </w:r>
      <w:r w:rsidR="00D11881">
        <w:t xml:space="preserve"> in 1995</w:t>
      </w:r>
      <w:r>
        <w:t>.</w:t>
      </w:r>
      <w:r>
        <w:rPr>
          <w:rStyle w:val="FootnoteReference"/>
        </w:rPr>
        <w:footnoteReference w:id="68"/>
      </w:r>
    </w:p>
    <w:p w:rsidR="00E71BFF" w:rsidRDefault="00E71BFF" w:rsidP="00E71BFF">
      <w:r>
        <w:t xml:space="preserve">It is the ACCC’s view that ensuring there are adequate regulatory safeguards in place for the term of the lease is likely to </w:t>
      </w:r>
      <w:r w:rsidR="00DA33DD">
        <w:t>have longer term implications for economic growth and productivity than</w:t>
      </w:r>
      <w:r>
        <w:t xml:space="preserve"> the one-off payment for the rights to operate the port.  </w:t>
      </w:r>
    </w:p>
    <w:p w:rsidR="00E71BFF" w:rsidRPr="00011135" w:rsidRDefault="00E71BFF" w:rsidP="00E16F7D">
      <w:pPr>
        <w:pStyle w:val="Heading5"/>
      </w:pPr>
      <w:r w:rsidRPr="00011135">
        <w:t xml:space="preserve">Current arrangements differ by port </w:t>
      </w:r>
    </w:p>
    <w:p w:rsidR="00BE46DC" w:rsidRDefault="00E71BFF" w:rsidP="00E71BFF">
      <w:r w:rsidRPr="00011135">
        <w:t xml:space="preserve">The </w:t>
      </w:r>
      <w:r w:rsidR="00025731">
        <w:t>regulatory oversight</w:t>
      </w:r>
      <w:r w:rsidR="00025731" w:rsidRPr="00011135">
        <w:t xml:space="preserve"> </w:t>
      </w:r>
      <w:r w:rsidR="00DD32A0">
        <w:t xml:space="preserve">arrangements </w:t>
      </w:r>
      <w:r w:rsidR="00025731" w:rsidRPr="00011135">
        <w:t>currently in place for ports differ</w:t>
      </w:r>
      <w:r w:rsidRPr="00011135">
        <w:t xml:space="preserve"> across states. However, </w:t>
      </w:r>
      <w:r w:rsidRPr="00072E6D">
        <w:t>there is a general preference amongst state governments for price monitoring</w:t>
      </w:r>
      <w:r w:rsidR="00B1589A">
        <w:t xml:space="preserve">/transparency </w:t>
      </w:r>
      <w:r w:rsidRPr="00072E6D">
        <w:t>arrangements</w:t>
      </w:r>
      <w:r w:rsidR="00025731">
        <w:t xml:space="preserve"> rather than economic regulation</w:t>
      </w:r>
      <w:r w:rsidR="00793A5B">
        <w:t>,</w:t>
      </w:r>
      <w:r w:rsidR="00793A5B" w:rsidRPr="00D35605">
        <w:t xml:space="preserve"> </w:t>
      </w:r>
      <w:r w:rsidR="00793A5B">
        <w:t xml:space="preserve">with the potential </w:t>
      </w:r>
      <w:r w:rsidR="00BE46DC">
        <w:t xml:space="preserve">for economic regulation </w:t>
      </w:r>
      <w:r w:rsidR="00B1589A">
        <w:t xml:space="preserve">in the future </w:t>
      </w:r>
      <w:r w:rsidR="00BE46DC">
        <w:t xml:space="preserve">(for example, for the Minster or state </w:t>
      </w:r>
      <w:r w:rsidR="00784FAE">
        <w:t>regulator</w:t>
      </w:r>
      <w:r w:rsidR="00BE46DC">
        <w:t xml:space="preserve"> to step in and impose economic regulation without such action requiring legislation to be passed through parliament).</w:t>
      </w:r>
    </w:p>
    <w:p w:rsidR="00544E01" w:rsidRDefault="00544E01" w:rsidP="00544E01">
      <w:r>
        <w:t xml:space="preserve">In </w:t>
      </w:r>
      <w:r w:rsidRPr="009B657D">
        <w:rPr>
          <w:b/>
        </w:rPr>
        <w:t>NSW</w:t>
      </w:r>
      <w:r>
        <w:t xml:space="preserve">, Port Botany is </w:t>
      </w:r>
      <w:r w:rsidR="00DC3E23">
        <w:t xml:space="preserve">not </w:t>
      </w:r>
      <w:r>
        <w:t xml:space="preserve">subject </w:t>
      </w:r>
      <w:r w:rsidR="00DC3E23">
        <w:t xml:space="preserve">to economic regulation but is subject </w:t>
      </w:r>
      <w:r>
        <w:t xml:space="preserve">to a price monitoring regime established by Part 6 of the </w:t>
      </w:r>
      <w:r w:rsidRPr="00D007FA">
        <w:rPr>
          <w:i/>
        </w:rPr>
        <w:t>Ports and Maritime Administration Act 1995</w:t>
      </w:r>
      <w:r>
        <w:t xml:space="preserve"> (NSW). Port operators are required </w:t>
      </w:r>
      <w:r w:rsidR="00A3101F">
        <w:t xml:space="preserve">to </w:t>
      </w:r>
      <w:r>
        <w:t xml:space="preserve">publish information on charges, give advance notice of changes to charges including a rationale for any increases, and provide an annual report to the Minister each year with specified information on charges and revenue. </w:t>
      </w:r>
      <w:r w:rsidR="00C71586" w:rsidRPr="00C71586">
        <w:t xml:space="preserve">The Minister </w:t>
      </w:r>
      <w:r w:rsidR="00E8112B">
        <w:t>may</w:t>
      </w:r>
      <w:r w:rsidR="00C71586" w:rsidRPr="00C71586">
        <w:t xml:space="preserve"> refer inappropriate pricing behaviour to the Independent Pricing and Regulatory Tribunal (IPART) for review, although the Minister is not bound by the recommendation or advice of IPART.</w:t>
      </w:r>
    </w:p>
    <w:p w:rsidR="00544E01" w:rsidRDefault="00544E01" w:rsidP="00544E01">
      <w:r>
        <w:t xml:space="preserve">In </w:t>
      </w:r>
      <w:r w:rsidRPr="009B657D">
        <w:rPr>
          <w:b/>
        </w:rPr>
        <w:t>Queensland</w:t>
      </w:r>
      <w:r>
        <w:t xml:space="preserve">, there is currently no </w:t>
      </w:r>
      <w:r w:rsidR="00784FAE">
        <w:t>economic regulation</w:t>
      </w:r>
      <w:r>
        <w:t xml:space="preserve"> applying to the Port of Brisbane, however, the </w:t>
      </w:r>
      <w:r w:rsidRPr="00D007FA">
        <w:rPr>
          <w:i/>
        </w:rPr>
        <w:t>Transport Infrastructure Act 1994</w:t>
      </w:r>
      <w:r>
        <w:t xml:space="preserve"> (Qld) requires that standard charges and conditions are published on the port’s website.</w:t>
      </w:r>
      <w:r w:rsidR="00E8112B" w:rsidRPr="00E8112B">
        <w:t xml:space="preserve"> If declared by the relevant Minister, Port of Brisbane operations may be subject to price and access regulation by the Queensland Competition Authority under the </w:t>
      </w:r>
      <w:r w:rsidR="00E8112B" w:rsidRPr="00D508ED">
        <w:rPr>
          <w:i/>
        </w:rPr>
        <w:t>Queensland Competition Authority Act 1997</w:t>
      </w:r>
      <w:r w:rsidR="00E8112B" w:rsidRPr="00E8112B">
        <w:t xml:space="preserve"> (Qld).</w:t>
      </w:r>
    </w:p>
    <w:p w:rsidR="006F3E46" w:rsidRDefault="006F3E46" w:rsidP="006F3E46">
      <w:r>
        <w:t xml:space="preserve">In </w:t>
      </w:r>
      <w:r w:rsidRPr="00D007FA">
        <w:rPr>
          <w:b/>
        </w:rPr>
        <w:t>South Australia</w:t>
      </w:r>
      <w:r>
        <w:t>, essential maritime services (providing access of vessels, facilities for loading or unloading vessels, or berths for vessels) are subject to a price publication and monitoring framework administered by the Essential Services Commission of South Australia (ESCOSA). Additionally, certain ‘regulated services’</w:t>
      </w:r>
      <w:r>
        <w:rPr>
          <w:rStyle w:val="FootnoteReference"/>
        </w:rPr>
        <w:footnoteReference w:id="69"/>
      </w:r>
      <w:r>
        <w:t xml:space="preserve"> are subject to </w:t>
      </w:r>
      <w:proofErr w:type="gramStart"/>
      <w:r>
        <w:t>a negotiate</w:t>
      </w:r>
      <w:proofErr w:type="gramEnd"/>
      <w:r>
        <w:t xml:space="preserve">-arbitrate access framework under the </w:t>
      </w:r>
      <w:r w:rsidRPr="0090461E">
        <w:rPr>
          <w:i/>
        </w:rPr>
        <w:t>Maritime Services (Access) Act 2000</w:t>
      </w:r>
      <w:r>
        <w:t xml:space="preserve"> (SA). ESCOSA is required to keep maritime industries under review and determine whether regulation (or further regulation) is required under the </w:t>
      </w:r>
      <w:r w:rsidRPr="0090461E">
        <w:rPr>
          <w:i/>
        </w:rPr>
        <w:t>Essential Services Commission Act 2002</w:t>
      </w:r>
      <w:r>
        <w:t xml:space="preserve"> (SA).</w:t>
      </w:r>
    </w:p>
    <w:p w:rsidR="00544E01" w:rsidRDefault="00544E01" w:rsidP="00544E01">
      <w:r>
        <w:t xml:space="preserve">In </w:t>
      </w:r>
      <w:r w:rsidRPr="009B657D">
        <w:rPr>
          <w:b/>
        </w:rPr>
        <w:t>Western</w:t>
      </w:r>
      <w:r>
        <w:t xml:space="preserve"> </w:t>
      </w:r>
      <w:r w:rsidRPr="009B657D">
        <w:rPr>
          <w:b/>
        </w:rPr>
        <w:t>Australia</w:t>
      </w:r>
      <w:r>
        <w:t xml:space="preserve">, there is currently no formal access and pricing regulation but Fremantle Ports </w:t>
      </w:r>
      <w:r w:rsidR="00E8112B">
        <w:t xml:space="preserve">operations </w:t>
      </w:r>
      <w:r>
        <w:t>are subject to Ministerial oversight</w:t>
      </w:r>
      <w:r w:rsidR="00E8112B">
        <w:t xml:space="preserve"> and direction</w:t>
      </w:r>
      <w:r>
        <w:t xml:space="preserve">. Ports in WA are not a ‘regulated industry’ for the purpose of the </w:t>
      </w:r>
      <w:r w:rsidRPr="00D007FA">
        <w:rPr>
          <w:i/>
        </w:rPr>
        <w:t>Economic Regulation Authority Act 2003</w:t>
      </w:r>
      <w:r w:rsidR="008F274A" w:rsidRPr="00C97747">
        <w:t xml:space="preserve"> (WA)</w:t>
      </w:r>
      <w:r>
        <w:t xml:space="preserve">. </w:t>
      </w:r>
      <w:r w:rsidR="00C71586" w:rsidRPr="00C71586">
        <w:t>However, the relevant Minister is able to direct the Economic Regulation Authority of WA to inquire into or report on non-regulated industries.</w:t>
      </w:r>
    </w:p>
    <w:p w:rsidR="00544E01" w:rsidRDefault="00544E01" w:rsidP="00544E01">
      <w:r>
        <w:t xml:space="preserve">In </w:t>
      </w:r>
      <w:r w:rsidRPr="009B657D">
        <w:rPr>
          <w:b/>
        </w:rPr>
        <w:t>Victoria</w:t>
      </w:r>
      <w:r>
        <w:t xml:space="preserve">, the Port of Melbourne is subject to limited price monitoring by the ESC. The monitoring applies to certain prescribed services specified under the </w:t>
      </w:r>
      <w:r w:rsidRPr="00D007FA">
        <w:rPr>
          <w:i/>
        </w:rPr>
        <w:t xml:space="preserve">Port Management Act 1995 </w:t>
      </w:r>
      <w:r>
        <w:t xml:space="preserve">(Vic). The ESC also makes a pricing determination every five years that sets out pricing principles to guide a port operator in setting charges and can determine the form of regulation to apply, which is then subject to Ministerial approval. </w:t>
      </w:r>
    </w:p>
    <w:p w:rsidR="00D8789B" w:rsidRPr="000124E6" w:rsidRDefault="00E71BFF" w:rsidP="00FD69F7">
      <w:r w:rsidRPr="000124E6">
        <w:t>However, with the Port of Melbourne planned for privatisation, the Victorian Government has proposed changes to the current regime (as set out under</w:t>
      </w:r>
      <w:r w:rsidR="008F274A" w:rsidRPr="000124E6">
        <w:t xml:space="preserve"> the</w:t>
      </w:r>
      <w:r w:rsidRPr="000124E6">
        <w:t xml:space="preserve"> Delivering Victorian Infrastructure (Port of Melbourne Lease Transaction) Bill 2015</w:t>
      </w:r>
      <w:r w:rsidR="0050574C" w:rsidRPr="000124E6">
        <w:t xml:space="preserve"> and associated Pricing Order</w:t>
      </w:r>
      <w:r w:rsidRPr="000124E6">
        <w:t xml:space="preserve">). </w:t>
      </w:r>
      <w:r w:rsidR="00D8789B" w:rsidRPr="000124E6">
        <w:t xml:space="preserve">These proposed changes include capping certain charges to </w:t>
      </w:r>
      <w:r w:rsidR="00E047DE" w:rsidRPr="000124E6">
        <w:t>CPI</w:t>
      </w:r>
      <w:r w:rsidR="00D8789B" w:rsidRPr="000124E6">
        <w:t xml:space="preserve"> for at least 15 years, regular reviews by the ESC of the lessee’s compliance against strengthened pricing principles, and the ability for more direct forms of regulation to be imposed. The ACCC considers the proposed amendments </w:t>
      </w:r>
      <w:r w:rsidR="00915B45" w:rsidRPr="000124E6">
        <w:t>move the dial towards a more robust regulatory regime to apply post-privatisation</w:t>
      </w:r>
      <w:r w:rsidR="00D8789B" w:rsidRPr="000124E6">
        <w:t xml:space="preserve">, and are more rigorous than measures in place at other major Australian container ports.  </w:t>
      </w:r>
    </w:p>
    <w:p w:rsidR="00E71BFF" w:rsidRDefault="00E71BFF" w:rsidP="00E16F7D">
      <w:pPr>
        <w:pStyle w:val="Heading5"/>
      </w:pPr>
      <w:r w:rsidRPr="00B904E6">
        <w:t>Price monitoring provides limited constraint on the exercise of market power</w:t>
      </w:r>
      <w:r>
        <w:t xml:space="preserve"> </w:t>
      </w:r>
    </w:p>
    <w:p w:rsidR="00E71BFF" w:rsidRDefault="00E71BFF" w:rsidP="00E71BFF">
      <w:r>
        <w:t xml:space="preserve">Monitoring regimes such as those in place in NSW and Victoria provide a level of transparency to stakeholders over certain charges set by port operators. </w:t>
      </w:r>
      <w:r w:rsidR="00784FAE">
        <w:t>Price monitoring is not a substitute for economic regulation and, in</w:t>
      </w:r>
      <w:r>
        <w:t xml:space="preserve"> most cases</w:t>
      </w:r>
      <w:r w:rsidR="00784FAE">
        <w:t>,</w:t>
      </w:r>
      <w:r>
        <w:t xml:space="preserve"> do</w:t>
      </w:r>
      <w:r w:rsidR="00784FAE">
        <w:t>es</w:t>
      </w:r>
      <w:r>
        <w:t xml:space="preserve"> not present an effective constraint on the exercise of market power. </w:t>
      </w:r>
    </w:p>
    <w:p w:rsidR="00E71BFF" w:rsidRDefault="00E71BFF" w:rsidP="00E71BFF">
      <w:r>
        <w:t xml:space="preserve">A key issue is that detecting whether a port operator is exercising its market power, for example, by setting prices higher than would occur </w:t>
      </w:r>
      <w:r w:rsidR="0056733D">
        <w:t xml:space="preserve">in </w:t>
      </w:r>
      <w:r>
        <w:t xml:space="preserve">a competitive market, is </w:t>
      </w:r>
      <w:r w:rsidRPr="00CE5E5C">
        <w:t>very difficult with limited accounting based information.</w:t>
      </w:r>
      <w:r>
        <w:t xml:space="preserve"> </w:t>
      </w:r>
      <w:r w:rsidR="00D11881">
        <w:t>Such an undertaking would</w:t>
      </w:r>
      <w:r>
        <w:t xml:space="preserve"> typically involve judgements on the extent to which costs are efficient, and would require assets be valued on a consistent base over time. </w:t>
      </w:r>
    </w:p>
    <w:p w:rsidR="00E71BFF" w:rsidRDefault="00E71BFF" w:rsidP="00E71BFF">
      <w:r>
        <w:t xml:space="preserve">The ACCC notes that price monitoring regimes in place today do not generally collect detailed cost and asset data, and are instead focused on a limited subset of prices (for example, wharfage charges) and exclude charges payable under terminal leases. </w:t>
      </w:r>
    </w:p>
    <w:p w:rsidR="00E71BFF" w:rsidRPr="00785F08" w:rsidRDefault="000F31EF" w:rsidP="00E16F7D">
      <w:pPr>
        <w:pStyle w:val="Heading5"/>
      </w:pPr>
      <w:r>
        <w:t xml:space="preserve">Benefits of a negotiate-arbitrate model and </w:t>
      </w:r>
      <w:r w:rsidR="00E71BFF">
        <w:t xml:space="preserve">threat of declaration under Part IIIA </w:t>
      </w:r>
    </w:p>
    <w:p w:rsidR="00E71BFF" w:rsidRDefault="00E71BFF" w:rsidP="00E71BFF">
      <w:r>
        <w:t>In the ACCC’s view, a</w:t>
      </w:r>
      <w:r w:rsidR="00797F92">
        <w:t xml:space="preserve">n </w:t>
      </w:r>
      <w:r w:rsidR="00797F92" w:rsidRPr="00D007FA">
        <w:t xml:space="preserve">effective </w:t>
      </w:r>
      <w:r>
        <w:t xml:space="preserve">regulatory framework for port operators would be </w:t>
      </w:r>
      <w:proofErr w:type="gramStart"/>
      <w:r>
        <w:t>a negotiate</w:t>
      </w:r>
      <w:proofErr w:type="gramEnd"/>
      <w:r>
        <w:t>-arbitrate model,</w:t>
      </w:r>
      <w:r>
        <w:rPr>
          <w:rStyle w:val="FootnoteReference"/>
        </w:rPr>
        <w:footnoteReference w:id="70"/>
      </w:r>
      <w:r>
        <w:t xml:space="preserve"> which can provide greater bargaining power to parties who rely on access to monopoly or near monopoly infrastructure. One</w:t>
      </w:r>
      <w:r w:rsidRPr="00A540ED">
        <w:t xml:space="preserve"> of the advantages of </w:t>
      </w:r>
      <w:proofErr w:type="gramStart"/>
      <w:r>
        <w:t>a</w:t>
      </w:r>
      <w:r w:rsidRPr="00A540ED">
        <w:t xml:space="preserve"> negotiate</w:t>
      </w:r>
      <w:proofErr w:type="gramEnd"/>
      <w:r w:rsidRPr="00A540ED">
        <w:t xml:space="preserve">-arbitrate </w:t>
      </w:r>
      <w:r>
        <w:t>model</w:t>
      </w:r>
      <w:r w:rsidRPr="00A540ED">
        <w:t xml:space="preserve"> is that the threat of regulatory intervention can support the primacy of commercial negotiations and avoid the need for the regulator to set access terms and conditions.</w:t>
      </w:r>
    </w:p>
    <w:p w:rsidR="00E71BFF" w:rsidRDefault="00E71BFF" w:rsidP="00E71BFF">
      <w:r>
        <w:t xml:space="preserve">Where, however, policy decisions are such that appropriate regulatory constraints are not put in place, the </w:t>
      </w:r>
      <w:r w:rsidRPr="005076BC">
        <w:t>only</w:t>
      </w:r>
      <w:r>
        <w:t xml:space="preserve"> regulatory recourse available to users is to apply for declaration of port services under Part IIIA of the </w:t>
      </w:r>
      <w:r w:rsidR="00EF0293">
        <w:t>CCA</w:t>
      </w:r>
      <w:r>
        <w:t xml:space="preserve"> (see text box</w:t>
      </w:r>
      <w:r w:rsidR="00EF0293">
        <w:t xml:space="preserve"> 1.</w:t>
      </w:r>
      <w:r w:rsidR="002118E7">
        <w:t>5</w:t>
      </w:r>
      <w:r>
        <w:t>).</w:t>
      </w:r>
      <w:r w:rsidRPr="005566BA">
        <w:t xml:space="preserve"> Declaration </w:t>
      </w:r>
      <w:r>
        <w:t xml:space="preserve">of a service enables </w:t>
      </w:r>
      <w:r w:rsidRPr="005566BA">
        <w:t>the ACCC to arbitrate disputes over</w:t>
      </w:r>
      <w:r>
        <w:t xml:space="preserve"> the</w:t>
      </w:r>
      <w:r w:rsidRPr="005566BA">
        <w:t xml:space="preserve"> terms and conditions</w:t>
      </w:r>
      <w:r w:rsidRPr="00D057E2">
        <w:t xml:space="preserve"> </w:t>
      </w:r>
      <w:r>
        <w:t xml:space="preserve">of </w:t>
      </w:r>
      <w:r w:rsidRPr="005566BA">
        <w:t>access</w:t>
      </w:r>
      <w:r>
        <w:t xml:space="preserve"> including price</w:t>
      </w:r>
      <w:r w:rsidRPr="005566BA">
        <w:t>.</w:t>
      </w:r>
      <w:r>
        <w:t xml:space="preserve"> </w:t>
      </w:r>
    </w:p>
    <w:p w:rsidR="00E71BFF" w:rsidRDefault="00E71BFF" w:rsidP="00E71BFF">
      <w:r>
        <w:t>The ACCC notes the ability to initiate an application for declaration may provide port users with some bargaining power in their negotiations with port operators. This would be expected to depend on the likelihood of the declaration criteria being met, which is assessed on a case-by-case basis.</w:t>
      </w:r>
    </w:p>
    <w:p w:rsidR="00E71BFF" w:rsidRDefault="00E71BFF" w:rsidP="00E71BFF">
      <w:r>
        <w:t xml:space="preserve">However, as noted in the ACCC’s submission to the </w:t>
      </w:r>
      <w:r w:rsidR="00DC3E23">
        <w:t xml:space="preserve">Productivity Commission’s </w:t>
      </w:r>
      <w:r>
        <w:t>review of the National Access Regime, d</w:t>
      </w:r>
      <w:r w:rsidRPr="00A540ED">
        <w:t>eclaration is</w:t>
      </w:r>
      <w:r>
        <w:t xml:space="preserve"> </w:t>
      </w:r>
      <w:r w:rsidRPr="00A540ED">
        <w:t>a potentially complex and time-consuming path to access</w:t>
      </w:r>
      <w:r>
        <w:t xml:space="preserve">. </w:t>
      </w:r>
      <w:r w:rsidR="00E402D4">
        <w:t>Recent experience suggests that applications for declaration can be a problematic path to ensuring appropriate regulation is in place.</w:t>
      </w:r>
      <w:r w:rsidR="00C71586">
        <w:t xml:space="preserve"> </w:t>
      </w:r>
      <w:r>
        <w:t xml:space="preserve">This supports the need for </w:t>
      </w:r>
      <w:r w:rsidR="00EB0C88">
        <w:t>g</w:t>
      </w:r>
      <w:r>
        <w:t xml:space="preserve">overnments to establish adequate upfront regulatory regimes at the time of privatising monopolies.  </w:t>
      </w:r>
    </w:p>
    <w:p w:rsidR="00E71BFF" w:rsidRDefault="00AF3C54" w:rsidP="00C950F7">
      <w:pPr>
        <w:pStyle w:val="Tabletitle"/>
        <w:shd w:val="clear" w:color="auto" w:fill="D9D9D9" w:themeFill="background1" w:themeFillShade="D9"/>
      </w:pPr>
      <w:r>
        <w:t>Text box 1.</w:t>
      </w:r>
      <w:r w:rsidR="002118E7">
        <w:t>5</w:t>
      </w:r>
      <w:r>
        <w:t xml:space="preserve">: </w:t>
      </w:r>
      <w:r w:rsidR="00E71BFF">
        <w:t>The declaration process</w:t>
      </w:r>
    </w:p>
    <w:p w:rsidR="00E71BFF" w:rsidRDefault="00E71BFF" w:rsidP="00C950F7">
      <w:pPr>
        <w:shd w:val="clear" w:color="auto" w:fill="D9D9D9" w:themeFill="background1" w:themeFillShade="D9"/>
      </w:pPr>
      <w:r>
        <w:t xml:space="preserve">Declaration is a pathway provided under Part IIIA of the CCA for parties to gain access to a service provided by way of a </w:t>
      </w:r>
      <w:r w:rsidRPr="00440BAD">
        <w:t>facility of national significance</w:t>
      </w:r>
      <w:r>
        <w:t xml:space="preserve">. It provides a process for determining whether services provided by a particular facility should be regulated. </w:t>
      </w:r>
    </w:p>
    <w:p w:rsidR="00E71BFF" w:rsidRDefault="00E71BFF" w:rsidP="00C950F7">
      <w:pPr>
        <w:shd w:val="clear" w:color="auto" w:fill="D9D9D9" w:themeFill="background1" w:themeFillShade="D9"/>
      </w:pPr>
      <w:r>
        <w:t>Parties seeking access (or increased access) can apply to the National Competition Council (NCC) for a recommendation that the services be declared.</w:t>
      </w:r>
      <w:r w:rsidR="00E76E0B">
        <w:rPr>
          <w:rStyle w:val="FootnoteReference"/>
        </w:rPr>
        <w:footnoteReference w:id="71"/>
      </w:r>
      <w:r>
        <w:t xml:space="preserve"> In the case of an increased access situation, it can be that a party is seeking access on more reasonable prices. </w:t>
      </w:r>
    </w:p>
    <w:p w:rsidR="00E71BFF" w:rsidRDefault="00E71BFF" w:rsidP="00C950F7">
      <w:pPr>
        <w:shd w:val="clear" w:color="auto" w:fill="D9D9D9" w:themeFill="background1" w:themeFillShade="D9"/>
      </w:pPr>
      <w:r>
        <w:t xml:space="preserve">The NCC considers whether the service should be declared against a set of criteria. The NCC then recommends </w:t>
      </w:r>
      <w:r w:rsidR="00450D5C">
        <w:t xml:space="preserve">to </w:t>
      </w:r>
      <w:r>
        <w:t xml:space="preserve">the designated Minister whether or not the service should be declared. </w:t>
      </w:r>
    </w:p>
    <w:p w:rsidR="00E71BFF" w:rsidRDefault="00E71BFF" w:rsidP="00C950F7">
      <w:pPr>
        <w:shd w:val="clear" w:color="auto" w:fill="D9D9D9" w:themeFill="background1" w:themeFillShade="D9"/>
      </w:pPr>
      <w:r>
        <w:t>For the NCC to recommend declaration it must be satisfied that the following criteria are met:</w:t>
      </w:r>
    </w:p>
    <w:p w:rsidR="00E71BFF" w:rsidRDefault="00E71BFF" w:rsidP="00C950F7">
      <w:pPr>
        <w:shd w:val="clear" w:color="auto" w:fill="D9D9D9" w:themeFill="background1" w:themeFillShade="D9"/>
      </w:pPr>
      <w:r>
        <w:t xml:space="preserve">(a) </w:t>
      </w:r>
      <w:proofErr w:type="gramStart"/>
      <w:r>
        <w:t>that</w:t>
      </w:r>
      <w:proofErr w:type="gramEnd"/>
      <w:r>
        <w:t xml:space="preserve"> access (or increased access) to the service would promote a material increase in competition in at least one market, other than the market for the service;</w:t>
      </w:r>
    </w:p>
    <w:p w:rsidR="00E71BFF" w:rsidRDefault="00E71BFF" w:rsidP="00C950F7">
      <w:pPr>
        <w:shd w:val="clear" w:color="auto" w:fill="D9D9D9" w:themeFill="background1" w:themeFillShade="D9"/>
      </w:pPr>
      <w:r>
        <w:t xml:space="preserve">(b) </w:t>
      </w:r>
      <w:proofErr w:type="gramStart"/>
      <w:r>
        <w:t>that</w:t>
      </w:r>
      <w:proofErr w:type="gramEnd"/>
      <w:r>
        <w:t xml:space="preserve"> it would be uneconomical for anyone to develop another facility to provide the service; </w:t>
      </w:r>
    </w:p>
    <w:p w:rsidR="00E71BFF" w:rsidRDefault="00E71BFF" w:rsidP="00C950F7">
      <w:pPr>
        <w:shd w:val="clear" w:color="auto" w:fill="D9D9D9" w:themeFill="background1" w:themeFillShade="D9"/>
      </w:pPr>
      <w:r>
        <w:t xml:space="preserve">(c) </w:t>
      </w:r>
      <w:proofErr w:type="gramStart"/>
      <w:r>
        <w:t>that</w:t>
      </w:r>
      <w:proofErr w:type="gramEnd"/>
      <w:r>
        <w:t xml:space="preserve"> the facility is of national significance</w:t>
      </w:r>
      <w:r w:rsidR="001928C4">
        <w:t>,</w:t>
      </w:r>
      <w:r>
        <w:rPr>
          <w:rStyle w:val="FootnoteReference"/>
        </w:rPr>
        <w:footnoteReference w:id="72"/>
      </w:r>
    </w:p>
    <w:p w:rsidR="00E71BFF" w:rsidRDefault="00E71BFF" w:rsidP="00C950F7">
      <w:pPr>
        <w:shd w:val="clear" w:color="auto" w:fill="D9D9D9" w:themeFill="background1" w:themeFillShade="D9"/>
      </w:pPr>
      <w:r>
        <w:t xml:space="preserve">(e) </w:t>
      </w:r>
      <w:proofErr w:type="gramStart"/>
      <w:r>
        <w:t>that</w:t>
      </w:r>
      <w:proofErr w:type="gramEnd"/>
      <w:r>
        <w:t xml:space="preserve"> the service is not already the subject of … an</w:t>
      </w:r>
      <w:r w:rsidRPr="00AC61EF">
        <w:t xml:space="preserve"> effective access regime</w:t>
      </w:r>
      <w:r>
        <w:t>; and</w:t>
      </w:r>
    </w:p>
    <w:p w:rsidR="00E71BFF" w:rsidRDefault="00E71BFF" w:rsidP="00C950F7">
      <w:pPr>
        <w:shd w:val="clear" w:color="auto" w:fill="D9D9D9" w:themeFill="background1" w:themeFillShade="D9"/>
      </w:pPr>
      <w:r>
        <w:t xml:space="preserve">(f) </w:t>
      </w:r>
      <w:proofErr w:type="gramStart"/>
      <w:r>
        <w:t>that</w:t>
      </w:r>
      <w:proofErr w:type="gramEnd"/>
      <w:r>
        <w:t xml:space="preserve"> access (or increased access) to the service would not be contrary to the public interest. </w:t>
      </w:r>
    </w:p>
    <w:p w:rsidR="00E71BFF" w:rsidRDefault="00E71BFF" w:rsidP="00C950F7">
      <w:pPr>
        <w:shd w:val="clear" w:color="auto" w:fill="D9D9D9" w:themeFill="background1" w:themeFillShade="D9"/>
      </w:pPr>
      <w:r>
        <w:t>Ministerial decisions on declaration applications are subject to review by the Competition Tribunal.</w:t>
      </w:r>
    </w:p>
    <w:p w:rsidR="00E71BFF" w:rsidRDefault="00E71BFF" w:rsidP="00E71BFF">
      <w:pPr>
        <w:pStyle w:val="Numbered11"/>
      </w:pPr>
      <w:bookmarkStart w:id="36" w:name="_Toc433667000"/>
      <w:r>
        <w:t>There are opportunities to improve road, rail and sea connections to container ports</w:t>
      </w:r>
      <w:bookmarkEnd w:id="36"/>
    </w:p>
    <w:p w:rsidR="00E71BFF" w:rsidRDefault="00E71BFF" w:rsidP="00E71BFF">
      <w:r>
        <w:t xml:space="preserve">The volume of container freight to pass through Australian ports has been forecast by </w:t>
      </w:r>
      <w:r w:rsidR="008F274A">
        <w:t>the Bureau of Infrastructure, Transport and Regional Economics (</w:t>
      </w:r>
      <w:r>
        <w:t>BITRE</w:t>
      </w:r>
      <w:r w:rsidR="008F274A">
        <w:t>)</w:t>
      </w:r>
      <w:r>
        <w:t xml:space="preserve"> to more than double from 7.2 million to 19.4 million </w:t>
      </w:r>
      <w:r w:rsidR="00E76E0B">
        <w:t>TEUs</w:t>
      </w:r>
      <w:r w:rsidR="00791388">
        <w:t xml:space="preserve"> </w:t>
      </w:r>
      <w:r>
        <w:t>by 2032-33.</w:t>
      </w:r>
      <w:r>
        <w:rPr>
          <w:rStyle w:val="FootnoteReference"/>
        </w:rPr>
        <w:footnoteReference w:id="73"/>
      </w:r>
      <w:r>
        <w:t xml:space="preserve"> This presents unique challenges to Australia with a relatively small population of 23 million and its three largest cities separated by almost 2,000 kilometres. </w:t>
      </w:r>
    </w:p>
    <w:p w:rsidR="00E71BFF" w:rsidRDefault="00E71BFF" w:rsidP="00E71BFF">
      <w:r>
        <w:t>If Australia is to successfully meet this challenge, reform to the way that freight infrastructure is used and provided</w:t>
      </w:r>
      <w:r w:rsidRPr="007460D9">
        <w:t xml:space="preserve"> </w:t>
      </w:r>
      <w:r>
        <w:t xml:space="preserve">is needed to ensure that ports, roads and rail networks can cope with predicted growth. </w:t>
      </w:r>
    </w:p>
    <w:p w:rsidR="0068444A" w:rsidRDefault="0068444A" w:rsidP="00E71BFF">
      <w:r>
        <w:t>In particular, there are opportunities to improve</w:t>
      </w:r>
      <w:r w:rsidRPr="0068444A">
        <w:t xml:space="preserve"> domestic transport connections to container terminals. A number of impediments currently exist to transporting containers within Australia as efficiently as possible</w:t>
      </w:r>
      <w:r>
        <w:t>. Such impediments may include</w:t>
      </w:r>
      <w:r w:rsidRPr="0068444A">
        <w:t xml:space="preserve"> </w:t>
      </w:r>
      <w:r>
        <w:t>commercial,</w:t>
      </w:r>
      <w:r w:rsidRPr="0068444A">
        <w:t xml:space="preserve"> regulatory and policy settings.</w:t>
      </w:r>
    </w:p>
    <w:p w:rsidR="00E71BFF" w:rsidRDefault="00E71BFF" w:rsidP="00E71BFF">
      <w:r>
        <w:t>Billions of dollars are spent on logistics each year and the industry makes a major contribution to the economy. It is estimated to be worth 8.6 per cent of GDP, which in 2013 represented $131.6 billion of value added.</w:t>
      </w:r>
      <w:r>
        <w:rPr>
          <w:rStyle w:val="FootnoteReference"/>
        </w:rPr>
        <w:footnoteReference w:id="74"/>
      </w:r>
      <w:r>
        <w:t xml:space="preserve"> The potential benefits from productivity improvements in freight transport are therefore significant.</w:t>
      </w:r>
    </w:p>
    <w:p w:rsidR="00E71BFF" w:rsidRDefault="00E71BFF" w:rsidP="00E71BFF">
      <w:r>
        <w:t>The</w:t>
      </w:r>
      <w:r w:rsidR="007029B3">
        <w:t xml:space="preserve"> key findings of the</w:t>
      </w:r>
      <w:r>
        <w:t xml:space="preserve"> PC’s study </w:t>
      </w:r>
      <w:r w:rsidRPr="009E4538">
        <w:t xml:space="preserve">of the Australian </w:t>
      </w:r>
      <w:r w:rsidR="000F31EF">
        <w:t>w</w:t>
      </w:r>
      <w:r w:rsidRPr="009E4538">
        <w:t>aterfront</w:t>
      </w:r>
      <w:r>
        <w:t xml:space="preserve"> in 1998 </w:t>
      </w:r>
      <w:r w:rsidR="007029B3">
        <w:t>included</w:t>
      </w:r>
      <w:r>
        <w:t>:</w:t>
      </w:r>
    </w:p>
    <w:p w:rsidR="007029B3" w:rsidRDefault="00E71BFF" w:rsidP="00E71BFF">
      <w:pPr>
        <w:pStyle w:val="Quote"/>
      </w:pPr>
      <w:r>
        <w:t>The [p]ort-land interface is not operating effectively. There is a need for better coordination throughout the transport chain.</w:t>
      </w:r>
    </w:p>
    <w:p w:rsidR="007029B3" w:rsidRDefault="00E71BFF" w:rsidP="00E71BFF">
      <w:pPr>
        <w:pStyle w:val="Quote"/>
      </w:pPr>
      <w:r>
        <w:t>Poor performance increases costs to exporters, importers and other shippers both directly and indirectly.</w:t>
      </w:r>
    </w:p>
    <w:p w:rsidR="00E71BFF" w:rsidRDefault="00E71BFF" w:rsidP="00E71BFF">
      <w:pPr>
        <w:pStyle w:val="Quote"/>
      </w:pPr>
      <w:r>
        <w:t>Overall, there is significant scope for improvement.</w:t>
      </w:r>
      <w:r>
        <w:rPr>
          <w:rStyle w:val="FootnoteReference"/>
        </w:rPr>
        <w:footnoteReference w:id="75"/>
      </w:r>
    </w:p>
    <w:p w:rsidR="00E71BFF" w:rsidRDefault="00E71BFF" w:rsidP="00E71BFF">
      <w:r>
        <w:t>The ACCC monitoring program has documented significant improvements in the productivity of stevedoring since that time. However, stevedoring is just one part of the container supply chain. For improvement in stevedoring to translate to lower freight costs, it is important that the focus is placed on improving domestic transport connections to container ports. Without this, the risk exists that improvements</w:t>
      </w:r>
      <w:r w:rsidR="00100E2A">
        <w:t xml:space="preserve"> in</w:t>
      </w:r>
      <w:r>
        <w:t xml:space="preserve"> stevedoring could be negated</w:t>
      </w:r>
      <w:r w:rsidRPr="00635709">
        <w:t xml:space="preserve"> </w:t>
      </w:r>
      <w:r>
        <w:t>by inefficiencies elsewhere in the supply chain.</w:t>
      </w:r>
    </w:p>
    <w:p w:rsidR="00E71BFF" w:rsidRDefault="00E71BFF" w:rsidP="00E71BFF">
      <w:pPr>
        <w:pStyle w:val="Numbered111"/>
      </w:pPr>
      <w:bookmarkStart w:id="37" w:name="_Toc433667001"/>
      <w:r>
        <w:t>Many parties have a role in efficient container flows</w:t>
      </w:r>
      <w:bookmarkEnd w:id="37"/>
    </w:p>
    <w:p w:rsidR="00E71BFF" w:rsidRDefault="00E71BFF" w:rsidP="00E71BFF">
      <w:pPr>
        <w:pStyle w:val="Heading4"/>
      </w:pPr>
      <w:r>
        <w:t xml:space="preserve">The container supply chain </w:t>
      </w:r>
    </w:p>
    <w:p w:rsidR="00E71BFF" w:rsidRDefault="00E71BFF" w:rsidP="00E71BFF">
      <w:r>
        <w:t>From the dispatch of a container overseas to the receipt of that container at its end destination in Australia, and vice versa, many parties play a role</w:t>
      </w:r>
      <w:r w:rsidR="00100E2A">
        <w:t xml:space="preserve"> in efficient container flows</w:t>
      </w:r>
      <w:r>
        <w:t xml:space="preserve">. These include stevedores, shipping lines, </w:t>
      </w:r>
      <w:r w:rsidR="000B48A6">
        <w:t>importers/exporters (</w:t>
      </w:r>
      <w:r>
        <w:t>shippers</w:t>
      </w:r>
      <w:r w:rsidR="000B48A6">
        <w:t>)</w:t>
      </w:r>
      <w:r>
        <w:t xml:space="preserve"> (who may choose to engage </w:t>
      </w:r>
      <w:r w:rsidR="00C83C3D">
        <w:t>an agent</w:t>
      </w:r>
      <w:r>
        <w:t xml:space="preserve">), road transport operators, rail operators, </w:t>
      </w:r>
      <w:r w:rsidR="009D54B7">
        <w:t xml:space="preserve">logistics service providers, </w:t>
      </w:r>
      <w:r>
        <w:t>intermodal terminal operators, port operators, empty container park</w:t>
      </w:r>
      <w:r w:rsidR="009D54B7">
        <w:t xml:space="preserve"> operator</w:t>
      </w:r>
      <w:r>
        <w:t>s and government</w:t>
      </w:r>
      <w:r w:rsidR="00A02637">
        <w:t>s</w:t>
      </w:r>
      <w:r>
        <w:t>.</w:t>
      </w:r>
      <w:r w:rsidR="0053436E">
        <w:t xml:space="preserve"> </w:t>
      </w:r>
    </w:p>
    <w:p w:rsidR="000B48A6" w:rsidRDefault="00D1719D" w:rsidP="000B48A6">
      <w:r>
        <w:t>D</w:t>
      </w:r>
      <w:r w:rsidR="00E71BFF">
        <w:t xml:space="preserve">iagram </w:t>
      </w:r>
      <w:r>
        <w:t>1.1</w:t>
      </w:r>
      <w:r w:rsidR="00E71BFF">
        <w:t xml:space="preserve"> </w:t>
      </w:r>
      <w:r>
        <w:t xml:space="preserve">shows </w:t>
      </w:r>
      <w:r w:rsidR="00E71BFF">
        <w:t xml:space="preserve">the movement of containers along the supply chain and indicates </w:t>
      </w:r>
      <w:r w:rsidR="000B48A6">
        <w:t>where there are commercial relationships between container stevedores and other key parties.</w:t>
      </w:r>
    </w:p>
    <w:p w:rsidR="004F079C" w:rsidRDefault="00100A54" w:rsidP="000B48A6">
      <w:r>
        <w:t>There is a</w:t>
      </w:r>
      <w:r w:rsidR="000B48A6">
        <w:t xml:space="preserve"> distinction between the relationship stevedores have with shipping lines and land transport operators</w:t>
      </w:r>
      <w:r w:rsidR="004F079C">
        <w:t xml:space="preserve">. </w:t>
      </w:r>
      <w:r w:rsidR="004F079C" w:rsidRPr="004F079C">
        <w:t xml:space="preserve">Unlike shipping lines, </w:t>
      </w:r>
      <w:r w:rsidR="0090461E">
        <w:t xml:space="preserve">land </w:t>
      </w:r>
      <w:r w:rsidR="004F079C" w:rsidRPr="004F079C">
        <w:t>transport operators do not have a choice of which terminal they access to collect or drop off a container (this is directly deter</w:t>
      </w:r>
      <w:r>
        <w:t xml:space="preserve">mined by the shipping line, and </w:t>
      </w:r>
      <w:r w:rsidR="00A21D5C">
        <w:t xml:space="preserve">somewhat </w:t>
      </w:r>
      <w:r w:rsidR="004F079C">
        <w:t xml:space="preserve">indirectly by </w:t>
      </w:r>
      <w:r w:rsidR="004F079C" w:rsidRPr="004F079C">
        <w:t>the</w:t>
      </w:r>
      <w:r>
        <w:t xml:space="preserve"> shipper or shipper’s agent</w:t>
      </w:r>
      <w:r w:rsidR="004F079C" w:rsidRPr="004F079C">
        <w:t xml:space="preserve"> </w:t>
      </w:r>
      <w:r>
        <w:t>choice of shipping line</w:t>
      </w:r>
      <w:r w:rsidR="004F079C" w:rsidRPr="004F079C">
        <w:t xml:space="preserve">). </w:t>
      </w:r>
      <w:r w:rsidR="00A21D5C">
        <w:t>Conversely</w:t>
      </w:r>
      <w:r>
        <w:t>,</w:t>
      </w:r>
      <w:r w:rsidR="004F079C" w:rsidRPr="004F079C">
        <w:t xml:space="preserve"> </w:t>
      </w:r>
      <w:r w:rsidR="00A21D5C">
        <w:t xml:space="preserve">the </w:t>
      </w:r>
      <w:r w:rsidR="004F079C" w:rsidRPr="004F079C">
        <w:t xml:space="preserve">ACCC understands that road transport operators gain access to the stevedores’ </w:t>
      </w:r>
      <w:r>
        <w:t>vehicle booking systems (VBS)</w:t>
      </w:r>
      <w:r w:rsidR="004F079C" w:rsidRPr="004F079C">
        <w:t xml:space="preserve"> (and therefore terminals) through standard access agreements, which set the stevedore’s terms and conditions of access for all road transport providers.</w:t>
      </w:r>
    </w:p>
    <w:p w:rsidR="00D1719D" w:rsidRDefault="00D1719D" w:rsidP="00D1719D">
      <w:pPr>
        <w:pStyle w:val="Tabletitle"/>
      </w:pPr>
      <w:r>
        <w:t>Diagram 1.1: C</w:t>
      </w:r>
      <w:r w:rsidR="000B48A6">
        <w:t>ommercial relationships between stevedores and other key parties in the c</w:t>
      </w:r>
      <w:r>
        <w:t>ontainer supply chain</w:t>
      </w:r>
      <w:r w:rsidR="00A3101F">
        <w:t xml:space="preserve"> </w:t>
      </w:r>
    </w:p>
    <w:p w:rsidR="00E71BFF" w:rsidRDefault="00FC2D46" w:rsidP="00E71BFF">
      <w:r>
        <w:rPr>
          <w:noProof/>
          <w:lang w:eastAsia="en-AU"/>
        </w:rPr>
        <mc:AlternateContent>
          <mc:Choice Requires="wps">
            <w:drawing>
              <wp:anchor distT="0" distB="0" distL="114300" distR="114300" simplePos="0" relativeHeight="251681792" behindDoc="0" locked="0" layoutInCell="1" allowOverlap="1" wp14:anchorId="49CDC2F7" wp14:editId="75BD5039">
                <wp:simplePos x="0" y="0"/>
                <wp:positionH relativeFrom="column">
                  <wp:posOffset>1619250</wp:posOffset>
                </wp:positionH>
                <wp:positionV relativeFrom="paragraph">
                  <wp:posOffset>146050</wp:posOffset>
                </wp:positionV>
                <wp:extent cx="914400" cy="8477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91440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2528" w:rsidRDefault="00C32528" w:rsidP="00E71BFF">
                            <w:pPr>
                              <w:spacing w:before="0"/>
                              <w:jc w:val="center"/>
                            </w:pPr>
                            <w:r>
                              <w:t>Port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127.5pt;margin-top:11.5pt;width:1in;height:66.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" fillcolor="#51626f [3204]" strokecolor="#283037 [1604]" strokeweight="2pt">
                <v:textbox>
                  <w:txbxContent>
                    <w:p w:rsidR="00C32528" w:rsidRDefault="00C32528" w:rsidP="00E71BFF">
                      <w:pPr>
                        <w:spacing w:before="0"/>
                        <w:jc w:val="center"/>
                      </w:pPr>
                      <w:r>
                        <w:t>Port operator</w:t>
                      </w:r>
                    </w:p>
                  </w:txbxContent>
                </v:textbox>
              </v:rect>
            </w:pict>
          </mc:Fallback>
        </mc:AlternateContent>
      </w:r>
      <w:r>
        <w:rPr>
          <w:noProof/>
          <w:lang w:eastAsia="en-AU"/>
        </w:rPr>
        <mc:AlternateContent>
          <mc:Choice Requires="wps">
            <w:drawing>
              <wp:anchor distT="0" distB="0" distL="114300" distR="114300" simplePos="0" relativeHeight="251678720" behindDoc="0" locked="0" layoutInCell="1" allowOverlap="1" wp14:anchorId="7ABB9A62" wp14:editId="0A1E8F3A">
                <wp:simplePos x="0" y="0"/>
                <wp:positionH relativeFrom="column">
                  <wp:posOffset>3248025</wp:posOffset>
                </wp:positionH>
                <wp:positionV relativeFrom="paragraph">
                  <wp:posOffset>136525</wp:posOffset>
                </wp:positionV>
                <wp:extent cx="914400" cy="8572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9144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2528" w:rsidRDefault="00C32528" w:rsidP="00E71BFF">
                            <w:pPr>
                              <w:spacing w:before="0"/>
                              <w:jc w:val="center"/>
                            </w:pPr>
                            <w:r>
                              <w:t>Rail operators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8" o:spid="_x0000_s1027" style="position:absolute;margin-left:255.75pt;margin-top:10.75pt;width:1in;height:6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" fillcolor="#51626f [3204]" strokecolor="#283037 [1604]" strokeweight="2pt">
                <v:textbox>
                  <w:txbxContent>
                    <w:p w:rsidR="00C32528" w:rsidRDefault="00C32528" w:rsidP="00E71BFF">
                      <w:pPr>
                        <w:spacing w:before="0"/>
                        <w:jc w:val="center"/>
                      </w:pPr>
                      <w:r>
                        <w:t>Rail operators</w:t>
                      </w:r>
                    </w:p>
                  </w:txbxContent>
                </v:textbox>
              </v:rect>
            </w:pict>
          </mc:Fallback>
        </mc:AlternateContent>
      </w:r>
    </w:p>
    <w:p w:rsidR="00E71BFF" w:rsidRDefault="00E71BFF" w:rsidP="00D1719D">
      <w:pPr>
        <w:keepNext/>
      </w:pPr>
    </w:p>
    <w:p w:rsidR="00E71BFF" w:rsidRDefault="0008242E" w:rsidP="00E71BFF">
      <w:r>
        <w:rPr>
          <w:noProof/>
          <w:lang w:eastAsia="en-AU"/>
        </w:rPr>
        <mc:AlternateContent>
          <mc:Choice Requires="wps">
            <w:drawing>
              <wp:anchor distT="0" distB="0" distL="114300" distR="114300" simplePos="0" relativeHeight="251679744" behindDoc="0" locked="0" layoutInCell="1" allowOverlap="1" wp14:anchorId="51694DA8" wp14:editId="4FD4F89A">
                <wp:simplePos x="0" y="0"/>
                <wp:positionH relativeFrom="column">
                  <wp:posOffset>4171950</wp:posOffset>
                </wp:positionH>
                <wp:positionV relativeFrom="paragraph">
                  <wp:posOffset>266700</wp:posOffset>
                </wp:positionV>
                <wp:extent cx="685800" cy="476250"/>
                <wp:effectExtent l="38100" t="38100" r="76200" b="57150"/>
                <wp:wrapNone/>
                <wp:docPr id="289" name="Straight Arrow Connector 289"/>
                <wp:cNvGraphicFramePr/>
                <a:graphic xmlns:a="http://schemas.openxmlformats.org/drawingml/2006/main">
                  <a:graphicData uri="http://schemas.microsoft.com/office/word/2010/wordprocessingShape">
                    <wps:wsp>
                      <wps:cNvCnPr/>
                      <wps:spPr>
                        <a:xfrm>
                          <a:off x="0" y="0"/>
                          <a:ext cx="685800" cy="4762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9" o:spid="_x0000_s1026" type="#_x0000_t32" style="position:absolute;margin-left:328.5pt;margin-top:21pt;width:54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" strokecolor="#262e34 [1540]">
                <v:stroke startarrow="open" endarrow="open"/>
              </v:shape>
            </w:pict>
          </mc:Fallback>
        </mc:AlternateContent>
      </w:r>
    </w:p>
    <w:p w:rsidR="00E71BFF" w:rsidRDefault="00C97747" w:rsidP="00E71BFF">
      <w:r>
        <w:rPr>
          <w:noProof/>
          <w:lang w:eastAsia="en-AU"/>
        </w:rPr>
        <mc:AlternateContent>
          <mc:Choice Requires="wps">
            <w:drawing>
              <wp:anchor distT="0" distB="0" distL="114300" distR="114300" simplePos="0" relativeHeight="251682816" behindDoc="0" locked="0" layoutInCell="1" allowOverlap="1" wp14:anchorId="38520C3B" wp14:editId="3EABF692">
                <wp:simplePos x="0" y="0"/>
                <wp:positionH relativeFrom="column">
                  <wp:posOffset>2324100</wp:posOffset>
                </wp:positionH>
                <wp:positionV relativeFrom="paragraph">
                  <wp:posOffset>27940</wp:posOffset>
                </wp:positionV>
                <wp:extent cx="906780" cy="408940"/>
                <wp:effectExtent l="38100" t="38100" r="64770" b="67310"/>
                <wp:wrapNone/>
                <wp:docPr id="20" name="Straight Arrow Connector 20"/>
                <wp:cNvGraphicFramePr/>
                <a:graphic xmlns:a="http://schemas.openxmlformats.org/drawingml/2006/main">
                  <a:graphicData uri="http://schemas.microsoft.com/office/word/2010/wordprocessingShape">
                    <wps:wsp>
                      <wps:cNvCnPr/>
                      <wps:spPr>
                        <a:xfrm flipV="1">
                          <a:off x="0" y="0"/>
                          <a:ext cx="906780" cy="4089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83pt;margin-top:2.2pt;width:71.4pt;height:32.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" strokecolor="#262e34 [1540]">
                <v:stroke startarrow="open" endarrow="open"/>
              </v:shape>
            </w:pict>
          </mc:Fallback>
        </mc:AlternateContent>
      </w:r>
      <w:r w:rsidR="00E71BFF">
        <w:rPr>
          <w:noProof/>
          <w:lang w:eastAsia="en-AU"/>
        </w:rPr>
        <mc:AlternateContent>
          <mc:Choice Requires="wps">
            <w:drawing>
              <wp:anchor distT="0" distB="0" distL="114300" distR="114300" simplePos="0" relativeHeight="251680768" behindDoc="0" locked="0" layoutInCell="1" allowOverlap="1" wp14:anchorId="661F0F49" wp14:editId="509A51F7">
                <wp:simplePos x="0" y="0"/>
                <wp:positionH relativeFrom="column">
                  <wp:posOffset>3695700</wp:posOffset>
                </wp:positionH>
                <wp:positionV relativeFrom="paragraph">
                  <wp:posOffset>226060</wp:posOffset>
                </wp:positionV>
                <wp:extent cx="0" cy="216535"/>
                <wp:effectExtent l="95250" t="38100" r="76200" b="50165"/>
                <wp:wrapNone/>
                <wp:docPr id="290" name="Straight Arrow Connector 290"/>
                <wp:cNvGraphicFramePr/>
                <a:graphic xmlns:a="http://schemas.openxmlformats.org/drawingml/2006/main">
                  <a:graphicData uri="http://schemas.microsoft.com/office/word/2010/wordprocessingShape">
                    <wps:wsp>
                      <wps:cNvCnPr/>
                      <wps:spPr>
                        <a:xfrm flipV="1">
                          <a:off x="0" y="0"/>
                          <a:ext cx="0" cy="21653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91pt;margin-top:17.8pt;width:0;height:17.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" strokecolor="#262e34 [1540]">
                <v:stroke startarrow="open" endarrow="open"/>
              </v:shape>
            </w:pict>
          </mc:Fallback>
        </mc:AlternateContent>
      </w:r>
    </w:p>
    <w:p w:rsidR="00E71BFF" w:rsidRDefault="00C97747" w:rsidP="00E71BFF">
      <w:r>
        <w:rPr>
          <w:noProof/>
          <w:lang w:eastAsia="en-AU"/>
        </w:rPr>
        <mc:AlternateContent>
          <mc:Choice Requires="wps">
            <w:drawing>
              <wp:anchor distT="0" distB="0" distL="114300" distR="114300" simplePos="0" relativeHeight="251703296" behindDoc="0" locked="0" layoutInCell="1" allowOverlap="1" wp14:anchorId="4B474087" wp14:editId="0783660B">
                <wp:simplePos x="0" y="0"/>
                <wp:positionH relativeFrom="column">
                  <wp:posOffset>2493010</wp:posOffset>
                </wp:positionH>
                <wp:positionV relativeFrom="paragraph">
                  <wp:posOffset>38735</wp:posOffset>
                </wp:positionV>
                <wp:extent cx="777580" cy="75491"/>
                <wp:effectExtent l="0" t="171450" r="3810" b="172720"/>
                <wp:wrapNone/>
                <wp:docPr id="7" name="Rectangle 7"/>
                <wp:cNvGraphicFramePr/>
                <a:graphic xmlns:a="http://schemas.openxmlformats.org/drawingml/2006/main">
                  <a:graphicData uri="http://schemas.microsoft.com/office/word/2010/wordprocessingShape">
                    <wps:wsp>
                      <wps:cNvSpPr/>
                      <wps:spPr>
                        <a:xfrm rot="9494257">
                          <a:off x="0" y="0"/>
                          <a:ext cx="777580" cy="754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96.3pt;margin-top:3.05pt;width:61.25pt;height:5.95pt;rotation:10370260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" fillcolor="#51626f [3204]" strokecolor="#283037 [1604]" strokeweight="2pt"/>
            </w:pict>
          </mc:Fallback>
        </mc:AlternateContent>
      </w:r>
      <w:r w:rsidR="0008242E">
        <w:rPr>
          <w:noProof/>
          <w:lang w:eastAsia="en-AU"/>
        </w:rPr>
        <mc:AlternateContent>
          <mc:Choice Requires="wps">
            <w:drawing>
              <wp:anchor distT="0" distB="0" distL="114300" distR="114300" simplePos="0" relativeHeight="251697152" behindDoc="0" locked="0" layoutInCell="1" allowOverlap="1" wp14:anchorId="56EE7628" wp14:editId="1537C549">
                <wp:simplePos x="0" y="0"/>
                <wp:positionH relativeFrom="column">
                  <wp:posOffset>1957070</wp:posOffset>
                </wp:positionH>
                <wp:positionV relativeFrom="paragraph">
                  <wp:posOffset>10795</wp:posOffset>
                </wp:positionV>
                <wp:extent cx="236220" cy="73660"/>
                <wp:effectExtent l="5080" t="0" r="16510" b="16510"/>
                <wp:wrapNone/>
                <wp:docPr id="303" name="Rectangle 303"/>
                <wp:cNvGraphicFramePr/>
                <a:graphic xmlns:a="http://schemas.openxmlformats.org/drawingml/2006/main">
                  <a:graphicData uri="http://schemas.microsoft.com/office/word/2010/wordprocessingShape">
                    <wps:wsp>
                      <wps:cNvSpPr/>
                      <wps:spPr>
                        <a:xfrm rot="5400000" flipV="1">
                          <a:off x="0" y="0"/>
                          <a:ext cx="236220" cy="73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154.1pt;margin-top:.85pt;width:18.6pt;height:5.8pt;rotation:-9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" fillcolor="#51626f [3204]" strokecolor="#283037 [1604]" strokeweight="2pt"/>
            </w:pict>
          </mc:Fallback>
        </mc:AlternateContent>
      </w:r>
      <w:r w:rsidR="00D1719D">
        <w:rPr>
          <w:noProof/>
          <w:lang w:eastAsia="en-AU"/>
        </w:rPr>
        <mc:AlternateContent>
          <mc:Choice Requires="wps">
            <w:drawing>
              <wp:anchor distT="0" distB="0" distL="114300" distR="114300" simplePos="0" relativeHeight="251664384" behindDoc="0" locked="0" layoutInCell="1" allowOverlap="1" wp14:anchorId="17983273" wp14:editId="44D430B5">
                <wp:simplePos x="0" y="0"/>
                <wp:positionH relativeFrom="column">
                  <wp:posOffset>3248025</wp:posOffset>
                </wp:positionH>
                <wp:positionV relativeFrom="paragraph">
                  <wp:posOffset>168910</wp:posOffset>
                </wp:positionV>
                <wp:extent cx="914400" cy="914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2528" w:rsidRDefault="00C32528" w:rsidP="00E71BFF">
                            <w:pPr>
                              <w:spacing w:before="0"/>
                              <w:jc w:val="center"/>
                            </w:pPr>
                            <w:r>
                              <w:t>Road transport operators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8" style="position:absolute;margin-left:255.75pt;margin-top:13.3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NGeAIAAEw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" fillcolor="#51626f [3204]" strokecolor="#283037 [1604]" strokeweight="2pt">
                <v:textbox>
                  <w:txbxContent>
                    <w:p w:rsidR="00C32528" w:rsidRDefault="00C32528" w:rsidP="00E71BFF">
                      <w:pPr>
                        <w:spacing w:before="0"/>
                        <w:jc w:val="center"/>
                      </w:pPr>
                      <w:r>
                        <w:t>Road transport operators</w:t>
                      </w:r>
                    </w:p>
                  </w:txbxContent>
                </v:textbox>
              </v:rect>
            </w:pict>
          </mc:Fallback>
        </mc:AlternateContent>
      </w:r>
      <w:r w:rsidR="00E71BFF">
        <w:rPr>
          <w:noProof/>
          <w:lang w:eastAsia="en-AU"/>
        </w:rPr>
        <mc:AlternateContent>
          <mc:Choice Requires="wps">
            <w:drawing>
              <wp:anchor distT="0" distB="0" distL="114300" distR="114300" simplePos="0" relativeHeight="251661312" behindDoc="0" locked="0" layoutInCell="1" allowOverlap="1" wp14:anchorId="1B5D5BCF" wp14:editId="6797D5AF">
                <wp:simplePos x="0" y="0"/>
                <wp:positionH relativeFrom="column">
                  <wp:posOffset>-28575</wp:posOffset>
                </wp:positionH>
                <wp:positionV relativeFrom="paragraph">
                  <wp:posOffset>181610</wp:posOffset>
                </wp:positionV>
                <wp:extent cx="914400" cy="11525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91440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2528" w:rsidRDefault="00C32528" w:rsidP="00E71BFF">
                            <w:pPr>
                              <w:spacing w:before="0"/>
                              <w:jc w:val="center"/>
                            </w:pPr>
                            <w:r>
                              <w:t>Shipping 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9" style="position:absolute;margin-left:-2.25pt;margin-top:14.3pt;width:1in;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" fillcolor="#51626f [3204]" strokecolor="#283037 [1604]" strokeweight="2pt">
                <v:textbox>
                  <w:txbxContent>
                    <w:p w:rsidR="00C32528" w:rsidRDefault="00C32528" w:rsidP="00E71BFF">
                      <w:pPr>
                        <w:spacing w:before="0"/>
                        <w:jc w:val="center"/>
                      </w:pPr>
                      <w:r>
                        <w:t>Shipping lines</w:t>
                      </w:r>
                    </w:p>
                  </w:txbxContent>
                </v:textbox>
              </v:rect>
            </w:pict>
          </mc:Fallback>
        </mc:AlternateContent>
      </w:r>
      <w:r w:rsidR="00E71BFF">
        <w:rPr>
          <w:noProof/>
          <w:lang w:eastAsia="en-AU"/>
        </w:rPr>
        <mc:AlternateContent>
          <mc:Choice Requires="wps">
            <w:drawing>
              <wp:anchor distT="0" distB="0" distL="114300" distR="114300" simplePos="0" relativeHeight="251665408" behindDoc="0" locked="0" layoutInCell="1" allowOverlap="1" wp14:anchorId="46ED9156" wp14:editId="22ED6643">
                <wp:simplePos x="0" y="0"/>
                <wp:positionH relativeFrom="column">
                  <wp:posOffset>4867275</wp:posOffset>
                </wp:positionH>
                <wp:positionV relativeFrom="paragraph">
                  <wp:posOffset>163194</wp:posOffset>
                </wp:positionV>
                <wp:extent cx="914400" cy="11715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14400"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2528" w:rsidRDefault="00C32528" w:rsidP="00E71BFF">
                            <w:pPr>
                              <w:spacing w:before="0"/>
                              <w:jc w:val="center"/>
                            </w:pPr>
                            <w:r>
                              <w:t>Shippers or shipper’s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30" style="position:absolute;margin-left:383.25pt;margin-top:12.85pt;width:1in;height:9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" fillcolor="#51626f [3204]" strokecolor="#283037 [1604]" strokeweight="2pt">
                <v:textbox>
                  <w:txbxContent>
                    <w:p w:rsidR="00C32528" w:rsidRDefault="00C32528" w:rsidP="00E71BFF">
                      <w:pPr>
                        <w:spacing w:before="0"/>
                        <w:jc w:val="center"/>
                      </w:pPr>
                      <w:r>
                        <w:t>Shippers or shipper’s agent</w:t>
                      </w:r>
                    </w:p>
                  </w:txbxContent>
                </v:textbox>
              </v:rect>
            </w:pict>
          </mc:Fallback>
        </mc:AlternateContent>
      </w:r>
      <w:r w:rsidR="00E71BFF">
        <w:rPr>
          <w:noProof/>
          <w:lang w:eastAsia="en-AU"/>
        </w:rPr>
        <mc:AlternateContent>
          <mc:Choice Requires="wps">
            <w:drawing>
              <wp:anchor distT="0" distB="0" distL="114300" distR="114300" simplePos="0" relativeHeight="251663360" behindDoc="0" locked="0" layoutInCell="1" allowOverlap="1" wp14:anchorId="0878DFE6" wp14:editId="20323FF1">
                <wp:simplePos x="0" y="0"/>
                <wp:positionH relativeFrom="column">
                  <wp:posOffset>1609725</wp:posOffset>
                </wp:positionH>
                <wp:positionV relativeFrom="paragraph">
                  <wp:posOffset>178435</wp:posOffset>
                </wp:positionV>
                <wp:extent cx="914400" cy="914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2528" w:rsidRDefault="00C32528" w:rsidP="00E71BFF">
                            <w:pPr>
                              <w:spacing w:before="0"/>
                              <w:jc w:val="center"/>
                            </w:pPr>
                            <w:r>
                              <w:t>Container stevedores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31" style="position:absolute;margin-left:126.75pt;margin-top:14.0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" fillcolor="#51626f [3204]" strokecolor="#283037 [1604]" strokeweight="2pt">
                <v:textbox>
                  <w:txbxContent>
                    <w:p w:rsidR="00C32528" w:rsidRDefault="00C32528" w:rsidP="00E71BFF">
                      <w:pPr>
                        <w:spacing w:before="0"/>
                        <w:jc w:val="center"/>
                      </w:pPr>
                      <w:r>
                        <w:t>Container stevedores</w:t>
                      </w:r>
                    </w:p>
                  </w:txbxContent>
                </v:textbox>
              </v:rect>
            </w:pict>
          </mc:Fallback>
        </mc:AlternateContent>
      </w:r>
    </w:p>
    <w:p w:rsidR="00E71BFF" w:rsidRDefault="0021280A" w:rsidP="00E71BFF">
      <w:r>
        <w:rPr>
          <w:noProof/>
          <w:lang w:eastAsia="en-AU"/>
        </w:rPr>
        <mc:AlternateContent>
          <mc:Choice Requires="wps">
            <w:drawing>
              <wp:anchor distT="0" distB="0" distL="114300" distR="114300" simplePos="0" relativeHeight="251704320" behindDoc="0" locked="0" layoutInCell="1" allowOverlap="1" wp14:anchorId="42CBBBAB" wp14:editId="1CEB7507">
                <wp:simplePos x="0" y="0"/>
                <wp:positionH relativeFrom="column">
                  <wp:posOffset>904240</wp:posOffset>
                </wp:positionH>
                <wp:positionV relativeFrom="paragraph">
                  <wp:posOffset>280035</wp:posOffset>
                </wp:positionV>
                <wp:extent cx="682625" cy="130810"/>
                <wp:effectExtent l="0" t="19050" r="41275" b="40640"/>
                <wp:wrapNone/>
                <wp:docPr id="17" name="Right Arrow 17"/>
                <wp:cNvGraphicFramePr/>
                <a:graphic xmlns:a="http://schemas.openxmlformats.org/drawingml/2006/main">
                  <a:graphicData uri="http://schemas.microsoft.com/office/word/2010/wordprocessingShape">
                    <wps:wsp>
                      <wps:cNvSpPr/>
                      <wps:spPr>
                        <a:xfrm>
                          <a:off x="0" y="0"/>
                          <a:ext cx="682625" cy="1308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71.2pt;margin-top:22.05pt;width:53.75pt;height:1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" adj="19530" fillcolor="#51626f [3204]" strokecolor="#283037 [1604]" strokeweight="2pt"/>
            </w:pict>
          </mc:Fallback>
        </mc:AlternateContent>
      </w:r>
      <w:r w:rsidR="00E71BFF">
        <w:rPr>
          <w:noProof/>
          <w:lang w:eastAsia="en-AU"/>
        </w:rPr>
        <mc:AlternateContent>
          <mc:Choice Requires="wps">
            <w:drawing>
              <wp:anchor distT="0" distB="0" distL="114300" distR="114300" simplePos="0" relativeHeight="251670528" behindDoc="0" locked="0" layoutInCell="1" allowOverlap="1" wp14:anchorId="0FF54239" wp14:editId="4EFA2C6B">
                <wp:simplePos x="0" y="0"/>
                <wp:positionH relativeFrom="column">
                  <wp:posOffset>2600325</wp:posOffset>
                </wp:positionH>
                <wp:positionV relativeFrom="paragraph">
                  <wp:posOffset>57067</wp:posOffset>
                </wp:positionV>
                <wp:extent cx="5524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w="9525">
                          <a:noFill/>
                          <a:miter lim="800000"/>
                          <a:headEnd/>
                          <a:tailEnd/>
                        </a:ln>
                      </wps:spPr>
                      <wps:txbx>
                        <w:txbxContent>
                          <w:p w:rsidR="00C32528" w:rsidRPr="00FF39FC" w:rsidRDefault="00C32528" w:rsidP="00E71BFF">
                            <w:pPr>
                              <w:pStyle w:val="Tabletextcentre"/>
                            </w:pPr>
                            <w:r w:rsidRPr="00FF39FC">
                              <w:t>VBS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04.75pt;margin-top:4.5pt;width:43.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" filled="f" stroked="f">
                <v:textbox>
                  <w:txbxContent>
                    <w:p w:rsidR="00C32528" w:rsidRPr="00FF39FC" w:rsidRDefault="00C32528" w:rsidP="00E71BFF">
                      <w:pPr>
                        <w:pStyle w:val="Tabletextcentre"/>
                      </w:pPr>
                      <w:r w:rsidRPr="00FF39FC">
                        <w:t>VBS</w:t>
                      </w:r>
                    </w:p>
                  </w:txbxContent>
                </v:textbox>
              </v:shape>
            </w:pict>
          </mc:Fallback>
        </mc:AlternateContent>
      </w:r>
    </w:p>
    <w:p w:rsidR="00E71BFF" w:rsidRDefault="001638D4" w:rsidP="00E71BFF">
      <w:r>
        <w:rPr>
          <w:noProof/>
          <w:lang w:eastAsia="en-AU"/>
        </w:rPr>
        <mc:AlternateContent>
          <mc:Choice Requires="wps">
            <w:drawing>
              <wp:anchor distT="0" distB="0" distL="114300" distR="114300" simplePos="0" relativeHeight="251701248" behindDoc="0" locked="0" layoutInCell="1" allowOverlap="1" wp14:anchorId="6E86E90C" wp14:editId="48A76BF1">
                <wp:simplePos x="0" y="0"/>
                <wp:positionH relativeFrom="column">
                  <wp:posOffset>2543175</wp:posOffset>
                </wp:positionH>
                <wp:positionV relativeFrom="paragraph">
                  <wp:posOffset>29210</wp:posOffset>
                </wp:positionV>
                <wp:extent cx="685800" cy="73660"/>
                <wp:effectExtent l="0" t="0" r="19050" b="21590"/>
                <wp:wrapNone/>
                <wp:docPr id="21" name="Rectangle 21"/>
                <wp:cNvGraphicFramePr/>
                <a:graphic xmlns:a="http://schemas.openxmlformats.org/drawingml/2006/main">
                  <a:graphicData uri="http://schemas.microsoft.com/office/word/2010/wordprocessingShape">
                    <wps:wsp>
                      <wps:cNvSpPr/>
                      <wps:spPr>
                        <a:xfrm flipV="1">
                          <a:off x="0" y="0"/>
                          <a:ext cx="685800" cy="73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00.25pt;margin-top:2.3pt;width:54pt;height:5.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" fillcolor="#51626f [3204]" strokecolor="#283037 [1604]" strokeweight="2pt"/>
            </w:pict>
          </mc:Fallback>
        </mc:AlternateContent>
      </w:r>
      <w:r w:rsidR="00D1719D">
        <w:rPr>
          <w:noProof/>
          <w:lang w:eastAsia="en-AU"/>
        </w:rPr>
        <mc:AlternateContent>
          <mc:Choice Requires="wps">
            <w:drawing>
              <wp:anchor distT="0" distB="0" distL="114300" distR="114300" simplePos="0" relativeHeight="251699200" behindDoc="0" locked="0" layoutInCell="1" allowOverlap="1" wp14:anchorId="59E4DCAF" wp14:editId="3BF30123">
                <wp:simplePos x="0" y="0"/>
                <wp:positionH relativeFrom="column">
                  <wp:posOffset>4171950</wp:posOffset>
                </wp:positionH>
                <wp:positionV relativeFrom="paragraph">
                  <wp:posOffset>48895</wp:posOffset>
                </wp:positionV>
                <wp:extent cx="695325" cy="0"/>
                <wp:effectExtent l="38100" t="76200" r="28575" b="114300"/>
                <wp:wrapNone/>
                <wp:docPr id="304" name="Straight Arrow Connector 304"/>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4" o:spid="_x0000_s1026" type="#_x0000_t32" style="position:absolute;margin-left:328.5pt;margin-top:3.85pt;width:54.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" strokecolor="#262e34 [1540]">
                <v:stroke startarrow="open" endarrow="open"/>
              </v:shape>
            </w:pict>
          </mc:Fallback>
        </mc:AlternateContent>
      </w:r>
    </w:p>
    <w:p w:rsidR="00E71BFF" w:rsidRDefault="001638D4" w:rsidP="00E71BFF">
      <w:r>
        <w:rPr>
          <w:noProof/>
          <w:lang w:eastAsia="en-AU"/>
        </w:rPr>
        <mc:AlternateContent>
          <mc:Choice Requires="wps">
            <w:drawing>
              <wp:anchor distT="0" distB="0" distL="114300" distR="114300" simplePos="0" relativeHeight="251666432" behindDoc="0" locked="0" layoutInCell="1" allowOverlap="1" wp14:anchorId="747F7434" wp14:editId="5899DC96">
                <wp:simplePos x="0" y="0"/>
                <wp:positionH relativeFrom="column">
                  <wp:posOffset>2520398</wp:posOffset>
                </wp:positionH>
                <wp:positionV relativeFrom="paragraph">
                  <wp:posOffset>41275</wp:posOffset>
                </wp:positionV>
                <wp:extent cx="714375" cy="0"/>
                <wp:effectExtent l="38100" t="76200" r="28575" b="114300"/>
                <wp:wrapNone/>
                <wp:docPr id="292" name="Straight Arrow Connector 292"/>
                <wp:cNvGraphicFramePr/>
                <a:graphic xmlns:a="http://schemas.openxmlformats.org/drawingml/2006/main">
                  <a:graphicData uri="http://schemas.microsoft.com/office/word/2010/wordprocessingShape">
                    <wps:wsp>
                      <wps:cNvCnPr/>
                      <wps:spPr>
                        <a:xfrm>
                          <a:off x="0" y="0"/>
                          <a:ext cx="714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198.45pt;margin-top:3.25pt;width:5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" strokecolor="#262e34 [1540]">
                <v:stroke startarrow="open" endarrow="open"/>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1B03D56" wp14:editId="012DD3BA">
                <wp:simplePos x="0" y="0"/>
                <wp:positionH relativeFrom="column">
                  <wp:posOffset>904875</wp:posOffset>
                </wp:positionH>
                <wp:positionV relativeFrom="paragraph">
                  <wp:posOffset>53892</wp:posOffset>
                </wp:positionV>
                <wp:extent cx="695325" cy="0"/>
                <wp:effectExtent l="38100" t="76200" r="28575" b="114300"/>
                <wp:wrapNone/>
                <wp:docPr id="293" name="Straight Arrow Connector 29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71.25pt;margin-top:4.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" strokecolor="#262e34 [1540]">
                <v:stroke startarrow="open" endarrow="open"/>
              </v:shape>
            </w:pict>
          </mc:Fallback>
        </mc:AlternateContent>
      </w:r>
    </w:p>
    <w:p w:rsidR="00E71BFF" w:rsidRDefault="0021280A" w:rsidP="00E71BFF">
      <w:r>
        <w:rPr>
          <w:noProof/>
          <w:lang w:eastAsia="en-AU"/>
        </w:rPr>
        <mc:AlternateContent>
          <mc:Choice Requires="wps">
            <w:drawing>
              <wp:anchor distT="0" distB="0" distL="114300" distR="114300" simplePos="0" relativeHeight="251705344" behindDoc="0" locked="0" layoutInCell="1" allowOverlap="1" wp14:anchorId="562044FC" wp14:editId="2F035D27">
                <wp:simplePos x="0" y="0"/>
                <wp:positionH relativeFrom="column">
                  <wp:posOffset>914400</wp:posOffset>
                </wp:positionH>
                <wp:positionV relativeFrom="paragraph">
                  <wp:posOffset>55244</wp:posOffset>
                </wp:positionV>
                <wp:extent cx="3943350" cy="123825"/>
                <wp:effectExtent l="0" t="0" r="19050" b="28575"/>
                <wp:wrapNone/>
                <wp:docPr id="18" name="Left Arrow 18"/>
                <wp:cNvGraphicFramePr/>
                <a:graphic xmlns:a="http://schemas.openxmlformats.org/drawingml/2006/main">
                  <a:graphicData uri="http://schemas.microsoft.com/office/word/2010/wordprocessingShape">
                    <wps:wsp>
                      <wps:cNvSpPr/>
                      <wps:spPr>
                        <a:xfrm>
                          <a:off x="0" y="0"/>
                          <a:ext cx="394335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1in;margin-top:4.35pt;width:3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" adj="339" fillcolor="#51626f [3204]" strokecolor="#283037 [1604]" strokeweight="2pt"/>
            </w:pict>
          </mc:Fallback>
        </mc:AlternateContent>
      </w:r>
    </w:p>
    <w:p w:rsidR="00E71BFF" w:rsidRDefault="00E71BFF" w:rsidP="00E71BFF">
      <w:pPr>
        <w:pStyle w:val="Tabletextleft"/>
      </w:pPr>
      <w:r>
        <w:t>Legend:</w:t>
      </w:r>
      <w:r w:rsidRPr="005B3144">
        <w:rPr>
          <w:noProof/>
          <w:lang w:eastAsia="en-AU"/>
        </w:rPr>
        <w:t xml:space="preserve"> </w:t>
      </w:r>
    </w:p>
    <w:p w:rsidR="00E71BFF" w:rsidRDefault="00E71BFF" w:rsidP="00E71BFF">
      <w:pPr>
        <w:pStyle w:val="Tabletextleft"/>
        <w:ind w:left="1020" w:firstLine="340"/>
      </w:pPr>
      <w:r w:rsidRPr="00AC61EF">
        <w:rPr>
          <w:noProof/>
          <w:lang w:eastAsia="en-AU"/>
        </w:rPr>
        <mc:AlternateContent>
          <mc:Choice Requires="wps">
            <w:drawing>
              <wp:anchor distT="0" distB="0" distL="114300" distR="114300" simplePos="0" relativeHeight="251668480" behindDoc="0" locked="0" layoutInCell="1" allowOverlap="1" wp14:anchorId="2F196BCC" wp14:editId="7D4947A6">
                <wp:simplePos x="0" y="0"/>
                <wp:positionH relativeFrom="column">
                  <wp:posOffset>-28575</wp:posOffset>
                </wp:positionH>
                <wp:positionV relativeFrom="paragraph">
                  <wp:posOffset>64135</wp:posOffset>
                </wp:positionV>
                <wp:extent cx="695325" cy="0"/>
                <wp:effectExtent l="38100" t="76200" r="28575" b="114300"/>
                <wp:wrapNone/>
                <wp:docPr id="297" name="Straight Arrow Connector 297"/>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25pt;margin-top:5.05pt;width:5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" strokecolor="#262e34 [1540]">
                <v:stroke startarrow="open" endarrow="open"/>
              </v:shape>
            </w:pict>
          </mc:Fallback>
        </mc:AlternateContent>
      </w:r>
      <w:r>
        <w:t>Movement of containers</w:t>
      </w:r>
    </w:p>
    <w:p w:rsidR="00E71BFF" w:rsidRDefault="006D3AC6" w:rsidP="00E71BFF">
      <w:pPr>
        <w:pStyle w:val="Tabletextleft"/>
        <w:ind w:left="1020" w:firstLine="340"/>
      </w:pPr>
      <w:r>
        <w:rPr>
          <w:noProof/>
          <w:lang w:eastAsia="en-AU"/>
        </w:rPr>
        <mc:AlternateContent>
          <mc:Choice Requires="wps">
            <w:drawing>
              <wp:anchor distT="0" distB="0" distL="114300" distR="114300" simplePos="0" relativeHeight="251693056" behindDoc="0" locked="0" layoutInCell="1" allowOverlap="1" wp14:anchorId="7F4EA3A3" wp14:editId="06E8997B">
                <wp:simplePos x="0" y="0"/>
                <wp:positionH relativeFrom="column">
                  <wp:posOffset>-28575</wp:posOffset>
                </wp:positionH>
                <wp:positionV relativeFrom="paragraph">
                  <wp:posOffset>23495</wp:posOffset>
                </wp:positionV>
                <wp:extent cx="695325" cy="73660"/>
                <wp:effectExtent l="0" t="0" r="28575" b="21590"/>
                <wp:wrapNone/>
                <wp:docPr id="301" name="Rectangle 301"/>
                <wp:cNvGraphicFramePr/>
                <a:graphic xmlns:a="http://schemas.openxmlformats.org/drawingml/2006/main">
                  <a:graphicData uri="http://schemas.microsoft.com/office/word/2010/wordprocessingShape">
                    <wps:wsp>
                      <wps:cNvSpPr/>
                      <wps:spPr>
                        <a:xfrm flipV="1">
                          <a:off x="0" y="0"/>
                          <a:ext cx="695325" cy="73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2.25pt;margin-top:1.85pt;width:54.75pt;height:5.8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" fillcolor="#51626f [3204]" strokecolor="#283037 [1604]" strokeweight="2pt"/>
            </w:pict>
          </mc:Fallback>
        </mc:AlternateContent>
      </w:r>
      <w:r w:rsidR="001638D4">
        <w:t>Commercial relationship with stevedore(s)</w:t>
      </w:r>
      <w:r w:rsidR="00791388">
        <w:t xml:space="preserve"> (arrows signify choice)</w:t>
      </w:r>
    </w:p>
    <w:p w:rsidR="00E71BFF" w:rsidRDefault="00E71BFF" w:rsidP="00E71BFF">
      <w:pPr>
        <w:pStyle w:val="Tabletextleft"/>
      </w:pPr>
      <w:r>
        <w:t>Notes: (1) This is a simplified representation of the container supply chain</w:t>
      </w:r>
      <w:r w:rsidR="005053CF">
        <w:t xml:space="preserve"> </w:t>
      </w:r>
      <w:r w:rsidR="009061AB">
        <w:t xml:space="preserve">primarily </w:t>
      </w:r>
      <w:r w:rsidR="005053CF">
        <w:t>focusing on interactions between stevedores and other parties</w:t>
      </w:r>
      <w:r>
        <w:t xml:space="preserve">. (2) There are commercial relationships between some of the </w:t>
      </w:r>
      <w:r w:rsidR="001638D4">
        <w:t>other parties</w:t>
      </w:r>
      <w:r>
        <w:t xml:space="preserve">, for example charges are levied on shipping </w:t>
      </w:r>
      <w:r w:rsidR="00A02637">
        <w:t xml:space="preserve">lines </w:t>
      </w:r>
      <w:r>
        <w:t>by the port operator.</w:t>
      </w:r>
    </w:p>
    <w:p w:rsidR="00E71BFF" w:rsidRDefault="00E71BFF" w:rsidP="00E71BFF">
      <w:pPr>
        <w:pStyle w:val="Heading4"/>
      </w:pPr>
      <w:r>
        <w:t xml:space="preserve">Stevedores can influence the </w:t>
      </w:r>
      <w:r w:rsidR="005E2BB0">
        <w:t>cost and efficiency</w:t>
      </w:r>
      <w:r>
        <w:t xml:space="preserve"> of domestic transport modes</w:t>
      </w:r>
    </w:p>
    <w:p w:rsidR="001824BA" w:rsidRDefault="001824BA" w:rsidP="001824BA">
      <w:r>
        <w:t xml:space="preserve">This section explores the stevedores’ incentives in servicing the landside. It recognises there are factors within a stevedore’s </w:t>
      </w:r>
      <w:r w:rsidR="00573665">
        <w:t xml:space="preserve">influence or </w:t>
      </w:r>
      <w:r>
        <w:t xml:space="preserve">control which can impact the cost and efficiency of providing transport services to/from container terminals. </w:t>
      </w:r>
    </w:p>
    <w:p w:rsidR="001824BA" w:rsidRDefault="001824BA" w:rsidP="001824BA">
      <w:r>
        <w:t xml:space="preserve">The primary contractual customers of a container stevedore are shipping lines, who dock at the terminals and pay the stevedores for loading and unloading containers. They generate the majority of a stevedore’s revenue. Stevedores also control the terms and conditions of landside access to the terminals for road and rail operators, who rely on this access to provide a transport service to shippers. </w:t>
      </w:r>
    </w:p>
    <w:p w:rsidR="001824BA" w:rsidRDefault="001824BA" w:rsidP="001824BA">
      <w:r>
        <w:t>Truck access to the terminals is arranged through the stevedores’ online VBS. Road transport providers are required to book a timeslot through the VBS to collect or drop-off a container. The</w:t>
      </w:r>
      <w:r w:rsidRPr="009C5786">
        <w:t xml:space="preserve"> stevedores charge fees to access their VBS.</w:t>
      </w:r>
      <w:r>
        <w:t xml:space="preserve"> At some ports (where rail sidings extend to the stevedores’ terminals) stevedores provide access to trains via rail windows.</w:t>
      </w:r>
    </w:p>
    <w:p w:rsidR="00C01DF0" w:rsidRDefault="001824BA" w:rsidP="006158CD">
      <w:r>
        <w:t>B</w:t>
      </w:r>
      <w:r w:rsidRPr="005B4A58">
        <w:t xml:space="preserve">ecause stevedores </w:t>
      </w:r>
      <w:r>
        <w:t>derive most of their reven</w:t>
      </w:r>
      <w:r w:rsidRPr="001C78E5">
        <w:t>ue from servicing shipping lines</w:t>
      </w:r>
      <w:r w:rsidR="00504E50" w:rsidRPr="001C78E5">
        <w:t>,</w:t>
      </w:r>
      <w:r w:rsidRPr="001C78E5">
        <w:t xml:space="preserve"> and </w:t>
      </w:r>
      <w:r w:rsidR="00DF02B8" w:rsidRPr="0090461E">
        <w:t xml:space="preserve">land </w:t>
      </w:r>
      <w:r w:rsidR="00504E50" w:rsidRPr="0090461E">
        <w:t>transport</w:t>
      </w:r>
      <w:r w:rsidRPr="0090461E">
        <w:t xml:space="preserve"> operators</w:t>
      </w:r>
      <w:r w:rsidR="00DF02B8" w:rsidRPr="0090461E">
        <w:t xml:space="preserve"> do not choose </w:t>
      </w:r>
      <w:r w:rsidR="001C78E5">
        <w:t>between</w:t>
      </w:r>
      <w:r w:rsidR="00DF02B8" w:rsidRPr="00C97747">
        <w:t xml:space="preserve"> terminal</w:t>
      </w:r>
      <w:r w:rsidR="001C78E5">
        <w:t>s</w:t>
      </w:r>
      <w:r w:rsidRPr="001C78E5">
        <w:t>, this may</w:t>
      </w:r>
      <w:r w:rsidRPr="005B4A58">
        <w:t xml:space="preserve"> </w:t>
      </w:r>
      <w:r>
        <w:t>affect</w:t>
      </w:r>
      <w:r w:rsidRPr="005B4A58">
        <w:t xml:space="preserve"> </w:t>
      </w:r>
      <w:r w:rsidR="001C78E5">
        <w:t>a stevedore’s</w:t>
      </w:r>
      <w:r w:rsidR="001C78E5" w:rsidRPr="005B4A58">
        <w:t xml:space="preserve"> </w:t>
      </w:r>
      <w:r w:rsidRPr="005B4A58">
        <w:t xml:space="preserve">incentive to </w:t>
      </w:r>
      <w:r>
        <w:t>provide landside services that best meet the needs of road and rail operators and the wider supply chain</w:t>
      </w:r>
      <w:r w:rsidRPr="005B4A58">
        <w:t xml:space="preserve">. </w:t>
      </w:r>
      <w:r w:rsidRPr="00C52CB5">
        <w:t>I</w:t>
      </w:r>
      <w:r>
        <w:t>t i</w:t>
      </w:r>
      <w:r w:rsidRPr="00C52CB5">
        <w:t xml:space="preserve">s likely that the </w:t>
      </w:r>
      <w:r>
        <w:t>stevedores’ motivation in servicing</w:t>
      </w:r>
      <w:r w:rsidRPr="00C52CB5">
        <w:t xml:space="preserve"> </w:t>
      </w:r>
      <w:r>
        <w:t>the landside</w:t>
      </w:r>
      <w:r w:rsidRPr="00C52CB5">
        <w:t xml:space="preserve"> will generally be </w:t>
      </w:r>
      <w:r>
        <w:t xml:space="preserve">for </w:t>
      </w:r>
      <w:r w:rsidRPr="00C52CB5">
        <w:t xml:space="preserve">operational </w:t>
      </w:r>
      <w:r>
        <w:t>reasons and</w:t>
      </w:r>
      <w:r w:rsidRPr="009E1E6E">
        <w:t xml:space="preserve"> </w:t>
      </w:r>
      <w:r w:rsidRPr="00C52CB5">
        <w:t>to minimise costs</w:t>
      </w:r>
      <w:r>
        <w:t>, as</w:t>
      </w:r>
      <w:r w:rsidRPr="00720C75">
        <w:t xml:space="preserve"> </w:t>
      </w:r>
      <w:r>
        <w:t>road and rail transporters do not have a role in generating demand for a stevedor</w:t>
      </w:r>
      <w:r w:rsidR="00232AFA">
        <w:t xml:space="preserve">e’s </w:t>
      </w:r>
      <w:r>
        <w:t>business.</w:t>
      </w:r>
      <w:r>
        <w:rPr>
          <w:rStyle w:val="FootnoteReference"/>
        </w:rPr>
        <w:footnoteReference w:id="76"/>
      </w:r>
      <w:r>
        <w:t xml:space="preserve"> That said</w:t>
      </w:r>
      <w:proofErr w:type="gramStart"/>
      <w:r>
        <w:t>,</w:t>
      </w:r>
      <w:proofErr w:type="gramEnd"/>
      <w:r>
        <w:t xml:space="preserve"> stevedores will likely have an incentive</w:t>
      </w:r>
      <w:r w:rsidRPr="00C52CB5">
        <w:t xml:space="preserve"> </w:t>
      </w:r>
      <w:r>
        <w:t xml:space="preserve">to run their landside terminal interface relatively smoothly, so containers can be moved from terminals to free up space and resources for servicing ships. </w:t>
      </w:r>
    </w:p>
    <w:p w:rsidR="006158CD" w:rsidRDefault="006158CD" w:rsidP="006158CD">
      <w:r>
        <w:t xml:space="preserve">There are a variety of factors within the stevedores’ </w:t>
      </w:r>
      <w:r w:rsidR="001824BA">
        <w:t>influence</w:t>
      </w:r>
      <w:r>
        <w:t xml:space="preserve"> that can impact </w:t>
      </w:r>
      <w:r w:rsidR="00D40292">
        <w:t xml:space="preserve">on </w:t>
      </w:r>
      <w:r w:rsidR="009B0C14">
        <w:t>the cost and efficiency of</w:t>
      </w:r>
      <w:r>
        <w:t xml:space="preserve"> domestic transport</w:t>
      </w:r>
      <w:r w:rsidR="009B0C14">
        <w:t xml:space="preserve"> </w:t>
      </w:r>
      <w:r w:rsidR="00D40292">
        <w:t>connections to container terminals</w:t>
      </w:r>
      <w:r>
        <w:t xml:space="preserve">. </w:t>
      </w:r>
      <w:r w:rsidR="00C07176">
        <w:t>These factors may include</w:t>
      </w:r>
      <w:r w:rsidR="001824BA">
        <w:t xml:space="preserve"> </w:t>
      </w:r>
      <w:r>
        <w:t>the</w:t>
      </w:r>
      <w:r w:rsidDel="00E80FB7">
        <w:t xml:space="preserve"> </w:t>
      </w:r>
      <w:r>
        <w:t>charges stevedores’</w:t>
      </w:r>
      <w:r w:rsidR="00D40292">
        <w:t xml:space="preserve"> levy</w:t>
      </w:r>
      <w:r>
        <w:t xml:space="preserve"> on road and rail operators, the speed and reliability of the stevedores’ </w:t>
      </w:r>
      <w:r w:rsidR="00C07176">
        <w:t xml:space="preserve">landside </w:t>
      </w:r>
      <w:r>
        <w:t>service, and the number of slots made available</w:t>
      </w:r>
      <w:r w:rsidR="00232AFA">
        <w:t xml:space="preserve"> </w:t>
      </w:r>
      <w:r w:rsidR="009B0C14">
        <w:t xml:space="preserve">to </w:t>
      </w:r>
      <w:r w:rsidR="00C07176">
        <w:t>transport</w:t>
      </w:r>
      <w:r w:rsidR="009B0C14">
        <w:t xml:space="preserve"> operators</w:t>
      </w:r>
      <w:r w:rsidR="00232AFA" w:rsidRPr="00232AFA">
        <w:t xml:space="preserve"> </w:t>
      </w:r>
      <w:r w:rsidR="00232AFA">
        <w:t>at each time period</w:t>
      </w:r>
      <w:r>
        <w:t xml:space="preserve">. </w:t>
      </w:r>
    </w:p>
    <w:p w:rsidR="00C07176" w:rsidRDefault="00C07176">
      <w:r>
        <w:t>It</w:t>
      </w:r>
      <w:r w:rsidR="001824BA">
        <w:t xml:space="preserve"> is </w:t>
      </w:r>
      <w:r w:rsidR="007147C1">
        <w:t xml:space="preserve">important to acknowledge there are cost and operational implications </w:t>
      </w:r>
      <w:r>
        <w:t>for</w:t>
      </w:r>
      <w:r w:rsidR="007147C1">
        <w:t xml:space="preserve"> stevedores of servicing </w:t>
      </w:r>
      <w:r w:rsidR="001824BA">
        <w:t>different transport modes</w:t>
      </w:r>
      <w:r w:rsidR="007147C1">
        <w:t xml:space="preserve">. </w:t>
      </w:r>
      <w:r w:rsidR="001824BA">
        <w:t>For example, trucks</w:t>
      </w:r>
      <w:r w:rsidR="007147C1" w:rsidRPr="006E753F">
        <w:t xml:space="preserve"> can generally be loaded with one lift</w:t>
      </w:r>
      <w:r w:rsidR="007147C1" w:rsidRPr="002747F4">
        <w:t xml:space="preserve"> </w:t>
      </w:r>
      <w:r w:rsidR="007147C1" w:rsidRPr="006E753F">
        <w:t xml:space="preserve">from </w:t>
      </w:r>
      <w:r w:rsidR="001824BA">
        <w:t>the stack or yard, whereas c</w:t>
      </w:r>
      <w:r w:rsidR="007147C1" w:rsidRPr="006E753F">
        <w:t xml:space="preserve">ontainers taken by train </w:t>
      </w:r>
      <w:r w:rsidR="00232AFA">
        <w:t>may require an extra lift if they</w:t>
      </w:r>
      <w:r w:rsidR="007147C1" w:rsidRPr="006E753F">
        <w:t xml:space="preserve"> need to be taken to the rail siding and stored while waiting for </w:t>
      </w:r>
      <w:r w:rsidR="007147C1">
        <w:t>a</w:t>
      </w:r>
      <w:r w:rsidR="007147C1" w:rsidRPr="006E753F">
        <w:t xml:space="preserve"> train to arrive. </w:t>
      </w:r>
      <w:r>
        <w:t xml:space="preserve">A further example is that a stevedore may allocate labour and resources to servicing a train, which then arrives late or with only a few containers loaded. Conversely, the ACCC understands trains have been delayed at stevedoring terminals on occasions for extended periods. </w:t>
      </w:r>
    </w:p>
    <w:p w:rsidR="00C950F7" w:rsidRDefault="00573665" w:rsidP="00C950F7">
      <w:r>
        <w:t xml:space="preserve">Consequently, </w:t>
      </w:r>
      <w:r w:rsidR="00C07176">
        <w:t>a stevedore’s commercial interest may not always align with</w:t>
      </w:r>
      <w:r w:rsidR="00C07176" w:rsidRPr="00687791">
        <w:t xml:space="preserve"> </w:t>
      </w:r>
      <w:r w:rsidR="00C07176">
        <w:t xml:space="preserve">broader supply chain needs. Where this is the case, initiatives may be appropriate for aligning incentives and encouraging greater supply chain efficiency. This is discussed further in the following section.   </w:t>
      </w:r>
    </w:p>
    <w:p w:rsidR="00E71BFF" w:rsidRDefault="00E71BFF" w:rsidP="00E71BFF">
      <w:pPr>
        <w:pStyle w:val="Heading4"/>
      </w:pPr>
      <w:r>
        <w:t xml:space="preserve">Many parties have a role in facilitating better container flows </w:t>
      </w:r>
    </w:p>
    <w:p w:rsidR="00E71BFF" w:rsidRDefault="00E71BFF" w:rsidP="00E71BFF">
      <w:r>
        <w:t xml:space="preserve">Many parties have a role in encouraging efficient container movements between the container terminals and their origin or destination in Australia. These </w:t>
      </w:r>
      <w:r w:rsidRPr="00E56463">
        <w:t>includ</w:t>
      </w:r>
      <w:r>
        <w:t>e</w:t>
      </w:r>
      <w:r w:rsidRPr="00E56463">
        <w:t xml:space="preserve"> stevedores, ports, shipping lines, transport operators</w:t>
      </w:r>
      <w:r>
        <w:t xml:space="preserve"> and infrastructure providers, empty container park operators, shippers</w:t>
      </w:r>
      <w:r w:rsidRPr="00E56463">
        <w:t xml:space="preserve"> and governments</w:t>
      </w:r>
      <w:r>
        <w:t xml:space="preserve">. </w:t>
      </w:r>
    </w:p>
    <w:p w:rsidR="00E71BFF" w:rsidRDefault="00E71BFF" w:rsidP="00E71BFF">
      <w:r>
        <w:t xml:space="preserve">The ACCC considers that improved landside connections to container ports will best be </w:t>
      </w:r>
      <w:r w:rsidRPr="00E56463">
        <w:t>facilitated by a joint effort</w:t>
      </w:r>
      <w:r>
        <w:t xml:space="preserve"> by industry stakeholders and </w:t>
      </w:r>
      <w:r w:rsidR="00232AFA">
        <w:t>possibly</w:t>
      </w:r>
      <w:r>
        <w:t xml:space="preserve"> government.</w:t>
      </w:r>
      <w:r w:rsidRPr="00E56463">
        <w:t xml:space="preserve"> In some case</w:t>
      </w:r>
      <w:r>
        <w:t>s,</w:t>
      </w:r>
      <w:r w:rsidRPr="00E56463">
        <w:t xml:space="preserve"> improvements may be driven by commercial contractual arrangements. In other case</w:t>
      </w:r>
      <w:r>
        <w:t>s</w:t>
      </w:r>
      <w:r w:rsidRPr="00E56463">
        <w:t xml:space="preserve"> there may be a role for regulation. Industry coordination is not necessarily precluded by the CCA where a ‘net public benefit’ of the conduct can be demonstrated.</w:t>
      </w:r>
      <w:r>
        <w:t xml:space="preserve"> </w:t>
      </w:r>
    </w:p>
    <w:p w:rsidR="00A6559F" w:rsidRDefault="00E71BFF" w:rsidP="00E71BFF">
      <w:r>
        <w:t xml:space="preserve">Inefficiencies </w:t>
      </w:r>
      <w:r w:rsidR="008A5B20">
        <w:t xml:space="preserve">in </w:t>
      </w:r>
      <w:r>
        <w:t xml:space="preserve">one part of the chain can affect all parties, and ultimately result in delays and increased freight costs for shippers. Information asymmetries, commercial incentives, </w:t>
      </w:r>
      <w:r w:rsidR="00232AFA">
        <w:t xml:space="preserve">and </w:t>
      </w:r>
      <w:r>
        <w:t>policy and regulatory settings may contribute to such outcomes. Many of these may be avoidable with greater communication, coordination and the use of contractual arrangements to drive performance improvements.</w:t>
      </w:r>
    </w:p>
    <w:p w:rsidR="00E71BFF" w:rsidRPr="00E56463" w:rsidRDefault="00E71BFF" w:rsidP="00E71BFF">
      <w:r w:rsidRPr="00E56463">
        <w:t xml:space="preserve">In some cases port operators, governments and/or shipping lines may have a role in more closely aligning stevedores’ interests with those of broader supply chain. For example: </w:t>
      </w:r>
    </w:p>
    <w:p w:rsidR="00E71BFF" w:rsidRPr="00E56463" w:rsidRDefault="00E71BFF" w:rsidP="00E71BFF">
      <w:pPr>
        <w:pStyle w:val="Bulletpoint"/>
        <w:ind w:left="360" w:hanging="360"/>
      </w:pPr>
      <w:r w:rsidRPr="00E56463">
        <w:t xml:space="preserve">Port operators may be able to use the leasing arrangements that are set with stevedores, such as by incorporating </w:t>
      </w:r>
      <w:r w:rsidR="00646D30">
        <w:t>key performance indicators</w:t>
      </w:r>
      <w:r w:rsidR="00646D30" w:rsidRPr="00E56463">
        <w:t xml:space="preserve"> </w:t>
      </w:r>
      <w:r w:rsidRPr="00E56463">
        <w:t>based on landside performance</w:t>
      </w:r>
      <w:r w:rsidR="00A31C1A">
        <w:t xml:space="preserve"> (as outline</w:t>
      </w:r>
      <w:r w:rsidR="004F659D">
        <w:t>d</w:t>
      </w:r>
      <w:r w:rsidR="00A31C1A">
        <w:t xml:space="preserve"> in</w:t>
      </w:r>
      <w:r w:rsidR="00A02637">
        <w:t xml:space="preserve"> section</w:t>
      </w:r>
      <w:r w:rsidR="00A31C1A">
        <w:t xml:space="preserve"> 1.3.6)</w:t>
      </w:r>
      <w:r w:rsidRPr="00E56463">
        <w:t>.</w:t>
      </w:r>
    </w:p>
    <w:p w:rsidR="00E71BFF" w:rsidRPr="00E56463" w:rsidRDefault="00E71BFF" w:rsidP="00E71BFF">
      <w:pPr>
        <w:pStyle w:val="Bulletpoint"/>
        <w:ind w:left="360" w:hanging="360"/>
      </w:pPr>
      <w:r w:rsidRPr="00E56463">
        <w:t>State governments may have a role with regulation which may have the effect of aligning financial incentives with landside performance. An example is the Port Botany Landside Improvement Strategy</w:t>
      </w:r>
      <w:r w:rsidR="000B4DC8">
        <w:t xml:space="preserve"> (PBLIS)</w:t>
      </w:r>
      <w:r w:rsidRPr="00E56463">
        <w:t xml:space="preserve">, whereby stevedores are fined if they service trucks late (and conversely trucks are fined if they arrive late at </w:t>
      </w:r>
      <w:r w:rsidR="00772AC8">
        <w:t>a</w:t>
      </w:r>
      <w:r w:rsidR="00772AC8" w:rsidRPr="00E56463">
        <w:t xml:space="preserve"> </w:t>
      </w:r>
      <w:r w:rsidRPr="00E56463">
        <w:t>terminal).</w:t>
      </w:r>
    </w:p>
    <w:p w:rsidR="00E71BFF" w:rsidRPr="00E56463" w:rsidRDefault="00E71BFF" w:rsidP="00E71BFF">
      <w:pPr>
        <w:pStyle w:val="Bulletpoint"/>
        <w:ind w:left="360" w:hanging="360"/>
      </w:pPr>
      <w:r w:rsidRPr="00E56463">
        <w:t xml:space="preserve">Shipping lines have contractual arrangements with both the stevedores and </w:t>
      </w:r>
      <w:r w:rsidR="006B329A">
        <w:t xml:space="preserve">importers/exporters </w:t>
      </w:r>
      <w:r w:rsidRPr="00E56463">
        <w:t xml:space="preserve">(or their agents, such as freight forwarders). This may put them in the position of having </w:t>
      </w:r>
      <w:r>
        <w:t>the</w:t>
      </w:r>
      <w:r w:rsidRPr="00E56463">
        <w:t xml:space="preserve"> commercial power to exert pressure on the stevedores to improve landside transport access.  </w:t>
      </w:r>
    </w:p>
    <w:p w:rsidR="00E71BFF" w:rsidRDefault="00E71BFF" w:rsidP="00E71BFF">
      <w:pPr>
        <w:pStyle w:val="Numbered111"/>
      </w:pPr>
      <w:bookmarkStart w:id="38" w:name="_Toc433667002"/>
      <w:r>
        <w:t>Road reform to promote investment and efficient modal choice</w:t>
      </w:r>
      <w:bookmarkEnd w:id="38"/>
      <w:r>
        <w:t xml:space="preserve"> </w:t>
      </w:r>
    </w:p>
    <w:p w:rsidR="00E71BFF" w:rsidRDefault="00E71BFF" w:rsidP="00E71BFF">
      <w:pPr>
        <w:pStyle w:val="Heading4"/>
      </w:pPr>
      <w:r>
        <w:t>Road reform to improve investment decisions</w:t>
      </w:r>
    </w:p>
    <w:p w:rsidR="00E71BFF" w:rsidRDefault="00E71BFF" w:rsidP="00E71BFF">
      <w:r>
        <w:t xml:space="preserve">Despite their key role, </w:t>
      </w:r>
      <w:r w:rsidRPr="00C71CF3">
        <w:t xml:space="preserve">roads have not been subject to the level of microeconomic reform that has occurred in other industries </w:t>
      </w:r>
      <w:r w:rsidRPr="00C76A88">
        <w:t>since the National Competition Policy Review</w:t>
      </w:r>
      <w:r>
        <w:t xml:space="preserve"> in </w:t>
      </w:r>
      <w:r w:rsidRPr="00C71CF3">
        <w:t>199</w:t>
      </w:r>
      <w:r>
        <w:t xml:space="preserve">3. </w:t>
      </w:r>
    </w:p>
    <w:p w:rsidR="00E71BFF" w:rsidRDefault="00E71BFF" w:rsidP="00E71BFF">
      <w:r>
        <w:t xml:space="preserve">The recent </w:t>
      </w:r>
      <w:r w:rsidRPr="004F7786">
        <w:t>Australian Infrastructure Audit</w:t>
      </w:r>
      <w:r>
        <w:t xml:space="preserve"> observed that the lack of transport user charges means it is unlikely governments will be able to maintain their current levels of spending in the sector. It also noted: </w:t>
      </w:r>
    </w:p>
    <w:p w:rsidR="00E71BFF" w:rsidRDefault="00E71BFF" w:rsidP="00E71BFF">
      <w:pPr>
        <w:pStyle w:val="Quote"/>
      </w:pPr>
      <w:r>
        <w:t>Current arrangements for the funding of land transport are deeply flawed and represent the most significant opportunity for public policy reform in Australia’s infrastructure sectors.</w:t>
      </w:r>
      <w:r w:rsidR="00B73E17">
        <w:rPr>
          <w:rStyle w:val="FootnoteReference"/>
        </w:rPr>
        <w:footnoteReference w:id="77"/>
      </w:r>
    </w:p>
    <w:p w:rsidR="00E71BFF" w:rsidRDefault="00E71BFF" w:rsidP="00E71BFF">
      <w:r>
        <w:t xml:space="preserve">The Competition Policy Review panel and the PC in its Public Infrastructure inquiry have also voiced support for reform to the ways roads are funded and used in Australia. </w:t>
      </w:r>
    </w:p>
    <w:p w:rsidR="00E71BFF" w:rsidRDefault="00E71BFF" w:rsidP="00E71BFF">
      <w:r>
        <w:t xml:space="preserve">The ACCC agrees that reform is needed in the road sector. Reform would </w:t>
      </w:r>
      <w:r w:rsidRPr="00A841C0">
        <w:t>support greater productivity in container supply chains</w:t>
      </w:r>
      <w:r>
        <w:t>,</w:t>
      </w:r>
      <w:r w:rsidRPr="00A841C0">
        <w:t xml:space="preserve"> and </w:t>
      </w:r>
      <w:r>
        <w:t xml:space="preserve">ensure targeted investment occurs to </w:t>
      </w:r>
      <w:r w:rsidRPr="00A841C0">
        <w:t>meet expected growth in container volumes.</w:t>
      </w:r>
      <w:r>
        <w:t xml:space="preserve"> </w:t>
      </w:r>
    </w:p>
    <w:p w:rsidR="00E71BFF" w:rsidRDefault="00E71BFF" w:rsidP="00E71BFF">
      <w:r>
        <w:t xml:space="preserve">A critical issue with Australia’s road funding framework is that the funds raised from road user charges </w:t>
      </w:r>
      <w:r w:rsidRPr="008D3DF8">
        <w:t xml:space="preserve">do not </w:t>
      </w:r>
      <w:r>
        <w:t>directly</w:t>
      </w:r>
      <w:r w:rsidRPr="008D3DF8">
        <w:t xml:space="preserve"> flow to the </w:t>
      </w:r>
      <w:r>
        <w:t>entities</w:t>
      </w:r>
      <w:r w:rsidRPr="00C76A88">
        <w:t xml:space="preserve"> responsible for investing in roads</w:t>
      </w:r>
      <w:r>
        <w:t>. Rather, the funding for these entities’ investment in roads comes from a variety of sources</w:t>
      </w:r>
      <w:r w:rsidRPr="006020E8">
        <w:t xml:space="preserve"> including local rates, state general revenues and Commonwealth revenues.</w:t>
      </w:r>
      <w:r>
        <w:t xml:space="preserve"> This is likely to result in sub-optimal decisions to invest in and maintain certain roads or groups of roads.</w:t>
      </w:r>
    </w:p>
    <w:p w:rsidR="00E71BFF" w:rsidRDefault="00E71BFF" w:rsidP="00E71BFF">
      <w:r>
        <w:t>The ACCC considers that a</w:t>
      </w:r>
      <w:r w:rsidRPr="003B72A5">
        <w:t xml:space="preserve"> </w:t>
      </w:r>
      <w:r>
        <w:t xml:space="preserve">practical </w:t>
      </w:r>
      <w:r w:rsidRPr="003B72A5">
        <w:t xml:space="preserve">starting point for reform is to </w:t>
      </w:r>
      <w:r>
        <w:t>establish</w:t>
      </w:r>
      <w:r w:rsidRPr="003B72A5">
        <w:t xml:space="preserve"> a system that ensures that the revenue </w:t>
      </w:r>
      <w:r>
        <w:t>collected</w:t>
      </w:r>
      <w:r w:rsidRPr="003B72A5">
        <w:t xml:space="preserve"> </w:t>
      </w:r>
      <w:r>
        <w:t>from road users</w:t>
      </w:r>
      <w:r w:rsidRPr="003B72A5">
        <w:t xml:space="preserve"> is directed to </w:t>
      </w:r>
      <w:r>
        <w:t xml:space="preserve">the entities that build and maintain the roads. </w:t>
      </w:r>
    </w:p>
    <w:p w:rsidR="00E71BFF" w:rsidRDefault="00E71BFF" w:rsidP="00E71BFF">
      <w:r>
        <w:t>A second focus of reform should be transition to a forward-looking approach to revenue requirements for roads. To date, total revenue requirements for Australia’s roads have been largely based on historical information. Shifting the focus from a historical cost approach to a forward-looking approach would promote better long</w:t>
      </w:r>
      <w:r w:rsidR="0055370A">
        <w:t xml:space="preserve"> </w:t>
      </w:r>
      <w:r>
        <w:t xml:space="preserve">term planning for road provision. </w:t>
      </w:r>
    </w:p>
    <w:p w:rsidR="00E71BFF" w:rsidRDefault="00E71BFF" w:rsidP="00E71BFF">
      <w:r>
        <w:t>Such a system would bring roads in line with other infrastructure sectors, such as rail and telecommunications, where long</w:t>
      </w:r>
      <w:r w:rsidR="0055370A">
        <w:t xml:space="preserve"> </w:t>
      </w:r>
      <w:r>
        <w:t>term plans and demand forecasts are used to determine economic costs and annual revenue requirements, and funds collected from access charges generally flow directly to infrastructure providers.</w:t>
      </w:r>
    </w:p>
    <w:p w:rsidR="00E71BFF" w:rsidRDefault="00E71BFF" w:rsidP="00E71BFF">
      <w:r>
        <w:t xml:space="preserve">Once the first two stages of reform </w:t>
      </w:r>
      <w:r w:rsidRPr="00A003EB">
        <w:t>are in place the focus could then turn to the role of price signals</w:t>
      </w:r>
      <w:r>
        <w:t>. This could involve adjusting existing pricing systems so as to more directly link the price paid by users to their individual use of roads.</w:t>
      </w:r>
    </w:p>
    <w:p w:rsidR="00E71BFF" w:rsidRDefault="00E71BFF" w:rsidP="00E71BFF">
      <w:pPr>
        <w:pStyle w:val="Heading4"/>
      </w:pPr>
      <w:r>
        <w:t>Road charging and funding arrangements have implications for the competitiveness of rail</w:t>
      </w:r>
    </w:p>
    <w:p w:rsidR="00E71BFF" w:rsidRDefault="00E71BFF" w:rsidP="00E71BFF">
      <w:r>
        <w:t xml:space="preserve">An implication of the current system for road charging and provision is that investment decisions in, and the use of, infrastructure for </w:t>
      </w:r>
      <w:r w:rsidRPr="00AA4240">
        <w:t>alternative modes of transport</w:t>
      </w:r>
      <w:r>
        <w:t>,</w:t>
      </w:r>
      <w:r w:rsidRPr="00AA4240">
        <w:t xml:space="preserve"> such as rail</w:t>
      </w:r>
      <w:r>
        <w:t>,</w:t>
      </w:r>
      <w:r w:rsidRPr="00AA4240">
        <w:t xml:space="preserve"> will be less than optimal</w:t>
      </w:r>
      <w:r>
        <w:t xml:space="preserve">. </w:t>
      </w:r>
    </w:p>
    <w:p w:rsidR="00E71BFF" w:rsidRDefault="00E71BFF" w:rsidP="00E71BFF">
      <w:r>
        <w:t>Road users</w:t>
      </w:r>
      <w:r w:rsidRPr="006916AE">
        <w:t xml:space="preserve"> </w:t>
      </w:r>
      <w:r>
        <w:t xml:space="preserve">in Australia generally </w:t>
      </w:r>
      <w:r w:rsidRPr="006916AE">
        <w:t>face the same charges regardless of which roads they use</w:t>
      </w:r>
      <w:r>
        <w:t>, the cost of those roads,</w:t>
      </w:r>
      <w:r w:rsidRPr="006916AE">
        <w:t xml:space="preserve"> and the time</w:t>
      </w:r>
      <w:r>
        <w:t xml:space="preserve"> at which</w:t>
      </w:r>
      <w:r w:rsidRPr="006916AE">
        <w:t xml:space="preserve"> they are used. </w:t>
      </w:r>
      <w:r w:rsidRPr="006916AE" w:rsidDel="002B7117">
        <w:t xml:space="preserve">By contrast, </w:t>
      </w:r>
      <w:r w:rsidRPr="006916AE">
        <w:t xml:space="preserve">rail </w:t>
      </w:r>
      <w:r>
        <w:t xml:space="preserve">usage </w:t>
      </w:r>
      <w:r w:rsidRPr="006916AE">
        <w:t xml:space="preserve">charges are generally more </w:t>
      </w:r>
      <w:r>
        <w:t xml:space="preserve">closely </w:t>
      </w:r>
      <w:r w:rsidRPr="006916AE">
        <w:t xml:space="preserve">related to </w:t>
      </w:r>
      <w:r>
        <w:t xml:space="preserve">infrastructure </w:t>
      </w:r>
      <w:r w:rsidRPr="006916AE">
        <w:t xml:space="preserve">costs and location. </w:t>
      </w:r>
    </w:p>
    <w:p w:rsidR="00E71BFF" w:rsidRDefault="00E71BFF" w:rsidP="00E71BFF">
      <w:r w:rsidRPr="006916AE">
        <w:t xml:space="preserve">The ACCC considers </w:t>
      </w:r>
      <w:r>
        <w:t xml:space="preserve">that the </w:t>
      </w:r>
      <w:r w:rsidRPr="006916AE">
        <w:t>signals for</w:t>
      </w:r>
      <w:r>
        <w:t xml:space="preserve"> efficient</w:t>
      </w:r>
      <w:r w:rsidRPr="006916AE">
        <w:t xml:space="preserve"> </w:t>
      </w:r>
      <w:r>
        <w:t>rail use and investment can be improved by pricing</w:t>
      </w:r>
      <w:r w:rsidRPr="006916AE">
        <w:t xml:space="preserve"> </w:t>
      </w:r>
      <w:r>
        <w:t>roads correctly.</w:t>
      </w:r>
    </w:p>
    <w:p w:rsidR="00E71BFF" w:rsidDel="00C818B9" w:rsidRDefault="00E71BFF" w:rsidP="00E71BFF">
      <w:r>
        <w:t xml:space="preserve">The ACCC notes that most state governments have policies aiming to increase rail </w:t>
      </w:r>
      <w:r w:rsidR="00C673FD">
        <w:t xml:space="preserve">freight </w:t>
      </w:r>
      <w:r>
        <w:t xml:space="preserve">and some have set targets for the proportion of containers to </w:t>
      </w:r>
      <w:r w:rsidR="00C673FD">
        <w:t>be transported by rail</w:t>
      </w:r>
      <w:r>
        <w:t>. In some cases, state governments support these policies by subsidising or capping rail charges, investing in rail freight connections, and/or encouraging the development of intermodal terminals to facilitate rail use. Industry is also investing in rail infrastructure, particularly in the Sydney metropolitan area where a number of intermodals terminals have or are being established</w:t>
      </w:r>
      <w:r w:rsidDel="008E7888">
        <w:t xml:space="preserve"> </w:t>
      </w:r>
      <w:r>
        <w:t xml:space="preserve">(see text box </w:t>
      </w:r>
      <w:r w:rsidR="00C950F7">
        <w:t>1.</w:t>
      </w:r>
      <w:r w:rsidR="002118E7">
        <w:t>6</w:t>
      </w:r>
      <w:r>
        <w:t>).</w:t>
      </w:r>
    </w:p>
    <w:p w:rsidR="00E71BFF" w:rsidRDefault="00E71BFF" w:rsidP="00E71BFF">
      <w:r w:rsidRPr="002E756E">
        <w:t xml:space="preserve">A key reason governments </w:t>
      </w:r>
      <w:r>
        <w:t>c</w:t>
      </w:r>
      <w:r w:rsidRPr="002E756E">
        <w:t xml:space="preserve">ite for setting </w:t>
      </w:r>
      <w:r>
        <w:t xml:space="preserve">rail freight </w:t>
      </w:r>
      <w:r w:rsidRPr="002E756E">
        <w:t>targets</w:t>
      </w:r>
      <w:r>
        <w:t xml:space="preserve"> </w:t>
      </w:r>
      <w:r w:rsidRPr="002E756E">
        <w:t xml:space="preserve">is to reduce congestion caused by trucks around ports and on major arterials which, given forecasts </w:t>
      </w:r>
      <w:r>
        <w:t>of</w:t>
      </w:r>
      <w:r w:rsidRPr="002E756E">
        <w:t xml:space="preserve"> continuing growth in container volumes, will only get worse.</w:t>
      </w:r>
      <w:r>
        <w:t xml:space="preserve"> </w:t>
      </w:r>
    </w:p>
    <w:p w:rsidR="00E71BFF" w:rsidRDefault="00E71BFF" w:rsidP="00E71BFF">
      <w:r>
        <w:t>In relation to the current system for road funding and investment, major investments in new road connections to container ports can in some cases make trucks more attractive than trains for freight, undermining state government rail targets by discouraging investment in rail.</w:t>
      </w:r>
    </w:p>
    <w:p w:rsidR="00D35BE3" w:rsidRDefault="00D35BE3" w:rsidP="00E71BFF"/>
    <w:p w:rsidR="00AF3C54" w:rsidRDefault="00AF3C54" w:rsidP="00C950F7">
      <w:pPr>
        <w:pStyle w:val="Tabletitle"/>
        <w:shd w:val="clear" w:color="auto" w:fill="D9D9D9" w:themeFill="background1" w:themeFillShade="D9"/>
      </w:pPr>
      <w:r>
        <w:t>Text box 1.</w:t>
      </w:r>
      <w:r w:rsidR="002118E7">
        <w:t>6</w:t>
      </w:r>
      <w:r>
        <w:t xml:space="preserve">: </w:t>
      </w:r>
      <w:r w:rsidRPr="00AF3C54">
        <w:t>Intermodal terminal investment</w:t>
      </w:r>
      <w:r w:rsidR="007A6153">
        <w:t>—</w:t>
      </w:r>
      <w:r w:rsidR="004340E4">
        <w:t>Sydney metropolitan area</w:t>
      </w:r>
    </w:p>
    <w:p w:rsidR="00E71BFF" w:rsidRDefault="00E71BFF" w:rsidP="00C950F7">
      <w:pPr>
        <w:shd w:val="clear" w:color="auto" w:fill="D9D9D9" w:themeFill="background1" w:themeFillShade="D9"/>
      </w:pPr>
      <w:r>
        <w:t>Intermodal terminals are inland transport and storage hubs</w:t>
      </w:r>
      <w:r w:rsidR="002D354B">
        <w:t xml:space="preserve">, some of which have </w:t>
      </w:r>
      <w:r>
        <w:t xml:space="preserve">rail links to one or more ports. They have facilities to transfer freight between </w:t>
      </w:r>
      <w:r w:rsidR="00E03D21">
        <w:t xml:space="preserve">trucks </w:t>
      </w:r>
      <w:r>
        <w:t xml:space="preserve">and </w:t>
      </w:r>
      <w:r w:rsidR="00E03D21">
        <w:t>trains</w:t>
      </w:r>
      <w:r>
        <w:t xml:space="preserve">, including container storage areas such as yards and warehouses. These terminals may assist state governments to reach their targets for </w:t>
      </w:r>
      <w:r w:rsidR="00E03D21">
        <w:t xml:space="preserve">increasing </w:t>
      </w:r>
      <w:r>
        <w:t>the proportion of containers transported by rail</w:t>
      </w:r>
      <w:r w:rsidR="00E03D21">
        <w:t xml:space="preserve"> instead of road</w:t>
      </w:r>
      <w:r>
        <w:t>.</w:t>
      </w:r>
    </w:p>
    <w:p w:rsidR="00E71BFF" w:rsidRDefault="00E71BFF" w:rsidP="00C950F7">
      <w:pPr>
        <w:shd w:val="clear" w:color="auto" w:fill="D9D9D9" w:themeFill="background1" w:themeFillShade="D9"/>
      </w:pPr>
      <w:r>
        <w:t>In recent years</w:t>
      </w:r>
      <w:r w:rsidR="00C14A65">
        <w:t>,</w:t>
      </w:r>
      <w:r>
        <w:t xml:space="preserve"> there has been significant investment in intermodal terminals in the Sydney metropolitan area. This has been driven by both governments and private companies. A driver of this development is that about 85 per cent of containers arriving at or leaving </w:t>
      </w:r>
      <w:r w:rsidR="00A3101F">
        <w:t xml:space="preserve">Port </w:t>
      </w:r>
      <w:r>
        <w:t>Botany travel within 40 kilometres of the port.</w:t>
      </w:r>
      <w:r>
        <w:rPr>
          <w:rStyle w:val="FootnoteReference"/>
        </w:rPr>
        <w:footnoteReference w:id="78"/>
      </w:r>
      <w:r>
        <w:t xml:space="preserve"> </w:t>
      </w:r>
    </w:p>
    <w:p w:rsidR="00E71BFF" w:rsidRDefault="00E71BFF" w:rsidP="002D354B">
      <w:pPr>
        <w:shd w:val="clear" w:color="auto" w:fill="D9D9D9" w:themeFill="background1" w:themeFillShade="D9"/>
      </w:pPr>
      <w:r>
        <w:t xml:space="preserve">At Moorebank, a terminal </w:t>
      </w:r>
      <w:r w:rsidR="00D9085B">
        <w:t xml:space="preserve">precinct </w:t>
      </w:r>
      <w:r>
        <w:t xml:space="preserve">is being constructed by </w:t>
      </w:r>
      <w:r w:rsidRPr="004F11DE">
        <w:t xml:space="preserve">Sydney Intermodal Terminal Alliance </w:t>
      </w:r>
      <w:r>
        <w:t xml:space="preserve">(SIMTA), comprised of Qube Holdings and Aurizon. </w:t>
      </w:r>
      <w:r w:rsidR="002D354B">
        <w:t xml:space="preserve">The precinct will include an import-export </w:t>
      </w:r>
      <w:r w:rsidR="00D9085B">
        <w:t xml:space="preserve">(IMEX) </w:t>
      </w:r>
      <w:r w:rsidR="002D354B">
        <w:t>freight terminal with eventual capacity for up to 1.05 million containers per year, and an interstate freight terminal with capacity for up to 500 000 containers a year.</w:t>
      </w:r>
      <w:r w:rsidR="002D354B" w:rsidDel="002D354B">
        <w:t xml:space="preserve"> </w:t>
      </w:r>
      <w:r w:rsidR="002D354B" w:rsidRPr="002D354B">
        <w:t>The IMEX terminal is expected to start operations in late 2017 and the interstate terminal in approximately 2019.</w:t>
      </w:r>
      <w:r w:rsidR="002D354B">
        <w:rPr>
          <w:rStyle w:val="FootnoteReference"/>
        </w:rPr>
        <w:footnoteReference w:id="79"/>
      </w:r>
      <w:r w:rsidR="002D354B" w:rsidRPr="002D354B" w:rsidDel="002D354B">
        <w:t xml:space="preserve"> </w:t>
      </w:r>
      <w:r>
        <w:t xml:space="preserve">Part of the Government’s rationale </w:t>
      </w:r>
      <w:r w:rsidR="00D9085B">
        <w:t xml:space="preserve">for the terminal </w:t>
      </w:r>
      <w:r>
        <w:t>was to reduce road congestion with the aim of reducing freight costs and delays by freeing up traffic bottlenecks and reducing urban congestion.</w:t>
      </w:r>
      <w:r>
        <w:rPr>
          <w:rStyle w:val="FootnoteReference"/>
        </w:rPr>
        <w:footnoteReference w:id="80"/>
      </w:r>
      <w:r>
        <w:t xml:space="preserve">  </w:t>
      </w:r>
    </w:p>
    <w:p w:rsidR="00E71BFF" w:rsidRDefault="00E71BFF" w:rsidP="00C950F7">
      <w:pPr>
        <w:shd w:val="clear" w:color="auto" w:fill="D9D9D9" w:themeFill="background1" w:themeFillShade="D9"/>
      </w:pPr>
      <w:r>
        <w:t xml:space="preserve">At Chullora, </w:t>
      </w:r>
      <w:r w:rsidR="00EE4922">
        <w:t xml:space="preserve">Asciano </w:t>
      </w:r>
      <w:r>
        <w:t xml:space="preserve">is reportedly enhancing and expanding its intermodal terminal. In February it launched two new $30 million rail mounted gantry cranes, which the company believes will double capacity from 300 000 to 600 000 </w:t>
      </w:r>
      <w:r w:rsidR="00E76E0B">
        <w:t>TEUs</w:t>
      </w:r>
      <w:r>
        <w:t xml:space="preserve"> </w:t>
      </w:r>
      <w:r w:rsidR="003A6531">
        <w:t>per year</w:t>
      </w:r>
      <w:r>
        <w:t>.</w:t>
      </w:r>
      <w:r>
        <w:rPr>
          <w:rStyle w:val="FootnoteReference"/>
        </w:rPr>
        <w:footnoteReference w:id="81"/>
      </w:r>
      <w:r>
        <w:t xml:space="preserve"> Pacific National, the operator of the rail shuttle to Port Botany, is reportedly aiming to move </w:t>
      </w:r>
      <w:r w:rsidR="008743F6">
        <w:t xml:space="preserve">up to </w:t>
      </w:r>
      <w:r>
        <w:t xml:space="preserve">135 000 </w:t>
      </w:r>
      <w:r w:rsidR="00E76E0B">
        <w:t>TEUs</w:t>
      </w:r>
      <w:r>
        <w:t xml:space="preserve"> </w:t>
      </w:r>
      <w:r w:rsidR="003A6531">
        <w:t xml:space="preserve">per year </w:t>
      </w:r>
      <w:r>
        <w:t>through the terminal.</w:t>
      </w:r>
    </w:p>
    <w:p w:rsidR="00E71BFF" w:rsidRDefault="00E71BFF" w:rsidP="00C950F7">
      <w:pPr>
        <w:shd w:val="clear" w:color="auto" w:fill="D9D9D9" w:themeFill="background1" w:themeFillShade="D9"/>
      </w:pPr>
      <w:r>
        <w:t xml:space="preserve">At Enfield, the NSW Government commenced construction of an intermodal terminal in July 2011. Connected to Port Botany by a dedicated freight rail line, the plan was for it to be a distribution point </w:t>
      </w:r>
      <w:r w:rsidR="00E03D21">
        <w:t>for moving freight between</w:t>
      </w:r>
      <w:r>
        <w:t xml:space="preserve"> storage facilities and importers/exporters in </w:t>
      </w:r>
      <w:r w:rsidR="00E03D21">
        <w:t>parts of south western Sydney</w:t>
      </w:r>
      <w:r>
        <w:t>. In April 2013</w:t>
      </w:r>
      <w:r w:rsidR="00C673FD">
        <w:t>,</w:t>
      </w:r>
      <w:r>
        <w:t xml:space="preserve"> this facility was privatised along with other port assets including Port Botany, under a 99-year lease to NSW Ports</w:t>
      </w:r>
      <w:r w:rsidR="00E03D21">
        <w:t xml:space="preserve"> (a consortium comprising the following private investors: </w:t>
      </w:r>
      <w:r w:rsidR="00E03D21" w:rsidRPr="005E6C6F">
        <w:rPr>
          <w:rFonts w:cs="Arial"/>
          <w:color w:val="222222"/>
        </w:rPr>
        <w:t>Industry Funds Management, Australian</w:t>
      </w:r>
      <w:r w:rsidR="00E03D21">
        <w:rPr>
          <w:rFonts w:cs="Arial"/>
          <w:color w:val="222222"/>
        </w:rPr>
        <w:t xml:space="preserve"> </w:t>
      </w:r>
      <w:r w:rsidR="00E03D21" w:rsidRPr="005E6C6F">
        <w:rPr>
          <w:rFonts w:cs="Arial"/>
          <w:color w:val="222222"/>
        </w:rPr>
        <w:t xml:space="preserve">Super, </w:t>
      </w:r>
      <w:proofErr w:type="spellStart"/>
      <w:r w:rsidR="00E03D21" w:rsidRPr="005E6C6F">
        <w:rPr>
          <w:rFonts w:cs="Arial"/>
          <w:color w:val="222222"/>
        </w:rPr>
        <w:t>Tawreed</w:t>
      </w:r>
      <w:proofErr w:type="spellEnd"/>
      <w:r w:rsidR="00E03D21" w:rsidRPr="005E6C6F">
        <w:rPr>
          <w:rFonts w:cs="Arial"/>
          <w:color w:val="222222"/>
        </w:rPr>
        <w:t xml:space="preserve"> Investments Limited, Cbus, HESTA and HOSTPLUS</w:t>
      </w:r>
      <w:r w:rsidR="00E03D21">
        <w:t>)</w:t>
      </w:r>
      <w:r>
        <w:t xml:space="preserve">. According to the company, construction was largely completed in the middle of 2015, </w:t>
      </w:r>
      <w:r w:rsidR="00E03D21">
        <w:t>al</w:t>
      </w:r>
      <w:r>
        <w:t xml:space="preserve">though Hutchison reportedly pulled out </w:t>
      </w:r>
      <w:r w:rsidR="00E03D21">
        <w:t xml:space="preserve">of operating the terminal </w:t>
      </w:r>
      <w:r>
        <w:t>to concentrate on stevedoring.</w:t>
      </w:r>
      <w:r>
        <w:rPr>
          <w:rStyle w:val="FootnoteReference"/>
        </w:rPr>
        <w:footnoteReference w:id="82"/>
      </w:r>
    </w:p>
    <w:p w:rsidR="00E71BFF" w:rsidRDefault="00E71BFF" w:rsidP="00C950F7">
      <w:pPr>
        <w:shd w:val="clear" w:color="auto" w:fill="D9D9D9" w:themeFill="background1" w:themeFillShade="D9"/>
      </w:pPr>
      <w:r>
        <w:t>In July 2015, DP World and</w:t>
      </w:r>
      <w:r w:rsidR="00E03D21">
        <w:t xml:space="preserve"> the</w:t>
      </w:r>
      <w:r>
        <w:t xml:space="preserve"> freight and logistics provider Toll Group announced a proposed joint venture to</w:t>
      </w:r>
      <w:r w:rsidR="00C83C3D">
        <w:t xml:space="preserve"> connect an intermodal </w:t>
      </w:r>
      <w:r>
        <w:t>terminal at Villawood</w:t>
      </w:r>
      <w:r w:rsidR="00445CE8">
        <w:t>, 25km west of Sydney</w:t>
      </w:r>
      <w:r w:rsidR="00C83C3D" w:rsidRPr="00C83C3D">
        <w:t xml:space="preserve"> </w:t>
      </w:r>
      <w:r w:rsidR="00C83C3D">
        <w:t>to a dedicated container staging zone at Port Botany</w:t>
      </w:r>
      <w:r>
        <w:t xml:space="preserve">. </w:t>
      </w:r>
      <w:r w:rsidR="00FD36A7">
        <w:t>This joint venture</w:t>
      </w:r>
      <w:r w:rsidR="00FD36A7" w:rsidRPr="008A7DA0">
        <w:t xml:space="preserve"> </w:t>
      </w:r>
      <w:r w:rsidR="00FD36A7">
        <w:t>will</w:t>
      </w:r>
      <w:r w:rsidR="00FD36A7" w:rsidRPr="008A7DA0">
        <w:t xml:space="preserve"> </w:t>
      </w:r>
      <w:r w:rsidR="00FD36A7">
        <w:t>reportedly be able to move around</w:t>
      </w:r>
      <w:r>
        <w:t xml:space="preserve"> 180 000 </w:t>
      </w:r>
      <w:r w:rsidR="00E76E0B">
        <w:t>TEUs</w:t>
      </w:r>
      <w:r>
        <w:t xml:space="preserve"> </w:t>
      </w:r>
      <w:r w:rsidR="003A6531">
        <w:t>per year</w:t>
      </w:r>
      <w:r w:rsidR="00FD36A7">
        <w:t xml:space="preserve"> by rail</w:t>
      </w:r>
      <w:r>
        <w:t xml:space="preserve">. If </w:t>
      </w:r>
      <w:r w:rsidR="00E03D21">
        <w:t xml:space="preserve">the </w:t>
      </w:r>
      <w:r w:rsidR="00445CE8">
        <w:t xml:space="preserve">joint venture </w:t>
      </w:r>
      <w:r>
        <w:t>goes ahead</w:t>
      </w:r>
      <w:r w:rsidR="00F3069A">
        <w:t>,</w:t>
      </w:r>
      <w:r>
        <w:t xml:space="preserve"> it is planned to start </w:t>
      </w:r>
      <w:r w:rsidR="00E03D21">
        <w:t xml:space="preserve">operating </w:t>
      </w:r>
      <w:r>
        <w:t>in 2017.</w:t>
      </w:r>
      <w:r>
        <w:rPr>
          <w:rStyle w:val="FootnoteReference"/>
        </w:rPr>
        <w:footnoteReference w:id="83"/>
      </w:r>
    </w:p>
    <w:p w:rsidR="0053436E" w:rsidRPr="0053436E" w:rsidRDefault="0053436E" w:rsidP="00C950F7">
      <w:pPr>
        <w:shd w:val="clear" w:color="auto" w:fill="D9D9D9" w:themeFill="background1" w:themeFillShade="D9"/>
        <w:rPr>
          <w:sz w:val="16"/>
          <w:szCs w:val="16"/>
        </w:rPr>
      </w:pPr>
    </w:p>
    <w:p w:rsidR="00E71BFF" w:rsidRPr="001509EA" w:rsidRDefault="00E71BFF" w:rsidP="00E71BFF">
      <w:pPr>
        <w:pStyle w:val="Numbered111"/>
        <w:contextualSpacing w:val="0"/>
      </w:pPr>
      <w:bookmarkStart w:id="39" w:name="_Toc433667003"/>
      <w:r w:rsidRPr="003F0C17">
        <w:t>Coastal shipping reform to reduce freight costs and reduce imp</w:t>
      </w:r>
      <w:r w:rsidRPr="004F6F7F">
        <w:t>ediments to competition</w:t>
      </w:r>
      <w:bookmarkEnd w:id="39"/>
      <w:r w:rsidRPr="004F6F7F">
        <w:t xml:space="preserve"> </w:t>
      </w:r>
    </w:p>
    <w:p w:rsidR="00E71BFF" w:rsidRDefault="00E71BFF" w:rsidP="00E71BFF">
      <w:r>
        <w:t>While international shipping is fundamental to Australia’s import/export supply chains, coastal shipping plays a far less significant role in the domestic supply chain. O</w:t>
      </w:r>
      <w:r w:rsidRPr="00996A58">
        <w:t xml:space="preserve">nly a very small proportion of </w:t>
      </w:r>
      <w:r>
        <w:t>containers are transported domestically by</w:t>
      </w:r>
      <w:r w:rsidRPr="00996A58">
        <w:t xml:space="preserve"> ship. The </w:t>
      </w:r>
      <w:r>
        <w:t>vast</w:t>
      </w:r>
      <w:r w:rsidRPr="00996A58">
        <w:t xml:space="preserve"> majority </w:t>
      </w:r>
      <w:r>
        <w:t>are</w:t>
      </w:r>
      <w:r w:rsidRPr="00996A58">
        <w:t xml:space="preserve"> </w:t>
      </w:r>
      <w:r>
        <w:t>transported</w:t>
      </w:r>
      <w:r w:rsidRPr="00996A58">
        <w:t xml:space="preserve"> by road</w:t>
      </w:r>
      <w:r>
        <w:t>,</w:t>
      </w:r>
      <w:r w:rsidRPr="00996A58">
        <w:t xml:space="preserve"> and</w:t>
      </w:r>
      <w:r>
        <w:t xml:space="preserve"> to a lesser extent</w:t>
      </w:r>
      <w:r w:rsidRPr="00996A58">
        <w:t xml:space="preserve"> rail. </w:t>
      </w:r>
      <w:r w:rsidRPr="007433C4">
        <w:t>Coastal shipping can be an alternative to road and rail, but may not always be available or competitive for Australian domestic routes.</w:t>
      </w:r>
    </w:p>
    <w:p w:rsidR="00E71BFF" w:rsidRDefault="00E71BFF" w:rsidP="00E71BFF">
      <w:r>
        <w:t xml:space="preserve">Restrictions on the ability of foreign vessels to compete for domestic coastal trade in Australia have long been in place. Additional restrictions were imposed in 2010 and 2012, by way of a temporary licencing system and a requirement that foreign vessels pay their foreign crew Australian wages and conditions when carrying domestic cargo along Australia’s coast.  </w:t>
      </w:r>
    </w:p>
    <w:p w:rsidR="00E71BFF" w:rsidRDefault="00E71BFF" w:rsidP="00E71BFF">
      <w:r>
        <w:t>The ACCC has previously expressed concern that such restrictions may discourage or prevent foreign lines from entering domestic shipping, or increase the administrative burden and cost of doing so.</w:t>
      </w:r>
      <w:r w:rsidRPr="001F6322">
        <w:t xml:space="preserve"> </w:t>
      </w:r>
      <w:r>
        <w:t>Of particular concern is where a foreign vessel could be discouraged or prohibited from carrying coastal trade on a journey it is already undertaking as part of an international service.</w:t>
      </w:r>
    </w:p>
    <w:p w:rsidR="00E71BFF" w:rsidRDefault="00E71BFF" w:rsidP="00E71BFF">
      <w:r w:rsidRPr="008753E3">
        <w:t>In May 2015, the Australian Government announced it would introduce new legislation which would allow foreign ships to more freely transport containers within Australia.</w:t>
      </w:r>
      <w:r w:rsidRPr="008753E3">
        <w:rPr>
          <w:rStyle w:val="FootnoteReference"/>
        </w:rPr>
        <w:footnoteReference w:id="84"/>
      </w:r>
      <w:r w:rsidRPr="008753E3">
        <w:t xml:space="preserve"> </w:t>
      </w:r>
      <w:r>
        <w:t xml:space="preserve">According to the second reading speech for the </w:t>
      </w:r>
      <w:r w:rsidRPr="0090461E">
        <w:t>Shipping Legislation Amendment Bill 2015</w:t>
      </w:r>
      <w:r>
        <w:t xml:space="preserve">, a single coastal shipping permit would be available to both Australian and foreign registered ships, and </w:t>
      </w:r>
      <w:r w:rsidRPr="00A26E3F">
        <w:t xml:space="preserve">a foreign ship </w:t>
      </w:r>
      <w:r>
        <w:t>would only be</w:t>
      </w:r>
      <w:r w:rsidRPr="00A26E3F">
        <w:t xml:space="preserve"> subject to domestic workplace relations arrangements </w:t>
      </w:r>
      <w:r>
        <w:t>if it will be p</w:t>
      </w:r>
      <w:r w:rsidRPr="00A26E3F">
        <w:t>redominantly operating in Australia—that is, for more than 183 days of a 12-month permit</w:t>
      </w:r>
      <w:r>
        <w:t>.</w:t>
      </w:r>
      <w:r w:rsidR="00E87883">
        <w:rPr>
          <w:rStyle w:val="FootnoteReference"/>
        </w:rPr>
        <w:footnoteReference w:id="85"/>
      </w:r>
    </w:p>
    <w:p w:rsidR="00E71BFF" w:rsidRDefault="00E71BFF" w:rsidP="00E71BFF">
      <w:r>
        <w:t>T</w:t>
      </w:r>
      <w:r w:rsidRPr="008753E3">
        <w:t xml:space="preserve">he </w:t>
      </w:r>
      <w:r>
        <w:t xml:space="preserve">ACCC expects </w:t>
      </w:r>
      <w:r w:rsidRPr="008753E3">
        <w:t xml:space="preserve">proposed changes </w:t>
      </w:r>
      <w:r>
        <w:t xml:space="preserve">to coastal shipping regulation will reduce the </w:t>
      </w:r>
      <w:r w:rsidRPr="008753E3">
        <w:t>regulatory burden and cost for foreign shipping lines</w:t>
      </w:r>
      <w:r>
        <w:t xml:space="preserve"> to operate along Australia’s coast.</w:t>
      </w:r>
    </w:p>
    <w:p w:rsidR="00E71BFF" w:rsidRDefault="00E71BFF" w:rsidP="00E71BFF">
      <w:r>
        <w:t xml:space="preserve">A more efficient coastal shipping industry </w:t>
      </w:r>
      <w:r w:rsidR="00C673FD">
        <w:t xml:space="preserve">for freight </w:t>
      </w:r>
      <w:r>
        <w:t>could also help to relieve pressure on Australia’s road and rail networks, lowering transport costs and consequently prices, across the economy. This is particularly relevant at a time when there is spare capacity at container stevedoring terminals and, according to the industry, in shipping. This could be a relatively low-cost form of transport in some circumstances as much of the cost of the journey would be covered by the international container trade on board.</w:t>
      </w:r>
      <w:r w:rsidRPr="008753E3">
        <w:rPr>
          <w:rStyle w:val="FootnoteReference"/>
        </w:rPr>
        <w:footnoteReference w:id="86"/>
      </w:r>
      <w:r w:rsidRPr="008753E3">
        <w:t xml:space="preserve"> </w:t>
      </w:r>
    </w:p>
    <w:p w:rsidR="00E71BFF" w:rsidRPr="00CA2B54" w:rsidRDefault="00E71BFF" w:rsidP="00E71BFF">
      <w:pPr>
        <w:pStyle w:val="Numbered111"/>
        <w:contextualSpacing w:val="0"/>
      </w:pPr>
      <w:bookmarkStart w:id="40" w:name="_Toc433667004"/>
      <w:r>
        <w:t>Public-sector planning and targeted infrastructure expenditure</w:t>
      </w:r>
      <w:r w:rsidRPr="00CA2B54">
        <w:t xml:space="preserve"> </w:t>
      </w:r>
      <w:r>
        <w:t xml:space="preserve">can </w:t>
      </w:r>
      <w:r w:rsidRPr="00CA2B54">
        <w:t>boost productivity</w:t>
      </w:r>
      <w:bookmarkEnd w:id="40"/>
      <w:r w:rsidRPr="00CA2B54">
        <w:t xml:space="preserve"> </w:t>
      </w:r>
    </w:p>
    <w:p w:rsidR="00E71BFF" w:rsidRDefault="00E71BFF" w:rsidP="00E71BFF">
      <w:r>
        <w:t>It has been well documented that Australia’s productivity performance has deteriorated since around 2000.</w:t>
      </w:r>
      <w:r>
        <w:rPr>
          <w:rStyle w:val="FootnoteReference"/>
        </w:rPr>
        <w:footnoteReference w:id="87"/>
      </w:r>
      <w:r>
        <w:t xml:space="preserve"> As the </w:t>
      </w:r>
      <w:r w:rsidR="008612BC">
        <w:t xml:space="preserve">Competition Policy </w:t>
      </w:r>
      <w:r>
        <w:t xml:space="preserve">Review report pointed out, this deterioration has coincided with a stalling in Australia’s microeconomic reform effort. </w:t>
      </w:r>
    </w:p>
    <w:p w:rsidR="00E71BFF" w:rsidRDefault="00E71BFF" w:rsidP="00E71BFF">
      <w:r>
        <w:t>Meanwhile, Australia faces growing container volumes and an increased freight task. Adequate planning and project selection processes must be in place to ensure that the infrastructure required will be delivered at least cost to the Australian community. This is a critical factor if Australia is to receive the full benefits of reform and increased competition in container stevedoring.</w:t>
      </w:r>
      <w:r w:rsidRPr="00ED0F3C">
        <w:t xml:space="preserve"> </w:t>
      </w:r>
      <w:r>
        <w:t xml:space="preserve">As the </w:t>
      </w:r>
      <w:r w:rsidRPr="00FD43BE">
        <w:t xml:space="preserve">Australian Infrastructure Audit </w:t>
      </w:r>
      <w:r w:rsidR="008A5B20">
        <w:t xml:space="preserve">recently conducted by Infrastructure Australia </w:t>
      </w:r>
      <w:r>
        <w:t>observed:</w:t>
      </w:r>
    </w:p>
    <w:p w:rsidR="00E71BFF" w:rsidRDefault="00E71BFF" w:rsidP="00E71BFF">
      <w:pPr>
        <w:pStyle w:val="Quote"/>
      </w:pPr>
      <w:r>
        <w:t>Australia needs integrated infrastructure and land-use planning, across all levels of government… Improvements in long term infrastructure planning, project appraisal and project selection</w:t>
      </w:r>
      <w:r w:rsidR="00655623">
        <w:t xml:space="preserve">… </w:t>
      </w:r>
      <w:r>
        <w:t>are necessary if Australians’ expectations are to be realised.</w:t>
      </w:r>
      <w:r>
        <w:rPr>
          <w:rStyle w:val="FootnoteReference"/>
        </w:rPr>
        <w:footnoteReference w:id="88"/>
      </w:r>
    </w:p>
    <w:p w:rsidR="00E71BFF" w:rsidRDefault="00E71BFF" w:rsidP="00E71BFF">
      <w:r>
        <w:t>In particular, there is an opportunity for planning at the state level to ensure that public-sector spending in the container supply chain is directed where it is needed most, and that the conditions exist for efficient investment</w:t>
      </w:r>
      <w:r w:rsidRPr="00F104E8">
        <w:t xml:space="preserve"> </w:t>
      </w:r>
      <w:r>
        <w:t xml:space="preserve">by the private sector and innovation. </w:t>
      </w:r>
    </w:p>
    <w:p w:rsidR="00E71BFF" w:rsidRDefault="00E71BFF" w:rsidP="00E71BFF">
      <w:r>
        <w:t>State-based port and freight plans communicate a vision to industry and can provide certainty to companies wishing to invest in the supply ch</w:t>
      </w:r>
      <w:r w:rsidRPr="004F6F7F">
        <w:t>ain</w:t>
      </w:r>
      <w:r w:rsidRPr="001509EA">
        <w:t xml:space="preserve">. An example </w:t>
      </w:r>
      <w:r w:rsidRPr="002F692F">
        <w:t xml:space="preserve">of where public plans have supported private sector investment </w:t>
      </w:r>
      <w:r w:rsidR="00C14A65">
        <w:t xml:space="preserve">is </w:t>
      </w:r>
      <w:r w:rsidRPr="004F6F7F">
        <w:t>in intermodal terminals in Sydney.</w:t>
      </w:r>
      <w:r>
        <w:t xml:space="preserve"> </w:t>
      </w:r>
    </w:p>
    <w:p w:rsidR="00E71BFF" w:rsidRDefault="00E71BFF" w:rsidP="00E71BFF">
      <w:r>
        <w:t xml:space="preserve">This is particularly important as the </w:t>
      </w:r>
      <w:r w:rsidR="008A5B20">
        <w:t xml:space="preserve">Infrastructure </w:t>
      </w:r>
      <w:r>
        <w:t>Audit found it is likely Australia will need an increasing level of private sector investment in infrastructure. It stated:</w:t>
      </w:r>
    </w:p>
    <w:p w:rsidR="00E71BFF" w:rsidRDefault="00E71BFF" w:rsidP="00E71BFF">
      <w:pPr>
        <w:pStyle w:val="Quote"/>
      </w:pPr>
      <w:r>
        <w:t xml:space="preserve">Government funding alone is unlikely to be sufficient to provide the infrastructure that Australia requires. Maintaining or strengthening </w:t>
      </w:r>
      <w:r w:rsidR="00655623">
        <w:t xml:space="preserve">conditions </w:t>
      </w:r>
      <w:r>
        <w:t>to facilitate private sector investment in and operation of Australia’s infrastructure networks is fundamentally important.</w:t>
      </w:r>
      <w:r>
        <w:rPr>
          <w:rStyle w:val="FootnoteReference"/>
        </w:rPr>
        <w:footnoteReference w:id="89"/>
      </w:r>
      <w:r>
        <w:t xml:space="preserve"> </w:t>
      </w:r>
    </w:p>
    <w:p w:rsidR="00E71BFF" w:rsidRDefault="00E71BFF" w:rsidP="00E71BFF">
      <w:r>
        <w:t>Long</w:t>
      </w:r>
      <w:r w:rsidR="0055370A">
        <w:t xml:space="preserve"> </w:t>
      </w:r>
      <w:r>
        <w:t xml:space="preserve">term plans can also provide a discipline on governments to think about opportunities for increased industry contestability and competition in the future, prior to selling key assets to the private sector. </w:t>
      </w:r>
    </w:p>
    <w:p w:rsidR="00E71BFF" w:rsidRDefault="00E71BFF" w:rsidP="00E71BFF">
      <w:r>
        <w:t xml:space="preserve">In relation to project selection, the PC recently highlighted the important point that not all public infrastructure </w:t>
      </w:r>
      <w:r w:rsidR="00232AFA">
        <w:t>projects support</w:t>
      </w:r>
      <w:r>
        <w:t xml:space="preserve"> productivity and generate economic growth and wellbeing.</w:t>
      </w:r>
      <w:r>
        <w:rPr>
          <w:rStyle w:val="FootnoteReference"/>
        </w:rPr>
        <w:footnoteReference w:id="90"/>
      </w:r>
      <w:r>
        <w:t xml:space="preserve"> In its report on public infrastructure, the PC emphasised there are significant costs to the community from poor project selection. It stated:</w:t>
      </w:r>
    </w:p>
    <w:p w:rsidR="00E71BFF" w:rsidRDefault="00E71BFF" w:rsidP="00E71BFF">
      <w:pPr>
        <w:pStyle w:val="Quote"/>
      </w:pPr>
      <w:r>
        <w:t>There are many examples in Australia of poor project selection leading to highly inefficient outcomes. In such cases, investment in public infrastructure is a drain on the economy and tends to lower productivity and crowd out more efficient projects.</w:t>
      </w:r>
      <w:r>
        <w:rPr>
          <w:rStyle w:val="FootnoteReference"/>
        </w:rPr>
        <w:footnoteReference w:id="91"/>
      </w:r>
      <w:r>
        <w:t xml:space="preserve">  </w:t>
      </w:r>
    </w:p>
    <w:p w:rsidR="00E71BFF" w:rsidRDefault="00E71BFF" w:rsidP="00E71BFF">
      <w:r>
        <w:t xml:space="preserve">The ACCC considers there are advantages of independent bodies having a role in project selection based on rigorous and transparent analysis of infrastructure requirements. </w:t>
      </w:r>
      <w:r w:rsidR="008A5B20">
        <w:t xml:space="preserve">In this regard the ACCC notes </w:t>
      </w:r>
      <w:r w:rsidR="00E16F7D">
        <w:t xml:space="preserve">the Victoria government’s </w:t>
      </w:r>
      <w:r w:rsidR="008A5B20">
        <w:t xml:space="preserve">recently created body, Infrastructure Victoria. </w:t>
      </w:r>
      <w:r>
        <w:t xml:space="preserve">According to the Victorian </w:t>
      </w:r>
      <w:r w:rsidR="008A5B20">
        <w:t>government</w:t>
      </w:r>
      <w:r>
        <w:t>:</w:t>
      </w:r>
    </w:p>
    <w:p w:rsidR="00E71BFF" w:rsidRDefault="00E71BFF" w:rsidP="00E71BFF">
      <w:pPr>
        <w:pStyle w:val="Quote"/>
        <w:rPr>
          <w:highlight w:val="yellow"/>
        </w:rPr>
      </w:pPr>
      <w:r>
        <w:t>Infrastructure Victoria will take short term politics out of infrastructure planning, and… be tasked with ensuring Victoria’s immediate and long-term infrastructure needs are identified and prioritised based on objective, transparent analysis and evidence.</w:t>
      </w:r>
      <w:r>
        <w:rPr>
          <w:rStyle w:val="FootnoteReference"/>
        </w:rPr>
        <w:footnoteReference w:id="92"/>
      </w:r>
    </w:p>
    <w:p w:rsidR="00E71BFF" w:rsidRDefault="00E71BFF" w:rsidP="00E71BFF">
      <w:r>
        <w:t xml:space="preserve">Given the significant cost of large-scale infrastructure, </w:t>
      </w:r>
      <w:r w:rsidR="00232AFA">
        <w:t>it is important that caution is</w:t>
      </w:r>
      <w:r>
        <w:t xml:space="preserve"> exercised when choosing between port and freight infrastructure projects to ensure spending is directed to its highest value use.  </w:t>
      </w:r>
    </w:p>
    <w:p w:rsidR="00E71BFF" w:rsidRPr="00703665" w:rsidRDefault="00E71BFF" w:rsidP="00E71BFF">
      <w:pPr>
        <w:pStyle w:val="Numbered11"/>
      </w:pPr>
      <w:bookmarkStart w:id="41" w:name="_Toc433667005"/>
      <w:r>
        <w:t>Conclusion</w:t>
      </w:r>
      <w:bookmarkEnd w:id="41"/>
    </w:p>
    <w:p w:rsidR="00E71BFF" w:rsidRDefault="00E71BFF" w:rsidP="00E71BFF">
      <w:r>
        <w:t xml:space="preserve">Container stevedores in Australia today face a more competitive environment as a result of new entry and </w:t>
      </w:r>
      <w:r w:rsidR="008A5B20">
        <w:t xml:space="preserve">increased </w:t>
      </w:r>
      <w:r>
        <w:t>capacity. Over recent years, there has been significant investment, improvements in customer service, lower average prices and a fall in the rate of return</w:t>
      </w:r>
      <w:r w:rsidR="00FD36A7">
        <w:t xml:space="preserve"> for the industry</w:t>
      </w:r>
      <w:r>
        <w:t>. Productivity has improved and the volume of containers through the stevedores’ terminals has increased.</w:t>
      </w:r>
    </w:p>
    <w:p w:rsidR="00E71BFF" w:rsidRDefault="00E71BFF" w:rsidP="00E71BFF">
      <w:r>
        <w:t xml:space="preserve">That said, new entrants face challenges establishing their operations and attracting market share. The specific characteristics of the Australian industry need to be understood by new entrants, while </w:t>
      </w:r>
      <w:r w:rsidR="003020CD">
        <w:t xml:space="preserve">the </w:t>
      </w:r>
      <w:r>
        <w:t xml:space="preserve">shipping </w:t>
      </w:r>
      <w:r w:rsidR="003020CD">
        <w:t>industry</w:t>
      </w:r>
      <w:r w:rsidR="007A6153">
        <w:t>—</w:t>
      </w:r>
      <w:r w:rsidR="00BC596F">
        <w:t>which</w:t>
      </w:r>
      <w:r>
        <w:t xml:space="preserve"> </w:t>
      </w:r>
      <w:r w:rsidR="003020CD">
        <w:t xml:space="preserve">for </w:t>
      </w:r>
      <w:r w:rsidR="00BC596F">
        <w:t xml:space="preserve">so </w:t>
      </w:r>
      <w:r w:rsidR="003020CD">
        <w:t xml:space="preserve">long called for </w:t>
      </w:r>
      <w:r w:rsidR="003020CD" w:rsidRPr="003020CD">
        <w:t>improved stevedoring performance</w:t>
      </w:r>
      <w:r w:rsidR="007A6153">
        <w:t>—</w:t>
      </w:r>
      <w:r>
        <w:t xml:space="preserve">should do what </w:t>
      </w:r>
      <w:r w:rsidR="003020CD">
        <w:t>it can to help overcome any barriers that exist to switching stevedores</w:t>
      </w:r>
      <w:r>
        <w:t>.</w:t>
      </w:r>
    </w:p>
    <w:p w:rsidR="00E71BFF" w:rsidRDefault="00E71BFF" w:rsidP="00E71BFF">
      <w:r>
        <w:t>There are opportunities to ensure the benefits of the improved performance of the stevedores are passed onto consumers, and not lost along the supply chain. Port privatisations provide state governments with the opportunity to facilitate competition in the long</w:t>
      </w:r>
      <w:r w:rsidR="0055370A">
        <w:t xml:space="preserve"> </w:t>
      </w:r>
      <w:r>
        <w:t xml:space="preserve">term between existing and possible future port facilities. They also provide </w:t>
      </w:r>
      <w:r w:rsidR="00C14A65">
        <w:t>a</w:t>
      </w:r>
      <w:r>
        <w:t xml:space="preserve"> chance to ensure there is appropriate access and pricing regulation</w:t>
      </w:r>
      <w:r w:rsidR="003020CD">
        <w:t xml:space="preserve"> in place</w:t>
      </w:r>
      <w:r>
        <w:t>.</w:t>
      </w:r>
    </w:p>
    <w:p w:rsidR="00E71BFF" w:rsidRDefault="0068444A" w:rsidP="00E71BFF">
      <w:r>
        <w:t>Domestic transport connections</w:t>
      </w:r>
      <w:r w:rsidR="00E71BFF">
        <w:t xml:space="preserve"> to container ports present other opportunities to improve the supply chain. A key factor is </w:t>
      </w:r>
      <w:r w:rsidR="00E71BFF" w:rsidRPr="00C35EDE">
        <w:t xml:space="preserve">removing </w:t>
      </w:r>
      <w:r w:rsidR="003020CD" w:rsidRPr="009B657D">
        <w:t>pricing distortions</w:t>
      </w:r>
      <w:r w:rsidR="00E71BFF" w:rsidRPr="00C35EDE">
        <w:t xml:space="preserve"> between</w:t>
      </w:r>
      <w:r w:rsidR="00E71BFF">
        <w:t xml:space="preserve"> road, rail and sea, as well as encouraging efficient investment in infrastructure by improving planning and project selection processes.</w:t>
      </w:r>
    </w:p>
    <w:p w:rsidR="00E71BFF" w:rsidRDefault="00E71BFF" w:rsidP="00E71BFF">
      <w:r>
        <w:t xml:space="preserve">This is particularly important with predictions of increasing containers volumes to be transported, particularly on roads. Along with governments, industry is also investing in rail connections to container terminals, </w:t>
      </w:r>
      <w:r w:rsidR="00C673FD">
        <w:t xml:space="preserve">particularly </w:t>
      </w:r>
      <w:r>
        <w:t>in Sydney.</w:t>
      </w:r>
      <w:r w:rsidRPr="003305C2">
        <w:t xml:space="preserve"> </w:t>
      </w:r>
    </w:p>
    <w:bookmarkEnd w:id="20"/>
    <w:p w:rsidR="003B5AAD" w:rsidRDefault="00E71BFF" w:rsidP="00E71BFF">
      <w:r>
        <w:t>Further efforts to improve the supply chain would ensure the benefits of increased stevedoring competition flow to consumers and Australian exporters by way of cheaper imports and more competitive exports.</w:t>
      </w:r>
    </w:p>
    <w:p w:rsidR="003B5AAD" w:rsidRDefault="003B5AAD">
      <w:r>
        <w:br w:type="page"/>
      </w:r>
    </w:p>
    <w:p w:rsidR="00D97319" w:rsidRDefault="00D04984" w:rsidP="00FC2F9D">
      <w:pPr>
        <w:pStyle w:val="Numbered1"/>
      </w:pPr>
      <w:bookmarkStart w:id="42" w:name="_Toc433667006"/>
      <w:r>
        <w:t xml:space="preserve">Monitoring results: </w:t>
      </w:r>
      <w:r w:rsidR="004543A8">
        <w:t xml:space="preserve">Productivity </w:t>
      </w:r>
      <w:r>
        <w:t>and throughput</w:t>
      </w:r>
      <w:bookmarkEnd w:id="42"/>
    </w:p>
    <w:p w:rsidR="00FC2F9D" w:rsidRDefault="00FC2F9D" w:rsidP="00FC2F9D">
      <w:pPr>
        <w:pStyle w:val="Numbered11"/>
      </w:pPr>
      <w:bookmarkStart w:id="43" w:name="_Toc433667007"/>
      <w:r>
        <w:t>Introduction</w:t>
      </w:r>
      <w:bookmarkEnd w:id="43"/>
    </w:p>
    <w:p w:rsidR="001A03AF" w:rsidRDefault="001A03AF" w:rsidP="00A83428">
      <w:r w:rsidRPr="001A03AF">
        <w:t>This chapter examines the productivity of the stevedoring industry in servicing ships (quayside) and trucks (landside).</w:t>
      </w:r>
    </w:p>
    <w:p w:rsidR="00A83428" w:rsidRDefault="00A83428" w:rsidP="00A83428">
      <w:r>
        <w:t>Changes in productivity are an important indicator of industry performance, as well as the quality of service provided to customers. For container stevedoring</w:t>
      </w:r>
      <w:r w:rsidR="001F6325">
        <w:t>,</w:t>
      </w:r>
      <w:r>
        <w:t xml:space="preserve"> </w:t>
      </w:r>
      <w:r w:rsidR="009D7134">
        <w:t xml:space="preserve">productivity </w:t>
      </w:r>
      <w:r>
        <w:t xml:space="preserve">indicators partly reflect the quality of management and investment decisions made by the stevedores to offer a more efficient service. </w:t>
      </w:r>
      <w:r w:rsidR="009D7134">
        <w:t xml:space="preserve">They also reflect the productivity of labour </w:t>
      </w:r>
      <w:r w:rsidR="001A03AF">
        <w:t xml:space="preserve">in </w:t>
      </w:r>
      <w:r w:rsidR="009D7134">
        <w:t>working equipment and servicing ships.</w:t>
      </w:r>
    </w:p>
    <w:p w:rsidR="009D7134" w:rsidRDefault="009D7134" w:rsidP="00A83428">
      <w:r>
        <w:t xml:space="preserve">Information is also presented </w:t>
      </w:r>
      <w:r w:rsidR="00D773B7">
        <w:t xml:space="preserve">in this chapter </w:t>
      </w:r>
      <w:r>
        <w:t>on the volume of containers processed through the terminals, as well as the size of the landside freight task</w:t>
      </w:r>
      <w:r w:rsidR="00C7118B">
        <w:t xml:space="preserve">. </w:t>
      </w:r>
      <w:r w:rsidR="00DF5416">
        <w:t xml:space="preserve">The size of the </w:t>
      </w:r>
      <w:r w:rsidR="001A03AF">
        <w:t xml:space="preserve">landside </w:t>
      </w:r>
      <w:r w:rsidR="00DF5416">
        <w:t>freight task</w:t>
      </w:r>
      <w:r w:rsidR="00C7118B">
        <w:t xml:space="preserve"> </w:t>
      </w:r>
      <w:r w:rsidR="00DF5416">
        <w:t>includes</w:t>
      </w:r>
      <w:r w:rsidR="00C7118B">
        <w:t xml:space="preserve"> the </w:t>
      </w:r>
      <w:r w:rsidR="00DF5416">
        <w:t>number</w:t>
      </w:r>
      <w:r w:rsidR="00C7118B">
        <w:t xml:space="preserve"> of containers transported by </w:t>
      </w:r>
      <w:r w:rsidR="00DF5416">
        <w:t>road versus rail,</w:t>
      </w:r>
      <w:r w:rsidR="00C7118B">
        <w:t xml:space="preserve"> </w:t>
      </w:r>
      <w:r w:rsidR="00DF5416">
        <w:t>as well</w:t>
      </w:r>
      <w:r w:rsidR="00C7118B">
        <w:t xml:space="preserve"> </w:t>
      </w:r>
      <w:r w:rsidR="00A31C1A">
        <w:t xml:space="preserve">as </w:t>
      </w:r>
      <w:r w:rsidR="00C7118B">
        <w:t xml:space="preserve">the </w:t>
      </w:r>
      <w:r w:rsidR="00DF5416">
        <w:t>amount</w:t>
      </w:r>
      <w:r w:rsidR="00C7118B">
        <w:t xml:space="preserve"> of trucks </w:t>
      </w:r>
      <w:r w:rsidR="00DF5416">
        <w:t>accessing</w:t>
      </w:r>
      <w:r w:rsidR="00C7118B">
        <w:t xml:space="preserve"> the terminals.</w:t>
      </w:r>
    </w:p>
    <w:p w:rsidR="00E42743" w:rsidRDefault="004543A8" w:rsidP="00FC2F9D">
      <w:r>
        <w:t xml:space="preserve">The ACCC </w:t>
      </w:r>
      <w:r w:rsidR="00C7118B">
        <w:t>uses productivity and throughput information</w:t>
      </w:r>
      <w:r w:rsidR="00110137">
        <w:t xml:space="preserve"> </w:t>
      </w:r>
      <w:r w:rsidR="00C7118B">
        <w:t>collected by</w:t>
      </w:r>
      <w:r w:rsidR="00110137">
        <w:t xml:space="preserve"> the Bureau of Infrastructure, Transport and Regional Economics (BITRE)</w:t>
      </w:r>
      <w:r w:rsidR="00DA1C30">
        <w:t xml:space="preserve"> </w:t>
      </w:r>
      <w:r w:rsidR="00C7118B">
        <w:t xml:space="preserve">for its </w:t>
      </w:r>
      <w:r w:rsidR="00C7118B" w:rsidRPr="00DF5416">
        <w:rPr>
          <w:i/>
        </w:rPr>
        <w:t>Waterline</w:t>
      </w:r>
      <w:r w:rsidR="00C7118B">
        <w:t xml:space="preserve"> publication series</w:t>
      </w:r>
      <w:r w:rsidR="00E42743">
        <w:t>.</w:t>
      </w:r>
    </w:p>
    <w:p w:rsidR="00FC2F9D" w:rsidRDefault="001A791F" w:rsidP="00FC2F9D">
      <w:pPr>
        <w:pStyle w:val="Numbered11"/>
      </w:pPr>
      <w:bookmarkStart w:id="44" w:name="_Toc433667008"/>
      <w:r>
        <w:t>Quayside</w:t>
      </w:r>
      <w:r w:rsidR="00FC2F9D">
        <w:t xml:space="preserve"> container stevedoring services</w:t>
      </w:r>
      <w:bookmarkEnd w:id="44"/>
    </w:p>
    <w:p w:rsidR="00FC2F9D" w:rsidRDefault="00DF5416" w:rsidP="00FC2F9D">
      <w:r>
        <w:t xml:space="preserve">This section provides information on container volumes through the ports (section 2.2.1) and the stevedores’ productivity in servicing ships (section 2.2.2). </w:t>
      </w:r>
    </w:p>
    <w:p w:rsidR="00FC2F9D" w:rsidRDefault="00790CEA" w:rsidP="00FC2F9D">
      <w:pPr>
        <w:pStyle w:val="Numbered111"/>
      </w:pPr>
      <w:bookmarkStart w:id="45" w:name="_Toc433667009"/>
      <w:r>
        <w:t>V</w:t>
      </w:r>
      <w:r w:rsidR="001A791F">
        <w:t xml:space="preserve">olume and </w:t>
      </w:r>
      <w:r>
        <w:t xml:space="preserve">shares by </w:t>
      </w:r>
      <w:r w:rsidR="001A791F">
        <w:t>port</w:t>
      </w:r>
      <w:bookmarkEnd w:id="45"/>
    </w:p>
    <w:p w:rsidR="00D35BE3" w:rsidRDefault="00E237BC" w:rsidP="00D35BE3">
      <w:r w:rsidRPr="00E237BC">
        <w:t>In 201</w:t>
      </w:r>
      <w:r>
        <w:t>4</w:t>
      </w:r>
      <w:r w:rsidRPr="00E237BC">
        <w:t>–1</w:t>
      </w:r>
      <w:r>
        <w:t>5</w:t>
      </w:r>
      <w:r w:rsidRPr="00E237BC">
        <w:t xml:space="preserve">, total throughput at Australian container ports was </w:t>
      </w:r>
      <w:r w:rsidR="00CF5B64">
        <w:t>7.1</w:t>
      </w:r>
      <w:r w:rsidRPr="00E237BC">
        <w:t xml:space="preserve"> million </w:t>
      </w:r>
      <w:r w:rsidR="00E76E0B">
        <w:t>TEUs</w:t>
      </w:r>
      <w:r w:rsidRPr="00E237BC">
        <w:t xml:space="preserve">, which is low by international standards. By comparison, volumes in </w:t>
      </w:r>
      <w:r w:rsidR="00791388">
        <w:t>Shanghai</w:t>
      </w:r>
      <w:r w:rsidRPr="00E237BC">
        <w:t xml:space="preserve">, the world’s largest container port, were </w:t>
      </w:r>
      <w:r w:rsidR="00791388" w:rsidRPr="00E237BC">
        <w:t>3</w:t>
      </w:r>
      <w:r w:rsidR="00791388">
        <w:t>5</w:t>
      </w:r>
      <w:r w:rsidRPr="00E237BC">
        <w:t>.</w:t>
      </w:r>
      <w:r w:rsidR="00791388">
        <w:t>3</w:t>
      </w:r>
      <w:r w:rsidR="00791388" w:rsidRPr="00E237BC">
        <w:t xml:space="preserve"> </w:t>
      </w:r>
      <w:r w:rsidRPr="00E237BC">
        <w:t xml:space="preserve">million </w:t>
      </w:r>
      <w:r w:rsidR="00E76E0B">
        <w:t>TEUs</w:t>
      </w:r>
      <w:r w:rsidRPr="00E237BC">
        <w:t xml:space="preserve"> in 201</w:t>
      </w:r>
      <w:r w:rsidR="00AC6EA0">
        <w:t>4</w:t>
      </w:r>
      <w:r w:rsidRPr="00E237BC">
        <w:t>.</w:t>
      </w:r>
      <w:r w:rsidR="00E21667">
        <w:rPr>
          <w:rStyle w:val="FootnoteReference"/>
        </w:rPr>
        <w:footnoteReference w:id="93"/>
      </w:r>
      <w:r w:rsidR="00D35BE3" w:rsidRPr="00D35BE3">
        <w:t xml:space="preserve"> </w:t>
      </w:r>
    </w:p>
    <w:p w:rsidR="00D35BE3" w:rsidRDefault="00D35BE3" w:rsidP="00D35BE3">
      <w:r>
        <w:t>Figure 2.1 shows</w:t>
      </w:r>
      <w:r w:rsidRPr="00BF1630">
        <w:t>:</w:t>
      </w:r>
    </w:p>
    <w:p w:rsidR="00D35BE3" w:rsidRDefault="00D35BE3" w:rsidP="00D35BE3">
      <w:pPr>
        <w:pStyle w:val="Bulletpoint"/>
      </w:pPr>
      <w:r>
        <w:t>Total throughput volumes have increased every year since 1998–99, with the exception of 2008–09. The overall decline in throughput in that year was mostly due to the effects and subsequent recovery from the Global Financial Crisis (GFC).</w:t>
      </w:r>
    </w:p>
    <w:p w:rsidR="00D35BE3" w:rsidRDefault="00D35BE3" w:rsidP="00D35BE3">
      <w:pPr>
        <w:pStyle w:val="Bulletpoint"/>
      </w:pPr>
      <w:r>
        <w:t>Before the GFC (between 1998–99 and 2007–08), the average annual growth in throughput was 8.6 per cent. Since then, the national average growth rate in throughput has been substantially lower, at 3.2 per cent.</w:t>
      </w:r>
    </w:p>
    <w:p w:rsidR="00D35BE3" w:rsidRDefault="00D35BE3" w:rsidP="00D35BE3">
      <w:pPr>
        <w:pStyle w:val="Bulletpoint"/>
      </w:pPr>
      <w:r>
        <w:t>In 2014–15, national throughput increased by 2.8 per cent, which was broadly consistent with the national average growth rate in throughput since 2008–09. In 2014–15:</w:t>
      </w:r>
    </w:p>
    <w:p w:rsidR="00D35BE3" w:rsidRDefault="00D35BE3" w:rsidP="00D35BE3">
      <w:pPr>
        <w:pStyle w:val="Bulletpoint2"/>
      </w:pPr>
      <w:r>
        <w:t>Throughput increased at all ports, with the exception of Adelaide which fell by 4.4 per cent due largely to a decline in volumes associated with specific trade areas.</w:t>
      </w:r>
    </w:p>
    <w:p w:rsidR="00D35BE3" w:rsidRDefault="00D35BE3" w:rsidP="00D35BE3">
      <w:pPr>
        <w:pStyle w:val="Bulletpoint2"/>
      </w:pPr>
      <w:r>
        <w:t>The largest increase was in Fremantle (5.8 per cent). Volumes increased by a lesser amount in Sydney and Brisbane (both 3.8 per cent) and Melbourne (1.8 per cent).</w:t>
      </w:r>
    </w:p>
    <w:p w:rsidR="00FC2F9D" w:rsidRDefault="00FC2F9D" w:rsidP="00FC2F9D"/>
    <w:p w:rsidR="00FC2F9D" w:rsidRDefault="00FC2F9D" w:rsidP="00FC2F9D">
      <w:pPr>
        <w:pStyle w:val="Tabletitle"/>
      </w:pPr>
      <w:r>
        <w:t xml:space="preserve">Figure 2.1: Container throughput trends at designated ports, </w:t>
      </w:r>
      <w:r w:rsidR="00D8433D">
        <w:t>1998–99</w:t>
      </w:r>
      <w:r w:rsidR="00A74748">
        <w:t xml:space="preserve"> to </w:t>
      </w:r>
      <w:r w:rsidR="00D8433D">
        <w:t>2014–15</w:t>
      </w:r>
    </w:p>
    <w:p w:rsidR="00A74748" w:rsidRDefault="00E60522" w:rsidP="00A74748">
      <w:r w:rsidRPr="00E60522">
        <w:rPr>
          <w:noProof/>
          <w:lang w:eastAsia="en-AU"/>
        </w:rPr>
        <w:drawing>
          <wp:inline distT="0" distB="0" distL="0" distR="0" wp14:anchorId="08A2AE3B" wp14:editId="6402C7E0">
            <wp:extent cx="5454650" cy="377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54650" cy="3774440"/>
                    </a:xfrm>
                    <a:prstGeom prst="rect">
                      <a:avLst/>
                    </a:prstGeom>
                    <a:noFill/>
                    <a:ln>
                      <a:noFill/>
                    </a:ln>
                  </pic:spPr>
                </pic:pic>
              </a:graphicData>
            </a:graphic>
          </wp:inline>
        </w:drawing>
      </w:r>
    </w:p>
    <w:p w:rsidR="00A74748" w:rsidRDefault="00A74748" w:rsidP="00A74748">
      <w:pPr>
        <w:pStyle w:val="Tabletitle"/>
      </w:pPr>
      <w:r w:rsidRPr="00A74748">
        <w:t>Figure</w:t>
      </w:r>
      <w:r>
        <w:t xml:space="preserve"> 2.2: Container throughput volumes and shares by port, </w:t>
      </w:r>
      <w:r w:rsidR="00D8433D">
        <w:t>2014–15</w:t>
      </w:r>
    </w:p>
    <w:p w:rsidR="00A74748" w:rsidRDefault="00B54CBE" w:rsidP="00A74748">
      <w:r>
        <w:rPr>
          <w:noProof/>
          <w:lang w:eastAsia="en-AU"/>
        </w:rPr>
        <w:drawing>
          <wp:inline distT="0" distB="0" distL="0" distR="0" wp14:anchorId="3DDE21F9" wp14:editId="0DCA292C">
            <wp:extent cx="5457600" cy="37800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5BE3" w:rsidRDefault="00D35BE3" w:rsidP="00D35BE3">
      <w:pPr>
        <w:pStyle w:val="Source"/>
      </w:pPr>
      <w:r>
        <w:t>Source:</w:t>
      </w:r>
      <w:r>
        <w:tab/>
      </w:r>
      <w:r>
        <w:tab/>
      </w:r>
      <w:r w:rsidR="00447DA6">
        <w:t xml:space="preserve">Figures 2.1 and 2.2: </w:t>
      </w:r>
      <w:r>
        <w:t xml:space="preserve">BITRE, </w:t>
      </w:r>
      <w:r w:rsidRPr="007032EB">
        <w:rPr>
          <w:i/>
        </w:rPr>
        <w:t xml:space="preserve">Waterline </w:t>
      </w:r>
      <w:r>
        <w:t xml:space="preserve">(2014–15 from forthcoming publication no 57); </w:t>
      </w:r>
      <w:proofErr w:type="spellStart"/>
      <w:r>
        <w:t>TasPorts</w:t>
      </w:r>
      <w:proofErr w:type="spellEnd"/>
      <w:r>
        <w:t xml:space="preserve"> (Port of Burnie)</w:t>
      </w:r>
    </w:p>
    <w:p w:rsidR="00D35BE3" w:rsidRDefault="00D35BE3" w:rsidP="00D35BE3">
      <w:pPr>
        <w:pStyle w:val="Source"/>
      </w:pPr>
      <w:r>
        <w:t xml:space="preserve">Note: </w:t>
      </w:r>
      <w:r>
        <w:tab/>
      </w:r>
      <w:r>
        <w:tab/>
        <w:t xml:space="preserve">Data in </w:t>
      </w:r>
      <w:r w:rsidRPr="007032EB">
        <w:rPr>
          <w:i/>
        </w:rPr>
        <w:t>Waterline</w:t>
      </w:r>
      <w:r>
        <w:t xml:space="preserve"> includes international and domestic cargo.</w:t>
      </w:r>
    </w:p>
    <w:p w:rsidR="005764D5" w:rsidRDefault="005764D5" w:rsidP="005764D5">
      <w:r>
        <w:t>Figure</w:t>
      </w:r>
      <w:r w:rsidR="00A31C1A">
        <w:t>s 2.1 and</w:t>
      </w:r>
      <w:r>
        <w:t xml:space="preserve"> 2.2 </w:t>
      </w:r>
      <w:r w:rsidR="00447DA6">
        <w:t xml:space="preserve">together </w:t>
      </w:r>
      <w:r>
        <w:t>show:</w:t>
      </w:r>
    </w:p>
    <w:p w:rsidR="005314AA" w:rsidRDefault="005314AA" w:rsidP="005314AA">
      <w:pPr>
        <w:pStyle w:val="Bulletpoint"/>
      </w:pPr>
      <w:r>
        <w:t xml:space="preserve">Melbourne continued to be Australia's largest national container port in 2014–15, processing 2.6 million </w:t>
      </w:r>
      <w:r w:rsidR="00E76E0B">
        <w:t>TEUs</w:t>
      </w:r>
      <w:r>
        <w:t>.</w:t>
      </w:r>
    </w:p>
    <w:p w:rsidR="00BF24D7" w:rsidRPr="00BF24D7" w:rsidRDefault="00BF24D7" w:rsidP="00443A44">
      <w:pPr>
        <w:pStyle w:val="Bulletpoint2"/>
      </w:pPr>
      <w:r w:rsidRPr="00BF24D7">
        <w:t xml:space="preserve">Melbourne’s share of national </w:t>
      </w:r>
      <w:r w:rsidR="00E76E0B">
        <w:t>TEUs</w:t>
      </w:r>
      <w:r w:rsidRPr="00BF24D7">
        <w:t xml:space="preserve"> </w:t>
      </w:r>
      <w:r w:rsidR="00443A44">
        <w:t xml:space="preserve">has </w:t>
      </w:r>
      <w:r w:rsidRPr="00BF24D7">
        <w:t xml:space="preserve">declined </w:t>
      </w:r>
      <w:r w:rsidR="00D179D5">
        <w:t xml:space="preserve">since </w:t>
      </w:r>
      <w:r w:rsidR="00D8433D">
        <w:t>1998–99</w:t>
      </w:r>
      <w:r w:rsidR="00D179D5">
        <w:t xml:space="preserve">, </w:t>
      </w:r>
      <w:r w:rsidRPr="00BF24D7">
        <w:t xml:space="preserve">from 39.0 per cent </w:t>
      </w:r>
      <w:r w:rsidR="00D179D5">
        <w:t xml:space="preserve">to 36.2 per cent in </w:t>
      </w:r>
      <w:r w:rsidR="00D8433D">
        <w:t>2014–15</w:t>
      </w:r>
      <w:r w:rsidRPr="00BF24D7">
        <w:t>.</w:t>
      </w:r>
    </w:p>
    <w:p w:rsidR="00A74748" w:rsidRDefault="005314AA" w:rsidP="005314AA">
      <w:pPr>
        <w:pStyle w:val="Bulletpoint"/>
      </w:pPr>
      <w:r>
        <w:t xml:space="preserve">Sydney </w:t>
      </w:r>
      <w:r w:rsidR="00443A44">
        <w:t>continued to be</w:t>
      </w:r>
      <w:r>
        <w:t xml:space="preserve"> </w:t>
      </w:r>
      <w:r w:rsidR="00D179D5">
        <w:t>Australia’s</w:t>
      </w:r>
      <w:r>
        <w:t xml:space="preserve"> second-largest container port, with 2.3 million </w:t>
      </w:r>
      <w:r w:rsidR="00E76E0B">
        <w:t>TEUs</w:t>
      </w:r>
      <w:r>
        <w:t xml:space="preserve"> processed</w:t>
      </w:r>
      <w:r w:rsidR="00443A44" w:rsidRPr="00443A44">
        <w:t xml:space="preserve"> </w:t>
      </w:r>
      <w:r w:rsidR="00443A44">
        <w:t xml:space="preserve">in </w:t>
      </w:r>
      <w:r w:rsidR="00D8433D">
        <w:t>2014–15</w:t>
      </w:r>
      <w:r w:rsidR="00BF24D7">
        <w:t xml:space="preserve">. </w:t>
      </w:r>
    </w:p>
    <w:p w:rsidR="00BF24D7" w:rsidRDefault="00443A44" w:rsidP="00443A44">
      <w:pPr>
        <w:pStyle w:val="Bulletpoint2"/>
      </w:pPr>
      <w:r>
        <w:t>Since</w:t>
      </w:r>
      <w:r w:rsidR="00BF24D7" w:rsidRPr="00BF24D7">
        <w:t xml:space="preserve"> 1998–99, Sydney’s share of national </w:t>
      </w:r>
      <w:r w:rsidR="00E76E0B">
        <w:t>TEUs</w:t>
      </w:r>
      <w:r>
        <w:t xml:space="preserve"> has </w:t>
      </w:r>
      <w:r w:rsidR="00BF24D7" w:rsidRPr="00BF24D7">
        <w:t xml:space="preserve">increased from 30.6 per </w:t>
      </w:r>
      <w:r w:rsidR="00BF24D7">
        <w:t>cent</w:t>
      </w:r>
      <w:r>
        <w:t xml:space="preserve"> to 32.2 per cent</w:t>
      </w:r>
      <w:r w:rsidR="00BF24D7" w:rsidRPr="00BF24D7">
        <w:t>.</w:t>
      </w:r>
      <w:r w:rsidRPr="00443A44">
        <w:t xml:space="preserve"> </w:t>
      </w:r>
      <w:r>
        <w:t xml:space="preserve">This is </w:t>
      </w:r>
      <w:r w:rsidRPr="00BF24D7">
        <w:t xml:space="preserve">its highest share </w:t>
      </w:r>
      <w:r w:rsidR="00D179D5">
        <w:t>over</w:t>
      </w:r>
      <w:r w:rsidRPr="00BF24D7">
        <w:t xml:space="preserve"> the hi</w:t>
      </w:r>
      <w:r>
        <w:t>story of the monitoring program.</w:t>
      </w:r>
    </w:p>
    <w:p w:rsidR="00BF24D7" w:rsidRDefault="00BF24D7">
      <w:pPr>
        <w:pStyle w:val="Bulletpoint"/>
      </w:pPr>
      <w:r>
        <w:t xml:space="preserve">Brisbane </w:t>
      </w:r>
      <w:r w:rsidR="00D179D5">
        <w:t>was</w:t>
      </w:r>
      <w:r>
        <w:t xml:space="preserve"> the third-largest </w:t>
      </w:r>
      <w:r w:rsidR="00443A44">
        <w:t xml:space="preserve">port in terms of </w:t>
      </w:r>
      <w:r w:rsidR="00D179D5">
        <w:t xml:space="preserve">container </w:t>
      </w:r>
      <w:r w:rsidR="00443A44">
        <w:t>volumes</w:t>
      </w:r>
      <w:r>
        <w:t>,</w:t>
      </w:r>
      <w:r w:rsidRPr="00BF24D7">
        <w:t xml:space="preserve"> </w:t>
      </w:r>
      <w:r>
        <w:t xml:space="preserve">processing 1.1 million </w:t>
      </w:r>
      <w:r w:rsidR="00E76E0B">
        <w:t>TEUs</w:t>
      </w:r>
      <w:r w:rsidR="00D179D5">
        <w:t xml:space="preserve"> in </w:t>
      </w:r>
      <w:r w:rsidR="00D8433D">
        <w:t>2014–15</w:t>
      </w:r>
      <w:r>
        <w:t>.</w:t>
      </w:r>
    </w:p>
    <w:p w:rsidR="00BF24D7" w:rsidRDefault="00BF24D7" w:rsidP="00443A44">
      <w:pPr>
        <w:pStyle w:val="Bulletpoint2"/>
      </w:pPr>
      <w:r w:rsidRPr="00BF24D7">
        <w:t>Brisbane’s share</w:t>
      </w:r>
      <w:r w:rsidR="00443A44">
        <w:t xml:space="preserve"> of national </w:t>
      </w:r>
      <w:r w:rsidR="00E76E0B">
        <w:t>TEUs</w:t>
      </w:r>
      <w:r w:rsidRPr="00BF24D7">
        <w:t xml:space="preserve"> </w:t>
      </w:r>
      <w:r w:rsidR="009179E9">
        <w:t xml:space="preserve">has </w:t>
      </w:r>
      <w:r w:rsidRPr="00BF24D7">
        <w:t xml:space="preserve">increased </w:t>
      </w:r>
      <w:r w:rsidR="00D179D5">
        <w:t xml:space="preserve">since </w:t>
      </w:r>
      <w:r w:rsidR="00D8433D">
        <w:t>1998–99</w:t>
      </w:r>
      <w:r w:rsidR="00D179D5">
        <w:t xml:space="preserve">, </w:t>
      </w:r>
      <w:r w:rsidR="009179E9" w:rsidRPr="00BF24D7">
        <w:t>from 12.5 per cent</w:t>
      </w:r>
      <w:r w:rsidR="009179E9">
        <w:t xml:space="preserve"> </w:t>
      </w:r>
      <w:r w:rsidR="00443A44">
        <w:t>to 16.0 per cent</w:t>
      </w:r>
      <w:r w:rsidRPr="00BF24D7">
        <w:t>.</w:t>
      </w:r>
    </w:p>
    <w:p w:rsidR="00D00CA6" w:rsidRDefault="00D00CA6" w:rsidP="00D00CA6">
      <w:pPr>
        <w:pStyle w:val="Bulletpoint"/>
      </w:pPr>
      <w:r>
        <w:t xml:space="preserve">Fremantle was </w:t>
      </w:r>
      <w:r w:rsidR="00443A44">
        <w:t>Australia’s</w:t>
      </w:r>
      <w:r>
        <w:t xml:space="preserve"> fourth-</w:t>
      </w:r>
      <w:r w:rsidR="004A7CCA">
        <w:t xml:space="preserve">largest container port, </w:t>
      </w:r>
      <w:r w:rsidR="00443A44">
        <w:t>process</w:t>
      </w:r>
      <w:r w:rsidR="00D179D5">
        <w:t>ing</w:t>
      </w:r>
      <w:r w:rsidR="00443A44">
        <w:t xml:space="preserve"> </w:t>
      </w:r>
      <w:r w:rsidR="00D179D5">
        <w:t>743</w:t>
      </w:r>
      <w:r w:rsidR="000B4DC8">
        <w:t xml:space="preserve"> </w:t>
      </w:r>
      <w:r w:rsidR="00D179D5">
        <w:t xml:space="preserve">600 </w:t>
      </w:r>
      <w:r w:rsidR="00E76E0B">
        <w:t>TEUs</w:t>
      </w:r>
      <w:r w:rsidR="00D179D5">
        <w:t xml:space="preserve"> </w:t>
      </w:r>
      <w:r w:rsidR="00443A44">
        <w:t xml:space="preserve">in </w:t>
      </w:r>
      <w:r w:rsidR="00D8433D">
        <w:t>2014–15</w:t>
      </w:r>
      <w:r w:rsidR="00443A44">
        <w:t>.</w:t>
      </w:r>
    </w:p>
    <w:p w:rsidR="00D00CA6" w:rsidRDefault="004A7CCA" w:rsidP="00D00CA6">
      <w:pPr>
        <w:pStyle w:val="Bulletpoint2"/>
      </w:pPr>
      <w:r>
        <w:t>Fremantle’s share</w:t>
      </w:r>
      <w:r w:rsidR="00443A44">
        <w:t xml:space="preserve"> of national </w:t>
      </w:r>
      <w:r w:rsidR="00E76E0B">
        <w:t>TEUs</w:t>
      </w:r>
      <w:r w:rsidR="00443A44">
        <w:t xml:space="preserve"> has increased f</w:t>
      </w:r>
      <w:r w:rsidR="008930CC">
        <w:t xml:space="preserve">rom 9.6 per cent in </w:t>
      </w:r>
      <w:r w:rsidR="00D00CA6" w:rsidRPr="00BF24D7">
        <w:t>1998–99</w:t>
      </w:r>
      <w:r w:rsidR="00443A44">
        <w:t xml:space="preserve"> to 10.4 per cent</w:t>
      </w:r>
      <w:r w:rsidR="00D00CA6" w:rsidRPr="00BF24D7">
        <w:t>.</w:t>
      </w:r>
    </w:p>
    <w:p w:rsidR="00D00CA6" w:rsidRDefault="008930CC" w:rsidP="00D00CA6">
      <w:pPr>
        <w:pStyle w:val="Bulletpoint"/>
      </w:pPr>
      <w:r>
        <w:t>Adelaide</w:t>
      </w:r>
      <w:r w:rsidR="00D00CA6">
        <w:t xml:space="preserve"> had the </w:t>
      </w:r>
      <w:r w:rsidR="003E41AD">
        <w:t>low</w:t>
      </w:r>
      <w:r w:rsidR="002E7381">
        <w:t xml:space="preserve">est </w:t>
      </w:r>
      <w:r w:rsidR="00D00CA6">
        <w:t>throughput</w:t>
      </w:r>
      <w:r w:rsidR="00443A44">
        <w:t xml:space="preserve"> in </w:t>
      </w:r>
      <w:r w:rsidR="00D8433D">
        <w:t>2014–15</w:t>
      </w:r>
      <w:r w:rsidR="00D00CA6">
        <w:t>,</w:t>
      </w:r>
      <w:r w:rsidR="00D00CA6" w:rsidRPr="00BF24D7">
        <w:t xml:space="preserve"> </w:t>
      </w:r>
      <w:r w:rsidR="00D00CA6">
        <w:t xml:space="preserve">processing </w:t>
      </w:r>
      <w:r w:rsidR="00D179D5">
        <w:t>365</w:t>
      </w:r>
      <w:r w:rsidR="000B4DC8">
        <w:t xml:space="preserve"> </w:t>
      </w:r>
      <w:r w:rsidR="00D179D5">
        <w:t>900</w:t>
      </w:r>
      <w:r w:rsidR="00D00CA6">
        <w:t xml:space="preserve"> </w:t>
      </w:r>
      <w:r w:rsidR="00E76E0B">
        <w:t>TEUs</w:t>
      </w:r>
      <w:r w:rsidR="00D179D5">
        <w:t>.</w:t>
      </w:r>
    </w:p>
    <w:p w:rsidR="00D00CA6" w:rsidRDefault="00702E24" w:rsidP="00443A44">
      <w:pPr>
        <w:pStyle w:val="Bulletpoint2"/>
      </w:pPr>
      <w:r>
        <w:t xml:space="preserve">Since </w:t>
      </w:r>
      <w:r w:rsidR="00D8433D">
        <w:t>1998–99</w:t>
      </w:r>
      <w:r w:rsidR="00D179D5">
        <w:t>,</w:t>
      </w:r>
      <w:r w:rsidRPr="00BF24D7">
        <w:t xml:space="preserve"> </w:t>
      </w:r>
      <w:r>
        <w:t>Adelaide</w:t>
      </w:r>
      <w:r w:rsidR="00D00CA6" w:rsidRPr="00BF24D7">
        <w:t xml:space="preserve">’s share </w:t>
      </w:r>
      <w:r w:rsidR="00D179D5">
        <w:t xml:space="preserve">of national volumes </w:t>
      </w:r>
      <w:r>
        <w:t xml:space="preserve">has </w:t>
      </w:r>
      <w:r w:rsidR="00D00CA6" w:rsidRPr="00BF24D7">
        <w:t xml:space="preserve">increased </w:t>
      </w:r>
      <w:r w:rsidR="007407C1">
        <w:t>from 4.2</w:t>
      </w:r>
      <w:r w:rsidR="00D00CA6" w:rsidRPr="00BF24D7">
        <w:t xml:space="preserve"> per cent</w:t>
      </w:r>
      <w:r w:rsidR="00D179D5">
        <w:t xml:space="preserve"> to 5.1 per cent</w:t>
      </w:r>
      <w:r w:rsidR="00D00CA6" w:rsidRPr="00BF24D7">
        <w:t>.</w:t>
      </w:r>
    </w:p>
    <w:p w:rsidR="00A74748" w:rsidRDefault="00A74748" w:rsidP="00A74748">
      <w:pPr>
        <w:pStyle w:val="Numbered111"/>
      </w:pPr>
      <w:bookmarkStart w:id="46" w:name="_Toc433667010"/>
      <w:r>
        <w:t>Productivity trends in quayside stevedoring</w:t>
      </w:r>
      <w:bookmarkEnd w:id="46"/>
      <w:r>
        <w:t xml:space="preserve"> </w:t>
      </w:r>
    </w:p>
    <w:p w:rsidR="00B05E4A" w:rsidRDefault="00B05E4A" w:rsidP="00B05E4A">
      <w:r>
        <w:t>BITRE reports on changes in capital and labour productivity in container stevedoring operations in the five mainland ports. The three key indicators of quayside productivity are: net crane rate; elapsed labour rate; and ship rate. These are defined below:</w:t>
      </w:r>
    </w:p>
    <w:p w:rsidR="00B05E4A" w:rsidRDefault="00B05E4A" w:rsidP="00B05E4A">
      <w:pPr>
        <w:pStyle w:val="Bulletpoint"/>
      </w:pPr>
      <w:r w:rsidRPr="00D179D5">
        <w:rPr>
          <w:i/>
        </w:rPr>
        <w:t>Net crane rate</w:t>
      </w:r>
      <w:r w:rsidR="007A6153">
        <w:t>—</w:t>
      </w:r>
      <w:r>
        <w:t>this is a broad indicator of capital productivity and reflects the intensity to which quay cranes are worked and measures the number of containers</w:t>
      </w:r>
      <w:r w:rsidR="001A03AF">
        <w:t xml:space="preserve"> or </w:t>
      </w:r>
      <w:r w:rsidR="00E76E0B">
        <w:t>TEUs</w:t>
      </w:r>
      <w:r>
        <w:t xml:space="preserve"> exchanged per crane hour whil</w:t>
      </w:r>
      <w:r w:rsidR="00582A91">
        <w:t>e that quay crane is operating.</w:t>
      </w:r>
      <w:r w:rsidR="00582A91">
        <w:rPr>
          <w:rStyle w:val="FootnoteReference"/>
        </w:rPr>
        <w:footnoteReference w:id="94"/>
      </w:r>
    </w:p>
    <w:p w:rsidR="00B05E4A" w:rsidRDefault="00B05E4A" w:rsidP="00B05E4A">
      <w:pPr>
        <w:pStyle w:val="Bulletpoint"/>
      </w:pPr>
      <w:r w:rsidRPr="00D179D5">
        <w:rPr>
          <w:i/>
        </w:rPr>
        <w:t>Elapsed labour rate</w:t>
      </w:r>
      <w:r w:rsidR="007A6153">
        <w:t>—</w:t>
      </w:r>
      <w:r>
        <w:t>this is a broad indicator of labour productivity and measures the number of containers</w:t>
      </w:r>
      <w:r w:rsidR="001A03AF">
        <w:t xml:space="preserve"> or </w:t>
      </w:r>
      <w:r w:rsidR="00E76E0B">
        <w:t>TEUs</w:t>
      </w:r>
      <w:r>
        <w:t xml:space="preserve"> exchanged for the period of time </w:t>
      </w:r>
      <w:r w:rsidR="00582A91">
        <w:t>that labour is aboard the ship.</w:t>
      </w:r>
      <w:r w:rsidR="00D20B8C">
        <w:rPr>
          <w:rStyle w:val="FootnoteReference"/>
        </w:rPr>
        <w:footnoteReference w:id="95"/>
      </w:r>
    </w:p>
    <w:p w:rsidR="00B05E4A" w:rsidRDefault="00B05E4A" w:rsidP="00B05E4A">
      <w:pPr>
        <w:pStyle w:val="Bulletpoint"/>
      </w:pPr>
      <w:r w:rsidRPr="00D179D5">
        <w:rPr>
          <w:i/>
        </w:rPr>
        <w:t>Ship rate</w:t>
      </w:r>
      <w:r w:rsidR="007A6153">
        <w:t>—</w:t>
      </w:r>
      <w:r>
        <w:t xml:space="preserve">this reflects the productivity of labour and capital while the ship is being worked by measuring the </w:t>
      </w:r>
      <w:r w:rsidR="006034F8">
        <w:t xml:space="preserve">average </w:t>
      </w:r>
      <w:r>
        <w:t>number of containers</w:t>
      </w:r>
      <w:r w:rsidR="001A03AF">
        <w:t xml:space="preserve"> or </w:t>
      </w:r>
      <w:r w:rsidR="00E76E0B">
        <w:t>TEUs</w:t>
      </w:r>
      <w:r>
        <w:t xml:space="preserve"> exchanged</w:t>
      </w:r>
      <w:r w:rsidR="001A03AF">
        <w:t xml:space="preserve"> in an hour</w:t>
      </w:r>
      <w:r w:rsidR="00D20B8C">
        <w:t>.</w:t>
      </w:r>
      <w:r w:rsidR="00D20B8C">
        <w:rPr>
          <w:rStyle w:val="FootnoteReference"/>
        </w:rPr>
        <w:footnoteReference w:id="96"/>
      </w:r>
    </w:p>
    <w:p w:rsidR="00B05E4A" w:rsidRDefault="00B05E4A" w:rsidP="00B05E4A">
      <w:r>
        <w:t>These indicators measure the productivity of capital and labour that are allocated to working ships. They therefore do not measure amounts of spare capacity</w:t>
      </w:r>
      <w:r w:rsidR="007A6153">
        <w:t>—</w:t>
      </w:r>
      <w:r>
        <w:t>the amount of labour and capital that is available but not actively working a ship.</w:t>
      </w:r>
    </w:p>
    <w:p w:rsidR="00A74748" w:rsidRDefault="00B05E4A" w:rsidP="00B05E4A">
      <w:r>
        <w:t xml:space="preserve">Quayside productivity trends measuring containers per hour and </w:t>
      </w:r>
      <w:r w:rsidR="00E76E0B">
        <w:t>TEUs</w:t>
      </w:r>
      <w:r>
        <w:t xml:space="preserve"> per hour are shown in figures 2.</w:t>
      </w:r>
      <w:r w:rsidR="00BA320F">
        <w:t>3</w:t>
      </w:r>
      <w:r>
        <w:t xml:space="preserve"> and 2</w:t>
      </w:r>
      <w:r w:rsidR="0041484C">
        <w:t>.</w:t>
      </w:r>
      <w:r w:rsidR="00BA320F">
        <w:t>4</w:t>
      </w:r>
      <w:r>
        <w:t xml:space="preserve"> respectively.</w:t>
      </w:r>
    </w:p>
    <w:p w:rsidR="00A74748" w:rsidRDefault="00A74748" w:rsidP="00A74748">
      <w:pPr>
        <w:pStyle w:val="Tabletitle"/>
      </w:pPr>
      <w:r>
        <w:t>Figure 2.</w:t>
      </w:r>
      <w:r w:rsidR="00BA320F">
        <w:t>3</w:t>
      </w:r>
      <w:r>
        <w:t>: Productivity indicators (containers/hour), quarterly five-port average</w:t>
      </w:r>
      <w:r w:rsidR="00834154">
        <w:t>, Dec</w:t>
      </w:r>
      <w:r w:rsidR="003B5AAD">
        <w:t> </w:t>
      </w:r>
      <w:r w:rsidR="00834154">
        <w:t>1995 to Jun 2015</w:t>
      </w:r>
    </w:p>
    <w:p w:rsidR="00A74748" w:rsidRDefault="00D0516C" w:rsidP="00A74748">
      <w:r w:rsidRPr="00D0516C">
        <w:rPr>
          <w:noProof/>
          <w:lang w:eastAsia="en-AU"/>
        </w:rPr>
        <w:drawing>
          <wp:inline distT="0" distB="0" distL="0" distR="0" wp14:anchorId="1F48258B" wp14:editId="2DD5148C">
            <wp:extent cx="5457825" cy="395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57825" cy="3952875"/>
                    </a:xfrm>
                    <a:prstGeom prst="rect">
                      <a:avLst/>
                    </a:prstGeom>
                    <a:noFill/>
                    <a:ln>
                      <a:noFill/>
                    </a:ln>
                  </pic:spPr>
                </pic:pic>
              </a:graphicData>
            </a:graphic>
          </wp:inline>
        </w:drawing>
      </w:r>
    </w:p>
    <w:p w:rsidR="00834154" w:rsidRDefault="00834154" w:rsidP="00554A2D">
      <w:pPr>
        <w:pStyle w:val="Source"/>
        <w:ind w:left="1020" w:hanging="1020"/>
      </w:pPr>
      <w:r w:rsidRPr="00834154">
        <w:t>Source:</w:t>
      </w:r>
      <w:r w:rsidRPr="00834154">
        <w:tab/>
        <w:t xml:space="preserve">BITRE, </w:t>
      </w:r>
      <w:r w:rsidRPr="00554A2D">
        <w:rPr>
          <w:i/>
        </w:rPr>
        <w:t>Waterline</w:t>
      </w:r>
      <w:r w:rsidRPr="00834154">
        <w:t xml:space="preserve"> (2014–15 from forthcoming publication no 57), ‘Averages for ports of Brisbane, Sydney, Mel</w:t>
      </w:r>
      <w:r w:rsidR="00993707">
        <w:t>bourne, Adelaide and Fremantle’</w:t>
      </w:r>
    </w:p>
    <w:p w:rsidR="00993707" w:rsidRDefault="00993707" w:rsidP="00554A2D">
      <w:pPr>
        <w:pStyle w:val="Source"/>
        <w:ind w:left="1020" w:hanging="1020"/>
      </w:pPr>
      <w:r>
        <w:t>Note:</w:t>
      </w:r>
      <w:r>
        <w:tab/>
      </w:r>
      <w:r w:rsidRPr="00993707">
        <w:t xml:space="preserve">Data for the ELR in the December quarter 1996 is not available due to the absence of Sydney’s data. See BITRE </w:t>
      </w:r>
      <w:r w:rsidRPr="00554A2D">
        <w:rPr>
          <w:i/>
        </w:rPr>
        <w:t>Waterline</w:t>
      </w:r>
      <w:r w:rsidRPr="00993707">
        <w:t xml:space="preserve"> issue</w:t>
      </w:r>
      <w:r w:rsidR="003B5AAD">
        <w:t>s</w:t>
      </w:r>
      <w:r w:rsidRPr="00993707">
        <w:t xml:space="preserve"> no</w:t>
      </w:r>
      <w:r w:rsidR="0025428F">
        <w:t xml:space="preserve"> </w:t>
      </w:r>
      <w:r w:rsidRPr="00993707">
        <w:t>10 and 11.</w:t>
      </w:r>
    </w:p>
    <w:p w:rsidR="00A74748" w:rsidRDefault="00A74748" w:rsidP="00A74748">
      <w:pPr>
        <w:pStyle w:val="Tabletitle"/>
      </w:pPr>
      <w:r>
        <w:t>Figure 2.</w:t>
      </w:r>
      <w:r w:rsidR="00BA320F">
        <w:t>4</w:t>
      </w:r>
      <w:r>
        <w:t>: Productivity indicators (</w:t>
      </w:r>
      <w:r w:rsidR="00E76E0B">
        <w:t>TEUs</w:t>
      </w:r>
      <w:r>
        <w:t>/hour), quarterly five-port average</w:t>
      </w:r>
      <w:r w:rsidR="00834154">
        <w:t>, Mar 1992 to Jun 2015</w:t>
      </w:r>
    </w:p>
    <w:p w:rsidR="00A74748" w:rsidRDefault="00FE2BAE" w:rsidP="00A74748">
      <w:r w:rsidRPr="00FE2BAE">
        <w:rPr>
          <w:noProof/>
          <w:lang w:eastAsia="en-AU"/>
        </w:rPr>
        <w:drawing>
          <wp:inline distT="0" distB="0" distL="0" distR="0" wp14:anchorId="62820A89" wp14:editId="31DB1525">
            <wp:extent cx="5731510" cy="3540839"/>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540839"/>
                    </a:xfrm>
                    <a:prstGeom prst="rect">
                      <a:avLst/>
                    </a:prstGeom>
                    <a:noFill/>
                    <a:ln>
                      <a:noFill/>
                    </a:ln>
                  </pic:spPr>
                </pic:pic>
              </a:graphicData>
            </a:graphic>
          </wp:inline>
        </w:drawing>
      </w:r>
    </w:p>
    <w:p w:rsidR="005E4119" w:rsidRDefault="005E4119" w:rsidP="005E4119">
      <w:pPr>
        <w:pStyle w:val="Source"/>
        <w:ind w:left="1020" w:hanging="1020"/>
      </w:pPr>
      <w:r>
        <w:t>Source:</w:t>
      </w:r>
      <w:r>
        <w:tab/>
      </w:r>
      <w:r w:rsidRPr="006460C5">
        <w:t xml:space="preserve">BITRE, </w:t>
      </w:r>
      <w:r w:rsidRPr="00006CAF">
        <w:rPr>
          <w:i/>
        </w:rPr>
        <w:t>Waterline</w:t>
      </w:r>
      <w:r w:rsidRPr="006460C5">
        <w:t xml:space="preserve"> (201</w:t>
      </w:r>
      <w:r>
        <w:t>4</w:t>
      </w:r>
      <w:r w:rsidRPr="006460C5">
        <w:t>–1</w:t>
      </w:r>
      <w:r>
        <w:t>5</w:t>
      </w:r>
      <w:r w:rsidRPr="006460C5">
        <w:t xml:space="preserve"> from forthcoming publication no 5</w:t>
      </w:r>
      <w:r>
        <w:t>7</w:t>
      </w:r>
      <w:r w:rsidRPr="006460C5">
        <w:t>), ‘Averages for ports of Brisbane, Sydney, Melbourne, Adelaide and Fremantle’</w:t>
      </w:r>
    </w:p>
    <w:p w:rsidR="00993707" w:rsidRDefault="00993707" w:rsidP="00D60C8F">
      <w:pPr>
        <w:pStyle w:val="Source"/>
        <w:ind w:left="1020" w:hanging="1020"/>
      </w:pPr>
      <w:r>
        <w:t>Note</w:t>
      </w:r>
      <w:r w:rsidR="00D60C8F">
        <w:t>s</w:t>
      </w:r>
      <w:r>
        <w:t>:</w:t>
      </w:r>
      <w:r>
        <w:tab/>
      </w:r>
      <w:r w:rsidR="00D60C8F">
        <w:t xml:space="preserve">Data for all three measures are not available for December 1992 to June 1993 as these periods occurred between the cessation of the Waterfront Industry Reform Authority monitoring and the commencement of the BITRE </w:t>
      </w:r>
      <w:r w:rsidR="00D60C8F" w:rsidRPr="00554A2D">
        <w:rPr>
          <w:i/>
        </w:rPr>
        <w:t>Waterline</w:t>
      </w:r>
      <w:r w:rsidR="00D60C8F">
        <w:t xml:space="preserve"> publication series (see BITRE </w:t>
      </w:r>
      <w:r w:rsidR="00D60C8F" w:rsidRPr="00554A2D">
        <w:rPr>
          <w:i/>
        </w:rPr>
        <w:t>Waterline</w:t>
      </w:r>
      <w:r w:rsidR="00D60C8F">
        <w:t xml:space="preserve"> issue no</w:t>
      </w:r>
      <w:r w:rsidR="0025428F">
        <w:t xml:space="preserve"> </w:t>
      </w:r>
      <w:r w:rsidR="00D60C8F">
        <w:t>1).</w:t>
      </w:r>
      <w:r w:rsidR="00D60C8F">
        <w:br/>
        <w:t xml:space="preserve">Data for the five-port ELR is not available for December 1996 and March 1998 to June 1999 due the absence of individual container ports’ data (see BITRE </w:t>
      </w:r>
      <w:r w:rsidR="00D60C8F" w:rsidRPr="00554A2D">
        <w:rPr>
          <w:i/>
        </w:rPr>
        <w:t>Waterline</w:t>
      </w:r>
      <w:r w:rsidR="00D60C8F">
        <w:t xml:space="preserve"> </w:t>
      </w:r>
      <w:r w:rsidR="003B5AAD">
        <w:t xml:space="preserve">issues </w:t>
      </w:r>
      <w:r w:rsidR="00D60C8F">
        <w:t>no</w:t>
      </w:r>
      <w:r w:rsidR="0025428F">
        <w:t xml:space="preserve"> </w:t>
      </w:r>
      <w:r w:rsidR="00D60C8F">
        <w:t>10 and 21</w:t>
      </w:r>
      <w:r w:rsidR="00986B44">
        <w:t>)</w:t>
      </w:r>
      <w:r w:rsidR="00D60C8F">
        <w:t>.</w:t>
      </w:r>
    </w:p>
    <w:p w:rsidR="0013414C" w:rsidRDefault="0013414C" w:rsidP="0013414C">
      <w:r>
        <w:t>Movements in the key productivity indicators shown in figures 2.</w:t>
      </w:r>
      <w:r w:rsidR="00BA320F">
        <w:t>3</w:t>
      </w:r>
      <w:r>
        <w:t xml:space="preserve"> and 2.</w:t>
      </w:r>
      <w:r w:rsidR="00BA320F">
        <w:t>4</w:t>
      </w:r>
      <w:r>
        <w:t xml:space="preserve"> show that:</w:t>
      </w:r>
    </w:p>
    <w:p w:rsidR="0013414C" w:rsidRDefault="0013414C" w:rsidP="008262BE">
      <w:pPr>
        <w:pStyle w:val="Bulletpoint"/>
      </w:pPr>
      <w:r>
        <w:t xml:space="preserve">The five-port average annualised </w:t>
      </w:r>
      <w:r w:rsidRPr="009E01AF">
        <w:rPr>
          <w:b/>
        </w:rPr>
        <w:t>net crane rate</w:t>
      </w:r>
      <w:r>
        <w:t xml:space="preserve">, measured in terms of containers per hour, </w:t>
      </w:r>
      <w:r w:rsidR="00733C52">
        <w:t xml:space="preserve">decreased marginally from </w:t>
      </w:r>
      <w:r w:rsidR="0056714E">
        <w:t>30.8</w:t>
      </w:r>
      <w:r w:rsidR="00142311">
        <w:t xml:space="preserve"> containers per hour</w:t>
      </w:r>
      <w:r w:rsidR="0056714E">
        <w:t xml:space="preserve"> </w:t>
      </w:r>
      <w:r>
        <w:t xml:space="preserve">in </w:t>
      </w:r>
      <w:r w:rsidR="00D8433D">
        <w:t>2013–14</w:t>
      </w:r>
      <w:r w:rsidR="0056714E">
        <w:t xml:space="preserve"> to 30.6 in </w:t>
      </w:r>
      <w:r w:rsidR="00554A2D">
        <w:fldChar w:fldCharType="begin"/>
      </w:r>
      <w:r w:rsidR="00554A2D">
        <w:instrText xml:space="preserve"> EQ 2014–15. </w:instrText>
      </w:r>
      <w:r w:rsidR="00554A2D">
        <w:fldChar w:fldCharType="end"/>
      </w:r>
      <w:r>
        <w:t xml:space="preserve">Measured on the basis of </w:t>
      </w:r>
      <w:r w:rsidR="00E76E0B">
        <w:t>TEUs</w:t>
      </w:r>
      <w:r>
        <w:t xml:space="preserve"> per hour</w:t>
      </w:r>
      <w:r w:rsidR="00344653">
        <w:t>,</w:t>
      </w:r>
      <w:r>
        <w:t xml:space="preserve"> it </w:t>
      </w:r>
      <w:r w:rsidR="005C4F6D">
        <w:t>was unchanged at 45.8</w:t>
      </w:r>
      <w:r w:rsidR="00733C52" w:rsidRPr="00733C52">
        <w:t xml:space="preserve"> </w:t>
      </w:r>
      <w:r w:rsidR="008319E0">
        <w:t xml:space="preserve">TEUs </w:t>
      </w:r>
      <w:r w:rsidR="00733C52">
        <w:t>per hour</w:t>
      </w:r>
      <w:r>
        <w:t xml:space="preserve">. </w:t>
      </w:r>
      <w:r w:rsidR="00506FAC">
        <w:t>Overall, t</w:t>
      </w:r>
      <w:r>
        <w:t>his measure of productivity has been im</w:t>
      </w:r>
      <w:r w:rsidR="00577194">
        <w:t>proving over time.</w:t>
      </w:r>
    </w:p>
    <w:p w:rsidR="00577194" w:rsidRDefault="00577194" w:rsidP="00474AC3">
      <w:pPr>
        <w:pStyle w:val="Bulletpoint"/>
      </w:pPr>
      <w:r>
        <w:t xml:space="preserve">The five-port average </w:t>
      </w:r>
      <w:r w:rsidRPr="009E01AF">
        <w:rPr>
          <w:b/>
        </w:rPr>
        <w:t>elapsed labour rate</w:t>
      </w:r>
      <w:r w:rsidR="00344653" w:rsidRPr="00554A2D">
        <w:t>,</w:t>
      </w:r>
      <w:r>
        <w:t xml:space="preserve"> measured on the basis of containers and </w:t>
      </w:r>
      <w:r w:rsidR="00E76E0B">
        <w:t>TEUs</w:t>
      </w:r>
      <w:r>
        <w:t xml:space="preserve"> per hour, also decreased slightly</w:t>
      </w:r>
      <w:r w:rsidR="00856FC4">
        <w:t xml:space="preserve"> </w:t>
      </w:r>
      <w:r>
        <w:t>in 2014–15</w:t>
      </w:r>
      <w:r w:rsidR="00733C52">
        <w:t xml:space="preserve"> from </w:t>
      </w:r>
      <w:r w:rsidR="00A53F7A">
        <w:t>45.6 to 45.3 containers per hour</w:t>
      </w:r>
      <w:r>
        <w:t xml:space="preserve">. Despite this, </w:t>
      </w:r>
      <w:r w:rsidR="009E01AF">
        <w:t xml:space="preserve">in </w:t>
      </w:r>
      <w:r w:rsidR="00D8433D">
        <w:t>2014–15</w:t>
      </w:r>
      <w:r w:rsidR="009E01AF">
        <w:t xml:space="preserve"> </w:t>
      </w:r>
      <w:r>
        <w:t>this measure was at its second-highest level since the ACCC’s monitoring began. The long</w:t>
      </w:r>
      <w:r w:rsidR="0055370A">
        <w:t xml:space="preserve"> </w:t>
      </w:r>
      <w:r>
        <w:t xml:space="preserve">term improvement is </w:t>
      </w:r>
      <w:r w:rsidR="00474AC3">
        <w:t xml:space="preserve">likely to be </w:t>
      </w:r>
      <w:r>
        <w:t xml:space="preserve">partly due to </w:t>
      </w:r>
      <w:r w:rsidR="00474AC3" w:rsidRPr="00474AC3">
        <w:t>moves to more flexible labour arrangements since 1998</w:t>
      </w:r>
      <w:r w:rsidR="00474AC3">
        <w:t xml:space="preserve">. </w:t>
      </w:r>
    </w:p>
    <w:p w:rsidR="00577194" w:rsidRDefault="00577194" w:rsidP="00577194">
      <w:pPr>
        <w:pStyle w:val="Bulletpoint"/>
      </w:pPr>
      <w:r>
        <w:t xml:space="preserve">The five-port average </w:t>
      </w:r>
      <w:r w:rsidRPr="009E01AF">
        <w:rPr>
          <w:b/>
        </w:rPr>
        <w:t>ship rate</w:t>
      </w:r>
      <w:r>
        <w:t xml:space="preserve"> was also on average slightly lower in 2014–15 when compared to 2013–14</w:t>
      </w:r>
      <w:r w:rsidR="00C43B5A">
        <w:t xml:space="preserve">, falling from </w:t>
      </w:r>
      <w:r w:rsidR="0099242E">
        <w:t xml:space="preserve">54.2 to 53.9 </w:t>
      </w:r>
      <w:r w:rsidR="002A1DB5">
        <w:t>containers per hour</w:t>
      </w:r>
      <w:r>
        <w:t>.</w:t>
      </w:r>
    </w:p>
    <w:p w:rsidR="008E2B3B" w:rsidRDefault="00733C52" w:rsidP="008E2B3B">
      <w:pPr>
        <w:pStyle w:val="Bulletpoint"/>
      </w:pPr>
      <w:r>
        <w:t>For all three productivity measures, significant increases in Fremantle and Adelaide were offset by decreases at the other three ports.</w:t>
      </w:r>
    </w:p>
    <w:p w:rsidR="00EA138B" w:rsidRDefault="00CD52B2" w:rsidP="000934CD">
      <w:pPr>
        <w:pStyle w:val="Bulletpoint"/>
      </w:pPr>
      <w:r>
        <w:t xml:space="preserve">The significant productivity increases in </w:t>
      </w:r>
      <w:r w:rsidR="000934CD">
        <w:t xml:space="preserve">Fremantle and Adelaide </w:t>
      </w:r>
      <w:r w:rsidR="003C068C">
        <w:t>may be partly explained by the following</w:t>
      </w:r>
      <w:r w:rsidR="00D63D68">
        <w:t xml:space="preserve"> factors</w:t>
      </w:r>
      <w:r w:rsidR="002A1DB5">
        <w:t>:</w:t>
      </w:r>
    </w:p>
    <w:p w:rsidR="00EA138B" w:rsidRDefault="00344653" w:rsidP="00005ED3">
      <w:pPr>
        <w:pStyle w:val="Bulletpoint2"/>
      </w:pPr>
      <w:r>
        <w:t>In Adelaide, t</w:t>
      </w:r>
      <w:r w:rsidR="003D5811">
        <w:t>he improvement in the elapsed labour rate</w:t>
      </w:r>
      <w:r w:rsidR="009E01AF">
        <w:t xml:space="preserve"> </w:t>
      </w:r>
      <w:r w:rsidR="003D5811">
        <w:t xml:space="preserve">may be </w:t>
      </w:r>
      <w:r w:rsidR="009E01AF">
        <w:t>related</w:t>
      </w:r>
      <w:r w:rsidR="003D5811">
        <w:t xml:space="preserve"> to </w:t>
      </w:r>
      <w:r w:rsidR="009E01AF">
        <w:t xml:space="preserve">the finalisation of FACT’s new </w:t>
      </w:r>
      <w:r w:rsidR="002A1DB5">
        <w:t>EBA</w:t>
      </w:r>
      <w:r w:rsidR="009E01AF">
        <w:t>,</w:t>
      </w:r>
      <w:r w:rsidR="003D5811">
        <w:t xml:space="preserve"> which </w:t>
      </w:r>
      <w:r w:rsidR="00AA08CC">
        <w:t>came into effect on 1 July</w:t>
      </w:r>
      <w:r w:rsidR="003D5811">
        <w:t xml:space="preserve"> 2014. </w:t>
      </w:r>
      <w:r w:rsidR="009719A2">
        <w:t>A</w:t>
      </w:r>
      <w:r w:rsidR="00AA08CC">
        <w:t>lso</w:t>
      </w:r>
      <w:r w:rsidR="009719A2">
        <w:t xml:space="preserve">, FACT’s </w:t>
      </w:r>
      <w:r w:rsidR="000934CD">
        <w:t>crane training simulator</w:t>
      </w:r>
      <w:r w:rsidR="009719A2">
        <w:t xml:space="preserve"> has, according to the company, increased productivity since it began operating in March 2015.</w:t>
      </w:r>
      <w:r w:rsidR="00CC6101">
        <w:rPr>
          <w:rStyle w:val="FootnoteReference"/>
        </w:rPr>
        <w:footnoteReference w:id="97"/>
      </w:r>
    </w:p>
    <w:p w:rsidR="000934CD" w:rsidRDefault="009719A2" w:rsidP="00EA138B">
      <w:pPr>
        <w:pStyle w:val="Bulletpoint2"/>
      </w:pPr>
      <w:r>
        <w:t xml:space="preserve">In Fremantle, new quay cranes </w:t>
      </w:r>
      <w:r w:rsidR="00741D41">
        <w:t xml:space="preserve">have been </w:t>
      </w:r>
      <w:r>
        <w:t>installed</w:t>
      </w:r>
      <w:r w:rsidR="00741D41">
        <w:t xml:space="preserve"> and</w:t>
      </w:r>
      <w:r>
        <w:t xml:space="preserve"> </w:t>
      </w:r>
      <w:r w:rsidR="000934CD">
        <w:t>the</w:t>
      </w:r>
      <w:r w:rsidR="00741D41">
        <w:t xml:space="preserve">re </w:t>
      </w:r>
      <w:r w:rsidR="00286CF1">
        <w:t xml:space="preserve">may </w:t>
      </w:r>
      <w:r w:rsidR="00741D41">
        <w:t xml:space="preserve">also </w:t>
      </w:r>
      <w:r w:rsidR="00286CF1">
        <w:t xml:space="preserve">be an </w:t>
      </w:r>
      <w:r w:rsidR="002C7D48">
        <w:t xml:space="preserve">incentive </w:t>
      </w:r>
      <w:r w:rsidR="00286CF1">
        <w:t xml:space="preserve">for further productivity increases </w:t>
      </w:r>
      <w:r w:rsidR="002C7D48">
        <w:t xml:space="preserve">provided by the </w:t>
      </w:r>
      <w:r w:rsidR="003C068C">
        <w:t xml:space="preserve">current </w:t>
      </w:r>
      <w:r w:rsidR="000934CD">
        <w:t>tender process</w:t>
      </w:r>
      <w:r w:rsidR="003C068C">
        <w:t xml:space="preserve"> for the new stevedoring leases</w:t>
      </w:r>
      <w:r w:rsidR="000934CD">
        <w:t>.</w:t>
      </w:r>
      <w:r w:rsidR="00344653">
        <w:t xml:space="preserve"> </w:t>
      </w:r>
      <w:r w:rsidR="00F60095">
        <w:t xml:space="preserve">It has been reported </w:t>
      </w:r>
      <w:r w:rsidR="00005ED3">
        <w:t xml:space="preserve">that </w:t>
      </w:r>
      <w:r w:rsidR="00F60095">
        <w:t>b</w:t>
      </w:r>
      <w:r w:rsidR="00344653">
        <w:t>oth stevedores are seeking to be reappointed.</w:t>
      </w:r>
      <w:r w:rsidR="00F60095">
        <w:rPr>
          <w:rStyle w:val="FootnoteReference"/>
        </w:rPr>
        <w:footnoteReference w:id="98"/>
      </w:r>
      <w:r w:rsidR="000934CD">
        <w:t xml:space="preserve"> </w:t>
      </w:r>
      <w:r w:rsidR="002C7D48">
        <w:t xml:space="preserve">Patrick’s increase in market share at this port may also be </w:t>
      </w:r>
      <w:r w:rsidR="003C068C">
        <w:t xml:space="preserve">related to </w:t>
      </w:r>
      <w:r w:rsidR="009E01AF">
        <w:t xml:space="preserve">recent </w:t>
      </w:r>
      <w:r w:rsidR="002C7D48">
        <w:t xml:space="preserve">productivity gains as it </w:t>
      </w:r>
      <w:r w:rsidR="003C068C">
        <w:t xml:space="preserve">meets the challenge of </w:t>
      </w:r>
      <w:r w:rsidR="002C7D48">
        <w:t>servic</w:t>
      </w:r>
      <w:r w:rsidR="003C068C">
        <w:t>ing</w:t>
      </w:r>
      <w:r w:rsidR="002C7D48">
        <w:t xml:space="preserve"> additional </w:t>
      </w:r>
      <w:r w:rsidR="009E01AF">
        <w:t>demand</w:t>
      </w:r>
      <w:r w:rsidR="002C7D48">
        <w:t>.</w:t>
      </w:r>
    </w:p>
    <w:p w:rsidR="00D46A7F" w:rsidRDefault="00D46A7F" w:rsidP="00E71BFF">
      <w:pPr>
        <w:pStyle w:val="Bulletpoint"/>
      </w:pPr>
      <w:r>
        <w:t xml:space="preserve">For observations on productivity in Melbourne, Sydney and Brisbane see figure 2.6.  </w:t>
      </w:r>
    </w:p>
    <w:p w:rsidR="00A74748" w:rsidRDefault="00A74748" w:rsidP="00A74748">
      <w:pPr>
        <w:pStyle w:val="Heading4"/>
      </w:pPr>
      <w:r>
        <w:t>ACCC observations about long</w:t>
      </w:r>
      <w:r w:rsidR="0055370A">
        <w:t xml:space="preserve"> </w:t>
      </w:r>
      <w:r>
        <w:t>term quayside stevedoring productivity</w:t>
      </w:r>
    </w:p>
    <w:p w:rsidR="00A74748" w:rsidRDefault="00B73CAC" w:rsidP="00A74748">
      <w:r w:rsidRPr="00B73CAC">
        <w:t>Australian stevedoring productivity levels, in terms of both labour intensity and capital intensity, have vastly improved since the waterfront reforms of 1998 (figure 2.</w:t>
      </w:r>
      <w:r w:rsidR="00BA320F">
        <w:t>5</w:t>
      </w:r>
      <w:r w:rsidRPr="00B73CAC">
        <w:t>).</w:t>
      </w:r>
    </w:p>
    <w:p w:rsidR="00A74748" w:rsidRDefault="00A74748" w:rsidP="00A74748">
      <w:pPr>
        <w:pStyle w:val="Tabletitle"/>
      </w:pPr>
      <w:r>
        <w:t>Figure 2.</w:t>
      </w:r>
      <w:r w:rsidR="00BA320F">
        <w:t>5</w:t>
      </w:r>
      <w:r>
        <w:t xml:space="preserve">: Net crane rate and elapsed labour rate (containers/hour), annual five-port average, </w:t>
      </w:r>
      <w:r w:rsidR="00D8433D">
        <w:t>1998–99</w:t>
      </w:r>
      <w:r>
        <w:t xml:space="preserve"> to </w:t>
      </w:r>
      <w:r w:rsidR="00D8433D">
        <w:t>2014–15</w:t>
      </w:r>
    </w:p>
    <w:p w:rsidR="00A74748" w:rsidRDefault="006964A5" w:rsidP="00A74748">
      <w:r w:rsidRPr="006964A5">
        <w:rPr>
          <w:noProof/>
          <w:lang w:eastAsia="en-AU"/>
        </w:rPr>
        <w:drawing>
          <wp:inline distT="0" distB="0" distL="0" distR="0" wp14:anchorId="3CC6EB15" wp14:editId="363558C6">
            <wp:extent cx="5448300" cy="38385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48300" cy="3838575"/>
                    </a:xfrm>
                    <a:prstGeom prst="rect">
                      <a:avLst/>
                    </a:prstGeom>
                    <a:noFill/>
                    <a:ln>
                      <a:noFill/>
                    </a:ln>
                  </pic:spPr>
                </pic:pic>
              </a:graphicData>
            </a:graphic>
          </wp:inline>
        </w:drawing>
      </w:r>
    </w:p>
    <w:p w:rsidR="005F76B4" w:rsidRDefault="005F76B4" w:rsidP="005F76B4">
      <w:pPr>
        <w:pStyle w:val="Source"/>
        <w:ind w:left="1020" w:hanging="1020"/>
      </w:pPr>
      <w:r>
        <w:t>Source:</w:t>
      </w:r>
      <w:r>
        <w:tab/>
      </w:r>
      <w:r w:rsidRPr="006460C5">
        <w:t xml:space="preserve">BITRE, </w:t>
      </w:r>
      <w:r w:rsidRPr="00006CAF">
        <w:rPr>
          <w:i/>
        </w:rPr>
        <w:t>Waterline</w:t>
      </w:r>
      <w:r w:rsidRPr="006460C5">
        <w:t xml:space="preserve"> (201</w:t>
      </w:r>
      <w:r>
        <w:t>4</w:t>
      </w:r>
      <w:r w:rsidRPr="006460C5">
        <w:t>–1</w:t>
      </w:r>
      <w:r>
        <w:t>5</w:t>
      </w:r>
      <w:r w:rsidRPr="006460C5">
        <w:t xml:space="preserve"> from forthcoming publication no 5</w:t>
      </w:r>
      <w:r>
        <w:t>7</w:t>
      </w:r>
      <w:r w:rsidRPr="006460C5">
        <w:t>), ‘Averages for ports of Brisbane, Sydney, Melbourne, Adelaide and Fremantle’</w:t>
      </w:r>
      <w:r>
        <w:t>, converted to annual average by the ACCC</w:t>
      </w:r>
    </w:p>
    <w:p w:rsidR="00B73CAC" w:rsidRDefault="00BA320F" w:rsidP="00B73CAC">
      <w:r>
        <w:t>Figure 2.5</w:t>
      </w:r>
      <w:r w:rsidR="003C068C">
        <w:t xml:space="preserve"> shows that stevedoring labour has delivered significant and sustained improvements in productivity since </w:t>
      </w:r>
      <w:r w:rsidR="00B73CAC">
        <w:t>1998–99</w:t>
      </w:r>
      <w:r w:rsidR="003C068C">
        <w:t>. T</w:t>
      </w:r>
      <w:r w:rsidR="00B73CAC">
        <w:t xml:space="preserve">he average elapsed labour rate </w:t>
      </w:r>
      <w:r w:rsidR="003C068C">
        <w:t xml:space="preserve">has more than doubled, from </w:t>
      </w:r>
      <w:r w:rsidR="00B73CAC">
        <w:t xml:space="preserve">22.4 </w:t>
      </w:r>
      <w:r w:rsidR="0008577A">
        <w:t xml:space="preserve">to 45.3 </w:t>
      </w:r>
      <w:r w:rsidR="00B73CAC">
        <w:t xml:space="preserve">containers per hour. </w:t>
      </w:r>
      <w:r w:rsidR="00760A92">
        <w:t xml:space="preserve">After a fall </w:t>
      </w:r>
      <w:r w:rsidR="00B73CAC">
        <w:t xml:space="preserve">during </w:t>
      </w:r>
      <w:r w:rsidR="00D8433D">
        <w:t>2011–12</w:t>
      </w:r>
      <w:r w:rsidR="003C068C">
        <w:t>,</w:t>
      </w:r>
      <w:r w:rsidR="00B73CAC">
        <w:t xml:space="preserve"> which coincided with industrial action during EBA negotia</w:t>
      </w:r>
      <w:r w:rsidR="00760A92">
        <w:t>tions affecting some terminals, the elapsed labour rate</w:t>
      </w:r>
      <w:r w:rsidR="00B73CAC">
        <w:t xml:space="preserve"> </w:t>
      </w:r>
      <w:r w:rsidR="00B73CAC" w:rsidRPr="0054050B">
        <w:t>increase</w:t>
      </w:r>
      <w:r w:rsidR="00760A92" w:rsidRPr="0054050B">
        <w:t>d</w:t>
      </w:r>
      <w:r w:rsidR="00B73CAC">
        <w:t xml:space="preserve"> in </w:t>
      </w:r>
      <w:r w:rsidR="00D8433D">
        <w:t>2012–13</w:t>
      </w:r>
      <w:r w:rsidR="0054050B">
        <w:t xml:space="preserve"> and </w:t>
      </w:r>
      <w:r w:rsidR="003C068C">
        <w:t xml:space="preserve">to record levels in </w:t>
      </w:r>
      <w:r w:rsidR="00D8433D">
        <w:t>2013–14</w:t>
      </w:r>
      <w:r w:rsidR="00B73CAC">
        <w:t>.</w:t>
      </w:r>
    </w:p>
    <w:p w:rsidR="00B73CAC" w:rsidRDefault="00B73CAC" w:rsidP="00B73CAC">
      <w:r>
        <w:t>Figure 2.</w:t>
      </w:r>
      <w:r w:rsidR="00BA320F">
        <w:t>5</w:t>
      </w:r>
      <w:r>
        <w:t xml:space="preserve"> also shows the five-port average net crane rate has gener</w:t>
      </w:r>
      <w:r w:rsidR="00982466">
        <w:t xml:space="preserve">ally increased since </w:t>
      </w:r>
      <w:r w:rsidR="00D8433D">
        <w:t>1998–99</w:t>
      </w:r>
      <w:r>
        <w:t>. There have been a number of ‘step-ups’ in crane productivity</w:t>
      </w:r>
      <w:r w:rsidR="007A6153">
        <w:t>—</w:t>
      </w:r>
      <w:r>
        <w:t xml:space="preserve">the biggest one occurred in 2000–01, but other smaller increases occurred in </w:t>
      </w:r>
      <w:r w:rsidR="00D8433D">
        <w:t>1999–00</w:t>
      </w:r>
      <w:r>
        <w:t xml:space="preserve">, 2003–04, 2008–09, 2009–10, </w:t>
      </w:r>
      <w:r w:rsidR="0054050B">
        <w:t xml:space="preserve">and in </w:t>
      </w:r>
      <w:r w:rsidR="00D8433D">
        <w:t>2013–14</w:t>
      </w:r>
      <w:r>
        <w:t xml:space="preserve">. </w:t>
      </w:r>
      <w:r w:rsidR="001F6325">
        <w:t>Since 19</w:t>
      </w:r>
      <w:r w:rsidR="008319E0">
        <w:t>9</w:t>
      </w:r>
      <w:r w:rsidR="001F6325">
        <w:t>8-</w:t>
      </w:r>
      <w:r w:rsidR="008319E0">
        <w:t>9</w:t>
      </w:r>
      <w:r w:rsidR="001F6325">
        <w:t>9</w:t>
      </w:r>
      <w:r w:rsidR="00E17EC2">
        <w:t>,</w:t>
      </w:r>
      <w:r w:rsidR="001F6325">
        <w:t xml:space="preserve"> t</w:t>
      </w:r>
      <w:r>
        <w:t xml:space="preserve">he monitoring program </w:t>
      </w:r>
      <w:r w:rsidR="001F6325">
        <w:t xml:space="preserve">has </w:t>
      </w:r>
      <w:r>
        <w:t>show</w:t>
      </w:r>
      <w:r w:rsidR="001F6325">
        <w:t>n</w:t>
      </w:r>
      <w:r>
        <w:t xml:space="preserve"> that the incumbent stevedores have invested in new equipm</w:t>
      </w:r>
      <w:r w:rsidR="00E71BFF">
        <w:t xml:space="preserve">ent and undertaken productivity </w:t>
      </w:r>
      <w:r>
        <w:t>enhancing initia</w:t>
      </w:r>
      <w:r w:rsidR="0054050B">
        <w:t>tives</w:t>
      </w:r>
      <w:r>
        <w:t xml:space="preserve">. </w:t>
      </w:r>
      <w:r w:rsidR="00982466">
        <w:t>S</w:t>
      </w:r>
      <w:r>
        <w:t xml:space="preserve">ignificant </w:t>
      </w:r>
      <w:r w:rsidR="00982466">
        <w:t>levels</w:t>
      </w:r>
      <w:r>
        <w:t xml:space="preserve"> of new investment occurred in 2004–05 with capital replacement</w:t>
      </w:r>
      <w:r w:rsidR="00982466">
        <w:t xml:space="preserve"> and, then from</w:t>
      </w:r>
      <w:r>
        <w:t xml:space="preserve"> 2012–13 </w:t>
      </w:r>
      <w:r w:rsidR="00982466">
        <w:t>to</w:t>
      </w:r>
      <w:r>
        <w:t xml:space="preserve"> 201</w:t>
      </w:r>
      <w:r w:rsidR="00982466">
        <w:t>4</w:t>
      </w:r>
      <w:r>
        <w:t>–1</w:t>
      </w:r>
      <w:r w:rsidR="00982466">
        <w:t>5</w:t>
      </w:r>
      <w:r>
        <w:t xml:space="preserve"> with investment i</w:t>
      </w:r>
      <w:r w:rsidR="00982466">
        <w:t>n new terminals and automation</w:t>
      </w:r>
      <w:r w:rsidR="00F27577">
        <w:t xml:space="preserve"> in Brisbane and Sydney</w:t>
      </w:r>
      <w:r w:rsidR="00982466">
        <w:t>.</w:t>
      </w:r>
    </w:p>
    <w:p w:rsidR="00B73CAC" w:rsidRDefault="00B73CAC" w:rsidP="00B73CAC">
      <w:r>
        <w:t>During the four-year period of 2009–10 to 2012–13</w:t>
      </w:r>
      <w:r w:rsidR="00E17EC2">
        <w:t>,</w:t>
      </w:r>
      <w:r>
        <w:t xml:space="preserve"> the five-port average net crane rate plateaued (in year-average terms) at just below 30 containers per hour. </w:t>
      </w:r>
      <w:r w:rsidR="00AC1D7A">
        <w:t>Last year</w:t>
      </w:r>
      <w:r w:rsidR="00005ED3">
        <w:t>,</w:t>
      </w:r>
      <w:r w:rsidR="00AC1D7A">
        <w:t xml:space="preserve"> the </w:t>
      </w:r>
      <w:r>
        <w:t xml:space="preserve">average net crane rate increased </w:t>
      </w:r>
      <w:r w:rsidR="00AC1D7A">
        <w:t xml:space="preserve">to </w:t>
      </w:r>
      <w:r w:rsidR="00E17EC2">
        <w:t>be above 30</w:t>
      </w:r>
      <w:r w:rsidR="00005ED3">
        <w:t xml:space="preserve"> and</w:t>
      </w:r>
      <w:r w:rsidR="00E17EC2">
        <w:t xml:space="preserve"> </w:t>
      </w:r>
      <w:r w:rsidR="00AC1D7A">
        <w:t>the highest level observed over the ACCC’s monitoring program</w:t>
      </w:r>
      <w:r w:rsidR="00C41FB0">
        <w:t>.</w:t>
      </w:r>
    </w:p>
    <w:p w:rsidR="00B73CAC" w:rsidRDefault="00FB0C75" w:rsidP="00B73CAC">
      <w:r>
        <w:t xml:space="preserve">Recent </w:t>
      </w:r>
      <w:r w:rsidR="00B73CAC">
        <w:t>improvement</w:t>
      </w:r>
      <w:r>
        <w:t>s</w:t>
      </w:r>
      <w:r w:rsidR="00B73CAC">
        <w:t xml:space="preserve"> in quayside productivity </w:t>
      </w:r>
      <w:r w:rsidR="001F6325">
        <w:t xml:space="preserve">may </w:t>
      </w:r>
      <w:r w:rsidR="00D46A7F">
        <w:t xml:space="preserve">be explained by investments by the stevedores in new technologies and equipment and </w:t>
      </w:r>
      <w:r w:rsidR="00B73CAC">
        <w:t>potentially the move away from the long</w:t>
      </w:r>
      <w:r>
        <w:noBreakHyphen/>
      </w:r>
      <w:r w:rsidR="00B73CAC">
        <w:t xml:space="preserve">held duopoly in Australian stevedoring. </w:t>
      </w:r>
      <w:r w:rsidR="00D46A7F">
        <w:t xml:space="preserve">These factors are </w:t>
      </w:r>
      <w:r w:rsidR="009564B3">
        <w:t xml:space="preserve">expected to drive further productivity improvements in future years.  </w:t>
      </w:r>
    </w:p>
    <w:p w:rsidR="00416701" w:rsidRDefault="001A01AE" w:rsidP="00416701">
      <w:pPr>
        <w:pStyle w:val="Heading4"/>
      </w:pPr>
      <w:r>
        <w:t>C</w:t>
      </w:r>
      <w:r w:rsidR="00320D27">
        <w:t xml:space="preserve">apital productivity </w:t>
      </w:r>
      <w:r w:rsidR="00B52CA9">
        <w:t xml:space="preserve">has varied </w:t>
      </w:r>
      <w:r>
        <w:t>over time</w:t>
      </w:r>
      <w:r w:rsidR="00B52CA9">
        <w:t xml:space="preserve"> at </w:t>
      </w:r>
      <w:r>
        <w:t xml:space="preserve">the three largest ports, though this </w:t>
      </w:r>
      <w:r w:rsidR="00B52CA9">
        <w:t xml:space="preserve">has been </w:t>
      </w:r>
      <w:r>
        <w:t>more</w:t>
      </w:r>
      <w:r w:rsidR="00B52CA9">
        <w:t xml:space="preserve"> </w:t>
      </w:r>
      <w:r>
        <w:t xml:space="preserve">aligned </w:t>
      </w:r>
      <w:r w:rsidR="00B52CA9">
        <w:t>in recent years</w:t>
      </w:r>
    </w:p>
    <w:p w:rsidR="00320D27" w:rsidRDefault="00CB34D9" w:rsidP="00320D27">
      <w:r w:rsidRPr="00CB34D9">
        <w:t>Figure 2.</w:t>
      </w:r>
      <w:r w:rsidR="00BA320F">
        <w:t>6</w:t>
      </w:r>
      <w:r w:rsidRPr="00CB34D9">
        <w:t xml:space="preserve"> below shows trends in the net crane rate (expressed as containers per hour in year average terms) for each of the three largest container ports</w:t>
      </w:r>
      <w:r w:rsidR="00D46A7F">
        <w:t>,</w:t>
      </w:r>
      <w:r w:rsidRPr="00CB34D9">
        <w:t xml:space="preserve"> </w:t>
      </w:r>
      <w:r w:rsidR="00D46A7F">
        <w:t>as well as</w:t>
      </w:r>
      <w:r w:rsidR="00D46A7F" w:rsidRPr="00CB34D9">
        <w:t xml:space="preserve"> </w:t>
      </w:r>
      <w:r w:rsidRPr="00CB34D9">
        <w:t xml:space="preserve">the five-port average </w:t>
      </w:r>
      <w:r w:rsidR="000E0121">
        <w:t>as a comparison point</w:t>
      </w:r>
      <w:r w:rsidRPr="00CB34D9">
        <w:t>.</w:t>
      </w:r>
      <w:r w:rsidR="009564B3">
        <w:t xml:space="preserve"> It shows that individual ports’ productivity performance</w:t>
      </w:r>
      <w:r w:rsidR="00750BA6">
        <w:t>s</w:t>
      </w:r>
      <w:r w:rsidR="00FB0C75">
        <w:t xml:space="preserve"> have</w:t>
      </w:r>
      <w:r w:rsidR="009564B3">
        <w:t xml:space="preserve"> varied considerably </w:t>
      </w:r>
      <w:r w:rsidR="008319E0">
        <w:t>(particularly in</w:t>
      </w:r>
      <w:r w:rsidR="000841C3">
        <w:t xml:space="preserve"> </w:t>
      </w:r>
      <w:r w:rsidR="00D8433D">
        <w:t>2006–07</w:t>
      </w:r>
      <w:r w:rsidR="008319E0">
        <w:t>)</w:t>
      </w:r>
      <w:r w:rsidR="009564B3">
        <w:t xml:space="preserve"> but </w:t>
      </w:r>
      <w:r w:rsidR="000841C3">
        <w:t xml:space="preserve">have been </w:t>
      </w:r>
      <w:r w:rsidR="009564B3">
        <w:t xml:space="preserve">more aligned in recent years.  </w:t>
      </w:r>
    </w:p>
    <w:p w:rsidR="00320D27" w:rsidRDefault="00320D27" w:rsidP="00320D27">
      <w:pPr>
        <w:pStyle w:val="Tabletitle"/>
      </w:pPr>
      <w:r>
        <w:t>Figure 2.</w:t>
      </w:r>
      <w:r w:rsidR="00BA320F">
        <w:t>6</w:t>
      </w:r>
      <w:r>
        <w:t>: Net crane rates (containers per hour)</w:t>
      </w:r>
      <w:r w:rsidR="007A6153">
        <w:t>—</w:t>
      </w:r>
      <w:r>
        <w:t xml:space="preserve">Melbourne, Sydney, Brisbane and five-port average, </w:t>
      </w:r>
      <w:r w:rsidR="00D8433D">
        <w:t>2000–01</w:t>
      </w:r>
      <w:r>
        <w:t xml:space="preserve"> to </w:t>
      </w:r>
      <w:r w:rsidR="00D8433D">
        <w:t>2014–15</w:t>
      </w:r>
    </w:p>
    <w:p w:rsidR="00320D27" w:rsidRDefault="00F015F6" w:rsidP="00320D27">
      <w:r w:rsidRPr="00F015F6">
        <w:rPr>
          <w:noProof/>
          <w:lang w:eastAsia="en-AU"/>
        </w:rPr>
        <w:drawing>
          <wp:inline distT="0" distB="0" distL="0" distR="0" wp14:anchorId="04B5C4A5" wp14:editId="4C45A157">
            <wp:extent cx="5410200" cy="42386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0200" cy="4238625"/>
                    </a:xfrm>
                    <a:prstGeom prst="rect">
                      <a:avLst/>
                    </a:prstGeom>
                    <a:noFill/>
                    <a:ln>
                      <a:noFill/>
                    </a:ln>
                  </pic:spPr>
                </pic:pic>
              </a:graphicData>
            </a:graphic>
          </wp:inline>
        </w:drawing>
      </w:r>
    </w:p>
    <w:p w:rsidR="008E0A67" w:rsidRDefault="008E0A67" w:rsidP="008E0A67">
      <w:pPr>
        <w:pStyle w:val="Source"/>
        <w:ind w:left="1020" w:hanging="1020"/>
      </w:pPr>
      <w:r>
        <w:t>Source:</w:t>
      </w:r>
      <w:r>
        <w:tab/>
      </w:r>
      <w:r w:rsidRPr="006460C5">
        <w:t xml:space="preserve">BITRE, </w:t>
      </w:r>
      <w:r w:rsidRPr="00006CAF">
        <w:rPr>
          <w:i/>
        </w:rPr>
        <w:t>Waterline</w:t>
      </w:r>
      <w:r>
        <w:rPr>
          <w:i/>
        </w:rPr>
        <w:t>,</w:t>
      </w:r>
      <w:r w:rsidRPr="006460C5">
        <w:t xml:space="preserve"> forthcoming publication no 5</w:t>
      </w:r>
      <w:r>
        <w:t>7</w:t>
      </w:r>
      <w:r w:rsidR="009D0242">
        <w:t>.</w:t>
      </w:r>
      <w:r w:rsidRPr="006460C5">
        <w:t xml:space="preserve"> </w:t>
      </w:r>
      <w:r>
        <w:t xml:space="preserve">Annual average data has been calculated by the ACCC based on quarterly data available in </w:t>
      </w:r>
      <w:r>
        <w:rPr>
          <w:i/>
        </w:rPr>
        <w:t>Waterline</w:t>
      </w:r>
      <w:r w:rsidR="0093517D">
        <w:rPr>
          <w:i/>
        </w:rPr>
        <w:t>.</w:t>
      </w:r>
    </w:p>
    <w:p w:rsidR="000A2DC6" w:rsidRDefault="000A2DC6" w:rsidP="000A2DC6">
      <w:r>
        <w:t xml:space="preserve">Key observations from </w:t>
      </w:r>
      <w:r w:rsidR="00750BA6">
        <w:t>f</w:t>
      </w:r>
      <w:r>
        <w:t>igure 2.</w:t>
      </w:r>
      <w:r w:rsidR="00BA320F">
        <w:t>6</w:t>
      </w:r>
      <w:r>
        <w:t xml:space="preserve"> are:</w:t>
      </w:r>
    </w:p>
    <w:p w:rsidR="000A2DC6" w:rsidRDefault="000A2DC6" w:rsidP="000A2DC6">
      <w:r>
        <w:t>On an individual port basis:</w:t>
      </w:r>
    </w:p>
    <w:p w:rsidR="000A2DC6" w:rsidRDefault="00F92468" w:rsidP="00F92468">
      <w:pPr>
        <w:pStyle w:val="Bulletpoint"/>
      </w:pPr>
      <w:r w:rsidRPr="00FF12AD">
        <w:rPr>
          <w:i/>
        </w:rPr>
        <w:t>Melbourne</w:t>
      </w:r>
      <w:r w:rsidRPr="00F92468">
        <w:t>—</w:t>
      </w:r>
      <w:proofErr w:type="gramStart"/>
      <w:r w:rsidRPr="00F92468">
        <w:t>Of</w:t>
      </w:r>
      <w:proofErr w:type="gramEnd"/>
      <w:r w:rsidRPr="00F92468">
        <w:t xml:space="preserve"> the three largest container ports, Melbourne has generally recorded the highest net crane rates. However, between 2010–11 and 2012–13, rates declined. This turned around with a signifi</w:t>
      </w:r>
      <w:r>
        <w:t xml:space="preserve">cant increase in </w:t>
      </w:r>
      <w:r w:rsidR="00D8433D">
        <w:t>2013–14</w:t>
      </w:r>
      <w:r w:rsidR="000841C3">
        <w:t>.</w:t>
      </w:r>
      <w:r w:rsidR="00F05EF0">
        <w:t xml:space="preserve"> </w:t>
      </w:r>
      <w:r w:rsidR="000841C3">
        <w:t>I</w:t>
      </w:r>
      <w:r w:rsidRPr="00F92468">
        <w:t>n 2014–15</w:t>
      </w:r>
      <w:r w:rsidR="000D12EB">
        <w:t>,</w:t>
      </w:r>
      <w:r w:rsidRPr="00F92468">
        <w:t xml:space="preserve"> </w:t>
      </w:r>
      <w:r w:rsidR="002A2C52">
        <w:t>Melbourne recorded</w:t>
      </w:r>
      <w:r w:rsidRPr="00F92468">
        <w:t xml:space="preserve"> the highest </w:t>
      </w:r>
      <w:r w:rsidR="002A2C52">
        <w:t xml:space="preserve">average </w:t>
      </w:r>
      <w:r w:rsidR="002A2C52" w:rsidRPr="00F92468">
        <w:t>net crane rate</w:t>
      </w:r>
      <w:r w:rsidR="002A2C52">
        <w:t xml:space="preserve"> </w:t>
      </w:r>
      <w:r w:rsidR="00750BA6">
        <w:t>o</w:t>
      </w:r>
      <w:r w:rsidR="00750BA6" w:rsidRPr="00F92468">
        <w:t xml:space="preserve">f the three largest ports </w:t>
      </w:r>
      <w:r w:rsidRPr="00F92468">
        <w:t>with 31.7</w:t>
      </w:r>
      <w:r w:rsidR="002A2C52">
        <w:t xml:space="preserve"> containers per hour</w:t>
      </w:r>
      <w:r w:rsidRPr="00F92468">
        <w:t xml:space="preserve">. This represented a 1.1 per cent decrease compared to </w:t>
      </w:r>
      <w:r w:rsidR="00D8433D">
        <w:t>2013–14</w:t>
      </w:r>
      <w:r w:rsidR="000A2DC6">
        <w:t>.</w:t>
      </w:r>
    </w:p>
    <w:p w:rsidR="000A2DC6" w:rsidRDefault="00D20747" w:rsidP="00D20747">
      <w:pPr>
        <w:pStyle w:val="Bulletpoint"/>
      </w:pPr>
      <w:r w:rsidRPr="00FF12AD">
        <w:rPr>
          <w:i/>
        </w:rPr>
        <w:t>Sydney</w:t>
      </w:r>
      <w:r w:rsidRPr="00D20747">
        <w:t xml:space="preserve">—Productivity levels have historically been below the five-port average since </w:t>
      </w:r>
      <w:r w:rsidR="00D8433D">
        <w:t>2000–01</w:t>
      </w:r>
      <w:r w:rsidRPr="00D20747">
        <w:t xml:space="preserve">. This suggests that the gains associated with increased capital productivity following waterfront reforms and capital investment did not materialise </w:t>
      </w:r>
      <w:r w:rsidR="0021219A">
        <w:t>in Sydney</w:t>
      </w:r>
      <w:r w:rsidRPr="00D20747">
        <w:t xml:space="preserve"> to the same extent that they did for other ports. </w:t>
      </w:r>
      <w:r w:rsidR="00C5242B">
        <w:t>I</w:t>
      </w:r>
      <w:r w:rsidRPr="00D20747">
        <w:t xml:space="preserve">n </w:t>
      </w:r>
      <w:r w:rsidR="00D8433D">
        <w:t>2012–13</w:t>
      </w:r>
      <w:r w:rsidR="006C69EC">
        <w:t xml:space="preserve">, </w:t>
      </w:r>
      <w:r w:rsidRPr="00D20747">
        <w:t xml:space="preserve">rates increased significantly </w:t>
      </w:r>
      <w:r w:rsidR="00D62C42">
        <w:t xml:space="preserve">and in </w:t>
      </w:r>
      <w:r w:rsidR="00D8433D">
        <w:t>2013–14</w:t>
      </w:r>
      <w:r w:rsidR="00D62C42">
        <w:t xml:space="preserve"> were </w:t>
      </w:r>
      <w:r w:rsidRPr="00D20747">
        <w:t>above the five-port average</w:t>
      </w:r>
      <w:r w:rsidR="00D62C42">
        <w:t xml:space="preserve"> for the first time over the period</w:t>
      </w:r>
      <w:r w:rsidRPr="00D20747">
        <w:t xml:space="preserve">. In </w:t>
      </w:r>
      <w:r w:rsidR="00D8433D">
        <w:t>2014–15</w:t>
      </w:r>
      <w:r w:rsidR="006C69EC">
        <w:t>,</w:t>
      </w:r>
      <w:r>
        <w:t xml:space="preserve"> there was a 6.5 per </w:t>
      </w:r>
      <w:r w:rsidRPr="00D20747">
        <w:t xml:space="preserve">cent decrease to 29.0 </w:t>
      </w:r>
      <w:r w:rsidR="006C69EC">
        <w:t>container</w:t>
      </w:r>
      <w:r w:rsidR="005E1AD2">
        <w:t>s</w:t>
      </w:r>
      <w:r w:rsidR="006C69EC">
        <w:t xml:space="preserve"> per hour</w:t>
      </w:r>
      <w:r w:rsidR="007A6153">
        <w:t>—</w:t>
      </w:r>
      <w:r w:rsidR="006C69EC">
        <w:t>well below</w:t>
      </w:r>
      <w:r w:rsidRPr="00D20747">
        <w:t xml:space="preserve"> the five-port average of 30.6 </w:t>
      </w:r>
      <w:r w:rsidR="006C69EC">
        <w:t>container</w:t>
      </w:r>
      <w:r w:rsidR="005E1AD2">
        <w:t>s</w:t>
      </w:r>
      <w:r w:rsidR="006C69EC">
        <w:t xml:space="preserve"> per hour</w:t>
      </w:r>
      <w:r w:rsidRPr="00D20747">
        <w:t>.</w:t>
      </w:r>
    </w:p>
    <w:p w:rsidR="000A2DC6" w:rsidRDefault="00D62C42" w:rsidP="00726AE2">
      <w:pPr>
        <w:pStyle w:val="Bulletpoint2"/>
      </w:pPr>
      <w:r>
        <w:t xml:space="preserve">This decrease would </w:t>
      </w:r>
      <w:r w:rsidR="006C69EC">
        <w:t>have been</w:t>
      </w:r>
      <w:r>
        <w:t xml:space="preserve"> </w:t>
      </w:r>
      <w:r w:rsidR="00726AE2" w:rsidRPr="00726AE2">
        <w:t>related to integration of</w:t>
      </w:r>
      <w:r w:rsidR="002515B4">
        <w:t xml:space="preserve"> new</w:t>
      </w:r>
      <w:r w:rsidR="00726AE2" w:rsidRPr="00726AE2">
        <w:t xml:space="preserve"> automated equipment at Patrick’s terminal. As outlined in chapter 1, there were issues with the changeover from the previous system</w:t>
      </w:r>
      <w:r w:rsidR="006C69EC">
        <w:t>,</w:t>
      </w:r>
      <w:r w:rsidR="00726AE2" w:rsidRPr="00726AE2">
        <w:t xml:space="preserve"> which is to be expected</w:t>
      </w:r>
      <w:r w:rsidR="006C69EC">
        <w:t xml:space="preserve"> with such significant modal change</w:t>
      </w:r>
      <w:r w:rsidR="00726AE2" w:rsidRPr="00726AE2">
        <w:t>. In the medium to long</w:t>
      </w:r>
      <w:r w:rsidR="0055370A">
        <w:t xml:space="preserve"> </w:t>
      </w:r>
      <w:r w:rsidR="00726AE2" w:rsidRPr="00726AE2">
        <w:t>term</w:t>
      </w:r>
      <w:r w:rsidR="002515B4">
        <w:t>,</w:t>
      </w:r>
      <w:r w:rsidR="00726AE2" w:rsidRPr="00726AE2">
        <w:t xml:space="preserve"> the implementation of new equipment and recon</w:t>
      </w:r>
      <w:r w:rsidR="002515B4">
        <w:t xml:space="preserve">figuration of </w:t>
      </w:r>
      <w:r w:rsidR="0093517D">
        <w:t xml:space="preserve">the </w:t>
      </w:r>
      <w:r w:rsidR="002515B4">
        <w:t>existing terminal</w:t>
      </w:r>
      <w:r w:rsidR="00726AE2" w:rsidRPr="00726AE2">
        <w:t xml:space="preserve"> would be expected to drive improvements in quayside productivity.</w:t>
      </w:r>
    </w:p>
    <w:p w:rsidR="001F7638" w:rsidRDefault="000A2DC6" w:rsidP="00CC2F68">
      <w:pPr>
        <w:pStyle w:val="Bulletpoint"/>
      </w:pPr>
      <w:r w:rsidRPr="00FF12AD">
        <w:rPr>
          <w:i/>
        </w:rPr>
        <w:t>Brisbane</w:t>
      </w:r>
      <w:r>
        <w:t>—</w:t>
      </w:r>
      <w:proofErr w:type="gramStart"/>
      <w:r>
        <w:t>The</w:t>
      </w:r>
      <w:proofErr w:type="gramEnd"/>
      <w:r>
        <w:t xml:space="preserve"> largest improvement in productivity levels of any of the largest container ports in Australia </w:t>
      </w:r>
      <w:r w:rsidR="0093517D">
        <w:t xml:space="preserve">over a three year window </w:t>
      </w:r>
      <w:r>
        <w:t xml:space="preserve">occurred in Brisbane </w:t>
      </w:r>
      <w:r w:rsidR="006C5D6C">
        <w:t xml:space="preserve">following the semi-automation of </w:t>
      </w:r>
      <w:r>
        <w:t xml:space="preserve">Patrick’s </w:t>
      </w:r>
      <w:r w:rsidR="006C5D6C">
        <w:t xml:space="preserve">terminal </w:t>
      </w:r>
      <w:r>
        <w:t>in 2005–06.</w:t>
      </w:r>
    </w:p>
    <w:p w:rsidR="000A2DC6" w:rsidRDefault="000A2DC6" w:rsidP="006C69EC">
      <w:pPr>
        <w:pStyle w:val="Bulletpoint2"/>
      </w:pPr>
      <w:r>
        <w:t xml:space="preserve">While capital productivity temporarily fell below the benchmark rate </w:t>
      </w:r>
      <w:r w:rsidR="001F7638">
        <w:t>in</w:t>
      </w:r>
      <w:r>
        <w:t xml:space="preserve"> </w:t>
      </w:r>
      <w:r w:rsidR="00D8433D">
        <w:t>2006–07</w:t>
      </w:r>
      <w:r>
        <w:t xml:space="preserve"> and 2007–08 as the technology </w:t>
      </w:r>
      <w:r w:rsidR="006C69EC">
        <w:t>was</w:t>
      </w:r>
      <w:r>
        <w:t xml:space="preserve"> embedded, there were significant gains in productivity levels </w:t>
      </w:r>
      <w:r w:rsidR="001F7638">
        <w:t>in subsequent years</w:t>
      </w:r>
      <w:r>
        <w:t>.</w:t>
      </w:r>
      <w:r w:rsidR="001F7638">
        <w:t xml:space="preserve"> </w:t>
      </w:r>
      <w:r>
        <w:t xml:space="preserve"> </w:t>
      </w:r>
    </w:p>
    <w:p w:rsidR="000A2DC6" w:rsidRDefault="00940097" w:rsidP="0005587C">
      <w:pPr>
        <w:pStyle w:val="Bulletpoint2"/>
      </w:pPr>
      <w:r>
        <w:t>However</w:t>
      </w:r>
      <w:r w:rsidR="004E3D9D">
        <w:t>,</w:t>
      </w:r>
      <w:r>
        <w:t xml:space="preserve"> rates have declined</w:t>
      </w:r>
      <w:r w:rsidR="004E3D9D">
        <w:t xml:space="preserve"> in recent years</w:t>
      </w:r>
      <w:r>
        <w:t xml:space="preserve">. </w:t>
      </w:r>
      <w:r w:rsidR="0041655C">
        <w:t xml:space="preserve">In </w:t>
      </w:r>
      <w:r w:rsidR="00D8433D">
        <w:t>2014–15</w:t>
      </w:r>
      <w:r w:rsidR="006C69EC">
        <w:t>,</w:t>
      </w:r>
      <w:r w:rsidR="0041655C">
        <w:t xml:space="preserve"> </w:t>
      </w:r>
      <w:r w:rsidR="00920F0B">
        <w:t xml:space="preserve">rates fell by 2.3 per cent to 27.9 </w:t>
      </w:r>
      <w:r w:rsidR="006C69EC">
        <w:t>containers per hour</w:t>
      </w:r>
      <w:r w:rsidR="00920F0B">
        <w:t xml:space="preserve">. As with Sydney, this </w:t>
      </w:r>
      <w:r w:rsidR="0020299B">
        <w:t xml:space="preserve">may </w:t>
      </w:r>
      <w:r w:rsidR="00920F0B">
        <w:t xml:space="preserve">have been </w:t>
      </w:r>
      <w:r w:rsidR="006C69EC">
        <w:t>related to</w:t>
      </w:r>
      <w:r w:rsidR="00920F0B">
        <w:t xml:space="preserve"> issues with </w:t>
      </w:r>
      <w:r w:rsidR="000837C5">
        <w:t xml:space="preserve">converting </w:t>
      </w:r>
      <w:r w:rsidR="00920F0B">
        <w:t>to automated equipment</w:t>
      </w:r>
      <w:r w:rsidR="006C69EC" w:rsidRPr="006C69EC">
        <w:t xml:space="preserve"> </w:t>
      </w:r>
      <w:r w:rsidR="006C69EC">
        <w:t>at DP World’s Brisbane terminal</w:t>
      </w:r>
      <w:r w:rsidR="001F7638">
        <w:t xml:space="preserve">. </w:t>
      </w:r>
      <w:r w:rsidR="000837C5">
        <w:t xml:space="preserve">Construction </w:t>
      </w:r>
      <w:r w:rsidR="001F7638">
        <w:t xml:space="preserve">was completed in </w:t>
      </w:r>
      <w:r w:rsidR="00D8433D">
        <w:t>2013–14</w:t>
      </w:r>
      <w:r w:rsidR="001F7638">
        <w:t xml:space="preserve">, </w:t>
      </w:r>
      <w:r w:rsidR="000837C5">
        <w:t>with the automated site</w:t>
      </w:r>
      <w:r w:rsidR="001F7638">
        <w:t xml:space="preserve"> fully operational </w:t>
      </w:r>
      <w:r w:rsidR="000837C5">
        <w:t xml:space="preserve">in </w:t>
      </w:r>
      <w:r w:rsidR="00D8433D">
        <w:t>2014–15</w:t>
      </w:r>
      <w:r w:rsidR="0041655C">
        <w:t>.</w:t>
      </w:r>
    </w:p>
    <w:p w:rsidR="00320D27" w:rsidRDefault="000A2DC6" w:rsidP="000A2DC6">
      <w:r>
        <w:t>Actions taken by the stevedores to improve crane intensity rates remain important to providing a more productive quayside service.</w:t>
      </w:r>
    </w:p>
    <w:p w:rsidR="001A791F" w:rsidRDefault="001A791F" w:rsidP="006C69EC">
      <w:pPr>
        <w:pStyle w:val="Numbered11"/>
      </w:pPr>
      <w:bookmarkStart w:id="47" w:name="_Toc433667011"/>
      <w:r>
        <w:t>Landside container stevedoring services</w:t>
      </w:r>
      <w:bookmarkEnd w:id="47"/>
    </w:p>
    <w:p w:rsidR="005117FC" w:rsidRDefault="005117FC" w:rsidP="006C69EC">
      <w:pPr>
        <w:pStyle w:val="Numbered111"/>
      </w:pPr>
      <w:bookmarkStart w:id="48" w:name="_Toc433667012"/>
      <w:r w:rsidRPr="005117FC">
        <w:t>Size of the landside freight task</w:t>
      </w:r>
      <w:bookmarkEnd w:id="48"/>
    </w:p>
    <w:p w:rsidR="00B62437" w:rsidRDefault="00B62437" w:rsidP="009E55AC">
      <w:r w:rsidRPr="00B62437">
        <w:t>BITRE publishes a range of landside performance indicators. The</w:t>
      </w:r>
      <w:r w:rsidR="004E3D9D">
        <w:t>se</w:t>
      </w:r>
      <w:r w:rsidRPr="00B62437">
        <w:t xml:space="preserve"> </w:t>
      </w:r>
      <w:r w:rsidR="004E3D9D">
        <w:t>relate to</w:t>
      </w:r>
      <w:r w:rsidRPr="00B62437">
        <w:t xml:space="preserve"> the size of the landside task at port terminals</w:t>
      </w:r>
      <w:r w:rsidR="004E3D9D">
        <w:t>,</w:t>
      </w:r>
      <w:r w:rsidRPr="00B62437">
        <w:t xml:space="preserve"> </w:t>
      </w:r>
      <w:r w:rsidR="004E3D9D">
        <w:t>general</w:t>
      </w:r>
      <w:r w:rsidRPr="00B62437">
        <w:t xml:space="preserve"> performance</w:t>
      </w:r>
      <w:r w:rsidR="004E3D9D">
        <w:t>,</w:t>
      </w:r>
      <w:r w:rsidRPr="00B62437">
        <w:t xml:space="preserve"> and activity in VBS.</w:t>
      </w:r>
    </w:p>
    <w:p w:rsidR="009E55AC" w:rsidRDefault="009E55AC" w:rsidP="009E55AC">
      <w:r>
        <w:t>Figure 2.</w:t>
      </w:r>
      <w:r w:rsidR="00BA320F">
        <w:t>7</w:t>
      </w:r>
      <w:r>
        <w:t xml:space="preserve"> </w:t>
      </w:r>
      <w:r w:rsidR="007D1DEE">
        <w:t>displays three indicators of</w:t>
      </w:r>
      <w:r w:rsidR="007D1DEE" w:rsidDel="007D1DEE">
        <w:t xml:space="preserve"> </w:t>
      </w:r>
      <w:r>
        <w:t>the size of the landside task across the five mainland container ports between the September quarter 2014 and the June quarter 2015:</w:t>
      </w:r>
    </w:p>
    <w:p w:rsidR="009E55AC" w:rsidRDefault="009E55AC" w:rsidP="009E55AC">
      <w:pPr>
        <w:pStyle w:val="Bulletpoint"/>
      </w:pPr>
      <w:r>
        <w:t>total number of trucks</w:t>
      </w:r>
    </w:p>
    <w:p w:rsidR="009E55AC" w:rsidRDefault="009E55AC" w:rsidP="009E55AC">
      <w:pPr>
        <w:pStyle w:val="Bulletpoint"/>
      </w:pPr>
      <w:r>
        <w:t>total number of containers transported to and from a port by road</w:t>
      </w:r>
    </w:p>
    <w:p w:rsidR="00320D27" w:rsidRDefault="009E55AC" w:rsidP="009E55AC">
      <w:pPr>
        <w:pStyle w:val="Bulletpoint"/>
      </w:pPr>
      <w:proofErr w:type="gramStart"/>
      <w:r>
        <w:t>total</w:t>
      </w:r>
      <w:proofErr w:type="gramEnd"/>
      <w:r>
        <w:t xml:space="preserve"> number of containers transported </w:t>
      </w:r>
      <w:r w:rsidR="00F05EF0">
        <w:t xml:space="preserve">by </w:t>
      </w:r>
      <w:r>
        <w:t>rail.</w:t>
      </w:r>
    </w:p>
    <w:p w:rsidR="00320D27" w:rsidRDefault="00320D27" w:rsidP="00320D27">
      <w:pPr>
        <w:pStyle w:val="Tabletitle"/>
      </w:pPr>
      <w:r>
        <w:t>Figure 2.</w:t>
      </w:r>
      <w:r w:rsidR="00BA320F">
        <w:t>7</w:t>
      </w:r>
      <w:r>
        <w:t xml:space="preserve">: Size of the landside task by major container port, </w:t>
      </w:r>
      <w:r w:rsidR="00D8433D">
        <w:t>2014–15</w:t>
      </w:r>
    </w:p>
    <w:p w:rsidR="00320D27" w:rsidRDefault="00924147" w:rsidP="00320D27">
      <w:r>
        <w:rPr>
          <w:noProof/>
          <w:lang w:eastAsia="en-AU"/>
        </w:rPr>
        <w:drawing>
          <wp:inline distT="0" distB="0" distL="0" distR="0" wp14:anchorId="19460489" wp14:editId="2E28C6A0">
            <wp:extent cx="5400675" cy="37800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0D27" w:rsidRDefault="009D0242" w:rsidP="00320D27">
      <w:pPr>
        <w:pStyle w:val="Source"/>
      </w:pPr>
      <w:r>
        <w:t>Source:</w:t>
      </w:r>
      <w:r>
        <w:tab/>
      </w:r>
      <w:r w:rsidR="00BD09B8">
        <w:tab/>
      </w:r>
      <w:r w:rsidRPr="006460C5">
        <w:t xml:space="preserve">BITRE, </w:t>
      </w:r>
      <w:r w:rsidRPr="00006CAF">
        <w:rPr>
          <w:i/>
        </w:rPr>
        <w:t>Waterline</w:t>
      </w:r>
      <w:r>
        <w:rPr>
          <w:i/>
        </w:rPr>
        <w:t>,</w:t>
      </w:r>
      <w:r w:rsidRPr="006460C5">
        <w:t xml:space="preserve"> forthcoming publication no 5</w:t>
      </w:r>
      <w:r>
        <w:t>7</w:t>
      </w:r>
    </w:p>
    <w:p w:rsidR="00322A25" w:rsidRDefault="00322A25" w:rsidP="00322A25">
      <w:r>
        <w:t>Figure 2.</w:t>
      </w:r>
      <w:r w:rsidR="00BA320F">
        <w:t>7</w:t>
      </w:r>
      <w:r>
        <w:t xml:space="preserve"> shows:</w:t>
      </w:r>
    </w:p>
    <w:p w:rsidR="00322A25" w:rsidRDefault="00322A25" w:rsidP="00322A25">
      <w:pPr>
        <w:pStyle w:val="Bulletpoint"/>
      </w:pPr>
      <w:r>
        <w:t>The size of the landside task follows container throughput patterns. This is expected as the amount of transport activity at a container terminal is ultimately a function of the number of containers being exchanged. The size of the landside task is greatest in Melbourne and Sydney, Australia’s two largest container ports.</w:t>
      </w:r>
    </w:p>
    <w:p w:rsidR="00322A25" w:rsidRDefault="00322A25" w:rsidP="00322A25">
      <w:pPr>
        <w:pStyle w:val="Bulletpoint"/>
      </w:pPr>
      <w:r>
        <w:t>For all of the ports, the movement of containers is dominated by road.</w:t>
      </w:r>
    </w:p>
    <w:p w:rsidR="00322A25" w:rsidRDefault="00322A25" w:rsidP="00322A25">
      <w:r>
        <w:t xml:space="preserve">While the number of containers transported by rail is currently low, rail freight use is becoming an increasing </w:t>
      </w:r>
      <w:r w:rsidR="002515B4">
        <w:t>focus</w:t>
      </w:r>
      <w:r>
        <w:t xml:space="preserve"> for managing </w:t>
      </w:r>
      <w:r w:rsidR="009C05A9">
        <w:t xml:space="preserve">future </w:t>
      </w:r>
      <w:r>
        <w:t>container flows in and around Australia’s major ports, most notably in Sydney.</w:t>
      </w:r>
    </w:p>
    <w:p w:rsidR="00322A25" w:rsidRDefault="006246CB" w:rsidP="00322A25">
      <w:r>
        <w:t xml:space="preserve">In Sydney, </w:t>
      </w:r>
      <w:r w:rsidR="000B29F3">
        <w:t>a number of initiatives underway or recently completed are</w:t>
      </w:r>
      <w:r w:rsidR="00322A25">
        <w:t xml:space="preserve"> expected</w:t>
      </w:r>
      <w:r w:rsidR="000B29F3">
        <w:t xml:space="preserve"> to facilitate the transfer of </w:t>
      </w:r>
      <w:r w:rsidR="00005ED3">
        <w:t xml:space="preserve">some </w:t>
      </w:r>
      <w:r w:rsidR="000B29F3">
        <w:t>containers from road to rail in the longer term. These include</w:t>
      </w:r>
      <w:r w:rsidR="00322A25">
        <w:t xml:space="preserve"> the Southern Sydney Freight Line, a dedicated freight line, </w:t>
      </w:r>
      <w:r w:rsidR="000B29F3">
        <w:t xml:space="preserve">which has been completed, as well as </w:t>
      </w:r>
      <w:r w:rsidR="00AF2083">
        <w:t xml:space="preserve">the </w:t>
      </w:r>
      <w:r w:rsidR="000B29F3">
        <w:t xml:space="preserve">ongoing investment in intermodal </w:t>
      </w:r>
      <w:r w:rsidR="009C05A9">
        <w:t xml:space="preserve">freight </w:t>
      </w:r>
      <w:r w:rsidR="000B29F3">
        <w:t>terminals</w:t>
      </w:r>
      <w:r w:rsidR="00BC73FD">
        <w:t xml:space="preserve"> (refer to text box 1.6)</w:t>
      </w:r>
      <w:r w:rsidR="00322A25">
        <w:t>.</w:t>
      </w:r>
      <w:r w:rsidR="009C05A9">
        <w:t xml:space="preserve"> Construction of intermodals is expected to facilitate greater use of port shuttle services in the future.</w:t>
      </w:r>
      <w:r w:rsidR="00322A25">
        <w:t xml:space="preserve"> Rail access rules that improve coordination of freight paths and windows as well as rail pricing solutions are also important to maximising the use of rail infrastructure and offering a viable substitute in some cases to road transport.</w:t>
      </w:r>
    </w:p>
    <w:p w:rsidR="005117FC" w:rsidRDefault="005117FC" w:rsidP="005117FC">
      <w:pPr>
        <w:pStyle w:val="Numbered111"/>
      </w:pPr>
      <w:bookmarkStart w:id="49" w:name="_Toc433667013"/>
      <w:r>
        <w:t>Productivity in landside stevedoring services</w:t>
      </w:r>
      <w:bookmarkEnd w:id="49"/>
    </w:p>
    <w:p w:rsidR="00320D27" w:rsidRDefault="00320D27" w:rsidP="00320D27">
      <w:pPr>
        <w:pStyle w:val="Heading4"/>
      </w:pPr>
      <w:r>
        <w:t>Truck turnaround times</w:t>
      </w:r>
    </w:p>
    <w:p w:rsidR="00320D27" w:rsidRDefault="002947F3" w:rsidP="00320D27">
      <w:r w:rsidRPr="002947F3">
        <w:t>Truck turnaround times are an indicator of landside productivity and show how fast a stevedore processes trucks within a terminal. Figure 2.</w:t>
      </w:r>
      <w:r w:rsidR="00BA320F">
        <w:t>8</w:t>
      </w:r>
      <w:r w:rsidRPr="002947F3">
        <w:t xml:space="preserve"> shows average truck turnaround times for each of the </w:t>
      </w:r>
      <w:r w:rsidR="0093517D">
        <w:t>major</w:t>
      </w:r>
      <w:r w:rsidR="0093517D" w:rsidRPr="002947F3">
        <w:t xml:space="preserve"> </w:t>
      </w:r>
      <w:r w:rsidRPr="002947F3">
        <w:t>container ports and the five-port average</w:t>
      </w:r>
      <w:r>
        <w:t>.</w:t>
      </w:r>
    </w:p>
    <w:p w:rsidR="00320D27" w:rsidRDefault="00320D27" w:rsidP="00320D27">
      <w:pPr>
        <w:pStyle w:val="Tabletitle"/>
      </w:pPr>
      <w:r>
        <w:t>Figure 2.</w:t>
      </w:r>
      <w:r w:rsidR="00BA320F">
        <w:t>8</w:t>
      </w:r>
      <w:r>
        <w:t xml:space="preserve">: Average </w:t>
      </w:r>
      <w:r w:rsidR="00B77B61">
        <w:t xml:space="preserve">quarterly </w:t>
      </w:r>
      <w:r>
        <w:t>truck turnaround times, major p</w:t>
      </w:r>
      <w:r w:rsidR="00C50871">
        <w:t xml:space="preserve">orts and five-port average, </w:t>
      </w:r>
      <w:r w:rsidR="00D8433D">
        <w:t>2007–08</w:t>
      </w:r>
      <w:r>
        <w:t xml:space="preserve"> to </w:t>
      </w:r>
      <w:r w:rsidR="00D8433D">
        <w:t>2014–15</w:t>
      </w:r>
    </w:p>
    <w:p w:rsidR="00320D27" w:rsidRDefault="00DA0FDD" w:rsidP="00320D27">
      <w:r w:rsidRPr="00DA0FDD">
        <w:rPr>
          <w:noProof/>
          <w:lang w:eastAsia="en-AU"/>
        </w:rPr>
        <w:drawing>
          <wp:inline distT="0" distB="0" distL="0" distR="0" wp14:anchorId="6D58AD35" wp14:editId="7DF9B639">
            <wp:extent cx="5410200" cy="37719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10200" cy="3771900"/>
                    </a:xfrm>
                    <a:prstGeom prst="rect">
                      <a:avLst/>
                    </a:prstGeom>
                    <a:noFill/>
                    <a:ln>
                      <a:noFill/>
                    </a:ln>
                  </pic:spPr>
                </pic:pic>
              </a:graphicData>
            </a:graphic>
          </wp:inline>
        </w:drawing>
      </w:r>
    </w:p>
    <w:p w:rsidR="00320D27" w:rsidRDefault="00626674" w:rsidP="00320D27">
      <w:pPr>
        <w:pStyle w:val="Source"/>
      </w:pPr>
      <w:r>
        <w:t>Source:</w:t>
      </w:r>
      <w:r>
        <w:tab/>
      </w:r>
      <w:r w:rsidR="00BD09B8">
        <w:tab/>
      </w:r>
      <w:r w:rsidRPr="006460C5">
        <w:t xml:space="preserve">BITRE, </w:t>
      </w:r>
      <w:r w:rsidRPr="00006CAF">
        <w:rPr>
          <w:i/>
        </w:rPr>
        <w:t>Waterline</w:t>
      </w:r>
      <w:r w:rsidRPr="006460C5">
        <w:t xml:space="preserve"> (201</w:t>
      </w:r>
      <w:r>
        <w:t>4</w:t>
      </w:r>
      <w:r w:rsidRPr="006460C5">
        <w:t>–1</w:t>
      </w:r>
      <w:r>
        <w:t>5</w:t>
      </w:r>
      <w:r w:rsidRPr="006460C5">
        <w:t xml:space="preserve"> from forthcoming publication no 5</w:t>
      </w:r>
      <w:r>
        <w:t>7</w:t>
      </w:r>
      <w:r w:rsidRPr="006460C5">
        <w:t>)</w:t>
      </w:r>
    </w:p>
    <w:p w:rsidR="004426E0" w:rsidRDefault="004426E0" w:rsidP="00E71BFF">
      <w:pPr>
        <w:pStyle w:val="Source"/>
        <w:ind w:left="1020" w:hanging="1020"/>
      </w:pPr>
      <w:r>
        <w:t>Note:</w:t>
      </w:r>
      <w:r>
        <w:tab/>
      </w:r>
      <w:r w:rsidR="00554A2D">
        <w:t>D</w:t>
      </w:r>
      <w:r>
        <w:t xml:space="preserve">ata </w:t>
      </w:r>
      <w:r w:rsidR="00F55DC5">
        <w:t xml:space="preserve">provided by BITRE </w:t>
      </w:r>
      <w:r>
        <w:t xml:space="preserve">has been revised so is not exactly comparable to previous </w:t>
      </w:r>
      <w:r w:rsidR="00025731">
        <w:t xml:space="preserve">container </w:t>
      </w:r>
      <w:r>
        <w:t>stevedoring monitoring reports.</w:t>
      </w:r>
    </w:p>
    <w:p w:rsidR="00C50871" w:rsidRDefault="00C50871" w:rsidP="00C50871">
      <w:r>
        <w:t>Figure 2.</w:t>
      </w:r>
      <w:r w:rsidR="00BA320F">
        <w:t>8</w:t>
      </w:r>
      <w:r>
        <w:t xml:space="preserve"> shows:</w:t>
      </w:r>
    </w:p>
    <w:p w:rsidR="00A31C1A" w:rsidRDefault="00122162" w:rsidP="00A31C1A">
      <w:pPr>
        <w:pStyle w:val="Bulletpoint"/>
      </w:pPr>
      <w:r>
        <w:t xml:space="preserve">In 2014–15, </w:t>
      </w:r>
      <w:r w:rsidR="0093517D">
        <w:t xml:space="preserve">on an annual basis, </w:t>
      </w:r>
      <w:r>
        <w:t xml:space="preserve">average </w:t>
      </w:r>
      <w:r w:rsidR="00A31C1A">
        <w:t>truck turnaround times increased in Melbourne (11.4 per cent to 33.5 minutes), Sydney (4.9 per cent to 39.4 minutes) and Fremantle (9.8 per cent to 30.7 minutes). Only two ports recorded improvements in truck turnaround times</w:t>
      </w:r>
      <w:r w:rsidR="00C6726B">
        <w:t>—</w:t>
      </w:r>
      <w:r w:rsidR="00A31C1A">
        <w:t>Adelaide (down 19.7 per cent to 28.5 minutes) and Brisbane (3.6 per cent to 38.1 minutes).</w:t>
      </w:r>
    </w:p>
    <w:p w:rsidR="00A31C1A" w:rsidRDefault="00A31C1A" w:rsidP="00A31C1A">
      <w:pPr>
        <w:pStyle w:val="Bulletpoint2"/>
      </w:pPr>
      <w:r>
        <w:t>A driver of Brisbane’s improvement would have likely been DP World’s terminal overcoming its implementation problems following its conversion to semi-automation in 2013–14.</w:t>
      </w:r>
    </w:p>
    <w:p w:rsidR="00A31C1A" w:rsidRDefault="00C6726B" w:rsidP="00A31C1A">
      <w:pPr>
        <w:pStyle w:val="Bulletpoint2"/>
      </w:pPr>
      <w:r>
        <w:t>A</w:t>
      </w:r>
      <w:r w:rsidR="00A31C1A">
        <w:t xml:space="preserve"> factor in Sydney’s increase in turnaround times would have been issues with conversion to semi-automation at Patrick’s terminal.</w:t>
      </w:r>
    </w:p>
    <w:p w:rsidR="00C50871" w:rsidRDefault="00122162" w:rsidP="008C6F59">
      <w:pPr>
        <w:pStyle w:val="Bulletpoint"/>
      </w:pPr>
      <w:r>
        <w:t xml:space="preserve">Over the </w:t>
      </w:r>
      <w:r w:rsidR="00537E00">
        <w:t>seven</w:t>
      </w:r>
      <w:r>
        <w:t xml:space="preserve"> years since 2007–08, average </w:t>
      </w:r>
      <w:r w:rsidR="00A31C1A">
        <w:t xml:space="preserve">truck turnaround times </w:t>
      </w:r>
      <w:r w:rsidR="00C50871">
        <w:t>have fluctuated significantly.</w:t>
      </w:r>
    </w:p>
    <w:p w:rsidR="00C50871" w:rsidRDefault="00C50871" w:rsidP="00EA0B3B">
      <w:pPr>
        <w:pStyle w:val="Bulletpoint"/>
      </w:pPr>
      <w:r>
        <w:t xml:space="preserve">The five-port average has </w:t>
      </w:r>
      <w:r w:rsidR="00C6726B">
        <w:t>decreased</w:t>
      </w:r>
      <w:r>
        <w:t>, from 38</w:t>
      </w:r>
      <w:r w:rsidR="0093517D">
        <w:t>.3</w:t>
      </w:r>
      <w:r>
        <w:t xml:space="preserve"> minutes in 2007–08 to 3</w:t>
      </w:r>
      <w:r w:rsidR="006330E0">
        <w:t>5.5</w:t>
      </w:r>
      <w:r>
        <w:t xml:space="preserve"> minutes in 201</w:t>
      </w:r>
      <w:r w:rsidR="006330E0">
        <w:t>4</w:t>
      </w:r>
      <w:r>
        <w:t>–1</w:t>
      </w:r>
      <w:r w:rsidR="006330E0">
        <w:t>5</w:t>
      </w:r>
      <w:r>
        <w:t xml:space="preserve"> (a</w:t>
      </w:r>
      <w:r w:rsidR="006330E0">
        <w:t xml:space="preserve"> 7.5</w:t>
      </w:r>
      <w:r>
        <w:t xml:space="preserve"> per cent improvement)</w:t>
      </w:r>
      <w:r w:rsidR="0093517D">
        <w:t xml:space="preserve"> on an annual basis</w:t>
      </w:r>
      <w:r>
        <w:t>.</w:t>
      </w:r>
      <w:r w:rsidR="00122162">
        <w:t xml:space="preserve"> </w:t>
      </w:r>
      <w:r>
        <w:t>Most of this occurred in the earlier years, largely before 2010–11</w:t>
      </w:r>
      <w:r w:rsidR="006330E0">
        <w:t>. It</w:t>
      </w:r>
      <w:r>
        <w:t xml:space="preserve"> subsequently </w:t>
      </w:r>
      <w:r w:rsidRPr="006330E0">
        <w:t>plateaued</w:t>
      </w:r>
      <w:r>
        <w:t>, b</w:t>
      </w:r>
      <w:r w:rsidR="006330E0">
        <w:t xml:space="preserve">efore increasing by 4.7 per cent in </w:t>
      </w:r>
      <w:r w:rsidR="00D8433D">
        <w:t>2014–15</w:t>
      </w:r>
      <w:r>
        <w:t>.</w:t>
      </w:r>
    </w:p>
    <w:p w:rsidR="00E549F0" w:rsidRDefault="00C50871" w:rsidP="00BC73FD">
      <w:pPr>
        <w:pStyle w:val="Bulletpoint"/>
      </w:pPr>
      <w:r>
        <w:t xml:space="preserve">The </w:t>
      </w:r>
      <w:r w:rsidRPr="00A21767">
        <w:t>greatest improvement</w:t>
      </w:r>
      <w:r>
        <w:t xml:space="preserve"> in truck turnaround times since 2007–08 has occurred in </w:t>
      </w:r>
      <w:r w:rsidR="00E549F0">
        <w:t>Adelaide</w:t>
      </w:r>
      <w:r w:rsidR="00A21767">
        <w:t xml:space="preserve">, decreasing from an average of </w:t>
      </w:r>
      <w:r w:rsidR="00E549F0">
        <w:t xml:space="preserve">43.5 to 28.5 minutes in </w:t>
      </w:r>
      <w:r w:rsidR="00D8433D">
        <w:t>2014–15</w:t>
      </w:r>
      <w:r w:rsidR="007A6153">
        <w:t>—</w:t>
      </w:r>
      <w:r w:rsidR="00757EF2">
        <w:t>although this has fluctuated over time.</w:t>
      </w:r>
    </w:p>
    <w:p w:rsidR="00A21767" w:rsidRDefault="0030493D" w:rsidP="008C6F59">
      <w:pPr>
        <w:pStyle w:val="Bulletpoint"/>
      </w:pPr>
      <w:r>
        <w:t xml:space="preserve">Brisbane has also recorded a significant improvement since </w:t>
      </w:r>
      <w:r w:rsidR="00D8433D">
        <w:t>2007–08</w:t>
      </w:r>
      <w:r>
        <w:t xml:space="preserve">, from </w:t>
      </w:r>
      <w:r w:rsidR="00D35ACD">
        <w:t xml:space="preserve">45.4 to </w:t>
      </w:r>
      <w:r>
        <w:t>38.1 minutes (16.2 per cent).</w:t>
      </w:r>
      <w:r w:rsidR="00E549F0">
        <w:t xml:space="preserve"> </w:t>
      </w:r>
    </w:p>
    <w:p w:rsidR="00C50871" w:rsidRDefault="00C50871" w:rsidP="008C6F59">
      <w:pPr>
        <w:pStyle w:val="Bulletpoint"/>
      </w:pPr>
      <w:r>
        <w:t xml:space="preserve">Sydney </w:t>
      </w:r>
      <w:r w:rsidR="00D35ACD">
        <w:t>has recorded the third-hi</w:t>
      </w:r>
      <w:r w:rsidR="00745381">
        <w:t>ghest improvement over the eight</w:t>
      </w:r>
      <w:r w:rsidR="00D35ACD">
        <w:t xml:space="preserve"> years </w:t>
      </w:r>
      <w:r>
        <w:t>(</w:t>
      </w:r>
      <w:r w:rsidR="00D35ACD">
        <w:t>15</w:t>
      </w:r>
      <w:r w:rsidR="00745381">
        <w:t>.7</w:t>
      </w:r>
      <w:r>
        <w:t xml:space="preserve"> per cent), particularly </w:t>
      </w:r>
      <w:r w:rsidR="0093517D">
        <w:t xml:space="preserve">following </w:t>
      </w:r>
      <w:r>
        <w:t xml:space="preserve">the December quarter 2010. At that time, an average turnaround time of 45.5 minutes was recorded. </w:t>
      </w:r>
      <w:r w:rsidR="00681B76">
        <w:t xml:space="preserve">This fell to 30.8 minutes in the June quarter 2012, but has </w:t>
      </w:r>
      <w:r>
        <w:t xml:space="preserve">increased </w:t>
      </w:r>
      <w:r w:rsidR="00681B76">
        <w:t>since then</w:t>
      </w:r>
      <w:r>
        <w:t>.</w:t>
      </w:r>
    </w:p>
    <w:p w:rsidR="00C50871" w:rsidRDefault="009E1D12" w:rsidP="008C6F59">
      <w:pPr>
        <w:pStyle w:val="Bulletpoint2"/>
      </w:pPr>
      <w:r>
        <w:t>Much of the</w:t>
      </w:r>
      <w:r w:rsidR="00C50871">
        <w:t xml:space="preserve"> </w:t>
      </w:r>
      <w:r w:rsidR="00C50871" w:rsidRPr="007A5C17">
        <w:t>improvement</w:t>
      </w:r>
      <w:r w:rsidR="00C50871">
        <w:t xml:space="preserve"> in Sydney over the last </w:t>
      </w:r>
      <w:r w:rsidR="00A16BD4">
        <w:t>five</w:t>
      </w:r>
      <w:r w:rsidR="007A5C17">
        <w:t xml:space="preserve"> and a half</w:t>
      </w:r>
      <w:r w:rsidR="00C50871">
        <w:t xml:space="preserve"> years is likely to be due to the introduction of PBLIS by the NSW Government and Sydney Ports in February 2011.</w:t>
      </w:r>
    </w:p>
    <w:p w:rsidR="00C50871" w:rsidRDefault="00C50871" w:rsidP="008C6F59">
      <w:pPr>
        <w:pStyle w:val="Bulletpoint2"/>
      </w:pPr>
      <w:r>
        <w:t>Under PBLIS, the NSW Government and Sydney Ports set a benchmark rate indicator for turnaround times of 50 minutes. Where the stevedore exceeds the benchmark, it is required to pay financial penalties to the transport operator. Where a transport operator arrives early or late or fails to arrive, it is required to pay financial penalties to the stevedore.</w:t>
      </w:r>
    </w:p>
    <w:p w:rsidR="00C50871" w:rsidRDefault="00C50871" w:rsidP="005360AA">
      <w:pPr>
        <w:pStyle w:val="Bulletpoint"/>
      </w:pPr>
      <w:r>
        <w:t xml:space="preserve">Truck turnaround times in Melbourne have tended to be the </w:t>
      </w:r>
      <w:r w:rsidRPr="009E1D12">
        <w:t>lowest</w:t>
      </w:r>
      <w:r>
        <w:t xml:space="preserve"> of the three largest container ports</w:t>
      </w:r>
      <w:r w:rsidR="009E1D12">
        <w:t xml:space="preserve">, which remained the case in </w:t>
      </w:r>
      <w:r w:rsidR="00D8433D">
        <w:t>2014–15</w:t>
      </w:r>
      <w:r>
        <w:t xml:space="preserve">. However, </w:t>
      </w:r>
      <w:r w:rsidR="005360AA">
        <w:t xml:space="preserve">Melbourne </w:t>
      </w:r>
      <w:r w:rsidR="007509A4">
        <w:t>i</w:t>
      </w:r>
      <w:r w:rsidR="00072E64">
        <w:t>s</w:t>
      </w:r>
      <w:r w:rsidR="00537E00">
        <w:t xml:space="preserve"> the only port to record an </w:t>
      </w:r>
      <w:r w:rsidR="005360AA">
        <w:t xml:space="preserve">increase in </w:t>
      </w:r>
      <w:r>
        <w:t xml:space="preserve">average times </w:t>
      </w:r>
      <w:r w:rsidR="005360AA">
        <w:t xml:space="preserve">since </w:t>
      </w:r>
      <w:r w:rsidR="00D8433D">
        <w:t>2007–08</w:t>
      </w:r>
      <w:r w:rsidR="005B4E27">
        <w:t>, rising</w:t>
      </w:r>
      <w:r w:rsidR="005360AA">
        <w:t xml:space="preserve"> </w:t>
      </w:r>
      <w:r w:rsidR="00537E00">
        <w:t>12.7</w:t>
      </w:r>
      <w:r w:rsidR="005360AA">
        <w:t xml:space="preserve"> per cent</w:t>
      </w:r>
      <w:r>
        <w:t>. Average truck turnaround time in 201</w:t>
      </w:r>
      <w:r w:rsidR="003B6953">
        <w:t>4</w:t>
      </w:r>
      <w:r>
        <w:t>–1</w:t>
      </w:r>
      <w:r w:rsidR="003B6953">
        <w:t xml:space="preserve">5 was </w:t>
      </w:r>
      <w:r w:rsidR="005360AA">
        <w:t>33.5</w:t>
      </w:r>
      <w:r>
        <w:t xml:space="preserve"> minutes</w:t>
      </w:r>
      <w:r w:rsidR="0093517D">
        <w:t xml:space="preserve"> on an annual basis</w:t>
      </w:r>
      <w:r>
        <w:t>.</w:t>
      </w:r>
    </w:p>
    <w:p w:rsidR="00C6726B" w:rsidRDefault="00C6726B" w:rsidP="005360AA">
      <w:pPr>
        <w:pStyle w:val="Bulletpoint"/>
      </w:pPr>
      <w:r>
        <w:t xml:space="preserve">In Fremantle, truck turnaround times have </w:t>
      </w:r>
      <w:r w:rsidR="005F34E3">
        <w:t xml:space="preserve">decreased by </w:t>
      </w:r>
      <w:r w:rsidR="00AD5EEC">
        <w:t>7.0 per cent since 2007-08</w:t>
      </w:r>
      <w:r w:rsidR="005F34E3">
        <w:t>.</w:t>
      </w:r>
    </w:p>
    <w:p w:rsidR="00320D27" w:rsidRDefault="00320D27" w:rsidP="00320D27">
      <w:pPr>
        <w:pStyle w:val="Heading4"/>
      </w:pPr>
      <w:r>
        <w:t>Demand for access to container terminals</w:t>
      </w:r>
    </w:p>
    <w:p w:rsidR="00C301EB" w:rsidRDefault="00C301EB" w:rsidP="00C301EB">
      <w:r>
        <w:t>VBS revenues are small in terms of the proportion of overall revenues earned by the stevedores. In 2014–15, VBS revenues represented 2.6 per cent of total industry revenues. However, VBS are significant as they provide the terms and conditions of access by a truck operator to a container terminal. They also provide an organised system for stevedores to manage truck movements inside the terminal gate and allocate labour and equipment resources.</w:t>
      </w:r>
    </w:p>
    <w:p w:rsidR="00320D27" w:rsidRDefault="00C301EB" w:rsidP="00C301EB">
      <w:r>
        <w:t>Figure 2.</w:t>
      </w:r>
      <w:r w:rsidR="00BA320F">
        <w:t>9</w:t>
      </w:r>
      <w:r>
        <w:t xml:space="preserve"> shows, in percentage terms, the use pattern of VBS across the five container ports between 2007–08 and 201</w:t>
      </w:r>
      <w:r w:rsidR="00D5094B">
        <w:t>4–15</w:t>
      </w:r>
      <w:r>
        <w:t>.</w:t>
      </w:r>
    </w:p>
    <w:p w:rsidR="00320D27" w:rsidRDefault="00320D27" w:rsidP="00320D27">
      <w:pPr>
        <w:pStyle w:val="Tabletitle"/>
      </w:pPr>
      <w:r>
        <w:t>Figure 2.</w:t>
      </w:r>
      <w:r w:rsidR="00BA320F">
        <w:t>9</w:t>
      </w:r>
      <w:r>
        <w:t xml:space="preserve">: Adjusted vehicle booking system usage, five-port average, </w:t>
      </w:r>
      <w:r w:rsidR="00D8433D">
        <w:t>2007–08</w:t>
      </w:r>
      <w:r>
        <w:t xml:space="preserve"> to </w:t>
      </w:r>
      <w:r w:rsidR="00D8433D">
        <w:t>2014–15</w:t>
      </w:r>
    </w:p>
    <w:p w:rsidR="00320D27" w:rsidRDefault="00926FD7" w:rsidP="00320D27">
      <w:r w:rsidRPr="00926FD7">
        <w:rPr>
          <w:noProof/>
          <w:lang w:eastAsia="en-AU"/>
        </w:rPr>
        <w:drawing>
          <wp:inline distT="0" distB="0" distL="0" distR="0" wp14:anchorId="6FD09F2B" wp14:editId="31771534">
            <wp:extent cx="5381625" cy="3667125"/>
            <wp:effectExtent l="0" t="0" r="952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81625" cy="3667125"/>
                    </a:xfrm>
                    <a:prstGeom prst="rect">
                      <a:avLst/>
                    </a:prstGeom>
                    <a:noFill/>
                    <a:ln>
                      <a:noFill/>
                    </a:ln>
                  </pic:spPr>
                </pic:pic>
              </a:graphicData>
            </a:graphic>
          </wp:inline>
        </w:drawing>
      </w:r>
    </w:p>
    <w:p w:rsidR="00320D27" w:rsidRDefault="00BD09B8" w:rsidP="00320D27">
      <w:pPr>
        <w:pStyle w:val="Source"/>
      </w:pPr>
      <w:r>
        <w:t>Source:</w:t>
      </w:r>
      <w:r>
        <w:tab/>
      </w:r>
      <w:r>
        <w:tab/>
      </w:r>
      <w:r w:rsidRPr="006460C5">
        <w:t xml:space="preserve">BITRE, </w:t>
      </w:r>
      <w:r w:rsidRPr="00006CAF">
        <w:rPr>
          <w:i/>
        </w:rPr>
        <w:t>Waterline</w:t>
      </w:r>
      <w:r w:rsidRPr="006460C5">
        <w:t xml:space="preserve"> (201</w:t>
      </w:r>
      <w:r>
        <w:t>4</w:t>
      </w:r>
      <w:r w:rsidRPr="006460C5">
        <w:t>–1</w:t>
      </w:r>
      <w:r>
        <w:t>5</w:t>
      </w:r>
      <w:r w:rsidRPr="006460C5">
        <w:t xml:space="preserve"> from forthcoming publication no 5</w:t>
      </w:r>
      <w:r>
        <w:t>7</w:t>
      </w:r>
      <w:r w:rsidRPr="006460C5">
        <w:t>)</w:t>
      </w:r>
    </w:p>
    <w:p w:rsidR="00BD09B8" w:rsidRDefault="00BD09B8" w:rsidP="00BD09B8">
      <w:pPr>
        <w:pStyle w:val="Source"/>
        <w:ind w:left="1020" w:hanging="1020"/>
      </w:pPr>
      <w:r>
        <w:t xml:space="preserve">Note: </w:t>
      </w:r>
      <w:r>
        <w:tab/>
      </w:r>
      <w:r w:rsidR="00D347CE">
        <w:t>T</w:t>
      </w:r>
      <w:r>
        <w:t>he Monday to Friday time windows are defined as follows: Day</w:t>
      </w:r>
      <w:r w:rsidR="007A6153">
        <w:t>—</w:t>
      </w:r>
      <w:r>
        <w:t>0600 to 1800, Evening</w:t>
      </w:r>
      <w:r w:rsidR="007A6153">
        <w:t>—</w:t>
      </w:r>
      <w:r>
        <w:t>1800 to 2400</w:t>
      </w:r>
      <w:proofErr w:type="gramStart"/>
      <w:r>
        <w:t xml:space="preserve">, </w:t>
      </w:r>
      <w:r w:rsidR="00056A3D">
        <w:t xml:space="preserve"> </w:t>
      </w:r>
      <w:r>
        <w:t>Night</w:t>
      </w:r>
      <w:proofErr w:type="gramEnd"/>
      <w:r w:rsidR="007A6153">
        <w:t>—</w:t>
      </w:r>
      <w:r>
        <w:t>2400 to 0600.</w:t>
      </w:r>
    </w:p>
    <w:p w:rsidR="00D5094B" w:rsidRDefault="00D5094B" w:rsidP="00D5094B">
      <w:r>
        <w:t>Figure 2.</w:t>
      </w:r>
      <w:r w:rsidR="00BA320F">
        <w:t>9</w:t>
      </w:r>
      <w:r>
        <w:t xml:space="preserve"> shows:</w:t>
      </w:r>
    </w:p>
    <w:p w:rsidR="00056A3D" w:rsidRDefault="00D5094B" w:rsidP="00D5094B">
      <w:pPr>
        <w:pStyle w:val="Bulletpoint"/>
      </w:pPr>
      <w:r>
        <w:t>Despite most container terminals offering 24 hour/7 day operations, daytime weekday access is the mostly intensely used.</w:t>
      </w:r>
      <w:r w:rsidR="00056A3D">
        <w:t xml:space="preserve"> </w:t>
      </w:r>
    </w:p>
    <w:p w:rsidR="00D5094B" w:rsidRDefault="00D5094B" w:rsidP="00D5094B">
      <w:pPr>
        <w:pStyle w:val="Bulletpoint"/>
      </w:pPr>
      <w:r>
        <w:t xml:space="preserve">Weekday VBS activity is consistently the highest during the daytime. In 2014–15, </w:t>
      </w:r>
      <w:r w:rsidR="00A976E8">
        <w:t>50</w:t>
      </w:r>
      <w:r>
        <w:t xml:space="preserve"> per cent of VBS usage occurred during Monday to Friday between 6am and 6pm. This is likely to have implications for those ports which are located in highly urbanised areas and where existing road networks cater for passenger and freight demands.</w:t>
      </w:r>
    </w:p>
    <w:p w:rsidR="00D5094B" w:rsidRDefault="00D5094B" w:rsidP="00D5094B">
      <w:pPr>
        <w:pStyle w:val="Bulletpoint"/>
      </w:pPr>
      <w:r>
        <w:t>Evening and night-time slots Monday to Friday are the next most popular times for container movements by truck.</w:t>
      </w:r>
    </w:p>
    <w:p w:rsidR="00D5094B" w:rsidRDefault="00D5094B" w:rsidP="00D5094B">
      <w:pPr>
        <w:pStyle w:val="Bulletpoint"/>
      </w:pPr>
      <w:r>
        <w:t xml:space="preserve">Weekend access remains a small proportion, although it has increased </w:t>
      </w:r>
      <w:r w:rsidR="001877CB">
        <w:t xml:space="preserve">since </w:t>
      </w:r>
      <w:r w:rsidR="00D8433D">
        <w:t>2007–08</w:t>
      </w:r>
      <w:r>
        <w:t>. In 201</w:t>
      </w:r>
      <w:r w:rsidR="00046461">
        <w:t>4</w:t>
      </w:r>
      <w:r>
        <w:t>–1</w:t>
      </w:r>
      <w:r w:rsidR="00046461">
        <w:t>5</w:t>
      </w:r>
      <w:r>
        <w:t xml:space="preserve">, weekend access represented </w:t>
      </w:r>
      <w:r w:rsidR="00A976E8">
        <w:t>14</w:t>
      </w:r>
      <w:r>
        <w:t xml:space="preserve"> per cent of total VBS usage, </w:t>
      </w:r>
      <w:r w:rsidR="00A976E8">
        <w:t xml:space="preserve">down </w:t>
      </w:r>
      <w:r w:rsidR="001877CB">
        <w:t xml:space="preserve">from </w:t>
      </w:r>
      <w:r w:rsidR="00D8433D">
        <w:t>2013–14</w:t>
      </w:r>
      <w:r w:rsidR="001877CB">
        <w:t xml:space="preserve"> levels</w:t>
      </w:r>
      <w:r w:rsidR="00A976E8">
        <w:t xml:space="preserve">, though more than double the percentage </w:t>
      </w:r>
      <w:r>
        <w:t xml:space="preserve">in 2007–08. </w:t>
      </w:r>
    </w:p>
    <w:p w:rsidR="00BB0DCE" w:rsidRDefault="00BB0DCE" w:rsidP="00BB0DCE">
      <w:pPr>
        <w:pStyle w:val="Bulletpoint"/>
      </w:pPr>
      <w:r>
        <w:t>Over the last two years there has been a decrease in the proportion of weekend use.</w:t>
      </w:r>
    </w:p>
    <w:p w:rsidR="00BB0DCE" w:rsidRDefault="00BB0DCE" w:rsidP="00BB0DCE">
      <w:pPr>
        <w:pStyle w:val="Bulletpoint2"/>
      </w:pPr>
      <w:r w:rsidRPr="00A21779">
        <w:t xml:space="preserve">A reason </w:t>
      </w:r>
      <w:r>
        <w:t xml:space="preserve">for the low non-peak use may be a </w:t>
      </w:r>
      <w:r w:rsidRPr="00A21779">
        <w:t xml:space="preserve">mismatch between the </w:t>
      </w:r>
      <w:r>
        <w:t xml:space="preserve">hours of operation of </w:t>
      </w:r>
      <w:r w:rsidRPr="00A21779">
        <w:t xml:space="preserve">stevedores and businesses in the upstream supply chain (such as empty container parks, depots, </w:t>
      </w:r>
      <w:r>
        <w:t xml:space="preserve">and </w:t>
      </w:r>
      <w:r w:rsidRPr="00A21779">
        <w:t>w</w:t>
      </w:r>
      <w:r>
        <w:t>arehouses). There may be additional costs to landside operators of operating out of hours.</w:t>
      </w:r>
    </w:p>
    <w:p w:rsidR="00493222" w:rsidRDefault="00493222" w:rsidP="00493222">
      <w:r w:rsidRPr="00E7145B">
        <w:t xml:space="preserve">Greater </w:t>
      </w:r>
      <w:r>
        <w:t>use of terminals at non-peak</w:t>
      </w:r>
      <w:r w:rsidRPr="00E7145B">
        <w:t xml:space="preserve"> </w:t>
      </w:r>
      <w:r>
        <w:t>times</w:t>
      </w:r>
      <w:r w:rsidRPr="00E7145B">
        <w:t xml:space="preserve"> </w:t>
      </w:r>
      <w:r>
        <w:t>could make</w:t>
      </w:r>
      <w:r w:rsidR="0093517D">
        <w:t xml:space="preserve"> more</w:t>
      </w:r>
      <w:r>
        <w:t xml:space="preserve"> </w:t>
      </w:r>
      <w:r w:rsidRPr="00E7145B">
        <w:t>intensive use of existing facilities, thereby minimising investment costs.</w:t>
      </w:r>
      <w:r>
        <w:t xml:space="preserve"> While there is more than one way this can be done, p</w:t>
      </w:r>
      <w:r w:rsidRPr="00681B76">
        <w:t>ricing signals could be an effective tool for managing truck access to container terminals as container volumes grow</w:t>
      </w:r>
      <w:r>
        <w:t>,</w:t>
      </w:r>
      <w:r w:rsidRPr="00681B76">
        <w:t xml:space="preserve"> and land in and around ports becomes more constrained and port facilities become scarcer.</w:t>
      </w:r>
    </w:p>
    <w:p w:rsidR="00320D27" w:rsidRDefault="001877CB" w:rsidP="00D5094B">
      <w:r>
        <w:t>Stevedores’ leases can</w:t>
      </w:r>
      <w:r w:rsidR="00493222">
        <w:t xml:space="preserve"> also</w:t>
      </w:r>
      <w:r>
        <w:t xml:space="preserve"> be used to encourage non-peak use of terminals. VICTL’s lease with the P</w:t>
      </w:r>
      <w:r w:rsidR="00D347CE">
        <w:t xml:space="preserve">ort </w:t>
      </w:r>
      <w:r>
        <w:t>o</w:t>
      </w:r>
      <w:r w:rsidR="00D347CE">
        <w:t xml:space="preserve">f </w:t>
      </w:r>
      <w:r>
        <w:t>M</w:t>
      </w:r>
      <w:r w:rsidR="00D347CE">
        <w:t xml:space="preserve">elbourne </w:t>
      </w:r>
      <w:r>
        <w:t>is an</w:t>
      </w:r>
      <w:r w:rsidR="00493222">
        <w:t xml:space="preserve"> </w:t>
      </w:r>
      <w:r w:rsidR="00C75A11">
        <w:t>example</w:t>
      </w:r>
      <w:r w:rsidR="009B4098">
        <w:t>,</w:t>
      </w:r>
      <w:r w:rsidR="00C75A11">
        <w:t xml:space="preserve"> as noted in chapter 1.</w:t>
      </w:r>
      <w:r w:rsidR="00BB710E">
        <w:t xml:space="preserve"> Where no such lease conditions are in place, pricing mechanisms may be used </w:t>
      </w:r>
      <w:r w:rsidR="00E7145B">
        <w:t xml:space="preserve">to encourage </w:t>
      </w:r>
      <w:r w:rsidR="00E7145B" w:rsidRPr="00E7145B">
        <w:t xml:space="preserve">use </w:t>
      </w:r>
      <w:r w:rsidR="00E7145B">
        <w:t xml:space="preserve">of </w:t>
      </w:r>
      <w:r w:rsidR="00E7145B" w:rsidRPr="00E7145B">
        <w:t xml:space="preserve">landside facilities </w:t>
      </w:r>
      <w:r w:rsidR="00E7145B">
        <w:t xml:space="preserve">in a way that </w:t>
      </w:r>
      <w:r w:rsidR="00E7145B" w:rsidRPr="00E7145B">
        <w:t>reduce</w:t>
      </w:r>
      <w:r w:rsidR="00E7145B">
        <w:t>s</w:t>
      </w:r>
      <w:r w:rsidR="00E7145B" w:rsidRPr="00E7145B">
        <w:t xml:space="preserve"> congestion </w:t>
      </w:r>
      <w:r w:rsidR="00E7145B">
        <w:t xml:space="preserve">through </w:t>
      </w:r>
      <w:r w:rsidR="00E7145B" w:rsidRPr="00E7145B">
        <w:t>maximis</w:t>
      </w:r>
      <w:r w:rsidR="00E7145B">
        <w:t>ing</w:t>
      </w:r>
      <w:r w:rsidR="00E7145B" w:rsidRPr="00E7145B">
        <w:t xml:space="preserve"> use of existing </w:t>
      </w:r>
      <w:r w:rsidR="00E7145B">
        <w:t>infrastructure</w:t>
      </w:r>
      <w:r w:rsidR="00E7145B" w:rsidRPr="00E7145B">
        <w:t>.</w:t>
      </w:r>
    </w:p>
    <w:p w:rsidR="00320D27" w:rsidRDefault="00320D27" w:rsidP="00320D27">
      <w:pPr>
        <w:pStyle w:val="Numbered111"/>
      </w:pPr>
      <w:bookmarkStart w:id="50" w:name="_Toc433667014"/>
      <w:r>
        <w:t>Concluding ACCC observations about stevedoring productivity</w:t>
      </w:r>
      <w:bookmarkEnd w:id="50"/>
    </w:p>
    <w:p w:rsidR="00B51A63" w:rsidRDefault="00BB0DCE" w:rsidP="00B51A63">
      <w:r>
        <w:t>Quayside c</w:t>
      </w:r>
      <w:r w:rsidR="00B51A63">
        <w:t xml:space="preserve">ontainer stevedoring productivity in </w:t>
      </w:r>
      <w:r w:rsidR="00D8433D">
        <w:t>2014–15</w:t>
      </w:r>
      <w:r w:rsidR="00B51A63">
        <w:t xml:space="preserve"> remained at one of the highest levels recorded over the monitoring program. While net crane and elapsed labour rates fell slightly, this was from record levels in </w:t>
      </w:r>
      <w:r w:rsidR="00D8433D">
        <w:t>2013–14</w:t>
      </w:r>
      <w:r w:rsidR="00B51A63">
        <w:t xml:space="preserve">. </w:t>
      </w:r>
      <w:r w:rsidR="004E3D9D">
        <w:t>I</w:t>
      </w:r>
      <w:r w:rsidR="00B51A63">
        <w:t>nvestment in automated and other new equipment by the stevedores</w:t>
      </w:r>
      <w:r w:rsidR="004E3D9D">
        <w:t xml:space="preserve"> in recent years</w:t>
      </w:r>
      <w:r w:rsidR="00B51A63">
        <w:t xml:space="preserve"> is expected to lead to continued improvements in productivity</w:t>
      </w:r>
      <w:r w:rsidR="00493222">
        <w:t xml:space="preserve"> in the future</w:t>
      </w:r>
      <w:r w:rsidR="00B51A63">
        <w:t>.</w:t>
      </w:r>
    </w:p>
    <w:p w:rsidR="00B51A63" w:rsidRDefault="00B51A63" w:rsidP="00B51A63">
      <w:r>
        <w:t>The long</w:t>
      </w:r>
      <w:r w:rsidR="0055370A">
        <w:t xml:space="preserve"> </w:t>
      </w:r>
      <w:r>
        <w:t xml:space="preserve">term upward trend in productivity over the monitoring program has assisted the stevedores in servicing the increase in volume of containers since </w:t>
      </w:r>
      <w:r w:rsidR="00D8433D">
        <w:t>1998–99</w:t>
      </w:r>
      <w:r>
        <w:t xml:space="preserve">. Given the forecast increase in volumes over the next </w:t>
      </w:r>
      <w:r w:rsidR="00E30C5C">
        <w:t xml:space="preserve">20 </w:t>
      </w:r>
      <w:r>
        <w:t xml:space="preserve">years, there will need to be continued improvements in productivity </w:t>
      </w:r>
      <w:r w:rsidR="00C27D8B">
        <w:t xml:space="preserve">to assist the terminals to </w:t>
      </w:r>
      <w:r w:rsidR="00BB0DCE">
        <w:t xml:space="preserve">efficiently </w:t>
      </w:r>
      <w:r w:rsidR="00C27D8B">
        <w:t xml:space="preserve">meet </w:t>
      </w:r>
      <w:r w:rsidR="00493222">
        <w:t>demand</w:t>
      </w:r>
      <w:r w:rsidR="00C27D8B">
        <w:t xml:space="preserve"> and provide a high quality service to users</w:t>
      </w:r>
      <w:r>
        <w:t>.</w:t>
      </w:r>
    </w:p>
    <w:p w:rsidR="002E7857" w:rsidRDefault="00B51A63" w:rsidP="00B51A63">
      <w:r>
        <w:t>The need for ongoing productivity improvements extends to the stevedores’ landside interface. Some of this can be influenced by the stevedores, including truck turnaround times and to a certain extent</w:t>
      </w:r>
      <w:r w:rsidR="00BB0DCE">
        <w:t>,</w:t>
      </w:r>
      <w:r>
        <w:t xml:space="preserve"> containers transported by train.</w:t>
      </w:r>
      <w:r w:rsidR="002E7857">
        <w:t xml:space="preserve"> As volumes grow</w:t>
      </w:r>
      <w:r w:rsidR="00BB0DCE">
        <w:t>,</w:t>
      </w:r>
      <w:r w:rsidR="002E7857">
        <w:t xml:space="preserve"> greater non-peak use of terminals by trucks may be needed to minimise the costs of investment in terminal</w:t>
      </w:r>
      <w:r w:rsidR="00BB0DCE">
        <w:t>s,</w:t>
      </w:r>
      <w:r w:rsidR="002E7857">
        <w:t xml:space="preserve"> and in road and rail networks.</w:t>
      </w:r>
    </w:p>
    <w:p w:rsidR="002E7857" w:rsidRDefault="00B51A63" w:rsidP="00B51A63">
      <w:r>
        <w:t xml:space="preserve">Importantly, </w:t>
      </w:r>
      <w:r w:rsidR="00297BC6">
        <w:t xml:space="preserve">and </w:t>
      </w:r>
      <w:r>
        <w:t xml:space="preserve">as outlined in chapter 1, there are roles for governments and </w:t>
      </w:r>
      <w:r w:rsidR="00BB0DCE">
        <w:t>industry</w:t>
      </w:r>
      <w:r>
        <w:t xml:space="preserve"> in ensuring the benefits of the stevedores’ improve</w:t>
      </w:r>
      <w:r w:rsidR="00D347CE">
        <w:t>d</w:t>
      </w:r>
      <w:r>
        <w:t xml:space="preserve"> productivity are received by consumers.</w:t>
      </w:r>
    </w:p>
    <w:p w:rsidR="00FC2F9D" w:rsidRDefault="00FC2F9D">
      <w:r>
        <w:br w:type="page"/>
      </w:r>
    </w:p>
    <w:p w:rsidR="00FC2F9D" w:rsidRDefault="00C14A65" w:rsidP="009D311A">
      <w:pPr>
        <w:pStyle w:val="Numbered1"/>
      </w:pPr>
      <w:bookmarkStart w:id="51" w:name="_Toc433667015"/>
      <w:r>
        <w:t>M</w:t>
      </w:r>
      <w:r w:rsidR="009D311A">
        <w:t>onitoring results</w:t>
      </w:r>
      <w:r>
        <w:t>: Financials</w:t>
      </w:r>
      <w:bookmarkEnd w:id="51"/>
      <w:r>
        <w:t xml:space="preserve"> </w:t>
      </w:r>
    </w:p>
    <w:p w:rsidR="009D311A" w:rsidRDefault="009D311A" w:rsidP="009D311A">
      <w:pPr>
        <w:pStyle w:val="Numbered11"/>
      </w:pPr>
      <w:bookmarkStart w:id="52" w:name="_Toc433667016"/>
      <w:r>
        <w:t>Introduction</w:t>
      </w:r>
      <w:bookmarkEnd w:id="52"/>
    </w:p>
    <w:p w:rsidR="00C54AD2" w:rsidRDefault="00C54AD2" w:rsidP="00C54AD2">
      <w:r>
        <w:t>This sectio</w:t>
      </w:r>
      <w:r w:rsidR="003F3E24">
        <w:t xml:space="preserve">n provides more details on the monitoring results for </w:t>
      </w:r>
      <w:r w:rsidR="00D8433D">
        <w:t>2014–15</w:t>
      </w:r>
      <w:r>
        <w:t xml:space="preserve">, including an assessment of revenues, costs, </w:t>
      </w:r>
      <w:r w:rsidRPr="00F75557">
        <w:t>margins</w:t>
      </w:r>
      <w:r>
        <w:t xml:space="preserve"> and industry returns.</w:t>
      </w:r>
      <w:r w:rsidR="003F3E24">
        <w:t xml:space="preserve"> T</w:t>
      </w:r>
      <w:r>
        <w:t xml:space="preserve">he </w:t>
      </w:r>
      <w:r w:rsidR="00D8433D">
        <w:t>2014–15</w:t>
      </w:r>
      <w:r w:rsidR="003F3E24">
        <w:t xml:space="preserve"> </w:t>
      </w:r>
      <w:r>
        <w:t>monitoring program includes information supplied by the four container stevedoring companies</w:t>
      </w:r>
      <w:r w:rsidR="007A6153">
        <w:t>—</w:t>
      </w:r>
      <w:r>
        <w:t>Patrick, DP World, FACT and H</w:t>
      </w:r>
      <w:r w:rsidR="001807B9">
        <w:t>utchison</w:t>
      </w:r>
      <w:r>
        <w:t>.</w:t>
      </w:r>
    </w:p>
    <w:p w:rsidR="006D0BD5" w:rsidRDefault="008A7054" w:rsidP="00C54AD2">
      <w:r w:rsidRPr="008A7054">
        <w:t xml:space="preserve">The ACCC’s monitoring results for 2014–15 show the continuing impact of a third stevedore’s entry on the industry </w:t>
      </w:r>
      <w:r>
        <w:t>revenues,</w:t>
      </w:r>
      <w:r w:rsidR="00174AE3">
        <w:t xml:space="preserve"> </w:t>
      </w:r>
      <w:r>
        <w:t xml:space="preserve">costs and </w:t>
      </w:r>
      <w:r w:rsidRPr="008A7054">
        <w:t>returns</w:t>
      </w:r>
      <w:r>
        <w:t>.</w:t>
      </w:r>
      <w:r w:rsidR="00E349D0">
        <w:t xml:space="preserve"> </w:t>
      </w:r>
      <w:r w:rsidR="00493222">
        <w:t>In particular, there has been a substantial increase in assets</w:t>
      </w:r>
      <w:r w:rsidR="004D74A8">
        <w:t>,</w:t>
      </w:r>
      <w:r w:rsidR="00493222">
        <w:t xml:space="preserve"> and </w:t>
      </w:r>
      <w:r w:rsidR="004D74A8">
        <w:t xml:space="preserve">a </w:t>
      </w:r>
      <w:r w:rsidR="00493222">
        <w:t>reduction in</w:t>
      </w:r>
      <w:r w:rsidR="00083F43">
        <w:t xml:space="preserve"> unit </w:t>
      </w:r>
      <w:r w:rsidR="00F534B5">
        <w:t xml:space="preserve">stevedoring </w:t>
      </w:r>
      <w:r w:rsidR="00083F43">
        <w:t>revenue</w:t>
      </w:r>
      <w:r w:rsidR="00493222">
        <w:t>s over the last two years.</w:t>
      </w:r>
      <w:r w:rsidR="00F534B5">
        <w:t xml:space="preserve"> </w:t>
      </w:r>
    </w:p>
    <w:p w:rsidR="00975D16" w:rsidRDefault="006D0BD5" w:rsidP="00C54AD2">
      <w:r>
        <w:t>As outlined in section 1.3</w:t>
      </w:r>
      <w:r w:rsidR="000576B0">
        <w:t>.3</w:t>
      </w:r>
      <w:r>
        <w:t xml:space="preserve">, </w:t>
      </w:r>
      <w:r w:rsidR="00975D16" w:rsidRPr="00975D16">
        <w:t>the stevedore</w:t>
      </w:r>
      <w:r w:rsidR="00853E59">
        <w:t>s</w:t>
      </w:r>
      <w:r w:rsidR="00975D16" w:rsidRPr="00975D16">
        <w:t xml:space="preserve"> co</w:t>
      </w:r>
      <w:r w:rsidR="00975D16">
        <w:t>ntinue</w:t>
      </w:r>
      <w:r w:rsidR="00CE3FFD">
        <w:t>d</w:t>
      </w:r>
      <w:r w:rsidR="00975D16">
        <w:t xml:space="preserve"> to</w:t>
      </w:r>
      <w:r w:rsidR="00853E59">
        <w:t xml:space="preserve"> undertake significant</w:t>
      </w:r>
      <w:r w:rsidR="00975D16">
        <w:t xml:space="preserve"> </w:t>
      </w:r>
      <w:r w:rsidR="00975D16" w:rsidRPr="00975D16">
        <w:t>investment</w:t>
      </w:r>
      <w:r w:rsidR="00853E59">
        <w:t>,</w:t>
      </w:r>
      <w:r w:rsidR="00975D16" w:rsidRPr="00975D16">
        <w:t xml:space="preserve"> mostly associated </w:t>
      </w:r>
      <w:r w:rsidR="00853E59">
        <w:t>with</w:t>
      </w:r>
      <w:r w:rsidR="00975D16" w:rsidRPr="00975D16">
        <w:t xml:space="preserve"> </w:t>
      </w:r>
      <w:r w:rsidR="0074094D">
        <w:t>Patrick’s</w:t>
      </w:r>
      <w:r w:rsidR="00975D16" w:rsidRPr="00975D16">
        <w:t xml:space="preserve"> </w:t>
      </w:r>
      <w:r w:rsidR="00853E59">
        <w:t>semi-automat</w:t>
      </w:r>
      <w:r w:rsidR="0074094D">
        <w:t>ion</w:t>
      </w:r>
      <w:r w:rsidR="00853E59">
        <w:t xml:space="preserve"> </w:t>
      </w:r>
      <w:r w:rsidR="0074094D">
        <w:t xml:space="preserve">and redevelopment of its </w:t>
      </w:r>
      <w:r w:rsidR="00975D16" w:rsidRPr="00975D16">
        <w:t xml:space="preserve">terminal at </w:t>
      </w:r>
      <w:r w:rsidR="00975D16">
        <w:t>Port Botany</w:t>
      </w:r>
      <w:r w:rsidR="00975D16" w:rsidRPr="00975D16">
        <w:t xml:space="preserve"> and </w:t>
      </w:r>
      <w:r w:rsidR="00493222">
        <w:t xml:space="preserve">the installation of </w:t>
      </w:r>
      <w:r w:rsidR="00853E59">
        <w:t>new cranes at other terminals</w:t>
      </w:r>
      <w:r w:rsidR="00975D16">
        <w:t xml:space="preserve">. </w:t>
      </w:r>
      <w:r w:rsidR="0074094D">
        <w:t>I</w:t>
      </w:r>
      <w:r w:rsidR="00975D16">
        <w:t xml:space="preserve">nvestments </w:t>
      </w:r>
      <w:r w:rsidR="0074094D">
        <w:t xml:space="preserve">in semi-automation </w:t>
      </w:r>
      <w:r w:rsidR="00D444BA">
        <w:t xml:space="preserve">in recent years </w:t>
      </w:r>
      <w:r w:rsidR="00975D16">
        <w:t xml:space="preserve">not only contributed </w:t>
      </w:r>
      <w:r w:rsidR="00975D16" w:rsidRPr="00975D16">
        <w:t xml:space="preserve">to </w:t>
      </w:r>
      <w:r w:rsidR="00753AB9">
        <w:t xml:space="preserve">relatively </w:t>
      </w:r>
      <w:r w:rsidR="00975D16">
        <w:t>lower unit labour costs</w:t>
      </w:r>
      <w:r w:rsidR="00493222" w:rsidRPr="00493222">
        <w:t xml:space="preserve"> </w:t>
      </w:r>
      <w:r w:rsidR="00493222">
        <w:t xml:space="preserve">in </w:t>
      </w:r>
      <w:r w:rsidR="00D8433D">
        <w:t>2014–15</w:t>
      </w:r>
      <w:r w:rsidR="00975D16">
        <w:t xml:space="preserve">, but also led to </w:t>
      </w:r>
      <w:r w:rsidR="004D0293">
        <w:t>a further</w:t>
      </w:r>
      <w:r w:rsidR="00975D16" w:rsidRPr="00975D16">
        <w:t xml:space="preserve"> expansion of the industry’s (average tangible) asset base</w:t>
      </w:r>
      <w:r w:rsidR="00975D16">
        <w:t>.</w:t>
      </w:r>
    </w:p>
    <w:p w:rsidR="00C54AD2" w:rsidRDefault="00753AB9" w:rsidP="00C54AD2">
      <w:r>
        <w:t xml:space="preserve">This overall asset expansion </w:t>
      </w:r>
      <w:r w:rsidR="006C0357">
        <w:t xml:space="preserve">had a downward effect on the </w:t>
      </w:r>
      <w:r w:rsidR="004D0293">
        <w:t xml:space="preserve">industry </w:t>
      </w:r>
      <w:r w:rsidR="006C0357">
        <w:t xml:space="preserve">rates of return, </w:t>
      </w:r>
      <w:r w:rsidR="00021B71">
        <w:t xml:space="preserve">which was also </w:t>
      </w:r>
      <w:r w:rsidR="004D74A8">
        <w:t>driven</w:t>
      </w:r>
      <w:r w:rsidR="004D74A8" w:rsidRPr="006C0357">
        <w:t xml:space="preserve"> </w:t>
      </w:r>
      <w:r w:rsidR="00CE1EE0">
        <w:t>by</w:t>
      </w:r>
      <w:r w:rsidR="006C0357" w:rsidRPr="006C0357">
        <w:t xml:space="preserve"> diminishing margins </w:t>
      </w:r>
      <w:r w:rsidR="00CE1EE0">
        <w:t xml:space="preserve">as </w:t>
      </w:r>
      <w:r w:rsidR="006C0357" w:rsidRPr="006C0357">
        <w:t>total costs</w:t>
      </w:r>
      <w:r w:rsidR="001E384A">
        <w:t xml:space="preserve"> increased by a greater amount than total revenue</w:t>
      </w:r>
      <w:r w:rsidR="006C0357">
        <w:t xml:space="preserve">. </w:t>
      </w:r>
      <w:r>
        <w:t xml:space="preserve"> </w:t>
      </w:r>
    </w:p>
    <w:p w:rsidR="009D311A" w:rsidRDefault="00C54AD2" w:rsidP="00C54AD2">
      <w:r>
        <w:t xml:space="preserve">These issues are discussed more fully </w:t>
      </w:r>
      <w:r w:rsidR="005577EA">
        <w:t xml:space="preserve">in </w:t>
      </w:r>
      <w:r>
        <w:t>the following sections</w:t>
      </w:r>
      <w:r w:rsidR="005577EA">
        <w:t>.</w:t>
      </w:r>
    </w:p>
    <w:p w:rsidR="00C30089" w:rsidRDefault="00CE3FFD" w:rsidP="00C30089">
      <w:pPr>
        <w:pStyle w:val="Numbered11"/>
      </w:pPr>
      <w:bookmarkStart w:id="53" w:name="_Toc433667017"/>
      <w:r>
        <w:t>Overview of unit</w:t>
      </w:r>
      <w:r w:rsidR="00C30089">
        <w:t xml:space="preserve"> revenue</w:t>
      </w:r>
      <w:r>
        <w:t>s</w:t>
      </w:r>
      <w:r w:rsidR="00C30089">
        <w:t>, costs and margins</w:t>
      </w:r>
      <w:bookmarkEnd w:id="53"/>
    </w:p>
    <w:p w:rsidR="00C30089" w:rsidRDefault="00C30089" w:rsidP="00C30089">
      <w:r>
        <w:t>The ACCC collects data on revenue</w:t>
      </w:r>
      <w:r w:rsidR="00CE3FFD">
        <w:t>s</w:t>
      </w:r>
      <w:r>
        <w:t>, costs and margins from the four container stevedores. This includes revenues, costs and margins for stevedoring services as well as for other services that are provided at container terminals, such as storage, maintenance and repositioning</w:t>
      </w:r>
      <w:r w:rsidR="004D74A8">
        <w:t>. The data</w:t>
      </w:r>
      <w:r>
        <w:t xml:space="preserve"> is aggregated to provide results at an industry level. This data is presented on </w:t>
      </w:r>
      <w:proofErr w:type="gramStart"/>
      <w:r>
        <w:t>a per</w:t>
      </w:r>
      <w:proofErr w:type="gramEnd"/>
      <w:r>
        <w:t xml:space="preserve"> unit (per TEU) basis in figure </w:t>
      </w:r>
      <w:r w:rsidR="00990DE5">
        <w:t>3.1</w:t>
      </w:r>
      <w:r>
        <w:t xml:space="preserve"> below.</w:t>
      </w:r>
    </w:p>
    <w:p w:rsidR="002C4A09" w:rsidRDefault="002C4A09" w:rsidP="002C4A09">
      <w:r w:rsidRPr="002C4A09">
        <w:rPr>
          <w:b/>
        </w:rPr>
        <w:t>Unit total revenue</w:t>
      </w:r>
      <w:r>
        <w:t xml:space="preserve"> is defined as total revenue divided by </w:t>
      </w:r>
      <w:r w:rsidR="00372EB0">
        <w:t xml:space="preserve">the </w:t>
      </w:r>
      <w:r>
        <w:t>total volume</w:t>
      </w:r>
      <w:r w:rsidR="00EB5683">
        <w:t xml:space="preserve"> of container</w:t>
      </w:r>
      <w:r w:rsidR="00372EB0">
        <w:t>s</w:t>
      </w:r>
      <w:r w:rsidR="00EB5683">
        <w:t xml:space="preserve"> as measured by </w:t>
      </w:r>
      <w:r w:rsidR="00E76E0B">
        <w:t>TEUs</w:t>
      </w:r>
      <w:r>
        <w:t xml:space="preserve">. Total revenue is earned </w:t>
      </w:r>
      <w:r w:rsidR="00CE3FFD">
        <w:t xml:space="preserve">from </w:t>
      </w:r>
      <w:r>
        <w:t xml:space="preserve">the </w:t>
      </w:r>
      <w:proofErr w:type="gramStart"/>
      <w:r>
        <w:t>stevedores</w:t>
      </w:r>
      <w:proofErr w:type="gramEnd"/>
      <w:r>
        <w:t xml:space="preserve"> complete range of services.</w:t>
      </w:r>
    </w:p>
    <w:p w:rsidR="002C4A09" w:rsidRDefault="002C4A09" w:rsidP="002C4A09">
      <w:r w:rsidRPr="002C4A09">
        <w:rPr>
          <w:b/>
        </w:rPr>
        <w:t>Unit total costs</w:t>
      </w:r>
      <w:r>
        <w:t xml:space="preserve"> is defined as total costs divided by</w:t>
      </w:r>
      <w:r w:rsidR="00372EB0">
        <w:t xml:space="preserve"> the</w:t>
      </w:r>
      <w:r>
        <w:t xml:space="preserve"> total volume</w:t>
      </w:r>
      <w:r w:rsidR="00EB5683">
        <w:t xml:space="preserve"> of container</w:t>
      </w:r>
      <w:r w:rsidR="00372EB0">
        <w:t>s</w:t>
      </w:r>
      <w:r w:rsidR="00EB5683">
        <w:t xml:space="preserve"> as measured by </w:t>
      </w:r>
      <w:r w:rsidR="00E76E0B">
        <w:t>TEUs</w:t>
      </w:r>
      <w:r>
        <w:t xml:space="preserve">. Total costs are incurred by the stevedore’s complete range of services. </w:t>
      </w:r>
    </w:p>
    <w:p w:rsidR="002C4A09" w:rsidRDefault="002C4A09" w:rsidP="002C4A09">
      <w:r w:rsidRPr="002C4A09">
        <w:rPr>
          <w:b/>
        </w:rPr>
        <w:t>Unit total margins</w:t>
      </w:r>
      <w:r>
        <w:t xml:space="preserve"> are the difference between unit total revenues and unit total costs.</w:t>
      </w:r>
    </w:p>
    <w:p w:rsidR="001A01AE" w:rsidRDefault="00CE3FFD" w:rsidP="001A01AE">
      <w:pPr>
        <w:rPr>
          <w:b/>
        </w:rPr>
      </w:pPr>
      <w:r>
        <w:t>Unit revenue measures can be used as indicators</w:t>
      </w:r>
      <w:r w:rsidR="001A01AE">
        <w:t xml:space="preserve"> of the average prices charged for container stevedoring terminal services. Th</w:t>
      </w:r>
      <w:r>
        <w:t>e</w:t>
      </w:r>
      <w:r w:rsidR="001A01AE">
        <w:t>s</w:t>
      </w:r>
      <w:r>
        <w:t>e</w:t>
      </w:r>
      <w:r w:rsidR="001A01AE">
        <w:t xml:space="preserve"> </w:t>
      </w:r>
      <w:proofErr w:type="gramStart"/>
      <w:r w:rsidR="001A01AE">
        <w:t>measure</w:t>
      </w:r>
      <w:proofErr w:type="gramEnd"/>
      <w:r w:rsidR="001A01AE">
        <w:t xml:space="preserve"> </w:t>
      </w:r>
      <w:r>
        <w:t xml:space="preserve">are </w:t>
      </w:r>
      <w:r w:rsidR="001A01AE">
        <w:t>important because the ACCC does not collect information on actual prices charged for stevedoring services, which are privately negotiated between shipping lines and stevedores.</w:t>
      </w:r>
      <w:r w:rsidR="001A01AE" w:rsidRPr="002C4A09">
        <w:rPr>
          <w:b/>
        </w:rPr>
        <w:t xml:space="preserve"> </w:t>
      </w:r>
    </w:p>
    <w:p w:rsidR="00C30089" w:rsidRDefault="00C30089" w:rsidP="00C30089"/>
    <w:p w:rsidR="00C30089" w:rsidRDefault="001209A5" w:rsidP="00C30089">
      <w:pPr>
        <w:pStyle w:val="Tabletitle"/>
      </w:pPr>
      <w:r>
        <w:t>Figure 3</w:t>
      </w:r>
      <w:r w:rsidR="00C30089">
        <w:t>.</w:t>
      </w:r>
      <w:r>
        <w:t>1</w:t>
      </w:r>
      <w:r w:rsidR="00C30089">
        <w:t xml:space="preserve">: Real unit revenues, costs and margins, 1986 to </w:t>
      </w:r>
      <w:r w:rsidR="00D8433D">
        <w:t>2014–15</w:t>
      </w:r>
    </w:p>
    <w:p w:rsidR="00C30089" w:rsidRDefault="00C30089" w:rsidP="00C30089">
      <w:r w:rsidRPr="00A55D08">
        <w:rPr>
          <w:noProof/>
          <w:lang w:eastAsia="en-AU"/>
        </w:rPr>
        <w:drawing>
          <wp:inline distT="0" distB="0" distL="0" distR="0" wp14:anchorId="40754AFA" wp14:editId="6ECA1F8D">
            <wp:extent cx="5433060" cy="3912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33060" cy="3912870"/>
                    </a:xfrm>
                    <a:prstGeom prst="rect">
                      <a:avLst/>
                    </a:prstGeom>
                    <a:noFill/>
                    <a:ln>
                      <a:noFill/>
                    </a:ln>
                  </pic:spPr>
                </pic:pic>
              </a:graphicData>
            </a:graphic>
          </wp:inline>
        </w:drawing>
      </w:r>
    </w:p>
    <w:p w:rsidR="00C30089" w:rsidRDefault="00C30089" w:rsidP="00D27AA9">
      <w:pPr>
        <w:pStyle w:val="Source"/>
        <w:ind w:left="1020" w:hanging="1020"/>
      </w:pPr>
      <w:r>
        <w:t>Sources:</w:t>
      </w:r>
      <w:r>
        <w:tab/>
        <w:t>1986 to 1996</w:t>
      </w:r>
      <w:r w:rsidR="00D8433D">
        <w:t>—</w:t>
      </w:r>
      <w:r w:rsidRPr="00056A3D">
        <w:rPr>
          <w:i/>
        </w:rPr>
        <w:t>Monitoring of stevedoring costs and charges and terminal handling charges 1995</w:t>
      </w:r>
      <w:r w:rsidRPr="009212C3">
        <w:t>, ACCC 1996; Jan-Jun 1997</w:t>
      </w:r>
      <w:r w:rsidR="00D8433D">
        <w:t>—</w:t>
      </w:r>
      <w:r w:rsidRPr="009212C3">
        <w:t xml:space="preserve">estimate derived by BITRE, </w:t>
      </w:r>
      <w:r w:rsidRPr="00E71BFF">
        <w:rPr>
          <w:i/>
        </w:rPr>
        <w:t>Waterline</w:t>
      </w:r>
      <w:r w:rsidRPr="009212C3">
        <w:t>; 1998–99 to 201</w:t>
      </w:r>
      <w:r>
        <w:t>4</w:t>
      </w:r>
      <w:r w:rsidR="00CE3FFD" w:rsidRPr="009212C3">
        <w:t>–</w:t>
      </w:r>
      <w:r w:rsidRPr="009212C3">
        <w:t>1</w:t>
      </w:r>
      <w:r>
        <w:t>5</w:t>
      </w:r>
      <w:r w:rsidR="00D8433D">
        <w:t>—</w:t>
      </w:r>
      <w:r w:rsidRPr="009212C3">
        <w:t>data provided by the stevedoring companies as part of the ACCC’s monitoring program. Data converted to real terms using Australian Bureau of Statistics’ gross domestic product (GDP) deflator series (cat. no. 5206.0, Table 4</w:t>
      </w:r>
      <w:r>
        <w:t>,</w:t>
      </w:r>
      <w:r w:rsidRPr="009212C3">
        <w:t xml:space="preserve"> Expenditure on GDP Chain price indexes, Series ID A2303862V). Base year for ACCC deflator series: 2000–01.</w:t>
      </w:r>
    </w:p>
    <w:p w:rsidR="00C30089" w:rsidRDefault="001209A5" w:rsidP="00C30089">
      <w:r>
        <w:t>Figure 3</w:t>
      </w:r>
      <w:r w:rsidR="00C30089">
        <w:t>.</w:t>
      </w:r>
      <w:r>
        <w:t>1</w:t>
      </w:r>
      <w:r w:rsidR="00C30089">
        <w:t xml:space="preserve"> shows the significant overall downward trend in both unit total costs and unit total revenues in real terms between 1986 and 2014–15. </w:t>
      </w:r>
    </w:p>
    <w:p w:rsidR="00C30089" w:rsidRDefault="00C30089" w:rsidP="00C30089">
      <w:r>
        <w:t>Since 1998–99 (when ACCC monitoring commenced):</w:t>
      </w:r>
    </w:p>
    <w:p w:rsidR="00C30089" w:rsidRDefault="00C30089" w:rsidP="00C30089">
      <w:pPr>
        <w:pStyle w:val="Bulletpoint"/>
      </w:pPr>
      <w:proofErr w:type="gramStart"/>
      <w:r>
        <w:t>real</w:t>
      </w:r>
      <w:proofErr w:type="gramEnd"/>
      <w:r>
        <w:t xml:space="preserve"> unit</w:t>
      </w:r>
      <w:r w:rsidR="00CD2B28">
        <w:rPr>
          <w:rStyle w:val="CommentReference"/>
          <w:rFonts w:cstheme="minorBidi"/>
        </w:rPr>
        <w:t xml:space="preserve"> </w:t>
      </w:r>
      <w:r w:rsidR="00CD2B28">
        <w:t>costs</w:t>
      </w:r>
      <w:r>
        <w:t xml:space="preserve"> have fallen by </w:t>
      </w:r>
      <w:r w:rsidRPr="007B1900">
        <w:t>42.</w:t>
      </w:r>
      <w:r>
        <w:t>2 per cent</w:t>
      </w:r>
      <w:r w:rsidR="001F753F">
        <w:t>,</w:t>
      </w:r>
      <w:r>
        <w:t xml:space="preserve"> from $171.47 to $99.12 in 2014</w:t>
      </w:r>
      <w:r w:rsidR="001F753F">
        <w:t>–15.</w:t>
      </w:r>
    </w:p>
    <w:p w:rsidR="00C30089" w:rsidRDefault="00C30089" w:rsidP="00C30089">
      <w:pPr>
        <w:pStyle w:val="Bulletpoint"/>
      </w:pPr>
      <w:proofErr w:type="gramStart"/>
      <w:r>
        <w:t>real</w:t>
      </w:r>
      <w:proofErr w:type="gramEnd"/>
      <w:r>
        <w:t xml:space="preserve"> unit revenues have fallen by 39.8 per cent, from $194.96 to $117.27</w:t>
      </w:r>
      <w:r w:rsidR="00CE3FFD">
        <w:t xml:space="preserve"> in 2014–15</w:t>
      </w:r>
      <w:r>
        <w:t>.</w:t>
      </w:r>
    </w:p>
    <w:p w:rsidR="00C30089" w:rsidRDefault="00C30089" w:rsidP="00C30089">
      <w:pPr>
        <w:pStyle w:val="Bulletpoint"/>
      </w:pPr>
      <w:proofErr w:type="gramStart"/>
      <w:r>
        <w:t>real</w:t>
      </w:r>
      <w:proofErr w:type="gramEnd"/>
      <w:r>
        <w:t xml:space="preserve"> unit margins have fluctuated, but have been trending down in more recent years. Since </w:t>
      </w:r>
      <w:r w:rsidR="00D8433D">
        <w:t>1998–99</w:t>
      </w:r>
      <w:r>
        <w:t>, real unit margins have fallen by 22.7 per cent from $23.49</w:t>
      </w:r>
      <w:r w:rsidR="00EB5683">
        <w:t xml:space="preserve"> to </w:t>
      </w:r>
      <w:r w:rsidR="0065350E">
        <w:t>$18.16</w:t>
      </w:r>
      <w:r w:rsidR="00CE3FFD">
        <w:t xml:space="preserve"> in 2014–15</w:t>
      </w:r>
      <w:r>
        <w:t>.</w:t>
      </w:r>
    </w:p>
    <w:p w:rsidR="00C30089" w:rsidRDefault="00C30089" w:rsidP="00C30089">
      <w:r>
        <w:t>In 2014–15:</w:t>
      </w:r>
    </w:p>
    <w:p w:rsidR="00C30089" w:rsidRDefault="00C30089" w:rsidP="00271588">
      <w:pPr>
        <w:pStyle w:val="Bulletpoint"/>
      </w:pPr>
      <w:proofErr w:type="gramStart"/>
      <w:r>
        <w:t>real</w:t>
      </w:r>
      <w:proofErr w:type="gramEnd"/>
      <w:r>
        <w:t xml:space="preserve"> unit costs declined slightly by 0.2 per cent from $99.34</w:t>
      </w:r>
      <w:r w:rsidR="00CE3FFD">
        <w:t xml:space="preserve"> in 2013–14</w:t>
      </w:r>
      <w:r>
        <w:t>. This followed a 4.2 per cent increase in 2013–14.</w:t>
      </w:r>
    </w:p>
    <w:p w:rsidR="00C30089" w:rsidRDefault="00C30089" w:rsidP="00C30089">
      <w:pPr>
        <w:pStyle w:val="Bulletpoint"/>
      </w:pPr>
      <w:proofErr w:type="gramStart"/>
      <w:r>
        <w:t>real</w:t>
      </w:r>
      <w:proofErr w:type="gramEnd"/>
      <w:r>
        <w:t xml:space="preserve"> unit revenue declined by 2.3 per cent, from $120.01 in 2013–14</w:t>
      </w:r>
      <w:r w:rsidR="0065350E">
        <w:t xml:space="preserve"> to $117.27</w:t>
      </w:r>
      <w:r>
        <w:t xml:space="preserve">. </w:t>
      </w:r>
    </w:p>
    <w:p w:rsidR="00C30089" w:rsidRDefault="00C30089" w:rsidP="00C30089">
      <w:pPr>
        <w:pStyle w:val="Bulletpoint"/>
      </w:pPr>
      <w:proofErr w:type="gramStart"/>
      <w:r>
        <w:t>as</w:t>
      </w:r>
      <w:proofErr w:type="gramEnd"/>
      <w:r>
        <w:t xml:space="preserve"> a result of the decline in real unit revenues being greater than fall in real unit costs, real unit margins fell significantly, by 12.1 per cent, to $18.16 in 2014–15. This is the lowest </w:t>
      </w:r>
      <w:r w:rsidR="001E384A">
        <w:t xml:space="preserve">real </w:t>
      </w:r>
      <w:r>
        <w:t xml:space="preserve">value observed over the monitoring period and followed a 24.0 per cent fall in </w:t>
      </w:r>
      <w:r w:rsidR="00D8433D">
        <w:t>2013–14</w:t>
      </w:r>
      <w:r>
        <w:t>.</w:t>
      </w:r>
    </w:p>
    <w:p w:rsidR="00C30089" w:rsidRDefault="00C30089" w:rsidP="00C30089">
      <w:r>
        <w:t>The long</w:t>
      </w:r>
      <w:r w:rsidR="0055370A">
        <w:t xml:space="preserve"> </w:t>
      </w:r>
      <w:r w:rsidR="001B20FC">
        <w:t>term</w:t>
      </w:r>
      <w:r>
        <w:t xml:space="preserve"> trend </w:t>
      </w:r>
      <w:r w:rsidR="001B20FC">
        <w:t>of decreasing</w:t>
      </w:r>
      <w:r>
        <w:t xml:space="preserve"> real unit costs </w:t>
      </w:r>
      <w:r w:rsidR="001B20FC">
        <w:t>is</w:t>
      </w:r>
      <w:r>
        <w:t xml:space="preserve"> likely </w:t>
      </w:r>
      <w:r w:rsidR="001B20FC">
        <w:t xml:space="preserve">to be due to </w:t>
      </w:r>
      <w:r>
        <w:t>the benefits of past reforms</w:t>
      </w:r>
      <w:r w:rsidR="001B20FC">
        <w:t xml:space="preserve">, </w:t>
      </w:r>
      <w:r>
        <w:t>economies of scale</w:t>
      </w:r>
      <w:r w:rsidR="001B20FC">
        <w:t xml:space="preserve"> and other factors</w:t>
      </w:r>
      <w:r>
        <w:t xml:space="preserve">. </w:t>
      </w:r>
      <w:r w:rsidR="001B20FC">
        <w:t>T</w:t>
      </w:r>
      <w:r w:rsidR="001B20FC" w:rsidRPr="00271588">
        <w:t xml:space="preserve">he </w:t>
      </w:r>
      <w:r w:rsidR="005B4E27">
        <w:t xml:space="preserve">unit </w:t>
      </w:r>
      <w:r w:rsidR="001B20FC" w:rsidRPr="00271588">
        <w:t>cost increase in 2013–14 was mainly driven by H</w:t>
      </w:r>
      <w:r w:rsidR="001B20FC">
        <w:t>utchison</w:t>
      </w:r>
      <w:r w:rsidR="001B20FC" w:rsidRPr="00271588">
        <w:t>’s relatively high fixed costs without accompanying volumes, as well as depreciation by Patrick, DP World and H</w:t>
      </w:r>
      <w:r w:rsidR="001B20FC">
        <w:t>utchison</w:t>
      </w:r>
      <w:r w:rsidR="001B20FC" w:rsidRPr="00271588">
        <w:t>.</w:t>
      </w:r>
      <w:r w:rsidR="001B20FC">
        <w:t xml:space="preserve"> </w:t>
      </w:r>
      <w:r>
        <w:t xml:space="preserve">The slight </w:t>
      </w:r>
      <w:r w:rsidR="001B20FC">
        <w:t xml:space="preserve">unit </w:t>
      </w:r>
      <w:r>
        <w:t xml:space="preserve">cost decrease in 2014–15 was mainly driven by </w:t>
      </w:r>
      <w:r w:rsidR="001B20FC">
        <w:t xml:space="preserve">container volumes growing at a proportionately faster rate than </w:t>
      </w:r>
      <w:r w:rsidR="00A368A7">
        <w:t xml:space="preserve">the increase in </w:t>
      </w:r>
      <w:r w:rsidR="001B20FC">
        <w:t>total costs</w:t>
      </w:r>
      <w:r>
        <w:t xml:space="preserve">. </w:t>
      </w:r>
    </w:p>
    <w:p w:rsidR="00C30089" w:rsidRDefault="00C30089" w:rsidP="00C30089">
      <w:r>
        <w:t>The long</w:t>
      </w:r>
      <w:r w:rsidR="0055370A">
        <w:t xml:space="preserve"> </w:t>
      </w:r>
      <w:r>
        <w:t>term downward trend in real unit revenues, which continued in 2014–15, suggests that the benefits of lower real unit costs have been shared with users of stevedoring services. It also reflects a product shift from 20-foot containers to 40-foot containers</w:t>
      </w:r>
      <w:r w:rsidR="008F17E0">
        <w:t>, as 40</w:t>
      </w:r>
      <w:r w:rsidR="00C14A65">
        <w:noBreakHyphen/>
      </w:r>
      <w:r w:rsidR="008F17E0">
        <w:t>foot containers are understood to be cheaper than 20-foot containers per TEU</w:t>
      </w:r>
      <w:r>
        <w:t>. It may also indicate a degree of pricing pressure as stevedores try to maintain market share and win new business, and greater bargaining power on the part of shipping lines due to the increased number of stevedores and greater capacity at certain ports.</w:t>
      </w:r>
    </w:p>
    <w:p w:rsidR="009D311A" w:rsidRDefault="009D311A" w:rsidP="009D311A">
      <w:pPr>
        <w:pStyle w:val="Numbered11"/>
      </w:pPr>
      <w:bookmarkStart w:id="54" w:name="_Toc433667018"/>
      <w:r>
        <w:t>Revenues</w:t>
      </w:r>
      <w:bookmarkEnd w:id="54"/>
    </w:p>
    <w:p w:rsidR="009D311A" w:rsidRDefault="009D311A" w:rsidP="009D311A">
      <w:pPr>
        <w:pStyle w:val="Numbered111"/>
      </w:pPr>
      <w:bookmarkStart w:id="55" w:name="_Toc433667019"/>
      <w:r>
        <w:t>Sources of revenue</w:t>
      </w:r>
      <w:bookmarkEnd w:id="55"/>
    </w:p>
    <w:p w:rsidR="00010C84" w:rsidRDefault="00010C84" w:rsidP="00010C84">
      <w:r>
        <w:t>The main sources of revenue reported to the ACCC by stevedores are:</w:t>
      </w:r>
    </w:p>
    <w:p w:rsidR="00010C84" w:rsidRDefault="00010C84" w:rsidP="001807B9">
      <w:pPr>
        <w:pStyle w:val="Bulletpoint"/>
      </w:pPr>
      <w:r>
        <w:t>revenues from the stevedoring function</w:t>
      </w:r>
    </w:p>
    <w:p w:rsidR="00010C84" w:rsidRDefault="00010C84" w:rsidP="001807B9">
      <w:pPr>
        <w:pStyle w:val="Bulletpoint"/>
      </w:pPr>
      <w:proofErr w:type="gramStart"/>
      <w:r>
        <w:t>revenues</w:t>
      </w:r>
      <w:proofErr w:type="gramEnd"/>
      <w:r>
        <w:t xml:space="preserve"> from other or ancillary activities</w:t>
      </w:r>
      <w:r w:rsidR="008F17E0">
        <w:t xml:space="preserve"> (non-stevedoring revenue)</w:t>
      </w:r>
      <w:r w:rsidR="001F753F">
        <w:t>.</w:t>
      </w:r>
      <w:r w:rsidR="007A73BA">
        <w:rPr>
          <w:rStyle w:val="FootnoteReference"/>
        </w:rPr>
        <w:footnoteReference w:id="99"/>
      </w:r>
    </w:p>
    <w:p w:rsidR="009D311A" w:rsidRDefault="00010C84" w:rsidP="00010C84">
      <w:r>
        <w:t>Figure 3.</w:t>
      </w:r>
      <w:r w:rsidR="006E34F2">
        <w:t>2</w:t>
      </w:r>
      <w:r>
        <w:t xml:space="preserve"> shows the changes in the components of total revenues (expressed in real terms) from 2001–02 to 2014–15.</w:t>
      </w:r>
    </w:p>
    <w:p w:rsidR="009D311A" w:rsidRDefault="009D311A" w:rsidP="009D311A">
      <w:pPr>
        <w:pStyle w:val="Tabletitle"/>
      </w:pPr>
      <w:r>
        <w:t>Figure 3.</w:t>
      </w:r>
      <w:r w:rsidR="006E34F2">
        <w:t>2</w:t>
      </w:r>
      <w:r>
        <w:t>: Component</w:t>
      </w:r>
      <w:r w:rsidR="004A22CC">
        <w:t>s</w:t>
      </w:r>
      <w:r>
        <w:t xml:space="preserve"> of total revenue in real terms, </w:t>
      </w:r>
      <w:r w:rsidR="00D8433D">
        <w:t>2001–02</w:t>
      </w:r>
      <w:r>
        <w:t xml:space="preserve"> to </w:t>
      </w:r>
      <w:r w:rsidR="00D8433D">
        <w:t>2014–15</w:t>
      </w:r>
    </w:p>
    <w:p w:rsidR="009D311A" w:rsidRDefault="00BE6A57" w:rsidP="009D311A">
      <w:r w:rsidRPr="00BE6A57">
        <w:rPr>
          <w:noProof/>
          <w:lang w:eastAsia="en-AU"/>
        </w:rPr>
        <w:drawing>
          <wp:inline distT="0" distB="0" distL="0" distR="0" wp14:anchorId="5B29500B" wp14:editId="5AF09E85">
            <wp:extent cx="5327015" cy="391287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27015" cy="3912870"/>
                    </a:xfrm>
                    <a:prstGeom prst="rect">
                      <a:avLst/>
                    </a:prstGeom>
                    <a:noFill/>
                    <a:ln>
                      <a:noFill/>
                    </a:ln>
                  </pic:spPr>
                </pic:pic>
              </a:graphicData>
            </a:graphic>
          </wp:inline>
        </w:drawing>
      </w:r>
    </w:p>
    <w:p w:rsidR="009D311A" w:rsidRDefault="00976B6E" w:rsidP="00976B6E">
      <w:pPr>
        <w:pStyle w:val="Source"/>
        <w:ind w:left="907" w:hanging="907"/>
      </w:pPr>
      <w:r>
        <w:t>Source:</w:t>
      </w:r>
      <w:r>
        <w:tab/>
      </w:r>
      <w:r w:rsidR="00D347CE">
        <w:t>n</w:t>
      </w:r>
      <w:r w:rsidR="00B5041C">
        <w:t xml:space="preserve">ominal </w:t>
      </w:r>
      <w:r w:rsidR="00413647">
        <w:t>data provi</w:t>
      </w:r>
      <w:r w:rsidR="00010C84" w:rsidRPr="00010C84">
        <w:t>d</w:t>
      </w:r>
      <w:r w:rsidR="00413647">
        <w:t>ed</w:t>
      </w:r>
      <w:r w:rsidR="00010C84" w:rsidRPr="00010C84">
        <w:t xml:space="preserve"> by the stevedoring companies</w:t>
      </w:r>
      <w:r w:rsidR="0091647C">
        <w:t>,</w:t>
      </w:r>
      <w:r w:rsidR="00010C84" w:rsidRPr="00010C84">
        <w:t xml:space="preserve"> </w:t>
      </w:r>
      <w:r w:rsidR="00413647">
        <w:t>c</w:t>
      </w:r>
      <w:r w:rsidR="00010C84" w:rsidRPr="00010C84">
        <w:t>onverted to real terms using Austral</w:t>
      </w:r>
      <w:r w:rsidR="00413647">
        <w:t>ian Bureau of</w:t>
      </w:r>
      <w:r>
        <w:t xml:space="preserve"> </w:t>
      </w:r>
      <w:r w:rsidR="008A415E">
        <w:t>S</w:t>
      </w:r>
      <w:r w:rsidR="00413647">
        <w:t xml:space="preserve">tatistics’ </w:t>
      </w:r>
      <w:r>
        <w:t xml:space="preserve">(ABS) </w:t>
      </w:r>
      <w:r w:rsidR="00BA44BF">
        <w:t>GDP deflator series</w:t>
      </w:r>
      <w:r w:rsidR="00010C84" w:rsidRPr="00010C84">
        <w:t>. Base year for ACCC deflator series: 2000–01.</w:t>
      </w:r>
    </w:p>
    <w:p w:rsidR="00EF11D3" w:rsidRDefault="00EF11D3" w:rsidP="00EF11D3">
      <w:r>
        <w:t>Figure 3.</w:t>
      </w:r>
      <w:r w:rsidR="006E34F2">
        <w:t>2</w:t>
      </w:r>
      <w:r>
        <w:t xml:space="preserve"> </w:t>
      </w:r>
      <w:r w:rsidR="000B2687">
        <w:t xml:space="preserve">shows </w:t>
      </w:r>
      <w:r>
        <w:t xml:space="preserve">that stevedoring revenue is the most significant source of revenue for container stevedoring companies. </w:t>
      </w:r>
      <w:r w:rsidR="001807B9">
        <w:t>In line with growing volumes, s</w:t>
      </w:r>
      <w:r>
        <w:t>tevedoring</w:t>
      </w:r>
      <w:r w:rsidR="00BA44BF">
        <w:t xml:space="preserve"> revenue has increased by more than</w:t>
      </w:r>
      <w:r>
        <w:t xml:space="preserve"> 50 per cent in real terms since 2001–02</w:t>
      </w:r>
      <w:r w:rsidR="007D5549">
        <w:t>.</w:t>
      </w:r>
      <w:r w:rsidR="00491394">
        <w:t xml:space="preserve"> T</w:t>
      </w:r>
      <w:r w:rsidR="007D5549">
        <w:t xml:space="preserve">he increase in </w:t>
      </w:r>
      <w:r w:rsidR="00D8433D">
        <w:t>2014–15</w:t>
      </w:r>
      <w:r w:rsidR="007D5549">
        <w:t xml:space="preserve"> </w:t>
      </w:r>
      <w:r w:rsidR="00491394">
        <w:t xml:space="preserve">was </w:t>
      </w:r>
      <w:r w:rsidR="007D5549">
        <w:t>2.9 per cent</w:t>
      </w:r>
      <w:r w:rsidR="00CE3FFD">
        <w:t>,</w:t>
      </w:r>
      <w:r w:rsidR="007D5549">
        <w:t xml:space="preserve"> </w:t>
      </w:r>
      <w:r w:rsidR="007D5549" w:rsidRPr="007D5549">
        <w:t>represent</w:t>
      </w:r>
      <w:r w:rsidR="00CE3FFD">
        <w:t>ing</w:t>
      </w:r>
      <w:r w:rsidR="007D5549" w:rsidRPr="007D5549">
        <w:t xml:space="preserve"> the highest annual percentage rise </w:t>
      </w:r>
      <w:r w:rsidR="007D5549">
        <w:t xml:space="preserve">since </w:t>
      </w:r>
      <w:r w:rsidR="00E21667">
        <w:t>2009–10</w:t>
      </w:r>
      <w:r w:rsidR="007D5549">
        <w:t>.</w:t>
      </w:r>
    </w:p>
    <w:p w:rsidR="00E445D2" w:rsidRDefault="005E1AD2" w:rsidP="00EF11D3">
      <w:r w:rsidRPr="005E1AD2">
        <w:t xml:space="preserve">While the income from non-stevedoring activities constitutes a small portion of total revenue, </w:t>
      </w:r>
      <w:r w:rsidR="004A22CC">
        <w:t xml:space="preserve">this </w:t>
      </w:r>
      <w:r w:rsidRPr="005E1AD2">
        <w:t>r</w:t>
      </w:r>
      <w:r w:rsidR="00174702" w:rsidRPr="005E1AD2">
        <w:t xml:space="preserve">evenue </w:t>
      </w:r>
      <w:r w:rsidR="004A22CC">
        <w:t>source</w:t>
      </w:r>
      <w:r w:rsidR="00174702" w:rsidRPr="005E1AD2">
        <w:t xml:space="preserve"> has become an increasing important part of the stevedores’ business. </w:t>
      </w:r>
      <w:r w:rsidR="005B4E27">
        <w:t xml:space="preserve">It has </w:t>
      </w:r>
      <w:r w:rsidR="00AC2058">
        <w:t xml:space="preserve">increased by 122.6 per cent since </w:t>
      </w:r>
      <w:r w:rsidR="00D8433D">
        <w:t>2001–02</w:t>
      </w:r>
      <w:r w:rsidR="00AC2058">
        <w:t>, to now account for 15.</w:t>
      </w:r>
      <w:r w:rsidR="005053CF">
        <w:t xml:space="preserve">0 </w:t>
      </w:r>
      <w:r w:rsidR="00AC2058">
        <w:t>per cent of total revenues (compared to 10.</w:t>
      </w:r>
      <w:r w:rsidR="005053CF">
        <w:t xml:space="preserve">9 </w:t>
      </w:r>
      <w:r w:rsidR="00746E22">
        <w:t xml:space="preserve">per cent in </w:t>
      </w:r>
      <w:r w:rsidR="00D8433D">
        <w:t>2001–02</w:t>
      </w:r>
      <w:r w:rsidR="00AC2058">
        <w:t>). I</w:t>
      </w:r>
      <w:r w:rsidR="00AC2058" w:rsidRPr="005E1AD2">
        <w:t xml:space="preserve">n </w:t>
      </w:r>
      <w:r w:rsidR="00D8433D">
        <w:t>2014–15</w:t>
      </w:r>
      <w:r w:rsidR="00AB2511">
        <w:t>,</w:t>
      </w:r>
      <w:r w:rsidR="00AC2058" w:rsidRPr="005E1AD2">
        <w:t xml:space="preserve"> </w:t>
      </w:r>
      <w:r w:rsidR="00AC2058">
        <w:t>n</w:t>
      </w:r>
      <w:r w:rsidRPr="005E1AD2">
        <w:t xml:space="preserve">on-stevedoring revenues fell </w:t>
      </w:r>
      <w:r w:rsidR="00AC2058">
        <w:t xml:space="preserve">by </w:t>
      </w:r>
      <w:r w:rsidRPr="005E1AD2">
        <w:t xml:space="preserve">1.0 per cent. A factor was the discontinuation of iron ore processing in Adelaide. </w:t>
      </w:r>
      <w:r w:rsidR="00071771" w:rsidRPr="005E1AD2">
        <w:t>More information on non-stevedoring revenues is presented in section 3.</w:t>
      </w:r>
      <w:r w:rsidR="00CE3FFD">
        <w:t>3</w:t>
      </w:r>
      <w:r w:rsidR="00071771" w:rsidRPr="005E1AD2">
        <w:t>.3.</w:t>
      </w:r>
    </w:p>
    <w:p w:rsidR="009D311A" w:rsidRDefault="00EF11D3" w:rsidP="00EF11D3">
      <w:r>
        <w:t>Figure 3.</w:t>
      </w:r>
      <w:r w:rsidR="006E34F2">
        <w:t>3</w:t>
      </w:r>
      <w:r>
        <w:t xml:space="preserve"> shows the changes in the components of total revenue on a </w:t>
      </w:r>
      <w:r w:rsidR="00D347CE">
        <w:t xml:space="preserve">per </w:t>
      </w:r>
      <w:r>
        <w:t>TEU basis in real terms from 1998–99 to 2014–15.</w:t>
      </w:r>
    </w:p>
    <w:p w:rsidR="009D311A" w:rsidRDefault="009D311A" w:rsidP="009D311A">
      <w:pPr>
        <w:pStyle w:val="Tabletitle"/>
      </w:pPr>
      <w:r>
        <w:t>Figure 3.</w:t>
      </w:r>
      <w:r w:rsidR="006E34F2">
        <w:t>3</w:t>
      </w:r>
      <w:r>
        <w:t xml:space="preserve">: Components of total revenue per TEU in real terms, </w:t>
      </w:r>
      <w:r w:rsidR="00D8433D">
        <w:t>1998–99</w:t>
      </w:r>
      <w:r>
        <w:t xml:space="preserve"> to </w:t>
      </w:r>
      <w:r w:rsidR="00D8433D">
        <w:t>2014–15</w:t>
      </w:r>
    </w:p>
    <w:p w:rsidR="009D311A" w:rsidRDefault="000B2687" w:rsidP="009D311A">
      <w:r>
        <w:rPr>
          <w:noProof/>
          <w:lang w:eastAsia="en-AU"/>
        </w:rPr>
        <w:drawing>
          <wp:inline distT="0" distB="0" distL="0" distR="0" wp14:anchorId="5BFE3D11" wp14:editId="43798C78">
            <wp:extent cx="5334635" cy="39808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635" cy="3980815"/>
                    </a:xfrm>
                    <a:prstGeom prst="rect">
                      <a:avLst/>
                    </a:prstGeom>
                    <a:noFill/>
                  </pic:spPr>
                </pic:pic>
              </a:graphicData>
            </a:graphic>
          </wp:inline>
        </w:drawing>
      </w:r>
    </w:p>
    <w:p w:rsidR="009D311A" w:rsidRDefault="009D311A" w:rsidP="00976B6E">
      <w:pPr>
        <w:pStyle w:val="Source"/>
        <w:ind w:left="964" w:hanging="964"/>
      </w:pPr>
      <w:r>
        <w:t>Source:</w:t>
      </w:r>
      <w:r>
        <w:tab/>
      </w:r>
      <w:r w:rsidR="00D347CE">
        <w:t>n</w:t>
      </w:r>
      <w:r w:rsidR="00976B6E" w:rsidRPr="00976B6E">
        <w:t>ominal data provided by the stevedoring companies</w:t>
      </w:r>
      <w:r w:rsidR="0091647C">
        <w:t>,</w:t>
      </w:r>
      <w:r w:rsidR="00976B6E" w:rsidRPr="00976B6E">
        <w:t xml:space="preserve"> converted to real terms using ABS GDP deflator series. Base year for ACCC deflator series: 2000–01.</w:t>
      </w:r>
    </w:p>
    <w:p w:rsidR="00EF11D3" w:rsidRDefault="00EF11D3" w:rsidP="00EF11D3">
      <w:r>
        <w:t>Figure 3.</w:t>
      </w:r>
      <w:r w:rsidR="006E34F2">
        <w:t>3</w:t>
      </w:r>
      <w:r>
        <w:t xml:space="preserve"> shows that, in real terms</w:t>
      </w:r>
      <w:r w:rsidR="00CE3FFD">
        <w:t>,</w:t>
      </w:r>
      <w:r w:rsidR="005E1AD2">
        <w:t xml:space="preserve"> since </w:t>
      </w:r>
      <w:r w:rsidR="00D8433D">
        <w:t>1998–99</w:t>
      </w:r>
      <w:r>
        <w:t>:</w:t>
      </w:r>
    </w:p>
    <w:p w:rsidR="00EF11D3" w:rsidRDefault="00EF11D3" w:rsidP="008A415E">
      <w:pPr>
        <w:pStyle w:val="Bulletpoint"/>
      </w:pPr>
      <w:proofErr w:type="gramStart"/>
      <w:r>
        <w:t>unit</w:t>
      </w:r>
      <w:proofErr w:type="gramEnd"/>
      <w:r>
        <w:t xml:space="preserve"> total revenue </w:t>
      </w:r>
      <w:r w:rsidR="005E1AD2">
        <w:t>has fallen</w:t>
      </w:r>
      <w:r>
        <w:t xml:space="preserve"> </w:t>
      </w:r>
      <w:r w:rsidR="004D2799">
        <w:t xml:space="preserve">by 39.8 per cent, </w:t>
      </w:r>
      <w:r>
        <w:t>from $</w:t>
      </w:r>
      <w:r w:rsidR="00D41684">
        <w:t>194.96</w:t>
      </w:r>
      <w:r w:rsidR="00174702">
        <w:t xml:space="preserve"> per </w:t>
      </w:r>
      <w:r>
        <w:t>TEU</w:t>
      </w:r>
      <w:r w:rsidR="004D2799">
        <w:t xml:space="preserve"> </w:t>
      </w:r>
      <w:r>
        <w:t>to $</w:t>
      </w:r>
      <w:r w:rsidR="009B4908">
        <w:t>117.27</w:t>
      </w:r>
      <w:r w:rsidR="00174702">
        <w:t> </w:t>
      </w:r>
      <w:r w:rsidR="005E1AD2">
        <w:t xml:space="preserve">per </w:t>
      </w:r>
      <w:r>
        <w:t>TEU</w:t>
      </w:r>
      <w:r w:rsidR="004D2799">
        <w:t xml:space="preserve"> in </w:t>
      </w:r>
      <w:r w:rsidR="00D8433D">
        <w:t>2014–15</w:t>
      </w:r>
      <w:r>
        <w:t>.</w:t>
      </w:r>
    </w:p>
    <w:p w:rsidR="00EF11D3" w:rsidRDefault="00EF11D3" w:rsidP="008A415E">
      <w:pPr>
        <w:pStyle w:val="Bulletpoint"/>
      </w:pPr>
      <w:proofErr w:type="gramStart"/>
      <w:r>
        <w:t>unit</w:t>
      </w:r>
      <w:proofErr w:type="gramEnd"/>
      <w:r>
        <w:t xml:space="preserve"> revenue from stevedoring activities declined by </w:t>
      </w:r>
      <w:r w:rsidR="00D41684">
        <w:t xml:space="preserve">42.0 </w:t>
      </w:r>
      <w:r>
        <w:t>per cent, from $</w:t>
      </w:r>
      <w:r w:rsidR="00D41684">
        <w:t>171.95</w:t>
      </w:r>
      <w:r w:rsidR="00174702">
        <w:t xml:space="preserve"> per </w:t>
      </w:r>
      <w:r>
        <w:t>TEU to $</w:t>
      </w:r>
      <w:r w:rsidR="009B4908">
        <w:t>99.67</w:t>
      </w:r>
      <w:r w:rsidR="00174702">
        <w:t xml:space="preserve"> per </w:t>
      </w:r>
      <w:r>
        <w:t>TEU in 2014–15.</w:t>
      </w:r>
    </w:p>
    <w:p w:rsidR="009D311A" w:rsidRDefault="00EF11D3" w:rsidP="008A415E">
      <w:pPr>
        <w:pStyle w:val="Bulletpoint"/>
      </w:pPr>
      <w:proofErr w:type="gramStart"/>
      <w:r>
        <w:t>unit</w:t>
      </w:r>
      <w:proofErr w:type="gramEnd"/>
      <w:r>
        <w:t xml:space="preserve"> revenue from non-stevedoring activities </w:t>
      </w:r>
      <w:r w:rsidR="005E1AD2">
        <w:t>has fallen</w:t>
      </w:r>
      <w:r w:rsidR="004D2799">
        <w:t xml:space="preserve"> by 23.5 per cent, from</w:t>
      </w:r>
      <w:r>
        <w:t xml:space="preserve"> $</w:t>
      </w:r>
      <w:r w:rsidR="004D2799">
        <w:t>23.00</w:t>
      </w:r>
      <w:r w:rsidR="00174702">
        <w:t> </w:t>
      </w:r>
      <w:r w:rsidR="00E76E0B">
        <w:t xml:space="preserve">per </w:t>
      </w:r>
      <w:r>
        <w:t>T</w:t>
      </w:r>
      <w:r w:rsidR="00D41684">
        <w:t>EU</w:t>
      </w:r>
      <w:r w:rsidR="004D2799">
        <w:t xml:space="preserve"> to</w:t>
      </w:r>
      <w:r>
        <w:t xml:space="preserve"> $</w:t>
      </w:r>
      <w:r w:rsidR="004D2799">
        <w:t>17.61</w:t>
      </w:r>
      <w:r w:rsidR="00174702">
        <w:t> </w:t>
      </w:r>
      <w:r w:rsidR="00E76E0B">
        <w:t xml:space="preserve">per </w:t>
      </w:r>
      <w:r>
        <w:t xml:space="preserve">TEU in </w:t>
      </w:r>
      <w:r w:rsidR="004D2799">
        <w:t>2014</w:t>
      </w:r>
      <w:r>
        <w:t>–</w:t>
      </w:r>
      <w:r w:rsidR="004D2799">
        <w:t>15</w:t>
      </w:r>
      <w:r>
        <w:t>.</w:t>
      </w:r>
    </w:p>
    <w:p w:rsidR="009D311A" w:rsidRDefault="009D311A" w:rsidP="009D311A">
      <w:pPr>
        <w:pStyle w:val="Numbered111"/>
      </w:pPr>
      <w:bookmarkStart w:id="56" w:name="_Toc433667020"/>
      <w:r>
        <w:t>Unit stevedoring revenue—by type of container</w:t>
      </w:r>
      <w:bookmarkEnd w:id="56"/>
    </w:p>
    <w:p w:rsidR="00EF11D3" w:rsidRDefault="00861042" w:rsidP="00EF11D3">
      <w:r w:rsidRPr="005E1AD2">
        <w:rPr>
          <w:b/>
        </w:rPr>
        <w:t>Unit stevedoring revenue</w:t>
      </w:r>
      <w:r>
        <w:t xml:space="preserve"> is revenue from stevedoring services (i.e. from lifting containers on and </w:t>
      </w:r>
      <w:r w:rsidR="00CE3FFD">
        <w:t xml:space="preserve">off </w:t>
      </w:r>
      <w:r>
        <w:t>ships) divided by total volume</w:t>
      </w:r>
      <w:r w:rsidR="00217AAA">
        <w:t xml:space="preserve"> (in </w:t>
      </w:r>
      <w:r w:rsidR="00E76E0B">
        <w:t>TEUs</w:t>
      </w:r>
      <w:r w:rsidR="00217AAA">
        <w:t>)</w:t>
      </w:r>
      <w:r>
        <w:t>. It is a</w:t>
      </w:r>
      <w:r w:rsidR="005E1AD2">
        <w:t xml:space="preserve"> weighted </w:t>
      </w:r>
      <w:r>
        <w:t xml:space="preserve">average measure of </w:t>
      </w:r>
      <w:r w:rsidR="005E1AD2">
        <w:t xml:space="preserve">stevedoring </w:t>
      </w:r>
      <w:r>
        <w:t xml:space="preserve">revenue earned on all containers. </w:t>
      </w:r>
      <w:r w:rsidR="00EF11D3">
        <w:t>The proportion of containers represented by 20- and 40-foot containers, as well as relative changes in these proportions, can affect the average measure of unit stevedoring revenue.</w:t>
      </w:r>
      <w:r w:rsidR="00F74B57">
        <w:t xml:space="preserve"> In particular</w:t>
      </w:r>
      <w:r w:rsidR="00EF11D3">
        <w:t xml:space="preserve">, a relative increase in the use of 40-foot containers can have a downward effect on average measures of revenue expressed in terms of </w:t>
      </w:r>
      <w:r w:rsidR="00E76E0B">
        <w:t>TEUs</w:t>
      </w:r>
      <w:r w:rsidR="00EF11D3">
        <w:t xml:space="preserve">. </w:t>
      </w:r>
    </w:p>
    <w:p w:rsidR="009D311A" w:rsidRDefault="00EF11D3" w:rsidP="00EF11D3">
      <w:r>
        <w:t>To isolate the effects of product mix changes in broad average measures, the ACCC analyses separate data on unit revenue allocated among 20- and 40-foot containers. These provide a more accurate indication of changes in prices actually paid by users for each type of container.</w:t>
      </w:r>
    </w:p>
    <w:p w:rsidR="009D311A" w:rsidRDefault="009D311A" w:rsidP="009D311A">
      <w:pPr>
        <w:pStyle w:val="Tabletitle"/>
      </w:pPr>
      <w:r>
        <w:t>Figure 3.</w:t>
      </w:r>
      <w:r w:rsidR="006E34F2">
        <w:t>4</w:t>
      </w:r>
      <w:r>
        <w:t xml:space="preserve">: Unit stevedoring revenue by type of container (20- and 40-foot containers) in real terms, </w:t>
      </w:r>
      <w:r w:rsidR="00D8433D">
        <w:t>2001–02</w:t>
      </w:r>
      <w:r>
        <w:t xml:space="preserve"> to </w:t>
      </w:r>
      <w:r w:rsidR="00D8433D">
        <w:t>2014–15</w:t>
      </w:r>
    </w:p>
    <w:p w:rsidR="009D311A" w:rsidRDefault="00080C06" w:rsidP="009D311A">
      <w:r w:rsidRPr="00080C06">
        <w:rPr>
          <w:noProof/>
          <w:lang w:eastAsia="en-AU"/>
        </w:rPr>
        <w:drawing>
          <wp:inline distT="0" distB="0" distL="0" distR="0" wp14:anchorId="290EA286" wp14:editId="317DBABC">
            <wp:extent cx="5412105" cy="3966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12105" cy="3966210"/>
                    </a:xfrm>
                    <a:prstGeom prst="rect">
                      <a:avLst/>
                    </a:prstGeom>
                    <a:noFill/>
                    <a:ln>
                      <a:noFill/>
                    </a:ln>
                  </pic:spPr>
                </pic:pic>
              </a:graphicData>
            </a:graphic>
          </wp:inline>
        </w:drawing>
      </w:r>
    </w:p>
    <w:p w:rsidR="009D311A" w:rsidRDefault="00A6790F" w:rsidP="00A6790F">
      <w:pPr>
        <w:pStyle w:val="Source"/>
        <w:ind w:left="907" w:hanging="907"/>
      </w:pPr>
      <w:r>
        <w:t>Source:</w:t>
      </w:r>
      <w:r>
        <w:tab/>
      </w:r>
      <w:r w:rsidR="00D347CE">
        <w:t>n</w:t>
      </w:r>
      <w:r w:rsidRPr="00A6790F">
        <w:t>ominal data provided by the stevedoring companies</w:t>
      </w:r>
      <w:r w:rsidR="0091647C">
        <w:t>,</w:t>
      </w:r>
      <w:r w:rsidRPr="00A6790F">
        <w:t xml:space="preserve"> converted to real terms using ABS GDP deflator series. Base year for ACCC deflator series: 2000–01.</w:t>
      </w:r>
    </w:p>
    <w:p w:rsidR="008A415E" w:rsidRDefault="008A415E" w:rsidP="008A415E">
      <w:pPr>
        <w:ind w:left="907" w:hanging="907"/>
        <w:rPr>
          <w:sz w:val="16"/>
          <w:szCs w:val="16"/>
        </w:rPr>
      </w:pPr>
      <w:r w:rsidRPr="008A415E">
        <w:rPr>
          <w:sz w:val="16"/>
          <w:szCs w:val="16"/>
        </w:rPr>
        <w:t>Note:</w:t>
      </w:r>
      <w:r w:rsidRPr="008A415E">
        <w:rPr>
          <w:sz w:val="16"/>
          <w:szCs w:val="16"/>
        </w:rPr>
        <w:tab/>
      </w:r>
      <w:r w:rsidR="00D8433D">
        <w:rPr>
          <w:sz w:val="16"/>
          <w:szCs w:val="16"/>
        </w:rPr>
        <w:t>2001–02</w:t>
      </w:r>
      <w:r>
        <w:rPr>
          <w:sz w:val="16"/>
          <w:szCs w:val="16"/>
        </w:rPr>
        <w:t xml:space="preserve"> was the first year in which the ACCC collected data by type of container.</w:t>
      </w:r>
    </w:p>
    <w:p w:rsidR="00EF11D3" w:rsidRDefault="00EF11D3" w:rsidP="008A415E">
      <w:pPr>
        <w:ind w:left="907" w:hanging="907"/>
      </w:pPr>
      <w:r>
        <w:t>The key points arising from figure 3.</w:t>
      </w:r>
      <w:r w:rsidR="006E34F2">
        <w:t>4</w:t>
      </w:r>
      <w:r>
        <w:t xml:space="preserve"> are:</w:t>
      </w:r>
    </w:p>
    <w:p w:rsidR="00A6790F" w:rsidRDefault="00A64D7E" w:rsidP="008A415E">
      <w:pPr>
        <w:pStyle w:val="Bulletpoint"/>
      </w:pPr>
      <w:r w:rsidRPr="00A64D7E">
        <w:t>For 20-foot containers,</w:t>
      </w:r>
      <w:r w:rsidR="00A6790F">
        <w:t xml:space="preserve"> real unit stevedoring revenue </w:t>
      </w:r>
      <w:r w:rsidR="00CE3FFD">
        <w:t xml:space="preserve">has </w:t>
      </w:r>
      <w:r w:rsidRPr="00A64D7E">
        <w:t xml:space="preserve">decreased by 22.1 per cent from $189.92 in 2001–02 to $147.94 in 2014–15. </w:t>
      </w:r>
    </w:p>
    <w:p w:rsidR="00A64D7E" w:rsidRDefault="00F74B57" w:rsidP="00F74B57">
      <w:pPr>
        <w:pStyle w:val="Bulletpoint"/>
      </w:pPr>
      <w:r>
        <w:t>F</w:t>
      </w:r>
      <w:r w:rsidRPr="00F74B57">
        <w:t>or 40-foot containers</w:t>
      </w:r>
      <w:r>
        <w:t>, r</w:t>
      </w:r>
      <w:r w:rsidR="00A64D7E" w:rsidRPr="00A64D7E">
        <w:t>eal unit stevedoring rev</w:t>
      </w:r>
      <w:r w:rsidR="00A6790F">
        <w:t xml:space="preserve">enue </w:t>
      </w:r>
      <w:r w:rsidR="00CE3FFD">
        <w:t>has decreased</w:t>
      </w:r>
      <w:r w:rsidR="00CE3FFD" w:rsidRPr="00A64D7E">
        <w:t xml:space="preserve"> </w:t>
      </w:r>
      <w:r w:rsidR="00A64D7E" w:rsidRPr="00A64D7E">
        <w:t>by 2</w:t>
      </w:r>
      <w:r w:rsidR="00A6790F">
        <w:t>3</w:t>
      </w:r>
      <w:r w:rsidR="00A64D7E" w:rsidRPr="00A64D7E">
        <w:t>.</w:t>
      </w:r>
      <w:r w:rsidR="00A6790F">
        <w:t>1</w:t>
      </w:r>
      <w:r w:rsidR="00A64D7E" w:rsidRPr="00A64D7E">
        <w:t xml:space="preserve"> per cent from $97.47 in 2001–02 to $</w:t>
      </w:r>
      <w:r w:rsidR="00A6790F">
        <w:t>74.95</w:t>
      </w:r>
      <w:r w:rsidR="00A64D7E" w:rsidRPr="00A64D7E">
        <w:t xml:space="preserve"> in 2014–15.</w:t>
      </w:r>
    </w:p>
    <w:p w:rsidR="00A64D7E" w:rsidRDefault="00A64D7E" w:rsidP="008A415E">
      <w:pPr>
        <w:pStyle w:val="Bulletpoint"/>
      </w:pPr>
      <w:r w:rsidRPr="00A64D7E">
        <w:t xml:space="preserve">In average terms, unit stevedoring revenue earned on all containers </w:t>
      </w:r>
      <w:r w:rsidR="00CE3FFD">
        <w:t xml:space="preserve">has </w:t>
      </w:r>
      <w:r w:rsidR="00A6790F">
        <w:t xml:space="preserve">fallen </w:t>
      </w:r>
      <w:r w:rsidRPr="00A64D7E">
        <w:t xml:space="preserve">by </w:t>
      </w:r>
      <w:r w:rsidR="00A6790F">
        <w:t>30.9</w:t>
      </w:r>
      <w:r w:rsidRPr="00A64D7E">
        <w:t xml:space="preserve"> per cent </w:t>
      </w:r>
      <w:r w:rsidR="00A6790F">
        <w:t xml:space="preserve">since </w:t>
      </w:r>
      <w:r w:rsidR="00D8433D">
        <w:t>2001–02</w:t>
      </w:r>
      <w:r w:rsidR="00A6790F">
        <w:t xml:space="preserve">, </w:t>
      </w:r>
      <w:r w:rsidRPr="00A64D7E">
        <w:t>from $</w:t>
      </w:r>
      <w:r w:rsidR="00A6790F">
        <w:t>144.24</w:t>
      </w:r>
      <w:r w:rsidRPr="00A64D7E">
        <w:t xml:space="preserve"> to $</w:t>
      </w:r>
      <w:r w:rsidR="00A6790F">
        <w:t>99.67</w:t>
      </w:r>
      <w:r w:rsidRPr="00A64D7E">
        <w:t xml:space="preserve"> in 20</w:t>
      </w:r>
      <w:r w:rsidR="00A6790F">
        <w:t>14</w:t>
      </w:r>
      <w:r w:rsidRPr="00A64D7E">
        <w:t>–</w:t>
      </w:r>
      <w:r w:rsidR="00A6790F">
        <w:t>15</w:t>
      </w:r>
      <w:r w:rsidRPr="00A64D7E">
        <w:t xml:space="preserve">. </w:t>
      </w:r>
      <w:r w:rsidR="0044552E" w:rsidRPr="00B35EC8">
        <w:t xml:space="preserve">The decline in unit </w:t>
      </w:r>
      <w:r w:rsidR="00DC18B6" w:rsidRPr="00B35EC8">
        <w:t xml:space="preserve">total </w:t>
      </w:r>
      <w:r w:rsidR="0044552E" w:rsidRPr="00B35EC8">
        <w:t>revenues is largely attributed to a significant increase in the use of 40-foot containers.</w:t>
      </w:r>
    </w:p>
    <w:p w:rsidR="00A64D7E" w:rsidRDefault="001A3F47" w:rsidP="001A3F47">
      <w:r>
        <w:t>T</w:t>
      </w:r>
      <w:r w:rsidR="00EF11D3">
        <w:t xml:space="preserve">he ACCC understands that stevedoring tariffs typically include charges related to the discharge, loading or re-stowing of a container which are set on the basis of per container lift and are not differentiated on the basis of the size of the container. It follows that from a stevedore’s perspective, a proportionate increase in the use of 40-foot containers will result in lower average </w:t>
      </w:r>
      <w:r w:rsidR="00F74B57">
        <w:t xml:space="preserve">unit </w:t>
      </w:r>
      <w:r w:rsidR="00EF11D3">
        <w:t>stevedoring revenues.</w:t>
      </w:r>
      <w:r w:rsidRPr="001A3F47">
        <w:t xml:space="preserve"> </w:t>
      </w:r>
    </w:p>
    <w:p w:rsidR="00EF11D3" w:rsidRDefault="00204BCB" w:rsidP="00EF11D3">
      <w:r>
        <w:t xml:space="preserve">Volume information </w:t>
      </w:r>
      <w:r w:rsidR="00F74B57">
        <w:t xml:space="preserve">for </w:t>
      </w:r>
      <w:r w:rsidR="00F74B57" w:rsidRPr="00F74B57">
        <w:t>20</w:t>
      </w:r>
      <w:r w:rsidR="00F74B57">
        <w:t>- and 40</w:t>
      </w:r>
      <w:r w:rsidR="00F74B57" w:rsidRPr="00F74B57">
        <w:t>-foot containers</w:t>
      </w:r>
      <w:r>
        <w:t xml:space="preserve"> provided to the ACCC as part of the monitoring </w:t>
      </w:r>
      <w:r w:rsidR="00F74B57">
        <w:t xml:space="preserve">program </w:t>
      </w:r>
      <w:r>
        <w:t>shows that the</w:t>
      </w:r>
      <w:r w:rsidR="00EF11D3">
        <w:t xml:space="preserve"> number of </w:t>
      </w:r>
      <w:r w:rsidR="00E76E0B">
        <w:t>TEUs</w:t>
      </w:r>
      <w:r w:rsidR="00EF11D3">
        <w:t xml:space="preserve"> </w:t>
      </w:r>
      <w:r w:rsidR="00217AAA">
        <w:t>attributable</w:t>
      </w:r>
      <w:r w:rsidR="00F74B57">
        <w:t xml:space="preserve"> to</w:t>
      </w:r>
      <w:r w:rsidR="005E1AD2">
        <w:t xml:space="preserve"> </w:t>
      </w:r>
      <w:r w:rsidR="00EF11D3">
        <w:t xml:space="preserve">40-foot containers was </w:t>
      </w:r>
      <w:r w:rsidR="0044552E">
        <w:t>197</w:t>
      </w:r>
      <w:r w:rsidR="00EF11D3">
        <w:t>.</w:t>
      </w:r>
      <w:r w:rsidR="0044552E">
        <w:t>3</w:t>
      </w:r>
      <w:r w:rsidR="00EF11D3">
        <w:t xml:space="preserve"> per cent greater in 201</w:t>
      </w:r>
      <w:r w:rsidR="0044552E">
        <w:t>4</w:t>
      </w:r>
      <w:r w:rsidR="00EF11D3">
        <w:t>–1</w:t>
      </w:r>
      <w:r w:rsidR="0044552E">
        <w:t>5</w:t>
      </w:r>
      <w:r>
        <w:t xml:space="preserve"> than in </w:t>
      </w:r>
      <w:r w:rsidR="00D8433D">
        <w:t>2001–02</w:t>
      </w:r>
      <w:r>
        <w:t xml:space="preserve">. </w:t>
      </w:r>
      <w:r w:rsidR="00F74B57">
        <w:t>In contrast, t</w:t>
      </w:r>
      <w:r w:rsidR="00EF11D3">
        <w:t xml:space="preserve">he use of 20-foot containers has </w:t>
      </w:r>
      <w:r>
        <w:t>i</w:t>
      </w:r>
      <w:r w:rsidR="00EF11D3">
        <w:t xml:space="preserve">ncreased by </w:t>
      </w:r>
      <w:r w:rsidR="0044552E">
        <w:t>48</w:t>
      </w:r>
      <w:r w:rsidR="00EF11D3">
        <w:t>.</w:t>
      </w:r>
      <w:r w:rsidR="00E21667">
        <w:t xml:space="preserve">7 </w:t>
      </w:r>
      <w:r w:rsidR="00EF11D3">
        <w:t>per cent</w:t>
      </w:r>
      <w:r>
        <w:t xml:space="preserve"> over the same period of time</w:t>
      </w:r>
      <w:r w:rsidR="00EF11D3">
        <w:t>. T</w:t>
      </w:r>
      <w:r w:rsidR="00B35EC8">
        <w:t xml:space="preserve">he </w:t>
      </w:r>
      <w:r w:rsidR="008A415E">
        <w:t>significant</w:t>
      </w:r>
      <w:r w:rsidR="00EF11D3">
        <w:t xml:space="preserve"> shift in usage patterns towards 40-foot containers</w:t>
      </w:r>
      <w:r w:rsidR="0044552E">
        <w:t xml:space="preserve"> </w:t>
      </w:r>
      <w:r w:rsidR="005B4E27">
        <w:t>has</w:t>
      </w:r>
      <w:r w:rsidR="00BA5AD4">
        <w:t xml:space="preserve">, </w:t>
      </w:r>
      <w:r w:rsidR="00242E41">
        <w:t xml:space="preserve">for the reasons </w:t>
      </w:r>
      <w:r w:rsidR="00BA5AD4">
        <w:t>explained above,</w:t>
      </w:r>
      <w:r w:rsidR="0044552E">
        <w:t xml:space="preserve"> </w:t>
      </w:r>
      <w:r w:rsidR="00BA5AD4">
        <w:t>result</w:t>
      </w:r>
      <w:r w:rsidR="005B4E27">
        <w:t>ed</w:t>
      </w:r>
      <w:r w:rsidR="00BA5AD4">
        <w:t xml:space="preserve"> in lower </w:t>
      </w:r>
      <w:r w:rsidR="0044552E" w:rsidRPr="0044552E">
        <w:t>real unit stevedoring revenue</w:t>
      </w:r>
      <w:r w:rsidR="00EF11D3">
        <w:t>.</w:t>
      </w:r>
    </w:p>
    <w:p w:rsidR="009D311A" w:rsidRDefault="0057396D" w:rsidP="009D311A">
      <w:pPr>
        <w:pStyle w:val="Numbered111"/>
      </w:pPr>
      <w:bookmarkStart w:id="57" w:name="_Toc433667021"/>
      <w:r>
        <w:t xml:space="preserve">Non-stevedoring </w:t>
      </w:r>
      <w:r w:rsidR="009D311A">
        <w:t>revenue—revenue from ancillary services</w:t>
      </w:r>
      <w:bookmarkEnd w:id="57"/>
    </w:p>
    <w:p w:rsidR="0002438C" w:rsidRPr="00631E8A" w:rsidRDefault="0002438C" w:rsidP="0039484C">
      <w:r>
        <w:t>As noted in section 3.</w:t>
      </w:r>
      <w:r w:rsidR="006E34F2">
        <w:t>3</w:t>
      </w:r>
      <w:r>
        <w:t>.1, non-stevedoring revenue</w:t>
      </w:r>
      <w:r w:rsidR="0057396D">
        <w:t xml:space="preserve"> </w:t>
      </w:r>
      <w:r>
        <w:t xml:space="preserve">has been an </w:t>
      </w:r>
      <w:r w:rsidR="0039484C">
        <w:t xml:space="preserve">increasingly important source of </w:t>
      </w:r>
      <w:r w:rsidR="00DC18B6">
        <w:t>income</w:t>
      </w:r>
      <w:r w:rsidR="0057396D">
        <w:t xml:space="preserve"> for the stevedores</w:t>
      </w:r>
      <w:r w:rsidR="00D5479E">
        <w:t>.</w:t>
      </w:r>
    </w:p>
    <w:p w:rsidR="00E20E36" w:rsidRPr="004219A4" w:rsidRDefault="0039484C" w:rsidP="004219A4">
      <w:r w:rsidRPr="00631E8A">
        <w:t xml:space="preserve">A brief discussion of broad trends in some of the </w:t>
      </w:r>
      <w:r w:rsidR="0057396D">
        <w:t>non-stevedoring</w:t>
      </w:r>
      <w:r w:rsidRPr="00631E8A">
        <w:t xml:space="preserve"> revenue</w:t>
      </w:r>
      <w:r w:rsidR="00242E41">
        <w:t>s</w:t>
      </w:r>
      <w:r w:rsidRPr="00631E8A">
        <w:t xml:space="preserve"> is presented below.</w:t>
      </w:r>
    </w:p>
    <w:p w:rsidR="009D311A" w:rsidRPr="00631E8A" w:rsidRDefault="009D311A" w:rsidP="00D5479E">
      <w:pPr>
        <w:pStyle w:val="Heading4"/>
      </w:pPr>
      <w:r w:rsidRPr="00631E8A">
        <w:t>Storage revenue</w:t>
      </w:r>
    </w:p>
    <w:p w:rsidR="00D5479E" w:rsidRDefault="00D5479E" w:rsidP="00D5479E">
      <w:r>
        <w:t>A significant component of other revenues in recent years has been derived from container storage services. It is general practice of the stevedores to provide a free storage period. Storage fees are applied if containers are not collected from the terminals within the free period.</w:t>
      </w:r>
    </w:p>
    <w:p w:rsidR="00631E8A" w:rsidRPr="00631E8A" w:rsidRDefault="00242E41" w:rsidP="0039484C">
      <w:r>
        <w:t>S</w:t>
      </w:r>
      <w:r w:rsidR="0039484C" w:rsidRPr="00631E8A">
        <w:t xml:space="preserve">torage revenue was </w:t>
      </w:r>
      <w:r w:rsidR="004C3D1F" w:rsidRPr="00631E8A">
        <w:t>18</w:t>
      </w:r>
      <w:r w:rsidR="0039484C" w:rsidRPr="00631E8A">
        <w:t>.</w:t>
      </w:r>
      <w:r w:rsidR="004C3D1F" w:rsidRPr="00631E8A">
        <w:t>5</w:t>
      </w:r>
      <w:r w:rsidR="0039484C" w:rsidRPr="00631E8A">
        <w:t xml:space="preserve"> per cent higher in real terms in 201</w:t>
      </w:r>
      <w:r w:rsidR="004C3D1F" w:rsidRPr="00631E8A">
        <w:t>4</w:t>
      </w:r>
      <w:r w:rsidR="0039484C" w:rsidRPr="00631E8A">
        <w:t>–1</w:t>
      </w:r>
      <w:r w:rsidR="004C3D1F" w:rsidRPr="00631E8A">
        <w:t>5</w:t>
      </w:r>
      <w:r w:rsidR="008B4A03" w:rsidRPr="00631E8A">
        <w:t xml:space="preserve"> than in 2001–02</w:t>
      </w:r>
      <w:r w:rsidR="00631E8A" w:rsidRPr="00631E8A">
        <w:t>.</w:t>
      </w:r>
      <w:r w:rsidR="008B4A03" w:rsidRPr="00631E8A">
        <w:t xml:space="preserve"> </w:t>
      </w:r>
      <w:r w:rsidR="0039484C" w:rsidRPr="00631E8A">
        <w:t xml:space="preserve">However, on a per TEU basis, storage revenue </w:t>
      </w:r>
      <w:r w:rsidR="00631E8A" w:rsidRPr="00631E8A">
        <w:t xml:space="preserve">decreased by 46.7 per cent in real terms from $4.84 in </w:t>
      </w:r>
      <w:r w:rsidR="00D8433D">
        <w:t>2001–02</w:t>
      </w:r>
      <w:r w:rsidR="00631E8A" w:rsidRPr="00631E8A">
        <w:t xml:space="preserve"> to $2.58 in </w:t>
      </w:r>
      <w:r w:rsidR="00D8433D">
        <w:t>2014–15</w:t>
      </w:r>
      <w:r w:rsidR="00631E8A" w:rsidRPr="00631E8A">
        <w:t xml:space="preserve">. </w:t>
      </w:r>
    </w:p>
    <w:p w:rsidR="009D311A" w:rsidRDefault="0039484C" w:rsidP="0039484C">
      <w:r w:rsidRPr="00631E8A">
        <w:t>Decreases in real unit storage revenues over time can reflect a combination of factors, including decreases in the number of containers remaining in terminals beyond the fee-free period and the move to larger containers.</w:t>
      </w:r>
    </w:p>
    <w:p w:rsidR="009D311A" w:rsidRDefault="009D311A" w:rsidP="009D311A">
      <w:pPr>
        <w:pStyle w:val="Heading4"/>
      </w:pPr>
      <w:r>
        <w:t>Vehicle booking systems</w:t>
      </w:r>
    </w:p>
    <w:p w:rsidR="0039484C" w:rsidRDefault="0039484C" w:rsidP="0039484C">
      <w:r>
        <w:t xml:space="preserve">Automated VBS are used to manage the road-based flow of containers in and out of Australia’s major container ports. Revenue from this </w:t>
      </w:r>
      <w:r w:rsidRPr="000705DA">
        <w:t>activity represented 1</w:t>
      </w:r>
      <w:r w:rsidR="004C3D1F" w:rsidRPr="000705DA">
        <w:t>7</w:t>
      </w:r>
      <w:r w:rsidRPr="000705DA">
        <w:t>.5 per cent of total other revenue in 201</w:t>
      </w:r>
      <w:r w:rsidR="004C3D1F" w:rsidRPr="000705DA">
        <w:t>4</w:t>
      </w:r>
      <w:r w:rsidRPr="000705DA">
        <w:t>–1</w:t>
      </w:r>
      <w:r w:rsidR="004C3D1F" w:rsidRPr="000705DA">
        <w:t>5</w:t>
      </w:r>
      <w:r w:rsidRPr="000705DA">
        <w:t>.</w:t>
      </w:r>
    </w:p>
    <w:p w:rsidR="0039484C" w:rsidRDefault="0039484C" w:rsidP="0039484C">
      <w:r>
        <w:t>Since 2001–02, VBS revenues have grown significantly, from $1.7 million to $2</w:t>
      </w:r>
      <w:r w:rsidR="004C3D1F">
        <w:t>1</w:t>
      </w:r>
      <w:r>
        <w:t>.4 million in real terms in 201</w:t>
      </w:r>
      <w:r w:rsidR="004C3D1F">
        <w:t>4</w:t>
      </w:r>
      <w:r>
        <w:t>–1</w:t>
      </w:r>
      <w:r w:rsidR="004C3D1F">
        <w:t>5</w:t>
      </w:r>
      <w:r>
        <w:t>. On a per unit basis, it has also increased</w:t>
      </w:r>
      <w:r w:rsidR="00757DBE">
        <w:t xml:space="preserve"> significantly</w:t>
      </w:r>
      <w:r>
        <w:t>, from $0.56 to $3.0</w:t>
      </w:r>
      <w:r w:rsidR="004C3D1F">
        <w:t>8</w:t>
      </w:r>
      <w:r>
        <w:t xml:space="preserve"> in real terms over the same period. </w:t>
      </w:r>
    </w:p>
    <w:p w:rsidR="009D311A" w:rsidRDefault="0039484C" w:rsidP="0039484C">
      <w:r w:rsidRPr="00FA5D42">
        <w:t>Long</w:t>
      </w:r>
      <w:r w:rsidR="0055370A">
        <w:t xml:space="preserve"> </w:t>
      </w:r>
      <w:r w:rsidRPr="00FA5D42">
        <w:t xml:space="preserve">term trends of increasing VBS revenues, in overall terms and on a per </w:t>
      </w:r>
      <w:r w:rsidR="00A14305">
        <w:t>TEU</w:t>
      </w:r>
      <w:r w:rsidR="00A14305" w:rsidRPr="00FA5D42">
        <w:t xml:space="preserve"> </w:t>
      </w:r>
      <w:r w:rsidRPr="00FA5D42">
        <w:t>basis, are likely to reflect a number of factors. They could, for example, represent higher VBS charges by the stevedores.</w:t>
      </w:r>
      <w:r w:rsidR="00D567F8">
        <w:t xml:space="preserve"> </w:t>
      </w:r>
      <w:r w:rsidR="00DE44D6">
        <w:t>H</w:t>
      </w:r>
      <w:r w:rsidR="00D567F8">
        <w:t xml:space="preserve">igher </w:t>
      </w:r>
      <w:r w:rsidR="00D567F8" w:rsidRPr="008A415E">
        <w:t xml:space="preserve">VBS revenues </w:t>
      </w:r>
      <w:r w:rsidR="00AB2511">
        <w:t>most likely</w:t>
      </w:r>
      <w:r w:rsidR="00AB2511" w:rsidRPr="008A415E">
        <w:t xml:space="preserve"> </w:t>
      </w:r>
      <w:r w:rsidR="00D567F8" w:rsidRPr="008A415E">
        <w:t xml:space="preserve">also reflect an increase </w:t>
      </w:r>
      <w:r w:rsidR="00A3101F">
        <w:t xml:space="preserve">in the </w:t>
      </w:r>
      <w:r w:rsidR="00D567F8" w:rsidRPr="008A415E">
        <w:t xml:space="preserve">number of trucks </w:t>
      </w:r>
      <w:r w:rsidR="003D673B">
        <w:t>accessing</w:t>
      </w:r>
      <w:r w:rsidR="00D567F8" w:rsidRPr="008A415E">
        <w:t xml:space="preserve"> container ports</w:t>
      </w:r>
      <w:r w:rsidR="00AB2511">
        <w:t xml:space="preserve"> corresponding with higher container volumes</w:t>
      </w:r>
      <w:r w:rsidR="00D567F8" w:rsidRPr="008A415E">
        <w:t xml:space="preserve">. </w:t>
      </w:r>
      <w:r w:rsidRPr="008A415E">
        <w:t xml:space="preserve">BITRE data indicates that </w:t>
      </w:r>
      <w:r w:rsidR="00AB2511">
        <w:t>truck intensity rates have remained largely unchanged</w:t>
      </w:r>
      <w:r w:rsidR="001E384A">
        <w:t xml:space="preserve"> </w:t>
      </w:r>
      <w:r w:rsidR="001E384A" w:rsidRPr="008A415E">
        <w:t>since the September quarter 2006</w:t>
      </w:r>
      <w:r w:rsidR="00AB2511">
        <w:t xml:space="preserve">. </w:t>
      </w:r>
      <w:r w:rsidR="00702E9B">
        <w:t>Th</w:t>
      </w:r>
      <w:r w:rsidRPr="008A415E">
        <w:t xml:space="preserve">e number of </w:t>
      </w:r>
      <w:r w:rsidR="00E76E0B">
        <w:t>TEUs</w:t>
      </w:r>
      <w:r w:rsidRPr="008A415E">
        <w:t xml:space="preserve"> per truck</w:t>
      </w:r>
      <w:r w:rsidR="00DE44D6">
        <w:t xml:space="preserve"> on a national basis</w:t>
      </w:r>
      <w:r w:rsidR="00AB2511">
        <w:t xml:space="preserve"> was 2.4 in September quarter 2006, as compared to 2.3</w:t>
      </w:r>
      <w:r w:rsidR="00AB2511" w:rsidRPr="00AB2511">
        <w:t xml:space="preserve"> </w:t>
      </w:r>
      <w:r w:rsidR="00AB2511">
        <w:t>TEUs per truck in the June quarter 2015</w:t>
      </w:r>
      <w:r w:rsidRPr="00D567F8">
        <w:t>.</w:t>
      </w:r>
    </w:p>
    <w:p w:rsidR="009D311A" w:rsidRDefault="009D311A" w:rsidP="009D311A">
      <w:pPr>
        <w:pStyle w:val="Heading4"/>
      </w:pPr>
      <w:r>
        <w:t>Unspecified sources of revenue</w:t>
      </w:r>
    </w:p>
    <w:p w:rsidR="00FC134F" w:rsidRDefault="00FC4604" w:rsidP="0039484C">
      <w:r w:rsidRPr="00FC4604">
        <w:t>Since 2001–02</w:t>
      </w:r>
      <w:r w:rsidR="00FC134F">
        <w:t>,</w:t>
      </w:r>
      <w:r w:rsidRPr="00FC4604">
        <w:t xml:space="preserve"> revenue</w:t>
      </w:r>
      <w:r>
        <w:t xml:space="preserve"> </w:t>
      </w:r>
      <w:r w:rsidRPr="00FC4604">
        <w:t xml:space="preserve">from </w:t>
      </w:r>
      <w:r>
        <w:t xml:space="preserve">activities defined as ‘other’ within </w:t>
      </w:r>
      <w:r w:rsidR="00757DBE">
        <w:t>non</w:t>
      </w:r>
      <w:r w:rsidR="005E1096">
        <w:t>-</w:t>
      </w:r>
      <w:r w:rsidR="00757DBE">
        <w:t>stevedoring</w:t>
      </w:r>
      <w:r>
        <w:t xml:space="preserve"> revenue</w:t>
      </w:r>
      <w:r w:rsidR="008A415E">
        <w:t xml:space="preserve"> </w:t>
      </w:r>
      <w:r w:rsidRPr="00FC4604">
        <w:t>has increased significantly</w:t>
      </w:r>
      <w:r w:rsidR="00DE44D6">
        <w:t xml:space="preserve"> </w:t>
      </w:r>
      <w:r w:rsidR="0039484C" w:rsidRPr="00FC4604">
        <w:t>in real terms from $4.0 million</w:t>
      </w:r>
      <w:r w:rsidR="00DE44D6">
        <w:t xml:space="preserve"> to </w:t>
      </w:r>
      <w:r w:rsidR="00702E9B">
        <w:t>$</w:t>
      </w:r>
      <w:r w:rsidR="00DE44D6">
        <w:t>40.4</w:t>
      </w:r>
      <w:r w:rsidR="005E5865">
        <w:t> </w:t>
      </w:r>
      <w:r w:rsidR="00DE44D6">
        <w:t>million</w:t>
      </w:r>
      <w:r w:rsidR="0039484C" w:rsidRPr="00FC4604">
        <w:t xml:space="preserve">. </w:t>
      </w:r>
    </w:p>
    <w:p w:rsidR="0039484C" w:rsidRPr="00FC4604" w:rsidRDefault="0039484C" w:rsidP="0039484C">
      <w:r w:rsidRPr="00FC4604">
        <w:t>On a per TEU basis, revenue from unspecified sources has increased from $1.26</w:t>
      </w:r>
      <w:r w:rsidR="005E5865">
        <w:t xml:space="preserve"> per </w:t>
      </w:r>
      <w:r w:rsidRPr="00FC4604">
        <w:t>TEU in 2001–02 to $</w:t>
      </w:r>
      <w:r w:rsidR="00284201" w:rsidRPr="00FC4604">
        <w:t>5</w:t>
      </w:r>
      <w:r w:rsidRPr="00FC4604">
        <w:t>.</w:t>
      </w:r>
      <w:r w:rsidR="00284201" w:rsidRPr="00FC4604">
        <w:t>8</w:t>
      </w:r>
      <w:r w:rsidRPr="00FC4604">
        <w:t>2 in 201</w:t>
      </w:r>
      <w:r w:rsidR="00284201" w:rsidRPr="00FC4604">
        <w:t>4</w:t>
      </w:r>
      <w:r w:rsidRPr="00FC4604">
        <w:t>–1</w:t>
      </w:r>
      <w:r w:rsidR="00284201" w:rsidRPr="00FC4604">
        <w:t>5</w:t>
      </w:r>
      <w:r w:rsidRPr="00FC4604">
        <w:t xml:space="preserve">, which represents a rise of </w:t>
      </w:r>
      <w:r w:rsidR="00284201" w:rsidRPr="00FC4604">
        <w:t>360.5</w:t>
      </w:r>
      <w:r w:rsidRPr="00FC4604">
        <w:t xml:space="preserve"> per cent in real terms.</w:t>
      </w:r>
    </w:p>
    <w:p w:rsidR="009D311A" w:rsidRDefault="0039484C" w:rsidP="0039484C">
      <w:r w:rsidRPr="00FC134F">
        <w:t xml:space="preserve">It is understood from information previously provided by the stevedoring companies that most of the growth in ‘other’ unspecified revenue </w:t>
      </w:r>
      <w:r w:rsidR="002041EB">
        <w:t>wa</w:t>
      </w:r>
      <w:r w:rsidRPr="00FC134F">
        <w:t>s from services provided to the Australian Customs and Border Protection Service (ACS) as part of the container examination facilities (CEFs) program</w:t>
      </w:r>
      <w:r w:rsidRPr="006E71AA">
        <w:t>. Between 2003–04 and 201</w:t>
      </w:r>
      <w:r w:rsidR="006E71AA" w:rsidRPr="006E71AA">
        <w:t>3</w:t>
      </w:r>
      <w:r w:rsidRPr="006E71AA">
        <w:t>–1</w:t>
      </w:r>
      <w:r w:rsidR="006E71AA" w:rsidRPr="006E71AA">
        <w:t>4</w:t>
      </w:r>
      <w:r w:rsidRPr="006E71AA">
        <w:t xml:space="preserve">, the number of </w:t>
      </w:r>
      <w:r w:rsidR="00E76E0B">
        <w:t>TEUs</w:t>
      </w:r>
      <w:r w:rsidRPr="006E71AA">
        <w:t xml:space="preserve"> inspected (x</w:t>
      </w:r>
      <w:r w:rsidR="005E5865">
        <w:t>-</w:t>
      </w:r>
      <w:r w:rsidRPr="006E71AA">
        <w:t xml:space="preserve">rayed) at CEFs by the ACS increased </w:t>
      </w:r>
      <w:r w:rsidR="00F81FB7">
        <w:t>marginally</w:t>
      </w:r>
      <w:r w:rsidRPr="006E71AA">
        <w:t xml:space="preserve"> </w:t>
      </w:r>
      <w:r w:rsidRPr="008A415E">
        <w:t xml:space="preserve">from </w:t>
      </w:r>
      <w:r w:rsidR="006E71AA" w:rsidRPr="008A415E">
        <w:t>101</w:t>
      </w:r>
      <w:r w:rsidR="00275D09">
        <w:t xml:space="preserve"> 842</w:t>
      </w:r>
      <w:r w:rsidRPr="008A415E">
        <w:t xml:space="preserve"> </w:t>
      </w:r>
      <w:r w:rsidR="00E76E0B">
        <w:t>TEUs</w:t>
      </w:r>
      <w:r w:rsidRPr="008A415E">
        <w:t xml:space="preserve"> to 10</w:t>
      </w:r>
      <w:r w:rsidR="006E71AA" w:rsidRPr="008A415E">
        <w:t>2</w:t>
      </w:r>
      <w:r w:rsidR="005E5865">
        <w:t> </w:t>
      </w:r>
      <w:r w:rsidR="006E71AA" w:rsidRPr="008A415E">
        <w:t>288</w:t>
      </w:r>
      <w:r w:rsidRPr="008A415E">
        <w:t xml:space="preserve"> </w:t>
      </w:r>
      <w:r w:rsidR="00E76E0B">
        <w:t>TEUs</w:t>
      </w:r>
      <w:r w:rsidRPr="008A415E">
        <w:t>.</w:t>
      </w:r>
      <w:r w:rsidR="0027729A">
        <w:rPr>
          <w:rStyle w:val="FootnoteReference"/>
        </w:rPr>
        <w:footnoteReference w:id="100"/>
      </w:r>
    </w:p>
    <w:p w:rsidR="009D311A" w:rsidRDefault="009D311A" w:rsidP="009D311A">
      <w:pPr>
        <w:pStyle w:val="Numbered11"/>
      </w:pPr>
      <w:bookmarkStart w:id="58" w:name="_Toc433667022"/>
      <w:r>
        <w:t>Costs</w:t>
      </w:r>
      <w:bookmarkEnd w:id="58"/>
    </w:p>
    <w:p w:rsidR="009D311A" w:rsidDel="0055370A" w:rsidRDefault="009D311A" w:rsidP="009D311A">
      <w:pPr>
        <w:pStyle w:val="Numbered111"/>
      </w:pPr>
      <w:bookmarkStart w:id="59" w:name="_Toc433667023"/>
      <w:r w:rsidDel="0055370A">
        <w:t>Relative cost shares</w:t>
      </w:r>
      <w:bookmarkEnd w:id="59"/>
    </w:p>
    <w:p w:rsidR="009D311A" w:rsidDel="0055370A" w:rsidRDefault="0039484C" w:rsidP="009D311A">
      <w:r w:rsidRPr="0039484C" w:rsidDel="0055370A">
        <w:t>Figure 3.</w:t>
      </w:r>
      <w:r w:rsidR="006E34F2" w:rsidDel="0055370A">
        <w:t>5</w:t>
      </w:r>
      <w:r w:rsidRPr="0039484C" w:rsidDel="0055370A">
        <w:t xml:space="preserve"> shows changes in the share of total costs held by key cost components.</w:t>
      </w:r>
    </w:p>
    <w:p w:rsidR="00AC4027" w:rsidDel="0055370A" w:rsidRDefault="00AC4027" w:rsidP="00AC4027">
      <w:pPr>
        <w:pStyle w:val="Tabletitle"/>
      </w:pPr>
      <w:r w:rsidDel="0055370A">
        <w:t>Figure 3.</w:t>
      </w:r>
      <w:r w:rsidR="006E34F2" w:rsidDel="0055370A">
        <w:t>5</w:t>
      </w:r>
      <w:r w:rsidDel="0055370A">
        <w:t xml:space="preserve">: Cost components as a percentage of total costs, </w:t>
      </w:r>
      <w:r w:rsidR="00D8433D">
        <w:t>1998–99</w:t>
      </w:r>
      <w:r w:rsidDel="0055370A">
        <w:t xml:space="preserve"> to </w:t>
      </w:r>
      <w:r w:rsidR="00D8433D">
        <w:t>2014–15</w:t>
      </w:r>
    </w:p>
    <w:p w:rsidR="00AC4027" w:rsidDel="0055370A" w:rsidRDefault="00B143F7" w:rsidP="00AC4027">
      <w:r w:rsidRPr="00B143F7" w:rsidDel="0055370A">
        <w:rPr>
          <w:noProof/>
          <w:lang w:eastAsia="en-AU"/>
        </w:rPr>
        <w:drawing>
          <wp:inline distT="0" distB="0" distL="0" distR="0" wp14:anchorId="3F717FC9" wp14:editId="0040126C">
            <wp:extent cx="5327015" cy="3902075"/>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27015" cy="3902075"/>
                    </a:xfrm>
                    <a:prstGeom prst="rect">
                      <a:avLst/>
                    </a:prstGeom>
                    <a:noFill/>
                    <a:ln>
                      <a:noFill/>
                    </a:ln>
                  </pic:spPr>
                </pic:pic>
              </a:graphicData>
            </a:graphic>
          </wp:inline>
        </w:drawing>
      </w:r>
    </w:p>
    <w:p w:rsidR="00AC4027" w:rsidDel="0055370A" w:rsidRDefault="00AC4027" w:rsidP="00AC4027">
      <w:pPr>
        <w:pStyle w:val="Source"/>
      </w:pPr>
      <w:r w:rsidDel="0055370A">
        <w:t>Source:</w:t>
      </w:r>
      <w:r w:rsidR="001E37B2">
        <w:tab/>
      </w:r>
      <w:r w:rsidR="001E37B2">
        <w:tab/>
      </w:r>
      <w:r w:rsidR="00742A89" w:rsidRPr="00742A89" w:rsidDel="0055370A">
        <w:t>nominal data provided by the stevedoring companies as part of the ACCC’s monitoring program.</w:t>
      </w:r>
    </w:p>
    <w:p w:rsidR="00AC4027" w:rsidDel="0055370A" w:rsidRDefault="00AC4027" w:rsidP="00742A89">
      <w:pPr>
        <w:pStyle w:val="Source"/>
        <w:ind w:left="964" w:hanging="964"/>
      </w:pPr>
      <w:r w:rsidDel="0055370A">
        <w:t>Note:</w:t>
      </w:r>
      <w:r w:rsidDel="0055370A">
        <w:tab/>
      </w:r>
      <w:r w:rsidR="00702E9B">
        <w:t>O</w:t>
      </w:r>
      <w:r w:rsidR="00A32892" w:rsidDel="0055370A">
        <w:t xml:space="preserve">ther costs include port management costs and other overhead costs. Costs between 1998–99 and 2005–06 are not directly comparable with the following years due to the cessation of the stevedoring levy from May 2006. To allow some comparability of 2005–06 with the following years, the ‘2005–06 </w:t>
      </w:r>
      <w:proofErr w:type="spellStart"/>
      <w:r w:rsidR="00A32892" w:rsidDel="0055370A">
        <w:t>adj</w:t>
      </w:r>
      <w:proofErr w:type="spellEnd"/>
      <w:r w:rsidR="00A32892" w:rsidDel="0055370A">
        <w:t>’ column excludes the stevedoring levy.</w:t>
      </w:r>
    </w:p>
    <w:p w:rsidR="00742A89" w:rsidDel="0055370A" w:rsidRDefault="00742A89" w:rsidP="00742A89">
      <w:r w:rsidDel="0055370A">
        <w:t>The following observations can be made from figure 3.</w:t>
      </w:r>
      <w:r w:rsidR="006E34F2" w:rsidDel="0055370A">
        <w:t>5</w:t>
      </w:r>
      <w:r w:rsidDel="0055370A">
        <w:t xml:space="preserve"> on the composition of costs:</w:t>
      </w:r>
    </w:p>
    <w:p w:rsidR="00D82BE8" w:rsidDel="0055370A" w:rsidRDefault="00D82BE8" w:rsidP="00F81FB7">
      <w:pPr>
        <w:pStyle w:val="Bulletpoint"/>
      </w:pPr>
      <w:r w:rsidDel="0055370A">
        <w:t>Cost components as a percentage of total costs have remained relatively constant over time.</w:t>
      </w:r>
    </w:p>
    <w:p w:rsidR="00742A89" w:rsidDel="0055370A" w:rsidRDefault="00742A89" w:rsidP="00EA0B3B">
      <w:pPr>
        <w:pStyle w:val="Bulletpoint"/>
      </w:pPr>
      <w:r w:rsidDel="0055370A">
        <w:t xml:space="preserve">Labour </w:t>
      </w:r>
      <w:r w:rsidR="00470DAD" w:rsidDel="0055370A">
        <w:t xml:space="preserve">costs have </w:t>
      </w:r>
      <w:r w:rsidR="00D82BE8" w:rsidDel="0055370A">
        <w:t>been</w:t>
      </w:r>
      <w:r w:rsidDel="0055370A">
        <w:t xml:space="preserve"> the </w:t>
      </w:r>
      <w:r w:rsidR="00D82BE8" w:rsidDel="0055370A">
        <w:t xml:space="preserve">major driver </w:t>
      </w:r>
      <w:r w:rsidDel="0055370A">
        <w:t xml:space="preserve">of total costs since 1998–99. Labour costs </w:t>
      </w:r>
      <w:r w:rsidR="00FC134F" w:rsidDel="0055370A">
        <w:t>represented</w:t>
      </w:r>
      <w:r w:rsidDel="0055370A">
        <w:t xml:space="preserve"> </w:t>
      </w:r>
      <w:r w:rsidR="00FC134F" w:rsidDel="0055370A">
        <w:t xml:space="preserve">56.2 per cent of total costs in 2014–15, decreasing </w:t>
      </w:r>
      <w:r w:rsidDel="0055370A">
        <w:t xml:space="preserve">from 57.5 per cent </w:t>
      </w:r>
      <w:r w:rsidR="00FC134F" w:rsidDel="0055370A">
        <w:t>in 2013–14</w:t>
      </w:r>
      <w:r w:rsidDel="0055370A">
        <w:t>.</w:t>
      </w:r>
    </w:p>
    <w:p w:rsidR="00742A89" w:rsidDel="0055370A" w:rsidRDefault="00742A89" w:rsidP="00F81FB7">
      <w:pPr>
        <w:pStyle w:val="Bulletpoint"/>
      </w:pPr>
      <w:r w:rsidDel="0055370A">
        <w:t xml:space="preserve">Equipment costs (including depreciation) </w:t>
      </w:r>
      <w:r w:rsidR="001F02BC" w:rsidDel="0055370A">
        <w:t>were</w:t>
      </w:r>
      <w:r w:rsidR="003D673B" w:rsidDel="0055370A">
        <w:t xml:space="preserve"> </w:t>
      </w:r>
      <w:r w:rsidDel="0055370A">
        <w:t>the second largest component</w:t>
      </w:r>
      <w:r w:rsidR="00672631" w:rsidDel="0055370A">
        <w:t xml:space="preserve"> of total costs</w:t>
      </w:r>
      <w:r w:rsidR="00861DD3">
        <w:t>. They</w:t>
      </w:r>
      <w:r w:rsidR="001E37B2" w:rsidDel="0055370A">
        <w:t xml:space="preserve"> </w:t>
      </w:r>
      <w:r w:rsidDel="0055370A">
        <w:t>decreased marginally from 17.8 per cent of total costs in 2013–14 to 17.5</w:t>
      </w:r>
      <w:r w:rsidR="002041EB">
        <w:t> </w:t>
      </w:r>
      <w:r w:rsidDel="0055370A">
        <w:t>per</w:t>
      </w:r>
      <w:r w:rsidR="002041EB">
        <w:t> </w:t>
      </w:r>
      <w:r w:rsidDel="0055370A">
        <w:t>cent in 2014–15.</w:t>
      </w:r>
    </w:p>
    <w:p w:rsidR="00742A89" w:rsidDel="0055370A" w:rsidRDefault="00742A89" w:rsidP="00F81FB7">
      <w:pPr>
        <w:pStyle w:val="Bulletpoint"/>
      </w:pPr>
      <w:r w:rsidDel="0055370A">
        <w:t xml:space="preserve">Property costs increased </w:t>
      </w:r>
      <w:r w:rsidR="00D82BE8" w:rsidDel="0055370A">
        <w:t xml:space="preserve">marginally </w:t>
      </w:r>
      <w:r w:rsidDel="0055370A">
        <w:t>from 9.8 per cent of total costs in 2013–14 to 10.0</w:t>
      </w:r>
      <w:r w:rsidR="002041EB">
        <w:t> </w:t>
      </w:r>
      <w:r w:rsidDel="0055370A">
        <w:t xml:space="preserve">per cent in 2014–15. </w:t>
      </w:r>
    </w:p>
    <w:p w:rsidR="00AC4027" w:rsidDel="0055370A" w:rsidRDefault="00742A89" w:rsidP="00D82BE8">
      <w:pPr>
        <w:pStyle w:val="Bulletpoint"/>
      </w:pPr>
      <w:r w:rsidDel="0055370A">
        <w:t xml:space="preserve">The ‘other’ category, including port management fees </w:t>
      </w:r>
      <w:r w:rsidR="00D82BE8" w:rsidDel="0055370A">
        <w:t xml:space="preserve">as well as other direct </w:t>
      </w:r>
      <w:r w:rsidDel="0055370A">
        <w:t>and</w:t>
      </w:r>
      <w:r w:rsidR="00D82BE8" w:rsidDel="0055370A">
        <w:t xml:space="preserve"> </w:t>
      </w:r>
      <w:r w:rsidDel="0055370A">
        <w:t>indirect costs</w:t>
      </w:r>
      <w:r w:rsidR="00D82BE8" w:rsidDel="0055370A">
        <w:t xml:space="preserve"> such as</w:t>
      </w:r>
      <w:r w:rsidR="00CF2EB3" w:rsidDel="0055370A">
        <w:t xml:space="preserve"> corporate</w:t>
      </w:r>
      <w:r w:rsidR="00D82BE8" w:rsidDel="0055370A">
        <w:t xml:space="preserve"> </w:t>
      </w:r>
      <w:r w:rsidR="00D82BE8" w:rsidRPr="00D82BE8" w:rsidDel="0055370A">
        <w:t xml:space="preserve">overheads, </w:t>
      </w:r>
      <w:r w:rsidDel="0055370A">
        <w:t xml:space="preserve">increased from 14.9 per cent of total costs in </w:t>
      </w:r>
      <w:r w:rsidR="0048480F">
        <w:fldChar w:fldCharType="begin"/>
      </w:r>
      <w:r w:rsidR="0048480F">
        <w:instrText xml:space="preserve"> EQ 2013–14 </w:instrText>
      </w:r>
      <w:r w:rsidR="0048480F">
        <w:fldChar w:fldCharType="end"/>
      </w:r>
      <w:r w:rsidDel="0055370A">
        <w:t>to 16.4 per cent in 2014–15.</w:t>
      </w:r>
    </w:p>
    <w:p w:rsidR="00AC4027" w:rsidRDefault="00AC4027" w:rsidP="00AC4027">
      <w:pPr>
        <w:pStyle w:val="Numbered111"/>
      </w:pPr>
      <w:bookmarkStart w:id="60" w:name="_Toc433667024"/>
      <w:r>
        <w:t>Variations in unit cost components</w:t>
      </w:r>
      <w:bookmarkEnd w:id="60"/>
    </w:p>
    <w:p w:rsidR="00AC4027" w:rsidRDefault="00742A89" w:rsidP="00AC4027">
      <w:r w:rsidRPr="00742A89">
        <w:t>Figure 3.</w:t>
      </w:r>
      <w:r w:rsidR="006E34F2">
        <w:t>6</w:t>
      </w:r>
      <w:r w:rsidRPr="00742A89">
        <w:t xml:space="preserve"> shows changes in the various cost components per TEU in real terms </w:t>
      </w:r>
      <w:r w:rsidR="00D82BE8">
        <w:t>over</w:t>
      </w:r>
      <w:r w:rsidR="00D82BE8" w:rsidRPr="00742A89">
        <w:t xml:space="preserve"> </w:t>
      </w:r>
      <w:r w:rsidRPr="00742A89">
        <w:t>the monitoring period.</w:t>
      </w:r>
    </w:p>
    <w:p w:rsidR="00AC4027" w:rsidRDefault="00AC4027" w:rsidP="00AC4027">
      <w:pPr>
        <w:pStyle w:val="Tabletitle"/>
      </w:pPr>
      <w:r>
        <w:t>Figure 3.</w:t>
      </w:r>
      <w:r w:rsidR="006E34F2">
        <w:t>6</w:t>
      </w:r>
      <w:r>
        <w:t xml:space="preserve">: Cost components per unit in real terms, </w:t>
      </w:r>
      <w:r w:rsidR="00D8433D">
        <w:t>1998–99</w:t>
      </w:r>
      <w:r>
        <w:t xml:space="preserve"> to </w:t>
      </w:r>
      <w:r w:rsidR="00D8433D">
        <w:t>2014–15</w:t>
      </w:r>
    </w:p>
    <w:p w:rsidR="00AC4027" w:rsidRDefault="001C2F85" w:rsidP="00AC4027">
      <w:r w:rsidRPr="001C2F85">
        <w:rPr>
          <w:noProof/>
          <w:lang w:eastAsia="en-AU"/>
        </w:rPr>
        <w:drawing>
          <wp:inline distT="0" distB="0" distL="0" distR="0" wp14:anchorId="350F68E4" wp14:editId="2B37BA63">
            <wp:extent cx="5391150" cy="3771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91150" cy="3771900"/>
                    </a:xfrm>
                    <a:prstGeom prst="rect">
                      <a:avLst/>
                    </a:prstGeom>
                    <a:noFill/>
                    <a:ln>
                      <a:noFill/>
                    </a:ln>
                  </pic:spPr>
                </pic:pic>
              </a:graphicData>
            </a:graphic>
          </wp:inline>
        </w:drawing>
      </w:r>
    </w:p>
    <w:p w:rsidR="00AC4027" w:rsidRDefault="00672631" w:rsidP="00672631">
      <w:pPr>
        <w:pStyle w:val="Source"/>
        <w:ind w:left="907" w:hanging="907"/>
      </w:pPr>
      <w:r>
        <w:t>Source:</w:t>
      </w:r>
      <w:r>
        <w:tab/>
      </w:r>
      <w:r w:rsidR="00D347CE">
        <w:t>n</w:t>
      </w:r>
      <w:r w:rsidRPr="00672631">
        <w:t>ominal data provided by the stevedoring companies</w:t>
      </w:r>
      <w:r w:rsidR="0091647C">
        <w:t>,</w:t>
      </w:r>
      <w:r w:rsidRPr="00672631">
        <w:t xml:space="preserve"> converted to real terms using ABS GDP deflator series. Base year fo</w:t>
      </w:r>
      <w:r>
        <w:t>r ACCC deflator series: 2000–01.</w:t>
      </w:r>
    </w:p>
    <w:p w:rsidR="00384912" w:rsidRDefault="00384912" w:rsidP="00226F8C">
      <w:pPr>
        <w:ind w:left="340" w:hanging="340"/>
      </w:pPr>
      <w:r>
        <w:t>Some observations drawn from figure 3.</w:t>
      </w:r>
      <w:r w:rsidR="006E34F2">
        <w:t>6</w:t>
      </w:r>
      <w:r>
        <w:t xml:space="preserve"> are:</w:t>
      </w:r>
    </w:p>
    <w:p w:rsidR="00DE50AC" w:rsidRDefault="00672631" w:rsidP="00DE50AC">
      <w:pPr>
        <w:pStyle w:val="Bulletpoint"/>
      </w:pPr>
      <w:r w:rsidRPr="00672631">
        <w:t xml:space="preserve">Labour costs per TEU have decreased since 1998–99. In real terms, labour costs </w:t>
      </w:r>
      <w:r w:rsidR="00CF2EB3" w:rsidRPr="00672631">
        <w:t xml:space="preserve">per TEU </w:t>
      </w:r>
      <w:r w:rsidRPr="00672631">
        <w:t xml:space="preserve">have fallen by </w:t>
      </w:r>
      <w:r>
        <w:t>41</w:t>
      </w:r>
      <w:r w:rsidRPr="00672631">
        <w:t>.</w:t>
      </w:r>
      <w:r>
        <w:t>2</w:t>
      </w:r>
      <w:r w:rsidRPr="00672631">
        <w:t xml:space="preserve"> per cent, from $94.73 in 1998–99 to $5</w:t>
      </w:r>
      <w:r>
        <w:t>5</w:t>
      </w:r>
      <w:r w:rsidRPr="00672631">
        <w:t>.</w:t>
      </w:r>
      <w:r>
        <w:t>6</w:t>
      </w:r>
      <w:r w:rsidRPr="00672631">
        <w:t xml:space="preserve">8 in </w:t>
      </w:r>
      <w:r w:rsidR="00D8433D">
        <w:t>2014–15</w:t>
      </w:r>
      <w:r w:rsidRPr="00672631">
        <w:t>.</w:t>
      </w:r>
      <w:r w:rsidR="00DE50AC" w:rsidRPr="00DE50AC">
        <w:t xml:space="preserve"> </w:t>
      </w:r>
      <w:r w:rsidR="00DE50AC">
        <w:t>Labour costs per TEU decreased in real and nominal terms in 2014–15 by 2.5 per cent and 2.8 per cent respectively after three years of consecutive increases</w:t>
      </w:r>
      <w:r w:rsidR="00DE50AC" w:rsidRPr="00672631">
        <w:t>.</w:t>
      </w:r>
    </w:p>
    <w:p w:rsidR="00B45CF1" w:rsidRDefault="00B45CF1" w:rsidP="0059485A">
      <w:pPr>
        <w:pStyle w:val="Bulletpoint2"/>
      </w:pPr>
      <w:r w:rsidRPr="00B45CF1">
        <w:t>Waterfront reform, reduced over-manning and broader workplace flexibility are all likely contributing factors to lower real unit labour costs over time.</w:t>
      </w:r>
      <w:r>
        <w:t xml:space="preserve"> Increased adoption of automated technology is likely to further this trend in future years.</w:t>
      </w:r>
    </w:p>
    <w:p w:rsidR="000640EF" w:rsidRPr="00B45CF1" w:rsidRDefault="00DE50AC" w:rsidP="00F81FB7">
      <w:pPr>
        <w:pStyle w:val="Bulletpoint"/>
      </w:pPr>
      <w:r>
        <w:t>E</w:t>
      </w:r>
      <w:r w:rsidR="000640EF" w:rsidRPr="00F81FB7">
        <w:t>quipment costs</w:t>
      </w:r>
      <w:r>
        <w:t xml:space="preserve"> per TEU</w:t>
      </w:r>
      <w:r w:rsidR="000640EF" w:rsidRPr="00F81FB7">
        <w:t xml:space="preserve"> (including depreciation)</w:t>
      </w:r>
      <w:r w:rsidR="00986A9E">
        <w:t xml:space="preserve"> have</w:t>
      </w:r>
      <w:r w:rsidR="000640EF" w:rsidRPr="00F81FB7">
        <w:t xml:space="preserve"> decreased by </w:t>
      </w:r>
      <w:r w:rsidR="002A7ED6" w:rsidRPr="00F81FB7">
        <w:t>43</w:t>
      </w:r>
      <w:r w:rsidR="000640EF" w:rsidRPr="00F81FB7">
        <w:t>.</w:t>
      </w:r>
      <w:r w:rsidR="002A7ED6" w:rsidRPr="00F81FB7">
        <w:t>7</w:t>
      </w:r>
      <w:r w:rsidR="000640EF" w:rsidRPr="00F81FB7">
        <w:t xml:space="preserve"> per cent in real terms </w:t>
      </w:r>
      <w:r w:rsidR="00B45CF1">
        <w:t>since</w:t>
      </w:r>
      <w:r w:rsidR="00B45CF1" w:rsidRPr="00F81FB7">
        <w:t xml:space="preserve"> </w:t>
      </w:r>
      <w:r w:rsidR="000640EF" w:rsidRPr="00F81FB7">
        <w:t xml:space="preserve">1998–99. </w:t>
      </w:r>
      <w:r w:rsidR="000640EF" w:rsidRPr="0059485A">
        <w:t>This is likely to have been associated with newer, more efficient equipment being installed at terminals over time, resulting in lower running and maintenance costs</w:t>
      </w:r>
      <w:r w:rsidR="000640EF" w:rsidRPr="00B45CF1">
        <w:t xml:space="preserve">. </w:t>
      </w:r>
    </w:p>
    <w:p w:rsidR="000640EF" w:rsidRPr="00F81FB7" w:rsidRDefault="002A7ED6" w:rsidP="00EA0B3B">
      <w:pPr>
        <w:pStyle w:val="Bulletpoint"/>
      </w:pPr>
      <w:r w:rsidRPr="00F81FB7">
        <w:t xml:space="preserve">Other costs </w:t>
      </w:r>
      <w:r w:rsidR="00B45CF1">
        <w:t xml:space="preserve">per TEU </w:t>
      </w:r>
      <w:r w:rsidR="002041EB">
        <w:t xml:space="preserve">have </w:t>
      </w:r>
      <w:r w:rsidRPr="00F81FB7">
        <w:t>decreased</w:t>
      </w:r>
      <w:r w:rsidR="000640EF" w:rsidRPr="00F81FB7">
        <w:t xml:space="preserve"> by </w:t>
      </w:r>
      <w:r w:rsidR="008E0C12" w:rsidRPr="00F81FB7">
        <w:t>26</w:t>
      </w:r>
      <w:r w:rsidR="000640EF" w:rsidRPr="00F81FB7">
        <w:t>.</w:t>
      </w:r>
      <w:r w:rsidR="008E0C12" w:rsidRPr="00F81FB7">
        <w:t>5</w:t>
      </w:r>
      <w:r w:rsidR="000640EF" w:rsidRPr="00F81FB7">
        <w:t xml:space="preserve"> per cent in real terms</w:t>
      </w:r>
      <w:r w:rsidR="00EC0A7B">
        <w:t>,</w:t>
      </w:r>
      <w:r w:rsidR="000640EF" w:rsidRPr="00F81FB7">
        <w:t xml:space="preserve"> from $22.08 in 1998–99 to $1</w:t>
      </w:r>
      <w:r w:rsidR="008E0C12" w:rsidRPr="00F81FB7">
        <w:t>6</w:t>
      </w:r>
      <w:r w:rsidR="000640EF" w:rsidRPr="00F81FB7">
        <w:t>.</w:t>
      </w:r>
      <w:r w:rsidR="008E0C12" w:rsidRPr="00F81FB7">
        <w:t>2</w:t>
      </w:r>
      <w:r w:rsidR="000640EF" w:rsidRPr="00F81FB7">
        <w:t>4 in 201</w:t>
      </w:r>
      <w:r w:rsidR="008E0C12" w:rsidRPr="00F81FB7">
        <w:t>4</w:t>
      </w:r>
      <w:r w:rsidR="000640EF" w:rsidRPr="00F81FB7">
        <w:t>–1</w:t>
      </w:r>
      <w:r w:rsidR="008E0C12" w:rsidRPr="00F81FB7">
        <w:t>5</w:t>
      </w:r>
      <w:r w:rsidR="000640EF" w:rsidRPr="00F81FB7">
        <w:t xml:space="preserve">. This trend largely reflects lower real port management and overhead costs, and the abolition of the industry levy in 2006. </w:t>
      </w:r>
      <w:r w:rsidR="008E0C12" w:rsidRPr="00F81FB7">
        <w:t>In</w:t>
      </w:r>
      <w:r w:rsidR="000640EF" w:rsidRPr="00F81FB7">
        <w:t xml:space="preserve"> 201</w:t>
      </w:r>
      <w:r w:rsidR="008E0C12" w:rsidRPr="00F81FB7">
        <w:t>4</w:t>
      </w:r>
      <w:r w:rsidR="000640EF" w:rsidRPr="00F81FB7">
        <w:t>–1</w:t>
      </w:r>
      <w:r w:rsidR="008E0C12" w:rsidRPr="00F81FB7">
        <w:t>5</w:t>
      </w:r>
      <w:r w:rsidR="00A53F23">
        <w:t>,</w:t>
      </w:r>
      <w:r w:rsidR="000640EF" w:rsidRPr="00F81FB7">
        <w:t xml:space="preserve"> other costs increased on a per unit basis by </w:t>
      </w:r>
      <w:r w:rsidR="008E0C12" w:rsidRPr="00F81FB7">
        <w:t>9</w:t>
      </w:r>
      <w:r w:rsidR="000640EF" w:rsidRPr="00F81FB7">
        <w:t>.</w:t>
      </w:r>
      <w:r w:rsidR="008E0C12" w:rsidRPr="00F81FB7">
        <w:t>4</w:t>
      </w:r>
      <w:r w:rsidR="000640EF" w:rsidRPr="00F81FB7">
        <w:t xml:space="preserve"> per cent in re</w:t>
      </w:r>
      <w:r w:rsidR="008E0C12" w:rsidRPr="00F81FB7">
        <w:t>al terms from the previous year</w:t>
      </w:r>
      <w:r w:rsidR="002854D3" w:rsidRPr="00F81FB7">
        <w:t>.</w:t>
      </w:r>
    </w:p>
    <w:p w:rsidR="000640EF" w:rsidRPr="006B069B" w:rsidRDefault="000640EF" w:rsidP="00EA0B3B">
      <w:pPr>
        <w:pStyle w:val="Bulletpoint"/>
      </w:pPr>
      <w:r>
        <w:t xml:space="preserve">Property costs </w:t>
      </w:r>
      <w:r w:rsidR="00B45CF1">
        <w:t xml:space="preserve">per TEU </w:t>
      </w:r>
      <w:r w:rsidR="002854D3">
        <w:t xml:space="preserve">have fallen by </w:t>
      </w:r>
      <w:r>
        <w:t>4</w:t>
      </w:r>
      <w:r w:rsidR="002854D3">
        <w:t>5</w:t>
      </w:r>
      <w:r>
        <w:t>.</w:t>
      </w:r>
      <w:r w:rsidR="002854D3">
        <w:t>8</w:t>
      </w:r>
      <w:r>
        <w:t xml:space="preserve"> per cent </w:t>
      </w:r>
      <w:r w:rsidR="00DE50AC">
        <w:t xml:space="preserve">in real terms </w:t>
      </w:r>
      <w:r w:rsidR="00A53F23">
        <w:t xml:space="preserve">since </w:t>
      </w:r>
      <w:r w:rsidR="00D8433D">
        <w:t>1998–99</w:t>
      </w:r>
      <w:r>
        <w:t>.</w:t>
      </w:r>
      <w:r w:rsidR="00EB1986">
        <w:t xml:space="preserve"> </w:t>
      </w:r>
      <w:r w:rsidR="000E7489">
        <w:t xml:space="preserve">In </w:t>
      </w:r>
      <w:r w:rsidR="00D8433D">
        <w:t>2014–15</w:t>
      </w:r>
      <w:r w:rsidR="000E7489">
        <w:t xml:space="preserve">, </w:t>
      </w:r>
      <w:r>
        <w:t xml:space="preserve">property costs </w:t>
      </w:r>
      <w:r w:rsidR="00DE50AC">
        <w:t xml:space="preserve">per TEU </w:t>
      </w:r>
      <w:r>
        <w:t xml:space="preserve">increased </w:t>
      </w:r>
      <w:r w:rsidR="00A05B3C">
        <w:t xml:space="preserve">marginally </w:t>
      </w:r>
      <w:r>
        <w:t>in both real and nominal terms</w:t>
      </w:r>
      <w:r w:rsidR="0059485A">
        <w:t>,</w:t>
      </w:r>
      <w:r w:rsidR="002854D3">
        <w:t xml:space="preserve"> </w:t>
      </w:r>
      <w:r w:rsidR="000E7489">
        <w:t xml:space="preserve">after more significant increases </w:t>
      </w:r>
      <w:r w:rsidR="0091647C">
        <w:t>last year</w:t>
      </w:r>
      <w:r>
        <w:t xml:space="preserve">. </w:t>
      </w:r>
      <w:r w:rsidR="00A05B3C" w:rsidRPr="006B069B">
        <w:t>This</w:t>
      </w:r>
      <w:r w:rsidRPr="006B069B">
        <w:t xml:space="preserve"> was </w:t>
      </w:r>
      <w:r w:rsidR="006B069B">
        <w:t xml:space="preserve">mostly </w:t>
      </w:r>
      <w:r w:rsidRPr="006B069B">
        <w:t xml:space="preserve">due to the impact of </w:t>
      </w:r>
      <w:r w:rsidR="00D5479E">
        <w:t>Hutchison</w:t>
      </w:r>
      <w:r w:rsidRPr="006B069B">
        <w:t xml:space="preserve">’s relatively high </w:t>
      </w:r>
      <w:r w:rsidR="0059485A">
        <w:t xml:space="preserve">unit </w:t>
      </w:r>
      <w:r w:rsidRPr="006B069B">
        <w:t>property costs due to its relatively low TEU volumes.</w:t>
      </w:r>
    </w:p>
    <w:p w:rsidR="00AC4027" w:rsidRDefault="00AC4027" w:rsidP="00AC4027">
      <w:pPr>
        <w:pStyle w:val="Numbered11"/>
      </w:pPr>
      <w:bookmarkStart w:id="61" w:name="_Toc433667025"/>
      <w:r>
        <w:t>Major capital investments in terminal capacity</w:t>
      </w:r>
      <w:bookmarkEnd w:id="61"/>
    </w:p>
    <w:p w:rsidR="006C7C5D" w:rsidRPr="006C7C5D" w:rsidRDefault="006C7C5D" w:rsidP="006C7C5D">
      <w:r w:rsidRPr="006C7C5D">
        <w:t xml:space="preserve">As outlined in chapter 1, </w:t>
      </w:r>
      <w:r w:rsidR="00DE50AC">
        <w:t>the stevedores</w:t>
      </w:r>
      <w:r w:rsidRPr="006C7C5D">
        <w:t xml:space="preserve"> reported </w:t>
      </w:r>
      <w:r>
        <w:t>significant</w:t>
      </w:r>
      <w:r w:rsidRPr="006C7C5D">
        <w:t xml:space="preserve"> investment in 201</w:t>
      </w:r>
      <w:r>
        <w:t>4</w:t>
      </w:r>
      <w:r w:rsidRPr="006C7C5D">
        <w:t>–1</w:t>
      </w:r>
      <w:r>
        <w:t>5</w:t>
      </w:r>
      <w:r w:rsidRPr="006C7C5D">
        <w:t>.</w:t>
      </w:r>
      <w:r>
        <w:t xml:space="preserve"> </w:t>
      </w:r>
      <w:r w:rsidRPr="006C7C5D">
        <w:t>See section 1.3.</w:t>
      </w:r>
      <w:r w:rsidR="0091647C">
        <w:t>3</w:t>
      </w:r>
      <w:r w:rsidRPr="006C7C5D">
        <w:t xml:space="preserve"> for details of the stevedores’ recent and planned investments. </w:t>
      </w:r>
    </w:p>
    <w:p w:rsidR="00AC4027" w:rsidRPr="0059485A" w:rsidRDefault="00EB1986" w:rsidP="00056A3D">
      <w:proofErr w:type="gramStart"/>
      <w:r>
        <w:t>T</w:t>
      </w:r>
      <w:r w:rsidR="00742A89">
        <w:t xml:space="preserve">he industry </w:t>
      </w:r>
      <w:r w:rsidR="00582831">
        <w:t xml:space="preserve">tangible </w:t>
      </w:r>
      <w:r w:rsidR="00742A89">
        <w:t xml:space="preserve">asset base increased by </w:t>
      </w:r>
      <w:r w:rsidR="00284201">
        <w:t>14</w:t>
      </w:r>
      <w:r w:rsidR="00742A89">
        <w:t>.</w:t>
      </w:r>
      <w:r w:rsidR="00284201">
        <w:t>0</w:t>
      </w:r>
      <w:r w:rsidR="00742A89">
        <w:t xml:space="preserve"> per cent</w:t>
      </w:r>
      <w:r>
        <w:t xml:space="preserve"> in 2014–15</w:t>
      </w:r>
      <w:r w:rsidR="00742A89">
        <w:t>.</w:t>
      </w:r>
      <w:proofErr w:type="gramEnd"/>
      <w:r>
        <w:t xml:space="preserve"> I</w:t>
      </w:r>
      <w:r w:rsidR="00742A89" w:rsidRPr="0059485A">
        <w:t xml:space="preserve">t </w:t>
      </w:r>
      <w:r w:rsidR="000E7489" w:rsidRPr="0059485A">
        <w:t xml:space="preserve">has </w:t>
      </w:r>
      <w:r w:rsidR="0059485A" w:rsidRPr="0059485A">
        <w:t>risen</w:t>
      </w:r>
      <w:r w:rsidR="00742A89" w:rsidRPr="0059485A">
        <w:t xml:space="preserve"> by </w:t>
      </w:r>
      <w:r w:rsidR="006C7C5D" w:rsidRPr="0059485A">
        <w:t>132</w:t>
      </w:r>
      <w:r w:rsidR="00742A89" w:rsidRPr="0059485A">
        <w:t>.</w:t>
      </w:r>
      <w:r w:rsidR="006C7C5D" w:rsidRPr="0059485A">
        <w:t>6</w:t>
      </w:r>
      <w:r w:rsidR="00742A89" w:rsidRPr="0059485A">
        <w:t xml:space="preserve"> per cent</w:t>
      </w:r>
      <w:r w:rsidRPr="00EB1986">
        <w:t xml:space="preserve"> </w:t>
      </w:r>
      <w:r>
        <w:t>o</w:t>
      </w:r>
      <w:r w:rsidRPr="0059485A">
        <w:t>ver the three years since 2011–12</w:t>
      </w:r>
      <w:r w:rsidR="00742A89" w:rsidRPr="0059485A">
        <w:t>.</w:t>
      </w:r>
    </w:p>
    <w:p w:rsidR="00384912" w:rsidRPr="0059485A" w:rsidRDefault="00384912" w:rsidP="00056A3D">
      <w:r w:rsidRPr="0059485A">
        <w:t xml:space="preserve">Asset expansion </w:t>
      </w:r>
      <w:r w:rsidR="0059485A" w:rsidRPr="0059485A">
        <w:t xml:space="preserve">will </w:t>
      </w:r>
      <w:r w:rsidR="0059485A">
        <w:t>help</w:t>
      </w:r>
      <w:r w:rsidRPr="0059485A">
        <w:t xml:space="preserve"> Australian container ports </w:t>
      </w:r>
      <w:r w:rsidR="0059485A" w:rsidRPr="0059485A">
        <w:t>meet</w:t>
      </w:r>
      <w:r w:rsidR="0059485A">
        <w:t xml:space="preserve"> the</w:t>
      </w:r>
      <w:r w:rsidR="002141A3">
        <w:t xml:space="preserve"> long-term</w:t>
      </w:r>
      <w:r w:rsidR="0059485A" w:rsidRPr="0059485A">
        <w:t xml:space="preserve"> growth in container volumes predicted </w:t>
      </w:r>
      <w:r w:rsidR="0059485A">
        <w:t>by BITRE</w:t>
      </w:r>
      <w:r w:rsidR="0059485A" w:rsidRPr="0059485A">
        <w:t xml:space="preserve">. </w:t>
      </w:r>
      <w:r w:rsidR="0059485A">
        <w:t>N</w:t>
      </w:r>
      <w:r w:rsidRPr="0059485A">
        <w:t xml:space="preserve">ew and upgraded assets </w:t>
      </w:r>
      <w:r w:rsidR="0059485A">
        <w:t>may also lead to other benefits such as</w:t>
      </w:r>
      <w:r w:rsidRPr="0059485A">
        <w:t xml:space="preserve"> increase</w:t>
      </w:r>
      <w:r w:rsidR="0059485A">
        <w:t>d efficiency and/or</w:t>
      </w:r>
      <w:r w:rsidRPr="0059485A">
        <w:t xml:space="preserve"> productivity.</w:t>
      </w:r>
    </w:p>
    <w:p w:rsidR="00AC4027" w:rsidRDefault="00AC4027" w:rsidP="00AC4027">
      <w:pPr>
        <w:pStyle w:val="Numbered11"/>
      </w:pPr>
      <w:bookmarkStart w:id="62" w:name="_Toc433667026"/>
      <w:r>
        <w:t>Rates of return</w:t>
      </w:r>
      <w:bookmarkEnd w:id="62"/>
    </w:p>
    <w:p w:rsidR="000705DA" w:rsidRDefault="000705DA" w:rsidP="000705DA">
      <w:r>
        <w:t xml:space="preserve">Rate of return is the </w:t>
      </w:r>
      <w:r w:rsidR="001A7EA8">
        <w:t>ACCC’s key measure of</w:t>
      </w:r>
      <w:r>
        <w:t xml:space="preserve"> profitability for the container stevedoring industry. The ACCC considers that </w:t>
      </w:r>
      <w:r w:rsidR="000E7489">
        <w:t xml:space="preserve">the </w:t>
      </w:r>
      <w:r>
        <w:t xml:space="preserve">appropriate measure of rate of return for monitoring purposes is the ratio of </w:t>
      </w:r>
      <w:r w:rsidR="00B05537">
        <w:t>earnings before interest, tax and amortisation (</w:t>
      </w:r>
      <w:r>
        <w:t>EBITA</w:t>
      </w:r>
      <w:r w:rsidR="00B05537">
        <w:t>)</w:t>
      </w:r>
      <w:r>
        <w:t xml:space="preserve"> to the average value (of opening and closing balances) of tangible assets.</w:t>
      </w:r>
      <w:r w:rsidR="000E7489">
        <w:t xml:space="preserve"> </w:t>
      </w:r>
      <w:r w:rsidR="000E7489" w:rsidRPr="000E7489">
        <w:t>‘Tangible assets’ refer to physical infrastructure used by the stevedores to provide container stevedoring services.</w:t>
      </w:r>
    </w:p>
    <w:p w:rsidR="000705DA" w:rsidRDefault="000705DA" w:rsidP="000705DA">
      <w:r>
        <w:t xml:space="preserve">EBITA is used as it is not affected by management decisions regarding financial capital structures which can significantly affect interest expenses and tax payable (and thus post-tax returns) but do not reflect the operating profitability of providing container stevedoring services. </w:t>
      </w:r>
    </w:p>
    <w:p w:rsidR="000705DA" w:rsidRDefault="000705DA" w:rsidP="000705DA">
      <w:r>
        <w:t xml:space="preserve">Similarly, by using assets as the basis for comparing those returns, the investment base represents the assets employed. The ACCC excludes intangible assets from the industry’s asset base because of concerns that the intangible assets reported by the stevedores may reflect an expectation </w:t>
      </w:r>
      <w:r w:rsidR="002141A3">
        <w:t xml:space="preserve">at the time they purchased the businesses </w:t>
      </w:r>
      <w:r>
        <w:t xml:space="preserve">of earning monopoly rents. </w:t>
      </w:r>
    </w:p>
    <w:p w:rsidR="000705DA" w:rsidRDefault="000E7489" w:rsidP="000705DA">
      <w:r>
        <w:t>T</w:t>
      </w:r>
      <w:r w:rsidR="000705DA">
        <w:t>he value of intangible assets reported by the stevedores as part of the ACCC’s monitoring program is significant</w:t>
      </w:r>
      <w:r>
        <w:t xml:space="preserve">. </w:t>
      </w:r>
      <w:r w:rsidR="0041484C">
        <w:t>It reflects</w:t>
      </w:r>
      <w:r w:rsidR="000705DA">
        <w:t xml:space="preserve"> goodwill and, for one of the major stevedores, long term and exclusive berth licenses. Based on publicly available information, the ACCC notes that around $1.5 billion of goodwill was allocated to Patrick’s container ports for the year ending 30 June 2015. This represents 56 per cent of the total value of Patrick’s assets for its Terminal and Logistics division</w:t>
      </w:r>
      <w:r w:rsidR="00CE564D">
        <w:t>.</w:t>
      </w:r>
      <w:r w:rsidR="00A13CCE">
        <w:rPr>
          <w:rStyle w:val="FootnoteReference"/>
        </w:rPr>
        <w:footnoteReference w:id="101"/>
      </w:r>
      <w:r w:rsidR="000705DA">
        <w:t xml:space="preserve"> </w:t>
      </w:r>
      <w:r w:rsidR="00C3273B" w:rsidRPr="00A463D3">
        <w:t>More information on the ACCC’s approach to estimating rates of return for the container stevedoring industry is presented in appendix E.</w:t>
      </w:r>
    </w:p>
    <w:p w:rsidR="00AC4027" w:rsidRDefault="000705DA" w:rsidP="000705DA">
      <w:r>
        <w:t>Table 3.1 shows annualised EBITA for the Australian stevedores since 1998–99 expressed as a percentage of average tangible assets. From 2012–13, the data includes H</w:t>
      </w:r>
      <w:r w:rsidR="000C1007">
        <w:t>utchison</w:t>
      </w:r>
      <w:r>
        <w:t xml:space="preserve"> </w:t>
      </w:r>
      <w:r w:rsidR="000E7489">
        <w:t xml:space="preserve">in Brisbane </w:t>
      </w:r>
      <w:r>
        <w:t>as a new entrant to the industry</w:t>
      </w:r>
      <w:r w:rsidR="00BE52DB">
        <w:t>. F</w:t>
      </w:r>
      <w:r w:rsidR="000E7489">
        <w:t xml:space="preserve">rom </w:t>
      </w:r>
      <w:r w:rsidR="00D8433D">
        <w:t>2013–14</w:t>
      </w:r>
      <w:r w:rsidR="0041484C">
        <w:t>,</w:t>
      </w:r>
      <w:r w:rsidR="000E7489">
        <w:t xml:space="preserve"> the data includes Hutchison’s terminal in Sydney</w:t>
      </w:r>
      <w:r>
        <w:t>.</w:t>
      </w:r>
      <w:r w:rsidR="00A463D3">
        <w:t xml:space="preserve"> </w:t>
      </w:r>
      <w:r w:rsidR="00BE52DB">
        <w:t xml:space="preserve">These two years correspond with large falls in the industry rate of return </w:t>
      </w:r>
      <w:r w:rsidR="0041484C">
        <w:t>measure</w:t>
      </w:r>
      <w:r w:rsidR="00BE52DB">
        <w:t xml:space="preserve">. This is to be expected as the level of investment needed in physical assets to commission a terminal is considerable. </w:t>
      </w:r>
    </w:p>
    <w:p w:rsidR="00AC4027" w:rsidRDefault="00AC4027" w:rsidP="00AC4027">
      <w:pPr>
        <w:pStyle w:val="Tabletitle"/>
      </w:pPr>
      <w:r>
        <w:t>Table 3.1: Rates of return—EBITA on average assets (%)—</w:t>
      </w:r>
      <w:r w:rsidR="00D8433D">
        <w:t>1998–99</w:t>
      </w:r>
      <w:r>
        <w:t xml:space="preserve"> to </w:t>
      </w:r>
      <w:r w:rsidR="00D8433D">
        <w:t>2014–15</w:t>
      </w:r>
    </w:p>
    <w:tbl>
      <w:tblPr>
        <w:tblStyle w:val="LightShading"/>
        <w:tblW w:w="0" w:type="auto"/>
        <w:tblLook w:val="04A0" w:firstRow="1" w:lastRow="0" w:firstColumn="1" w:lastColumn="0" w:noHBand="0" w:noVBand="1"/>
      </w:tblPr>
      <w:tblGrid>
        <w:gridCol w:w="3080"/>
        <w:gridCol w:w="3081"/>
        <w:gridCol w:w="3081"/>
      </w:tblGrid>
      <w:tr w:rsidR="00AC4027" w:rsidTr="00AC4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2F2F2" w:themeFill="background1" w:themeFillShade="F2"/>
          </w:tcPr>
          <w:p w:rsidR="00AC4027" w:rsidRDefault="00AC4027" w:rsidP="00FD0948">
            <w:pPr>
              <w:pStyle w:val="Tabletextleft"/>
            </w:pPr>
            <w:r>
              <w:t>Year</w:t>
            </w:r>
          </w:p>
        </w:tc>
        <w:tc>
          <w:tcPr>
            <w:tcW w:w="3081" w:type="dxa"/>
            <w:shd w:val="clear" w:color="auto" w:fill="F2F2F2" w:themeFill="background1" w:themeFillShade="F2"/>
          </w:tcPr>
          <w:p w:rsidR="00AC4027" w:rsidRDefault="00AC4027" w:rsidP="00FD0948">
            <w:pPr>
              <w:pStyle w:val="Tabletextright"/>
              <w:cnfStyle w:val="100000000000" w:firstRow="1" w:lastRow="0" w:firstColumn="0" w:lastColumn="0" w:oddVBand="0" w:evenVBand="0" w:oddHBand="0" w:evenHBand="0" w:firstRowFirstColumn="0" w:firstRowLastColumn="0" w:lastRowFirstColumn="0" w:lastRowLastColumn="0"/>
            </w:pPr>
            <w:r>
              <w:t>Australian stevedores</w:t>
            </w:r>
            <w:r>
              <w:br/>
            </w:r>
            <w:r w:rsidRPr="004C4DA7">
              <w:t>(tangible assets excluding revaluations)</w:t>
            </w:r>
          </w:p>
        </w:tc>
        <w:tc>
          <w:tcPr>
            <w:tcW w:w="3081" w:type="dxa"/>
            <w:shd w:val="clear" w:color="auto" w:fill="F2F2F2" w:themeFill="background1" w:themeFillShade="F2"/>
          </w:tcPr>
          <w:p w:rsidR="00AC4027" w:rsidRPr="00AC4027" w:rsidRDefault="00AC4027" w:rsidP="00FD0948">
            <w:pPr>
              <w:pStyle w:val="Tabletextright"/>
              <w:cnfStyle w:val="100000000000" w:firstRow="1" w:lastRow="0" w:firstColumn="0" w:lastColumn="0" w:oddVBand="0" w:evenVBand="0" w:oddHBand="0" w:evenHBand="0" w:firstRowFirstColumn="0" w:firstRowLastColumn="0" w:lastRowFirstColumn="0" w:lastRowLastColumn="0"/>
              <w:rPr>
                <w:vertAlign w:val="superscript"/>
              </w:rPr>
            </w:pPr>
            <w:r>
              <w:t>Australian stevedores</w:t>
            </w:r>
            <w:r>
              <w:br/>
            </w:r>
            <w:r w:rsidRPr="004C4DA7">
              <w:t>(including revaluations and intangibles)</w:t>
            </w:r>
            <w:r w:rsidRPr="004C4DA7">
              <w:rPr>
                <w:vertAlign w:val="superscript"/>
              </w:rPr>
              <w:t>(a)</w:t>
            </w:r>
          </w:p>
        </w:tc>
      </w:tr>
      <w:tr w:rsidR="00FD0948" w:rsidTr="00952172">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1998–99</w:t>
            </w:r>
          </w:p>
        </w:tc>
        <w:tc>
          <w:tcPr>
            <w:tcW w:w="3081" w:type="dxa"/>
            <w:vAlign w:val="bottom"/>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10.57</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FD0948" w:rsidTr="00952172">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1999–00</w:t>
            </w:r>
          </w:p>
        </w:tc>
        <w:tc>
          <w:tcPr>
            <w:tcW w:w="3081" w:type="dxa"/>
            <w:vAlign w:val="bottom"/>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13.20</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FD0948" w:rsidTr="00952172">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2000–01</w:t>
            </w:r>
          </w:p>
        </w:tc>
        <w:tc>
          <w:tcPr>
            <w:tcW w:w="3081" w:type="dxa"/>
            <w:vAlign w:val="bottom"/>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15.20</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FD0948" w:rsidTr="00952172">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2001–02</w:t>
            </w:r>
          </w:p>
        </w:tc>
        <w:tc>
          <w:tcPr>
            <w:tcW w:w="3081" w:type="dxa"/>
            <w:vAlign w:val="bottom"/>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19.29</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FD0948" w:rsidTr="00952172">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2002–03</w:t>
            </w:r>
          </w:p>
        </w:tc>
        <w:tc>
          <w:tcPr>
            <w:tcW w:w="3081" w:type="dxa"/>
            <w:vAlign w:val="bottom"/>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25.80</w:t>
            </w:r>
          </w:p>
        </w:tc>
        <w:tc>
          <w:tcPr>
            <w:tcW w:w="3081" w:type="dxa"/>
          </w:tcPr>
          <w:p w:rsidR="00FD0948" w:rsidRPr="00FD0948" w:rsidRDefault="00FD0948"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FD0948" w:rsidTr="00952172">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2003–04</w:t>
            </w:r>
          </w:p>
        </w:tc>
        <w:tc>
          <w:tcPr>
            <w:tcW w:w="3081" w:type="dxa"/>
            <w:vAlign w:val="bottom"/>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27.75</w:t>
            </w:r>
          </w:p>
        </w:tc>
        <w:tc>
          <w:tcPr>
            <w:tcW w:w="3081" w:type="dxa"/>
          </w:tcPr>
          <w:p w:rsidR="00FD0948" w:rsidRPr="00FD0948" w:rsidRDefault="00FD0948"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FD0948" w:rsidTr="00952172">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2004–05</w:t>
            </w:r>
          </w:p>
        </w:tc>
        <w:tc>
          <w:tcPr>
            <w:tcW w:w="3081" w:type="dxa"/>
            <w:vAlign w:val="bottom"/>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23.06</w:t>
            </w:r>
          </w:p>
        </w:tc>
        <w:tc>
          <w:tcPr>
            <w:tcW w:w="3081" w:type="dxa"/>
          </w:tcPr>
          <w:p w:rsidR="00FD0948" w:rsidRPr="00FD0948" w:rsidRDefault="00FD0948"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FD0948" w:rsidTr="00952172">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2005–06</w:t>
            </w:r>
          </w:p>
        </w:tc>
        <w:tc>
          <w:tcPr>
            <w:tcW w:w="3081" w:type="dxa"/>
            <w:vAlign w:val="bottom"/>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21.70</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Pr="00AC4027" w:rsidRDefault="00D8433D" w:rsidP="00FD0948">
            <w:pPr>
              <w:pStyle w:val="Tabletextleft"/>
              <w:rPr>
                <w:vertAlign w:val="superscript"/>
              </w:rPr>
            </w:pPr>
            <w:r>
              <w:t>2006–07</w:t>
            </w:r>
            <w:r w:rsidR="00FD0948">
              <w:rPr>
                <w:vertAlign w:val="superscript"/>
              </w:rPr>
              <w:t>(b)</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22.37</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sz w:val="18"/>
                <w:szCs w:val="18"/>
              </w:rPr>
              <w:t>11.49</w:t>
            </w: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2007–08</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24.86</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sz w:val="18"/>
                <w:szCs w:val="18"/>
              </w:rPr>
              <w:t>8.51</w:t>
            </w: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2008–09</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17.63</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sz w:val="18"/>
                <w:szCs w:val="18"/>
              </w:rPr>
              <w:t>6.11</w:t>
            </w: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2009–10</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18.39</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sz w:val="18"/>
                <w:szCs w:val="18"/>
              </w:rPr>
              <w:t>7.18</w:t>
            </w: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2010–11</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24.24</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sz w:val="18"/>
                <w:szCs w:val="18"/>
              </w:rPr>
              <w:t>9.85</w:t>
            </w: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2011–12</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29.23</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sz w:val="18"/>
                <w:szCs w:val="18"/>
              </w:rPr>
              <w:t>8.03</w:t>
            </w: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2012–13</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21.86</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sz w:val="18"/>
                <w:szCs w:val="18"/>
              </w:rPr>
              <w:t>5.34</w:t>
            </w: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2013–14</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13.25</w:t>
            </w:r>
          </w:p>
        </w:tc>
        <w:tc>
          <w:tcPr>
            <w:tcW w:w="3081" w:type="dxa"/>
          </w:tcPr>
          <w:p w:rsidR="00FD0948" w:rsidRPr="00FD0948" w:rsidRDefault="00FD0948" w:rsidP="00952172">
            <w:pPr>
              <w:keepN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sz w:val="18"/>
                <w:szCs w:val="18"/>
              </w:rPr>
              <w:t>4.63</w:t>
            </w:r>
          </w:p>
        </w:tc>
      </w:tr>
      <w:tr w:rsidR="00FD0948" w:rsidTr="00AC4027">
        <w:tc>
          <w:tcPr>
            <w:cnfStyle w:val="001000000000" w:firstRow="0" w:lastRow="0" w:firstColumn="1" w:lastColumn="0" w:oddVBand="0" w:evenVBand="0" w:oddHBand="0" w:evenHBand="0" w:firstRowFirstColumn="0" w:firstRowLastColumn="0" w:lastRowFirstColumn="0" w:lastRowLastColumn="0"/>
            <w:tcW w:w="3080" w:type="dxa"/>
          </w:tcPr>
          <w:p w:rsidR="00FD0948" w:rsidRDefault="00D8433D" w:rsidP="00FD0948">
            <w:pPr>
              <w:pStyle w:val="Tabletextleft"/>
            </w:pPr>
            <w:r>
              <w:t>2014–15</w:t>
            </w:r>
          </w:p>
        </w:tc>
        <w:tc>
          <w:tcPr>
            <w:tcW w:w="3081" w:type="dxa"/>
          </w:tcPr>
          <w:p w:rsidR="00FD0948" w:rsidRPr="00FD0948" w:rsidRDefault="00FD0948" w:rsidP="006B069B">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FD0948">
              <w:rPr>
                <w:rFonts w:cs="Arial"/>
                <w:sz w:val="18"/>
                <w:szCs w:val="18"/>
              </w:rPr>
              <w:t>10.3</w:t>
            </w:r>
            <w:r w:rsidR="006B069B">
              <w:rPr>
                <w:rFonts w:cs="Arial"/>
                <w:sz w:val="18"/>
                <w:szCs w:val="18"/>
              </w:rPr>
              <w:t>7</w:t>
            </w:r>
          </w:p>
        </w:tc>
        <w:tc>
          <w:tcPr>
            <w:tcW w:w="3081" w:type="dxa"/>
          </w:tcPr>
          <w:p w:rsidR="00FD0948" w:rsidRPr="00FD0948" w:rsidRDefault="00FD0948" w:rsidP="00952172">
            <w:pPr>
              <w:jc w:val="right"/>
              <w:cnfStyle w:val="000000000000" w:firstRow="0" w:lastRow="0" w:firstColumn="0" w:lastColumn="0" w:oddVBand="0" w:evenVBand="0" w:oddHBand="0" w:evenHBand="0" w:firstRowFirstColumn="0" w:firstRowLastColumn="0" w:lastRowFirstColumn="0" w:lastRowLastColumn="0"/>
              <w:rPr>
                <w:sz w:val="18"/>
                <w:szCs w:val="18"/>
              </w:rPr>
            </w:pPr>
            <w:r w:rsidRPr="00FD0948">
              <w:rPr>
                <w:rFonts w:cs="Arial"/>
                <w:sz w:val="18"/>
                <w:szCs w:val="18"/>
              </w:rPr>
              <w:t>3.97</w:t>
            </w:r>
          </w:p>
        </w:tc>
      </w:tr>
    </w:tbl>
    <w:p w:rsidR="00AC4027" w:rsidRDefault="00AC4027" w:rsidP="00AC4027">
      <w:pPr>
        <w:pStyle w:val="Source"/>
      </w:pPr>
      <w:r>
        <w:t>Source:</w:t>
      </w:r>
      <w:r>
        <w:tab/>
      </w:r>
      <w:r>
        <w:tab/>
      </w:r>
      <w:r w:rsidR="00FD0948" w:rsidRPr="00FD0948">
        <w:t>data supplied by the stevedoring companies</w:t>
      </w:r>
    </w:p>
    <w:p w:rsidR="00AC4027" w:rsidRDefault="00AC4027" w:rsidP="00FD0948">
      <w:pPr>
        <w:pStyle w:val="Source"/>
        <w:ind w:left="964" w:hanging="964"/>
      </w:pPr>
      <w:r>
        <w:t>Notes:</w:t>
      </w:r>
      <w:r>
        <w:tab/>
        <w:t>(a)</w:t>
      </w:r>
      <w:r w:rsidR="00FD0948" w:rsidRPr="00FD0948">
        <w:t xml:space="preserve"> Data re-stated on an AIFRS basis (‘Australian Equivalents of International Financial Reporting Standards’) using asset values supplied by the stevedores that include revaluations and recognition of intangible assets</w:t>
      </w:r>
    </w:p>
    <w:p w:rsidR="00AC4027" w:rsidRDefault="00FD0948" w:rsidP="00FD0948">
      <w:pPr>
        <w:pStyle w:val="Source"/>
        <w:ind w:left="964" w:hanging="964"/>
      </w:pPr>
      <w:r>
        <w:tab/>
      </w:r>
      <w:r w:rsidR="00AC4027">
        <w:t xml:space="preserve">(b) </w:t>
      </w:r>
      <w:r w:rsidRPr="00FD0948">
        <w:t>From 2006–07 onwards data excludes intangible assets from the calculation of the average asset base and EBIT has been adjusted to add back in amortisation and impairment losses (which are both associated with the recognition of intangible assets) for the period</w:t>
      </w:r>
      <w:r>
        <w:t>.</w:t>
      </w:r>
    </w:p>
    <w:p w:rsidR="00A463D3" w:rsidRDefault="00A463D3" w:rsidP="00A463D3">
      <w:pPr>
        <w:pStyle w:val="Source"/>
        <w:ind w:left="964" w:hanging="964"/>
        <w:rPr>
          <w:sz w:val="22"/>
          <w:szCs w:val="22"/>
        </w:rPr>
      </w:pPr>
      <w:r w:rsidRPr="00A463D3">
        <w:rPr>
          <w:sz w:val="22"/>
          <w:szCs w:val="22"/>
        </w:rPr>
        <w:t>Table 3.1 shows that:</w:t>
      </w:r>
    </w:p>
    <w:p w:rsidR="00C3273B" w:rsidRDefault="00A463D3" w:rsidP="00E14C01">
      <w:pPr>
        <w:pStyle w:val="Bulletpoint"/>
      </w:pPr>
      <w:r w:rsidRPr="00384912">
        <w:t>Since 201</w:t>
      </w:r>
      <w:r w:rsidR="000C1007">
        <w:t>1</w:t>
      </w:r>
      <w:r w:rsidRPr="00384912">
        <w:t>–</w:t>
      </w:r>
      <w:r w:rsidR="000C1007">
        <w:t>12</w:t>
      </w:r>
      <w:r w:rsidRPr="00384912">
        <w:t xml:space="preserve">, there </w:t>
      </w:r>
      <w:r w:rsidR="000E7489">
        <w:t xml:space="preserve">has been </w:t>
      </w:r>
      <w:r w:rsidRPr="00384912">
        <w:t xml:space="preserve">a significant decline in the rate of return on average tangible assets for the container stevedoring industry. </w:t>
      </w:r>
      <w:r w:rsidR="00C3273B" w:rsidRPr="00384912">
        <w:t xml:space="preserve">The decrease in </w:t>
      </w:r>
      <w:r w:rsidR="00C3273B">
        <w:t xml:space="preserve">the </w:t>
      </w:r>
      <w:r w:rsidR="00C3273B" w:rsidRPr="00384912">
        <w:t xml:space="preserve">rate of return was primarily due to an overall expansion in the value of average tangible assets over the </w:t>
      </w:r>
      <w:r w:rsidR="00C3273B">
        <w:t>three</w:t>
      </w:r>
      <w:r w:rsidR="00C3273B" w:rsidRPr="00384912">
        <w:t xml:space="preserve"> years</w:t>
      </w:r>
      <w:r w:rsidR="00C3273B">
        <w:t>. A</w:t>
      </w:r>
      <w:r w:rsidR="00C3273B" w:rsidRPr="00384912">
        <w:t xml:space="preserve"> decline in EBITA </w:t>
      </w:r>
      <w:r w:rsidR="00C3273B">
        <w:t>for the industry over the last three years has also had a significant impact on the rate of return</w:t>
      </w:r>
      <w:r w:rsidR="00C3273B" w:rsidRPr="00384912">
        <w:t>.</w:t>
      </w:r>
    </w:p>
    <w:p w:rsidR="00384912" w:rsidRPr="00384912" w:rsidRDefault="00A463D3" w:rsidP="00E14C01">
      <w:pPr>
        <w:pStyle w:val="Bulletpoint"/>
      </w:pPr>
      <w:r w:rsidRPr="00384912">
        <w:t xml:space="preserve">In the 12 months to June 2015, </w:t>
      </w:r>
      <w:r w:rsidR="000F02F9">
        <w:t xml:space="preserve">the </w:t>
      </w:r>
      <w:r w:rsidR="000E7489">
        <w:t>industr</w:t>
      </w:r>
      <w:r w:rsidR="000F02F9">
        <w:t>y</w:t>
      </w:r>
      <w:r w:rsidR="000E7489">
        <w:t xml:space="preserve"> </w:t>
      </w:r>
      <w:r w:rsidRPr="00384912">
        <w:t>rate of return on average tangible assets decreased from 13.25 per cent in 2013–14 to 10.3</w:t>
      </w:r>
      <w:r w:rsidR="00E14C01">
        <w:t>7</w:t>
      </w:r>
      <w:r w:rsidRPr="00384912">
        <w:t xml:space="preserve"> per cent. </w:t>
      </w:r>
      <w:r w:rsidR="000E7489">
        <w:t xml:space="preserve">This </w:t>
      </w:r>
      <w:r w:rsidR="00E14C01">
        <w:t>represents</w:t>
      </w:r>
      <w:r w:rsidRPr="00384912">
        <w:t xml:space="preserve"> the lowest industry return </w:t>
      </w:r>
      <w:r w:rsidR="000E7489">
        <w:t xml:space="preserve">on tangible assets over </w:t>
      </w:r>
      <w:r w:rsidRPr="00384912">
        <w:t>the history of the ACCC’s monitoring program.</w:t>
      </w:r>
      <w:r w:rsidR="00C3273B">
        <w:t xml:space="preserve"> </w:t>
      </w:r>
    </w:p>
    <w:p w:rsidR="00A463D3" w:rsidRPr="006B069B" w:rsidRDefault="00384912" w:rsidP="00E14C01">
      <w:pPr>
        <w:pStyle w:val="Bulletpoint2"/>
      </w:pPr>
      <w:r w:rsidRPr="006B069B">
        <w:t xml:space="preserve">The expansion in the industry’s </w:t>
      </w:r>
      <w:r w:rsidR="001A7EA8">
        <w:t xml:space="preserve">tangible </w:t>
      </w:r>
      <w:r w:rsidRPr="006B069B">
        <w:t xml:space="preserve">asset base over the past year reflects </w:t>
      </w:r>
      <w:r w:rsidR="006B069B" w:rsidRPr="006B069B">
        <w:t xml:space="preserve">significant investment </w:t>
      </w:r>
      <w:r w:rsidR="00C3273B">
        <w:t>by</w:t>
      </w:r>
      <w:r w:rsidR="00C3273B" w:rsidRPr="006B069B">
        <w:t xml:space="preserve"> </w:t>
      </w:r>
      <w:r w:rsidR="006B069B" w:rsidRPr="006B069B">
        <w:t xml:space="preserve">stevedores in </w:t>
      </w:r>
      <w:r w:rsidRPr="006B069B">
        <w:t>terminal developme</w:t>
      </w:r>
      <w:r w:rsidR="006B069B" w:rsidRPr="006B069B">
        <w:t>nt, particularly related to automation in Sydney</w:t>
      </w:r>
      <w:r w:rsidRPr="006B069B">
        <w:t xml:space="preserve">. </w:t>
      </w:r>
    </w:p>
    <w:p w:rsidR="001A7EA8" w:rsidRDefault="001A7EA8" w:rsidP="00195BA7">
      <w:pPr>
        <w:pStyle w:val="Bulletpoint"/>
      </w:pPr>
      <w:r w:rsidRPr="001A7EA8">
        <w:t xml:space="preserve">It is important to note that the return on average tangible assets </w:t>
      </w:r>
      <w:r w:rsidR="00C3273B">
        <w:t xml:space="preserve">measure </w:t>
      </w:r>
      <w:r w:rsidRPr="001A7EA8">
        <w:t>should not be interpreted as a return on the funds invested by shareholders in the respective stevedoring businesses</w:t>
      </w:r>
      <w:r w:rsidR="00195BA7">
        <w:t>. S</w:t>
      </w:r>
      <w:r w:rsidRPr="001A7EA8">
        <w:t>uch investment would include the price that those owners paid to gain control of those businesses (which would include goodwill) as well as the market value of existing assets (which would include the effect of revaluations).</w:t>
      </w:r>
    </w:p>
    <w:p w:rsidR="00384912" w:rsidRPr="0041484C" w:rsidRDefault="00384912" w:rsidP="00056A3D">
      <w:pPr>
        <w:pStyle w:val="Bulletpoint2"/>
      </w:pPr>
      <w:r w:rsidRPr="00384912">
        <w:t xml:space="preserve">An estimate based on the asset </w:t>
      </w:r>
      <w:r w:rsidRPr="0041484C">
        <w:t>values provided by the stevedores that includes intangible assets (including goodwill and berth licenses) and asset revaluations would result in an industry rate of return of 3.97 per cent in 2014–15.</w:t>
      </w:r>
    </w:p>
    <w:p w:rsidR="00353994" w:rsidRPr="0041484C" w:rsidRDefault="00353994" w:rsidP="0041484C">
      <w:pPr>
        <w:pStyle w:val="Heading4"/>
      </w:pPr>
      <w:r w:rsidRPr="0041484C">
        <w:t xml:space="preserve">Comparison of stevedores’ rate of return with </w:t>
      </w:r>
      <w:r w:rsidR="00583A05" w:rsidRPr="0041484C">
        <w:t>S&amp;P/</w:t>
      </w:r>
      <w:r w:rsidRPr="0041484C">
        <w:t>ASX 200 Industrial</w:t>
      </w:r>
      <w:r w:rsidR="000B6CA1">
        <w:t>s</w:t>
      </w:r>
      <w:r w:rsidRPr="0041484C">
        <w:t xml:space="preserve"> Index</w:t>
      </w:r>
    </w:p>
    <w:p w:rsidR="00FE7A8B" w:rsidRPr="0041484C" w:rsidRDefault="00FE7A8B" w:rsidP="00FE7A8B">
      <w:pPr>
        <w:pStyle w:val="Source"/>
        <w:rPr>
          <w:sz w:val="22"/>
          <w:szCs w:val="22"/>
        </w:rPr>
      </w:pPr>
      <w:r w:rsidRPr="0041484C">
        <w:rPr>
          <w:sz w:val="22"/>
          <w:szCs w:val="22"/>
        </w:rPr>
        <w:t>Since 201</w:t>
      </w:r>
      <w:r w:rsidR="00E14C01" w:rsidRPr="0041484C">
        <w:rPr>
          <w:sz w:val="22"/>
          <w:szCs w:val="22"/>
        </w:rPr>
        <w:t>2</w:t>
      </w:r>
      <w:r w:rsidRPr="0041484C">
        <w:rPr>
          <w:sz w:val="22"/>
          <w:szCs w:val="22"/>
        </w:rPr>
        <w:t xml:space="preserve">–13, the ACCC has compared the stevedores’ rate of return with average </w:t>
      </w:r>
      <w:r w:rsidR="00C8194B">
        <w:rPr>
          <w:sz w:val="22"/>
          <w:szCs w:val="22"/>
        </w:rPr>
        <w:t>return</w:t>
      </w:r>
      <w:r w:rsidR="00195BA7">
        <w:rPr>
          <w:sz w:val="22"/>
          <w:szCs w:val="22"/>
        </w:rPr>
        <w:t>s</w:t>
      </w:r>
      <w:r w:rsidR="00C8194B">
        <w:rPr>
          <w:sz w:val="22"/>
          <w:szCs w:val="22"/>
        </w:rPr>
        <w:t xml:space="preserve"> for </w:t>
      </w:r>
      <w:r w:rsidRPr="0041484C">
        <w:rPr>
          <w:sz w:val="22"/>
          <w:szCs w:val="22"/>
        </w:rPr>
        <w:t>companies in the S&amp;P/ASX 200 Industrials Index</w:t>
      </w:r>
      <w:r w:rsidR="001F02BC">
        <w:rPr>
          <w:sz w:val="22"/>
          <w:szCs w:val="22"/>
        </w:rPr>
        <w:t xml:space="preserve">. </w:t>
      </w:r>
    </w:p>
    <w:p w:rsidR="00FE7A8B" w:rsidRPr="0041484C" w:rsidRDefault="00FE7A8B" w:rsidP="0041484C">
      <w:r w:rsidRPr="0041484C">
        <w:t xml:space="preserve">Information </w:t>
      </w:r>
      <w:r w:rsidR="001F02BC">
        <w:t>sourced</w:t>
      </w:r>
      <w:r w:rsidR="001F02BC" w:rsidRPr="0041484C">
        <w:t xml:space="preserve"> </w:t>
      </w:r>
      <w:r w:rsidR="001F02BC">
        <w:t>by</w:t>
      </w:r>
      <w:r w:rsidR="001F02BC" w:rsidRPr="0041484C">
        <w:t xml:space="preserve"> </w:t>
      </w:r>
      <w:r w:rsidRPr="0041484C">
        <w:t xml:space="preserve">the ACCC </w:t>
      </w:r>
      <w:r w:rsidR="001F02BC">
        <w:t xml:space="preserve">from </w:t>
      </w:r>
      <w:r w:rsidRPr="0041484C">
        <w:t xml:space="preserve">Bloomberg indicates that the average rate of return (expressed as EBITA/average tangible assets) for the S&amp;P/ASX 200 Industrials Index was </w:t>
      </w:r>
      <w:r w:rsidR="00E14C01" w:rsidRPr="0041484C">
        <w:t>9</w:t>
      </w:r>
      <w:r w:rsidRPr="0041484C">
        <w:t>.</w:t>
      </w:r>
      <w:r w:rsidR="00E14C01" w:rsidRPr="0041484C">
        <w:t>4</w:t>
      </w:r>
      <w:r w:rsidRPr="0041484C">
        <w:t>9 per cent in 20</w:t>
      </w:r>
      <w:r w:rsidR="00E14C01" w:rsidRPr="0041484C">
        <w:t>14</w:t>
      </w:r>
      <w:r w:rsidRPr="0041484C">
        <w:t>–</w:t>
      </w:r>
      <w:r w:rsidR="00E14C01" w:rsidRPr="0041484C">
        <w:t>15</w:t>
      </w:r>
      <w:r w:rsidRPr="0041484C">
        <w:t xml:space="preserve">. This </w:t>
      </w:r>
      <w:r w:rsidR="0053436E">
        <w:t>is</w:t>
      </w:r>
      <w:r w:rsidR="00353994" w:rsidRPr="0041484C">
        <w:t xml:space="preserve"> slightly </w:t>
      </w:r>
      <w:r w:rsidRPr="0041484C">
        <w:t xml:space="preserve">lower than the result of </w:t>
      </w:r>
      <w:r w:rsidR="00E14C01" w:rsidRPr="0041484C">
        <w:t>10</w:t>
      </w:r>
      <w:r w:rsidRPr="0041484C">
        <w:t>.</w:t>
      </w:r>
      <w:r w:rsidR="00E14C01" w:rsidRPr="0041484C">
        <w:t>37</w:t>
      </w:r>
      <w:r w:rsidRPr="0041484C">
        <w:t xml:space="preserve"> per cent for the Australian stevedores in the ACCC’s monitoring program</w:t>
      </w:r>
      <w:r w:rsidR="00353994" w:rsidRPr="0041484C">
        <w:t>, despite considerable investment in terminals in recent years</w:t>
      </w:r>
      <w:r w:rsidRPr="0041484C">
        <w:t xml:space="preserve">. </w:t>
      </w:r>
    </w:p>
    <w:p w:rsidR="00FE7A8B" w:rsidRPr="00384912" w:rsidRDefault="00CB1F66" w:rsidP="0041484C">
      <w:r w:rsidRPr="0041484C">
        <w:t>That said, a</w:t>
      </w:r>
      <w:r w:rsidR="00FE7A8B" w:rsidRPr="0041484C">
        <w:t xml:space="preserve">sset values for the S&amp;P/ASX 200 Industrials Index include the effect of asset revaluations and so are not directly comparable to the asset base for the Australian stevedores derived by the ACCC </w:t>
      </w:r>
      <w:r w:rsidR="0053436E">
        <w:t>where</w:t>
      </w:r>
      <w:r w:rsidR="00FE7A8B" w:rsidRPr="0041484C">
        <w:t xml:space="preserve"> tangible assets are measured at historic cost. </w:t>
      </w:r>
      <w:r w:rsidR="00353994" w:rsidRPr="0041484C">
        <w:t>T</w:t>
      </w:r>
      <w:r w:rsidR="00FE7A8B" w:rsidRPr="0041484C">
        <w:t xml:space="preserve">he effect of asset revaluations </w:t>
      </w:r>
      <w:r w:rsidR="00353994" w:rsidRPr="0041484C">
        <w:t xml:space="preserve">may account for part of </w:t>
      </w:r>
      <w:r w:rsidR="00FE7A8B" w:rsidRPr="0041484C">
        <w:t xml:space="preserve">the difference between the stevedoring industry’s figure of </w:t>
      </w:r>
      <w:r w:rsidR="00E14C01" w:rsidRPr="0041484C">
        <w:t>10</w:t>
      </w:r>
      <w:r w:rsidR="00FE7A8B" w:rsidRPr="0041484C">
        <w:t>.</w:t>
      </w:r>
      <w:r w:rsidR="00E14C01" w:rsidRPr="0041484C">
        <w:t>37</w:t>
      </w:r>
      <w:r w:rsidR="00FE7A8B" w:rsidRPr="0041484C">
        <w:t xml:space="preserve"> per cent and the index figure of </w:t>
      </w:r>
      <w:r w:rsidR="00E14C01" w:rsidRPr="0041484C">
        <w:t>9</w:t>
      </w:r>
      <w:r w:rsidR="00FE7A8B" w:rsidRPr="0041484C">
        <w:t>.</w:t>
      </w:r>
      <w:r w:rsidR="00E14C01" w:rsidRPr="0041484C">
        <w:t>4</w:t>
      </w:r>
      <w:r w:rsidR="00FE7A8B" w:rsidRPr="0041484C">
        <w:t xml:space="preserve">9 per cent. </w:t>
      </w:r>
      <w:r w:rsidR="00C8194B">
        <w:t>However</w:t>
      </w:r>
      <w:r w:rsidR="00195BA7">
        <w:t>,</w:t>
      </w:r>
      <w:r w:rsidR="00C8194B">
        <w:t xml:space="preserve"> e</w:t>
      </w:r>
      <w:r w:rsidR="00FE7A8B" w:rsidRPr="00E71BFF">
        <w:t>ven if asset revaluations reported by the stevedores were to be included, the stevedoring industry</w:t>
      </w:r>
      <w:r w:rsidR="00015F8A">
        <w:t>’s</w:t>
      </w:r>
      <w:r w:rsidR="00FE7A8B" w:rsidRPr="00E71BFF">
        <w:t xml:space="preserve"> </w:t>
      </w:r>
      <w:r w:rsidR="00015F8A">
        <w:t xml:space="preserve">return </w:t>
      </w:r>
      <w:r w:rsidR="00FE7A8B" w:rsidRPr="00E71BFF">
        <w:t xml:space="preserve">is above the rate of return </w:t>
      </w:r>
      <w:r w:rsidR="00C8194B">
        <w:t>for</w:t>
      </w:r>
      <w:r w:rsidR="00C8194B" w:rsidRPr="00E71BFF">
        <w:t xml:space="preserve"> </w:t>
      </w:r>
      <w:r w:rsidR="00FE7A8B" w:rsidRPr="00E71BFF">
        <w:t>the Industrials Index.</w:t>
      </w:r>
    </w:p>
    <w:p w:rsidR="00AC4027" w:rsidRDefault="00AC4027" w:rsidP="00AC4027">
      <w:pPr>
        <w:pStyle w:val="Numbered111"/>
      </w:pPr>
      <w:bookmarkStart w:id="63" w:name="_Toc433667027"/>
      <w:r>
        <w:t>Concluding ACCC observations about industry profitability</w:t>
      </w:r>
      <w:bookmarkEnd w:id="63"/>
    </w:p>
    <w:p w:rsidR="00056A3D" w:rsidRDefault="00951073" w:rsidP="00056A3D">
      <w:r w:rsidRPr="0041484C">
        <w:t>Industry profitability (as measured by returns on average tangible assets)</w:t>
      </w:r>
      <w:r w:rsidR="003859DB">
        <w:t xml:space="preserve"> has</w:t>
      </w:r>
      <w:r w:rsidRPr="0041484C">
        <w:t xml:space="preserve"> declined significantly </w:t>
      </w:r>
      <w:r w:rsidR="0039101D" w:rsidRPr="0041484C">
        <w:t>over the past three years</w:t>
      </w:r>
      <w:r w:rsidRPr="0041484C">
        <w:t xml:space="preserve"> to </w:t>
      </w:r>
      <w:r w:rsidR="003859DB">
        <w:t>the</w:t>
      </w:r>
      <w:r w:rsidR="003859DB" w:rsidRPr="0041484C">
        <w:t xml:space="preserve"> </w:t>
      </w:r>
      <w:r w:rsidRPr="0041484C">
        <w:t xml:space="preserve">lowest level </w:t>
      </w:r>
      <w:r w:rsidR="003859DB">
        <w:t>observed over the ACCC’s monitoring program</w:t>
      </w:r>
      <w:r w:rsidRPr="0041484C">
        <w:t xml:space="preserve">. </w:t>
      </w:r>
      <w:r w:rsidR="003859DB">
        <w:t>R</w:t>
      </w:r>
      <w:r w:rsidR="0065350E">
        <w:t xml:space="preserve">elatively lower </w:t>
      </w:r>
      <w:r w:rsidR="003859DB">
        <w:t>i</w:t>
      </w:r>
      <w:r w:rsidR="003859DB" w:rsidRPr="0041484C">
        <w:t>ndustry rates of return are expected to</w:t>
      </w:r>
      <w:r w:rsidR="003859DB">
        <w:t xml:space="preserve"> continue</w:t>
      </w:r>
      <w:r w:rsidR="0065350E">
        <w:t xml:space="preserve"> </w:t>
      </w:r>
      <w:r w:rsidRPr="0041484C">
        <w:t>in future years, for a number of reasons:</w:t>
      </w:r>
    </w:p>
    <w:p w:rsidR="003859DB" w:rsidRPr="0041484C" w:rsidRDefault="003859DB" w:rsidP="003859DB">
      <w:pPr>
        <w:pStyle w:val="Bulletpoint"/>
      </w:pPr>
      <w:r>
        <w:t xml:space="preserve">Investment in </w:t>
      </w:r>
      <w:r w:rsidR="0039101D" w:rsidRPr="0041484C">
        <w:t>new terminals is ‘lumpy’ and it will take time for their volumes, and hence revenues, to grow.</w:t>
      </w:r>
      <w:r>
        <w:t xml:space="preserve"> </w:t>
      </w:r>
      <w:r w:rsidRPr="0041484C">
        <w:t xml:space="preserve">The establishment of a new terminal in Melbourne will result </w:t>
      </w:r>
      <w:r w:rsidR="00195BA7">
        <w:t xml:space="preserve">a </w:t>
      </w:r>
      <w:r w:rsidRPr="0041484C">
        <w:t xml:space="preserve">continued expansion </w:t>
      </w:r>
      <w:r w:rsidR="00195BA7">
        <w:t>of</w:t>
      </w:r>
      <w:r w:rsidRPr="0041484C">
        <w:t xml:space="preserve"> the industry’s asset base. </w:t>
      </w:r>
    </w:p>
    <w:p w:rsidR="00171E77" w:rsidRPr="0041484C" w:rsidDel="003859DB" w:rsidRDefault="00171E77" w:rsidP="000C1007">
      <w:pPr>
        <w:pStyle w:val="Bulletpoint"/>
      </w:pPr>
      <w:r w:rsidDel="003859DB">
        <w:t xml:space="preserve">If the trend towards automation continues, the industry’s asset base will </w:t>
      </w:r>
      <w:r w:rsidR="00E71BFF" w:rsidDel="003859DB">
        <w:t>again experience lumpy</w:t>
      </w:r>
      <w:r w:rsidDel="003859DB">
        <w:t xml:space="preserve"> grow</w:t>
      </w:r>
      <w:r w:rsidR="00E71BFF" w:rsidDel="003859DB">
        <w:t>th</w:t>
      </w:r>
      <w:r w:rsidDel="003859DB">
        <w:t>.</w:t>
      </w:r>
    </w:p>
    <w:p w:rsidR="00A463D3" w:rsidRDefault="00951073" w:rsidP="000C1007">
      <w:pPr>
        <w:pStyle w:val="Bulletpoint"/>
      </w:pPr>
      <w:r w:rsidRPr="00BE7CF1">
        <w:t xml:space="preserve">An increased number of players </w:t>
      </w:r>
      <w:proofErr w:type="gramStart"/>
      <w:r w:rsidRPr="00BE7CF1">
        <w:t>provides</w:t>
      </w:r>
      <w:proofErr w:type="gramEnd"/>
      <w:r w:rsidRPr="00BE7CF1">
        <w:t xml:space="preserve"> the opportunity for more aggressive competition, </w:t>
      </w:r>
      <w:r w:rsidR="00536DEE">
        <w:t xml:space="preserve">and </w:t>
      </w:r>
      <w:r w:rsidRPr="00BE7CF1">
        <w:t>it is less likely that high profits, to the extent that they might have previously reflected economic rents in an industry with low contestability, will continue.</w:t>
      </w:r>
    </w:p>
    <w:p w:rsidR="003859DB" w:rsidRPr="00BE7CF1" w:rsidRDefault="003859DB" w:rsidP="00056A3D">
      <w:pPr>
        <w:pStyle w:val="Bulletpoint"/>
        <w:numPr>
          <w:ilvl w:val="0"/>
          <w:numId w:val="0"/>
        </w:numPr>
        <w:ind w:left="340"/>
      </w:pPr>
    </w:p>
    <w:p w:rsidR="00D97319" w:rsidRDefault="00AC4027" w:rsidP="00D97319">
      <w:pPr>
        <w:pStyle w:val="Appendixheading1"/>
      </w:pPr>
      <w:bookmarkStart w:id="64" w:name="_Toc433667028"/>
      <w:r>
        <w:t>Company-specific data</w:t>
      </w:r>
      <w:bookmarkEnd w:id="64"/>
    </w:p>
    <w:p w:rsidR="00D97319" w:rsidRDefault="00AC4027" w:rsidP="00D97319">
      <w:pPr>
        <w:pStyle w:val="Appendixheading2"/>
      </w:pPr>
      <w:r>
        <w:t>Introduction</w:t>
      </w:r>
    </w:p>
    <w:p w:rsidR="00D97319" w:rsidRPr="00FC2471" w:rsidRDefault="003C634B" w:rsidP="00AC4027">
      <w:r w:rsidRPr="003C634B">
        <w:t xml:space="preserve">This appendix presents company-specific data received from the four stevedore companies involved in the monitoring program. Where appropriate, the data is </w:t>
      </w:r>
      <w:r w:rsidR="00DA40B0">
        <w:t>indexed</w:t>
      </w:r>
      <w:r w:rsidRPr="003C634B">
        <w:t xml:space="preserve"> to protect commercially sensitive information.</w:t>
      </w:r>
    </w:p>
    <w:p w:rsidR="00D97319" w:rsidRDefault="00AC4027" w:rsidP="00AC4027">
      <w:pPr>
        <w:pStyle w:val="Appendixheading2"/>
      </w:pPr>
      <w:r>
        <w:t>Asciano (Patrick)</w:t>
      </w:r>
    </w:p>
    <w:p w:rsidR="00687F39" w:rsidRDefault="00AC4027" w:rsidP="00AC4027">
      <w:pPr>
        <w:pStyle w:val="Appendixheading3"/>
      </w:pPr>
      <w:r>
        <w:t>Container volumes</w:t>
      </w:r>
    </w:p>
    <w:p w:rsidR="00FE0A15" w:rsidRDefault="003C634B" w:rsidP="00AC4027">
      <w:r w:rsidRPr="003C634B">
        <w:t>In 201</w:t>
      </w:r>
      <w:r w:rsidR="00C21DA5">
        <w:t>4</w:t>
      </w:r>
      <w:r w:rsidRPr="003C634B">
        <w:t>–1</w:t>
      </w:r>
      <w:r w:rsidR="00C21DA5">
        <w:t>5</w:t>
      </w:r>
      <w:r w:rsidRPr="003C634B">
        <w:t xml:space="preserve">, the number of </w:t>
      </w:r>
      <w:r w:rsidR="00E76E0B">
        <w:t>TEUs</w:t>
      </w:r>
      <w:r w:rsidRPr="003C634B">
        <w:t xml:space="preserve"> handled by Patrick a</w:t>
      </w:r>
      <w:r w:rsidR="00C21DA5">
        <w:t>cross all ports increased by 2.8</w:t>
      </w:r>
      <w:r w:rsidRPr="003C634B">
        <w:t xml:space="preserve"> per</w:t>
      </w:r>
      <w:r w:rsidR="00C21DA5">
        <w:t> </w:t>
      </w:r>
      <w:r w:rsidRPr="003C634B">
        <w:t xml:space="preserve">cent, following a </w:t>
      </w:r>
      <w:r w:rsidR="00C21DA5">
        <w:t>2.4 per cent in</w:t>
      </w:r>
      <w:r w:rsidRPr="003C634B">
        <w:t>crease in 201</w:t>
      </w:r>
      <w:r w:rsidR="00C21DA5">
        <w:t>3</w:t>
      </w:r>
      <w:r w:rsidRPr="003C634B">
        <w:t>–1</w:t>
      </w:r>
      <w:r w:rsidR="00C21DA5">
        <w:t>4</w:t>
      </w:r>
      <w:r w:rsidRPr="003C634B">
        <w:t xml:space="preserve">. </w:t>
      </w:r>
      <w:r w:rsidR="00FE0A15" w:rsidRPr="003C634B">
        <w:t xml:space="preserve">A key factor was the commencement of the “K” Line service </w:t>
      </w:r>
      <w:r w:rsidR="00F26BCE">
        <w:t>in</w:t>
      </w:r>
      <w:r w:rsidR="00F26BCE" w:rsidRPr="003C634B">
        <w:t xml:space="preserve"> </w:t>
      </w:r>
      <w:r w:rsidR="00FE0A15" w:rsidRPr="003C634B">
        <w:t>Fremantle on 1 January 2014.</w:t>
      </w:r>
    </w:p>
    <w:p w:rsidR="00AC4027" w:rsidRDefault="003C634B" w:rsidP="00AC4027">
      <w:r w:rsidRPr="003C634B">
        <w:t>Patrick’s handling of 20-foot containers increased by 2</w:t>
      </w:r>
      <w:r w:rsidR="00177D83">
        <w:t>.5</w:t>
      </w:r>
      <w:r w:rsidRPr="003C634B">
        <w:t xml:space="preserve"> per cent nationally, while 40-foot containers </w:t>
      </w:r>
      <w:r w:rsidR="00177D83">
        <w:t>in</w:t>
      </w:r>
      <w:r w:rsidRPr="003C634B">
        <w:t xml:space="preserve">creased by </w:t>
      </w:r>
      <w:r w:rsidR="00177D83">
        <w:t>3</w:t>
      </w:r>
      <w:r w:rsidRPr="003C634B">
        <w:t>.</w:t>
      </w:r>
      <w:r w:rsidR="00177D83">
        <w:t>0 </w:t>
      </w:r>
      <w:r w:rsidRPr="003C634B">
        <w:t>per cent.</w:t>
      </w:r>
    </w:p>
    <w:p w:rsidR="00AC4027" w:rsidRDefault="00AC4027" w:rsidP="00AC4027">
      <w:pPr>
        <w:pStyle w:val="Appendixheading3"/>
      </w:pPr>
      <w:r>
        <w:t>Revenue</w:t>
      </w:r>
      <w:r w:rsidR="00F4024D">
        <w:t>, costs</w:t>
      </w:r>
      <w:r>
        <w:t xml:space="preserve"> and margins</w:t>
      </w:r>
    </w:p>
    <w:p w:rsidR="003C634B" w:rsidRDefault="003C634B" w:rsidP="0039471D">
      <w:pPr>
        <w:pStyle w:val="Bulletpoint"/>
      </w:pPr>
      <w:r>
        <w:t>Patrick’s total revenue increased across all ports by 4.</w:t>
      </w:r>
      <w:r w:rsidR="005730D2">
        <w:t>0</w:t>
      </w:r>
      <w:r>
        <w:t xml:space="preserve"> per cent i</w:t>
      </w:r>
      <w:r w:rsidR="00C21DA5">
        <w:t xml:space="preserve">n </w:t>
      </w:r>
      <w:r w:rsidR="00C21DA5" w:rsidRPr="003C634B">
        <w:t>201</w:t>
      </w:r>
      <w:r w:rsidR="00C21DA5">
        <w:t>4</w:t>
      </w:r>
      <w:r w:rsidR="00C21DA5" w:rsidRPr="003C634B">
        <w:t>–1</w:t>
      </w:r>
      <w:r w:rsidR="00C21DA5">
        <w:t>5</w:t>
      </w:r>
      <w:r>
        <w:t xml:space="preserve">. On a per TEU basis, total revenue increased by </w:t>
      </w:r>
      <w:r w:rsidR="005730D2">
        <w:t>1.</w:t>
      </w:r>
      <w:r>
        <w:t xml:space="preserve">2 per cent nationally. Unit total revenues increased in Brisbane, Fremantle and Melbourne but decreased in Sydney. </w:t>
      </w:r>
    </w:p>
    <w:p w:rsidR="003C634B" w:rsidRDefault="003C634B" w:rsidP="0039471D">
      <w:pPr>
        <w:pStyle w:val="Bulletpoint"/>
      </w:pPr>
      <w:r>
        <w:t xml:space="preserve">Total costs increased by </w:t>
      </w:r>
      <w:r w:rsidR="00A85C1A">
        <w:t>2.2</w:t>
      </w:r>
      <w:r>
        <w:t xml:space="preserve"> per cent across all ports. On a per TEU basis, co</w:t>
      </w:r>
      <w:r w:rsidR="0004623D">
        <w:t>sts de</w:t>
      </w:r>
      <w:r>
        <w:t xml:space="preserve">creased by </w:t>
      </w:r>
      <w:r w:rsidR="0004623D">
        <w:t>0</w:t>
      </w:r>
      <w:r>
        <w:t>.</w:t>
      </w:r>
      <w:r w:rsidR="0004623D">
        <w:t>5</w:t>
      </w:r>
      <w:r>
        <w:t xml:space="preserve"> per cent nationally. </w:t>
      </w:r>
      <w:r w:rsidR="00491394">
        <w:t>T</w:t>
      </w:r>
      <w:r>
        <w:t xml:space="preserve">otal costs per TEU </w:t>
      </w:r>
      <w:r w:rsidR="00A9781B">
        <w:t xml:space="preserve">decreased </w:t>
      </w:r>
      <w:r>
        <w:t xml:space="preserve">in Brisbane, Melbourne and Fremantle, but </w:t>
      </w:r>
      <w:r w:rsidR="00A9781B">
        <w:t>in</w:t>
      </w:r>
      <w:r>
        <w:t>creased in Sydney.</w:t>
      </w:r>
    </w:p>
    <w:p w:rsidR="003C634B" w:rsidRDefault="003C634B" w:rsidP="0039471D">
      <w:pPr>
        <w:pStyle w:val="Bulletpoint"/>
      </w:pPr>
      <w:r>
        <w:t>In 201</w:t>
      </w:r>
      <w:r w:rsidR="00E86EC7">
        <w:t>4</w:t>
      </w:r>
      <w:r>
        <w:t>–1</w:t>
      </w:r>
      <w:r w:rsidR="00E86EC7">
        <w:t>5</w:t>
      </w:r>
      <w:r>
        <w:t xml:space="preserve">, Patrick’s total margin increased by </w:t>
      </w:r>
      <w:r w:rsidR="009A46B7">
        <w:t>8.</w:t>
      </w:r>
      <w:r>
        <w:t>7 per cent nationally. On a per unit basis, Patrick’s margin increased by 5.</w:t>
      </w:r>
      <w:r w:rsidR="009A46B7">
        <w:t>7</w:t>
      </w:r>
      <w:r>
        <w:t xml:space="preserve"> per cent.</w:t>
      </w:r>
    </w:p>
    <w:p w:rsidR="003C634B" w:rsidRDefault="003C634B" w:rsidP="0039471D">
      <w:pPr>
        <w:pStyle w:val="Bulletpoint"/>
      </w:pPr>
      <w:r>
        <w:t>In Melbourne</w:t>
      </w:r>
      <w:r w:rsidR="004D4616">
        <w:t>,</w:t>
      </w:r>
      <w:r>
        <w:t xml:space="preserve"> </w:t>
      </w:r>
      <w:r w:rsidR="004D4616">
        <w:t>Fremantle</w:t>
      </w:r>
      <w:r w:rsidR="004D4616" w:rsidRPr="004D4616">
        <w:t xml:space="preserve"> </w:t>
      </w:r>
      <w:r w:rsidR="004D4616">
        <w:t>and</w:t>
      </w:r>
      <w:r w:rsidR="004D4616" w:rsidRPr="004D4616">
        <w:t xml:space="preserve"> </w:t>
      </w:r>
      <w:r w:rsidR="004D4616">
        <w:t>Brisbane</w:t>
      </w:r>
      <w:r>
        <w:t xml:space="preserve"> margins per TEU increased by </w:t>
      </w:r>
      <w:r w:rsidR="004D4616">
        <w:t>9.7</w:t>
      </w:r>
      <w:r>
        <w:t xml:space="preserve"> per cent, </w:t>
      </w:r>
      <w:r w:rsidR="004D4616">
        <w:t>8.4 </w:t>
      </w:r>
      <w:r>
        <w:t>per cent and 5.</w:t>
      </w:r>
      <w:r w:rsidR="004D4616">
        <w:t>2</w:t>
      </w:r>
      <w:r>
        <w:t xml:space="preserve"> per cent respectively. In </w:t>
      </w:r>
      <w:r w:rsidR="004D4616">
        <w:t>Sydney</w:t>
      </w:r>
      <w:r w:rsidR="00E85DA9">
        <w:t>,</w:t>
      </w:r>
      <w:r w:rsidR="004D4616">
        <w:t xml:space="preserve"> </w:t>
      </w:r>
      <w:r>
        <w:t xml:space="preserve">margins per TEU decreased by </w:t>
      </w:r>
      <w:r w:rsidR="004D4616">
        <w:t>14.</w:t>
      </w:r>
      <w:r>
        <w:t>9 per cent.</w:t>
      </w:r>
    </w:p>
    <w:p w:rsidR="003C634B" w:rsidRDefault="003C634B" w:rsidP="0039471D">
      <w:pPr>
        <w:pStyle w:val="Bulletpoint"/>
      </w:pPr>
      <w:r>
        <w:t xml:space="preserve">Stevedoring revenue per TEU increased by </w:t>
      </w:r>
      <w:r w:rsidR="00AF7F8C">
        <w:t>1.</w:t>
      </w:r>
      <w:r>
        <w:t>2 per cent across all</w:t>
      </w:r>
      <w:r w:rsidR="00AF7F8C">
        <w:t xml:space="preserve"> ports. Other revenue per TEU in</w:t>
      </w:r>
      <w:r>
        <w:t>creased by 0.</w:t>
      </w:r>
      <w:r w:rsidR="00AF7F8C">
        <w:t>8</w:t>
      </w:r>
      <w:r>
        <w:t xml:space="preserve"> per cent.</w:t>
      </w:r>
    </w:p>
    <w:p w:rsidR="00AC4027" w:rsidRDefault="003C634B" w:rsidP="0039471D">
      <w:pPr>
        <w:pStyle w:val="Bulletpoint"/>
      </w:pPr>
      <w:r>
        <w:t>Patrick earned slightly higher unit stevedoring revenue on 20-foot containers and 40-foot containers than it did in 201</w:t>
      </w:r>
      <w:r w:rsidR="00AF7F8C">
        <w:t>3</w:t>
      </w:r>
      <w:r>
        <w:t>–1</w:t>
      </w:r>
      <w:r w:rsidR="00AF7F8C">
        <w:t>4</w:t>
      </w:r>
      <w:r>
        <w:t>.</w:t>
      </w:r>
    </w:p>
    <w:p w:rsidR="00AC4027" w:rsidRDefault="00AC4027" w:rsidP="00AC4027">
      <w:pPr>
        <w:pStyle w:val="Appendixheading3"/>
      </w:pPr>
      <w:r>
        <w:t>Changes in cost components</w:t>
      </w:r>
    </w:p>
    <w:p w:rsidR="003C634B" w:rsidRDefault="003C634B" w:rsidP="003C634B">
      <w:r>
        <w:t xml:space="preserve">The ACCC collects unit cost data for specific cost categories including stevedoring, labour, equipment and property. Table C.1 in appendix C sets out </w:t>
      </w:r>
      <w:r w:rsidR="004F0FBB">
        <w:t xml:space="preserve">trends in </w:t>
      </w:r>
      <w:r w:rsidR="00072E64">
        <w:t>the</w:t>
      </w:r>
      <w:r w:rsidR="004F0FBB">
        <w:t xml:space="preserve"> </w:t>
      </w:r>
      <w:r>
        <w:t>data relating to these cost categories for Patrick.</w:t>
      </w:r>
    </w:p>
    <w:p w:rsidR="003C634B" w:rsidRDefault="003C634B" w:rsidP="00C67452">
      <w:pPr>
        <w:pStyle w:val="Bulletpoint"/>
      </w:pPr>
      <w:r>
        <w:t xml:space="preserve">Stevedoring costs per TEU </w:t>
      </w:r>
      <w:r w:rsidR="00B32CCA">
        <w:t>de</w:t>
      </w:r>
      <w:r>
        <w:t xml:space="preserve">creased by </w:t>
      </w:r>
      <w:r w:rsidR="00B32CCA">
        <w:t>0</w:t>
      </w:r>
      <w:r>
        <w:t>.3 per cent in 201</w:t>
      </w:r>
      <w:r w:rsidR="00B32CCA">
        <w:t>4</w:t>
      </w:r>
      <w:r>
        <w:t>–1</w:t>
      </w:r>
      <w:r w:rsidR="00B32CCA">
        <w:t>5</w:t>
      </w:r>
      <w:r>
        <w:t xml:space="preserve"> across all ports. </w:t>
      </w:r>
      <w:r w:rsidR="00B32CCA">
        <w:t>I</w:t>
      </w:r>
      <w:r>
        <w:t xml:space="preserve">n </w:t>
      </w:r>
      <w:r w:rsidR="00AE642B">
        <w:t>Fremantle</w:t>
      </w:r>
      <w:r>
        <w:t xml:space="preserve">, Melbourne and </w:t>
      </w:r>
      <w:r w:rsidR="00AE642B">
        <w:t>Brisbane</w:t>
      </w:r>
      <w:r w:rsidR="00AE642B" w:rsidRPr="00AE642B">
        <w:t xml:space="preserve"> </w:t>
      </w:r>
      <w:r w:rsidR="00B32CCA">
        <w:t xml:space="preserve">stevedoring costs per TEU </w:t>
      </w:r>
      <w:r w:rsidR="00AE642B">
        <w:t>de</w:t>
      </w:r>
      <w:r w:rsidR="00B32CCA">
        <w:t>creased</w:t>
      </w:r>
      <w:r>
        <w:t xml:space="preserve"> by </w:t>
      </w:r>
      <w:r w:rsidR="00AE642B">
        <w:t>2</w:t>
      </w:r>
      <w:r>
        <w:t>.</w:t>
      </w:r>
      <w:r w:rsidR="00AE642B">
        <w:t>8 </w:t>
      </w:r>
      <w:r>
        <w:t>per</w:t>
      </w:r>
      <w:r w:rsidR="00AE642B">
        <w:t> </w:t>
      </w:r>
      <w:r>
        <w:t xml:space="preserve">cent, </w:t>
      </w:r>
      <w:r w:rsidR="00AE642B">
        <w:t>2</w:t>
      </w:r>
      <w:r>
        <w:t xml:space="preserve">.1 per cent and </w:t>
      </w:r>
      <w:r w:rsidR="00AE642B">
        <w:t>0</w:t>
      </w:r>
      <w:r>
        <w:t>.</w:t>
      </w:r>
      <w:r w:rsidR="00AE642B">
        <w:t>7</w:t>
      </w:r>
      <w:r>
        <w:t xml:space="preserve"> per cent respectively, and </w:t>
      </w:r>
      <w:r w:rsidR="00AE642B">
        <w:t>increased in Sydney by 3.6 </w:t>
      </w:r>
      <w:r>
        <w:t>per cent.</w:t>
      </w:r>
    </w:p>
    <w:p w:rsidR="003C634B" w:rsidRDefault="003C634B" w:rsidP="00C67452">
      <w:pPr>
        <w:pStyle w:val="Bulletpoint"/>
      </w:pPr>
      <w:r>
        <w:t xml:space="preserve">Labour costs per TEU </w:t>
      </w:r>
      <w:r w:rsidR="00C25609">
        <w:t>de</w:t>
      </w:r>
      <w:r>
        <w:t>creased for the f</w:t>
      </w:r>
      <w:r w:rsidR="00C25609">
        <w:t xml:space="preserve">irst time in five </w:t>
      </w:r>
      <w:r>
        <w:t>year</w:t>
      </w:r>
      <w:r w:rsidR="00C25609">
        <w:t>s</w:t>
      </w:r>
      <w:r w:rsidR="00953632" w:rsidRPr="00953632">
        <w:t xml:space="preserve"> </w:t>
      </w:r>
      <w:r w:rsidR="00953632">
        <w:t>in 2014–15</w:t>
      </w:r>
      <w:r>
        <w:t xml:space="preserve">, by </w:t>
      </w:r>
      <w:r w:rsidR="00C25609">
        <w:t>0.7</w:t>
      </w:r>
      <w:r>
        <w:t xml:space="preserve"> per cent</w:t>
      </w:r>
      <w:r w:rsidR="00EE7652">
        <w:t xml:space="preserve">. </w:t>
      </w:r>
      <w:r>
        <w:t xml:space="preserve"> </w:t>
      </w:r>
    </w:p>
    <w:p w:rsidR="003C634B" w:rsidRDefault="003C634B" w:rsidP="00C67452">
      <w:pPr>
        <w:pStyle w:val="Bulletpoint"/>
      </w:pPr>
      <w:r>
        <w:t xml:space="preserve">Unit labour costs increased in </w:t>
      </w:r>
      <w:r w:rsidR="00C25609">
        <w:t>Brisbane (0.8 per cent) and</w:t>
      </w:r>
      <w:r>
        <w:t xml:space="preserve"> Melbourne </w:t>
      </w:r>
      <w:r w:rsidR="00C25609">
        <w:t>(4</w:t>
      </w:r>
      <w:r>
        <w:t>.</w:t>
      </w:r>
      <w:r w:rsidR="00C25609">
        <w:t>0 </w:t>
      </w:r>
      <w:r>
        <w:t>per</w:t>
      </w:r>
      <w:r w:rsidR="00C25609">
        <w:t> </w:t>
      </w:r>
      <w:r>
        <w:t>cent</w:t>
      </w:r>
      <w:r w:rsidR="00C25609">
        <w:t>), while d</w:t>
      </w:r>
      <w:r>
        <w:t>ecreas</w:t>
      </w:r>
      <w:r w:rsidR="00C25609">
        <w:t>ing</w:t>
      </w:r>
      <w:r>
        <w:t xml:space="preserve"> in </w:t>
      </w:r>
      <w:r w:rsidR="00C25609">
        <w:t xml:space="preserve">Fremantle (3.5 per cent) and </w:t>
      </w:r>
      <w:r>
        <w:t xml:space="preserve">Sydney </w:t>
      </w:r>
      <w:r w:rsidR="00C25609">
        <w:t>(2</w:t>
      </w:r>
      <w:r>
        <w:t>.</w:t>
      </w:r>
      <w:r w:rsidR="00C25609">
        <w:t>8</w:t>
      </w:r>
      <w:r>
        <w:t xml:space="preserve"> per cent</w:t>
      </w:r>
      <w:r w:rsidR="00C25609">
        <w:t>)</w:t>
      </w:r>
      <w:r>
        <w:t>.</w:t>
      </w:r>
    </w:p>
    <w:p w:rsidR="003C634B" w:rsidRDefault="003C634B" w:rsidP="00C67452">
      <w:pPr>
        <w:pStyle w:val="Bulletpoint"/>
      </w:pPr>
      <w:r>
        <w:t xml:space="preserve">Equipment costs per TEU decreased across all ports by </w:t>
      </w:r>
      <w:r w:rsidR="000010C5">
        <w:t>2.3</w:t>
      </w:r>
      <w:r>
        <w:t xml:space="preserve"> per cent in 201</w:t>
      </w:r>
      <w:r w:rsidR="000010C5">
        <w:t>4</w:t>
      </w:r>
      <w:r>
        <w:t>–1</w:t>
      </w:r>
      <w:r w:rsidR="000010C5">
        <w:t>5</w:t>
      </w:r>
      <w:r>
        <w:t>. Unit equipment costs decreased in Melbourne</w:t>
      </w:r>
      <w:r w:rsidR="000010C5">
        <w:t>, Brisbane</w:t>
      </w:r>
      <w:r>
        <w:t xml:space="preserve"> and Fremantle by </w:t>
      </w:r>
      <w:r w:rsidR="000010C5">
        <w:t>1</w:t>
      </w:r>
      <w:r>
        <w:t>3.</w:t>
      </w:r>
      <w:r w:rsidR="000010C5">
        <w:t>0</w:t>
      </w:r>
      <w:r>
        <w:t xml:space="preserve"> per cent</w:t>
      </w:r>
      <w:r w:rsidR="000010C5">
        <w:t>, 4.7 per cent</w:t>
      </w:r>
      <w:r>
        <w:t xml:space="preserve"> and 3.</w:t>
      </w:r>
      <w:r w:rsidR="000010C5">
        <w:t>6</w:t>
      </w:r>
      <w:r>
        <w:t xml:space="preserve"> per cent respectively. </w:t>
      </w:r>
      <w:r w:rsidR="000010C5">
        <w:t>Unit costs in</w:t>
      </w:r>
      <w:r>
        <w:t>crease</w:t>
      </w:r>
      <w:r w:rsidR="000010C5">
        <w:t>d</w:t>
      </w:r>
      <w:r>
        <w:t xml:space="preserve"> in Sydney </w:t>
      </w:r>
      <w:r w:rsidR="000010C5">
        <w:t>by 1</w:t>
      </w:r>
      <w:r>
        <w:t>1.</w:t>
      </w:r>
      <w:r w:rsidR="000010C5">
        <w:t>7</w:t>
      </w:r>
      <w:r>
        <w:t xml:space="preserve"> per cent.</w:t>
      </w:r>
    </w:p>
    <w:p w:rsidR="003C634B" w:rsidRDefault="003C634B" w:rsidP="00C67452">
      <w:pPr>
        <w:pStyle w:val="Bulletpoint"/>
      </w:pPr>
      <w:r>
        <w:t>Property costs per TEU decreased marginally, by 0.</w:t>
      </w:r>
      <w:r w:rsidR="00937EE9">
        <w:t>2</w:t>
      </w:r>
      <w:r>
        <w:t xml:space="preserve"> per cent, nationally in 201</w:t>
      </w:r>
      <w:r w:rsidR="00937EE9">
        <w:t>4</w:t>
      </w:r>
      <w:r>
        <w:t>–1</w:t>
      </w:r>
      <w:r w:rsidR="00937EE9">
        <w:t>5</w:t>
      </w:r>
      <w:r>
        <w:t xml:space="preserve">. For individual ports, property costs per TEU increased </w:t>
      </w:r>
      <w:r w:rsidR="00E85DA9">
        <w:t xml:space="preserve">in </w:t>
      </w:r>
      <w:r w:rsidR="00937EE9">
        <w:t xml:space="preserve">Sydney </w:t>
      </w:r>
      <w:r w:rsidR="00172F4C">
        <w:t>(</w:t>
      </w:r>
      <w:r w:rsidR="00937EE9">
        <w:t>by 3.4</w:t>
      </w:r>
      <w:r>
        <w:t xml:space="preserve"> per cent</w:t>
      </w:r>
      <w:r w:rsidR="00172F4C">
        <w:t>)</w:t>
      </w:r>
      <w:r>
        <w:t xml:space="preserve"> and </w:t>
      </w:r>
      <w:r w:rsidR="00937EE9">
        <w:t xml:space="preserve">Brisbane </w:t>
      </w:r>
      <w:r w:rsidR="00172F4C">
        <w:t>(</w:t>
      </w:r>
      <w:r w:rsidR="00937EE9">
        <w:t xml:space="preserve">by 2.3 </w:t>
      </w:r>
      <w:r>
        <w:t>per cent</w:t>
      </w:r>
      <w:r w:rsidR="00172F4C">
        <w:t>)</w:t>
      </w:r>
      <w:r w:rsidR="00283EFA">
        <w:t>, while</w:t>
      </w:r>
      <w:r w:rsidR="00FB2088">
        <w:t xml:space="preserve"> </w:t>
      </w:r>
      <w:r w:rsidR="00283EFA">
        <w:t xml:space="preserve">decreasing </w:t>
      </w:r>
      <w:r w:rsidR="00F26BCE">
        <w:t xml:space="preserve">in </w:t>
      </w:r>
      <w:r w:rsidR="00FB2088">
        <w:t>Fremantle (</w:t>
      </w:r>
      <w:r>
        <w:t xml:space="preserve">by </w:t>
      </w:r>
      <w:r w:rsidR="00E2341E">
        <w:t>9.4</w:t>
      </w:r>
      <w:r>
        <w:t xml:space="preserve"> per cent) and </w:t>
      </w:r>
      <w:r w:rsidR="00FB2088">
        <w:t xml:space="preserve">were unchanged </w:t>
      </w:r>
      <w:r w:rsidR="00F26BCE">
        <w:t>in</w:t>
      </w:r>
      <w:r w:rsidR="00F26BCE" w:rsidRPr="00937EE9">
        <w:t xml:space="preserve"> </w:t>
      </w:r>
      <w:r w:rsidR="00937EE9">
        <w:t>Melbourne</w:t>
      </w:r>
      <w:r w:rsidR="00FB2088">
        <w:t>.</w:t>
      </w:r>
    </w:p>
    <w:p w:rsidR="00AC4027" w:rsidRDefault="00283EFA" w:rsidP="00C67452">
      <w:pPr>
        <w:pStyle w:val="Bulletpoint"/>
      </w:pPr>
      <w:r>
        <w:t>O</w:t>
      </w:r>
      <w:r w:rsidR="003C634B">
        <w:t xml:space="preserve">ther costs per TEU </w:t>
      </w:r>
      <w:r w:rsidR="00EE4922">
        <w:t>in</w:t>
      </w:r>
      <w:r w:rsidR="003C634B">
        <w:t>creased by 2.</w:t>
      </w:r>
      <w:r w:rsidR="004E14A6">
        <w:t>4</w:t>
      </w:r>
      <w:r w:rsidR="003C634B">
        <w:t xml:space="preserve"> per cent in 201</w:t>
      </w:r>
      <w:r w:rsidR="004E14A6">
        <w:t>4</w:t>
      </w:r>
      <w:r w:rsidR="003C634B">
        <w:t>–1</w:t>
      </w:r>
      <w:r w:rsidR="004E14A6">
        <w:t>5</w:t>
      </w:r>
      <w:r w:rsidR="003C634B">
        <w:t>. Other costs consist of other overheads, port management and other direct costs.</w:t>
      </w:r>
      <w:r w:rsidR="00C42F6B">
        <w:rPr>
          <w:rStyle w:val="FootnoteReference"/>
        </w:rPr>
        <w:footnoteReference w:id="102"/>
      </w:r>
    </w:p>
    <w:p w:rsidR="00AC4027" w:rsidRDefault="00AC4027" w:rsidP="00AC4027">
      <w:pPr>
        <w:pStyle w:val="Appendixheading2"/>
      </w:pPr>
      <w:r>
        <w:t>DP World Australia</w:t>
      </w:r>
    </w:p>
    <w:p w:rsidR="00AC4027" w:rsidRDefault="00AC4027" w:rsidP="00AC4027">
      <w:pPr>
        <w:pStyle w:val="Appendixheading3"/>
      </w:pPr>
      <w:r>
        <w:t>Container volumes</w:t>
      </w:r>
    </w:p>
    <w:p w:rsidR="006B6BCE" w:rsidRDefault="006B6BCE" w:rsidP="006B6BCE">
      <w:r>
        <w:t xml:space="preserve">In 2014–15, the number of </w:t>
      </w:r>
      <w:r w:rsidR="00E76E0B">
        <w:t>TEUs</w:t>
      </w:r>
      <w:r>
        <w:t xml:space="preserve"> handled by DP World across all ports increased marginally by 0.9 per cent, the same percentage increase as in 2013–14. Increases in the number of </w:t>
      </w:r>
      <w:r w:rsidR="00E76E0B">
        <w:t>TEUs</w:t>
      </w:r>
      <w:r>
        <w:t xml:space="preserve"> handled by DP World in 2014–15 occurred </w:t>
      </w:r>
      <w:r w:rsidR="0021219A">
        <w:t>in Sydney</w:t>
      </w:r>
      <w:r>
        <w:t xml:space="preserve"> and Melbourne</w:t>
      </w:r>
      <w:r w:rsidR="00824D54">
        <w:t>,</w:t>
      </w:r>
      <w:r>
        <w:t xml:space="preserve"> while volumes declined </w:t>
      </w:r>
      <w:r w:rsidR="00F26BCE">
        <w:t xml:space="preserve">in </w:t>
      </w:r>
      <w:r>
        <w:t xml:space="preserve">Fremantle and Brisbane. </w:t>
      </w:r>
      <w:r w:rsidR="0071333E">
        <w:t xml:space="preserve">While </w:t>
      </w:r>
      <w:r>
        <w:t xml:space="preserve">TEU volumes in Fremantle have been declining </w:t>
      </w:r>
      <w:r w:rsidR="007506A4">
        <w:t>for the past seven years</w:t>
      </w:r>
      <w:r>
        <w:t xml:space="preserve">, </w:t>
      </w:r>
      <w:r w:rsidR="0071333E">
        <w:t xml:space="preserve">the </w:t>
      </w:r>
      <w:r>
        <w:t xml:space="preserve">most significant </w:t>
      </w:r>
      <w:r w:rsidR="0071333E">
        <w:t>have been in the last two years</w:t>
      </w:r>
      <w:r>
        <w:t>. The decline in TEU volumes in Fremantle</w:t>
      </w:r>
      <w:r w:rsidR="0071333E">
        <w:t xml:space="preserve"> over these two years</w:t>
      </w:r>
      <w:r>
        <w:t xml:space="preserve"> </w:t>
      </w:r>
      <w:r w:rsidR="00824D54">
        <w:t xml:space="preserve">would be </w:t>
      </w:r>
      <w:r>
        <w:t xml:space="preserve">largely due to the loss of the “K” Line service </w:t>
      </w:r>
      <w:r w:rsidR="0071333E">
        <w:t>on</w:t>
      </w:r>
      <w:r>
        <w:t xml:space="preserve"> 1 January 2014.</w:t>
      </w:r>
    </w:p>
    <w:p w:rsidR="00AC4027" w:rsidRDefault="006B6BCE" w:rsidP="006B6BCE">
      <w:r>
        <w:t>A</w:t>
      </w:r>
      <w:r w:rsidR="001B3000">
        <w:t>cross all ports</w:t>
      </w:r>
      <w:r>
        <w:t xml:space="preserve">, </w:t>
      </w:r>
      <w:r w:rsidR="00824D54">
        <w:t>DP World’s handling</w:t>
      </w:r>
      <w:r w:rsidR="0062790F">
        <w:t xml:space="preserve"> of 20-foot containers in</w:t>
      </w:r>
      <w:r>
        <w:t xml:space="preserve">creased by </w:t>
      </w:r>
      <w:r w:rsidR="0062790F">
        <w:t>1</w:t>
      </w:r>
      <w:r>
        <w:t xml:space="preserve">.1 per cent while 40-foot containers increased by </w:t>
      </w:r>
      <w:r w:rsidR="00461640">
        <w:t>0</w:t>
      </w:r>
      <w:r>
        <w:t>.</w:t>
      </w:r>
      <w:r w:rsidR="001B3000">
        <w:t>9</w:t>
      </w:r>
      <w:r>
        <w:t xml:space="preserve"> per cent</w:t>
      </w:r>
      <w:r w:rsidR="00824D54">
        <w:t xml:space="preserve"> in </w:t>
      </w:r>
      <w:r w:rsidR="00D8433D">
        <w:t>2014–15</w:t>
      </w:r>
      <w:r>
        <w:t>.</w:t>
      </w:r>
    </w:p>
    <w:p w:rsidR="00AC4027" w:rsidRDefault="00AC4027" w:rsidP="00AC4027">
      <w:pPr>
        <w:pStyle w:val="Appendixheading3"/>
      </w:pPr>
      <w:r>
        <w:t>Revenue</w:t>
      </w:r>
      <w:r w:rsidR="00F4024D">
        <w:t>, costs</w:t>
      </w:r>
      <w:r>
        <w:t xml:space="preserve"> and margins</w:t>
      </w:r>
    </w:p>
    <w:p w:rsidR="00247ADF" w:rsidRDefault="00B303E0" w:rsidP="00B303E0">
      <w:pPr>
        <w:pStyle w:val="Bulletpoint"/>
      </w:pPr>
      <w:r>
        <w:t>In 2014–15</w:t>
      </w:r>
      <w:r w:rsidR="008743F6">
        <w:t>,</w:t>
      </w:r>
      <w:r>
        <w:t xml:space="preserve"> </w:t>
      </w:r>
      <w:r w:rsidR="00247ADF">
        <w:t xml:space="preserve">DP World’s total revenue across all ports decreased by </w:t>
      </w:r>
      <w:r w:rsidR="006C29AB">
        <w:t>2.8</w:t>
      </w:r>
      <w:r w:rsidR="00247ADF">
        <w:t xml:space="preserve"> per cent. On a per T</w:t>
      </w:r>
      <w:r w:rsidR="006C29AB">
        <w:t>EU basis, revenue decreased by 3</w:t>
      </w:r>
      <w:r w:rsidR="00247ADF">
        <w:t>.</w:t>
      </w:r>
      <w:r w:rsidR="006C29AB">
        <w:t>7</w:t>
      </w:r>
      <w:r w:rsidR="00247ADF">
        <w:t xml:space="preserve"> per cent across all ports. Total unit revenues declined at each port: </w:t>
      </w:r>
      <w:r w:rsidR="000404AE">
        <w:t xml:space="preserve">Fremantle (6.8 per cent); </w:t>
      </w:r>
      <w:r w:rsidR="00247ADF">
        <w:t>Brisbane (4.</w:t>
      </w:r>
      <w:r w:rsidR="00126443">
        <w:t>8</w:t>
      </w:r>
      <w:r w:rsidR="00247ADF">
        <w:t xml:space="preserve"> per cent); Sydney (3.</w:t>
      </w:r>
      <w:r w:rsidR="00126443">
        <w:t>4</w:t>
      </w:r>
      <w:r w:rsidR="001C3189">
        <w:t xml:space="preserve"> per cent); </w:t>
      </w:r>
      <w:r w:rsidR="00126443">
        <w:t>and Melbourne (2.9</w:t>
      </w:r>
      <w:r w:rsidR="00247ADF">
        <w:t xml:space="preserve"> per cent). </w:t>
      </w:r>
    </w:p>
    <w:p w:rsidR="00F4024D" w:rsidRDefault="00C90A03" w:rsidP="00F4024D">
      <w:pPr>
        <w:pStyle w:val="Bulletpoint"/>
      </w:pPr>
      <w:r>
        <w:t>T</w:t>
      </w:r>
      <w:r w:rsidR="00F4024D">
        <w:t>otal costs decreased</w:t>
      </w:r>
      <w:r w:rsidR="00461640">
        <w:t xml:space="preserve"> marginally</w:t>
      </w:r>
      <w:r w:rsidR="00F4024D">
        <w:t xml:space="preserve"> by 0.2 per cent </w:t>
      </w:r>
      <w:r>
        <w:t xml:space="preserve">across all ports </w:t>
      </w:r>
      <w:r w:rsidR="00F4024D">
        <w:t xml:space="preserve">in 2014–15. On </w:t>
      </w:r>
      <w:r w:rsidR="0000054A">
        <w:t xml:space="preserve">a </w:t>
      </w:r>
      <w:r w:rsidR="00F4024D">
        <w:t xml:space="preserve">per TEU basis, </w:t>
      </w:r>
      <w:r>
        <w:t xml:space="preserve">total </w:t>
      </w:r>
      <w:r w:rsidR="00F4024D">
        <w:t>costs decreased by 1.1 per cent. DP World’s terminals in Fremantle and Melbourne experienced higher total unit costs in 2014–15, with rises of 6.3 per cent and 2.3 per cent respectively. There were decreases in unit costs in Brisbane (9.2 per cent) and Sydney (0.6 per cent).</w:t>
      </w:r>
    </w:p>
    <w:p w:rsidR="00247ADF" w:rsidRDefault="00247ADF" w:rsidP="00F02CB7">
      <w:pPr>
        <w:pStyle w:val="Bulletpoint"/>
      </w:pPr>
      <w:r>
        <w:t>In 201</w:t>
      </w:r>
      <w:r w:rsidR="009201A8">
        <w:t>4</w:t>
      </w:r>
      <w:r>
        <w:t>–1</w:t>
      </w:r>
      <w:r w:rsidR="009201A8">
        <w:t>5</w:t>
      </w:r>
      <w:r>
        <w:t xml:space="preserve">, DP World’s total margin decreased by </w:t>
      </w:r>
      <w:r w:rsidR="009201A8">
        <w:t>20</w:t>
      </w:r>
      <w:r>
        <w:t>.</w:t>
      </w:r>
      <w:r w:rsidR="009201A8">
        <w:t>6</w:t>
      </w:r>
      <w:r>
        <w:t xml:space="preserve"> per cent nationally. On a per unit basis, DP World’s margin decreased by </w:t>
      </w:r>
      <w:r w:rsidR="00427E42">
        <w:t>21.4</w:t>
      </w:r>
      <w:r>
        <w:t xml:space="preserve"> per cent. </w:t>
      </w:r>
      <w:r w:rsidR="00461640">
        <w:t>Over</w:t>
      </w:r>
      <w:r w:rsidR="002339F5">
        <w:t xml:space="preserve"> the past two years</w:t>
      </w:r>
      <w:r w:rsidR="00C90A03">
        <w:t>,</w:t>
      </w:r>
      <w:r w:rsidR="002339F5">
        <w:t xml:space="preserve"> m</w:t>
      </w:r>
      <w:r>
        <w:t xml:space="preserve">argins per TEU </w:t>
      </w:r>
      <w:r w:rsidR="002339F5">
        <w:t xml:space="preserve">have </w:t>
      </w:r>
      <w:r>
        <w:t xml:space="preserve">decreased significantly at </w:t>
      </w:r>
      <w:r w:rsidR="00AE7394">
        <w:t xml:space="preserve">each </w:t>
      </w:r>
      <w:r>
        <w:t xml:space="preserve">of DP World’s </w:t>
      </w:r>
      <w:r w:rsidR="00AE7394">
        <w:t>terminals</w:t>
      </w:r>
      <w:r>
        <w:t xml:space="preserve">. </w:t>
      </w:r>
      <w:r w:rsidR="00F02CB7" w:rsidRPr="00F02CB7">
        <w:t xml:space="preserve">In Brisbane, however, margins per TEU increased by 27.3 per cent in </w:t>
      </w:r>
      <w:r w:rsidR="00D8433D">
        <w:t>2014–15</w:t>
      </w:r>
      <w:r w:rsidR="00F02CB7" w:rsidRPr="00F02CB7">
        <w:t>, while decreasing in Sydney, Melbourne and Fremantle by 18.3 per cent, 26.7 per cent and 56.2 per cent respectively.</w:t>
      </w:r>
    </w:p>
    <w:p w:rsidR="00F967E7" w:rsidRDefault="00F967E7" w:rsidP="0059485A">
      <w:pPr>
        <w:pStyle w:val="Bulletpoint2"/>
      </w:pPr>
      <w:r>
        <w:t>Note i</w:t>
      </w:r>
      <w:r w:rsidRPr="00F967E7">
        <w:t xml:space="preserve">n </w:t>
      </w:r>
      <w:r w:rsidR="00D8433D">
        <w:t>2013–14</w:t>
      </w:r>
      <w:r>
        <w:t xml:space="preserve"> margins</w:t>
      </w:r>
      <w:r w:rsidRPr="00F967E7">
        <w:t xml:space="preserve"> per TEU</w:t>
      </w:r>
      <w:r>
        <w:t xml:space="preserve"> in </w:t>
      </w:r>
      <w:r w:rsidRPr="00F967E7">
        <w:t>Fremantle decreased by 1045.9 per cent</w:t>
      </w:r>
      <w:r w:rsidR="00E56849">
        <w:t xml:space="preserve"> as revenue fell</w:t>
      </w:r>
      <w:r w:rsidR="00816B46">
        <w:t>,</w:t>
      </w:r>
      <w:r w:rsidR="00E56849">
        <w:t xml:space="preserve"> costs increased</w:t>
      </w:r>
      <w:r w:rsidR="00816B46">
        <w:t xml:space="preserve"> and volumes fell significantly primarily due to the loss of </w:t>
      </w:r>
      <w:r w:rsidR="00914452">
        <w:t>“</w:t>
      </w:r>
      <w:r w:rsidR="00816B46">
        <w:t>K</w:t>
      </w:r>
      <w:r w:rsidR="00914452">
        <w:t xml:space="preserve">” </w:t>
      </w:r>
      <w:r w:rsidR="00816B46">
        <w:t>Line</w:t>
      </w:r>
      <w:r w:rsidRPr="00F967E7">
        <w:t>.</w:t>
      </w:r>
    </w:p>
    <w:p w:rsidR="00AC4027" w:rsidRDefault="00247ADF" w:rsidP="00F02CB7">
      <w:pPr>
        <w:pStyle w:val="Bulletpoint"/>
      </w:pPr>
      <w:r>
        <w:t xml:space="preserve">Stevedoring revenue per TEU decreased by </w:t>
      </w:r>
      <w:r w:rsidR="00216B02">
        <w:t>4</w:t>
      </w:r>
      <w:r>
        <w:t>.</w:t>
      </w:r>
      <w:r w:rsidR="00216B02">
        <w:t>5</w:t>
      </w:r>
      <w:r>
        <w:t xml:space="preserve"> per cent </w:t>
      </w:r>
      <w:r w:rsidR="00225A30">
        <w:t xml:space="preserve">across all ports </w:t>
      </w:r>
      <w:r>
        <w:t>in 201</w:t>
      </w:r>
      <w:r w:rsidR="00190C60">
        <w:t>4</w:t>
      </w:r>
      <w:r>
        <w:t>–1</w:t>
      </w:r>
      <w:r w:rsidR="00190C60">
        <w:t>5</w:t>
      </w:r>
      <w:r>
        <w:t xml:space="preserve">. Other revenue per TEU </w:t>
      </w:r>
      <w:r w:rsidR="00351552">
        <w:t xml:space="preserve">was unchanged </w:t>
      </w:r>
      <w:r>
        <w:t>in 201</w:t>
      </w:r>
      <w:r w:rsidR="00351552">
        <w:t>4</w:t>
      </w:r>
      <w:r>
        <w:t>–1</w:t>
      </w:r>
      <w:r w:rsidR="00351552">
        <w:t>5</w:t>
      </w:r>
      <w:r>
        <w:t>. DP World earned lower unit stevedoring revenue for both 20-foot containers</w:t>
      </w:r>
      <w:r w:rsidR="00937680">
        <w:t xml:space="preserve"> </w:t>
      </w:r>
      <w:r>
        <w:t>and 40-foot containers</w:t>
      </w:r>
      <w:r w:rsidR="00937680">
        <w:t xml:space="preserve"> </w:t>
      </w:r>
      <w:r>
        <w:t>in 201</w:t>
      </w:r>
      <w:r w:rsidR="00937680">
        <w:t>4</w:t>
      </w:r>
      <w:r>
        <w:t>–1</w:t>
      </w:r>
      <w:r w:rsidR="00937680">
        <w:t>5</w:t>
      </w:r>
      <w:r>
        <w:t>.</w:t>
      </w:r>
    </w:p>
    <w:p w:rsidR="00AC4027" w:rsidRDefault="00AC4027" w:rsidP="00AC4027">
      <w:pPr>
        <w:pStyle w:val="Appendixheading3"/>
      </w:pPr>
      <w:r>
        <w:t>Changes in cost components</w:t>
      </w:r>
      <w:r w:rsidR="004D543C">
        <w:rPr>
          <w:rStyle w:val="FootnoteReference"/>
        </w:rPr>
        <w:footnoteReference w:id="103"/>
      </w:r>
    </w:p>
    <w:p w:rsidR="004D543C" w:rsidRDefault="004D543C" w:rsidP="004D543C">
      <w:r>
        <w:t xml:space="preserve">The ACCC collects unit cost data for specific cost categories including stevedoring, labour, equipment and property. Table C.2 in appendix C sets out </w:t>
      </w:r>
      <w:r w:rsidR="00072E64">
        <w:t xml:space="preserve">trends in the </w:t>
      </w:r>
      <w:r>
        <w:t>data relating to these cost categories for DP World.</w:t>
      </w:r>
    </w:p>
    <w:p w:rsidR="004D543C" w:rsidRDefault="004D543C" w:rsidP="001F3D48">
      <w:pPr>
        <w:pStyle w:val="Bulletpoint"/>
      </w:pPr>
      <w:r>
        <w:t xml:space="preserve">Labour costs per TEU </w:t>
      </w:r>
      <w:r w:rsidR="00D861CE">
        <w:t>decreased</w:t>
      </w:r>
      <w:r>
        <w:t xml:space="preserve"> across all </w:t>
      </w:r>
      <w:r w:rsidR="001A72ED">
        <w:t xml:space="preserve">ports by </w:t>
      </w:r>
      <w:r w:rsidR="00D861CE">
        <w:t>3</w:t>
      </w:r>
      <w:r w:rsidR="001A72ED">
        <w:t>.</w:t>
      </w:r>
      <w:r w:rsidR="00D861CE">
        <w:t>0</w:t>
      </w:r>
      <w:r w:rsidR="001A72ED">
        <w:t xml:space="preserve"> per cent in 2014–15</w:t>
      </w:r>
      <w:r>
        <w:t xml:space="preserve">. Unit labour costs increased </w:t>
      </w:r>
      <w:r w:rsidR="00F26BCE">
        <w:t xml:space="preserve">in </w:t>
      </w:r>
      <w:r>
        <w:t>Melbourne (</w:t>
      </w:r>
      <w:r w:rsidR="00D861CE">
        <w:t>3</w:t>
      </w:r>
      <w:r>
        <w:t>.</w:t>
      </w:r>
      <w:r w:rsidR="00D861CE">
        <w:t>5</w:t>
      </w:r>
      <w:r>
        <w:t xml:space="preserve"> per cent) and Sydney (</w:t>
      </w:r>
      <w:r w:rsidR="00D861CE">
        <w:t>1.</w:t>
      </w:r>
      <w:r>
        <w:t xml:space="preserve">0 per cent) but decreased </w:t>
      </w:r>
      <w:r w:rsidR="00F26BCE">
        <w:t xml:space="preserve">in </w:t>
      </w:r>
      <w:r>
        <w:t>Brisbane (2</w:t>
      </w:r>
      <w:r w:rsidR="00D861CE">
        <w:t>1</w:t>
      </w:r>
      <w:r>
        <w:t>.</w:t>
      </w:r>
      <w:r w:rsidR="00D861CE">
        <w:t>2</w:t>
      </w:r>
      <w:r>
        <w:t xml:space="preserve"> per cent)</w:t>
      </w:r>
      <w:r w:rsidR="00D861CE">
        <w:t xml:space="preserve"> and Fremantle (8.2 per cent)</w:t>
      </w:r>
      <w:r>
        <w:t xml:space="preserve">. </w:t>
      </w:r>
      <w:r w:rsidR="00D861CE">
        <w:t xml:space="preserve">The reduction in </w:t>
      </w:r>
      <w:r>
        <w:t xml:space="preserve">labour costs per TEU </w:t>
      </w:r>
      <w:r w:rsidR="00F26BCE">
        <w:t xml:space="preserve">in </w:t>
      </w:r>
      <w:r w:rsidR="00D861CE">
        <w:t xml:space="preserve">Brisbane </w:t>
      </w:r>
      <w:r>
        <w:t xml:space="preserve">has been a result of </w:t>
      </w:r>
      <w:r w:rsidR="00D861CE">
        <w:t xml:space="preserve">the introduction of automated equipment and </w:t>
      </w:r>
      <w:r>
        <w:t>the associated reduction of the labour force.</w:t>
      </w:r>
    </w:p>
    <w:p w:rsidR="0020299B" w:rsidRPr="0020299B" w:rsidRDefault="0020299B" w:rsidP="0020299B">
      <w:pPr>
        <w:pStyle w:val="Bulletpoint"/>
      </w:pPr>
      <w:r w:rsidRPr="0020299B">
        <w:t xml:space="preserve">Equipment costs per TEU increased across all ports by 0.8 per cent in </w:t>
      </w:r>
      <w:r w:rsidR="00D8433D">
        <w:t>2014–15</w:t>
      </w:r>
      <w:r w:rsidRPr="0020299B">
        <w:t>. Relatively small decreases were recorded at most ports (Sydney decreased by 2.5 per cent, Melbourne by 1.7 per cent</w:t>
      </w:r>
      <w:r w:rsidR="007C3BB9">
        <w:t xml:space="preserve"> and</w:t>
      </w:r>
      <w:r w:rsidRPr="0020299B">
        <w:t xml:space="preserve"> Brisbane by 0.2 per cent) after large increases at these ports last year</w:t>
      </w:r>
      <w:r w:rsidR="00F16F9E">
        <w:t>.</w:t>
      </w:r>
      <w:r w:rsidRPr="0020299B">
        <w:t xml:space="preserve"> </w:t>
      </w:r>
      <w:r w:rsidR="00F16F9E">
        <w:t>T</w:t>
      </w:r>
      <w:r w:rsidRPr="0020299B">
        <w:t xml:space="preserve">here was a 35.1 per cent increase in unit equipment costs </w:t>
      </w:r>
      <w:r w:rsidR="00F26BCE">
        <w:t>in</w:t>
      </w:r>
      <w:r w:rsidR="00F26BCE" w:rsidRPr="0020299B">
        <w:t xml:space="preserve"> </w:t>
      </w:r>
      <w:r w:rsidRPr="0020299B">
        <w:t>Fremantle. This was due to a significant decrease in TEU volumes as well as an increase in equipment cost</w:t>
      </w:r>
      <w:r w:rsidR="00F16F9E">
        <w:t>s</w:t>
      </w:r>
      <w:r w:rsidRPr="0020299B">
        <w:t xml:space="preserve"> which </w:t>
      </w:r>
      <w:r w:rsidR="00C61E19">
        <w:t>are</w:t>
      </w:r>
      <w:r w:rsidRPr="0020299B">
        <w:t xml:space="preserve"> related to the purchase of a new quay crane. </w:t>
      </w:r>
    </w:p>
    <w:p w:rsidR="004D543C" w:rsidRDefault="004D543C" w:rsidP="001F3D48">
      <w:pPr>
        <w:pStyle w:val="Bulletpoint"/>
      </w:pPr>
      <w:r>
        <w:t xml:space="preserve">Property costs per TEU increased by </w:t>
      </w:r>
      <w:r w:rsidR="0000214A">
        <w:t>3</w:t>
      </w:r>
      <w:r>
        <w:t>.</w:t>
      </w:r>
      <w:r w:rsidR="0000214A">
        <w:t>3</w:t>
      </w:r>
      <w:r>
        <w:t xml:space="preserve"> per cent on average across all ports in </w:t>
      </w:r>
      <w:r w:rsidR="0048480F">
        <w:fldChar w:fldCharType="begin"/>
      </w:r>
      <w:r w:rsidR="0048480F">
        <w:instrText xml:space="preserve"> EQ 2014–15. </w:instrText>
      </w:r>
      <w:r w:rsidR="0048480F">
        <w:fldChar w:fldCharType="end"/>
      </w:r>
      <w:r>
        <w:t xml:space="preserve">Unit property costs increased </w:t>
      </w:r>
      <w:r w:rsidR="00F26BCE">
        <w:t xml:space="preserve">in </w:t>
      </w:r>
      <w:r>
        <w:t>Fremantle</w:t>
      </w:r>
      <w:r w:rsidR="00F7500F">
        <w:t xml:space="preserve"> (19.1 per cent)</w:t>
      </w:r>
      <w:r>
        <w:t>, Melbourne</w:t>
      </w:r>
      <w:r w:rsidR="00F7500F">
        <w:t xml:space="preserve"> (5.9 per cent)</w:t>
      </w:r>
      <w:r>
        <w:t xml:space="preserve">, </w:t>
      </w:r>
      <w:r w:rsidR="00F7500F">
        <w:t xml:space="preserve">and Brisbane (6.6 per cent), </w:t>
      </w:r>
      <w:r w:rsidR="000818A3">
        <w:t xml:space="preserve">but </w:t>
      </w:r>
      <w:r w:rsidR="00F7500F">
        <w:t xml:space="preserve">decreased </w:t>
      </w:r>
      <w:r w:rsidR="0021219A">
        <w:t>in Sydney</w:t>
      </w:r>
      <w:r>
        <w:t xml:space="preserve"> </w:t>
      </w:r>
      <w:r w:rsidR="00F7500F">
        <w:t>(2</w:t>
      </w:r>
      <w:r>
        <w:t>.6 per cent</w:t>
      </w:r>
      <w:r w:rsidR="00F7500F">
        <w:t>).</w:t>
      </w:r>
    </w:p>
    <w:p w:rsidR="00AC4027" w:rsidRDefault="004D543C" w:rsidP="001F3D48">
      <w:pPr>
        <w:pStyle w:val="Bulletpoint"/>
      </w:pPr>
      <w:r>
        <w:t>DP World’s ot</w:t>
      </w:r>
      <w:r w:rsidR="00653AC3">
        <w:t>her costs per TEU increased by 0.7</w:t>
      </w:r>
      <w:r>
        <w:t xml:space="preserve"> per cent in 201</w:t>
      </w:r>
      <w:r w:rsidR="00382369">
        <w:t>4</w:t>
      </w:r>
      <w:r>
        <w:t>–1</w:t>
      </w:r>
      <w:r w:rsidR="00382369">
        <w:t>5</w:t>
      </w:r>
      <w:r>
        <w:t>. Other costs consist of other overheads, port management costs and other direct costs.</w:t>
      </w:r>
      <w:r>
        <w:rPr>
          <w:rStyle w:val="FootnoteReference"/>
        </w:rPr>
        <w:footnoteReference w:id="104"/>
      </w:r>
    </w:p>
    <w:p w:rsidR="00AC4027" w:rsidRDefault="00AC4027" w:rsidP="00AC4027">
      <w:pPr>
        <w:pStyle w:val="Appendixheading2"/>
      </w:pPr>
      <w:r>
        <w:t>Flinders Adelaide Container Terminal Pty Ltd</w:t>
      </w:r>
    </w:p>
    <w:p w:rsidR="00AC4027" w:rsidRDefault="00AC4027" w:rsidP="00AC4027">
      <w:pPr>
        <w:pStyle w:val="Appendixheading3"/>
      </w:pPr>
      <w:r>
        <w:t>Container volumes</w:t>
      </w:r>
    </w:p>
    <w:p w:rsidR="00AC4027" w:rsidRDefault="006047D0" w:rsidP="00AC4027">
      <w:r w:rsidRPr="006047D0">
        <w:t xml:space="preserve">In </w:t>
      </w:r>
      <w:r w:rsidR="00D8433D">
        <w:t>2014–15</w:t>
      </w:r>
      <w:r w:rsidRPr="006047D0">
        <w:t xml:space="preserve">, the number of </w:t>
      </w:r>
      <w:r w:rsidR="00E76E0B">
        <w:t>TEUs</w:t>
      </w:r>
      <w:r w:rsidRPr="006047D0">
        <w:t xml:space="preserve"> handled by FACT at the Port of Adelaide decreased by 4.5 per cent, following a significant increase of 13.9 per cent in </w:t>
      </w:r>
      <w:r w:rsidR="000818A3">
        <w:t>the preceding year</w:t>
      </w:r>
      <w:r w:rsidRPr="006047D0">
        <w:t xml:space="preserve">. </w:t>
      </w:r>
      <w:r w:rsidR="000818A3">
        <w:t>There was</w:t>
      </w:r>
      <w:r w:rsidRPr="006047D0">
        <w:t xml:space="preserve"> a considerable decrease in the use of 20-foot (10.5 per cent) and a marginal increase in the use of 40-foot containers (0.3 per cent).</w:t>
      </w:r>
    </w:p>
    <w:p w:rsidR="00AC4027" w:rsidRDefault="00AC4027" w:rsidP="00AC4027">
      <w:pPr>
        <w:pStyle w:val="Appendixheading3"/>
      </w:pPr>
      <w:r>
        <w:t>Revenue</w:t>
      </w:r>
      <w:r w:rsidR="002456B3">
        <w:t>, costs</w:t>
      </w:r>
      <w:r>
        <w:t xml:space="preserve"> and margins</w:t>
      </w:r>
    </w:p>
    <w:p w:rsidR="006047D0" w:rsidRDefault="006047D0" w:rsidP="006047D0">
      <w:pPr>
        <w:pStyle w:val="Bulletpoint"/>
      </w:pPr>
      <w:r>
        <w:t xml:space="preserve">FACT’s total revenue decreased by 19.2 per cent in </w:t>
      </w:r>
      <w:r w:rsidR="00D8433D">
        <w:t>2014–15</w:t>
      </w:r>
      <w:r>
        <w:t>. On a per unit basis, total revenues decreased by 15.4 per cent.</w:t>
      </w:r>
    </w:p>
    <w:p w:rsidR="006047D0" w:rsidRDefault="006047D0" w:rsidP="006047D0">
      <w:pPr>
        <w:pStyle w:val="Bulletpoint"/>
      </w:pPr>
      <w:r>
        <w:t xml:space="preserve">In </w:t>
      </w:r>
      <w:r w:rsidR="00D8433D">
        <w:t>2014–15</w:t>
      </w:r>
      <w:r>
        <w:t>, total costs for FACT decreased by 12.4 per cent. On a per unit basis, total costs decreased by 8.3 per cent.</w:t>
      </w:r>
    </w:p>
    <w:p w:rsidR="006047D0" w:rsidRDefault="006047D0" w:rsidP="006047D0">
      <w:pPr>
        <w:pStyle w:val="Bulletpoint"/>
      </w:pPr>
      <w:r>
        <w:t xml:space="preserve">Total margin in </w:t>
      </w:r>
      <w:r w:rsidR="00D8433D">
        <w:t>2014–15</w:t>
      </w:r>
      <w:r>
        <w:t xml:space="preserve"> decreased by 40.7 per cent. On a per unit basis, FACT’s margin decreased by 37.9 per cent, due to decrease in unit revenue being greater than decrease in unit cost. </w:t>
      </w:r>
    </w:p>
    <w:p w:rsidR="006047D0" w:rsidRPr="00C37091" w:rsidRDefault="006047D0" w:rsidP="00FE1131">
      <w:pPr>
        <w:pStyle w:val="Bulletpoint"/>
      </w:pPr>
      <w:r>
        <w:t xml:space="preserve">Stevedoring revenue per TEU decreased by 1.0 per cent in </w:t>
      </w:r>
      <w:r w:rsidR="00D8433D">
        <w:t>2014–15</w:t>
      </w:r>
      <w:r>
        <w:t xml:space="preserve">. Other revenue per TEU decreased by 59.7 per cent. </w:t>
      </w:r>
      <w:r w:rsidR="00FE1131" w:rsidRPr="00C37091">
        <w:t>FACT reported this was a result of iron ore processing being discontinued.</w:t>
      </w:r>
    </w:p>
    <w:p w:rsidR="00AC4027" w:rsidRDefault="006047D0" w:rsidP="006047D0">
      <w:pPr>
        <w:pStyle w:val="Bulletpoint"/>
      </w:pPr>
      <w:r>
        <w:t xml:space="preserve">In </w:t>
      </w:r>
      <w:r w:rsidR="00D8433D">
        <w:t>2014–15</w:t>
      </w:r>
      <w:r>
        <w:t xml:space="preserve">, FACT earned marginally higher unit stevedoring revenue for 20-foot and 40-foot containers </w:t>
      </w:r>
      <w:r w:rsidR="007A5A6B">
        <w:t xml:space="preserve">as </w:t>
      </w:r>
      <w:r>
        <w:t xml:space="preserve">compared to </w:t>
      </w:r>
      <w:r w:rsidR="00D8433D">
        <w:t>2013–14</w:t>
      </w:r>
      <w:r>
        <w:t>.</w:t>
      </w:r>
    </w:p>
    <w:p w:rsidR="00AC4027" w:rsidRDefault="00AC4027" w:rsidP="00AC4027">
      <w:pPr>
        <w:pStyle w:val="Appendixheading3"/>
      </w:pPr>
      <w:r>
        <w:t>Changes in cost components</w:t>
      </w:r>
    </w:p>
    <w:p w:rsidR="00CC35A5" w:rsidRDefault="00CC35A5" w:rsidP="00CC35A5">
      <w:r>
        <w:t xml:space="preserve">Table C.3 in appendix C sets out </w:t>
      </w:r>
      <w:r w:rsidR="00A00AE8" w:rsidRPr="00695AD2">
        <w:t>t</w:t>
      </w:r>
      <w:r w:rsidR="00A00AE8">
        <w:t>r</w:t>
      </w:r>
      <w:r w:rsidR="00A00AE8" w:rsidRPr="00695AD2">
        <w:t>e</w:t>
      </w:r>
      <w:r w:rsidR="00A00AE8">
        <w:t xml:space="preserve">nds in </w:t>
      </w:r>
      <w:r w:rsidR="00072E64">
        <w:t>the</w:t>
      </w:r>
      <w:r w:rsidR="00A00AE8" w:rsidRPr="00695AD2">
        <w:t xml:space="preserve"> </w:t>
      </w:r>
      <w:r>
        <w:t xml:space="preserve">data relating to specific cost categories for FACT including stevedoring, labour, equipment and property.    </w:t>
      </w:r>
    </w:p>
    <w:p w:rsidR="00CC35A5" w:rsidRDefault="00CC35A5" w:rsidP="00CC35A5">
      <w:pPr>
        <w:pStyle w:val="Bulletpoint"/>
      </w:pPr>
      <w:r>
        <w:t xml:space="preserve">Stevedoring costs per TEU decreased by 10.7 per cent in </w:t>
      </w:r>
      <w:r w:rsidR="00D8433D">
        <w:t>2014–15</w:t>
      </w:r>
      <w:r>
        <w:t xml:space="preserve">, following a decrease of 12.2 per cent in </w:t>
      </w:r>
      <w:r w:rsidR="00D8433D">
        <w:t>2013–14</w:t>
      </w:r>
      <w:r>
        <w:t xml:space="preserve">. </w:t>
      </w:r>
    </w:p>
    <w:p w:rsidR="00CC35A5" w:rsidRDefault="00CC35A5" w:rsidP="00CC35A5">
      <w:pPr>
        <w:pStyle w:val="Bulletpoint"/>
      </w:pPr>
      <w:r>
        <w:t xml:space="preserve">Labour costs per TEU decreased by 8.6 per cent in </w:t>
      </w:r>
      <w:r w:rsidR="00D8433D">
        <w:t>2014–15</w:t>
      </w:r>
      <w:r>
        <w:t>.</w:t>
      </w:r>
    </w:p>
    <w:p w:rsidR="00CC35A5" w:rsidRDefault="00CC35A5" w:rsidP="00CC35A5">
      <w:pPr>
        <w:pStyle w:val="Bulletpoint"/>
      </w:pPr>
      <w:r>
        <w:t xml:space="preserve">Equipment costs per TEU decreased by 19.8 per cent in </w:t>
      </w:r>
      <w:r w:rsidR="00D8433D">
        <w:t>2014–15</w:t>
      </w:r>
      <w:r>
        <w:t>.</w:t>
      </w:r>
    </w:p>
    <w:p w:rsidR="00CC35A5" w:rsidRDefault="00CC35A5" w:rsidP="00CC35A5">
      <w:pPr>
        <w:pStyle w:val="Bulletpoint"/>
      </w:pPr>
      <w:r>
        <w:t xml:space="preserve">Property costs per TEU decreased by 9.3 per cent in </w:t>
      </w:r>
      <w:r w:rsidR="00D8433D">
        <w:t>2014–15</w:t>
      </w:r>
      <w:r>
        <w:t>.</w:t>
      </w:r>
    </w:p>
    <w:p w:rsidR="00AC4027" w:rsidRDefault="00CC35A5" w:rsidP="00CC35A5">
      <w:pPr>
        <w:pStyle w:val="Bulletpoint"/>
      </w:pPr>
      <w:r>
        <w:t xml:space="preserve">Other costs per TEU increased by 1.5 per cent in </w:t>
      </w:r>
      <w:r w:rsidR="00D8433D">
        <w:t>2014–15</w:t>
      </w:r>
      <w:r>
        <w:t>. Other costs consist of total indirect costs, including overhead and port management costs, and other direct costs.</w:t>
      </w:r>
      <w:r w:rsidR="00AD1BD2">
        <w:rPr>
          <w:rStyle w:val="FootnoteReference"/>
        </w:rPr>
        <w:footnoteReference w:id="105"/>
      </w:r>
    </w:p>
    <w:p w:rsidR="00927F25" w:rsidRDefault="00927F25" w:rsidP="00927F25">
      <w:pPr>
        <w:pStyle w:val="Appendixheading2"/>
      </w:pPr>
      <w:r>
        <w:t>Hutchison Ports Australia</w:t>
      </w:r>
    </w:p>
    <w:p w:rsidR="00F63C78" w:rsidRPr="00F63C78" w:rsidRDefault="00D5479E" w:rsidP="00F63C78">
      <w:r>
        <w:t>Hutchison</w:t>
      </w:r>
      <w:r w:rsidR="00F63C78" w:rsidRPr="00F63C78">
        <w:t xml:space="preserve"> has been included in the ACCC’s monitoring program since 2012–13. Information on revenues, costs and volumes is limited in this report because it is only available for three years</w:t>
      </w:r>
      <w:r w:rsidR="00F63C78">
        <w:t xml:space="preserve"> </w:t>
      </w:r>
      <w:r w:rsidR="00F63C78" w:rsidRPr="00F63C78">
        <w:t>and the company is still establishing itself in the industry.</w:t>
      </w:r>
    </w:p>
    <w:p w:rsidR="00927F25" w:rsidRDefault="00927F25" w:rsidP="00927F25">
      <w:pPr>
        <w:pStyle w:val="Appendixheading3"/>
      </w:pPr>
      <w:r>
        <w:t>Container volumes</w:t>
      </w:r>
    </w:p>
    <w:p w:rsidR="002D49AB" w:rsidRDefault="00D5479E" w:rsidP="00927F25">
      <w:r>
        <w:t>Hutchison</w:t>
      </w:r>
      <w:r w:rsidR="00F63C78" w:rsidRPr="00F63C78">
        <w:t xml:space="preserve"> commenced operations in Brisbane </w:t>
      </w:r>
      <w:r w:rsidR="002D49AB">
        <w:t>in early 2013</w:t>
      </w:r>
      <w:r w:rsidR="00304E64">
        <w:t>, servicing its first ship in May 2013</w:t>
      </w:r>
      <w:r w:rsidR="009C42DF">
        <w:t>.</w:t>
      </w:r>
      <w:r w:rsidR="002D49AB">
        <w:t xml:space="preserve"> </w:t>
      </w:r>
      <w:r w:rsidR="009C42DF">
        <w:t>Hutchison</w:t>
      </w:r>
      <w:r w:rsidR="009C42DF" w:rsidRPr="00F63C78">
        <w:t xml:space="preserve"> </w:t>
      </w:r>
      <w:r w:rsidR="009C42DF">
        <w:t xml:space="preserve">commenced in </w:t>
      </w:r>
      <w:r w:rsidR="00F63C78" w:rsidRPr="00F63C78">
        <w:t xml:space="preserve">Sydney in </w:t>
      </w:r>
      <w:r w:rsidR="002D49AB">
        <w:t>late</w:t>
      </w:r>
      <w:r w:rsidR="00F63C78" w:rsidRPr="00F63C78">
        <w:t xml:space="preserve"> 2013. </w:t>
      </w:r>
      <w:r w:rsidR="002D49AB">
        <w:t xml:space="preserve">This is therefore the </w:t>
      </w:r>
      <w:r w:rsidR="00C801FD">
        <w:t xml:space="preserve">third monitoring period </w:t>
      </w:r>
      <w:r w:rsidR="002D49AB">
        <w:t xml:space="preserve">that Hutchison has recorded volume data </w:t>
      </w:r>
      <w:r w:rsidR="00C801FD">
        <w:t>for Brisbane</w:t>
      </w:r>
      <w:r w:rsidR="002D49AB">
        <w:t xml:space="preserve"> and the </w:t>
      </w:r>
      <w:r w:rsidR="00C801FD">
        <w:t>second</w:t>
      </w:r>
      <w:r w:rsidR="002D49AB">
        <w:t xml:space="preserve"> </w:t>
      </w:r>
      <w:r w:rsidR="00C801FD">
        <w:t>monitoring period for</w:t>
      </w:r>
      <w:r w:rsidR="002D49AB">
        <w:t xml:space="preserve"> </w:t>
      </w:r>
      <w:r w:rsidR="00C801FD">
        <w:t>Sydney</w:t>
      </w:r>
      <w:r w:rsidR="002D49AB">
        <w:t xml:space="preserve">. </w:t>
      </w:r>
    </w:p>
    <w:p w:rsidR="00927F25" w:rsidRDefault="00F63C78" w:rsidP="00927F25">
      <w:r w:rsidRPr="00F63C78">
        <w:t xml:space="preserve">The total number of </w:t>
      </w:r>
      <w:r w:rsidR="00E76E0B">
        <w:t>TEUs</w:t>
      </w:r>
      <w:r w:rsidRPr="00F63C78">
        <w:t xml:space="preserve"> handled by </w:t>
      </w:r>
      <w:r w:rsidR="00D5479E">
        <w:t>Hutchison</w:t>
      </w:r>
      <w:r w:rsidRPr="00F63C78">
        <w:t xml:space="preserve"> at these two ports increased significantly </w:t>
      </w:r>
      <w:r w:rsidR="00C801FD" w:rsidRPr="00F63C78">
        <w:t xml:space="preserve">in </w:t>
      </w:r>
      <w:r w:rsidR="00D8433D">
        <w:t>2014–15</w:t>
      </w:r>
      <w:r w:rsidR="00C801FD">
        <w:t>.</w:t>
      </w:r>
      <w:r w:rsidR="00C801FD" w:rsidRPr="00F63C78">
        <w:t xml:space="preserve"> </w:t>
      </w:r>
      <w:r w:rsidR="00C801FD">
        <w:t>M</w:t>
      </w:r>
      <w:r w:rsidRPr="00F63C78">
        <w:t xml:space="preserve">ost of the increase occurred </w:t>
      </w:r>
      <w:r w:rsidR="00897157">
        <w:t xml:space="preserve">in </w:t>
      </w:r>
      <w:r w:rsidRPr="00F63C78">
        <w:t xml:space="preserve">Sydney </w:t>
      </w:r>
      <w:r w:rsidR="00897157">
        <w:t xml:space="preserve">which is understood to be primarily </w:t>
      </w:r>
      <w:r w:rsidRPr="00F63C78">
        <w:t>due to subcontracting from Patrick.</w:t>
      </w:r>
    </w:p>
    <w:p w:rsidR="00927F25" w:rsidRDefault="00927F25" w:rsidP="00927F25">
      <w:pPr>
        <w:pStyle w:val="Appendixheading3"/>
      </w:pPr>
      <w:r>
        <w:t>Revenue</w:t>
      </w:r>
      <w:r w:rsidR="002456B3">
        <w:t>, costs</w:t>
      </w:r>
      <w:r>
        <w:t xml:space="preserve"> and margins</w:t>
      </w:r>
    </w:p>
    <w:p w:rsidR="006140A1" w:rsidRDefault="00F63C78" w:rsidP="00F63C78">
      <w:r>
        <w:t xml:space="preserve">As compared with the previous year, </w:t>
      </w:r>
      <w:r w:rsidR="00D5479E">
        <w:t>Hutchison</w:t>
      </w:r>
      <w:r>
        <w:t xml:space="preserve">’s total revenue increased </w:t>
      </w:r>
      <w:r w:rsidR="00C801FD">
        <w:t>considerably. This is again likely to be primarily due to subcontracting from Patrick at Port Botany.</w:t>
      </w:r>
      <w:r>
        <w:t xml:space="preserve"> </w:t>
      </w:r>
    </w:p>
    <w:p w:rsidR="00DD32CC" w:rsidRDefault="006140A1" w:rsidP="00F63C78">
      <w:r>
        <w:t xml:space="preserve">Hutchison’s </w:t>
      </w:r>
      <w:r w:rsidR="00F63C78">
        <w:t xml:space="preserve">total margin </w:t>
      </w:r>
      <w:r w:rsidR="00DD32CC">
        <w:t xml:space="preserve">decreased </w:t>
      </w:r>
      <w:r>
        <w:t xml:space="preserve">was </w:t>
      </w:r>
      <w:r w:rsidR="00C801FD">
        <w:t xml:space="preserve">again </w:t>
      </w:r>
      <w:r>
        <w:t>negative</w:t>
      </w:r>
      <w:r w:rsidR="00160AB0">
        <w:t xml:space="preserve"> in </w:t>
      </w:r>
      <w:r w:rsidR="00D8433D">
        <w:t>2014–15</w:t>
      </w:r>
      <w:r>
        <w:t xml:space="preserve">, reflecting </w:t>
      </w:r>
      <w:r w:rsidR="00F63C78">
        <w:t>a company in start-up mode</w:t>
      </w:r>
      <w:r>
        <w:t xml:space="preserve">. </w:t>
      </w:r>
    </w:p>
    <w:p w:rsidR="00F63C78" w:rsidRDefault="00DD32CC" w:rsidP="00F63C78">
      <w:r>
        <w:t xml:space="preserve">On a per unit basis, Hutchison’s margin increased but remained </w:t>
      </w:r>
      <w:r w:rsidR="00FC19A2">
        <w:t>negative. This</w:t>
      </w:r>
      <w:r>
        <w:t xml:space="preserve"> increase was the result of the increase in TEUs being proportionately greater than the decrease in total margin. </w:t>
      </w:r>
    </w:p>
    <w:p w:rsidR="00927F25" w:rsidRDefault="00D5479E" w:rsidP="00F63C78">
      <w:r>
        <w:t>Hutchison</w:t>
      </w:r>
      <w:r w:rsidR="00F63C78">
        <w:t xml:space="preserve"> reported to the ACCC that the industry is characterised by a small number of suppliers, relatively few customers and a low turnover of service agreements. Although shipping lines do occasionally create new services, the net result is that only four to six agreements come up a year, and not all are taken to the market, which limits </w:t>
      </w:r>
      <w:r>
        <w:t>Hutchison</w:t>
      </w:r>
      <w:r w:rsidR="00F63C78">
        <w:t>’s ability to secure business and raise revenue.</w:t>
      </w:r>
    </w:p>
    <w:p w:rsidR="00927F25" w:rsidRDefault="00927F25" w:rsidP="00927F25">
      <w:pPr>
        <w:pStyle w:val="Appendixheading3"/>
      </w:pPr>
      <w:r>
        <w:t>Changes in cost components</w:t>
      </w:r>
    </w:p>
    <w:p w:rsidR="00F63C78" w:rsidRDefault="00706F52" w:rsidP="00F63C78">
      <w:r w:rsidRPr="00706F52">
        <w:t>The major influences on costs reported by Hutchison are a significant increase in stevedoring labour cost in Sydney and depreciation and other equipment costs related to termi</w:t>
      </w:r>
      <w:r>
        <w:t>nal developments at both ports.</w:t>
      </w:r>
      <w:r w:rsidR="00F63C78">
        <w:t xml:space="preserve"> </w:t>
      </w:r>
    </w:p>
    <w:p w:rsidR="00F63C78" w:rsidRDefault="00D5479E" w:rsidP="00F63C78">
      <w:r>
        <w:t>Hutchison</w:t>
      </w:r>
      <w:r w:rsidR="00F63C78">
        <w:t xml:space="preserve"> reported that its terminals must have the equipment and the workforce to provide a competitive service to shipping lines</w:t>
      </w:r>
      <w:r w:rsidR="00C93069">
        <w:t xml:space="preserve"> so as </w:t>
      </w:r>
      <w:r w:rsidR="00F63C78">
        <w:t xml:space="preserve">to ensure their turnaround is within the scheduled windows. </w:t>
      </w:r>
      <w:r>
        <w:t>Hutchison</w:t>
      </w:r>
      <w:r w:rsidR="00F63C78">
        <w:t xml:space="preserve">’s capital investments during 2014–15 continued to be significant, including </w:t>
      </w:r>
      <w:r w:rsidR="00607322">
        <w:t xml:space="preserve">the addition of </w:t>
      </w:r>
      <w:r w:rsidR="00F63C78">
        <w:t xml:space="preserve">three </w:t>
      </w:r>
      <w:r w:rsidR="00A10218">
        <w:t>ASC</w:t>
      </w:r>
      <w:r w:rsidR="00F63C78">
        <w:t xml:space="preserve"> blocks </w:t>
      </w:r>
      <w:r w:rsidR="00C93069">
        <w:t>which were</w:t>
      </w:r>
      <w:r w:rsidR="00F63C78">
        <w:t xml:space="preserve"> added in Sydney and two more quay cranes </w:t>
      </w:r>
      <w:r w:rsidR="00C93069">
        <w:t xml:space="preserve">that </w:t>
      </w:r>
      <w:r w:rsidR="00F63C78">
        <w:t xml:space="preserve">were commissioned in Brisbane. </w:t>
      </w:r>
    </w:p>
    <w:p w:rsidR="003731F2" w:rsidRDefault="00F63C78" w:rsidP="00927F25">
      <w:r>
        <w:t xml:space="preserve">In addition, both of </w:t>
      </w:r>
      <w:r w:rsidR="00D5479E">
        <w:t>Hutchison</w:t>
      </w:r>
      <w:r>
        <w:t xml:space="preserve">’s terminals had to increase the level of labour to meet ship service requirements. </w:t>
      </w:r>
      <w:r w:rsidR="00D5479E">
        <w:t>Hutchison</w:t>
      </w:r>
      <w:r>
        <w:t xml:space="preserve"> reported that until it secures enough business to provide near continuous work for that workforce, it </w:t>
      </w:r>
      <w:r w:rsidR="00CF6F5A">
        <w:t xml:space="preserve">will have relatively high </w:t>
      </w:r>
      <w:r>
        <w:t>handling unit costs.</w:t>
      </w:r>
    </w:p>
    <w:p w:rsidR="003731F2" w:rsidRDefault="003731F2" w:rsidP="00927F25">
      <w:pPr>
        <w:sectPr w:rsidR="003731F2" w:rsidSect="009B657D">
          <w:footerReference w:type="default" r:id="rId35"/>
          <w:pgSz w:w="11906" w:h="16838"/>
          <w:pgMar w:top="1276" w:right="1440" w:bottom="1440" w:left="1440" w:header="708" w:footer="708" w:gutter="0"/>
          <w:pgNumType w:start="1"/>
          <w:cols w:space="708"/>
          <w:docGrid w:linePitch="360"/>
        </w:sectPr>
      </w:pPr>
    </w:p>
    <w:p w:rsidR="00AC4027" w:rsidRDefault="00927F25" w:rsidP="00927F25">
      <w:pPr>
        <w:pStyle w:val="Appendixheading1"/>
      </w:pPr>
      <w:bookmarkStart w:id="65" w:name="_Toc433667029"/>
      <w:r>
        <w:t>Selected industry data</w:t>
      </w:r>
      <w:bookmarkEnd w:id="65"/>
    </w:p>
    <w:p w:rsidR="003731F2" w:rsidRDefault="003731F2" w:rsidP="003731F2">
      <w:pPr>
        <w:pStyle w:val="Tabletitle"/>
      </w:pPr>
      <w:r>
        <w:t xml:space="preserve">Table B.1: Nominal unit </w:t>
      </w:r>
      <w:r w:rsidR="004C4DA7">
        <w:t xml:space="preserve">data, </w:t>
      </w:r>
      <w:r w:rsidR="00D8433D">
        <w:t>1998–99</w:t>
      </w:r>
      <w:r w:rsidR="004C4DA7">
        <w:t xml:space="preserve"> to </w:t>
      </w:r>
      <w:r w:rsidR="00D8433D">
        <w:t>2014–15</w:t>
      </w:r>
    </w:p>
    <w:tbl>
      <w:tblPr>
        <w:tblStyle w:val="LightShading"/>
        <w:tblW w:w="0" w:type="auto"/>
        <w:tblLook w:val="04A0" w:firstRow="1" w:lastRow="0" w:firstColumn="1" w:lastColumn="0" w:noHBand="0" w:noVBand="1"/>
      </w:tblPr>
      <w:tblGrid>
        <w:gridCol w:w="1593"/>
        <w:gridCol w:w="1593"/>
        <w:gridCol w:w="1593"/>
        <w:gridCol w:w="1593"/>
        <w:gridCol w:w="1593"/>
        <w:gridCol w:w="1593"/>
        <w:gridCol w:w="1593"/>
        <w:gridCol w:w="1593"/>
        <w:gridCol w:w="1594"/>
      </w:tblGrid>
      <w:tr w:rsidR="004C4DA7" w:rsidTr="00D865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3" w:type="dxa"/>
            <w:shd w:val="clear" w:color="auto" w:fill="F2F2F2" w:themeFill="background1" w:themeFillShade="F2"/>
          </w:tcPr>
          <w:p w:rsidR="004C4DA7" w:rsidRDefault="004C4DA7" w:rsidP="00FD0948">
            <w:pPr>
              <w:pStyle w:val="Tabletextleft"/>
            </w:pPr>
          </w:p>
        </w:tc>
        <w:tc>
          <w:tcPr>
            <w:tcW w:w="1593" w:type="dxa"/>
            <w:shd w:val="clear" w:color="auto" w:fill="F2F2F2" w:themeFill="background1" w:themeFillShade="F2"/>
          </w:tcPr>
          <w:p w:rsidR="004C4DA7" w:rsidRDefault="004C4DA7" w:rsidP="00FD0948">
            <w:pPr>
              <w:pStyle w:val="Tabletextright"/>
              <w:cnfStyle w:val="100000000000" w:firstRow="1" w:lastRow="0" w:firstColumn="0" w:lastColumn="0" w:oddVBand="0" w:evenVBand="0" w:oddHBand="0" w:evenHBand="0" w:firstRowFirstColumn="0" w:firstRowLastColumn="0" w:lastRowFirstColumn="0" w:lastRowLastColumn="0"/>
            </w:pPr>
            <w:r>
              <w:t>Total rev/TEU</w:t>
            </w:r>
            <w:r>
              <w:br/>
            </w:r>
            <w:r>
              <w:br/>
              <w:t>($/TEU)</w:t>
            </w:r>
          </w:p>
        </w:tc>
        <w:tc>
          <w:tcPr>
            <w:tcW w:w="1593" w:type="dxa"/>
            <w:shd w:val="clear" w:color="auto" w:fill="F2F2F2" w:themeFill="background1" w:themeFillShade="F2"/>
          </w:tcPr>
          <w:p w:rsidR="004C4DA7" w:rsidRDefault="004C4DA7" w:rsidP="00FD0948">
            <w:pPr>
              <w:pStyle w:val="Tabletextright"/>
              <w:cnfStyle w:val="100000000000" w:firstRow="1" w:lastRow="0" w:firstColumn="0" w:lastColumn="0" w:oddVBand="0" w:evenVBand="0" w:oddHBand="0" w:evenHBand="0" w:firstRowFirstColumn="0" w:firstRowLastColumn="0" w:lastRowFirstColumn="0" w:lastRowLastColumn="0"/>
            </w:pPr>
            <w:r>
              <w:t>Total cost/TEU</w:t>
            </w:r>
            <w:r>
              <w:br/>
            </w:r>
            <w:r>
              <w:br/>
              <w:t>($/TEU)</w:t>
            </w:r>
          </w:p>
        </w:tc>
        <w:tc>
          <w:tcPr>
            <w:tcW w:w="1593" w:type="dxa"/>
            <w:shd w:val="clear" w:color="auto" w:fill="F2F2F2" w:themeFill="background1" w:themeFillShade="F2"/>
          </w:tcPr>
          <w:p w:rsidR="004C4DA7" w:rsidRDefault="004C4DA7" w:rsidP="00FD0948">
            <w:pPr>
              <w:pStyle w:val="Tabletextright"/>
              <w:cnfStyle w:val="100000000000" w:firstRow="1" w:lastRow="0" w:firstColumn="0" w:lastColumn="0" w:oddVBand="0" w:evenVBand="0" w:oddHBand="0" w:evenHBand="0" w:firstRowFirstColumn="0" w:firstRowLastColumn="0" w:lastRowFirstColumn="0" w:lastRowLastColumn="0"/>
            </w:pPr>
            <w:r>
              <w:t>Total margin/TEU</w:t>
            </w:r>
            <w:r>
              <w:br/>
              <w:t>($/TEU)</w:t>
            </w:r>
          </w:p>
        </w:tc>
        <w:tc>
          <w:tcPr>
            <w:tcW w:w="1593" w:type="dxa"/>
            <w:shd w:val="clear" w:color="auto" w:fill="F2F2F2" w:themeFill="background1" w:themeFillShade="F2"/>
          </w:tcPr>
          <w:p w:rsidR="004C4DA7" w:rsidRDefault="004C4DA7" w:rsidP="00FD0948">
            <w:pPr>
              <w:pStyle w:val="Tabletextright"/>
              <w:cnfStyle w:val="100000000000" w:firstRow="1" w:lastRow="0" w:firstColumn="0" w:lastColumn="0" w:oddVBand="0" w:evenVBand="0" w:oddHBand="0" w:evenHBand="0" w:firstRowFirstColumn="0" w:firstRowLastColumn="0" w:lastRowFirstColumn="0" w:lastRowLastColumn="0"/>
            </w:pPr>
            <w:r>
              <w:t>Stevedoring rev/TEU*</w:t>
            </w:r>
            <w:r>
              <w:br/>
              <w:t>($/TEU)</w:t>
            </w:r>
          </w:p>
        </w:tc>
        <w:tc>
          <w:tcPr>
            <w:tcW w:w="1593" w:type="dxa"/>
            <w:shd w:val="clear" w:color="auto" w:fill="F2F2F2" w:themeFill="background1" w:themeFillShade="F2"/>
          </w:tcPr>
          <w:p w:rsidR="004C4DA7" w:rsidRDefault="004C4DA7" w:rsidP="00FD0948">
            <w:pPr>
              <w:pStyle w:val="Tabletextright"/>
              <w:cnfStyle w:val="100000000000" w:firstRow="1" w:lastRow="0" w:firstColumn="0" w:lastColumn="0" w:oddVBand="0" w:evenVBand="0" w:oddHBand="0" w:evenHBand="0" w:firstRowFirstColumn="0" w:firstRowLastColumn="0" w:lastRowFirstColumn="0" w:lastRowLastColumn="0"/>
            </w:pPr>
            <w:r>
              <w:t>Stevedoring cost/TEU*</w:t>
            </w:r>
            <w:r>
              <w:br/>
              <w:t>($/TEU)</w:t>
            </w:r>
          </w:p>
        </w:tc>
        <w:tc>
          <w:tcPr>
            <w:tcW w:w="1593" w:type="dxa"/>
            <w:shd w:val="clear" w:color="auto" w:fill="F2F2F2" w:themeFill="background1" w:themeFillShade="F2"/>
          </w:tcPr>
          <w:p w:rsidR="004C4DA7" w:rsidRDefault="004C4DA7" w:rsidP="00FD0948">
            <w:pPr>
              <w:pStyle w:val="Tabletextright"/>
              <w:cnfStyle w:val="100000000000" w:firstRow="1" w:lastRow="0" w:firstColumn="0" w:lastColumn="0" w:oddVBand="0" w:evenVBand="0" w:oddHBand="0" w:evenHBand="0" w:firstRowFirstColumn="0" w:firstRowLastColumn="0" w:lastRowFirstColumn="0" w:lastRowLastColumn="0"/>
            </w:pPr>
            <w:r>
              <w:t>Stevedoring margin/TEU*</w:t>
            </w:r>
            <w:r>
              <w:br/>
              <w:t>($TEU)</w:t>
            </w:r>
          </w:p>
        </w:tc>
        <w:tc>
          <w:tcPr>
            <w:tcW w:w="1593" w:type="dxa"/>
            <w:shd w:val="clear" w:color="auto" w:fill="F2F2F2" w:themeFill="background1" w:themeFillShade="F2"/>
          </w:tcPr>
          <w:p w:rsidR="004C4DA7" w:rsidRDefault="004C4DA7" w:rsidP="00FD0948">
            <w:pPr>
              <w:pStyle w:val="Tabletextright"/>
              <w:cnfStyle w:val="100000000000" w:firstRow="1" w:lastRow="0" w:firstColumn="0" w:lastColumn="0" w:oddVBand="0" w:evenVBand="0" w:oddHBand="0" w:evenHBand="0" w:firstRowFirstColumn="0" w:firstRowLastColumn="0" w:lastRowFirstColumn="0" w:lastRowLastColumn="0"/>
            </w:pPr>
            <w:r>
              <w:t>Other rev/TEU</w:t>
            </w:r>
            <w:r>
              <w:br/>
            </w:r>
            <w:r w:rsidR="00D8659B">
              <w:br/>
            </w:r>
            <w:r>
              <w:t>($/TEU)</w:t>
            </w:r>
          </w:p>
        </w:tc>
        <w:tc>
          <w:tcPr>
            <w:tcW w:w="1594" w:type="dxa"/>
            <w:shd w:val="clear" w:color="auto" w:fill="F2F2F2" w:themeFill="background1" w:themeFillShade="F2"/>
          </w:tcPr>
          <w:p w:rsidR="004C4DA7" w:rsidRDefault="004C4DA7" w:rsidP="006E3AA3">
            <w:pPr>
              <w:pStyle w:val="Tabletextright"/>
              <w:cnfStyle w:val="100000000000" w:firstRow="1" w:lastRow="0" w:firstColumn="0" w:lastColumn="0" w:oddVBand="0" w:evenVBand="0" w:oddHBand="0" w:evenHBand="0" w:firstRowFirstColumn="0" w:firstRowLastColumn="0" w:lastRowFirstColumn="0" w:lastRowLastColumn="0"/>
            </w:pPr>
            <w:r>
              <w:t>Other rev/Total rev</w:t>
            </w:r>
            <w:r>
              <w:br/>
            </w:r>
            <w:r w:rsidR="006E3AA3">
              <w:t>%</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bottom w:val="nil"/>
            </w:tcBorders>
          </w:tcPr>
          <w:p w:rsidR="004C4DA7" w:rsidRDefault="00D8433D" w:rsidP="00FD0948">
            <w:pPr>
              <w:pStyle w:val="Tabletextleft"/>
            </w:pPr>
            <w:r>
              <w:t>1998–99</w:t>
            </w:r>
          </w:p>
        </w:tc>
        <w:tc>
          <w:tcPr>
            <w:tcW w:w="1593" w:type="dxa"/>
            <w:tcBorders>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182.58</w:t>
            </w:r>
          </w:p>
        </w:tc>
        <w:tc>
          <w:tcPr>
            <w:tcW w:w="1593" w:type="dxa"/>
            <w:tcBorders>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160.57</w:t>
            </w:r>
          </w:p>
        </w:tc>
        <w:tc>
          <w:tcPr>
            <w:tcW w:w="1593" w:type="dxa"/>
            <w:tcBorders>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22.00</w:t>
            </w:r>
          </w:p>
        </w:tc>
        <w:tc>
          <w:tcPr>
            <w:tcW w:w="1593" w:type="dxa"/>
            <w:tcBorders>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161.03</w:t>
            </w:r>
          </w:p>
        </w:tc>
        <w:tc>
          <w:tcPr>
            <w:tcW w:w="1593" w:type="dxa"/>
            <w:tcBorders>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150.88</w:t>
            </w:r>
          </w:p>
        </w:tc>
        <w:tc>
          <w:tcPr>
            <w:tcW w:w="1593" w:type="dxa"/>
            <w:tcBorders>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10.15</w:t>
            </w:r>
          </w:p>
        </w:tc>
        <w:tc>
          <w:tcPr>
            <w:tcW w:w="1593" w:type="dxa"/>
            <w:tcBorders>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21.54</w:t>
            </w:r>
          </w:p>
        </w:tc>
        <w:tc>
          <w:tcPr>
            <w:tcW w:w="1594" w:type="dxa"/>
            <w:tcBorders>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11.8</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1999–00</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175.01</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146.88</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28.14</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153.16</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138.32</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14.84</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21.85</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12.5</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2000–01</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172.77</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143.97</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28.80</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151.08</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134.53</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16.55</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21.69</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12.6</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2001–02</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165.66</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131.14</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34.43</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147.59</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124.12</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23.47</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17.97</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10.9</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2002–03</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169.00</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129.76</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39.23</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146.46</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122.79</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23.67</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22.53</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13.3</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2003–04</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171.49</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131.75</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39.74</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147.44</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124.62</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22.82</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24.05</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14.0</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2004–05</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175.24</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135.89</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39.35</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149.05</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128.09</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20.96</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26.20</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14.9</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2005–06</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180.08</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137.49</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42.59</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152.14</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128.66</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23.48</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27.95</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15.5</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2006–07</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173.27</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129.73</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43.54</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150.91</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121.41</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29.50</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22.36</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12.9</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2007–08</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173.24</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128.59</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44.65</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151.30</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120.41</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30.88</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21.95</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12.7</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2008–09</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171.44</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137.41</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34.03</w:t>
            </w:r>
          </w:p>
        </w:tc>
        <w:tc>
          <w:tcPr>
            <w:tcW w:w="1593" w:type="dxa"/>
            <w:tcBorders>
              <w:top w:val="nil"/>
              <w:bottom w:val="nil"/>
            </w:tcBorders>
          </w:tcPr>
          <w:p w:rsidR="004C4DA7" w:rsidRDefault="00D8659B" w:rsidP="00FD0948">
            <w:pPr>
              <w:pStyle w:val="Tabletextright"/>
              <w:cnfStyle w:val="000000000000" w:firstRow="0" w:lastRow="0" w:firstColumn="0" w:lastColumn="0" w:oddVBand="0" w:evenVBand="0" w:oddHBand="0" w:evenHBand="0" w:firstRowFirstColumn="0" w:firstRowLastColumn="0" w:lastRowFirstColumn="0" w:lastRowLastColumn="0"/>
            </w:pPr>
            <w:r>
              <w:t>150.97</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129.23</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21.73</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20.47</w:t>
            </w:r>
          </w:p>
        </w:tc>
        <w:tc>
          <w:tcPr>
            <w:tcW w:w="1594"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11.9</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2009–10</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170.94</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136.43</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34.51</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151.47</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132.12</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19.35</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19.47</w:t>
            </w:r>
          </w:p>
        </w:tc>
        <w:tc>
          <w:tcPr>
            <w:tcW w:w="1594"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11.4</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2010–11</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173.49</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134.62</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38.87</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151.14</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128.95</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22.19</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22.35</w:t>
            </w:r>
          </w:p>
        </w:tc>
        <w:tc>
          <w:tcPr>
            <w:tcW w:w="1594"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12.9</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2011–12</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177.27</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137.58</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39.69</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149.99</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129.05</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20.94</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27.28</w:t>
            </w:r>
          </w:p>
        </w:tc>
        <w:tc>
          <w:tcPr>
            <w:tcW w:w="1594"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15.4</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nil"/>
            </w:tcBorders>
          </w:tcPr>
          <w:p w:rsidR="004C4DA7" w:rsidRDefault="00D8433D" w:rsidP="00FD0948">
            <w:pPr>
              <w:pStyle w:val="Tabletextleft"/>
            </w:pPr>
            <w:r>
              <w:t>2012–13</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177.42</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138.05</w:t>
            </w:r>
          </w:p>
        </w:tc>
        <w:tc>
          <w:tcPr>
            <w:tcW w:w="1593" w:type="dxa"/>
            <w:tcBorders>
              <w:top w:val="nil"/>
              <w:bottom w:val="nil"/>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39.38</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149.77</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128.38</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21.39</w:t>
            </w:r>
          </w:p>
        </w:tc>
        <w:tc>
          <w:tcPr>
            <w:tcW w:w="1593"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27.65</w:t>
            </w:r>
          </w:p>
        </w:tc>
        <w:tc>
          <w:tcPr>
            <w:tcW w:w="1594" w:type="dxa"/>
            <w:tcBorders>
              <w:top w:val="nil"/>
              <w:bottom w:val="nil"/>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15.6</w:t>
            </w:r>
          </w:p>
        </w:tc>
      </w:tr>
      <w:tr w:rsidR="004C4DA7" w:rsidTr="00D8659B">
        <w:tc>
          <w:tcPr>
            <w:cnfStyle w:val="001000000000" w:firstRow="0" w:lastRow="0" w:firstColumn="1" w:lastColumn="0" w:oddVBand="0" w:evenVBand="0" w:oddHBand="0" w:evenHBand="0" w:firstRowFirstColumn="0" w:firstRowLastColumn="0" w:lastRowFirstColumn="0" w:lastRowLastColumn="0"/>
            <w:tcW w:w="1593" w:type="dxa"/>
            <w:tcBorders>
              <w:top w:val="nil"/>
              <w:bottom w:val="single" w:sz="4" w:space="0" w:color="D5D6D2" w:themeColor="background2"/>
            </w:tcBorders>
          </w:tcPr>
          <w:p w:rsidR="004C4DA7" w:rsidRDefault="00D8433D" w:rsidP="00FD0948">
            <w:pPr>
              <w:pStyle w:val="Tabletextleft"/>
            </w:pPr>
            <w:r>
              <w:t>2013–14</w:t>
            </w:r>
          </w:p>
        </w:tc>
        <w:tc>
          <w:tcPr>
            <w:tcW w:w="1593" w:type="dxa"/>
            <w:tcBorders>
              <w:top w:val="nil"/>
              <w:bottom w:val="single" w:sz="4" w:space="0" w:color="D5D6D2" w:themeColor="background2"/>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176.19</w:t>
            </w:r>
          </w:p>
        </w:tc>
        <w:tc>
          <w:tcPr>
            <w:tcW w:w="1593" w:type="dxa"/>
            <w:tcBorders>
              <w:top w:val="nil"/>
              <w:bottom w:val="single" w:sz="4" w:space="0" w:color="D5D6D2" w:themeColor="background2"/>
            </w:tcBorders>
          </w:tcPr>
          <w:p w:rsidR="004C4DA7" w:rsidRDefault="0015034C" w:rsidP="00FD0948">
            <w:pPr>
              <w:pStyle w:val="Tabletextright"/>
              <w:cnfStyle w:val="000000000000" w:firstRow="0" w:lastRow="0" w:firstColumn="0" w:lastColumn="0" w:oddVBand="0" w:evenVBand="0" w:oddHBand="0" w:evenHBand="0" w:firstRowFirstColumn="0" w:firstRowLastColumn="0" w:lastRowFirstColumn="0" w:lastRowLastColumn="0"/>
            </w:pPr>
            <w:r>
              <w:t>145.85</w:t>
            </w:r>
          </w:p>
        </w:tc>
        <w:tc>
          <w:tcPr>
            <w:tcW w:w="1593" w:type="dxa"/>
            <w:tcBorders>
              <w:top w:val="nil"/>
              <w:bottom w:val="single" w:sz="4" w:space="0" w:color="D5D6D2" w:themeColor="background2"/>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30.34</w:t>
            </w:r>
          </w:p>
        </w:tc>
        <w:tc>
          <w:tcPr>
            <w:tcW w:w="1593" w:type="dxa"/>
            <w:tcBorders>
              <w:top w:val="nil"/>
              <w:bottom w:val="single" w:sz="4" w:space="0" w:color="D5D6D2" w:themeColor="background2"/>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148.86</w:t>
            </w:r>
          </w:p>
        </w:tc>
        <w:tc>
          <w:tcPr>
            <w:tcW w:w="1593" w:type="dxa"/>
            <w:tcBorders>
              <w:top w:val="nil"/>
              <w:bottom w:val="single" w:sz="4" w:space="0" w:color="D5D6D2" w:themeColor="background2"/>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132.83</w:t>
            </w:r>
          </w:p>
        </w:tc>
        <w:tc>
          <w:tcPr>
            <w:tcW w:w="1593" w:type="dxa"/>
            <w:tcBorders>
              <w:top w:val="nil"/>
              <w:bottom w:val="single" w:sz="4" w:space="0" w:color="D5D6D2" w:themeColor="background2"/>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16.04</w:t>
            </w:r>
          </w:p>
        </w:tc>
        <w:tc>
          <w:tcPr>
            <w:tcW w:w="1593" w:type="dxa"/>
            <w:tcBorders>
              <w:top w:val="nil"/>
              <w:bottom w:val="single" w:sz="4" w:space="0" w:color="D5D6D2" w:themeColor="background2"/>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27.33</w:t>
            </w:r>
          </w:p>
        </w:tc>
        <w:tc>
          <w:tcPr>
            <w:tcW w:w="1594" w:type="dxa"/>
            <w:tcBorders>
              <w:top w:val="nil"/>
              <w:bottom w:val="single" w:sz="4" w:space="0" w:color="D5D6D2" w:themeColor="background2"/>
            </w:tcBorders>
          </w:tcPr>
          <w:p w:rsidR="004C4DA7" w:rsidRDefault="003328B0" w:rsidP="00FD0948">
            <w:pPr>
              <w:pStyle w:val="Tabletextright"/>
              <w:cnfStyle w:val="000000000000" w:firstRow="0" w:lastRow="0" w:firstColumn="0" w:lastColumn="0" w:oddVBand="0" w:evenVBand="0" w:oddHBand="0" w:evenHBand="0" w:firstRowFirstColumn="0" w:firstRowLastColumn="0" w:lastRowFirstColumn="0" w:lastRowLastColumn="0"/>
            </w:pPr>
            <w:r>
              <w:t>15.5</w:t>
            </w:r>
          </w:p>
        </w:tc>
      </w:tr>
      <w:tr w:rsidR="007F155F" w:rsidTr="00D8659B">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D5D6D2" w:themeColor="background2"/>
              <w:bottom w:val="single" w:sz="4" w:space="0" w:color="D5D6D2" w:themeColor="background2"/>
            </w:tcBorders>
          </w:tcPr>
          <w:p w:rsidR="007F155F" w:rsidRDefault="00D8433D" w:rsidP="00FD0948">
            <w:pPr>
              <w:pStyle w:val="Tabletextleft"/>
            </w:pPr>
            <w:r>
              <w:t>2014–15</w:t>
            </w:r>
          </w:p>
        </w:tc>
        <w:tc>
          <w:tcPr>
            <w:tcW w:w="1593" w:type="dxa"/>
            <w:tcBorders>
              <w:top w:val="single" w:sz="4" w:space="0" w:color="D5D6D2" w:themeColor="background2"/>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171.62</w:t>
            </w:r>
          </w:p>
        </w:tc>
        <w:tc>
          <w:tcPr>
            <w:tcW w:w="1593" w:type="dxa"/>
            <w:tcBorders>
              <w:top w:val="single" w:sz="4" w:space="0" w:color="D5D6D2" w:themeColor="background2"/>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145.05</w:t>
            </w:r>
          </w:p>
        </w:tc>
        <w:tc>
          <w:tcPr>
            <w:tcW w:w="1593" w:type="dxa"/>
            <w:tcBorders>
              <w:top w:val="single" w:sz="4" w:space="0" w:color="D5D6D2" w:themeColor="background2"/>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26.57</w:t>
            </w:r>
          </w:p>
        </w:tc>
        <w:tc>
          <w:tcPr>
            <w:tcW w:w="1593" w:type="dxa"/>
            <w:tcBorders>
              <w:top w:val="single" w:sz="4" w:space="0" w:color="D5D6D2" w:themeColor="background2"/>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145.86</w:t>
            </w:r>
          </w:p>
        </w:tc>
        <w:tc>
          <w:tcPr>
            <w:tcW w:w="1593" w:type="dxa"/>
            <w:tcBorders>
              <w:top w:val="single" w:sz="4" w:space="0" w:color="D5D6D2" w:themeColor="background2"/>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129.01</w:t>
            </w:r>
          </w:p>
        </w:tc>
        <w:tc>
          <w:tcPr>
            <w:tcW w:w="1593" w:type="dxa"/>
            <w:tcBorders>
              <w:top w:val="single" w:sz="4" w:space="0" w:color="D5D6D2" w:themeColor="background2"/>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16.85</w:t>
            </w:r>
          </w:p>
        </w:tc>
        <w:tc>
          <w:tcPr>
            <w:tcW w:w="1593" w:type="dxa"/>
            <w:tcBorders>
              <w:top w:val="single" w:sz="4" w:space="0" w:color="D5D6D2" w:themeColor="background2"/>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25.76</w:t>
            </w:r>
          </w:p>
        </w:tc>
        <w:tc>
          <w:tcPr>
            <w:tcW w:w="1594" w:type="dxa"/>
            <w:tcBorders>
              <w:top w:val="single" w:sz="4" w:space="0" w:color="D5D6D2" w:themeColor="background2"/>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15.0</w:t>
            </w:r>
          </w:p>
        </w:tc>
      </w:tr>
      <w:tr w:rsidR="007F155F" w:rsidTr="00D8659B">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D5D6D2" w:themeColor="background2"/>
            </w:tcBorders>
          </w:tcPr>
          <w:p w:rsidR="007F155F" w:rsidRDefault="007F155F" w:rsidP="00FD0948">
            <w:pPr>
              <w:pStyle w:val="Tabletextleft"/>
            </w:pPr>
            <w:r>
              <w:t>%</w:t>
            </w:r>
            <w:r w:rsidR="0091647C">
              <w:t xml:space="preserve"> </w:t>
            </w:r>
            <w:r>
              <w:t xml:space="preserve">change </w:t>
            </w:r>
            <w:r>
              <w:br/>
            </w:r>
            <w:r w:rsidR="00D8433D">
              <w:t>2013–14</w:t>
            </w:r>
            <w:r>
              <w:t xml:space="preserve"> to </w:t>
            </w:r>
            <w:r w:rsidR="00D8433D">
              <w:t>2014–15</w:t>
            </w:r>
          </w:p>
        </w:tc>
        <w:tc>
          <w:tcPr>
            <w:tcW w:w="1593" w:type="dxa"/>
            <w:tcBorders>
              <w:top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-2.59</w:t>
            </w:r>
          </w:p>
        </w:tc>
        <w:tc>
          <w:tcPr>
            <w:tcW w:w="1593" w:type="dxa"/>
            <w:tcBorders>
              <w:top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-0.55</w:t>
            </w:r>
          </w:p>
        </w:tc>
        <w:tc>
          <w:tcPr>
            <w:tcW w:w="1593" w:type="dxa"/>
            <w:tcBorders>
              <w:top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-12.43</w:t>
            </w:r>
          </w:p>
        </w:tc>
        <w:tc>
          <w:tcPr>
            <w:tcW w:w="1593" w:type="dxa"/>
            <w:tcBorders>
              <w:top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-2.02</w:t>
            </w:r>
          </w:p>
        </w:tc>
        <w:tc>
          <w:tcPr>
            <w:tcW w:w="1593" w:type="dxa"/>
            <w:tcBorders>
              <w:top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-2.88</w:t>
            </w:r>
          </w:p>
        </w:tc>
        <w:tc>
          <w:tcPr>
            <w:tcW w:w="1593" w:type="dxa"/>
            <w:tcBorders>
              <w:top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5.11</w:t>
            </w:r>
          </w:p>
        </w:tc>
        <w:tc>
          <w:tcPr>
            <w:tcW w:w="1593" w:type="dxa"/>
            <w:tcBorders>
              <w:top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-5.72</w:t>
            </w:r>
          </w:p>
        </w:tc>
        <w:tc>
          <w:tcPr>
            <w:tcW w:w="1594" w:type="dxa"/>
            <w:tcBorders>
              <w:top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r>
    </w:tbl>
    <w:p w:rsidR="004C4DA7" w:rsidRDefault="004C4DA7" w:rsidP="004C4DA7">
      <w:pPr>
        <w:pStyle w:val="Source"/>
      </w:pPr>
      <w:r>
        <w:t>Source:</w:t>
      </w:r>
      <w:r>
        <w:tab/>
      </w:r>
      <w:r>
        <w:tab/>
      </w:r>
      <w:r w:rsidR="007F155F" w:rsidRPr="007F155F">
        <w:t xml:space="preserve">the stevedoring companies, as part of the monitoring program, supplied figures for </w:t>
      </w:r>
      <w:r w:rsidR="00D8433D">
        <w:t>1998–99</w:t>
      </w:r>
      <w:r w:rsidR="00BF7E40">
        <w:t xml:space="preserve"> to </w:t>
      </w:r>
      <w:r w:rsidR="00D8433D">
        <w:t>2014–15</w:t>
      </w:r>
      <w:r w:rsidR="007F155F">
        <w:t>.</w:t>
      </w:r>
    </w:p>
    <w:p w:rsidR="00D8659B" w:rsidRDefault="00D8659B" w:rsidP="004C4DA7">
      <w:pPr>
        <w:pStyle w:val="Source"/>
      </w:pPr>
      <w:r>
        <w:t>*</w:t>
      </w:r>
      <w:r w:rsidR="00607322">
        <w:t xml:space="preserve"> </w:t>
      </w:r>
      <w:r>
        <w:t>Data</w:t>
      </w:r>
      <w:r w:rsidR="00E934C3" w:rsidRPr="00E934C3">
        <w:t xml:space="preserve"> on revenue was supplied by Asciano, FACT and </w:t>
      </w:r>
      <w:r w:rsidR="0051494F">
        <w:t>Hutchison</w:t>
      </w:r>
      <w:r w:rsidR="00E934C3" w:rsidRPr="00E934C3">
        <w:t xml:space="preserve"> on the basis of container-specific activity in their respective terminals. DP World’s accounting p</w:t>
      </w:r>
      <w:r w:rsidR="00E934C3">
        <w:t>ractices are slightly different</w:t>
      </w:r>
      <w:r w:rsidR="007F155F">
        <w:t xml:space="preserve"> </w:t>
      </w:r>
      <w:r w:rsidR="00E934C3" w:rsidRPr="00E934C3">
        <w:t xml:space="preserve">and while revenue figures are broken down in this way, costs are not. Given this, Asciano, FACT and </w:t>
      </w:r>
      <w:r w:rsidR="0051494F">
        <w:t>Hutchison</w:t>
      </w:r>
      <w:r w:rsidR="00E934C3" w:rsidRPr="00E934C3">
        <w:t>’s container-specific data are combin</w:t>
      </w:r>
      <w:r w:rsidR="00E934C3">
        <w:t>ed in the above with DP World’s</w:t>
      </w:r>
      <w:r w:rsidR="00607322">
        <w:t xml:space="preserve"> </w:t>
      </w:r>
      <w:r w:rsidR="00E934C3" w:rsidRPr="00E934C3">
        <w:t xml:space="preserve">stevedoring revenue and </w:t>
      </w:r>
      <w:r w:rsidR="00D53FB1">
        <w:t>total</w:t>
      </w:r>
      <w:r w:rsidR="00D53FB1" w:rsidRPr="00E934C3">
        <w:t xml:space="preserve"> </w:t>
      </w:r>
      <w:r w:rsidR="00E934C3" w:rsidRPr="00E934C3">
        <w:t>cost data to provide national aggregates.</w:t>
      </w:r>
    </w:p>
    <w:p w:rsidR="004C4DA7" w:rsidRDefault="004C4DA7">
      <w:r>
        <w:br w:type="page"/>
      </w:r>
    </w:p>
    <w:p w:rsidR="004C4DA7" w:rsidRDefault="003328B0" w:rsidP="003328B0">
      <w:pPr>
        <w:pStyle w:val="Tabletitle"/>
      </w:pPr>
      <w:r>
        <w:t xml:space="preserve">Table B.2: Real unit revenue, costs and margins, 1986 to </w:t>
      </w:r>
      <w:r w:rsidR="00D8433D">
        <w:t>2014–15</w:t>
      </w:r>
    </w:p>
    <w:tbl>
      <w:tblPr>
        <w:tblStyle w:val="LightShading"/>
        <w:tblW w:w="0" w:type="auto"/>
        <w:tblLook w:val="04A0" w:firstRow="1" w:lastRow="0" w:firstColumn="1" w:lastColumn="0" w:noHBand="0" w:noVBand="1"/>
      </w:tblPr>
      <w:tblGrid>
        <w:gridCol w:w="1792"/>
        <w:gridCol w:w="1792"/>
        <w:gridCol w:w="1792"/>
        <w:gridCol w:w="1792"/>
        <w:gridCol w:w="1792"/>
        <w:gridCol w:w="1792"/>
        <w:gridCol w:w="1793"/>
        <w:gridCol w:w="1793"/>
      </w:tblGrid>
      <w:tr w:rsidR="003328B0" w:rsidTr="00A620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2" w:type="dxa"/>
            <w:shd w:val="clear" w:color="auto" w:fill="F2F2F2" w:themeFill="background1" w:themeFillShade="F2"/>
          </w:tcPr>
          <w:p w:rsidR="003328B0" w:rsidRDefault="003328B0" w:rsidP="00FD0948">
            <w:pPr>
              <w:pStyle w:val="Tabletextleft"/>
            </w:pPr>
          </w:p>
        </w:tc>
        <w:tc>
          <w:tcPr>
            <w:tcW w:w="1792" w:type="dxa"/>
            <w:shd w:val="clear" w:color="auto" w:fill="F2F2F2" w:themeFill="background1" w:themeFillShade="F2"/>
          </w:tcPr>
          <w:p w:rsidR="003328B0" w:rsidRDefault="007916E3" w:rsidP="00FD0948">
            <w:pPr>
              <w:pStyle w:val="Tabletextright"/>
              <w:cnfStyle w:val="100000000000" w:firstRow="1" w:lastRow="0" w:firstColumn="0" w:lastColumn="0" w:oddVBand="0" w:evenVBand="0" w:oddHBand="0" w:evenHBand="0" w:firstRowFirstColumn="0" w:firstRowLastColumn="0" w:lastRowFirstColumn="0" w:lastRowLastColumn="0"/>
            </w:pPr>
            <w:r>
              <w:t>Unit revenue</w:t>
            </w:r>
            <w:r>
              <w:br/>
              <w:t>($/TEU)</w:t>
            </w:r>
          </w:p>
        </w:tc>
        <w:tc>
          <w:tcPr>
            <w:tcW w:w="1792" w:type="dxa"/>
            <w:shd w:val="clear" w:color="auto" w:fill="F2F2F2" w:themeFill="background1" w:themeFillShade="F2"/>
          </w:tcPr>
          <w:p w:rsidR="003328B0" w:rsidRDefault="007916E3" w:rsidP="00FD0948">
            <w:pPr>
              <w:pStyle w:val="Tabletextright"/>
              <w:cnfStyle w:val="100000000000" w:firstRow="1" w:lastRow="0" w:firstColumn="0" w:lastColumn="0" w:oddVBand="0" w:evenVBand="0" w:oddHBand="0" w:evenHBand="0" w:firstRowFirstColumn="0" w:firstRowLastColumn="0" w:lastRowFirstColumn="0" w:lastRowLastColumn="0"/>
            </w:pPr>
            <w:r>
              <w:t>Unit cost</w:t>
            </w:r>
            <w:r>
              <w:br/>
              <w:t>($/TEU)</w:t>
            </w:r>
          </w:p>
        </w:tc>
        <w:tc>
          <w:tcPr>
            <w:tcW w:w="1792" w:type="dxa"/>
            <w:shd w:val="clear" w:color="auto" w:fill="F2F2F2" w:themeFill="background1" w:themeFillShade="F2"/>
          </w:tcPr>
          <w:p w:rsidR="003328B0" w:rsidRDefault="007916E3" w:rsidP="00FD0948">
            <w:pPr>
              <w:pStyle w:val="Tabletextright"/>
              <w:cnfStyle w:val="100000000000" w:firstRow="1" w:lastRow="0" w:firstColumn="0" w:lastColumn="0" w:oddVBand="0" w:evenVBand="0" w:oddHBand="0" w:evenHBand="0" w:firstRowFirstColumn="0" w:firstRowLastColumn="0" w:lastRowFirstColumn="0" w:lastRowLastColumn="0"/>
            </w:pPr>
            <w:r>
              <w:t>Unit margin</w:t>
            </w:r>
            <w:r>
              <w:br/>
              <w:t>($/TEU)</w:t>
            </w:r>
          </w:p>
        </w:tc>
        <w:tc>
          <w:tcPr>
            <w:tcW w:w="1792" w:type="dxa"/>
            <w:shd w:val="clear" w:color="auto" w:fill="F2F2F2" w:themeFill="background1" w:themeFillShade="F2"/>
          </w:tcPr>
          <w:p w:rsidR="003328B0" w:rsidRDefault="007916E3" w:rsidP="00FD0948">
            <w:pPr>
              <w:pStyle w:val="Tabletextright"/>
              <w:cnfStyle w:val="100000000000" w:firstRow="1" w:lastRow="0" w:firstColumn="0" w:lastColumn="0" w:oddVBand="0" w:evenVBand="0" w:oddHBand="0" w:evenHBand="0" w:firstRowFirstColumn="0" w:firstRowLastColumn="0" w:lastRowFirstColumn="0" w:lastRowLastColumn="0"/>
            </w:pPr>
            <w:r>
              <w:t>Deflator</w:t>
            </w:r>
            <w:r>
              <w:br/>
              <w:t>($/TEU)</w:t>
            </w:r>
          </w:p>
        </w:tc>
        <w:tc>
          <w:tcPr>
            <w:tcW w:w="1792" w:type="dxa"/>
            <w:shd w:val="clear" w:color="auto" w:fill="F2F2F2" w:themeFill="background1" w:themeFillShade="F2"/>
          </w:tcPr>
          <w:p w:rsidR="003328B0" w:rsidRDefault="007916E3" w:rsidP="00FD0948">
            <w:pPr>
              <w:pStyle w:val="Tabletextright"/>
              <w:cnfStyle w:val="100000000000" w:firstRow="1" w:lastRow="0" w:firstColumn="0" w:lastColumn="0" w:oddVBand="0" w:evenVBand="0" w:oddHBand="0" w:evenHBand="0" w:firstRowFirstColumn="0" w:firstRowLastColumn="0" w:lastRowFirstColumn="0" w:lastRowLastColumn="0"/>
            </w:pPr>
            <w:r>
              <w:t>Real unit revenue</w:t>
            </w:r>
            <w:r>
              <w:br/>
              <w:t>($/TEU)</w:t>
            </w:r>
          </w:p>
        </w:tc>
        <w:tc>
          <w:tcPr>
            <w:tcW w:w="1793" w:type="dxa"/>
            <w:shd w:val="clear" w:color="auto" w:fill="F2F2F2" w:themeFill="background1" w:themeFillShade="F2"/>
          </w:tcPr>
          <w:p w:rsidR="003328B0" w:rsidRDefault="007916E3" w:rsidP="00FD0948">
            <w:pPr>
              <w:pStyle w:val="Tabletextright"/>
              <w:cnfStyle w:val="100000000000" w:firstRow="1" w:lastRow="0" w:firstColumn="0" w:lastColumn="0" w:oddVBand="0" w:evenVBand="0" w:oddHBand="0" w:evenHBand="0" w:firstRowFirstColumn="0" w:firstRowLastColumn="0" w:lastRowFirstColumn="0" w:lastRowLastColumn="0"/>
            </w:pPr>
            <w:r>
              <w:t>Real unit cost</w:t>
            </w:r>
            <w:r>
              <w:br/>
              <w:t>($/TEU)</w:t>
            </w:r>
          </w:p>
        </w:tc>
        <w:tc>
          <w:tcPr>
            <w:tcW w:w="1793" w:type="dxa"/>
            <w:shd w:val="clear" w:color="auto" w:fill="F2F2F2" w:themeFill="background1" w:themeFillShade="F2"/>
          </w:tcPr>
          <w:p w:rsidR="003328B0" w:rsidRDefault="007916E3" w:rsidP="00FD0948">
            <w:pPr>
              <w:pStyle w:val="Tabletextright"/>
              <w:cnfStyle w:val="100000000000" w:firstRow="1" w:lastRow="0" w:firstColumn="0" w:lastColumn="0" w:oddVBand="0" w:evenVBand="0" w:oddHBand="0" w:evenHBand="0" w:firstRowFirstColumn="0" w:firstRowLastColumn="0" w:lastRowFirstColumn="0" w:lastRowLastColumn="0"/>
            </w:pPr>
            <w:r>
              <w:t>Real unit margin</w:t>
            </w:r>
            <w:r>
              <w:br/>
              <w:t>($/TEU)</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bottom w:val="nil"/>
            </w:tcBorders>
          </w:tcPr>
          <w:p w:rsidR="007F155F" w:rsidRDefault="007F155F" w:rsidP="00FD0948">
            <w:pPr>
              <w:pStyle w:val="Tabletextleft"/>
            </w:pPr>
            <w:r>
              <w:t>1986</w:t>
            </w:r>
          </w:p>
        </w:tc>
        <w:tc>
          <w:tcPr>
            <w:tcW w:w="1792" w:type="dxa"/>
            <w:tcBorders>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247.00</w:t>
            </w:r>
          </w:p>
        </w:tc>
        <w:tc>
          <w:tcPr>
            <w:tcW w:w="1792" w:type="dxa"/>
            <w:tcBorders>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239.00</w:t>
            </w:r>
          </w:p>
        </w:tc>
        <w:tc>
          <w:tcPr>
            <w:tcW w:w="1792" w:type="dxa"/>
            <w:tcBorders>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8.00</w:t>
            </w:r>
          </w:p>
        </w:tc>
        <w:tc>
          <w:tcPr>
            <w:tcW w:w="1792" w:type="dxa"/>
            <w:tcBorders>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61.15</w:t>
            </w:r>
          </w:p>
        </w:tc>
        <w:tc>
          <w:tcPr>
            <w:tcW w:w="1792" w:type="dxa"/>
            <w:tcBorders>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403.92</w:t>
            </w:r>
          </w:p>
        </w:tc>
        <w:tc>
          <w:tcPr>
            <w:tcW w:w="1793" w:type="dxa"/>
            <w:tcBorders>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390.84</w:t>
            </w:r>
          </w:p>
        </w:tc>
        <w:tc>
          <w:tcPr>
            <w:tcW w:w="1793" w:type="dxa"/>
            <w:tcBorders>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13.08</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1987</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244.00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218.00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26.00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65.33</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373.52</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333.72</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39.80</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1988</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244.00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227.00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70.85</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344.39</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320.40</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23.99</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1989</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247.00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241.00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6.00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76.93</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321.09</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313.29</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7.80</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1990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254.00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262.00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-8.00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81.10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313.19</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323.06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–9.86</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1991</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244.00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243.00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84.10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290.13</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288.94</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1.19</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1992</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195.00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196.00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85.73</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227.47</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228.64</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–1.17</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1993</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195.00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190.00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5.00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86.78</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224.72</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218.96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5.76</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1994</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201.00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188.00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87.55</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229.58</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214.73</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14.85</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1995</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206.00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191.00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15.00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94.00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219.15</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203.19</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15.96</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1996</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n/a</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n/a</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n/a</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n/a</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Jan-Jun 1997</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188.00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92.90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202.37</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n/a</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n/a</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1998–99</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182.58</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160.57</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22.00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93.65</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194.96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171.46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23.50</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7F155F" w:rsidP="00FD0948">
            <w:pPr>
              <w:pStyle w:val="Tabletextleft"/>
            </w:pPr>
            <w:r>
              <w:t>1999-2000</w:t>
            </w:r>
          </w:p>
        </w:tc>
        <w:tc>
          <w:tcPr>
            <w:tcW w:w="1792" w:type="dxa"/>
            <w:tcBorders>
              <w:top w:val="nil"/>
              <w:bottom w:val="nil"/>
            </w:tcBorders>
          </w:tcPr>
          <w:p w:rsidR="007F155F" w:rsidRPr="00BF7511"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BF7511">
              <w:t>175.01</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146.88</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28.14</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95.50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183.26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153.80</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29.46</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2000–01</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172.77</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143.97</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28.80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100.00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172.77</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143.97</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28.80</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2001–02</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165.56</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131.14</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34.43</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102.33</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161.80</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128.16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33.65</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2002–03</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169.00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129.76</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39.23</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105.27</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160.53</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123.26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239D3">
              <w:t>37.27</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2003–04</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171.49</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131.75</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39.74</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108.57</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157.95</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121.35</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36.61</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2004–05</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175.24</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135.89</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39.35</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113.51</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154.39</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119.72</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34.67</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2005–06</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180.08</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137.49</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42.59</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119.02</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151.31</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115.52</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35.79</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2006–07</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173.27</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129.73</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43.54</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124.00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139.74</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104.62</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35.11</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2007–08</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173.24</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128.59</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44.65</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128.60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134.72</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100.00</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34.72</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2008–09</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171.44</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137.41</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34.03</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135.88</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126.17</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101.12</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25.04</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2009–10</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170.94</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136.43</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34.51</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136.56</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125.18</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99.91</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25.27</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2010–11</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173.49</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134.62</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38.87</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144.24</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120.28</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93.33</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6679F1">
              <w:t>26.95</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2011–12</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177.27</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137.58</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39.69</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A64C2">
              <w:t>145.90</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A64C2">
              <w:t>121.50</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A64C2">
              <w:t>94.30</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A64C2">
              <w:t>27.20</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nil"/>
            </w:tcBorders>
          </w:tcPr>
          <w:p w:rsidR="007F155F" w:rsidRDefault="00D8433D" w:rsidP="00FD0948">
            <w:pPr>
              <w:pStyle w:val="Tabletextleft"/>
            </w:pPr>
            <w:r>
              <w:t>2012–13</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177.42</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138.05</w:t>
            </w:r>
          </w:p>
        </w:tc>
        <w:tc>
          <w:tcPr>
            <w:tcW w:w="1792" w:type="dxa"/>
            <w:tcBorders>
              <w:top w:val="nil"/>
              <w:bottom w:val="nil"/>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39.38</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C50AD8">
              <w:t>144.76</w:t>
            </w:r>
          </w:p>
        </w:tc>
        <w:tc>
          <w:tcPr>
            <w:tcW w:w="1792"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A24A32">
              <w:t>122.56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A24A32">
              <w:t>95.36</w:t>
            </w:r>
          </w:p>
        </w:tc>
        <w:tc>
          <w:tcPr>
            <w:tcW w:w="1793" w:type="dxa"/>
            <w:tcBorders>
              <w:top w:val="nil"/>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A24A32">
              <w:t>27.20</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bottom w:val="single" w:sz="4" w:space="0" w:color="D5D6D2" w:themeColor="background2"/>
            </w:tcBorders>
          </w:tcPr>
          <w:p w:rsidR="007F155F" w:rsidRDefault="00D8433D" w:rsidP="00FD0948">
            <w:pPr>
              <w:pStyle w:val="Tabletextleft"/>
            </w:pPr>
            <w:r>
              <w:t>2013–14</w:t>
            </w:r>
          </w:p>
        </w:tc>
        <w:tc>
          <w:tcPr>
            <w:tcW w:w="1792" w:type="dxa"/>
            <w:tcBorders>
              <w:top w:val="nil"/>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176.19</w:t>
            </w:r>
          </w:p>
        </w:tc>
        <w:tc>
          <w:tcPr>
            <w:tcW w:w="1792" w:type="dxa"/>
            <w:tcBorders>
              <w:top w:val="nil"/>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145.85</w:t>
            </w:r>
          </w:p>
        </w:tc>
        <w:tc>
          <w:tcPr>
            <w:tcW w:w="1792" w:type="dxa"/>
            <w:tcBorders>
              <w:top w:val="nil"/>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30.34</w:t>
            </w:r>
          </w:p>
        </w:tc>
        <w:tc>
          <w:tcPr>
            <w:tcW w:w="1792" w:type="dxa"/>
            <w:tcBorders>
              <w:top w:val="nil"/>
              <w:bottom w:val="single" w:sz="4" w:space="0" w:color="D5D6D2" w:themeColor="background2"/>
            </w:tcBorders>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CD3A51">
              <w:t>146.82</w:t>
            </w:r>
          </w:p>
        </w:tc>
        <w:tc>
          <w:tcPr>
            <w:tcW w:w="1792" w:type="dxa"/>
            <w:tcBorders>
              <w:top w:val="nil"/>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120.01</w:t>
            </w:r>
          </w:p>
        </w:tc>
        <w:tc>
          <w:tcPr>
            <w:tcW w:w="1793" w:type="dxa"/>
            <w:tcBorders>
              <w:top w:val="nil"/>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99.34</w:t>
            </w:r>
          </w:p>
        </w:tc>
        <w:tc>
          <w:tcPr>
            <w:tcW w:w="1793" w:type="dxa"/>
            <w:tcBorders>
              <w:top w:val="nil"/>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t>20.67</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single" w:sz="4" w:space="0" w:color="D5D6D2" w:themeColor="background2"/>
              <w:bottom w:val="single" w:sz="4" w:space="0" w:color="D5D6D2" w:themeColor="background2"/>
            </w:tcBorders>
          </w:tcPr>
          <w:p w:rsidR="007F155F" w:rsidRDefault="00D8433D" w:rsidP="00FD0948">
            <w:pPr>
              <w:pStyle w:val="Tabletextleft"/>
            </w:pPr>
            <w:r>
              <w:t>2014–15</w:t>
            </w:r>
          </w:p>
        </w:tc>
        <w:tc>
          <w:tcPr>
            <w:tcW w:w="1792" w:type="dxa"/>
            <w:tcBorders>
              <w:top w:val="single" w:sz="4" w:space="0" w:color="D5D6D2" w:themeColor="background2"/>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171.62</w:t>
            </w:r>
          </w:p>
        </w:tc>
        <w:tc>
          <w:tcPr>
            <w:tcW w:w="1792" w:type="dxa"/>
            <w:tcBorders>
              <w:top w:val="single" w:sz="4" w:space="0" w:color="D5D6D2" w:themeColor="background2"/>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145.05</w:t>
            </w:r>
          </w:p>
        </w:tc>
        <w:tc>
          <w:tcPr>
            <w:tcW w:w="1792" w:type="dxa"/>
            <w:tcBorders>
              <w:top w:val="single" w:sz="4" w:space="0" w:color="D5D6D2" w:themeColor="background2"/>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26.57</w:t>
            </w:r>
          </w:p>
        </w:tc>
        <w:tc>
          <w:tcPr>
            <w:tcW w:w="1792" w:type="dxa"/>
            <w:tcBorders>
              <w:top w:val="single" w:sz="4" w:space="0" w:color="D5D6D2" w:themeColor="background2"/>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146.35</w:t>
            </w:r>
          </w:p>
        </w:tc>
        <w:tc>
          <w:tcPr>
            <w:tcW w:w="1792" w:type="dxa"/>
            <w:tcBorders>
              <w:top w:val="single" w:sz="4" w:space="0" w:color="D5D6D2" w:themeColor="background2"/>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117.27</w:t>
            </w:r>
          </w:p>
        </w:tc>
        <w:tc>
          <w:tcPr>
            <w:tcW w:w="1793" w:type="dxa"/>
            <w:tcBorders>
              <w:top w:val="single" w:sz="4" w:space="0" w:color="D5D6D2" w:themeColor="background2"/>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99.12</w:t>
            </w:r>
          </w:p>
        </w:tc>
        <w:tc>
          <w:tcPr>
            <w:tcW w:w="1793" w:type="dxa"/>
            <w:tcBorders>
              <w:top w:val="single" w:sz="4" w:space="0" w:color="D5D6D2" w:themeColor="background2"/>
              <w:bottom w:val="single" w:sz="4" w:space="0" w:color="D5D6D2" w:themeColor="background2"/>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18.16</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bottom w:val="nil"/>
            </w:tcBorders>
          </w:tcPr>
          <w:p w:rsidR="007F155F" w:rsidRDefault="007F155F" w:rsidP="00FD0948">
            <w:pPr>
              <w:pStyle w:val="Tabletextleft"/>
            </w:pPr>
            <w:r>
              <w:t>%</w:t>
            </w:r>
            <w:r w:rsidR="0091647C">
              <w:t xml:space="preserve"> </w:t>
            </w:r>
            <w:r>
              <w:t>change</w:t>
            </w:r>
            <w:r>
              <w:br/>
            </w:r>
            <w:r w:rsidR="00D8433D">
              <w:t>2013–14</w:t>
            </w:r>
            <w:r>
              <w:t xml:space="preserve"> to </w:t>
            </w:r>
            <w:r>
              <w:br/>
            </w:r>
            <w:r w:rsidR="00D8433D">
              <w:t>2014–15</w:t>
            </w:r>
          </w:p>
        </w:tc>
        <w:tc>
          <w:tcPr>
            <w:tcW w:w="1792" w:type="dxa"/>
            <w:tcBorders>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-2.59</w:t>
            </w:r>
          </w:p>
        </w:tc>
        <w:tc>
          <w:tcPr>
            <w:tcW w:w="1792" w:type="dxa"/>
            <w:tcBorders>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-0.55</w:t>
            </w:r>
          </w:p>
        </w:tc>
        <w:tc>
          <w:tcPr>
            <w:tcW w:w="1792" w:type="dxa"/>
            <w:tcBorders>
              <w:bottom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-12.43</w:t>
            </w:r>
          </w:p>
        </w:tc>
        <w:tc>
          <w:tcPr>
            <w:tcW w:w="1792" w:type="dxa"/>
            <w:tcBorders>
              <w:bottom w:val="nil"/>
            </w:tcBorders>
            <w:vAlign w:val="top"/>
          </w:tcPr>
          <w:p w:rsidR="007F155F" w:rsidRDefault="007F155F" w:rsidP="006B09B7">
            <w:pPr>
              <w:pStyle w:val="Tabletextright"/>
              <w:cnfStyle w:val="000000000000" w:firstRow="0" w:lastRow="0" w:firstColumn="0" w:lastColumn="0" w:oddVBand="0" w:evenVBand="0" w:oddHBand="0" w:evenHBand="0" w:firstRowFirstColumn="0" w:firstRowLastColumn="0" w:lastRowFirstColumn="0" w:lastRowLastColumn="0"/>
            </w:pPr>
            <w:r w:rsidRPr="00EE3DEF">
              <w:t>-</w:t>
            </w:r>
            <w:r w:rsidR="006B09B7">
              <w:t>0</w:t>
            </w:r>
            <w:r w:rsidRPr="00EE3DEF">
              <w:t>.</w:t>
            </w:r>
            <w:r w:rsidR="006B09B7">
              <w:t>32</w:t>
            </w:r>
          </w:p>
        </w:tc>
        <w:tc>
          <w:tcPr>
            <w:tcW w:w="1792" w:type="dxa"/>
            <w:tcBorders>
              <w:bottom w:val="nil"/>
            </w:tcBorders>
            <w:vAlign w:val="top"/>
          </w:tcPr>
          <w:p w:rsidR="007F155F" w:rsidRDefault="007F155F" w:rsidP="00D508ED">
            <w:pPr>
              <w:pStyle w:val="Tabletextright"/>
              <w:cnfStyle w:val="000000000000" w:firstRow="0" w:lastRow="0" w:firstColumn="0" w:lastColumn="0" w:oddVBand="0" w:evenVBand="0" w:oddHBand="0" w:evenHBand="0" w:firstRowFirstColumn="0" w:firstRowLastColumn="0" w:lastRowFirstColumn="0" w:lastRowLastColumn="0"/>
            </w:pPr>
            <w:r w:rsidRPr="00EE3DEF">
              <w:t>-2.</w:t>
            </w:r>
            <w:r w:rsidR="00624C24">
              <w:t>2</w:t>
            </w:r>
            <w:r w:rsidR="00624C24" w:rsidRPr="00EE3DEF">
              <w:t>8</w:t>
            </w:r>
          </w:p>
        </w:tc>
        <w:tc>
          <w:tcPr>
            <w:tcW w:w="1793" w:type="dxa"/>
            <w:tcBorders>
              <w:bottom w:val="nil"/>
            </w:tcBorders>
            <w:vAlign w:val="top"/>
          </w:tcPr>
          <w:p w:rsidR="007F155F" w:rsidRDefault="006B09B7" w:rsidP="006B09B7">
            <w:pPr>
              <w:pStyle w:val="Tabletextright"/>
              <w:cnfStyle w:val="000000000000" w:firstRow="0" w:lastRow="0" w:firstColumn="0" w:lastColumn="0" w:oddVBand="0" w:evenVBand="0" w:oddHBand="0" w:evenHBand="0" w:firstRowFirstColumn="0" w:firstRowLastColumn="0" w:lastRowFirstColumn="0" w:lastRowLastColumn="0"/>
            </w:pPr>
            <w:r>
              <w:t>-0</w:t>
            </w:r>
            <w:r w:rsidR="007F155F" w:rsidRPr="00EE3DEF">
              <w:t>.</w:t>
            </w:r>
            <w:r>
              <w:t>23</w:t>
            </w:r>
          </w:p>
        </w:tc>
        <w:tc>
          <w:tcPr>
            <w:tcW w:w="1793" w:type="dxa"/>
            <w:tcBorders>
              <w:bottom w:val="nil"/>
            </w:tcBorders>
            <w:vAlign w:val="top"/>
          </w:tcPr>
          <w:p w:rsidR="007F155F" w:rsidRDefault="007F155F" w:rsidP="006B09B7">
            <w:pPr>
              <w:pStyle w:val="Tabletextright"/>
              <w:cnfStyle w:val="000000000000" w:firstRow="0" w:lastRow="0" w:firstColumn="0" w:lastColumn="0" w:oddVBand="0" w:evenVBand="0" w:oddHBand="0" w:evenHBand="0" w:firstRowFirstColumn="0" w:firstRowLastColumn="0" w:lastRowFirstColumn="0" w:lastRowLastColumn="0"/>
            </w:pPr>
            <w:r w:rsidRPr="00EE3DEF">
              <w:t>-</w:t>
            </w:r>
            <w:r w:rsidR="006B09B7">
              <w:t>12</w:t>
            </w:r>
            <w:r w:rsidRPr="00EE3DEF">
              <w:t>.</w:t>
            </w:r>
            <w:r w:rsidR="006B09B7">
              <w:t>15</w:t>
            </w:r>
          </w:p>
        </w:tc>
      </w:tr>
      <w:tr w:rsidR="007F155F" w:rsidTr="00E71BFF">
        <w:tc>
          <w:tcPr>
            <w:cnfStyle w:val="001000000000" w:firstRow="0" w:lastRow="0" w:firstColumn="1" w:lastColumn="0" w:oddVBand="0" w:evenVBand="0" w:oddHBand="0" w:evenHBand="0" w:firstRowFirstColumn="0" w:firstRowLastColumn="0" w:lastRowFirstColumn="0" w:lastRowLastColumn="0"/>
            <w:tcW w:w="1792" w:type="dxa"/>
            <w:tcBorders>
              <w:top w:val="nil"/>
            </w:tcBorders>
          </w:tcPr>
          <w:p w:rsidR="007F155F" w:rsidRDefault="007F155F" w:rsidP="00FD0948">
            <w:pPr>
              <w:pStyle w:val="Tabletextleft"/>
            </w:pPr>
            <w:r>
              <w:t>%</w:t>
            </w:r>
            <w:r w:rsidR="0091647C">
              <w:t xml:space="preserve"> </w:t>
            </w:r>
            <w:r>
              <w:t>change</w:t>
            </w:r>
            <w:r>
              <w:br/>
            </w:r>
            <w:r w:rsidR="00D8433D">
              <w:t>1998–99</w:t>
            </w:r>
            <w:r>
              <w:t xml:space="preserve"> to </w:t>
            </w:r>
            <w:r>
              <w:br/>
            </w:r>
            <w:r w:rsidR="00D8433D">
              <w:t>2014–15</w:t>
            </w:r>
          </w:p>
        </w:tc>
        <w:tc>
          <w:tcPr>
            <w:tcW w:w="1792" w:type="dxa"/>
            <w:tcBorders>
              <w:top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-6.0</w:t>
            </w:r>
          </w:p>
        </w:tc>
        <w:tc>
          <w:tcPr>
            <w:tcW w:w="1792" w:type="dxa"/>
            <w:tcBorders>
              <w:top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-9.7</w:t>
            </w:r>
          </w:p>
        </w:tc>
        <w:tc>
          <w:tcPr>
            <w:tcW w:w="1792" w:type="dxa"/>
            <w:tcBorders>
              <w:top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20.8</w:t>
            </w:r>
          </w:p>
        </w:tc>
        <w:tc>
          <w:tcPr>
            <w:tcW w:w="1792" w:type="dxa"/>
            <w:tcBorders>
              <w:top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56.3</w:t>
            </w:r>
          </w:p>
        </w:tc>
        <w:tc>
          <w:tcPr>
            <w:tcW w:w="1792" w:type="dxa"/>
            <w:tcBorders>
              <w:top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-39.8</w:t>
            </w:r>
          </w:p>
        </w:tc>
        <w:tc>
          <w:tcPr>
            <w:tcW w:w="1793" w:type="dxa"/>
            <w:tcBorders>
              <w:top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-42.2</w:t>
            </w:r>
          </w:p>
        </w:tc>
        <w:tc>
          <w:tcPr>
            <w:tcW w:w="1793" w:type="dxa"/>
            <w:tcBorders>
              <w:top w:val="nil"/>
            </w:tcBorders>
            <w:vAlign w:val="top"/>
          </w:tcPr>
          <w:p w:rsidR="007F155F" w:rsidRDefault="007F155F" w:rsidP="00FD0948">
            <w:pPr>
              <w:pStyle w:val="Tabletextright"/>
              <w:cnfStyle w:val="000000000000" w:firstRow="0" w:lastRow="0" w:firstColumn="0" w:lastColumn="0" w:oddVBand="0" w:evenVBand="0" w:oddHBand="0" w:evenHBand="0" w:firstRowFirstColumn="0" w:firstRowLastColumn="0" w:lastRowFirstColumn="0" w:lastRowLastColumn="0"/>
            </w:pPr>
            <w:r w:rsidRPr="00EE3DEF">
              <w:t>-22.7</w:t>
            </w:r>
          </w:p>
        </w:tc>
      </w:tr>
    </w:tbl>
    <w:p w:rsidR="003328B0" w:rsidRDefault="00A620D6" w:rsidP="00EA0B3B">
      <w:pPr>
        <w:pStyle w:val="Source"/>
        <w:ind w:left="675" w:hanging="675"/>
      </w:pPr>
      <w:r>
        <w:t>Source:</w:t>
      </w:r>
      <w:r>
        <w:tab/>
      </w:r>
      <w:r w:rsidR="00665A98" w:rsidRPr="00665A98">
        <w:t xml:space="preserve">ACCC 1996, </w:t>
      </w:r>
      <w:r w:rsidR="00665A98" w:rsidRPr="00EA0B3B">
        <w:rPr>
          <w:i/>
        </w:rPr>
        <w:t>Monitoring of stevedoring costs and charges and terminal handling charges 1995</w:t>
      </w:r>
      <w:r w:rsidR="00665A98" w:rsidRPr="00665A98">
        <w:t xml:space="preserve">. Figures for January–June 1997 are an estimate derived from </w:t>
      </w:r>
      <w:r w:rsidR="00665A98">
        <w:t>BITRE</w:t>
      </w:r>
      <w:r w:rsidR="00665A98" w:rsidRPr="00665A98">
        <w:t xml:space="preserve"> publication series </w:t>
      </w:r>
      <w:r w:rsidR="00665A98" w:rsidRPr="00EA0B3B">
        <w:rPr>
          <w:i/>
        </w:rPr>
        <w:t>Waterline</w:t>
      </w:r>
      <w:r w:rsidR="00665A98" w:rsidRPr="00665A98">
        <w:t xml:space="preserve">. </w:t>
      </w:r>
      <w:r w:rsidR="00665A98">
        <w:t xml:space="preserve">Data since and inclusive of 1998-99, </w:t>
      </w:r>
      <w:r w:rsidR="007B3525" w:rsidRPr="007B3525">
        <w:t>provided by the stevedoring companies</w:t>
      </w:r>
      <w:r w:rsidR="0091647C">
        <w:t>,</w:t>
      </w:r>
      <w:r w:rsidR="007B3525" w:rsidRPr="007B3525">
        <w:t xml:space="preserve"> converted to real terms using Australian Bureau of Statistics’ (ABS) GDP deflator series. Base year for ACCC deflator series: </w:t>
      </w:r>
      <w:r w:rsidR="00D8433D">
        <w:t>2000–01</w:t>
      </w:r>
      <w:r w:rsidR="007B3525" w:rsidRPr="007B3525">
        <w:t>.</w:t>
      </w:r>
    </w:p>
    <w:p w:rsidR="00BF7511" w:rsidRDefault="00BF7511" w:rsidP="00BF7511">
      <w:pPr>
        <w:pStyle w:val="Appendixheading1"/>
      </w:pPr>
      <w:bookmarkStart w:id="66" w:name="_Toc433667030"/>
      <w:r>
        <w:t>Company trends in cost components</w:t>
      </w:r>
      <w:bookmarkEnd w:id="66"/>
    </w:p>
    <w:p w:rsidR="00BF7511" w:rsidRDefault="00BF7511" w:rsidP="00BF7511">
      <w:pPr>
        <w:pStyle w:val="Tabletitle"/>
      </w:pPr>
      <w:r>
        <w:t>Table C.1: Asciano (Patrick) trends in nominal cost components (per TEU)</w:t>
      </w:r>
      <w:r w:rsidR="00705FB1">
        <w:t xml:space="preserve"> index</w:t>
      </w:r>
      <w:r>
        <w:t xml:space="preserve">, </w:t>
      </w:r>
      <w:r w:rsidR="00D8433D">
        <w:t>2002–03</w:t>
      </w:r>
      <w:r>
        <w:t xml:space="preserve"> to </w:t>
      </w:r>
      <w:r w:rsidR="00D8433D">
        <w:t>201</w:t>
      </w:r>
      <w:r w:rsidR="00D53FB1">
        <w:t>4</w:t>
      </w:r>
      <w:r w:rsidR="00D8433D">
        <w:t>–1</w:t>
      </w:r>
      <w:r w:rsidR="00D53FB1">
        <w:t>5</w:t>
      </w:r>
    </w:p>
    <w:tbl>
      <w:tblPr>
        <w:tblStyle w:val="LightShading"/>
        <w:tblW w:w="0" w:type="auto"/>
        <w:tblLook w:val="04A0" w:firstRow="1" w:lastRow="0" w:firstColumn="1" w:lastColumn="0" w:noHBand="0" w:noVBand="1"/>
      </w:tblPr>
      <w:tblGrid>
        <w:gridCol w:w="1526"/>
        <w:gridCol w:w="985"/>
        <w:gridCol w:w="986"/>
        <w:gridCol w:w="985"/>
        <w:gridCol w:w="986"/>
        <w:gridCol w:w="985"/>
        <w:gridCol w:w="986"/>
        <w:gridCol w:w="985"/>
        <w:gridCol w:w="986"/>
        <w:gridCol w:w="985"/>
        <w:gridCol w:w="986"/>
        <w:gridCol w:w="985"/>
        <w:gridCol w:w="986"/>
        <w:gridCol w:w="986"/>
      </w:tblGrid>
      <w:tr w:rsidR="003E661C" w:rsidTr="003E6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il"/>
            </w:tcBorders>
            <w:shd w:val="clear" w:color="auto" w:fill="F2F2F2" w:themeFill="background1" w:themeFillShade="F2"/>
          </w:tcPr>
          <w:p w:rsidR="00BF7511" w:rsidRDefault="00BF7511" w:rsidP="00FD0948">
            <w:pPr>
              <w:pStyle w:val="Tabletextleft"/>
            </w:pPr>
          </w:p>
        </w:tc>
        <w:tc>
          <w:tcPr>
            <w:tcW w:w="985"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2002–03</w:t>
            </w:r>
          </w:p>
        </w:tc>
        <w:tc>
          <w:tcPr>
            <w:tcW w:w="986"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2003–04</w:t>
            </w:r>
          </w:p>
        </w:tc>
        <w:tc>
          <w:tcPr>
            <w:tcW w:w="985"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2004–05</w:t>
            </w:r>
          </w:p>
        </w:tc>
        <w:tc>
          <w:tcPr>
            <w:tcW w:w="986"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2005–06</w:t>
            </w:r>
          </w:p>
        </w:tc>
        <w:tc>
          <w:tcPr>
            <w:tcW w:w="985"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2006–07</w:t>
            </w:r>
          </w:p>
        </w:tc>
        <w:tc>
          <w:tcPr>
            <w:tcW w:w="986"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2007–08</w:t>
            </w:r>
          </w:p>
        </w:tc>
        <w:tc>
          <w:tcPr>
            <w:tcW w:w="985"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2008–09</w:t>
            </w:r>
          </w:p>
        </w:tc>
        <w:tc>
          <w:tcPr>
            <w:tcW w:w="986"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2009–10</w:t>
            </w:r>
          </w:p>
        </w:tc>
        <w:tc>
          <w:tcPr>
            <w:tcW w:w="985"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2010–11</w:t>
            </w:r>
          </w:p>
        </w:tc>
        <w:tc>
          <w:tcPr>
            <w:tcW w:w="986"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2011–12</w:t>
            </w:r>
          </w:p>
        </w:tc>
        <w:tc>
          <w:tcPr>
            <w:tcW w:w="985"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2012–13</w:t>
            </w:r>
          </w:p>
        </w:tc>
        <w:tc>
          <w:tcPr>
            <w:tcW w:w="986" w:type="dxa"/>
            <w:tcBorders>
              <w:left w:val="nil"/>
              <w:righ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2013–14</w:t>
            </w:r>
          </w:p>
        </w:tc>
        <w:tc>
          <w:tcPr>
            <w:tcW w:w="986" w:type="dxa"/>
            <w:tcBorders>
              <w:left w:val="nil"/>
            </w:tcBorders>
            <w:shd w:val="clear" w:color="auto" w:fill="F2F2F2" w:themeFill="background1" w:themeFillShade="F2"/>
          </w:tcPr>
          <w:p w:rsidR="00BF7511"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2014–15</w:t>
            </w: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D5D6D2" w:themeColor="background2"/>
              <w:right w:val="nil"/>
            </w:tcBorders>
            <w:shd w:val="clear" w:color="auto" w:fill="F2F2F2" w:themeFill="background1" w:themeFillShade="F2"/>
          </w:tcPr>
          <w:p w:rsidR="00BF7511" w:rsidRDefault="003E661C" w:rsidP="00FD0948">
            <w:pPr>
              <w:pStyle w:val="Tabletextleft"/>
            </w:pPr>
            <w:r>
              <w:t>Brisbane</w:t>
            </w:r>
          </w:p>
        </w:tc>
        <w:tc>
          <w:tcPr>
            <w:tcW w:w="985"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BF7511" w:rsidRDefault="003E661C" w:rsidP="00FD0948">
            <w:pPr>
              <w:pStyle w:val="Tabletextleft"/>
            </w:pPr>
            <w:r>
              <w:t>Stevedoring cost index</w:t>
            </w:r>
          </w:p>
        </w:tc>
        <w:tc>
          <w:tcPr>
            <w:tcW w:w="985"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89.0</w:t>
            </w:r>
          </w:p>
        </w:tc>
        <w:tc>
          <w:tcPr>
            <w:tcW w:w="986"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86.0</w:t>
            </w:r>
          </w:p>
        </w:tc>
        <w:tc>
          <w:tcPr>
            <w:tcW w:w="985"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84.0</w:t>
            </w:r>
          </w:p>
        </w:tc>
        <w:tc>
          <w:tcPr>
            <w:tcW w:w="986"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85.9</w:t>
            </w:r>
          </w:p>
        </w:tc>
        <w:tc>
          <w:tcPr>
            <w:tcW w:w="985"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82.0</w:t>
            </w:r>
          </w:p>
        </w:tc>
        <w:tc>
          <w:tcPr>
            <w:tcW w:w="986"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76.8</w:t>
            </w:r>
          </w:p>
        </w:tc>
        <w:tc>
          <w:tcPr>
            <w:tcW w:w="985"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85.7</w:t>
            </w:r>
          </w:p>
        </w:tc>
        <w:tc>
          <w:tcPr>
            <w:tcW w:w="986"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89.7</w:t>
            </w:r>
          </w:p>
        </w:tc>
        <w:tc>
          <w:tcPr>
            <w:tcW w:w="985"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95.1</w:t>
            </w:r>
          </w:p>
        </w:tc>
        <w:tc>
          <w:tcPr>
            <w:tcW w:w="986"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86.6</w:t>
            </w:r>
          </w:p>
        </w:tc>
        <w:tc>
          <w:tcPr>
            <w:tcW w:w="985" w:type="dxa"/>
            <w:tcBorders>
              <w:top w:val="single" w:sz="4" w:space="0" w:color="D5D6D2" w:themeColor="background2"/>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79.7</w:t>
            </w:r>
          </w:p>
        </w:tc>
        <w:tc>
          <w:tcPr>
            <w:tcW w:w="986" w:type="dxa"/>
            <w:tcBorders>
              <w:top w:val="single" w:sz="4" w:space="0" w:color="D5D6D2" w:themeColor="background2"/>
              <w:left w:val="nil"/>
              <w:bottom w:val="nil"/>
              <w:right w:val="nil"/>
            </w:tcBorders>
          </w:tcPr>
          <w:p w:rsidR="00BF7511"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84.7</w:t>
            </w:r>
          </w:p>
        </w:tc>
        <w:tc>
          <w:tcPr>
            <w:tcW w:w="986" w:type="dxa"/>
            <w:tcBorders>
              <w:top w:val="single" w:sz="4" w:space="0" w:color="D5D6D2" w:themeColor="background2"/>
              <w:left w:val="nil"/>
              <w:bottom w:val="nil"/>
            </w:tcBorders>
          </w:tcPr>
          <w:p w:rsidR="00BF7511"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84.1</w:t>
            </w:r>
          </w:p>
        </w:tc>
      </w:tr>
      <w:tr w:rsidR="00BF7511" w:rsidTr="003E661C">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BF7511" w:rsidRDefault="003E661C" w:rsidP="00FD0948">
            <w:pPr>
              <w:pStyle w:val="Tabletextleft"/>
            </w:pPr>
            <w:r>
              <w:t>Total labour cost index</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87.4</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92.7</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89.3</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91.1</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75.2</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70.1</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76.9</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65.1</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68.7</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70.2</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69.4</w:t>
            </w:r>
          </w:p>
        </w:tc>
        <w:tc>
          <w:tcPr>
            <w:tcW w:w="986" w:type="dxa"/>
            <w:tcBorders>
              <w:top w:val="nil"/>
              <w:left w:val="nil"/>
              <w:bottom w:val="nil"/>
              <w:right w:val="nil"/>
            </w:tcBorders>
          </w:tcPr>
          <w:p w:rsidR="00BF7511"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75.3</w:t>
            </w:r>
          </w:p>
        </w:tc>
        <w:tc>
          <w:tcPr>
            <w:tcW w:w="986" w:type="dxa"/>
            <w:tcBorders>
              <w:top w:val="nil"/>
              <w:left w:val="nil"/>
              <w:bottom w:val="nil"/>
            </w:tcBorders>
          </w:tcPr>
          <w:p w:rsidR="00BF7511"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75.9</w:t>
            </w:r>
          </w:p>
        </w:tc>
      </w:tr>
      <w:tr w:rsidR="00BF7511" w:rsidTr="003E661C">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BF7511" w:rsidRDefault="003E661C" w:rsidP="00FD0948">
            <w:pPr>
              <w:pStyle w:val="Tabletextleft"/>
            </w:pPr>
            <w:r>
              <w:t>Total equipment cost index</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62.0</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49.1</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46.0</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54.4</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76.4</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78.9</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86.9</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105.0</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118.0</w:t>
            </w:r>
          </w:p>
        </w:tc>
        <w:tc>
          <w:tcPr>
            <w:tcW w:w="986"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109.8</w:t>
            </w:r>
          </w:p>
        </w:tc>
        <w:tc>
          <w:tcPr>
            <w:tcW w:w="985" w:type="dxa"/>
            <w:tcBorders>
              <w:top w:val="nil"/>
              <w:left w:val="nil"/>
              <w:bottom w:val="nil"/>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94.3</w:t>
            </w:r>
          </w:p>
        </w:tc>
        <w:tc>
          <w:tcPr>
            <w:tcW w:w="986" w:type="dxa"/>
            <w:tcBorders>
              <w:top w:val="nil"/>
              <w:left w:val="nil"/>
              <w:bottom w:val="nil"/>
              <w:right w:val="nil"/>
            </w:tcBorders>
          </w:tcPr>
          <w:p w:rsidR="00BF7511"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94.6</w:t>
            </w:r>
          </w:p>
        </w:tc>
        <w:tc>
          <w:tcPr>
            <w:tcW w:w="986" w:type="dxa"/>
            <w:tcBorders>
              <w:top w:val="nil"/>
              <w:left w:val="nil"/>
              <w:bottom w:val="nil"/>
            </w:tcBorders>
          </w:tcPr>
          <w:p w:rsidR="00BF7511"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90.1</w:t>
            </w: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4" w:space="0" w:color="D5D6D2" w:themeColor="background2"/>
              <w:right w:val="nil"/>
            </w:tcBorders>
          </w:tcPr>
          <w:p w:rsidR="00BF7511" w:rsidRDefault="003E661C" w:rsidP="00FD0948">
            <w:pPr>
              <w:pStyle w:val="Tabletextleft"/>
            </w:pPr>
            <w:r>
              <w:t>Total property cost index</w:t>
            </w:r>
          </w:p>
        </w:tc>
        <w:tc>
          <w:tcPr>
            <w:tcW w:w="985"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59.2</w:t>
            </w:r>
          </w:p>
        </w:tc>
        <w:tc>
          <w:tcPr>
            <w:tcW w:w="986"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55.0</w:t>
            </w:r>
          </w:p>
        </w:tc>
        <w:tc>
          <w:tcPr>
            <w:tcW w:w="985"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48.6</w:t>
            </w:r>
          </w:p>
        </w:tc>
        <w:tc>
          <w:tcPr>
            <w:tcW w:w="986"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41.7</w:t>
            </w:r>
          </w:p>
        </w:tc>
        <w:tc>
          <w:tcPr>
            <w:tcW w:w="985"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35.1</w:t>
            </w:r>
          </w:p>
        </w:tc>
        <w:tc>
          <w:tcPr>
            <w:tcW w:w="986"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32.8</w:t>
            </w:r>
          </w:p>
        </w:tc>
        <w:tc>
          <w:tcPr>
            <w:tcW w:w="985"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42.3</w:t>
            </w:r>
          </w:p>
        </w:tc>
        <w:tc>
          <w:tcPr>
            <w:tcW w:w="986"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66.3</w:t>
            </w:r>
          </w:p>
        </w:tc>
        <w:tc>
          <w:tcPr>
            <w:tcW w:w="985"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82.2</w:t>
            </w:r>
          </w:p>
        </w:tc>
        <w:tc>
          <w:tcPr>
            <w:tcW w:w="986" w:type="dxa"/>
            <w:tcBorders>
              <w:top w:val="nil"/>
              <w:left w:val="nil"/>
              <w:bottom w:val="single" w:sz="4" w:space="0" w:color="D5D6D2" w:themeColor="background2"/>
              <w:right w:val="nil"/>
            </w:tcBorders>
          </w:tcPr>
          <w:p w:rsidR="00BF7511"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104.3</w:t>
            </w:r>
          </w:p>
        </w:tc>
        <w:tc>
          <w:tcPr>
            <w:tcW w:w="985" w:type="dxa"/>
            <w:tcBorders>
              <w:top w:val="nil"/>
              <w:left w:val="nil"/>
              <w:bottom w:val="single" w:sz="4" w:space="0" w:color="D5D6D2" w:themeColor="background2"/>
              <w:right w:val="nil"/>
            </w:tcBorders>
          </w:tcPr>
          <w:p w:rsidR="00BF7511"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103.0</w:t>
            </w:r>
          </w:p>
        </w:tc>
        <w:tc>
          <w:tcPr>
            <w:tcW w:w="986" w:type="dxa"/>
            <w:tcBorders>
              <w:top w:val="nil"/>
              <w:left w:val="nil"/>
              <w:bottom w:val="single" w:sz="4" w:space="0" w:color="D5D6D2" w:themeColor="background2"/>
              <w:right w:val="nil"/>
            </w:tcBorders>
          </w:tcPr>
          <w:p w:rsidR="00BF7511"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110.1</w:t>
            </w:r>
          </w:p>
        </w:tc>
        <w:tc>
          <w:tcPr>
            <w:tcW w:w="986" w:type="dxa"/>
            <w:tcBorders>
              <w:top w:val="nil"/>
              <w:left w:val="nil"/>
              <w:bottom w:val="single" w:sz="4" w:space="0" w:color="D5D6D2" w:themeColor="background2"/>
            </w:tcBorders>
          </w:tcPr>
          <w:p w:rsidR="00BF7511"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112.7</w:t>
            </w: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single" w:sz="4" w:space="0" w:color="D5D6D2" w:themeColor="background2"/>
              <w:right w:val="nil"/>
            </w:tcBorders>
            <w:shd w:val="clear" w:color="auto" w:fill="F2F2F2" w:themeFill="background1" w:themeFillShade="F2"/>
          </w:tcPr>
          <w:p w:rsidR="00BF7511" w:rsidRDefault="003E661C" w:rsidP="00FD0948">
            <w:pPr>
              <w:pStyle w:val="Tabletextleft"/>
            </w:pPr>
            <w:r>
              <w:t>Port Botany</w:t>
            </w: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tcBorders>
            <w:shd w:val="clear" w:color="auto" w:fill="F2F2F2" w:themeFill="background1" w:themeFillShade="F2"/>
          </w:tcPr>
          <w:p w:rsidR="00BF7511" w:rsidRDefault="00BF7511"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3E661C" w:rsidRDefault="003E661C" w:rsidP="00FD0948">
            <w:pPr>
              <w:pStyle w:val="Tabletextleft"/>
            </w:pPr>
            <w:r>
              <w:t>Stevedoring cost index</w:t>
            </w:r>
          </w:p>
        </w:tc>
        <w:tc>
          <w:tcPr>
            <w:tcW w:w="985"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78.1</w:t>
            </w:r>
          </w:p>
        </w:tc>
        <w:tc>
          <w:tcPr>
            <w:tcW w:w="986"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78.1</w:t>
            </w:r>
          </w:p>
        </w:tc>
        <w:tc>
          <w:tcPr>
            <w:tcW w:w="985"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79.2</w:t>
            </w:r>
          </w:p>
        </w:tc>
        <w:tc>
          <w:tcPr>
            <w:tcW w:w="986"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81.6</w:t>
            </w:r>
          </w:p>
        </w:tc>
        <w:tc>
          <w:tcPr>
            <w:tcW w:w="985"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81.1</w:t>
            </w:r>
          </w:p>
        </w:tc>
        <w:tc>
          <w:tcPr>
            <w:tcW w:w="986"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79.8</w:t>
            </w:r>
          </w:p>
        </w:tc>
        <w:tc>
          <w:tcPr>
            <w:tcW w:w="985"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85.0</w:t>
            </w:r>
          </w:p>
        </w:tc>
        <w:tc>
          <w:tcPr>
            <w:tcW w:w="986"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89.2</w:t>
            </w:r>
          </w:p>
        </w:tc>
        <w:tc>
          <w:tcPr>
            <w:tcW w:w="985"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84.6</w:t>
            </w:r>
          </w:p>
        </w:tc>
        <w:tc>
          <w:tcPr>
            <w:tcW w:w="986" w:type="dxa"/>
            <w:tcBorders>
              <w:top w:val="single" w:sz="4" w:space="0" w:color="D5D6D2" w:themeColor="background2"/>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94.3</w:t>
            </w:r>
          </w:p>
        </w:tc>
        <w:tc>
          <w:tcPr>
            <w:tcW w:w="985" w:type="dxa"/>
            <w:tcBorders>
              <w:top w:val="single" w:sz="4" w:space="0" w:color="D5D6D2" w:themeColor="background2"/>
              <w:left w:val="nil"/>
              <w:bottom w:val="nil"/>
              <w:right w:val="nil"/>
            </w:tcBorders>
          </w:tcPr>
          <w:p w:rsidR="003E661C"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90.6</w:t>
            </w:r>
          </w:p>
        </w:tc>
        <w:tc>
          <w:tcPr>
            <w:tcW w:w="986" w:type="dxa"/>
            <w:tcBorders>
              <w:top w:val="single" w:sz="4" w:space="0" w:color="D5D6D2" w:themeColor="background2"/>
              <w:left w:val="nil"/>
              <w:bottom w:val="nil"/>
              <w:right w:val="nil"/>
            </w:tcBorders>
          </w:tcPr>
          <w:p w:rsidR="003E661C"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87.0</w:t>
            </w:r>
          </w:p>
        </w:tc>
        <w:tc>
          <w:tcPr>
            <w:tcW w:w="986" w:type="dxa"/>
            <w:tcBorders>
              <w:top w:val="single" w:sz="4" w:space="0" w:color="D5D6D2" w:themeColor="background2"/>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90.1</w:t>
            </w: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labour cost index</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79.3</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84.2</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88.3</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89.7</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92.8</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94.7</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101.2</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101.0</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103.9</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119.9</w:t>
            </w:r>
          </w:p>
        </w:tc>
        <w:tc>
          <w:tcPr>
            <w:tcW w:w="985" w:type="dxa"/>
            <w:tcBorders>
              <w:top w:val="nil"/>
              <w:left w:val="nil"/>
              <w:bottom w:val="nil"/>
              <w:right w:val="nil"/>
            </w:tcBorders>
          </w:tcPr>
          <w:p w:rsidR="003E661C"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121.0</w:t>
            </w:r>
          </w:p>
        </w:tc>
        <w:tc>
          <w:tcPr>
            <w:tcW w:w="986" w:type="dxa"/>
            <w:tcBorders>
              <w:top w:val="nil"/>
              <w:left w:val="nil"/>
              <w:bottom w:val="nil"/>
              <w:right w:val="nil"/>
            </w:tcBorders>
          </w:tcPr>
          <w:p w:rsidR="003E661C"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116.8</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113.5</w:t>
            </w: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equipment cost index</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73.2</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67.6</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71.4</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78.5</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87.6</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73.4</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76.4</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72.9</w:t>
            </w:r>
          </w:p>
        </w:tc>
        <w:tc>
          <w:tcPr>
            <w:tcW w:w="985"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65.8</w:t>
            </w:r>
          </w:p>
        </w:tc>
        <w:tc>
          <w:tcPr>
            <w:tcW w:w="986" w:type="dxa"/>
            <w:tcBorders>
              <w:top w:val="nil"/>
              <w:left w:val="nil"/>
              <w:bottom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67.8</w:t>
            </w:r>
          </w:p>
        </w:tc>
        <w:tc>
          <w:tcPr>
            <w:tcW w:w="985" w:type="dxa"/>
            <w:tcBorders>
              <w:top w:val="nil"/>
              <w:left w:val="nil"/>
              <w:bottom w:val="nil"/>
              <w:right w:val="nil"/>
            </w:tcBorders>
          </w:tcPr>
          <w:p w:rsidR="003E661C"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66.7</w:t>
            </w:r>
          </w:p>
        </w:tc>
        <w:tc>
          <w:tcPr>
            <w:tcW w:w="986" w:type="dxa"/>
            <w:tcBorders>
              <w:top w:val="nil"/>
              <w:left w:val="nil"/>
              <w:bottom w:val="nil"/>
              <w:right w:val="nil"/>
            </w:tcBorders>
          </w:tcPr>
          <w:p w:rsidR="003E661C"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67.3</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75.2</w:t>
            </w: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nil"/>
              <w:right w:val="nil"/>
            </w:tcBorders>
          </w:tcPr>
          <w:p w:rsidR="003E661C" w:rsidRDefault="003E661C" w:rsidP="00FD0948">
            <w:pPr>
              <w:pStyle w:val="Tabletextleft"/>
            </w:pPr>
            <w:r>
              <w:t>Total property cost index</w:t>
            </w:r>
          </w:p>
        </w:tc>
        <w:tc>
          <w:tcPr>
            <w:tcW w:w="985"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49.9</w:t>
            </w:r>
          </w:p>
        </w:tc>
        <w:tc>
          <w:tcPr>
            <w:tcW w:w="986"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47.4</w:t>
            </w:r>
          </w:p>
        </w:tc>
        <w:tc>
          <w:tcPr>
            <w:tcW w:w="985"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44.5</w:t>
            </w:r>
          </w:p>
        </w:tc>
        <w:tc>
          <w:tcPr>
            <w:tcW w:w="986"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54.2</w:t>
            </w:r>
          </w:p>
        </w:tc>
        <w:tc>
          <w:tcPr>
            <w:tcW w:w="985"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52.7</w:t>
            </w:r>
          </w:p>
        </w:tc>
        <w:tc>
          <w:tcPr>
            <w:tcW w:w="986"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53.5</w:t>
            </w:r>
          </w:p>
        </w:tc>
        <w:tc>
          <w:tcPr>
            <w:tcW w:w="985"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55.2</w:t>
            </w:r>
          </w:p>
        </w:tc>
        <w:tc>
          <w:tcPr>
            <w:tcW w:w="986"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54.8</w:t>
            </w:r>
          </w:p>
        </w:tc>
        <w:tc>
          <w:tcPr>
            <w:tcW w:w="985"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58.2</w:t>
            </w:r>
          </w:p>
        </w:tc>
        <w:tc>
          <w:tcPr>
            <w:tcW w:w="986" w:type="dxa"/>
            <w:tcBorders>
              <w:top w:val="nil"/>
              <w:left w:val="nil"/>
              <w:right w:val="nil"/>
            </w:tcBorders>
          </w:tcPr>
          <w:p w:rsidR="003E661C" w:rsidRDefault="00705FB1" w:rsidP="00FD0948">
            <w:pPr>
              <w:pStyle w:val="Tabletextright"/>
              <w:cnfStyle w:val="000000000000" w:firstRow="0" w:lastRow="0" w:firstColumn="0" w:lastColumn="0" w:oddVBand="0" w:evenVBand="0" w:oddHBand="0" w:evenHBand="0" w:firstRowFirstColumn="0" w:firstRowLastColumn="0" w:lastRowFirstColumn="0" w:lastRowLastColumn="0"/>
            </w:pPr>
            <w:r>
              <w:t>66.2</w:t>
            </w:r>
          </w:p>
        </w:tc>
        <w:tc>
          <w:tcPr>
            <w:tcW w:w="985" w:type="dxa"/>
            <w:tcBorders>
              <w:top w:val="nil"/>
              <w:left w:val="nil"/>
              <w:right w:val="nil"/>
            </w:tcBorders>
          </w:tcPr>
          <w:p w:rsidR="003E661C"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73.5</w:t>
            </w:r>
          </w:p>
        </w:tc>
        <w:tc>
          <w:tcPr>
            <w:tcW w:w="986" w:type="dxa"/>
            <w:tcBorders>
              <w:top w:val="nil"/>
              <w:left w:val="nil"/>
              <w:right w:val="nil"/>
            </w:tcBorders>
          </w:tcPr>
          <w:p w:rsidR="003E661C" w:rsidRDefault="00FC6C38" w:rsidP="00FD0948">
            <w:pPr>
              <w:pStyle w:val="Tabletextright"/>
              <w:cnfStyle w:val="000000000000" w:firstRow="0" w:lastRow="0" w:firstColumn="0" w:lastColumn="0" w:oddVBand="0" w:evenVBand="0" w:oddHBand="0" w:evenHBand="0" w:firstRowFirstColumn="0" w:firstRowLastColumn="0" w:lastRowFirstColumn="0" w:lastRowLastColumn="0"/>
            </w:pPr>
            <w:r>
              <w:t>68.6</w:t>
            </w:r>
          </w:p>
        </w:tc>
        <w:tc>
          <w:tcPr>
            <w:tcW w:w="986" w:type="dxa"/>
            <w:tcBorders>
              <w:top w:val="nil"/>
              <w:left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71.0</w:t>
            </w:r>
          </w:p>
        </w:tc>
      </w:tr>
    </w:tbl>
    <w:p w:rsidR="00BF7511" w:rsidRDefault="003E661C" w:rsidP="003E661C">
      <w:pPr>
        <w:pStyle w:val="Tabletitle"/>
      </w:pPr>
      <w:r>
        <w:t>Table C.1: Asciano (Patrick) trends in nominal cost components (per TEU) index</w:t>
      </w:r>
      <w:r w:rsidR="00705FB1">
        <w:t xml:space="preserve">, </w:t>
      </w:r>
      <w:r w:rsidR="00D8433D">
        <w:t>2002–03</w:t>
      </w:r>
      <w:r w:rsidR="00705FB1">
        <w:t xml:space="preserve"> to </w:t>
      </w:r>
      <w:r w:rsidR="00D8433D">
        <w:t>2014–15</w:t>
      </w:r>
      <w:r>
        <w:t>—continued</w:t>
      </w:r>
    </w:p>
    <w:tbl>
      <w:tblPr>
        <w:tblStyle w:val="LightShading"/>
        <w:tblW w:w="0" w:type="auto"/>
        <w:tblLook w:val="04A0" w:firstRow="1" w:lastRow="0" w:firstColumn="1" w:lastColumn="0" w:noHBand="0" w:noVBand="1"/>
      </w:tblPr>
      <w:tblGrid>
        <w:gridCol w:w="1526"/>
        <w:gridCol w:w="985"/>
        <w:gridCol w:w="986"/>
        <w:gridCol w:w="985"/>
        <w:gridCol w:w="986"/>
        <w:gridCol w:w="985"/>
        <w:gridCol w:w="986"/>
        <w:gridCol w:w="985"/>
        <w:gridCol w:w="986"/>
        <w:gridCol w:w="985"/>
        <w:gridCol w:w="986"/>
        <w:gridCol w:w="985"/>
        <w:gridCol w:w="986"/>
        <w:gridCol w:w="986"/>
      </w:tblGrid>
      <w:tr w:rsidR="003E661C" w:rsidTr="00922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il"/>
            </w:tcBorders>
            <w:shd w:val="clear" w:color="auto" w:fill="F2F2F2" w:themeFill="background1" w:themeFillShade="F2"/>
          </w:tcPr>
          <w:p w:rsidR="003E661C" w:rsidRDefault="003E661C" w:rsidP="00FD0948">
            <w:pPr>
              <w:pStyle w:val="Tabletextleft"/>
            </w:pP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2002–03</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2003–04</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2004–05</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2005–06</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2006–07</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2007–08</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2008–09</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2009–10</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2010–11</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2011–12</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2012–13</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2013–14</w:t>
            </w:r>
          </w:p>
        </w:tc>
        <w:tc>
          <w:tcPr>
            <w:tcW w:w="986" w:type="dxa"/>
            <w:tcBorders>
              <w:lef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2014–15</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D5D6D2" w:themeColor="background2"/>
              <w:right w:val="nil"/>
            </w:tcBorders>
            <w:shd w:val="clear" w:color="auto" w:fill="F2F2F2" w:themeFill="background1" w:themeFillShade="F2"/>
          </w:tcPr>
          <w:p w:rsidR="003E661C" w:rsidRDefault="003E661C" w:rsidP="00FD0948">
            <w:pPr>
              <w:pStyle w:val="Tabletextleft"/>
            </w:pPr>
            <w:r>
              <w:t>Melbourne</w:t>
            </w: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3E661C" w:rsidRDefault="003E661C" w:rsidP="00FD0948">
            <w:pPr>
              <w:pStyle w:val="Tabletextleft"/>
            </w:pPr>
            <w:r>
              <w:t>Stevedoring cost index</w:t>
            </w:r>
          </w:p>
        </w:tc>
        <w:tc>
          <w:tcPr>
            <w:tcW w:w="985"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80.6</w:t>
            </w:r>
          </w:p>
        </w:tc>
        <w:tc>
          <w:tcPr>
            <w:tcW w:w="986"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80.1</w:t>
            </w:r>
          </w:p>
        </w:tc>
        <w:tc>
          <w:tcPr>
            <w:tcW w:w="985"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81.7</w:t>
            </w:r>
          </w:p>
        </w:tc>
        <w:tc>
          <w:tcPr>
            <w:tcW w:w="986"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79.0</w:t>
            </w:r>
          </w:p>
        </w:tc>
        <w:tc>
          <w:tcPr>
            <w:tcW w:w="985"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74.2</w:t>
            </w:r>
          </w:p>
        </w:tc>
        <w:tc>
          <w:tcPr>
            <w:tcW w:w="986"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73.5</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75.9</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79.6</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79.4</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74.4</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73.4</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76.3</w:t>
            </w:r>
          </w:p>
        </w:tc>
        <w:tc>
          <w:tcPr>
            <w:tcW w:w="986" w:type="dxa"/>
            <w:tcBorders>
              <w:top w:val="single" w:sz="4" w:space="0" w:color="D5D6D2" w:themeColor="background2"/>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74.8</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labour cost index</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79.8</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86.1</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92.8</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88.9</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89.8</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88.5</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87.5</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90.2</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94.2</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92.0</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94.6</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100.4</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104.4</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equipment cost index</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78.8</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68.7</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67.1</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69.6</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67.6</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65.4</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68.0</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61.8</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63.6</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60.4</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62.3</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60.0</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52.2</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4" w:space="0" w:color="D5D6D2" w:themeColor="background2"/>
              <w:right w:val="nil"/>
            </w:tcBorders>
          </w:tcPr>
          <w:p w:rsidR="003E661C" w:rsidRDefault="003E661C" w:rsidP="00FD0948">
            <w:pPr>
              <w:pStyle w:val="Tabletextleft"/>
            </w:pPr>
            <w:r>
              <w:t>Total property cost index</w:t>
            </w:r>
          </w:p>
        </w:tc>
        <w:tc>
          <w:tcPr>
            <w:tcW w:w="985" w:type="dxa"/>
            <w:tcBorders>
              <w:top w:val="nil"/>
              <w:left w:val="nil"/>
              <w:bottom w:val="single" w:sz="4" w:space="0" w:color="D5D6D2" w:themeColor="background2"/>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47.1</w:t>
            </w:r>
          </w:p>
        </w:tc>
        <w:tc>
          <w:tcPr>
            <w:tcW w:w="986" w:type="dxa"/>
            <w:tcBorders>
              <w:top w:val="nil"/>
              <w:left w:val="nil"/>
              <w:bottom w:val="single" w:sz="4" w:space="0" w:color="D5D6D2" w:themeColor="background2"/>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38.6</w:t>
            </w:r>
          </w:p>
        </w:tc>
        <w:tc>
          <w:tcPr>
            <w:tcW w:w="985" w:type="dxa"/>
            <w:tcBorders>
              <w:top w:val="nil"/>
              <w:left w:val="nil"/>
              <w:bottom w:val="single" w:sz="4" w:space="0" w:color="D5D6D2" w:themeColor="background2"/>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35.4</w:t>
            </w:r>
          </w:p>
        </w:tc>
        <w:tc>
          <w:tcPr>
            <w:tcW w:w="986" w:type="dxa"/>
            <w:tcBorders>
              <w:top w:val="nil"/>
              <w:left w:val="nil"/>
              <w:bottom w:val="single" w:sz="4" w:space="0" w:color="D5D6D2" w:themeColor="background2"/>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32.9</w:t>
            </w:r>
          </w:p>
        </w:tc>
        <w:tc>
          <w:tcPr>
            <w:tcW w:w="985" w:type="dxa"/>
            <w:tcBorders>
              <w:top w:val="nil"/>
              <w:left w:val="nil"/>
              <w:bottom w:val="single" w:sz="4" w:space="0" w:color="D5D6D2" w:themeColor="background2"/>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37.5</w:t>
            </w:r>
          </w:p>
        </w:tc>
        <w:tc>
          <w:tcPr>
            <w:tcW w:w="986" w:type="dxa"/>
            <w:tcBorders>
              <w:top w:val="nil"/>
              <w:left w:val="nil"/>
              <w:bottom w:val="single" w:sz="4" w:space="0" w:color="D5D6D2" w:themeColor="background2"/>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32.9</w:t>
            </w:r>
          </w:p>
        </w:tc>
        <w:tc>
          <w:tcPr>
            <w:tcW w:w="985"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37.3</w:t>
            </w:r>
          </w:p>
        </w:tc>
        <w:tc>
          <w:tcPr>
            <w:tcW w:w="986"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38.1</w:t>
            </w:r>
          </w:p>
        </w:tc>
        <w:tc>
          <w:tcPr>
            <w:tcW w:w="985"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39.4</w:t>
            </w:r>
          </w:p>
        </w:tc>
        <w:tc>
          <w:tcPr>
            <w:tcW w:w="986"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36.8</w:t>
            </w:r>
          </w:p>
        </w:tc>
        <w:tc>
          <w:tcPr>
            <w:tcW w:w="985"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42.0</w:t>
            </w:r>
          </w:p>
        </w:tc>
        <w:tc>
          <w:tcPr>
            <w:tcW w:w="986"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44.7</w:t>
            </w:r>
          </w:p>
        </w:tc>
        <w:tc>
          <w:tcPr>
            <w:tcW w:w="986" w:type="dxa"/>
            <w:tcBorders>
              <w:top w:val="nil"/>
              <w:left w:val="nil"/>
              <w:bottom w:val="single" w:sz="4" w:space="0" w:color="D5D6D2" w:themeColor="background2"/>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44.7</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single" w:sz="4" w:space="0" w:color="D5D6D2" w:themeColor="background2"/>
              <w:right w:val="nil"/>
            </w:tcBorders>
            <w:shd w:val="clear" w:color="auto" w:fill="F2F2F2" w:themeFill="background1" w:themeFillShade="F2"/>
          </w:tcPr>
          <w:p w:rsidR="003E661C" w:rsidRDefault="003E661C" w:rsidP="00FD0948">
            <w:pPr>
              <w:pStyle w:val="Tabletextleft"/>
            </w:pPr>
            <w:r>
              <w:t>Fremantle</w:t>
            </w: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3E661C" w:rsidRDefault="003E661C" w:rsidP="00FD0948">
            <w:pPr>
              <w:pStyle w:val="Tabletextleft"/>
            </w:pPr>
            <w:r>
              <w:t>Stevedoring cost index</w:t>
            </w:r>
          </w:p>
        </w:tc>
        <w:tc>
          <w:tcPr>
            <w:tcW w:w="985"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68.7</w:t>
            </w:r>
          </w:p>
        </w:tc>
        <w:tc>
          <w:tcPr>
            <w:tcW w:w="986"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73.7</w:t>
            </w:r>
          </w:p>
        </w:tc>
        <w:tc>
          <w:tcPr>
            <w:tcW w:w="985"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83.0</w:t>
            </w:r>
          </w:p>
        </w:tc>
        <w:tc>
          <w:tcPr>
            <w:tcW w:w="986"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86.1</w:t>
            </w:r>
          </w:p>
        </w:tc>
        <w:tc>
          <w:tcPr>
            <w:tcW w:w="985" w:type="dxa"/>
            <w:tcBorders>
              <w:top w:val="single" w:sz="4" w:space="0" w:color="D5D6D2" w:themeColor="background2"/>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78.3</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80.6</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90.1</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90.3</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83.3</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77.7</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78.1</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81.1</w:t>
            </w:r>
          </w:p>
        </w:tc>
        <w:tc>
          <w:tcPr>
            <w:tcW w:w="986" w:type="dxa"/>
            <w:tcBorders>
              <w:top w:val="single" w:sz="4" w:space="0" w:color="D5D6D2" w:themeColor="background2"/>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78.8</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labour cost index</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60.5</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70.3</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85.7</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89.4</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84.5</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84.9</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93.5</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94.6</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87.8</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85.2</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92.9</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98.5</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95.1</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equipment cost index</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53.2</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51.6</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52.7</w:t>
            </w:r>
          </w:p>
        </w:tc>
        <w:tc>
          <w:tcPr>
            <w:tcW w:w="986"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52.0</w:t>
            </w:r>
          </w:p>
        </w:tc>
        <w:tc>
          <w:tcPr>
            <w:tcW w:w="985" w:type="dxa"/>
            <w:tcBorders>
              <w:top w:val="nil"/>
              <w:left w:val="nil"/>
              <w:bottom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54.8</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67.4</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76.7</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62.3</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62.5</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56.3</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56.6</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54.5</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52.6</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right w:val="nil"/>
            </w:tcBorders>
          </w:tcPr>
          <w:p w:rsidR="003E661C" w:rsidRDefault="003E661C" w:rsidP="00FD0948">
            <w:pPr>
              <w:pStyle w:val="Tabletextleft"/>
            </w:pPr>
            <w:r>
              <w:t>Total property cost index</w:t>
            </w:r>
          </w:p>
        </w:tc>
        <w:tc>
          <w:tcPr>
            <w:tcW w:w="985" w:type="dxa"/>
            <w:tcBorders>
              <w:top w:val="nil"/>
              <w:left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90.5</w:t>
            </w:r>
          </w:p>
        </w:tc>
        <w:tc>
          <w:tcPr>
            <w:tcW w:w="986" w:type="dxa"/>
            <w:tcBorders>
              <w:top w:val="nil"/>
              <w:left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101.5</w:t>
            </w:r>
          </w:p>
        </w:tc>
        <w:tc>
          <w:tcPr>
            <w:tcW w:w="985" w:type="dxa"/>
            <w:tcBorders>
              <w:top w:val="nil"/>
              <w:left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115.4</w:t>
            </w:r>
          </w:p>
        </w:tc>
        <w:tc>
          <w:tcPr>
            <w:tcW w:w="986" w:type="dxa"/>
            <w:tcBorders>
              <w:top w:val="nil"/>
              <w:left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133.6</w:t>
            </w:r>
          </w:p>
        </w:tc>
        <w:tc>
          <w:tcPr>
            <w:tcW w:w="985" w:type="dxa"/>
            <w:tcBorders>
              <w:top w:val="nil"/>
              <w:left w:val="nil"/>
              <w:right w:val="nil"/>
            </w:tcBorders>
          </w:tcPr>
          <w:p w:rsidR="003E661C" w:rsidRDefault="00AE61CE" w:rsidP="00FD0948">
            <w:pPr>
              <w:pStyle w:val="Tabletextright"/>
              <w:cnfStyle w:val="000000000000" w:firstRow="0" w:lastRow="0" w:firstColumn="0" w:lastColumn="0" w:oddVBand="0" w:evenVBand="0" w:oddHBand="0" w:evenHBand="0" w:firstRowFirstColumn="0" w:firstRowLastColumn="0" w:lastRowFirstColumn="0" w:lastRowLastColumn="0"/>
            </w:pPr>
            <w:r>
              <w:t>147.4</w:t>
            </w:r>
          </w:p>
        </w:tc>
        <w:tc>
          <w:tcPr>
            <w:tcW w:w="986" w:type="dxa"/>
            <w:tcBorders>
              <w:top w:val="nil"/>
              <w:left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149.5</w:t>
            </w:r>
          </w:p>
        </w:tc>
        <w:tc>
          <w:tcPr>
            <w:tcW w:w="985" w:type="dxa"/>
            <w:tcBorders>
              <w:top w:val="nil"/>
              <w:left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149.0</w:t>
            </w:r>
          </w:p>
        </w:tc>
        <w:tc>
          <w:tcPr>
            <w:tcW w:w="986" w:type="dxa"/>
            <w:tcBorders>
              <w:top w:val="nil"/>
              <w:left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142.6</w:t>
            </w:r>
          </w:p>
        </w:tc>
        <w:tc>
          <w:tcPr>
            <w:tcW w:w="985" w:type="dxa"/>
            <w:tcBorders>
              <w:top w:val="nil"/>
              <w:left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120.6</w:t>
            </w:r>
          </w:p>
        </w:tc>
        <w:tc>
          <w:tcPr>
            <w:tcW w:w="986" w:type="dxa"/>
            <w:tcBorders>
              <w:top w:val="nil"/>
              <w:left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102.1</w:t>
            </w:r>
          </w:p>
        </w:tc>
        <w:tc>
          <w:tcPr>
            <w:tcW w:w="985" w:type="dxa"/>
            <w:tcBorders>
              <w:top w:val="nil"/>
              <w:left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99.4</w:t>
            </w:r>
          </w:p>
        </w:tc>
        <w:tc>
          <w:tcPr>
            <w:tcW w:w="986" w:type="dxa"/>
            <w:tcBorders>
              <w:top w:val="nil"/>
              <w:left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97.5</w:t>
            </w:r>
          </w:p>
        </w:tc>
        <w:tc>
          <w:tcPr>
            <w:tcW w:w="986" w:type="dxa"/>
            <w:tcBorders>
              <w:top w:val="nil"/>
              <w:left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88.3</w:t>
            </w:r>
          </w:p>
        </w:tc>
      </w:tr>
    </w:tbl>
    <w:p w:rsidR="003E661C" w:rsidRDefault="003E661C" w:rsidP="003E661C"/>
    <w:p w:rsidR="003E661C" w:rsidRDefault="003E661C">
      <w:r>
        <w:br w:type="page"/>
      </w:r>
    </w:p>
    <w:p w:rsidR="003E661C" w:rsidRDefault="003E661C" w:rsidP="003E661C">
      <w:pPr>
        <w:pStyle w:val="Tabletitle"/>
      </w:pPr>
      <w:r>
        <w:t>Table C.1: Asciano (Patrick) trends in nominal cost components (per TEU) index</w:t>
      </w:r>
      <w:r w:rsidR="00705FB1">
        <w:t xml:space="preserve">, </w:t>
      </w:r>
      <w:r w:rsidR="00D8433D">
        <w:t>2002–03</w:t>
      </w:r>
      <w:r w:rsidR="00705FB1">
        <w:t xml:space="preserve"> to </w:t>
      </w:r>
      <w:r w:rsidR="00D8433D">
        <w:t>2014–15</w:t>
      </w:r>
      <w:r>
        <w:t>—continued</w:t>
      </w:r>
    </w:p>
    <w:tbl>
      <w:tblPr>
        <w:tblStyle w:val="LightShading"/>
        <w:tblW w:w="0" w:type="auto"/>
        <w:tblLook w:val="04A0" w:firstRow="1" w:lastRow="0" w:firstColumn="1" w:lastColumn="0" w:noHBand="0" w:noVBand="1"/>
      </w:tblPr>
      <w:tblGrid>
        <w:gridCol w:w="1526"/>
        <w:gridCol w:w="985"/>
        <w:gridCol w:w="986"/>
        <w:gridCol w:w="985"/>
        <w:gridCol w:w="986"/>
        <w:gridCol w:w="985"/>
        <w:gridCol w:w="986"/>
        <w:gridCol w:w="985"/>
        <w:gridCol w:w="986"/>
        <w:gridCol w:w="985"/>
        <w:gridCol w:w="986"/>
        <w:gridCol w:w="985"/>
        <w:gridCol w:w="986"/>
        <w:gridCol w:w="986"/>
      </w:tblGrid>
      <w:tr w:rsidR="003E661C" w:rsidTr="00922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il"/>
            </w:tcBorders>
            <w:shd w:val="clear" w:color="auto" w:fill="F2F2F2" w:themeFill="background1" w:themeFillShade="F2"/>
          </w:tcPr>
          <w:p w:rsidR="003E661C" w:rsidRDefault="003E661C" w:rsidP="00FD0948">
            <w:pPr>
              <w:pStyle w:val="Tabletextleft"/>
            </w:pP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2002–03</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2003–04</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2004–05</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2005–06</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2006–07</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2007–08</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2008–09</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2009–10</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2010–11</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2011–12</w:t>
            </w:r>
          </w:p>
        </w:tc>
        <w:tc>
          <w:tcPr>
            <w:tcW w:w="985"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2012–13</w:t>
            </w:r>
          </w:p>
        </w:tc>
        <w:tc>
          <w:tcPr>
            <w:tcW w:w="986" w:type="dxa"/>
            <w:tcBorders>
              <w:left w:val="nil"/>
              <w:righ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2013–14</w:t>
            </w:r>
          </w:p>
        </w:tc>
        <w:tc>
          <w:tcPr>
            <w:tcW w:w="986" w:type="dxa"/>
            <w:tcBorders>
              <w:left w:val="nil"/>
            </w:tcBorders>
            <w:shd w:val="clear" w:color="auto" w:fill="F2F2F2" w:themeFill="background1" w:themeFillShade="F2"/>
          </w:tcPr>
          <w:p w:rsidR="003E661C"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2014–15</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D5D6D2" w:themeColor="background2"/>
              <w:right w:val="nil"/>
            </w:tcBorders>
            <w:shd w:val="clear" w:color="auto" w:fill="F2F2F2" w:themeFill="background1" w:themeFillShade="F2"/>
          </w:tcPr>
          <w:p w:rsidR="003E661C" w:rsidRDefault="003E661C" w:rsidP="00FD0948">
            <w:pPr>
              <w:pStyle w:val="Tabletextleft"/>
            </w:pPr>
            <w:r>
              <w:t>Burnie#</w:t>
            </w: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3E661C" w:rsidRDefault="003E661C" w:rsidP="00FD0948">
            <w:pPr>
              <w:pStyle w:val="Tabletextleft"/>
            </w:pPr>
            <w:r>
              <w:t>Stevedoring cost index</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92.9</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82.5</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96.1</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109.7</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100.4</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101.8</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117.9</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119.5</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159.8</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6" w:type="dxa"/>
            <w:tcBorders>
              <w:top w:val="single" w:sz="4" w:space="0" w:color="D5D6D2" w:themeColor="background2"/>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labour cost index</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84.3</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79.1</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107.3</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117.7</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109.8</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116.2</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135.8</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122.0</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195.9</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equipment cost index</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111.1</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103.7</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112.2</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147.4</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130.7</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134.4</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140.4</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135.3</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210.1</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4" w:space="0" w:color="D5D6D2" w:themeColor="background2"/>
              <w:right w:val="nil"/>
            </w:tcBorders>
          </w:tcPr>
          <w:p w:rsidR="003E661C" w:rsidRDefault="003E661C" w:rsidP="00FD0948">
            <w:pPr>
              <w:pStyle w:val="Tabletextleft"/>
            </w:pPr>
            <w:r>
              <w:t>Total property cost index</w:t>
            </w:r>
          </w:p>
        </w:tc>
        <w:tc>
          <w:tcPr>
            <w:tcW w:w="985"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75.0</w:t>
            </w:r>
          </w:p>
        </w:tc>
        <w:tc>
          <w:tcPr>
            <w:tcW w:w="986"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52.5</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76.7</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109.4</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103.2</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225.3</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455.3</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576.0</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872.8</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c>
          <w:tcPr>
            <w:tcW w:w="986" w:type="dxa"/>
            <w:tcBorders>
              <w:top w:val="nil"/>
              <w:left w:val="nil"/>
              <w:bottom w:val="single" w:sz="4" w:space="0" w:color="D5D6D2" w:themeColor="background2"/>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NA</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single" w:sz="4" w:space="0" w:color="D5D6D2" w:themeColor="background2"/>
              <w:right w:val="nil"/>
            </w:tcBorders>
            <w:shd w:val="clear" w:color="auto" w:fill="F2F2F2" w:themeFill="background1" w:themeFillShade="F2"/>
          </w:tcPr>
          <w:p w:rsidR="003E661C" w:rsidRDefault="003E661C" w:rsidP="00FD0948">
            <w:pPr>
              <w:pStyle w:val="Tabletextleft"/>
            </w:pPr>
            <w:r>
              <w:t>National</w:t>
            </w: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tcBorders>
            <w:shd w:val="clear" w:color="auto" w:fill="F2F2F2" w:themeFill="background1" w:themeFillShade="F2"/>
          </w:tcPr>
          <w:p w:rsidR="003E661C" w:rsidRDefault="003E661C"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3E661C" w:rsidRDefault="003E661C" w:rsidP="00FD0948">
            <w:pPr>
              <w:pStyle w:val="Tabletextleft"/>
            </w:pPr>
            <w:r>
              <w:t>Stevedoring cost index</w:t>
            </w:r>
          </w:p>
        </w:tc>
        <w:tc>
          <w:tcPr>
            <w:tcW w:w="985"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79.1</w:t>
            </w:r>
          </w:p>
        </w:tc>
        <w:tc>
          <w:tcPr>
            <w:tcW w:w="986" w:type="dxa"/>
            <w:tcBorders>
              <w:top w:val="single" w:sz="4" w:space="0" w:color="D5D6D2" w:themeColor="background2"/>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79.2</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81.2</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81.8</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78.5</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77.2</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83.2</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86.9</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85.2</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84.1</w:t>
            </w:r>
          </w:p>
        </w:tc>
        <w:tc>
          <w:tcPr>
            <w:tcW w:w="985"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81.1</w:t>
            </w:r>
          </w:p>
        </w:tc>
        <w:tc>
          <w:tcPr>
            <w:tcW w:w="986" w:type="dxa"/>
            <w:tcBorders>
              <w:top w:val="single" w:sz="4" w:space="0" w:color="D5D6D2" w:themeColor="background2"/>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82.1</w:t>
            </w:r>
          </w:p>
        </w:tc>
        <w:tc>
          <w:tcPr>
            <w:tcW w:w="986" w:type="dxa"/>
            <w:tcBorders>
              <w:top w:val="single" w:sz="4" w:space="0" w:color="D5D6D2" w:themeColor="background2"/>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81.9</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labour cost index</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77.7</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83.9</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89.6</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89.5</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87.3</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86.8</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92.1</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90.2</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93.3</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96.2</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98.2</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101.0</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100.4</w:t>
            </w:r>
          </w:p>
        </w:tc>
      </w:tr>
      <w:tr w:rsidR="003E661C" w:rsidTr="009229A6">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3E661C" w:rsidRDefault="003E661C" w:rsidP="00FD0948">
            <w:pPr>
              <w:pStyle w:val="Tabletextleft"/>
            </w:pPr>
            <w:r>
              <w:t>Total equipment cost index</w:t>
            </w:r>
          </w:p>
        </w:tc>
        <w:tc>
          <w:tcPr>
            <w:tcW w:w="985"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73.5</w:t>
            </w:r>
          </w:p>
        </w:tc>
        <w:tc>
          <w:tcPr>
            <w:tcW w:w="986" w:type="dxa"/>
            <w:tcBorders>
              <w:top w:val="nil"/>
              <w:left w:val="nil"/>
              <w:bottom w:val="nil"/>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65.9</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66.1</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72.4</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79.0</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74.7</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79.6</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78.5</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78.0</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73.3</w:t>
            </w:r>
          </w:p>
        </w:tc>
        <w:tc>
          <w:tcPr>
            <w:tcW w:w="985"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70.6</w:t>
            </w:r>
          </w:p>
        </w:tc>
        <w:tc>
          <w:tcPr>
            <w:tcW w:w="986" w:type="dxa"/>
            <w:tcBorders>
              <w:top w:val="nil"/>
              <w:left w:val="nil"/>
              <w:bottom w:val="nil"/>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69.2</w:t>
            </w:r>
          </w:p>
        </w:tc>
        <w:tc>
          <w:tcPr>
            <w:tcW w:w="986" w:type="dxa"/>
            <w:tcBorders>
              <w:top w:val="nil"/>
              <w:left w:val="nil"/>
              <w:bottom w:val="nil"/>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67.7</w:t>
            </w: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4" w:space="0" w:color="D5D6D2" w:themeColor="background2"/>
              <w:right w:val="nil"/>
            </w:tcBorders>
          </w:tcPr>
          <w:p w:rsidR="003E661C" w:rsidRDefault="003E661C" w:rsidP="00FD0948">
            <w:pPr>
              <w:pStyle w:val="Tabletextleft"/>
            </w:pPr>
            <w:r>
              <w:t>Total property cost index</w:t>
            </w:r>
          </w:p>
        </w:tc>
        <w:tc>
          <w:tcPr>
            <w:tcW w:w="985"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53.2</w:t>
            </w:r>
          </w:p>
        </w:tc>
        <w:tc>
          <w:tcPr>
            <w:tcW w:w="986" w:type="dxa"/>
            <w:tcBorders>
              <w:top w:val="nil"/>
              <w:left w:val="nil"/>
              <w:bottom w:val="single" w:sz="4" w:space="0" w:color="D5D6D2" w:themeColor="background2"/>
              <w:right w:val="nil"/>
            </w:tcBorders>
          </w:tcPr>
          <w:p w:rsidR="003E661C" w:rsidRDefault="009229A6" w:rsidP="00FD0948">
            <w:pPr>
              <w:pStyle w:val="Tabletextright"/>
              <w:cnfStyle w:val="000000000000" w:firstRow="0" w:lastRow="0" w:firstColumn="0" w:lastColumn="0" w:oddVBand="0" w:evenVBand="0" w:oddHBand="0" w:evenHBand="0" w:firstRowFirstColumn="0" w:firstRowLastColumn="0" w:lastRowFirstColumn="0" w:lastRowLastColumn="0"/>
            </w:pPr>
            <w:r>
              <w:t>48.6</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46.1</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47.7</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48.7</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47.0</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52.3</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57.4</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61.2</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66.0</w:t>
            </w:r>
          </w:p>
        </w:tc>
        <w:tc>
          <w:tcPr>
            <w:tcW w:w="985"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70.4</w:t>
            </w:r>
          </w:p>
        </w:tc>
        <w:tc>
          <w:tcPr>
            <w:tcW w:w="986" w:type="dxa"/>
            <w:tcBorders>
              <w:top w:val="nil"/>
              <w:left w:val="nil"/>
              <w:bottom w:val="single" w:sz="4" w:space="0" w:color="D5D6D2" w:themeColor="background2"/>
              <w:right w:val="nil"/>
            </w:tcBorders>
          </w:tcPr>
          <w:p w:rsidR="003E661C"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r>
              <w:t>70.1</w:t>
            </w:r>
          </w:p>
        </w:tc>
        <w:tc>
          <w:tcPr>
            <w:tcW w:w="986" w:type="dxa"/>
            <w:tcBorders>
              <w:top w:val="nil"/>
              <w:left w:val="nil"/>
              <w:bottom w:val="single" w:sz="4" w:space="0" w:color="D5D6D2" w:themeColor="background2"/>
            </w:tcBorders>
          </w:tcPr>
          <w:p w:rsidR="003E661C" w:rsidRDefault="00A262F6" w:rsidP="00FD0948">
            <w:pPr>
              <w:pStyle w:val="Tabletextright"/>
              <w:cnfStyle w:val="000000000000" w:firstRow="0" w:lastRow="0" w:firstColumn="0" w:lastColumn="0" w:oddVBand="0" w:evenVBand="0" w:oddHBand="0" w:evenHBand="0" w:firstRowFirstColumn="0" w:firstRowLastColumn="0" w:lastRowFirstColumn="0" w:lastRowLastColumn="0"/>
            </w:pPr>
            <w:r>
              <w:t>69.9</w:t>
            </w:r>
          </w:p>
        </w:tc>
      </w:tr>
      <w:tr w:rsidR="003E661C" w:rsidTr="003E661C">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right w:val="nil"/>
            </w:tcBorders>
            <w:shd w:val="clear" w:color="auto" w:fill="F2F2F2" w:themeFill="background1" w:themeFillShade="F2"/>
          </w:tcPr>
          <w:p w:rsidR="003E661C" w:rsidRDefault="003E661C" w:rsidP="00FD0948">
            <w:pPr>
              <w:pStyle w:val="Tabletextleft"/>
            </w:pPr>
            <w:r>
              <w:t>Total cost* index</w:t>
            </w:r>
          </w:p>
        </w:tc>
        <w:tc>
          <w:tcPr>
            <w:tcW w:w="985" w:type="dxa"/>
            <w:tcBorders>
              <w:top w:val="single" w:sz="4" w:space="0" w:color="D5D6D2" w:themeColor="background2"/>
              <w:left w:val="nil"/>
              <w:right w:val="nil"/>
            </w:tcBorders>
            <w:shd w:val="clear" w:color="auto" w:fill="F2F2F2" w:themeFill="background1" w:themeFillShade="F2"/>
          </w:tcPr>
          <w:p w:rsidR="003E661C" w:rsidRDefault="009229A6" w:rsidP="009229A6">
            <w:pPr>
              <w:pStyle w:val="Tabletextheadingright"/>
              <w:cnfStyle w:val="000000000000" w:firstRow="0" w:lastRow="0" w:firstColumn="0" w:lastColumn="0" w:oddVBand="0" w:evenVBand="0" w:oddHBand="0" w:evenHBand="0" w:firstRowFirstColumn="0" w:firstRowLastColumn="0" w:lastRowFirstColumn="0" w:lastRowLastColumn="0"/>
            </w:pPr>
            <w:r>
              <w:t>77.7</w:t>
            </w:r>
          </w:p>
        </w:tc>
        <w:tc>
          <w:tcPr>
            <w:tcW w:w="986" w:type="dxa"/>
            <w:tcBorders>
              <w:top w:val="single" w:sz="4" w:space="0" w:color="D5D6D2" w:themeColor="background2"/>
              <w:left w:val="nil"/>
              <w:right w:val="nil"/>
            </w:tcBorders>
            <w:shd w:val="clear" w:color="auto" w:fill="F2F2F2" w:themeFill="background1" w:themeFillShade="F2"/>
          </w:tcPr>
          <w:p w:rsidR="003E661C" w:rsidRDefault="009229A6" w:rsidP="009229A6">
            <w:pPr>
              <w:pStyle w:val="Tabletextheadingright"/>
              <w:cnfStyle w:val="000000000000" w:firstRow="0" w:lastRow="0" w:firstColumn="0" w:lastColumn="0" w:oddVBand="0" w:evenVBand="0" w:oddHBand="0" w:evenHBand="0" w:firstRowFirstColumn="0" w:firstRowLastColumn="0" w:lastRowFirstColumn="0" w:lastRowLastColumn="0"/>
            </w:pPr>
            <w:r>
              <w:t>78.2</w:t>
            </w:r>
          </w:p>
        </w:tc>
        <w:tc>
          <w:tcPr>
            <w:tcW w:w="985"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80.6</w:t>
            </w:r>
          </w:p>
        </w:tc>
        <w:tc>
          <w:tcPr>
            <w:tcW w:w="986"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82.7</w:t>
            </w:r>
          </w:p>
        </w:tc>
        <w:tc>
          <w:tcPr>
            <w:tcW w:w="985"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79.0</w:t>
            </w:r>
          </w:p>
        </w:tc>
        <w:tc>
          <w:tcPr>
            <w:tcW w:w="986"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77.4</w:t>
            </w:r>
          </w:p>
        </w:tc>
        <w:tc>
          <w:tcPr>
            <w:tcW w:w="985"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82.9</w:t>
            </w:r>
          </w:p>
        </w:tc>
        <w:tc>
          <w:tcPr>
            <w:tcW w:w="986"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82.6</w:t>
            </w:r>
          </w:p>
        </w:tc>
        <w:tc>
          <w:tcPr>
            <w:tcW w:w="985"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83.8</w:t>
            </w:r>
          </w:p>
        </w:tc>
        <w:tc>
          <w:tcPr>
            <w:tcW w:w="986"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85.3</w:t>
            </w:r>
          </w:p>
        </w:tc>
        <w:tc>
          <w:tcPr>
            <w:tcW w:w="985"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83.0</w:t>
            </w:r>
          </w:p>
        </w:tc>
        <w:tc>
          <w:tcPr>
            <w:tcW w:w="986" w:type="dxa"/>
            <w:tcBorders>
              <w:top w:val="single" w:sz="4" w:space="0" w:color="D5D6D2" w:themeColor="background2"/>
              <w:left w:val="nil"/>
              <w:right w:val="nil"/>
            </w:tcBorders>
            <w:shd w:val="clear" w:color="auto" w:fill="F2F2F2" w:themeFill="background1" w:themeFillShade="F2"/>
          </w:tcPr>
          <w:p w:rsidR="003E661C" w:rsidRDefault="009A453D" w:rsidP="009229A6">
            <w:pPr>
              <w:pStyle w:val="Tabletextheadingright"/>
              <w:cnfStyle w:val="000000000000" w:firstRow="0" w:lastRow="0" w:firstColumn="0" w:lastColumn="0" w:oddVBand="0" w:evenVBand="0" w:oddHBand="0" w:evenHBand="0" w:firstRowFirstColumn="0" w:firstRowLastColumn="0" w:lastRowFirstColumn="0" w:lastRowLastColumn="0"/>
            </w:pPr>
            <w:r>
              <w:t>83.8</w:t>
            </w:r>
          </w:p>
        </w:tc>
        <w:tc>
          <w:tcPr>
            <w:tcW w:w="986" w:type="dxa"/>
            <w:tcBorders>
              <w:top w:val="single" w:sz="4" w:space="0" w:color="D5D6D2" w:themeColor="background2"/>
              <w:left w:val="nil"/>
            </w:tcBorders>
            <w:shd w:val="clear" w:color="auto" w:fill="F2F2F2" w:themeFill="background1" w:themeFillShade="F2"/>
          </w:tcPr>
          <w:p w:rsidR="003E661C" w:rsidRDefault="00745BE7" w:rsidP="009229A6">
            <w:pPr>
              <w:pStyle w:val="Tabletextheadingright"/>
              <w:cnfStyle w:val="000000000000" w:firstRow="0" w:lastRow="0" w:firstColumn="0" w:lastColumn="0" w:oddVBand="0" w:evenVBand="0" w:oddHBand="0" w:evenHBand="0" w:firstRowFirstColumn="0" w:firstRowLastColumn="0" w:lastRowFirstColumn="0" w:lastRowLastColumn="0"/>
            </w:pPr>
            <w:r>
              <w:t>83.3</w:t>
            </w:r>
          </w:p>
        </w:tc>
      </w:tr>
    </w:tbl>
    <w:p w:rsidR="00FC6C38" w:rsidRDefault="003E661C" w:rsidP="00FC6C38">
      <w:pPr>
        <w:pStyle w:val="Source"/>
      </w:pPr>
      <w:r>
        <w:t xml:space="preserve">Base year is </w:t>
      </w:r>
      <w:r w:rsidR="00D8433D">
        <w:t>1998–99</w:t>
      </w:r>
      <w:r w:rsidR="00665A98">
        <w:t xml:space="preserve"> </w:t>
      </w:r>
      <w:r>
        <w:t>=</w:t>
      </w:r>
      <w:r w:rsidR="00665A98">
        <w:t xml:space="preserve"> </w:t>
      </w:r>
      <w:r>
        <w:t xml:space="preserve">100. Index estimates for </w:t>
      </w:r>
      <w:r w:rsidR="00D8433D">
        <w:t>1999–00</w:t>
      </w:r>
      <w:r>
        <w:t xml:space="preserve">, </w:t>
      </w:r>
      <w:r w:rsidR="00D8433D">
        <w:t>2000–01</w:t>
      </w:r>
      <w:r>
        <w:t xml:space="preserve"> and </w:t>
      </w:r>
      <w:r w:rsidR="00D8433D">
        <w:t>2001–02</w:t>
      </w:r>
      <w:r>
        <w:t xml:space="preserve"> are publicly available in </w:t>
      </w:r>
      <w:r w:rsidR="00EC789D" w:rsidRPr="00EC789D">
        <w:rPr>
          <w:i/>
        </w:rPr>
        <w:t>Container stevedoring monitoring report</w:t>
      </w:r>
      <w:r w:rsidR="00B15E89">
        <w:t xml:space="preserve"> </w:t>
      </w:r>
      <w:r w:rsidR="00B15E89" w:rsidRPr="00EA0B3B">
        <w:rPr>
          <w:i/>
        </w:rPr>
        <w:t xml:space="preserve">no. 14 </w:t>
      </w:r>
      <w:r w:rsidR="00B15E89">
        <w:t>(</w:t>
      </w:r>
      <w:r w:rsidR="00D8433D">
        <w:t>2011–12</w:t>
      </w:r>
      <w:r w:rsidR="00B15E89">
        <w:t>)</w:t>
      </w:r>
      <w:r>
        <w:t>.</w:t>
      </w:r>
      <w:r>
        <w:br/>
        <w:t># Patrick closed its Burnie operations in May 2011. *Other costs are included in the total cost index but not shown as a separate cost category.</w:t>
      </w:r>
      <w:r w:rsidR="00FC6C38">
        <w:br w:type="page"/>
      </w:r>
    </w:p>
    <w:p w:rsidR="003E661C" w:rsidRDefault="00FC6C38" w:rsidP="00FC6C38">
      <w:pPr>
        <w:pStyle w:val="Tabletitle"/>
      </w:pPr>
      <w:r>
        <w:t xml:space="preserve">Table C.2: DP World Australia trends in nominal cost components (per TEU) index, </w:t>
      </w:r>
      <w:r w:rsidR="00D8433D">
        <w:t>2002–03</w:t>
      </w:r>
      <w:r>
        <w:t xml:space="preserve"> to </w:t>
      </w:r>
      <w:r w:rsidR="00D8433D">
        <w:t>2014–15</w:t>
      </w:r>
    </w:p>
    <w:tbl>
      <w:tblPr>
        <w:tblStyle w:val="LightShading"/>
        <w:tblW w:w="0" w:type="auto"/>
        <w:tblLook w:val="04A0" w:firstRow="1" w:lastRow="0" w:firstColumn="1" w:lastColumn="0" w:noHBand="0" w:noVBand="1"/>
      </w:tblPr>
      <w:tblGrid>
        <w:gridCol w:w="1526"/>
        <w:gridCol w:w="985"/>
        <w:gridCol w:w="986"/>
        <w:gridCol w:w="985"/>
        <w:gridCol w:w="986"/>
        <w:gridCol w:w="985"/>
        <w:gridCol w:w="986"/>
        <w:gridCol w:w="985"/>
        <w:gridCol w:w="986"/>
        <w:gridCol w:w="985"/>
        <w:gridCol w:w="986"/>
        <w:gridCol w:w="985"/>
        <w:gridCol w:w="986"/>
        <w:gridCol w:w="986"/>
      </w:tblGrid>
      <w:tr w:rsidR="009A453D" w:rsidTr="0005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il"/>
            </w:tcBorders>
            <w:shd w:val="clear" w:color="auto" w:fill="F2F2F2" w:themeFill="background1" w:themeFillShade="F2"/>
          </w:tcPr>
          <w:p w:rsidR="009A453D" w:rsidRDefault="009A453D" w:rsidP="00FD0948">
            <w:pPr>
              <w:pStyle w:val="Tabletextleft"/>
            </w:pP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2002–03</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2003–04</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2004–05</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2005–06</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2006–07</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2007–08</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2008–09</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2009–10</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2010–11</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2011–12</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2012–13</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2013–14</w:t>
            </w:r>
          </w:p>
        </w:tc>
        <w:tc>
          <w:tcPr>
            <w:tcW w:w="986" w:type="dxa"/>
            <w:tcBorders>
              <w:lef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2014–15</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D5D6D2" w:themeColor="background2"/>
              <w:right w:val="nil"/>
            </w:tcBorders>
            <w:shd w:val="clear" w:color="auto" w:fill="F2F2F2" w:themeFill="background1" w:themeFillShade="F2"/>
          </w:tcPr>
          <w:p w:rsidR="009A453D" w:rsidRDefault="009A453D" w:rsidP="00FD0948">
            <w:pPr>
              <w:pStyle w:val="Tabletextleft"/>
            </w:pPr>
            <w:r>
              <w:t>Brisbane</w:t>
            </w: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9A453D" w:rsidRDefault="009A453D" w:rsidP="00FD0948">
            <w:pPr>
              <w:pStyle w:val="Tabletextleft"/>
            </w:pPr>
            <w:r>
              <w:t>Total labour cost index</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80.6</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86.8</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89.4</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93.4</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93.4</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91.8</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92.6</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88.1</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81.3</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86.5</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88.3</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85.8</w:t>
            </w:r>
          </w:p>
        </w:tc>
        <w:tc>
          <w:tcPr>
            <w:tcW w:w="986" w:type="dxa"/>
            <w:tcBorders>
              <w:top w:val="single" w:sz="4" w:space="0" w:color="D5D6D2" w:themeColor="background2"/>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67.6</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equipment cost index</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94.9</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100.4</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101.6</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109.4</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125.2</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133.1</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129.5</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140.0</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116.0</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112.1</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103.2</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159.0</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158.7</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property cost index</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62.8</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56.4</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52.4</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48.6</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52.7</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55.5</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51.8</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57.0</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66.3</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84.0</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87.8</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90.6</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96.5</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4" w:space="0" w:color="D5D6D2" w:themeColor="background2"/>
              <w:right w:val="nil"/>
            </w:tcBorders>
          </w:tcPr>
          <w:p w:rsidR="009A453D" w:rsidRDefault="009A453D" w:rsidP="00FD0948">
            <w:pPr>
              <w:pStyle w:val="Tabletextleft"/>
            </w:pPr>
            <w:r>
              <w:t>Total cost index</w:t>
            </w:r>
          </w:p>
        </w:tc>
        <w:tc>
          <w:tcPr>
            <w:tcW w:w="985"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86.3</w:t>
            </w:r>
          </w:p>
        </w:tc>
        <w:tc>
          <w:tcPr>
            <w:tcW w:w="986"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92.4</w:t>
            </w:r>
          </w:p>
        </w:tc>
        <w:tc>
          <w:tcPr>
            <w:tcW w:w="985"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92.6</w:t>
            </w:r>
          </w:p>
        </w:tc>
        <w:tc>
          <w:tcPr>
            <w:tcW w:w="986"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97.4</w:t>
            </w:r>
          </w:p>
        </w:tc>
        <w:tc>
          <w:tcPr>
            <w:tcW w:w="985"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95.5</w:t>
            </w:r>
          </w:p>
        </w:tc>
        <w:tc>
          <w:tcPr>
            <w:tcW w:w="986"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94.2</w:t>
            </w:r>
          </w:p>
        </w:tc>
        <w:tc>
          <w:tcPr>
            <w:tcW w:w="985"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96.1</w:t>
            </w:r>
          </w:p>
        </w:tc>
        <w:tc>
          <w:tcPr>
            <w:tcW w:w="986"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97.6</w:t>
            </w:r>
          </w:p>
        </w:tc>
        <w:tc>
          <w:tcPr>
            <w:tcW w:w="985"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86.6</w:t>
            </w:r>
          </w:p>
        </w:tc>
        <w:tc>
          <w:tcPr>
            <w:tcW w:w="986"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88.3</w:t>
            </w:r>
          </w:p>
        </w:tc>
        <w:tc>
          <w:tcPr>
            <w:tcW w:w="985"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91.0</w:t>
            </w:r>
          </w:p>
        </w:tc>
        <w:tc>
          <w:tcPr>
            <w:tcW w:w="986"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100.6</w:t>
            </w:r>
          </w:p>
        </w:tc>
        <w:tc>
          <w:tcPr>
            <w:tcW w:w="986" w:type="dxa"/>
            <w:tcBorders>
              <w:top w:val="nil"/>
              <w:left w:val="nil"/>
              <w:bottom w:val="single" w:sz="4" w:space="0" w:color="D5D6D2" w:themeColor="background2"/>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91.4</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single" w:sz="4" w:space="0" w:color="D5D6D2" w:themeColor="background2"/>
              <w:right w:val="nil"/>
            </w:tcBorders>
            <w:shd w:val="clear" w:color="auto" w:fill="F2F2F2" w:themeFill="background1" w:themeFillShade="F2"/>
          </w:tcPr>
          <w:p w:rsidR="009A453D" w:rsidRDefault="009A453D" w:rsidP="00FD0948">
            <w:pPr>
              <w:pStyle w:val="Tabletextleft"/>
            </w:pPr>
            <w:r>
              <w:t>Port Botany</w:t>
            </w: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9A453D" w:rsidRDefault="009A453D" w:rsidP="00FD0948">
            <w:pPr>
              <w:pStyle w:val="Tabletextleft"/>
            </w:pPr>
            <w:r>
              <w:t>Total labour cost index</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78.8</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80.9</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81.1</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80.7</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79.0</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84.6</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93.5</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90.4</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83.2</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91.0</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86.9</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87.4</w:t>
            </w:r>
          </w:p>
        </w:tc>
        <w:tc>
          <w:tcPr>
            <w:tcW w:w="986" w:type="dxa"/>
            <w:tcBorders>
              <w:top w:val="single" w:sz="4" w:space="0" w:color="D5D6D2" w:themeColor="background2"/>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88.3</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equipment cost index</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107.2</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107.1</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105.9</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117.4</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117.2</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112.4</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120.1</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114.7</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97.0</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111.5</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93.4</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95.6</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93.2</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property cost index</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101.9</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98.6</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94.5</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95.2</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98.6</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95.7</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106.0</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113.9</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122.2</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109.1</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104.1</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107.8</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104.9</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right w:val="nil"/>
            </w:tcBorders>
          </w:tcPr>
          <w:p w:rsidR="009A453D" w:rsidRDefault="009A453D" w:rsidP="00FD0948">
            <w:pPr>
              <w:pStyle w:val="Tabletextleft"/>
            </w:pPr>
            <w:r>
              <w:t>Total cost index</w:t>
            </w:r>
          </w:p>
        </w:tc>
        <w:tc>
          <w:tcPr>
            <w:tcW w:w="985"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85.7</w:t>
            </w:r>
          </w:p>
        </w:tc>
        <w:tc>
          <w:tcPr>
            <w:tcW w:w="986"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88.7</w:t>
            </w:r>
          </w:p>
        </w:tc>
        <w:tc>
          <w:tcPr>
            <w:tcW w:w="985"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89.4</w:t>
            </w:r>
          </w:p>
        </w:tc>
        <w:tc>
          <w:tcPr>
            <w:tcW w:w="986"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90.5</w:t>
            </w:r>
          </w:p>
        </w:tc>
        <w:tc>
          <w:tcPr>
            <w:tcW w:w="985"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84.9</w:t>
            </w:r>
          </w:p>
        </w:tc>
        <w:tc>
          <w:tcPr>
            <w:tcW w:w="986"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86.0</w:t>
            </w:r>
          </w:p>
        </w:tc>
        <w:tc>
          <w:tcPr>
            <w:tcW w:w="985"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95.1</w:t>
            </w:r>
          </w:p>
        </w:tc>
        <w:tc>
          <w:tcPr>
            <w:tcW w:w="986"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93.5</w:t>
            </w:r>
          </w:p>
        </w:tc>
        <w:tc>
          <w:tcPr>
            <w:tcW w:w="985"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85.3</w:t>
            </w:r>
          </w:p>
        </w:tc>
        <w:tc>
          <w:tcPr>
            <w:tcW w:w="986"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89.9</w:t>
            </w:r>
          </w:p>
        </w:tc>
        <w:tc>
          <w:tcPr>
            <w:tcW w:w="985"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84.3</w:t>
            </w:r>
          </w:p>
        </w:tc>
        <w:tc>
          <w:tcPr>
            <w:tcW w:w="986"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86.7</w:t>
            </w:r>
          </w:p>
        </w:tc>
        <w:tc>
          <w:tcPr>
            <w:tcW w:w="986" w:type="dxa"/>
            <w:tcBorders>
              <w:top w:val="nil"/>
              <w:left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86.1</w:t>
            </w:r>
          </w:p>
        </w:tc>
      </w:tr>
    </w:tbl>
    <w:p w:rsidR="009A453D" w:rsidRDefault="009A453D" w:rsidP="00FC6C38"/>
    <w:p w:rsidR="009A453D" w:rsidRDefault="009A453D">
      <w:r>
        <w:br w:type="page"/>
      </w:r>
    </w:p>
    <w:p w:rsidR="009A453D" w:rsidRDefault="009A453D" w:rsidP="009A453D">
      <w:pPr>
        <w:pStyle w:val="Tabletitle"/>
      </w:pPr>
      <w:r>
        <w:t xml:space="preserve">Table C.2: DP World Australia trends in nominal cost components (per TEU) index, </w:t>
      </w:r>
      <w:r w:rsidR="00D8433D">
        <w:t>2002–03</w:t>
      </w:r>
      <w:r>
        <w:t xml:space="preserve"> to </w:t>
      </w:r>
      <w:r w:rsidR="00D8433D">
        <w:t>2014–15</w:t>
      </w:r>
      <w:r>
        <w:t>—continued</w:t>
      </w:r>
    </w:p>
    <w:tbl>
      <w:tblPr>
        <w:tblStyle w:val="LightShading"/>
        <w:tblW w:w="0" w:type="auto"/>
        <w:tblLook w:val="04A0" w:firstRow="1" w:lastRow="0" w:firstColumn="1" w:lastColumn="0" w:noHBand="0" w:noVBand="1"/>
      </w:tblPr>
      <w:tblGrid>
        <w:gridCol w:w="1526"/>
        <w:gridCol w:w="985"/>
        <w:gridCol w:w="986"/>
        <w:gridCol w:w="985"/>
        <w:gridCol w:w="986"/>
        <w:gridCol w:w="985"/>
        <w:gridCol w:w="986"/>
        <w:gridCol w:w="985"/>
        <w:gridCol w:w="986"/>
        <w:gridCol w:w="985"/>
        <w:gridCol w:w="986"/>
        <w:gridCol w:w="985"/>
        <w:gridCol w:w="986"/>
        <w:gridCol w:w="986"/>
      </w:tblGrid>
      <w:tr w:rsidR="009A453D" w:rsidTr="0005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il"/>
            </w:tcBorders>
            <w:shd w:val="clear" w:color="auto" w:fill="F2F2F2" w:themeFill="background1" w:themeFillShade="F2"/>
          </w:tcPr>
          <w:p w:rsidR="009A453D" w:rsidRDefault="009A453D" w:rsidP="00FD0948">
            <w:pPr>
              <w:pStyle w:val="Tabletextleft"/>
            </w:pP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2002–03</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2003–04</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2004–05</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2005–06</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2006–07</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2007–08</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2008–09</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2009–10</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2010–11</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2011–12</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2012–13</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2013–14</w:t>
            </w:r>
          </w:p>
        </w:tc>
        <w:tc>
          <w:tcPr>
            <w:tcW w:w="986" w:type="dxa"/>
            <w:tcBorders>
              <w:lef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2014–15</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D5D6D2" w:themeColor="background2"/>
              <w:right w:val="nil"/>
            </w:tcBorders>
            <w:shd w:val="clear" w:color="auto" w:fill="F2F2F2" w:themeFill="background1" w:themeFillShade="F2"/>
          </w:tcPr>
          <w:p w:rsidR="009A453D" w:rsidRDefault="009A453D" w:rsidP="00FD0948">
            <w:pPr>
              <w:pStyle w:val="Tabletextleft"/>
            </w:pPr>
            <w:r>
              <w:t>Melbourne</w:t>
            </w: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left w:val="nil"/>
              <w:bottom w:val="single" w:sz="4" w:space="0" w:color="D5D6D2" w:themeColor="background2"/>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9A453D" w:rsidRDefault="009A453D" w:rsidP="00FD0948">
            <w:pPr>
              <w:pStyle w:val="Tabletextleft"/>
            </w:pPr>
            <w:r>
              <w:t>Total labour cost index</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71.1</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73.2</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79.3</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81.2</w:t>
            </w:r>
          </w:p>
        </w:tc>
        <w:tc>
          <w:tcPr>
            <w:tcW w:w="985"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77.2</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76.7</w:t>
            </w:r>
          </w:p>
        </w:tc>
        <w:tc>
          <w:tcPr>
            <w:tcW w:w="985"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78.0</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73.7</w:t>
            </w:r>
          </w:p>
        </w:tc>
        <w:tc>
          <w:tcPr>
            <w:tcW w:w="985"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71.7</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81.5</w:t>
            </w:r>
          </w:p>
        </w:tc>
        <w:tc>
          <w:tcPr>
            <w:tcW w:w="985"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87.2</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88.0</w:t>
            </w:r>
          </w:p>
        </w:tc>
        <w:tc>
          <w:tcPr>
            <w:tcW w:w="986" w:type="dxa"/>
            <w:tcBorders>
              <w:top w:val="single" w:sz="4" w:space="0" w:color="D5D6D2" w:themeColor="background2"/>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91.0</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equipment cost index</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106.2</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123.6</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123.1</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133.1</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124.5</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131.0</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128.2</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115.4</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102.2</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107.6</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102.3</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109.3</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107.4</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property cost index</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69.0</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59.7</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59.1</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52.1</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43.9</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49.6</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49.7</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46.7</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50.4</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56.8</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61.2</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68.1</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72.1</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4" w:space="0" w:color="D5D6D2" w:themeColor="background2"/>
              <w:right w:val="nil"/>
            </w:tcBorders>
          </w:tcPr>
          <w:p w:rsidR="009A453D" w:rsidRDefault="009A453D" w:rsidP="00FD0948">
            <w:pPr>
              <w:pStyle w:val="Tabletextleft"/>
            </w:pPr>
            <w:r>
              <w:t>Total cost index</w:t>
            </w:r>
          </w:p>
        </w:tc>
        <w:tc>
          <w:tcPr>
            <w:tcW w:w="985"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90.2</w:t>
            </w:r>
          </w:p>
        </w:tc>
        <w:tc>
          <w:tcPr>
            <w:tcW w:w="986"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92.1</w:t>
            </w:r>
          </w:p>
        </w:tc>
        <w:tc>
          <w:tcPr>
            <w:tcW w:w="985" w:type="dxa"/>
            <w:tcBorders>
              <w:top w:val="nil"/>
              <w:left w:val="nil"/>
              <w:bottom w:val="single" w:sz="4" w:space="0" w:color="D5D6D2" w:themeColor="background2"/>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97.6</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95.1</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87.3</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91.2</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96.5</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90.6</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85.8</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86.5</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89.5</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94.2</w:t>
            </w:r>
          </w:p>
        </w:tc>
        <w:tc>
          <w:tcPr>
            <w:tcW w:w="986" w:type="dxa"/>
            <w:tcBorders>
              <w:top w:val="nil"/>
              <w:left w:val="nil"/>
              <w:bottom w:val="single" w:sz="4" w:space="0" w:color="D5D6D2" w:themeColor="background2"/>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96.3</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single" w:sz="4" w:space="0" w:color="D5D6D2" w:themeColor="background2"/>
              <w:right w:val="nil"/>
            </w:tcBorders>
            <w:shd w:val="clear" w:color="auto" w:fill="F2F2F2" w:themeFill="background1" w:themeFillShade="F2"/>
          </w:tcPr>
          <w:p w:rsidR="009A453D" w:rsidRDefault="009A453D" w:rsidP="00FD0948">
            <w:pPr>
              <w:pStyle w:val="Tabletextleft"/>
            </w:pPr>
            <w:r>
              <w:t>Fremantle</w:t>
            </w: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nil"/>
              <w:right w:val="nil"/>
            </w:tcBorders>
          </w:tcPr>
          <w:p w:rsidR="009A453D" w:rsidRDefault="009A453D" w:rsidP="00FD0948">
            <w:pPr>
              <w:pStyle w:val="Tabletextleft"/>
            </w:pPr>
            <w:r>
              <w:t>Total labour cost index</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74.0</w:t>
            </w:r>
          </w:p>
        </w:tc>
        <w:tc>
          <w:tcPr>
            <w:tcW w:w="986"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78.7</w:t>
            </w:r>
          </w:p>
        </w:tc>
        <w:tc>
          <w:tcPr>
            <w:tcW w:w="985" w:type="dxa"/>
            <w:tcBorders>
              <w:top w:val="single" w:sz="4" w:space="0" w:color="D5D6D2" w:themeColor="background2"/>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76.7</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75.4</w:t>
            </w:r>
          </w:p>
        </w:tc>
        <w:tc>
          <w:tcPr>
            <w:tcW w:w="985"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75.0</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74.1</w:t>
            </w:r>
          </w:p>
        </w:tc>
        <w:tc>
          <w:tcPr>
            <w:tcW w:w="985"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79.9</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82.3</w:t>
            </w:r>
          </w:p>
        </w:tc>
        <w:tc>
          <w:tcPr>
            <w:tcW w:w="985"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89.3</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110.8</w:t>
            </w:r>
          </w:p>
        </w:tc>
        <w:tc>
          <w:tcPr>
            <w:tcW w:w="985"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101.8</w:t>
            </w:r>
          </w:p>
        </w:tc>
        <w:tc>
          <w:tcPr>
            <w:tcW w:w="986" w:type="dxa"/>
            <w:tcBorders>
              <w:top w:val="single" w:sz="4" w:space="0" w:color="D5D6D2" w:themeColor="background2"/>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110.4</w:t>
            </w:r>
          </w:p>
        </w:tc>
        <w:tc>
          <w:tcPr>
            <w:tcW w:w="986" w:type="dxa"/>
            <w:tcBorders>
              <w:top w:val="single" w:sz="4" w:space="0" w:color="D5D6D2" w:themeColor="background2"/>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101.3</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equipment cost index</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73.0</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67.0</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101.5</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64.2</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65.5</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58.7</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61.6</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71.3</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86.5</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84.2</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82.4</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146.1</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197.4</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property cost index</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80.1</w:t>
            </w:r>
          </w:p>
        </w:tc>
        <w:tc>
          <w:tcPr>
            <w:tcW w:w="986"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75.4</w:t>
            </w:r>
          </w:p>
        </w:tc>
        <w:tc>
          <w:tcPr>
            <w:tcW w:w="985" w:type="dxa"/>
            <w:tcBorders>
              <w:top w:val="nil"/>
              <w:left w:val="nil"/>
              <w:bottom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70.3</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76.4</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68.1</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64.8</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72.5</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73.2</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83.7</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89.2</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92.0</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110.2</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131.2</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right w:val="nil"/>
            </w:tcBorders>
          </w:tcPr>
          <w:p w:rsidR="009A453D" w:rsidRDefault="009A453D" w:rsidP="00FD0948">
            <w:pPr>
              <w:pStyle w:val="Tabletextleft"/>
            </w:pPr>
            <w:r>
              <w:t>Total cost index</w:t>
            </w:r>
          </w:p>
        </w:tc>
        <w:tc>
          <w:tcPr>
            <w:tcW w:w="985"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80.6</w:t>
            </w:r>
          </w:p>
        </w:tc>
        <w:tc>
          <w:tcPr>
            <w:tcW w:w="986"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80.1</w:t>
            </w:r>
          </w:p>
        </w:tc>
        <w:tc>
          <w:tcPr>
            <w:tcW w:w="985" w:type="dxa"/>
            <w:tcBorders>
              <w:top w:val="nil"/>
              <w:left w:val="nil"/>
              <w:right w:val="nil"/>
            </w:tcBorders>
          </w:tcPr>
          <w:p w:rsidR="009A453D" w:rsidRDefault="00177FAA" w:rsidP="00FD0948">
            <w:pPr>
              <w:pStyle w:val="Tabletextright"/>
              <w:cnfStyle w:val="000000000000" w:firstRow="0" w:lastRow="0" w:firstColumn="0" w:lastColumn="0" w:oddVBand="0" w:evenVBand="0" w:oddHBand="0" w:evenHBand="0" w:firstRowFirstColumn="0" w:firstRowLastColumn="0" w:lastRowFirstColumn="0" w:lastRowLastColumn="0"/>
            </w:pPr>
            <w:r>
              <w:t>84.3</w:t>
            </w:r>
          </w:p>
        </w:tc>
        <w:tc>
          <w:tcPr>
            <w:tcW w:w="986"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78.2</w:t>
            </w:r>
          </w:p>
        </w:tc>
        <w:tc>
          <w:tcPr>
            <w:tcW w:w="985"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74.7</w:t>
            </w:r>
          </w:p>
        </w:tc>
        <w:tc>
          <w:tcPr>
            <w:tcW w:w="986"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71.0</w:t>
            </w:r>
          </w:p>
        </w:tc>
        <w:tc>
          <w:tcPr>
            <w:tcW w:w="985"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76.2</w:t>
            </w:r>
          </w:p>
        </w:tc>
        <w:tc>
          <w:tcPr>
            <w:tcW w:w="986"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78.2</w:t>
            </w:r>
          </w:p>
        </w:tc>
        <w:tc>
          <w:tcPr>
            <w:tcW w:w="985"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88.6</w:t>
            </w:r>
          </w:p>
        </w:tc>
        <w:tc>
          <w:tcPr>
            <w:tcW w:w="986"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96.2</w:t>
            </w:r>
          </w:p>
        </w:tc>
        <w:tc>
          <w:tcPr>
            <w:tcW w:w="985"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92.7</w:t>
            </w:r>
          </w:p>
        </w:tc>
        <w:tc>
          <w:tcPr>
            <w:tcW w:w="986" w:type="dxa"/>
            <w:tcBorders>
              <w:top w:val="nil"/>
              <w:left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111.7</w:t>
            </w:r>
          </w:p>
        </w:tc>
        <w:tc>
          <w:tcPr>
            <w:tcW w:w="986" w:type="dxa"/>
            <w:tcBorders>
              <w:top w:val="nil"/>
              <w:left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118.7</w:t>
            </w:r>
          </w:p>
        </w:tc>
      </w:tr>
    </w:tbl>
    <w:p w:rsidR="009A453D" w:rsidRDefault="009A453D" w:rsidP="00FC6C38"/>
    <w:p w:rsidR="009A453D" w:rsidRDefault="009A453D">
      <w:r>
        <w:br w:type="page"/>
      </w:r>
    </w:p>
    <w:p w:rsidR="009A453D" w:rsidRDefault="009A453D" w:rsidP="009A453D">
      <w:pPr>
        <w:pStyle w:val="Tabletitle"/>
      </w:pPr>
      <w:r>
        <w:t xml:space="preserve">Table C.2: DP World Australia trends in nominal cost components (per TEU) index, </w:t>
      </w:r>
      <w:r w:rsidR="00D8433D">
        <w:t>2002–03</w:t>
      </w:r>
      <w:r>
        <w:t xml:space="preserve"> to </w:t>
      </w:r>
      <w:r w:rsidR="00D8433D">
        <w:t>2014–15</w:t>
      </w:r>
      <w:r>
        <w:t>—continued</w:t>
      </w:r>
    </w:p>
    <w:tbl>
      <w:tblPr>
        <w:tblStyle w:val="LightShading"/>
        <w:tblW w:w="0" w:type="auto"/>
        <w:tblLook w:val="04A0" w:firstRow="1" w:lastRow="0" w:firstColumn="1" w:lastColumn="0" w:noHBand="0" w:noVBand="1"/>
      </w:tblPr>
      <w:tblGrid>
        <w:gridCol w:w="1526"/>
        <w:gridCol w:w="985"/>
        <w:gridCol w:w="986"/>
        <w:gridCol w:w="985"/>
        <w:gridCol w:w="986"/>
        <w:gridCol w:w="985"/>
        <w:gridCol w:w="986"/>
        <w:gridCol w:w="985"/>
        <w:gridCol w:w="986"/>
        <w:gridCol w:w="985"/>
        <w:gridCol w:w="986"/>
        <w:gridCol w:w="985"/>
        <w:gridCol w:w="986"/>
        <w:gridCol w:w="986"/>
      </w:tblGrid>
      <w:tr w:rsidR="009A453D" w:rsidTr="0005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il"/>
            </w:tcBorders>
            <w:shd w:val="clear" w:color="auto" w:fill="F2F2F2" w:themeFill="background1" w:themeFillShade="F2"/>
          </w:tcPr>
          <w:p w:rsidR="009A453D" w:rsidRDefault="009A453D" w:rsidP="00FD0948">
            <w:pPr>
              <w:pStyle w:val="Tabletextleft"/>
            </w:pP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2002–03</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2003–04</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2004–05</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2005–06</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2006–07</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2007–08</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2008–09</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2009–10</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2010–11</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2011–12</w:t>
            </w:r>
          </w:p>
        </w:tc>
        <w:tc>
          <w:tcPr>
            <w:tcW w:w="985"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2012–13</w:t>
            </w:r>
          </w:p>
        </w:tc>
        <w:tc>
          <w:tcPr>
            <w:tcW w:w="986" w:type="dxa"/>
            <w:tcBorders>
              <w:left w:val="nil"/>
              <w:righ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2013–14</w:t>
            </w:r>
          </w:p>
        </w:tc>
        <w:tc>
          <w:tcPr>
            <w:tcW w:w="986" w:type="dxa"/>
            <w:tcBorders>
              <w:left w:val="nil"/>
            </w:tcBorders>
            <w:shd w:val="clear" w:color="auto" w:fill="F2F2F2" w:themeFill="background1" w:themeFillShade="F2"/>
          </w:tcPr>
          <w:p w:rsidR="009A453D"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2014–15</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bottom w:val="single" w:sz="4" w:space="0" w:color="D5D6D2" w:themeColor="background2"/>
              <w:right w:val="nil"/>
            </w:tcBorders>
            <w:shd w:val="clear" w:color="auto" w:fill="F2F2F2" w:themeFill="background1" w:themeFillShade="F2"/>
          </w:tcPr>
          <w:p w:rsidR="009A453D" w:rsidRDefault="009A453D" w:rsidP="00FD0948">
            <w:pPr>
              <w:pStyle w:val="Tabletextleft"/>
            </w:pPr>
            <w:r>
              <w:t>National</w:t>
            </w: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86" w:type="dxa"/>
            <w:tcBorders>
              <w:top w:val="single" w:sz="4" w:space="0" w:color="D5D6D2" w:themeColor="background2"/>
              <w:left w:val="nil"/>
              <w:bottom w:val="single" w:sz="4" w:space="0" w:color="D5D6D2" w:themeColor="background2"/>
            </w:tcBorders>
            <w:shd w:val="clear" w:color="auto" w:fill="F2F2F2" w:themeFill="background1" w:themeFillShade="F2"/>
          </w:tcPr>
          <w:p w:rsidR="009A453D" w:rsidRDefault="009A453D"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labour cost index</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75.4</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78.9</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81.2</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82.6</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80.6</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81.8</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85.7</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82.4</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78.7</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87.7</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88.0</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88.2</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85.6</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nil"/>
              <w:right w:val="nil"/>
            </w:tcBorders>
          </w:tcPr>
          <w:p w:rsidR="009A453D" w:rsidRDefault="009A453D" w:rsidP="00FD0948">
            <w:pPr>
              <w:pStyle w:val="Tabletextleft"/>
            </w:pPr>
            <w:r>
              <w:t>Total equipment cost index</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99.5</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105.5</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110.3</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113.2</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113.6</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114.2</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115.4</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112.4</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100.2</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105.9</w:t>
            </w:r>
          </w:p>
        </w:tc>
        <w:tc>
          <w:tcPr>
            <w:tcW w:w="985"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96.2</w:t>
            </w:r>
          </w:p>
        </w:tc>
        <w:tc>
          <w:tcPr>
            <w:tcW w:w="986" w:type="dxa"/>
            <w:tcBorders>
              <w:top w:val="nil"/>
              <w:left w:val="nil"/>
              <w:bottom w:val="nil"/>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114.4</w:t>
            </w:r>
          </w:p>
        </w:tc>
        <w:tc>
          <w:tcPr>
            <w:tcW w:w="986" w:type="dxa"/>
            <w:tcBorders>
              <w:top w:val="nil"/>
              <w:left w:val="nil"/>
              <w:bottom w:val="nil"/>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115.3</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4" w:space="0" w:color="D5D6D2" w:themeColor="background2"/>
              <w:right w:val="nil"/>
            </w:tcBorders>
          </w:tcPr>
          <w:p w:rsidR="009A453D" w:rsidRDefault="009A453D" w:rsidP="00FD0948">
            <w:pPr>
              <w:pStyle w:val="Tabletextleft"/>
            </w:pPr>
            <w:r>
              <w:t>Total property cost index</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76.8</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70.1</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67.3</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64.6</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62.4</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64.1</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66.1</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67.9</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75.4</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79.1</w:t>
            </w:r>
          </w:p>
        </w:tc>
        <w:tc>
          <w:tcPr>
            <w:tcW w:w="985"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81.6</w:t>
            </w:r>
          </w:p>
        </w:tc>
        <w:tc>
          <w:tcPr>
            <w:tcW w:w="986" w:type="dxa"/>
            <w:tcBorders>
              <w:top w:val="nil"/>
              <w:left w:val="nil"/>
              <w:bottom w:val="single" w:sz="4" w:space="0" w:color="D5D6D2" w:themeColor="background2"/>
              <w:right w:val="nil"/>
            </w:tcBorders>
          </w:tcPr>
          <w:p w:rsidR="009A453D"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r>
              <w:t>86.5</w:t>
            </w:r>
          </w:p>
        </w:tc>
        <w:tc>
          <w:tcPr>
            <w:tcW w:w="986" w:type="dxa"/>
            <w:tcBorders>
              <w:top w:val="nil"/>
              <w:left w:val="nil"/>
              <w:bottom w:val="single" w:sz="4" w:space="0" w:color="D5D6D2" w:themeColor="background2"/>
            </w:tcBorders>
          </w:tcPr>
          <w:p w:rsidR="009A453D" w:rsidRDefault="00151F77" w:rsidP="00FD0948">
            <w:pPr>
              <w:pStyle w:val="Tabletextright"/>
              <w:cnfStyle w:val="000000000000" w:firstRow="0" w:lastRow="0" w:firstColumn="0" w:lastColumn="0" w:oddVBand="0" w:evenVBand="0" w:oddHBand="0" w:evenHBand="0" w:firstRowFirstColumn="0" w:firstRowLastColumn="0" w:lastRowFirstColumn="0" w:lastRowLastColumn="0"/>
            </w:pPr>
            <w:r>
              <w:t>89.4</w:t>
            </w:r>
          </w:p>
        </w:tc>
      </w:tr>
      <w:tr w:rsidR="009A453D" w:rsidTr="000500C2">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D5D6D2" w:themeColor="background2"/>
              <w:right w:val="nil"/>
            </w:tcBorders>
            <w:shd w:val="clear" w:color="auto" w:fill="F2F2F2" w:themeFill="background1" w:themeFillShade="F2"/>
          </w:tcPr>
          <w:p w:rsidR="009A453D" w:rsidRDefault="009A453D" w:rsidP="00FD0948">
            <w:pPr>
              <w:pStyle w:val="Tabletextleft"/>
            </w:pPr>
            <w:r>
              <w:t>Total cost* index</w:t>
            </w:r>
          </w:p>
        </w:tc>
        <w:tc>
          <w:tcPr>
            <w:tcW w:w="985"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86.2</w:t>
            </w:r>
          </w:p>
        </w:tc>
        <w:tc>
          <w:tcPr>
            <w:tcW w:w="986"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89.0</w:t>
            </w:r>
          </w:p>
        </w:tc>
        <w:tc>
          <w:tcPr>
            <w:tcW w:w="985"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91.8</w:t>
            </w:r>
          </w:p>
        </w:tc>
        <w:tc>
          <w:tcPr>
            <w:tcW w:w="986"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91.5</w:t>
            </w:r>
          </w:p>
        </w:tc>
        <w:tc>
          <w:tcPr>
            <w:tcW w:w="985"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86.1</w:t>
            </w:r>
          </w:p>
        </w:tc>
        <w:tc>
          <w:tcPr>
            <w:tcW w:w="986"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86.9</w:t>
            </w:r>
          </w:p>
        </w:tc>
        <w:tc>
          <w:tcPr>
            <w:tcW w:w="985"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92.6</w:t>
            </w:r>
          </w:p>
        </w:tc>
        <w:tc>
          <w:tcPr>
            <w:tcW w:w="986"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90.3</w:t>
            </w:r>
          </w:p>
        </w:tc>
        <w:tc>
          <w:tcPr>
            <w:tcW w:w="985"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85.1</w:t>
            </w:r>
          </w:p>
        </w:tc>
        <w:tc>
          <w:tcPr>
            <w:tcW w:w="986"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87.8</w:t>
            </w:r>
          </w:p>
        </w:tc>
        <w:tc>
          <w:tcPr>
            <w:tcW w:w="985"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87.2</w:t>
            </w:r>
          </w:p>
        </w:tc>
        <w:tc>
          <w:tcPr>
            <w:tcW w:w="986" w:type="dxa"/>
            <w:tcBorders>
              <w:top w:val="single" w:sz="4" w:space="0" w:color="D5D6D2" w:themeColor="background2"/>
              <w:left w:val="nil"/>
              <w:right w:val="nil"/>
            </w:tcBorders>
            <w:shd w:val="clear" w:color="auto" w:fill="F2F2F2" w:themeFill="background1" w:themeFillShade="F2"/>
          </w:tcPr>
          <w:p w:rsidR="009A453D" w:rsidRDefault="00017CD0" w:rsidP="000500C2">
            <w:pPr>
              <w:pStyle w:val="Tabletextheadingright"/>
              <w:cnfStyle w:val="000000000000" w:firstRow="0" w:lastRow="0" w:firstColumn="0" w:lastColumn="0" w:oddVBand="0" w:evenVBand="0" w:oddHBand="0" w:evenHBand="0" w:firstRowFirstColumn="0" w:firstRowLastColumn="0" w:lastRowFirstColumn="0" w:lastRowLastColumn="0"/>
            </w:pPr>
            <w:r>
              <w:t>92.5</w:t>
            </w:r>
          </w:p>
        </w:tc>
        <w:tc>
          <w:tcPr>
            <w:tcW w:w="986" w:type="dxa"/>
            <w:tcBorders>
              <w:top w:val="single" w:sz="4" w:space="0" w:color="D5D6D2" w:themeColor="background2"/>
              <w:left w:val="nil"/>
            </w:tcBorders>
            <w:shd w:val="clear" w:color="auto" w:fill="F2F2F2" w:themeFill="background1" w:themeFillShade="F2"/>
          </w:tcPr>
          <w:p w:rsidR="009A453D" w:rsidRDefault="00151F77" w:rsidP="000500C2">
            <w:pPr>
              <w:pStyle w:val="Tabletextheadingright"/>
              <w:cnfStyle w:val="000000000000" w:firstRow="0" w:lastRow="0" w:firstColumn="0" w:lastColumn="0" w:oddVBand="0" w:evenVBand="0" w:oddHBand="0" w:evenHBand="0" w:firstRowFirstColumn="0" w:firstRowLastColumn="0" w:lastRowFirstColumn="0" w:lastRowLastColumn="0"/>
            </w:pPr>
            <w:r>
              <w:t>91.5</w:t>
            </w:r>
          </w:p>
        </w:tc>
      </w:tr>
    </w:tbl>
    <w:p w:rsidR="00017CD0" w:rsidRDefault="009A453D" w:rsidP="009A453D">
      <w:pPr>
        <w:pStyle w:val="Source"/>
      </w:pPr>
      <w:r>
        <w:t xml:space="preserve">Base year is </w:t>
      </w:r>
      <w:r w:rsidR="00D8433D">
        <w:t>1998–99</w:t>
      </w:r>
      <w:r w:rsidR="00665A98">
        <w:t xml:space="preserve"> </w:t>
      </w:r>
      <w:r>
        <w:t>=</w:t>
      </w:r>
      <w:r w:rsidR="00665A98">
        <w:t xml:space="preserve"> </w:t>
      </w:r>
      <w:r>
        <w:t xml:space="preserve">100. Index estimates for </w:t>
      </w:r>
      <w:r w:rsidR="00D8433D">
        <w:t>1999–00</w:t>
      </w:r>
      <w:r>
        <w:t xml:space="preserve">, </w:t>
      </w:r>
      <w:r w:rsidR="00D8433D">
        <w:t>2000–01</w:t>
      </w:r>
      <w:r>
        <w:t xml:space="preserve"> and </w:t>
      </w:r>
      <w:r w:rsidR="00D8433D">
        <w:t>2001–02</w:t>
      </w:r>
      <w:r>
        <w:t xml:space="preserve"> are publicly available in </w:t>
      </w:r>
      <w:r w:rsidR="00EC789D" w:rsidRPr="00EC789D">
        <w:rPr>
          <w:i/>
        </w:rPr>
        <w:t>Container stevedoring monitoring report</w:t>
      </w:r>
      <w:r w:rsidR="00B15E89">
        <w:t xml:space="preserve"> no. 14 (</w:t>
      </w:r>
      <w:r w:rsidR="00D8433D">
        <w:t>2011–12</w:t>
      </w:r>
      <w:r w:rsidR="00B15E89">
        <w:t>)</w:t>
      </w:r>
      <w:r>
        <w:t>.</w:t>
      </w:r>
      <w:r>
        <w:br/>
        <w:t>*Other costs are included in the total cost index but not shown as a separate cost category.</w:t>
      </w:r>
    </w:p>
    <w:p w:rsidR="00017CD0" w:rsidRDefault="00017CD0">
      <w:pPr>
        <w:rPr>
          <w:sz w:val="16"/>
          <w:szCs w:val="16"/>
        </w:rPr>
      </w:pPr>
      <w:r>
        <w:br w:type="page"/>
      </w:r>
    </w:p>
    <w:p w:rsidR="00FC6C38" w:rsidRDefault="00017CD0" w:rsidP="00017CD0">
      <w:pPr>
        <w:pStyle w:val="Tabletitle"/>
      </w:pPr>
      <w:r>
        <w:t xml:space="preserve">Table C.3: Flinders Adelaide Container Terminal trends in nominal cost components (per TEU) index, </w:t>
      </w:r>
      <w:r w:rsidR="00D8433D">
        <w:t>2002–03</w:t>
      </w:r>
      <w:r>
        <w:t xml:space="preserve"> to </w:t>
      </w:r>
      <w:r w:rsidR="00D8433D">
        <w:t>2014–15</w:t>
      </w:r>
    </w:p>
    <w:tbl>
      <w:tblPr>
        <w:tblStyle w:val="LightShading"/>
        <w:tblW w:w="0" w:type="auto"/>
        <w:tblLook w:val="04A0" w:firstRow="1" w:lastRow="0" w:firstColumn="1" w:lastColumn="0" w:noHBand="0" w:noVBand="1"/>
      </w:tblPr>
      <w:tblGrid>
        <w:gridCol w:w="1668"/>
        <w:gridCol w:w="974"/>
        <w:gridCol w:w="975"/>
        <w:gridCol w:w="974"/>
        <w:gridCol w:w="975"/>
        <w:gridCol w:w="975"/>
        <w:gridCol w:w="974"/>
        <w:gridCol w:w="975"/>
        <w:gridCol w:w="974"/>
        <w:gridCol w:w="975"/>
        <w:gridCol w:w="975"/>
        <w:gridCol w:w="974"/>
        <w:gridCol w:w="975"/>
        <w:gridCol w:w="975"/>
      </w:tblGrid>
      <w:tr w:rsidR="00017CD0" w:rsidTr="002B4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nil"/>
            </w:tcBorders>
            <w:shd w:val="clear" w:color="auto" w:fill="F2F2F2" w:themeFill="background1" w:themeFillShade="F2"/>
          </w:tcPr>
          <w:p w:rsidR="00017CD0" w:rsidRDefault="00017CD0" w:rsidP="00FD0948">
            <w:pPr>
              <w:pStyle w:val="Tabletextleft"/>
            </w:pPr>
          </w:p>
        </w:tc>
        <w:tc>
          <w:tcPr>
            <w:tcW w:w="974"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2002–03</w:t>
            </w:r>
          </w:p>
        </w:tc>
        <w:tc>
          <w:tcPr>
            <w:tcW w:w="975"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2003–04</w:t>
            </w:r>
          </w:p>
        </w:tc>
        <w:tc>
          <w:tcPr>
            <w:tcW w:w="974"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2004–05</w:t>
            </w:r>
          </w:p>
        </w:tc>
        <w:tc>
          <w:tcPr>
            <w:tcW w:w="975"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2005–06</w:t>
            </w:r>
          </w:p>
        </w:tc>
        <w:tc>
          <w:tcPr>
            <w:tcW w:w="975"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2006–07</w:t>
            </w:r>
          </w:p>
        </w:tc>
        <w:tc>
          <w:tcPr>
            <w:tcW w:w="974"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2007–08</w:t>
            </w:r>
          </w:p>
        </w:tc>
        <w:tc>
          <w:tcPr>
            <w:tcW w:w="975"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2008–09</w:t>
            </w:r>
          </w:p>
        </w:tc>
        <w:tc>
          <w:tcPr>
            <w:tcW w:w="974"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2009–10</w:t>
            </w:r>
          </w:p>
        </w:tc>
        <w:tc>
          <w:tcPr>
            <w:tcW w:w="975"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2010–11</w:t>
            </w:r>
          </w:p>
        </w:tc>
        <w:tc>
          <w:tcPr>
            <w:tcW w:w="975"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2011–12</w:t>
            </w:r>
          </w:p>
        </w:tc>
        <w:tc>
          <w:tcPr>
            <w:tcW w:w="974"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2012–13</w:t>
            </w:r>
          </w:p>
        </w:tc>
        <w:tc>
          <w:tcPr>
            <w:tcW w:w="975" w:type="dxa"/>
            <w:tcBorders>
              <w:left w:val="nil"/>
              <w:righ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2013–14</w:t>
            </w:r>
          </w:p>
        </w:tc>
        <w:tc>
          <w:tcPr>
            <w:tcW w:w="975" w:type="dxa"/>
            <w:tcBorders>
              <w:left w:val="nil"/>
            </w:tcBorders>
            <w:shd w:val="clear" w:color="auto" w:fill="F2F2F2" w:themeFill="background1" w:themeFillShade="F2"/>
          </w:tcPr>
          <w:p w:rsidR="00017CD0" w:rsidRDefault="00D8433D" w:rsidP="00FD0948">
            <w:pPr>
              <w:pStyle w:val="Tabletextright"/>
              <w:cnfStyle w:val="100000000000" w:firstRow="1" w:lastRow="0" w:firstColumn="0" w:lastColumn="0" w:oddVBand="0" w:evenVBand="0" w:oddHBand="0" w:evenHBand="0" w:firstRowFirstColumn="0" w:firstRowLastColumn="0" w:lastRowFirstColumn="0" w:lastRowLastColumn="0"/>
            </w:pPr>
            <w:r>
              <w:t>2014–15</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D5D6D2" w:themeColor="background2"/>
              <w:right w:val="nil"/>
            </w:tcBorders>
            <w:shd w:val="clear" w:color="auto" w:fill="F2F2F2" w:themeFill="background1" w:themeFillShade="F2"/>
          </w:tcPr>
          <w:p w:rsidR="00017CD0" w:rsidRDefault="00017CD0" w:rsidP="00FD0948">
            <w:pPr>
              <w:pStyle w:val="Tabletextleft"/>
            </w:pPr>
            <w:r>
              <w:t>Adelaide</w:t>
            </w:r>
          </w:p>
        </w:tc>
        <w:tc>
          <w:tcPr>
            <w:tcW w:w="974"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4"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4"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4"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4"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left w:val="nil"/>
              <w:bottom w:val="single" w:sz="4" w:space="0" w:color="D5D6D2" w:themeColor="background2"/>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D5D6D2" w:themeColor="background2"/>
              <w:bottom w:val="nil"/>
              <w:right w:val="nil"/>
            </w:tcBorders>
          </w:tcPr>
          <w:p w:rsidR="00017CD0" w:rsidRDefault="00017CD0" w:rsidP="00FD0948">
            <w:pPr>
              <w:pStyle w:val="Tabletextleft"/>
            </w:pPr>
            <w:r>
              <w:t>Stevedoring cost index</w:t>
            </w:r>
          </w:p>
        </w:tc>
        <w:tc>
          <w:tcPr>
            <w:tcW w:w="974"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88.5</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86.3</w:t>
            </w:r>
          </w:p>
        </w:tc>
        <w:tc>
          <w:tcPr>
            <w:tcW w:w="974"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86.5</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84.6</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75.7</w:t>
            </w:r>
          </w:p>
        </w:tc>
        <w:tc>
          <w:tcPr>
            <w:tcW w:w="974"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69.9</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72.9</w:t>
            </w:r>
          </w:p>
        </w:tc>
        <w:tc>
          <w:tcPr>
            <w:tcW w:w="974"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90.9</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97.5</w:t>
            </w:r>
          </w:p>
        </w:tc>
        <w:tc>
          <w:tcPr>
            <w:tcW w:w="975" w:type="dxa"/>
            <w:tcBorders>
              <w:top w:val="single" w:sz="4" w:space="0" w:color="D5D6D2" w:themeColor="background2"/>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91.7</w:t>
            </w:r>
          </w:p>
        </w:tc>
        <w:tc>
          <w:tcPr>
            <w:tcW w:w="974" w:type="dxa"/>
            <w:tcBorders>
              <w:top w:val="single" w:sz="4" w:space="0" w:color="D5D6D2" w:themeColor="background2"/>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101.7</w:t>
            </w:r>
          </w:p>
        </w:tc>
        <w:tc>
          <w:tcPr>
            <w:tcW w:w="975" w:type="dxa"/>
            <w:tcBorders>
              <w:top w:val="single" w:sz="4" w:space="0" w:color="D5D6D2" w:themeColor="background2"/>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89.3</w:t>
            </w:r>
          </w:p>
        </w:tc>
        <w:tc>
          <w:tcPr>
            <w:tcW w:w="975" w:type="dxa"/>
            <w:tcBorders>
              <w:top w:val="single" w:sz="4" w:space="0" w:color="D5D6D2" w:themeColor="background2"/>
              <w:left w:val="nil"/>
              <w:bottom w:val="nil"/>
            </w:tcBorders>
          </w:tcPr>
          <w:p w:rsidR="00017CD0" w:rsidRDefault="00834BC7" w:rsidP="00FD0948">
            <w:pPr>
              <w:pStyle w:val="Tabletextright"/>
              <w:cnfStyle w:val="000000000000" w:firstRow="0" w:lastRow="0" w:firstColumn="0" w:lastColumn="0" w:oddVBand="0" w:evenVBand="0" w:oddHBand="0" w:evenHBand="0" w:firstRowFirstColumn="0" w:firstRowLastColumn="0" w:lastRowFirstColumn="0" w:lastRowLastColumn="0"/>
            </w:pPr>
            <w:r>
              <w:t>79.8</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tcPr>
          <w:p w:rsidR="00017CD0" w:rsidRDefault="00017CD0" w:rsidP="00FD0948">
            <w:pPr>
              <w:pStyle w:val="Tabletextleft"/>
            </w:pPr>
            <w:r>
              <w:t>Total labour cost index</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85.5</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80.5</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79.3</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79.2</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68.6</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62.9</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67.8</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72.4</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74.8</w:t>
            </w:r>
          </w:p>
        </w:tc>
        <w:tc>
          <w:tcPr>
            <w:tcW w:w="975"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83.6</w:t>
            </w:r>
          </w:p>
        </w:tc>
        <w:tc>
          <w:tcPr>
            <w:tcW w:w="974"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95.3</w:t>
            </w:r>
          </w:p>
        </w:tc>
        <w:tc>
          <w:tcPr>
            <w:tcW w:w="975"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94.0</w:t>
            </w:r>
          </w:p>
        </w:tc>
        <w:tc>
          <w:tcPr>
            <w:tcW w:w="975" w:type="dxa"/>
            <w:tcBorders>
              <w:top w:val="nil"/>
              <w:left w:val="nil"/>
              <w:bottom w:val="nil"/>
            </w:tcBorders>
          </w:tcPr>
          <w:p w:rsidR="00017CD0" w:rsidRDefault="00834BC7" w:rsidP="00FD0948">
            <w:pPr>
              <w:pStyle w:val="Tabletextright"/>
              <w:cnfStyle w:val="000000000000" w:firstRow="0" w:lastRow="0" w:firstColumn="0" w:lastColumn="0" w:oddVBand="0" w:evenVBand="0" w:oddHBand="0" w:evenHBand="0" w:firstRowFirstColumn="0" w:firstRowLastColumn="0" w:lastRowFirstColumn="0" w:lastRowLastColumn="0"/>
            </w:pPr>
            <w:r>
              <w:t>85.9</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tcPr>
          <w:p w:rsidR="00017CD0" w:rsidRDefault="00017CD0" w:rsidP="00FD0948">
            <w:pPr>
              <w:pStyle w:val="Tabletextleft"/>
            </w:pPr>
            <w:r>
              <w:t>Total equipment cost index</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109.7</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110.6</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107.2</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105.2</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121.6</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112.2</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107.7</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103.1</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116.1</w:t>
            </w:r>
          </w:p>
        </w:tc>
        <w:tc>
          <w:tcPr>
            <w:tcW w:w="975"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125.7</w:t>
            </w:r>
          </w:p>
        </w:tc>
        <w:tc>
          <w:tcPr>
            <w:tcW w:w="974"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120.3</w:t>
            </w:r>
          </w:p>
        </w:tc>
        <w:tc>
          <w:tcPr>
            <w:tcW w:w="975"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107.4</w:t>
            </w:r>
          </w:p>
        </w:tc>
        <w:tc>
          <w:tcPr>
            <w:tcW w:w="975" w:type="dxa"/>
            <w:tcBorders>
              <w:top w:val="nil"/>
              <w:left w:val="nil"/>
              <w:bottom w:val="nil"/>
            </w:tcBorders>
          </w:tcPr>
          <w:p w:rsidR="00017CD0" w:rsidRDefault="00834BC7" w:rsidP="00FD0948">
            <w:pPr>
              <w:pStyle w:val="Tabletextright"/>
              <w:cnfStyle w:val="000000000000" w:firstRow="0" w:lastRow="0" w:firstColumn="0" w:lastColumn="0" w:oddVBand="0" w:evenVBand="0" w:oddHBand="0" w:evenHBand="0" w:firstRowFirstColumn="0" w:firstRowLastColumn="0" w:lastRowFirstColumn="0" w:lastRowLastColumn="0"/>
            </w:pPr>
            <w:r>
              <w:t>86.1</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D5D6D2" w:themeColor="background2"/>
              <w:right w:val="nil"/>
            </w:tcBorders>
          </w:tcPr>
          <w:p w:rsidR="00017CD0" w:rsidRDefault="00017CD0" w:rsidP="00FD0948">
            <w:pPr>
              <w:pStyle w:val="Tabletextleft"/>
            </w:pPr>
            <w:r>
              <w:t>Total property cost index</w:t>
            </w:r>
          </w:p>
        </w:tc>
        <w:tc>
          <w:tcPr>
            <w:tcW w:w="974"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17.2</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18.8</w:t>
            </w:r>
          </w:p>
        </w:tc>
        <w:tc>
          <w:tcPr>
            <w:tcW w:w="974"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28.1</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22.0</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22.5</w:t>
            </w:r>
          </w:p>
        </w:tc>
        <w:tc>
          <w:tcPr>
            <w:tcW w:w="974"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26.0</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33.3</w:t>
            </w:r>
          </w:p>
        </w:tc>
        <w:tc>
          <w:tcPr>
            <w:tcW w:w="974"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119.6</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134.4</w:t>
            </w:r>
          </w:p>
        </w:tc>
        <w:tc>
          <w:tcPr>
            <w:tcW w:w="975" w:type="dxa"/>
            <w:tcBorders>
              <w:top w:val="nil"/>
              <w:left w:val="nil"/>
              <w:bottom w:val="single" w:sz="4" w:space="0" w:color="D5D6D2" w:themeColor="background2"/>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22.7</w:t>
            </w:r>
          </w:p>
        </w:tc>
        <w:tc>
          <w:tcPr>
            <w:tcW w:w="974" w:type="dxa"/>
            <w:tcBorders>
              <w:top w:val="nil"/>
              <w:left w:val="nil"/>
              <w:bottom w:val="single" w:sz="4" w:space="0" w:color="D5D6D2" w:themeColor="background2"/>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46.0</w:t>
            </w:r>
          </w:p>
        </w:tc>
        <w:tc>
          <w:tcPr>
            <w:tcW w:w="975" w:type="dxa"/>
            <w:tcBorders>
              <w:top w:val="nil"/>
              <w:left w:val="nil"/>
              <w:bottom w:val="single" w:sz="4" w:space="0" w:color="D5D6D2" w:themeColor="background2"/>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28.3</w:t>
            </w:r>
          </w:p>
        </w:tc>
        <w:tc>
          <w:tcPr>
            <w:tcW w:w="975" w:type="dxa"/>
            <w:tcBorders>
              <w:top w:val="nil"/>
              <w:left w:val="nil"/>
              <w:bottom w:val="single" w:sz="4" w:space="0" w:color="D5D6D2" w:themeColor="background2"/>
            </w:tcBorders>
          </w:tcPr>
          <w:p w:rsidR="00017CD0" w:rsidRDefault="00834BC7" w:rsidP="00FD0948">
            <w:pPr>
              <w:pStyle w:val="Tabletextright"/>
              <w:cnfStyle w:val="000000000000" w:firstRow="0" w:lastRow="0" w:firstColumn="0" w:lastColumn="0" w:oddVBand="0" w:evenVBand="0" w:oddHBand="0" w:evenHBand="0" w:firstRowFirstColumn="0" w:firstRowLastColumn="0" w:lastRowFirstColumn="0" w:lastRowLastColumn="0"/>
            </w:pPr>
            <w:r>
              <w:t>25.7</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D5D6D2" w:themeColor="background2"/>
              <w:bottom w:val="single" w:sz="4" w:space="0" w:color="D5D6D2" w:themeColor="background2"/>
              <w:right w:val="nil"/>
            </w:tcBorders>
            <w:shd w:val="clear" w:color="auto" w:fill="F2F2F2" w:themeFill="background1" w:themeFillShade="F2"/>
          </w:tcPr>
          <w:p w:rsidR="00017CD0" w:rsidRDefault="00017CD0" w:rsidP="00FD0948">
            <w:pPr>
              <w:pStyle w:val="Tabletextleft"/>
            </w:pPr>
            <w:r>
              <w:t>National</w:t>
            </w:r>
          </w:p>
        </w:tc>
        <w:tc>
          <w:tcPr>
            <w:tcW w:w="974"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4"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4"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4"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4"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top w:val="single" w:sz="4" w:space="0" w:color="D5D6D2" w:themeColor="background2"/>
              <w:left w:val="nil"/>
              <w:bottom w:val="single" w:sz="4" w:space="0" w:color="D5D6D2" w:themeColor="background2"/>
              <w:right w:val="nil"/>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c>
          <w:tcPr>
            <w:tcW w:w="975" w:type="dxa"/>
            <w:tcBorders>
              <w:top w:val="single" w:sz="4" w:space="0" w:color="D5D6D2" w:themeColor="background2"/>
              <w:left w:val="nil"/>
              <w:bottom w:val="single" w:sz="4" w:space="0" w:color="D5D6D2" w:themeColor="background2"/>
            </w:tcBorders>
            <w:shd w:val="clear" w:color="auto" w:fill="F2F2F2" w:themeFill="background1" w:themeFillShade="F2"/>
          </w:tcPr>
          <w:p w:rsidR="00017CD0" w:rsidRDefault="00017CD0" w:rsidP="00FD0948">
            <w:pPr>
              <w:pStyle w:val="Tabletextright"/>
              <w:cnfStyle w:val="000000000000" w:firstRow="0" w:lastRow="0" w:firstColumn="0" w:lastColumn="0" w:oddVBand="0" w:evenVBand="0" w:oddHBand="0" w:evenHBand="0" w:firstRowFirstColumn="0" w:firstRowLastColumn="0" w:lastRowFirstColumn="0" w:lastRowLastColumn="0"/>
            </w:pP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D5D6D2" w:themeColor="background2"/>
              <w:bottom w:val="nil"/>
              <w:right w:val="nil"/>
            </w:tcBorders>
          </w:tcPr>
          <w:p w:rsidR="00017CD0" w:rsidRDefault="00017CD0" w:rsidP="00FD0948">
            <w:pPr>
              <w:pStyle w:val="Tabletextleft"/>
            </w:pPr>
            <w:r>
              <w:t>Stevedoring cost index</w:t>
            </w:r>
          </w:p>
        </w:tc>
        <w:tc>
          <w:tcPr>
            <w:tcW w:w="974"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75.1</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73.3</w:t>
            </w:r>
          </w:p>
        </w:tc>
        <w:tc>
          <w:tcPr>
            <w:tcW w:w="974"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73.4</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71.8</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64.3</w:t>
            </w:r>
          </w:p>
        </w:tc>
        <w:tc>
          <w:tcPr>
            <w:tcW w:w="974"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59.4</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61.9</w:t>
            </w:r>
          </w:p>
        </w:tc>
        <w:tc>
          <w:tcPr>
            <w:tcW w:w="974"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77.2</w:t>
            </w:r>
          </w:p>
        </w:tc>
        <w:tc>
          <w:tcPr>
            <w:tcW w:w="975" w:type="dxa"/>
            <w:tcBorders>
              <w:top w:val="single" w:sz="4" w:space="0" w:color="D5D6D2" w:themeColor="background2"/>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82.8</w:t>
            </w:r>
          </w:p>
        </w:tc>
        <w:tc>
          <w:tcPr>
            <w:tcW w:w="975" w:type="dxa"/>
            <w:tcBorders>
              <w:top w:val="single" w:sz="4" w:space="0" w:color="D5D6D2" w:themeColor="background2"/>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77.9</w:t>
            </w:r>
          </w:p>
        </w:tc>
        <w:tc>
          <w:tcPr>
            <w:tcW w:w="974" w:type="dxa"/>
            <w:tcBorders>
              <w:top w:val="single" w:sz="4" w:space="0" w:color="D5D6D2" w:themeColor="background2"/>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86.4</w:t>
            </w:r>
          </w:p>
        </w:tc>
        <w:tc>
          <w:tcPr>
            <w:tcW w:w="975" w:type="dxa"/>
            <w:tcBorders>
              <w:top w:val="single" w:sz="4" w:space="0" w:color="D5D6D2" w:themeColor="background2"/>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75.8</w:t>
            </w:r>
          </w:p>
        </w:tc>
        <w:tc>
          <w:tcPr>
            <w:tcW w:w="975" w:type="dxa"/>
            <w:tcBorders>
              <w:top w:val="single" w:sz="4" w:space="0" w:color="D5D6D2" w:themeColor="background2"/>
              <w:left w:val="nil"/>
              <w:bottom w:val="nil"/>
            </w:tcBorders>
          </w:tcPr>
          <w:p w:rsidR="00017CD0" w:rsidRDefault="00834BC7" w:rsidP="00FD0948">
            <w:pPr>
              <w:pStyle w:val="Tabletextright"/>
              <w:cnfStyle w:val="000000000000" w:firstRow="0" w:lastRow="0" w:firstColumn="0" w:lastColumn="0" w:oddVBand="0" w:evenVBand="0" w:oddHBand="0" w:evenHBand="0" w:firstRowFirstColumn="0" w:firstRowLastColumn="0" w:lastRowFirstColumn="0" w:lastRowLastColumn="0"/>
            </w:pPr>
            <w:r>
              <w:t>67.7</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tcPr>
          <w:p w:rsidR="00017CD0" w:rsidRDefault="00017CD0" w:rsidP="00FD0948">
            <w:pPr>
              <w:pStyle w:val="Tabletextleft"/>
            </w:pPr>
            <w:r>
              <w:t>Total labour cost index</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74.1</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69.8</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68.8</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68.7</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59.4</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54.6</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58.8</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62.8</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64.8</w:t>
            </w:r>
          </w:p>
        </w:tc>
        <w:tc>
          <w:tcPr>
            <w:tcW w:w="975"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72.5</w:t>
            </w:r>
          </w:p>
        </w:tc>
        <w:tc>
          <w:tcPr>
            <w:tcW w:w="974"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82.7</w:t>
            </w:r>
          </w:p>
        </w:tc>
        <w:tc>
          <w:tcPr>
            <w:tcW w:w="975"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81.5</w:t>
            </w:r>
          </w:p>
        </w:tc>
        <w:tc>
          <w:tcPr>
            <w:tcW w:w="975" w:type="dxa"/>
            <w:tcBorders>
              <w:top w:val="nil"/>
              <w:left w:val="nil"/>
              <w:bottom w:val="nil"/>
            </w:tcBorders>
          </w:tcPr>
          <w:p w:rsidR="00017CD0" w:rsidRDefault="00834BC7" w:rsidP="00FD0948">
            <w:pPr>
              <w:pStyle w:val="Tabletextright"/>
              <w:cnfStyle w:val="000000000000" w:firstRow="0" w:lastRow="0" w:firstColumn="0" w:lastColumn="0" w:oddVBand="0" w:evenVBand="0" w:oddHBand="0" w:evenHBand="0" w:firstRowFirstColumn="0" w:firstRowLastColumn="0" w:lastRowFirstColumn="0" w:lastRowLastColumn="0"/>
            </w:pPr>
            <w:r>
              <w:t>74.5</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tcPr>
          <w:p w:rsidR="00017CD0" w:rsidRDefault="00017CD0" w:rsidP="00FD0948">
            <w:pPr>
              <w:pStyle w:val="Tabletextleft"/>
            </w:pPr>
            <w:r>
              <w:t>Total equipment cost index</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85.7</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86.5</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83.8</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82.2</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95.1</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87.7</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84.2</w:t>
            </w:r>
          </w:p>
        </w:tc>
        <w:tc>
          <w:tcPr>
            <w:tcW w:w="974"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80.6</w:t>
            </w:r>
          </w:p>
        </w:tc>
        <w:tc>
          <w:tcPr>
            <w:tcW w:w="975" w:type="dxa"/>
            <w:tcBorders>
              <w:top w:val="nil"/>
              <w:left w:val="nil"/>
              <w:bottom w:val="nil"/>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90.7</w:t>
            </w:r>
          </w:p>
        </w:tc>
        <w:tc>
          <w:tcPr>
            <w:tcW w:w="975"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98.2</w:t>
            </w:r>
          </w:p>
        </w:tc>
        <w:tc>
          <w:tcPr>
            <w:tcW w:w="974"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94.0</w:t>
            </w:r>
          </w:p>
        </w:tc>
        <w:tc>
          <w:tcPr>
            <w:tcW w:w="975" w:type="dxa"/>
            <w:tcBorders>
              <w:top w:val="nil"/>
              <w:left w:val="nil"/>
              <w:bottom w:val="nil"/>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83.9</w:t>
            </w:r>
          </w:p>
        </w:tc>
        <w:tc>
          <w:tcPr>
            <w:tcW w:w="975" w:type="dxa"/>
            <w:tcBorders>
              <w:top w:val="nil"/>
              <w:left w:val="nil"/>
              <w:bottom w:val="nil"/>
            </w:tcBorders>
          </w:tcPr>
          <w:p w:rsidR="00017CD0" w:rsidRDefault="00834BC7" w:rsidP="00FD0948">
            <w:pPr>
              <w:pStyle w:val="Tabletextright"/>
              <w:cnfStyle w:val="000000000000" w:firstRow="0" w:lastRow="0" w:firstColumn="0" w:lastColumn="0" w:oddVBand="0" w:evenVBand="0" w:oddHBand="0" w:evenHBand="0" w:firstRowFirstColumn="0" w:firstRowLastColumn="0" w:lastRowFirstColumn="0" w:lastRowLastColumn="0"/>
            </w:pPr>
            <w:r>
              <w:t>67.3</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D5D6D2" w:themeColor="background2"/>
              <w:right w:val="nil"/>
            </w:tcBorders>
          </w:tcPr>
          <w:p w:rsidR="00017CD0" w:rsidRDefault="00017CD0" w:rsidP="00FD0948">
            <w:pPr>
              <w:pStyle w:val="Tabletextleft"/>
            </w:pPr>
            <w:r>
              <w:t>Total property cost index</w:t>
            </w:r>
          </w:p>
        </w:tc>
        <w:tc>
          <w:tcPr>
            <w:tcW w:w="974"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11.6</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12.6</w:t>
            </w:r>
          </w:p>
        </w:tc>
        <w:tc>
          <w:tcPr>
            <w:tcW w:w="974"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18.7</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14.7</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15.1</w:t>
            </w:r>
          </w:p>
        </w:tc>
        <w:tc>
          <w:tcPr>
            <w:tcW w:w="974"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17.3</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22.2</w:t>
            </w:r>
          </w:p>
        </w:tc>
        <w:tc>
          <w:tcPr>
            <w:tcW w:w="974"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80.0</w:t>
            </w:r>
          </w:p>
        </w:tc>
        <w:tc>
          <w:tcPr>
            <w:tcW w:w="975" w:type="dxa"/>
            <w:tcBorders>
              <w:top w:val="nil"/>
              <w:left w:val="nil"/>
              <w:bottom w:val="single" w:sz="4" w:space="0" w:color="D5D6D2" w:themeColor="background2"/>
              <w:right w:val="nil"/>
            </w:tcBorders>
          </w:tcPr>
          <w:p w:rsidR="00017CD0" w:rsidRDefault="002B4622" w:rsidP="00FD0948">
            <w:pPr>
              <w:pStyle w:val="Tabletextright"/>
              <w:cnfStyle w:val="000000000000" w:firstRow="0" w:lastRow="0" w:firstColumn="0" w:lastColumn="0" w:oddVBand="0" w:evenVBand="0" w:oddHBand="0" w:evenHBand="0" w:firstRowFirstColumn="0" w:firstRowLastColumn="0" w:lastRowFirstColumn="0" w:lastRowLastColumn="0"/>
            </w:pPr>
            <w:r>
              <w:t>89.8</w:t>
            </w:r>
          </w:p>
        </w:tc>
        <w:tc>
          <w:tcPr>
            <w:tcW w:w="975" w:type="dxa"/>
            <w:tcBorders>
              <w:top w:val="nil"/>
              <w:left w:val="nil"/>
              <w:bottom w:val="single" w:sz="4" w:space="0" w:color="D5D6D2" w:themeColor="background2"/>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15.2</w:t>
            </w:r>
          </w:p>
        </w:tc>
        <w:tc>
          <w:tcPr>
            <w:tcW w:w="974" w:type="dxa"/>
            <w:tcBorders>
              <w:top w:val="nil"/>
              <w:left w:val="nil"/>
              <w:bottom w:val="single" w:sz="4" w:space="0" w:color="D5D6D2" w:themeColor="background2"/>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30.7</w:t>
            </w:r>
          </w:p>
        </w:tc>
        <w:tc>
          <w:tcPr>
            <w:tcW w:w="975" w:type="dxa"/>
            <w:tcBorders>
              <w:top w:val="nil"/>
              <w:left w:val="nil"/>
              <w:bottom w:val="single" w:sz="4" w:space="0" w:color="D5D6D2" w:themeColor="background2"/>
              <w:right w:val="nil"/>
            </w:tcBorders>
          </w:tcPr>
          <w:p w:rsidR="00017CD0" w:rsidRDefault="000500C2" w:rsidP="00FD0948">
            <w:pPr>
              <w:pStyle w:val="Tabletextright"/>
              <w:cnfStyle w:val="000000000000" w:firstRow="0" w:lastRow="0" w:firstColumn="0" w:lastColumn="0" w:oddVBand="0" w:evenVBand="0" w:oddHBand="0" w:evenHBand="0" w:firstRowFirstColumn="0" w:firstRowLastColumn="0" w:lastRowFirstColumn="0" w:lastRowLastColumn="0"/>
            </w:pPr>
            <w:r>
              <w:t>19.0</w:t>
            </w:r>
          </w:p>
        </w:tc>
        <w:tc>
          <w:tcPr>
            <w:tcW w:w="975" w:type="dxa"/>
            <w:tcBorders>
              <w:top w:val="nil"/>
              <w:left w:val="nil"/>
              <w:bottom w:val="single" w:sz="4" w:space="0" w:color="D5D6D2" w:themeColor="background2"/>
            </w:tcBorders>
          </w:tcPr>
          <w:p w:rsidR="00017CD0" w:rsidRDefault="00834BC7" w:rsidP="00FD0948">
            <w:pPr>
              <w:pStyle w:val="Tabletextright"/>
              <w:cnfStyle w:val="000000000000" w:firstRow="0" w:lastRow="0" w:firstColumn="0" w:lastColumn="0" w:oddVBand="0" w:evenVBand="0" w:oddHBand="0" w:evenHBand="0" w:firstRowFirstColumn="0" w:firstRowLastColumn="0" w:lastRowFirstColumn="0" w:lastRowLastColumn="0"/>
            </w:pPr>
            <w:r>
              <w:t>17.2</w:t>
            </w:r>
          </w:p>
        </w:tc>
      </w:tr>
      <w:tr w:rsidR="00017CD0" w:rsidTr="002B462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D5D6D2" w:themeColor="background2"/>
              <w:right w:val="nil"/>
            </w:tcBorders>
            <w:shd w:val="clear" w:color="auto" w:fill="F2F2F2" w:themeFill="background1" w:themeFillShade="F2"/>
          </w:tcPr>
          <w:p w:rsidR="00017CD0" w:rsidRDefault="00017CD0" w:rsidP="00FD0948">
            <w:pPr>
              <w:pStyle w:val="Tabletextleft"/>
            </w:pPr>
            <w:r>
              <w:t>Total cost* index</w:t>
            </w:r>
          </w:p>
        </w:tc>
        <w:tc>
          <w:tcPr>
            <w:tcW w:w="974"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76.2</w:t>
            </w:r>
          </w:p>
        </w:tc>
        <w:tc>
          <w:tcPr>
            <w:tcW w:w="975"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71.2</w:t>
            </w:r>
          </w:p>
        </w:tc>
        <w:tc>
          <w:tcPr>
            <w:tcW w:w="974"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73.9</w:t>
            </w:r>
          </w:p>
        </w:tc>
        <w:tc>
          <w:tcPr>
            <w:tcW w:w="975"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72.4</w:t>
            </w:r>
          </w:p>
        </w:tc>
        <w:tc>
          <w:tcPr>
            <w:tcW w:w="975"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65.4</w:t>
            </w:r>
          </w:p>
        </w:tc>
        <w:tc>
          <w:tcPr>
            <w:tcW w:w="974"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61.2</w:t>
            </w:r>
          </w:p>
        </w:tc>
        <w:tc>
          <w:tcPr>
            <w:tcW w:w="975"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63.7</w:t>
            </w:r>
          </w:p>
        </w:tc>
        <w:tc>
          <w:tcPr>
            <w:tcW w:w="974"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67.2</w:t>
            </w:r>
          </w:p>
        </w:tc>
        <w:tc>
          <w:tcPr>
            <w:tcW w:w="975" w:type="dxa"/>
            <w:tcBorders>
              <w:top w:val="single" w:sz="4" w:space="0" w:color="D5D6D2" w:themeColor="background2"/>
              <w:left w:val="nil"/>
              <w:right w:val="nil"/>
            </w:tcBorders>
            <w:shd w:val="clear" w:color="auto" w:fill="F2F2F2" w:themeFill="background1" w:themeFillShade="F2"/>
          </w:tcPr>
          <w:p w:rsidR="00017CD0" w:rsidRDefault="002B4622" w:rsidP="000500C2">
            <w:pPr>
              <w:pStyle w:val="Tabletextheadingright"/>
              <w:cnfStyle w:val="000000000000" w:firstRow="0" w:lastRow="0" w:firstColumn="0" w:lastColumn="0" w:oddVBand="0" w:evenVBand="0" w:oddHBand="0" w:evenHBand="0" w:firstRowFirstColumn="0" w:firstRowLastColumn="0" w:lastRowFirstColumn="0" w:lastRowLastColumn="0"/>
            </w:pPr>
            <w:r>
              <w:t>72.0</w:t>
            </w:r>
          </w:p>
        </w:tc>
        <w:tc>
          <w:tcPr>
            <w:tcW w:w="975" w:type="dxa"/>
            <w:tcBorders>
              <w:top w:val="single" w:sz="4" w:space="0" w:color="D5D6D2" w:themeColor="background2"/>
              <w:left w:val="nil"/>
              <w:right w:val="nil"/>
            </w:tcBorders>
            <w:shd w:val="clear" w:color="auto" w:fill="F2F2F2" w:themeFill="background1" w:themeFillShade="F2"/>
          </w:tcPr>
          <w:p w:rsidR="00017CD0" w:rsidRDefault="000500C2" w:rsidP="000500C2">
            <w:pPr>
              <w:pStyle w:val="Tabletextheadingright"/>
              <w:cnfStyle w:val="000000000000" w:firstRow="0" w:lastRow="0" w:firstColumn="0" w:lastColumn="0" w:oddVBand="0" w:evenVBand="0" w:oddHBand="0" w:evenHBand="0" w:firstRowFirstColumn="0" w:firstRowLastColumn="0" w:lastRowFirstColumn="0" w:lastRowLastColumn="0"/>
            </w:pPr>
            <w:r>
              <w:t>74.8</w:t>
            </w:r>
          </w:p>
        </w:tc>
        <w:tc>
          <w:tcPr>
            <w:tcW w:w="974" w:type="dxa"/>
            <w:tcBorders>
              <w:top w:val="single" w:sz="4" w:space="0" w:color="D5D6D2" w:themeColor="background2"/>
              <w:left w:val="nil"/>
              <w:right w:val="nil"/>
            </w:tcBorders>
            <w:shd w:val="clear" w:color="auto" w:fill="F2F2F2" w:themeFill="background1" w:themeFillShade="F2"/>
          </w:tcPr>
          <w:p w:rsidR="00017CD0" w:rsidRDefault="000500C2" w:rsidP="000500C2">
            <w:pPr>
              <w:pStyle w:val="Tabletextheadingright"/>
              <w:cnfStyle w:val="000000000000" w:firstRow="0" w:lastRow="0" w:firstColumn="0" w:lastColumn="0" w:oddVBand="0" w:evenVBand="0" w:oddHBand="0" w:evenHBand="0" w:firstRowFirstColumn="0" w:firstRowLastColumn="0" w:lastRowFirstColumn="0" w:lastRowLastColumn="0"/>
            </w:pPr>
            <w:r>
              <w:t>85.3</w:t>
            </w:r>
          </w:p>
        </w:tc>
        <w:tc>
          <w:tcPr>
            <w:tcW w:w="975" w:type="dxa"/>
            <w:tcBorders>
              <w:top w:val="single" w:sz="4" w:space="0" w:color="D5D6D2" w:themeColor="background2"/>
              <w:left w:val="nil"/>
              <w:right w:val="nil"/>
            </w:tcBorders>
            <w:shd w:val="clear" w:color="auto" w:fill="F2F2F2" w:themeFill="background1" w:themeFillShade="F2"/>
          </w:tcPr>
          <w:p w:rsidR="00017CD0" w:rsidRDefault="000500C2" w:rsidP="000500C2">
            <w:pPr>
              <w:pStyle w:val="Tabletextheadingright"/>
              <w:cnfStyle w:val="000000000000" w:firstRow="0" w:lastRow="0" w:firstColumn="0" w:lastColumn="0" w:oddVBand="0" w:evenVBand="0" w:oddHBand="0" w:evenHBand="0" w:firstRowFirstColumn="0" w:firstRowLastColumn="0" w:lastRowFirstColumn="0" w:lastRowLastColumn="0"/>
            </w:pPr>
            <w:r>
              <w:t>79.5</w:t>
            </w:r>
          </w:p>
        </w:tc>
        <w:tc>
          <w:tcPr>
            <w:tcW w:w="975" w:type="dxa"/>
            <w:tcBorders>
              <w:top w:val="single" w:sz="4" w:space="0" w:color="D5D6D2" w:themeColor="background2"/>
              <w:left w:val="nil"/>
            </w:tcBorders>
            <w:shd w:val="clear" w:color="auto" w:fill="F2F2F2" w:themeFill="background1" w:themeFillShade="F2"/>
          </w:tcPr>
          <w:p w:rsidR="00017CD0" w:rsidRDefault="00834BC7" w:rsidP="000500C2">
            <w:pPr>
              <w:pStyle w:val="Tabletextheadingright"/>
              <w:cnfStyle w:val="000000000000" w:firstRow="0" w:lastRow="0" w:firstColumn="0" w:lastColumn="0" w:oddVBand="0" w:evenVBand="0" w:oddHBand="0" w:evenHBand="0" w:firstRowFirstColumn="0" w:firstRowLastColumn="0" w:lastRowFirstColumn="0" w:lastRowLastColumn="0"/>
            </w:pPr>
            <w:r>
              <w:t>72.9</w:t>
            </w:r>
          </w:p>
        </w:tc>
      </w:tr>
    </w:tbl>
    <w:p w:rsidR="002B4622" w:rsidRDefault="00017CD0" w:rsidP="00017CD0">
      <w:pPr>
        <w:pStyle w:val="Source"/>
        <w:sectPr w:rsidR="002B4622" w:rsidSect="004C4DA7">
          <w:footerReference w:type="default" r:id="rId36"/>
          <w:pgSz w:w="16838" w:h="11906" w:orient="landscape"/>
          <w:pgMar w:top="1440" w:right="1276" w:bottom="1440" w:left="1440" w:header="708" w:footer="708" w:gutter="0"/>
          <w:cols w:space="708"/>
          <w:docGrid w:linePitch="360"/>
        </w:sectPr>
      </w:pPr>
      <w:r>
        <w:t xml:space="preserve">Base year is </w:t>
      </w:r>
      <w:r w:rsidR="00D8433D">
        <w:t>1998–99</w:t>
      </w:r>
      <w:r w:rsidR="00665A98">
        <w:t xml:space="preserve"> </w:t>
      </w:r>
      <w:r>
        <w:t>=</w:t>
      </w:r>
      <w:r w:rsidR="00665A98">
        <w:t xml:space="preserve"> </w:t>
      </w:r>
      <w:r>
        <w:t xml:space="preserve">100. Index estimates for </w:t>
      </w:r>
      <w:r w:rsidR="00D8433D">
        <w:t>1999–00</w:t>
      </w:r>
      <w:r>
        <w:t xml:space="preserve">, </w:t>
      </w:r>
      <w:r w:rsidR="00D8433D">
        <w:t>2000–01</w:t>
      </w:r>
      <w:r>
        <w:t xml:space="preserve"> and </w:t>
      </w:r>
      <w:r w:rsidR="00D8433D">
        <w:t>2001–02</w:t>
      </w:r>
      <w:r>
        <w:t xml:space="preserve"> are publicly available in</w:t>
      </w:r>
      <w:r w:rsidR="002B4622">
        <w:t xml:space="preserve"> </w:t>
      </w:r>
      <w:r w:rsidR="00B15E89" w:rsidRPr="00861DD3">
        <w:rPr>
          <w:i/>
        </w:rPr>
        <w:t>Container stevedoring m</w:t>
      </w:r>
      <w:r w:rsidR="002B4622" w:rsidRPr="00861DD3">
        <w:rPr>
          <w:i/>
        </w:rPr>
        <w:t xml:space="preserve">onitoring </w:t>
      </w:r>
      <w:r w:rsidR="00B15E89" w:rsidRPr="00861DD3">
        <w:rPr>
          <w:i/>
        </w:rPr>
        <w:t>r</w:t>
      </w:r>
      <w:r w:rsidR="002B4622" w:rsidRPr="00861DD3">
        <w:rPr>
          <w:i/>
        </w:rPr>
        <w:t>eport</w:t>
      </w:r>
      <w:r w:rsidR="002B4622">
        <w:t xml:space="preserve"> </w:t>
      </w:r>
      <w:r w:rsidR="00B15E89">
        <w:t>n</w:t>
      </w:r>
      <w:r w:rsidR="002B4622">
        <w:t>o. 14</w:t>
      </w:r>
      <w:r w:rsidR="00B15E89">
        <w:t xml:space="preserve"> (</w:t>
      </w:r>
      <w:r w:rsidR="00D8433D">
        <w:t>2011–12</w:t>
      </w:r>
      <w:r w:rsidR="00B15E89">
        <w:t>)</w:t>
      </w:r>
      <w:r w:rsidR="002B4622">
        <w:t>.</w:t>
      </w:r>
      <w:r w:rsidR="002B4622">
        <w:br/>
      </w:r>
      <w:r>
        <w:t xml:space="preserve">National index for </w:t>
      </w:r>
      <w:r w:rsidR="00D8433D">
        <w:t>1998–99</w:t>
      </w:r>
      <w:r>
        <w:t xml:space="preserve">, </w:t>
      </w:r>
      <w:r w:rsidR="00D8433D">
        <w:t>1999–00</w:t>
      </w:r>
      <w:r>
        <w:t xml:space="preserve"> and </w:t>
      </w:r>
      <w:r w:rsidR="00D8433D">
        <w:t>2000–01</w:t>
      </w:r>
      <w:r>
        <w:t xml:space="preserve"> recognises joint ownership arrangements of container </w:t>
      </w:r>
      <w:r w:rsidR="002B4622">
        <w:t xml:space="preserve">terminal facilities at that time for Brisbane and Adelaide by CSX World Terminals. Operations at Brisbane were terminated in August 2001. </w:t>
      </w:r>
      <w:r w:rsidR="002B4622">
        <w:br/>
      </w:r>
      <w:r>
        <w:t>*Other costs are included in the total cost index but not shown as a separate cost category.</w:t>
      </w:r>
    </w:p>
    <w:p w:rsidR="00017CD0" w:rsidRDefault="000500C2" w:rsidP="000500C2">
      <w:pPr>
        <w:pStyle w:val="Appendixheading1"/>
      </w:pPr>
      <w:bookmarkStart w:id="67" w:name="_Toc433667031"/>
      <w:r>
        <w:t>Characteristics of the stevedoring industry</w:t>
      </w:r>
      <w:bookmarkEnd w:id="67"/>
    </w:p>
    <w:p w:rsidR="000500C2" w:rsidRDefault="000500C2" w:rsidP="000500C2">
      <w:pPr>
        <w:pStyle w:val="Appendixheading2"/>
      </w:pPr>
      <w:r>
        <w:t>Supply of stevedoring services</w:t>
      </w:r>
    </w:p>
    <w:p w:rsidR="000500C2" w:rsidRDefault="000500C2" w:rsidP="000500C2">
      <w:r w:rsidRPr="000500C2">
        <w:t xml:space="preserve">Container stevedoring services involves lifting of containerised cargo on and off ships. Stevedoring companies provide other related services such as storage, maintenance and repositioning of containers. Stevedores also provide services that facilitate the movement of containers from the terminals to road and rail transport links. Arrangements between </w:t>
      </w:r>
      <w:r>
        <w:t>s</w:t>
      </w:r>
      <w:r w:rsidRPr="000500C2">
        <w:t>hipping companies and other port service providers (e.g. towage) can also often be ar</w:t>
      </w:r>
      <w:r>
        <w:t xml:space="preserve">ranged through the stevedore. </w:t>
      </w:r>
    </w:p>
    <w:p w:rsidR="000500C2" w:rsidRDefault="000500C2" w:rsidP="000500C2">
      <w:pPr>
        <w:pStyle w:val="Appendixheading3"/>
      </w:pPr>
      <w:r>
        <w:t>Structural arrangements</w:t>
      </w:r>
    </w:p>
    <w:p w:rsidR="000500C2" w:rsidRDefault="000500C2" w:rsidP="000500C2">
      <w:r>
        <w:t>In Australia, stevedoring services are provided by specialist firms that own container</w:t>
      </w:r>
      <w:r w:rsidR="00E23D0A">
        <w:noBreakHyphen/>
      </w:r>
      <w:r>
        <w:t xml:space="preserve">handling equipment (i.e. cranes and straddles). These stevedoring firms lease berthing and terminal space from </w:t>
      </w:r>
      <w:r w:rsidR="0035299E">
        <w:t>port operators</w:t>
      </w:r>
      <w:r>
        <w:t>. Typically, these lease arrangements provide exclusive use of terminal and berthing space and are long term, ranging from 20 to 40 years. These long</w:t>
      </w:r>
      <w:r w:rsidR="0055370A">
        <w:t xml:space="preserve"> </w:t>
      </w:r>
      <w:r>
        <w:t xml:space="preserve">term arrangements between stevedores and </w:t>
      </w:r>
      <w:r w:rsidR="0035299E">
        <w:t>port operators</w:t>
      </w:r>
      <w:r>
        <w:t xml:space="preserve"> may affect </w:t>
      </w:r>
      <w:r w:rsidR="005607FC">
        <w:t xml:space="preserve">the level of </w:t>
      </w:r>
      <w:r>
        <w:t>contestability in the industry.</w:t>
      </w:r>
    </w:p>
    <w:p w:rsidR="000500C2" w:rsidRDefault="000500C2" w:rsidP="000500C2">
      <w:r>
        <w:t xml:space="preserve">Overseas, stevedoring services are provided under different types of arrangements, such as those with greater integration between the port management and stevedoring functions. For example, at some overseas ports, port </w:t>
      </w:r>
      <w:r w:rsidR="003B5EAA">
        <w:t xml:space="preserve">operators </w:t>
      </w:r>
      <w:r>
        <w:t>not only own and manage the port precinct, but supply stevedoring services at the port.</w:t>
      </w:r>
      <w:r>
        <w:rPr>
          <w:rStyle w:val="FootnoteReference"/>
        </w:rPr>
        <w:footnoteReference w:id="106"/>
      </w:r>
      <w:r>
        <w:t xml:space="preserve"> At other ports, port </w:t>
      </w:r>
      <w:r w:rsidR="003B5EAA">
        <w:t xml:space="preserve">operators </w:t>
      </w:r>
      <w:r>
        <w:t>own container handling equipment but subcontract the use of this equipment to third-party firms to supply stevedoring services.</w:t>
      </w:r>
    </w:p>
    <w:p w:rsidR="000500C2" w:rsidRDefault="000500C2" w:rsidP="000500C2">
      <w:pPr>
        <w:pStyle w:val="Appendixheading3"/>
      </w:pPr>
      <w:r>
        <w:t>Market participants</w:t>
      </w:r>
    </w:p>
    <w:p w:rsidR="000500C2" w:rsidRDefault="000500C2" w:rsidP="000500C2">
      <w:r>
        <w:t xml:space="preserve">At the Port of Brisbane and Port Botany there are three providers of container stevedoring services: </w:t>
      </w:r>
      <w:r w:rsidR="0051494F" w:rsidRPr="0051494F">
        <w:t xml:space="preserve">Patrick Terminals </w:t>
      </w:r>
      <w:r w:rsidR="0051494F">
        <w:t>&amp;</w:t>
      </w:r>
      <w:r w:rsidR="0051494F" w:rsidRPr="0051494F">
        <w:t xml:space="preserve"> Logistics</w:t>
      </w:r>
      <w:r w:rsidR="005607FC">
        <w:t>,</w:t>
      </w:r>
      <w:r>
        <w:rPr>
          <w:rStyle w:val="FootnoteReference"/>
        </w:rPr>
        <w:footnoteReference w:id="107"/>
      </w:r>
      <w:r>
        <w:t xml:space="preserve"> </w:t>
      </w:r>
      <w:r w:rsidR="005607FC">
        <w:t>DP World Australia Ltd</w:t>
      </w:r>
      <w:r w:rsidR="005607FC">
        <w:rPr>
          <w:rStyle w:val="FootnoteReference"/>
        </w:rPr>
        <w:footnoteReference w:id="108"/>
      </w:r>
      <w:r w:rsidR="005607FC">
        <w:t xml:space="preserve"> </w:t>
      </w:r>
      <w:r>
        <w:t>and a new entrant, Hutchison Ports Australia Pty Ltd.</w:t>
      </w:r>
      <w:r>
        <w:rPr>
          <w:rStyle w:val="FootnoteReference"/>
        </w:rPr>
        <w:footnoteReference w:id="109"/>
      </w:r>
      <w:r>
        <w:t xml:space="preserve"> H</w:t>
      </w:r>
      <w:r w:rsidR="0051494F">
        <w:t>utchison</w:t>
      </w:r>
      <w:r>
        <w:t xml:space="preserve"> commenced operations in Brisbane in </w:t>
      </w:r>
      <w:r w:rsidR="00665A98">
        <w:fldChar w:fldCharType="begin"/>
      </w:r>
      <w:r w:rsidR="00665A98">
        <w:instrText xml:space="preserve"> EQ 2012–13 </w:instrText>
      </w:r>
      <w:r w:rsidR="00665A98">
        <w:fldChar w:fldCharType="end"/>
      </w:r>
      <w:r>
        <w:t xml:space="preserve">and </w:t>
      </w:r>
      <w:r w:rsidR="00E71BFF">
        <w:t>in Sydney</w:t>
      </w:r>
      <w:r>
        <w:t xml:space="preserve"> in 2013–14.   </w:t>
      </w:r>
    </w:p>
    <w:p w:rsidR="000500C2" w:rsidRDefault="000500C2" w:rsidP="000500C2">
      <w:r>
        <w:t xml:space="preserve">At the Port of Melbourne, there are currently two providers of container stevedoring services, DP World and Patrick. A third provider, Victorian International Container Terminal Ltd, has been appointed to operate the new container terminal at Webb Dock. Work on phase one of the new terminal is expected to be completed in </w:t>
      </w:r>
      <w:r w:rsidR="002C7073">
        <w:t xml:space="preserve">late </w:t>
      </w:r>
      <w:r>
        <w:t>2016.</w:t>
      </w:r>
    </w:p>
    <w:p w:rsidR="000500C2" w:rsidRDefault="000500C2" w:rsidP="000500C2">
      <w:r>
        <w:t>At the Port of Fremantle, DP World and Patrick are the two providers of container stevedoring services.</w:t>
      </w:r>
    </w:p>
    <w:p w:rsidR="000500C2" w:rsidRDefault="000500C2" w:rsidP="000500C2">
      <w:r>
        <w:t xml:space="preserve">At the Port of Adelaide, there is one container stevedore, </w:t>
      </w:r>
      <w:r w:rsidR="002C7073">
        <w:t>Flinders Adelaide Container Terminal (</w:t>
      </w:r>
      <w:r>
        <w:t>FACT</w:t>
      </w:r>
      <w:r w:rsidR="002C7073">
        <w:t>)</w:t>
      </w:r>
      <w:r>
        <w:t xml:space="preserve"> (a subsidiary of Flinders Ports).</w:t>
      </w:r>
      <w:r w:rsidR="00465FFD">
        <w:rPr>
          <w:rStyle w:val="FootnoteReference"/>
        </w:rPr>
        <w:footnoteReference w:id="110"/>
      </w:r>
      <w:r>
        <w:t xml:space="preserve"> </w:t>
      </w:r>
    </w:p>
    <w:p w:rsidR="000500C2" w:rsidRDefault="000500C2" w:rsidP="000500C2">
      <w:r w:rsidRPr="000500C2">
        <w:t>At the Port of Burnie, Patrick previously operated a terminal. However, in May 2011, this facility was decommissioned.</w:t>
      </w:r>
    </w:p>
    <w:p w:rsidR="000500C2" w:rsidRDefault="000500C2" w:rsidP="000500C2">
      <w:pPr>
        <w:pStyle w:val="Appendixheading3"/>
      </w:pPr>
      <w:r>
        <w:t>Size of the market</w:t>
      </w:r>
    </w:p>
    <w:p w:rsidR="000500C2" w:rsidRDefault="000500C2" w:rsidP="000500C2">
      <w:r>
        <w:t>Total throughput at Australian ports in 201</w:t>
      </w:r>
      <w:r w:rsidR="00F00AFF">
        <w:t>4</w:t>
      </w:r>
      <w:r>
        <w:t>–1</w:t>
      </w:r>
      <w:r w:rsidR="00F00AFF">
        <w:t>5</w:t>
      </w:r>
      <w:r>
        <w:t xml:space="preserve"> was about </w:t>
      </w:r>
      <w:r w:rsidR="00075667">
        <w:t>7.1</w:t>
      </w:r>
      <w:r w:rsidR="00F00AFF">
        <w:t xml:space="preserve"> million </w:t>
      </w:r>
      <w:r w:rsidR="00324BBC">
        <w:t>TEUs</w:t>
      </w:r>
      <w:r w:rsidR="00F00AFF">
        <w:t>.</w:t>
      </w:r>
      <w:r w:rsidR="00F00AFF">
        <w:rPr>
          <w:rStyle w:val="FootnoteReference"/>
        </w:rPr>
        <w:footnoteReference w:id="111"/>
      </w:r>
    </w:p>
    <w:p w:rsidR="000500C2" w:rsidRDefault="000500C2" w:rsidP="000500C2">
      <w:r>
        <w:t xml:space="preserve">Melbourne is Australia’s largest port, with container throughput of around </w:t>
      </w:r>
      <w:r w:rsidR="00075667">
        <w:t>2.6</w:t>
      </w:r>
      <w:r>
        <w:t xml:space="preserve"> million </w:t>
      </w:r>
      <w:r w:rsidR="00324BBC">
        <w:t>TEUs</w:t>
      </w:r>
      <w:r>
        <w:t xml:space="preserve"> in 201</w:t>
      </w:r>
      <w:r w:rsidR="00F00AFF">
        <w:t>4</w:t>
      </w:r>
      <w:r>
        <w:t>–1</w:t>
      </w:r>
      <w:r w:rsidR="00F00AFF">
        <w:t>5</w:t>
      </w:r>
      <w:r>
        <w:t xml:space="preserve">. Sydney is Australia’s second largest port, processing about </w:t>
      </w:r>
      <w:r w:rsidR="00075667">
        <w:t>2.3</w:t>
      </w:r>
      <w:r>
        <w:t xml:space="preserve"> million </w:t>
      </w:r>
      <w:r w:rsidR="00324BBC">
        <w:t>TEUs</w:t>
      </w:r>
      <w:r>
        <w:t xml:space="preserve"> in 201</w:t>
      </w:r>
      <w:r w:rsidR="00F00AFF">
        <w:t>4</w:t>
      </w:r>
      <w:r>
        <w:t>–1</w:t>
      </w:r>
      <w:r w:rsidR="00F00AFF">
        <w:t>5</w:t>
      </w:r>
      <w:r>
        <w:t>. The third largest monitored port in 201</w:t>
      </w:r>
      <w:r w:rsidR="00F00AFF">
        <w:t>4</w:t>
      </w:r>
      <w:r>
        <w:t>–1</w:t>
      </w:r>
      <w:r w:rsidR="00F00AFF">
        <w:t>5</w:t>
      </w:r>
      <w:r>
        <w:t xml:space="preserve"> was Brisbane (</w:t>
      </w:r>
      <w:r w:rsidR="00075667">
        <w:t>1.1</w:t>
      </w:r>
      <w:r>
        <w:t xml:space="preserve"> million </w:t>
      </w:r>
      <w:r w:rsidR="00324BBC">
        <w:t>TEUs</w:t>
      </w:r>
      <w:r>
        <w:t>),</w:t>
      </w:r>
      <w:r w:rsidR="00F00AFF">
        <w:t xml:space="preserve"> followed by Fremantle (around </w:t>
      </w:r>
      <w:r w:rsidR="00075667">
        <w:t>743 600</w:t>
      </w:r>
      <w:r>
        <w:t xml:space="preserve"> </w:t>
      </w:r>
      <w:r w:rsidR="00324BBC">
        <w:t>TEUs</w:t>
      </w:r>
      <w:r>
        <w:t xml:space="preserve">) and then Adelaide (around </w:t>
      </w:r>
      <w:r w:rsidR="00075667">
        <w:t>365 900</w:t>
      </w:r>
      <w:r>
        <w:t xml:space="preserve"> </w:t>
      </w:r>
      <w:r w:rsidR="00324BBC">
        <w:t>TEUs</w:t>
      </w:r>
      <w:r>
        <w:t>).</w:t>
      </w:r>
    </w:p>
    <w:p w:rsidR="000500C2" w:rsidRDefault="000500C2" w:rsidP="000500C2">
      <w:pPr>
        <w:pStyle w:val="Appendixheading3"/>
      </w:pPr>
      <w:r>
        <w:t>Capacity in stevedoring</w:t>
      </w:r>
    </w:p>
    <w:p w:rsidR="00F00AFF" w:rsidRDefault="00F00AFF" w:rsidP="00F00AFF">
      <w:r>
        <w:t>In recent years</w:t>
      </w:r>
      <w:r w:rsidR="00E23D0A">
        <w:t>,</w:t>
      </w:r>
      <w:r>
        <w:t xml:space="preserve"> there has been a focus on increasing the capacity of ports and container terminals to cope with expected growth in containerised trade. </w:t>
      </w:r>
    </w:p>
    <w:p w:rsidR="00F00AFF" w:rsidRDefault="00F00AFF" w:rsidP="00F00AFF">
      <w:r>
        <w:t xml:space="preserve">Managing stevedoring capacity is the responsibility of both stevedores and </w:t>
      </w:r>
      <w:r w:rsidR="0035299E">
        <w:t>port operators</w:t>
      </w:r>
      <w:r w:rsidR="0059485A">
        <w:t>.</w:t>
      </w:r>
      <w:r w:rsidR="00BF5CB9">
        <w:t xml:space="preserve"> </w:t>
      </w:r>
      <w:r w:rsidR="0059485A">
        <w:t>S</w:t>
      </w:r>
      <w:r w:rsidR="00BF5CB9">
        <w:t xml:space="preserve">tate governments also </w:t>
      </w:r>
      <w:r w:rsidR="0059485A">
        <w:t>have an interest</w:t>
      </w:r>
      <w:r>
        <w:t xml:space="preserve">. Capacity is determined by a number of factors, which vary in terms of the ease with which they can be manipulated to increase capacity at a port. These factors include: </w:t>
      </w:r>
    </w:p>
    <w:p w:rsidR="00F00AFF" w:rsidRDefault="00F00AFF" w:rsidP="00F00AFF">
      <w:pPr>
        <w:pStyle w:val="Bulletpoint"/>
      </w:pPr>
      <w:r>
        <w:t>quay length</w:t>
      </w:r>
    </w:p>
    <w:p w:rsidR="00F00AFF" w:rsidRDefault="00F00AFF" w:rsidP="00F00AFF">
      <w:pPr>
        <w:pStyle w:val="Bulletpoint"/>
      </w:pPr>
      <w:r>
        <w:t>berth utilisation</w:t>
      </w:r>
    </w:p>
    <w:p w:rsidR="00F00AFF" w:rsidRDefault="00F00AFF" w:rsidP="00F00AFF">
      <w:pPr>
        <w:pStyle w:val="Bulletpoint"/>
      </w:pPr>
      <w:r>
        <w:t>total number and size of cranes</w:t>
      </w:r>
    </w:p>
    <w:p w:rsidR="00F00AFF" w:rsidRDefault="00F00AFF" w:rsidP="00F00AFF">
      <w:pPr>
        <w:pStyle w:val="Bulletpoint"/>
      </w:pPr>
      <w:r>
        <w:t>size and use of the container storage (yard) space</w:t>
      </w:r>
    </w:p>
    <w:p w:rsidR="00F00AFF" w:rsidRDefault="00F00AFF" w:rsidP="00F00AFF">
      <w:pPr>
        <w:pStyle w:val="Bulletpoint"/>
      </w:pPr>
      <w:r>
        <w:t>size and skill of the labour force</w:t>
      </w:r>
    </w:p>
    <w:p w:rsidR="00F00AFF" w:rsidRDefault="00F00AFF" w:rsidP="00F00AFF">
      <w:pPr>
        <w:pStyle w:val="Bulletpoint"/>
      </w:pPr>
      <w:proofErr w:type="gramStart"/>
      <w:r>
        <w:t>application</w:t>
      </w:r>
      <w:proofErr w:type="gramEnd"/>
      <w:r>
        <w:t xml:space="preserve"> of new technologies relating to the use of terminal space. </w:t>
      </w:r>
    </w:p>
    <w:p w:rsidR="00F00AFF" w:rsidRDefault="00F00AFF" w:rsidP="00F00AFF">
      <w:r>
        <w:t xml:space="preserve">It is important that the above factors are managed and utilised </w:t>
      </w:r>
      <w:r w:rsidR="0079213D">
        <w:t xml:space="preserve">effectively </w:t>
      </w:r>
      <w:r>
        <w:t>to ensure that capacity at a port is sufficient to meet demand</w:t>
      </w:r>
      <w:r w:rsidR="001920CE">
        <w:t xml:space="preserve"> and it is operating efficiently</w:t>
      </w:r>
      <w:r>
        <w:t xml:space="preserve">. </w:t>
      </w:r>
    </w:p>
    <w:p w:rsidR="00F00AFF" w:rsidRDefault="00F00AFF" w:rsidP="00F00AFF">
      <w:r>
        <w:t xml:space="preserve">Quay length is likely to be the most significant factor because it provides an absolute constraint on the number of ships that can berth at any one time. </w:t>
      </w:r>
      <w:r w:rsidR="0079213D">
        <w:t>Q</w:t>
      </w:r>
      <w:r>
        <w:t>uay length is fixed in the short term and acts as a physical restraint on capacity</w:t>
      </w:r>
      <w:r w:rsidR="0079213D">
        <w:t xml:space="preserve">. </w:t>
      </w:r>
      <w:r w:rsidR="0035299E">
        <w:t>Port operators</w:t>
      </w:r>
      <w:r>
        <w:t xml:space="preserve"> </w:t>
      </w:r>
      <w:r w:rsidR="0079213D">
        <w:t xml:space="preserve">largely </w:t>
      </w:r>
      <w:r>
        <w:t>control the quay length available and allocated to the stevedores as part of their overall land management responsibilities.</w:t>
      </w:r>
    </w:p>
    <w:p w:rsidR="00F00AFF" w:rsidRDefault="00F00AFF" w:rsidP="00F00AFF">
      <w:r>
        <w:t>The utilisation rate of shipping berths is likely to be influenced by several factors. These may include the arrival pattern of ships, whether they are part of a regular service or arrive at random, and the regularity with which ships arrive within or outside of their allocated windows. The time stevedores spend servicing the ship at the berth may also influence berth utilisation rates.</w:t>
      </w:r>
    </w:p>
    <w:p w:rsidR="00F00AFF" w:rsidRDefault="00F00AFF" w:rsidP="00F00AFF">
      <w:r>
        <w:t>Stevedores have direct control over the number, size and type of equipment used in the provision of stevedoring services. The number of cranes is fixed in the short term and therefore sets a ceiling on the level of throughput in any given period of time. Whether this ceiling is reached is determined by the productivity of the cranes</w:t>
      </w:r>
      <w:r w:rsidR="001920CE">
        <w:t xml:space="preserve"> and demand</w:t>
      </w:r>
      <w:r>
        <w:t>.</w:t>
      </w:r>
    </w:p>
    <w:p w:rsidR="00F00AFF" w:rsidRDefault="00F00AFF" w:rsidP="00F00AFF">
      <w:r>
        <w:t xml:space="preserve">While </w:t>
      </w:r>
      <w:r w:rsidR="0035299E">
        <w:t>port operators</w:t>
      </w:r>
      <w:r>
        <w:t xml:space="preserve"> determine the size of yard space allocated to the stevedores, the stevedores are responsible for managing the efficiency of this yard space. The amount of yard space available for container storage has been limited by continued growth of other port activities and encroachment of surrounding residential areas in metropolitan ports like Melbourne and Sydney. Consequently, some container storage facilities have been moved away from the immediate port area to locations in close proximity. It has also forced stevedores to consider the ways in which they manage their yard capacity, including the layout of the yard, the container dwell time and optimal stacking heights.</w:t>
      </w:r>
    </w:p>
    <w:p w:rsidR="00F00AFF" w:rsidRDefault="00AB53A7" w:rsidP="00F00AFF">
      <w:r>
        <w:t xml:space="preserve">Other factors that influence terminal capacity over which the </w:t>
      </w:r>
      <w:r w:rsidR="000A2602">
        <w:t>stevedores</w:t>
      </w:r>
      <w:r>
        <w:t xml:space="preserve"> have control include</w:t>
      </w:r>
      <w:r w:rsidR="00F00AFF">
        <w:t xml:space="preserve"> the size and skills of the labour force as well as the degree to which new technologies are employed at their terminals.</w:t>
      </w:r>
    </w:p>
    <w:p w:rsidR="00F00AFF" w:rsidRDefault="00F00AFF" w:rsidP="00F00AFF">
      <w:r>
        <w:t>Because of the unpredictable nature of shipping services, infrastructure to provide stevedoring services must be sufficiently large and flexible to process irregular and fluctuating levels of throughput. As volumes increase, periods of peak activity become more frequent and intense. It is likely that in an efficiently configured stevedoring operation there will be some surplus capacity, in terms of both quay crane capacity and yard capacity.</w:t>
      </w:r>
    </w:p>
    <w:p w:rsidR="00F00AFF" w:rsidRDefault="00F00AFF" w:rsidP="00F00AFF">
      <w:pPr>
        <w:pStyle w:val="Appendixheading3"/>
      </w:pPr>
      <w:r>
        <w:t>Expansion of ancillary services</w:t>
      </w:r>
    </w:p>
    <w:p w:rsidR="00F00AFF" w:rsidRDefault="00F00AFF" w:rsidP="00F00AFF">
      <w:r>
        <w:t xml:space="preserve">The role of stevedoring in the overall transport logistics chain appears to be changing as stevedores are increasingly expanding their operations in related services. There seem to be two main areas where change is manifesting. One is in services that are ancillary to the stevedoring function. These are services that facilitate a more effective interface with land transport by allowing shippers to move containers more quickly and efficiently from the wharf into their preferred land transport link. Examples of these ancillary services are short stay container storage and interface with the Australian Customs and Border Protection Service on container examination activities. The other is coordination of stevedoring with road and rail transport to create a more seamless freight logistics chain. A good example of this is the stevedores’ membership in the Port Botany Rail Team which meets every month and is designed to enhance rail operational performance, transport supply chain visibility and more effective rail interface with the container terminals. </w:t>
      </w:r>
    </w:p>
    <w:p w:rsidR="00F00AFF" w:rsidRDefault="00F00AFF" w:rsidP="00F00AFF">
      <w:r>
        <w:t xml:space="preserve">Stevedores </w:t>
      </w:r>
      <w:r w:rsidR="001920CE">
        <w:t>control</w:t>
      </w:r>
      <w:r>
        <w:t xml:space="preserve"> access to container terminals and therefore earn revenue from, and have arrangements with, road and rail transport operators for access to the port. These arrangements are facilitated by vehicle booking systems and rail ‘windows’ (i.e. timeslots during which the train is able to exchange cargo at the port) in an effort to reduce landside bottlenecks.   </w:t>
      </w:r>
    </w:p>
    <w:p w:rsidR="00F00AFF" w:rsidRDefault="00F00AFF" w:rsidP="00F00AFF">
      <w:r>
        <w:t xml:space="preserve">Unlike in the provision of quayside services, stevedores do not have </w:t>
      </w:r>
      <w:r w:rsidR="00080A84">
        <w:t xml:space="preserve">individual commercially negotiated </w:t>
      </w:r>
      <w:r>
        <w:t>contractual obligations with trucking operators. This may affect the incentive of the stevedores to allocate resources to process trucking movements through their terminals.</w:t>
      </w:r>
    </w:p>
    <w:p w:rsidR="00F00AFF" w:rsidRDefault="00F00AFF" w:rsidP="00F00AFF">
      <w:pPr>
        <w:pStyle w:val="Appendixheading3"/>
      </w:pPr>
      <w:r>
        <w:t>Barriers to entry and exit</w:t>
      </w:r>
    </w:p>
    <w:p w:rsidR="00F00AFF" w:rsidRDefault="00F00AFF" w:rsidP="00F00AFF">
      <w:r>
        <w:t xml:space="preserve">Entry and exit costs are important determinants of the degree of contestability in an industry. The higher the entry and exit costs, the lower the potential for new entrants to constrain the behaviour of incumbents. If entry and exit barriers are low, the ability of incumbents, or even an existing monopolist, to charge high prices and earn above normal profits is limited. </w:t>
      </w:r>
    </w:p>
    <w:p w:rsidR="00A47EA7" w:rsidRPr="00CB67E9" w:rsidRDefault="00A47EA7" w:rsidP="008575F2">
      <w:r w:rsidRPr="00CB67E9">
        <w:t xml:space="preserve">The ACCC notes that </w:t>
      </w:r>
      <w:r w:rsidR="002721C2" w:rsidRPr="00CB67E9">
        <w:t xml:space="preserve">a </w:t>
      </w:r>
      <w:r w:rsidR="008575F2" w:rsidRPr="00CB67E9">
        <w:t>significant</w:t>
      </w:r>
      <w:r w:rsidR="00B74FFB" w:rsidRPr="00CB67E9">
        <w:t xml:space="preserve"> level of expenditure is </w:t>
      </w:r>
      <w:r w:rsidR="00B03D0F" w:rsidRPr="00CB67E9">
        <w:t xml:space="preserve">required to </w:t>
      </w:r>
      <w:r w:rsidR="00B74FFB" w:rsidRPr="00CB67E9">
        <w:t>enter</w:t>
      </w:r>
      <w:r w:rsidR="00B03D0F" w:rsidRPr="00CB67E9">
        <w:t xml:space="preserve"> container </w:t>
      </w:r>
      <w:r w:rsidR="00B74FFB" w:rsidRPr="00CB67E9">
        <w:t>stevedoring</w:t>
      </w:r>
      <w:r w:rsidR="008575F2" w:rsidRPr="00CB67E9">
        <w:t xml:space="preserve">, some of which may represent sunk costs to </w:t>
      </w:r>
      <w:r w:rsidR="00BF2267" w:rsidRPr="00CB67E9">
        <w:t>a stevedore</w:t>
      </w:r>
      <w:r w:rsidR="008575F2" w:rsidRPr="00CB67E9">
        <w:t>.</w:t>
      </w:r>
      <w:r w:rsidR="008575F2" w:rsidRPr="00CB67E9">
        <w:rPr>
          <w:rStyle w:val="FootnoteReference"/>
        </w:rPr>
        <w:footnoteReference w:id="112"/>
      </w:r>
      <w:r w:rsidR="00B03D0F" w:rsidRPr="00CB67E9">
        <w:t xml:space="preserve"> </w:t>
      </w:r>
      <w:r w:rsidR="00001FD8" w:rsidRPr="00CB67E9">
        <w:t>E</w:t>
      </w:r>
      <w:r w:rsidR="00B74FFB" w:rsidRPr="00CB67E9">
        <w:t>xpense</w:t>
      </w:r>
      <w:r w:rsidR="002721C2" w:rsidRPr="00CB67E9">
        <w:t>s</w:t>
      </w:r>
      <w:r w:rsidR="00B74FFB" w:rsidRPr="00CB67E9">
        <w:t xml:space="preserve"> </w:t>
      </w:r>
      <w:r w:rsidR="00001FD8" w:rsidRPr="00CB67E9">
        <w:t xml:space="preserve">associated with entry </w:t>
      </w:r>
      <w:r w:rsidR="00B74FFB" w:rsidRPr="00CB67E9">
        <w:t xml:space="preserve">would not only </w:t>
      </w:r>
      <w:r w:rsidR="002721C2" w:rsidRPr="00CB67E9">
        <w:t>constitute</w:t>
      </w:r>
      <w:r w:rsidR="00B74FFB" w:rsidRPr="00CB67E9">
        <w:t xml:space="preserve"> equipment costs and the costs of</w:t>
      </w:r>
      <w:r w:rsidR="002721C2" w:rsidRPr="00CB67E9">
        <w:t xml:space="preserve"> physically</w:t>
      </w:r>
      <w:r w:rsidR="00B74FFB" w:rsidRPr="00CB67E9">
        <w:t xml:space="preserve"> developing a terminal, but also </w:t>
      </w:r>
      <w:r w:rsidR="002721C2" w:rsidRPr="00CB67E9">
        <w:t>third-party service</w:t>
      </w:r>
      <w:r w:rsidR="00D83F5C" w:rsidRPr="00CB67E9">
        <w:t xml:space="preserve"> costs</w:t>
      </w:r>
      <w:r w:rsidR="002721C2" w:rsidRPr="00CB67E9">
        <w:t xml:space="preserve"> </w:t>
      </w:r>
      <w:r w:rsidR="00B74FFB" w:rsidRPr="00CB67E9">
        <w:t>as well as costs associated with tendering for a terminal lease</w:t>
      </w:r>
      <w:r w:rsidR="00001FD8" w:rsidRPr="00CB67E9">
        <w:t>,</w:t>
      </w:r>
      <w:r w:rsidR="00BF2267" w:rsidRPr="00CB67E9">
        <w:t xml:space="preserve"> among others</w:t>
      </w:r>
      <w:r w:rsidR="00B74FFB" w:rsidRPr="00CB67E9">
        <w:t xml:space="preserve">. </w:t>
      </w:r>
    </w:p>
    <w:p w:rsidR="00A47EA7" w:rsidRDefault="00F00AFF" w:rsidP="00A47EA7">
      <w:r w:rsidRPr="00CB67E9">
        <w:t>In 1998</w:t>
      </w:r>
      <w:r w:rsidR="001920CE" w:rsidRPr="00CB67E9">
        <w:t>,</w:t>
      </w:r>
      <w:r w:rsidRPr="00CB67E9">
        <w:t xml:space="preserve"> the Productivity Commission considered evidence suggesting that the cost of establishing a presence in the stevedoring industry may not represent a significant obstacle to entry.</w:t>
      </w:r>
      <w:r w:rsidRPr="00CB67E9">
        <w:rPr>
          <w:rStyle w:val="FootnoteReference"/>
        </w:rPr>
        <w:footnoteReference w:id="113"/>
      </w:r>
      <w:r w:rsidRPr="00CB67E9">
        <w:t xml:space="preserve"> </w:t>
      </w:r>
      <w:r w:rsidR="00BF2267" w:rsidRPr="00CB67E9">
        <w:t>T</w:t>
      </w:r>
      <w:r w:rsidR="002721C2" w:rsidRPr="00CB67E9">
        <w:t xml:space="preserve">he PC </w:t>
      </w:r>
      <w:r w:rsidR="00B74FFB" w:rsidRPr="00CB67E9">
        <w:t>found</w:t>
      </w:r>
      <w:r w:rsidR="00A47EA7" w:rsidRPr="00CB67E9">
        <w:t xml:space="preserve"> that while equipment costs are high, such equipment can be sold to other stevedores and moved between ports</w:t>
      </w:r>
      <w:r w:rsidR="00B74FFB" w:rsidRPr="00CB67E9">
        <w:t>. For this reason, the PC observed that</w:t>
      </w:r>
      <w:r w:rsidR="00A47EA7" w:rsidRPr="00CB67E9">
        <w:t xml:space="preserve"> the high start-up costs in themselves do not constitute a major barrier to entry.</w:t>
      </w:r>
      <w:r w:rsidR="00B74FFB" w:rsidRPr="00CB67E9">
        <w:rPr>
          <w:rStyle w:val="FootnoteReference"/>
        </w:rPr>
        <w:footnoteReference w:id="114"/>
      </w:r>
      <w:r w:rsidR="00A47EA7" w:rsidRPr="00CB67E9">
        <w:t xml:space="preserve"> </w:t>
      </w:r>
      <w:r w:rsidRPr="00CB67E9">
        <w:t>However, other features of the industry may make entry difficult.</w:t>
      </w:r>
      <w:r>
        <w:t xml:space="preserve"> </w:t>
      </w:r>
    </w:p>
    <w:p w:rsidR="00F00AFF" w:rsidRDefault="00F00AFF" w:rsidP="00F00AFF">
      <w:r>
        <w:t>The ACCC has not formed a view about the height of barriers to entry in the container stevedoring industry. However, there are features of the industry that may form barriers to entry in certain circumstances</w:t>
      </w:r>
      <w:r w:rsidR="007A6153">
        <w:t>—</w:t>
      </w:r>
      <w:r>
        <w:t>for example, the presence of economies of scale and the exclusive and long</w:t>
      </w:r>
      <w:r w:rsidR="0055370A">
        <w:t xml:space="preserve"> </w:t>
      </w:r>
      <w:r>
        <w:t xml:space="preserve">term nature of lease arrangements between stevedores and </w:t>
      </w:r>
      <w:r w:rsidR="0035299E">
        <w:t>port operators</w:t>
      </w:r>
      <w:r>
        <w:t xml:space="preserve">. However, the entry of </w:t>
      </w:r>
      <w:r w:rsidR="00D5479E">
        <w:t>Hutchison</w:t>
      </w:r>
      <w:r>
        <w:t xml:space="preserve"> </w:t>
      </w:r>
      <w:r w:rsidR="00746E22">
        <w:t>in</w:t>
      </w:r>
      <w:r>
        <w:t xml:space="preserve"> Brisbane and </w:t>
      </w:r>
      <w:r w:rsidR="00730288">
        <w:t>Sydney</w:t>
      </w:r>
      <w:r w:rsidR="001920CE">
        <w:t xml:space="preserve"> and forthcoming entry of VICTL in Melbourne</w:t>
      </w:r>
      <w:r>
        <w:t xml:space="preserve"> suggests that such barriers can be overcome under certain circumstances</w:t>
      </w:r>
      <w:r w:rsidR="007A6153">
        <w:t>—</w:t>
      </w:r>
      <w:r>
        <w:t xml:space="preserve">for example, where leases to operate terminals are made available by ports and state governments. </w:t>
      </w:r>
    </w:p>
    <w:p w:rsidR="00F00AFF" w:rsidRDefault="00F00AFF" w:rsidP="00F00AFF">
      <w:pPr>
        <w:pStyle w:val="Appendixheading2"/>
      </w:pPr>
      <w:r>
        <w:t>Demand for stevedoring services</w:t>
      </w:r>
    </w:p>
    <w:p w:rsidR="00F00AFF" w:rsidRDefault="00F00AFF" w:rsidP="00F00AFF">
      <w:r>
        <w:t xml:space="preserve">The users of stevedoring services are most commonly foreign shipping lines. Some shipping lines that service Australian ports are part of consortia arrangements in which several lines participate to share space on vessels. </w:t>
      </w:r>
    </w:p>
    <w:p w:rsidR="00F00AFF" w:rsidRDefault="00F00AFF" w:rsidP="00F00AFF">
      <w:r>
        <w:t>The demand for stevedoring services is a derived demand. The absolute size of the market is determined by the volume of shipping transport, which in turn is strongly influenced by general economic activity and competition from other forms of transport such as air, road and rail. Stevedores are not able to significantly influence the overall size of the shipping transport market.</w:t>
      </w:r>
    </w:p>
    <w:p w:rsidR="00F00AFF" w:rsidRDefault="00F00AFF" w:rsidP="00F00AFF">
      <w:r>
        <w:t xml:space="preserve">The total amount of demand for stevedoring services is also influenced by the trading route decisions of shipping lines, in particular whether they will call into a certain port. Some locations may not be suitably situated for shipping lines—for example, a location may constitute too much of a diversion from the shipping line’s trade route, a direct shipping route may not be available to that location or the sea channel may not allow the passage of a particular size of vessel. </w:t>
      </w:r>
    </w:p>
    <w:p w:rsidR="00F00AFF" w:rsidRDefault="00F00AFF" w:rsidP="00F00AFF">
      <w:r>
        <w:t>While it appears that shipping lines regularly change shipping routes and regularity of cargo services, the largest Australian ports are not generally considered substitutable. However, shipping lines do consider a number of other factors when determining whether to call into a port. These include their customers’ demands and charges incurred by the shipping line to reach that port (e.g. fuel costs).</w:t>
      </w:r>
    </w:p>
    <w:p w:rsidR="00F00AFF" w:rsidRDefault="00F00AFF" w:rsidP="00F00AFF">
      <w:pPr>
        <w:pStyle w:val="Appendixheading3"/>
      </w:pPr>
      <w:r>
        <w:t>20- and 40-foo</w:t>
      </w:r>
      <w:r w:rsidR="009D24A8">
        <w:t>t</w:t>
      </w:r>
      <w:r>
        <w:t xml:space="preserve"> containers</w:t>
      </w:r>
    </w:p>
    <w:p w:rsidR="001920CE" w:rsidRDefault="00F00AFF" w:rsidP="00F00AFF">
      <w:r>
        <w:t>The ACCC has been collecting product differentiated data since 2</w:t>
      </w:r>
      <w:r w:rsidR="001920CE">
        <w:t>001–02</w:t>
      </w:r>
      <w:r w:rsidR="007A6153">
        <w:t>—</w:t>
      </w:r>
      <w:r w:rsidR="001920CE">
        <w:t xml:space="preserve">that is, data </w:t>
      </w:r>
      <w:r w:rsidR="00CB67E9">
        <w:t>disaggregated</w:t>
      </w:r>
      <w:r w:rsidR="001920CE">
        <w:t xml:space="preserve"> by 20- and 40-foot </w:t>
      </w:r>
      <w:r w:rsidR="00CB67E9">
        <w:t xml:space="preserve">container </w:t>
      </w:r>
      <w:r w:rsidR="001920CE">
        <w:t>volumes.</w:t>
      </w:r>
      <w:r>
        <w:t xml:space="preserve"> </w:t>
      </w:r>
    </w:p>
    <w:p w:rsidR="00F00AFF" w:rsidRDefault="001920CE" w:rsidP="00F00AFF">
      <w:r>
        <w:t>This</w:t>
      </w:r>
      <w:r w:rsidR="00F00AFF">
        <w:t xml:space="preserve"> data indicates that the use of 40-foot containers has increased at a faster rate than 20</w:t>
      </w:r>
      <w:r w:rsidR="00CB67E9">
        <w:noBreakHyphen/>
      </w:r>
      <w:r w:rsidR="00F00AFF">
        <w:t>foot containers. The data also suggests that stevedores charge less for 40-foot containers on a per TEU basis than for 20-foot containers. This could be one of the reasons why shippers (importers/exporters) are increasing their relative demand for 40-foot containers.</w:t>
      </w:r>
    </w:p>
    <w:p w:rsidR="00F00AFF" w:rsidRDefault="00F00AFF" w:rsidP="00F00AFF">
      <w:r>
        <w:t>The impact of 40-foot containers on the stevedores’ average costs is not clear. While the costs of lifting 20- and 40-foot containers may be reasonably similar, the ACCC understands from market inquiries that there may be higher costs involved in storing and re-positioning 40-foot containers. According to one stevedore, the difference in cost can be enough to justify differential pricing when 40-foot containers constitute a substantial proportion of a customer’s business.</w:t>
      </w:r>
    </w:p>
    <w:p w:rsidR="00F00AFF" w:rsidRDefault="00F00AFF" w:rsidP="00F00AFF">
      <w:pPr>
        <w:pStyle w:val="Appendixheading3"/>
      </w:pPr>
      <w:r>
        <w:t>Potential countervailing power: threat of moving business elsewhere</w:t>
      </w:r>
    </w:p>
    <w:p w:rsidR="00F00AFF" w:rsidRDefault="00F00AFF" w:rsidP="00F00AFF">
      <w:r>
        <w:t xml:space="preserve">An important determinant of competition between incumbent stevedores is the extent to which their customers are able to exercise countervailing power. </w:t>
      </w:r>
    </w:p>
    <w:p w:rsidR="00F00AFF" w:rsidRDefault="00F00AFF" w:rsidP="00F00AFF">
      <w:r>
        <w:t xml:space="preserve">Some Australian ports may be used by a small number of liner groupings. Each can represent a substantial proportion of throughput at a given port. This means that the loss of a particular line’s business can potentially have significant financial consequences for a stevedore. It might therefore be argued that by threatening to shift their business, shipping lines have the ability to exert countervailing power against stevedores. </w:t>
      </w:r>
    </w:p>
    <w:p w:rsidR="00F00AFF" w:rsidRDefault="00F00AFF" w:rsidP="00F00AFF">
      <w:r>
        <w:t xml:space="preserve">The extent to which shipping lines can switch stevedores and exert countervailing power may be restricted by contractual obligations with their current provider of stevedoring services. This countervailing power may also be constrained in the short term </w:t>
      </w:r>
      <w:r w:rsidR="009D24A8">
        <w:t xml:space="preserve">where </w:t>
      </w:r>
      <w:r>
        <w:t xml:space="preserve">the stevedores have limited capacity to service significantly higher levels of business (especially during periods of peak demand). While most terminals currently appear to have some spare capacity, it may not be sufficient to service a substantially larger proportion of the market. Furthermore, where a shipping line seeks a national contract, capacity constraints at only one terminal may effectively preclude that line being accommodated. </w:t>
      </w:r>
    </w:p>
    <w:p w:rsidR="00F00AFF" w:rsidRDefault="00F00AFF" w:rsidP="00F00AFF">
      <w:r>
        <w:t>Inter-port competition may be limited in Australia due to the large distances between major ports. A shipping line’s ability to switch to a stevedore in a different port will be influenced by any additional costs of steaming between ports as well as the land transport costs of moving the cargo to its ultimate destination. These costs may reduce the scope for shipping lines to switch easily to different ports, and so reduce their potential countervailing power.</w:t>
      </w:r>
    </w:p>
    <w:p w:rsidR="00F00AFF" w:rsidRDefault="00F00AFF" w:rsidP="00F00AFF">
      <w:pPr>
        <w:pStyle w:val="Appendixheading3"/>
      </w:pPr>
      <w:r>
        <w:t>Sensitivity to prices and quality of service</w:t>
      </w:r>
    </w:p>
    <w:p w:rsidR="00F00AFF" w:rsidRDefault="00F00AFF" w:rsidP="00F00AFF">
      <w:r>
        <w:t xml:space="preserve">The extent of demand sensitivity to prices and service levels can have an important bearing on the competitive discipline faced by firms. Generally, the more sensitive consumers are to prices, the greater is a firm’s potential loss of revenue in response to a price rise. Firms that face a relatively price sensitive demand are likely to have less discretion in setting prices. </w:t>
      </w:r>
    </w:p>
    <w:p w:rsidR="00F00AFF" w:rsidRDefault="00F00AFF" w:rsidP="00F00AFF">
      <w:r>
        <w:t xml:space="preserve">The evidence on price sensitivity in the stevedoring industry is mixed. </w:t>
      </w:r>
      <w:r w:rsidR="001920CE">
        <w:t xml:space="preserve">It may be that shipping lines may be more sensitive to quality of service than to </w:t>
      </w:r>
      <w:r w:rsidR="00B904E6">
        <w:t>price</w:t>
      </w:r>
      <w:r w:rsidR="001920CE">
        <w:t xml:space="preserve">. Shipping lines are particularly sensitive to the cost of waiting idly at a port or adjusting port visit times. A stevedore’s ability to provide efficient and reliable services within specified time windows, minimising waiting costs, is important in facilitating faster transit times for shipping lines. That said, the ACCC has received views from industry that price is increasingly important given reported current conditions in shipping markets as well as increased capacity and customer service in stevedoring. </w:t>
      </w:r>
    </w:p>
    <w:p w:rsidR="00F00AFF" w:rsidRDefault="001920CE" w:rsidP="00F00AFF">
      <w:r>
        <w:t>The ACCC is aware that shipping lines switch stevedores from time to time. One recent and notable example is “K” Line switching from DP World to Patrick in early 2014.</w:t>
      </w:r>
      <w:r>
        <w:rPr>
          <w:rStyle w:val="FootnoteReference"/>
        </w:rPr>
        <w:footnoteReference w:id="115"/>
      </w:r>
      <w:r>
        <w:t xml:space="preserve"> </w:t>
      </w:r>
      <w:r w:rsidR="005E0DF2">
        <w:t>A</w:t>
      </w:r>
      <w:r w:rsidR="00D53FB1">
        <w:t>nother</w:t>
      </w:r>
      <w:r w:rsidR="005E0DF2">
        <w:t xml:space="preserve"> recent example is ANL’s decision to move its </w:t>
      </w:r>
      <w:proofErr w:type="spellStart"/>
      <w:r w:rsidR="005E0DF2">
        <w:t>Tranztas</w:t>
      </w:r>
      <w:proofErr w:type="spellEnd"/>
      <w:r w:rsidR="005E0DF2">
        <w:t xml:space="preserve"> service from Patrick to Hutchison and DP World in 2015 citing the reason as “totally unsatisfactory” service.</w:t>
      </w:r>
      <w:r w:rsidR="005E0DF2">
        <w:rPr>
          <w:rStyle w:val="FootnoteReference"/>
        </w:rPr>
        <w:footnoteReference w:id="116"/>
      </w:r>
      <w:r w:rsidR="005E0DF2">
        <w:t xml:space="preserve"> </w:t>
      </w:r>
    </w:p>
    <w:p w:rsidR="00F00AFF" w:rsidRDefault="00F00AFF" w:rsidP="00F00AFF">
      <w:pPr>
        <w:pStyle w:val="Appendixheading2"/>
      </w:pPr>
      <w:r>
        <w:t>Regulation of ports and port services</w:t>
      </w:r>
    </w:p>
    <w:p w:rsidR="00D95A7F" w:rsidRDefault="00F00AFF" w:rsidP="00F00AFF">
      <w:r>
        <w:t xml:space="preserve">The approach taken by state governments to regulating ports and port services varies across states. Generally speaking, the states and territories control the port </w:t>
      </w:r>
      <w:proofErr w:type="gramStart"/>
      <w:r>
        <w:t>precincts,</w:t>
      </w:r>
      <w:proofErr w:type="gramEnd"/>
      <w:r>
        <w:t xml:space="preserve"> adjacent land uses and in most cases the connecting transport systems. They can own and finance port related lands and assets, and have environmental and safety regulatory responsibilities. </w:t>
      </w:r>
      <w:r w:rsidR="001920CE">
        <w:t>For details of regulatory measures in place across ports see section 1.4.1.</w:t>
      </w:r>
    </w:p>
    <w:p w:rsidR="00F00AFF" w:rsidRDefault="001920CE" w:rsidP="00D95A7F">
      <w:r>
        <w:t>Three of the monitored ports have been privatised</w:t>
      </w:r>
      <w:r w:rsidR="007A6153">
        <w:t>—</w:t>
      </w:r>
      <w:r w:rsidR="00D95A7F">
        <w:t xml:space="preserve">the Port of Adelaide </w:t>
      </w:r>
      <w:r w:rsidR="002740D7">
        <w:t xml:space="preserve">(2001), </w:t>
      </w:r>
      <w:r w:rsidR="00D95A7F">
        <w:t xml:space="preserve">the Port of Brisbane </w:t>
      </w:r>
      <w:r w:rsidR="002740D7">
        <w:t>(</w:t>
      </w:r>
      <w:r w:rsidR="00D95A7F">
        <w:t>2010</w:t>
      </w:r>
      <w:r w:rsidR="002740D7">
        <w:t>)</w:t>
      </w:r>
      <w:r w:rsidR="00D95A7F">
        <w:t xml:space="preserve"> </w:t>
      </w:r>
      <w:r w:rsidR="002740D7">
        <w:t xml:space="preserve">and </w:t>
      </w:r>
      <w:r w:rsidR="00D95A7F">
        <w:t>Port Botany</w:t>
      </w:r>
      <w:r w:rsidR="00D53FB1">
        <w:t xml:space="preserve"> (2013)</w:t>
      </w:r>
      <w:r w:rsidR="00D95A7F">
        <w:t>.</w:t>
      </w:r>
      <w:r>
        <w:t xml:space="preserve"> T</w:t>
      </w:r>
      <w:r w:rsidR="00D95A7F">
        <w:t xml:space="preserve">he Victorian and Western Australian governments have </w:t>
      </w:r>
      <w:r w:rsidR="0003405C">
        <w:t>commenced a process to privatise</w:t>
      </w:r>
      <w:r w:rsidR="00D95A7F">
        <w:t xml:space="preserve"> </w:t>
      </w:r>
      <w:r w:rsidR="002740D7">
        <w:t>the ports of Melbourne and Fremantle respectively</w:t>
      </w:r>
      <w:r w:rsidR="00D95A7F">
        <w:t>.</w:t>
      </w:r>
    </w:p>
    <w:p w:rsidR="00F00AFF" w:rsidRDefault="00F00AFF" w:rsidP="00F00AFF">
      <w:r>
        <w:t xml:space="preserve">Local government may also make decisions affecting ports, including on matters such as land development and road uses. </w:t>
      </w:r>
    </w:p>
    <w:p w:rsidR="00F00AFF" w:rsidRDefault="00F00AFF" w:rsidP="00F00AFF">
      <w:r>
        <w:t xml:space="preserve">The Australian Government has key port related functions including navigation, defence, security, environment, </w:t>
      </w:r>
      <w:proofErr w:type="gramStart"/>
      <w:r>
        <w:t>border</w:t>
      </w:r>
      <w:proofErr w:type="gramEnd"/>
      <w:r>
        <w:t xml:space="preserve"> control and competition policy. It owns infrastructure assets, including certain railways and roads, as well as lands suitable for freight activities. The Australian Government has interests in national economic performance, international trade and interstate trade and commerce. </w:t>
      </w:r>
    </w:p>
    <w:p w:rsidR="00F00AFF" w:rsidRDefault="00F00AFF" w:rsidP="00F00AFF">
      <w:pPr>
        <w:pStyle w:val="Appendixheading1"/>
      </w:pPr>
      <w:bookmarkStart w:id="68" w:name="_Toc433667032"/>
      <w:r>
        <w:t>ACCC monitoring methodology</w:t>
      </w:r>
      <w:bookmarkEnd w:id="68"/>
    </w:p>
    <w:p w:rsidR="00F00AFF" w:rsidRDefault="00F00AFF" w:rsidP="00F00AFF">
      <w:pPr>
        <w:pStyle w:val="Appendixheading2"/>
      </w:pPr>
      <w:r>
        <w:t>Introduction</w:t>
      </w:r>
    </w:p>
    <w:p w:rsidR="00F00AFF" w:rsidRDefault="00264D43" w:rsidP="00F00AFF">
      <w:r w:rsidRPr="00264D43">
        <w:t>This appendix provides a detailed explanation of the ACCC’s monitoring methodology. In particular, it outlines the ACCC’s approach to assessing the profitability of container stevedoring terminal operations in Australia.</w:t>
      </w:r>
    </w:p>
    <w:p w:rsidR="00264D43" w:rsidRDefault="00264D43" w:rsidP="00264D43">
      <w:pPr>
        <w:pStyle w:val="Appendixheading2"/>
      </w:pPr>
      <w:r>
        <w:t>Background to the ACCC’s monitoring role</w:t>
      </w:r>
    </w:p>
    <w:p w:rsidR="00264D43" w:rsidRDefault="00264D43" w:rsidP="00264D43">
      <w:pPr>
        <w:pStyle w:val="Appendixheading3"/>
      </w:pPr>
      <w:r>
        <w:t>Legislative background</w:t>
      </w:r>
    </w:p>
    <w:p w:rsidR="00051D29" w:rsidRDefault="00264D43" w:rsidP="00264D43">
      <w:r>
        <w:t>On 20 January 1999</w:t>
      </w:r>
      <w:r w:rsidR="00051D29">
        <w:t>,</w:t>
      </w:r>
      <w:r>
        <w:t xml:space="preserve"> the (then) federal Treasurer directed the ACCC under s. 27A of the </w:t>
      </w:r>
      <w:r w:rsidRPr="00EA0B3B">
        <w:rPr>
          <w:i/>
        </w:rPr>
        <w:t xml:space="preserve">Prices Surveillance Act 1983 </w:t>
      </w:r>
      <w:r>
        <w:t>(PSA) to monitor prices, costs and profits of container terminal operator companies at the ports of Adelaide, Brisbane, Burnie, Fremantle, Melbourne and Sydney.</w:t>
      </w:r>
      <w:r>
        <w:rPr>
          <w:rStyle w:val="FootnoteReference"/>
        </w:rPr>
        <w:footnoteReference w:id="117"/>
      </w:r>
      <w:r>
        <w:t xml:space="preserve"> A copy of the ministerial </w:t>
      </w:r>
      <w:r w:rsidR="00304549">
        <w:t xml:space="preserve">direction </w:t>
      </w:r>
      <w:r>
        <w:t xml:space="preserve">is in appendix F. The PSA has since been repealed; with the prices surveillance provisions now contained in Part VIIA of the CCA. The direction under the former s. 27A of the PSA is now deemed a direction under s. 95ZE of the CCA. </w:t>
      </w:r>
    </w:p>
    <w:p w:rsidR="00264D43" w:rsidRDefault="00264D43" w:rsidP="00264D43">
      <w:r>
        <w:t xml:space="preserve">Prior to this, the Prices Surveillance Authority had monitored stevedoring prices and costs from March 1991 to November 1995. Relevant sections of Part VIIA are reproduced in appendix G. </w:t>
      </w:r>
    </w:p>
    <w:p w:rsidR="00264D43" w:rsidRDefault="00264D43" w:rsidP="00264D43">
      <w:r>
        <w:t xml:space="preserve">In performing its monitoring function, the ACCC must, under subsection </w:t>
      </w:r>
      <w:proofErr w:type="gramStart"/>
      <w:r>
        <w:t>95G(</w:t>
      </w:r>
      <w:proofErr w:type="gramEnd"/>
      <w:r>
        <w:t>7) of the CCA, have ‘particular regard’ to the following matters:</w:t>
      </w:r>
    </w:p>
    <w:p w:rsidR="00264D43" w:rsidRDefault="00264D43" w:rsidP="00264D43">
      <w:pPr>
        <w:pStyle w:val="Bulletpoint"/>
      </w:pPr>
      <w:proofErr w:type="gramStart"/>
      <w:r>
        <w:t>the</w:t>
      </w:r>
      <w:proofErr w:type="gramEnd"/>
      <w:r>
        <w:t xml:space="preserve"> need to maintain investment and employment, including the influence of profitability on investment and employment.</w:t>
      </w:r>
    </w:p>
    <w:p w:rsidR="00264D43" w:rsidRDefault="00264D43" w:rsidP="00264D43">
      <w:pPr>
        <w:pStyle w:val="Bulletpoint"/>
      </w:pPr>
      <w:r>
        <w:t>the need to discourage a person who is in a position to substantially influence a market for goods or services from taking advantage of that power in setting prices.</w:t>
      </w:r>
    </w:p>
    <w:p w:rsidR="00264D43" w:rsidRDefault="00264D43" w:rsidP="00264D43">
      <w:pPr>
        <w:pStyle w:val="Bulletpoint"/>
      </w:pPr>
      <w:proofErr w:type="gramStart"/>
      <w:r>
        <w:t>the</w:t>
      </w:r>
      <w:proofErr w:type="gramEnd"/>
      <w:r>
        <w:t xml:space="preserve"> need to discourage cost increases arising from increases in wages and changes in conditions of employment inconsistent with principles established by relevant industrial tribunals.</w:t>
      </w:r>
    </w:p>
    <w:p w:rsidR="00264D43" w:rsidRDefault="00264D43" w:rsidP="00264D43">
      <w:pPr>
        <w:pStyle w:val="Appendixheading3"/>
      </w:pPr>
      <w:r>
        <w:t>Reasons for ACCC monitoring</w:t>
      </w:r>
    </w:p>
    <w:p w:rsidR="00264D43" w:rsidRDefault="00264D43" w:rsidP="00264D43">
      <w:r>
        <w:t xml:space="preserve">The ACCC’s monitoring program provides information to the government and wider community about the development of Australia’s container stevedoring industry; in particular, the operating performance of, and investment in, container stevedoring terminals, and degree of competition at the monitored ports. The monitoring program also highlights issues affecting </w:t>
      </w:r>
      <w:r w:rsidR="0060761C">
        <w:t xml:space="preserve">the broader supply chain, including </w:t>
      </w:r>
      <w:r>
        <w:t xml:space="preserve">road and rail connections to container terminals. </w:t>
      </w:r>
    </w:p>
    <w:p w:rsidR="00264D43" w:rsidRDefault="00264D43" w:rsidP="00264D43">
      <w:r>
        <w:t xml:space="preserve">The ACCC’s monitoring program began following the (then) Australian Government’s decision in 1998 to support reform of the Australian waterfront. </w:t>
      </w:r>
    </w:p>
    <w:p w:rsidR="00264D43" w:rsidRDefault="00264D43" w:rsidP="00264D43">
      <w:r>
        <w:t>As part of the reform strategy, the government provided funds to ensure that all stevedoring employees made redundant as part of the reform process received full redundancy entitlements. A levy on the loading and unloading of cargo was applied in order for the stevedores to repay the funds. The levy ceased at the end of May 2006 with the repayment of the government funding.</w:t>
      </w:r>
    </w:p>
    <w:p w:rsidR="00264D43" w:rsidRDefault="00264D43" w:rsidP="00264D43">
      <w:pPr>
        <w:pStyle w:val="Appendixheading2"/>
      </w:pPr>
      <w:r>
        <w:t>Description of methodology</w:t>
      </w:r>
    </w:p>
    <w:p w:rsidR="00264D43" w:rsidRDefault="00264D43" w:rsidP="00264D43">
      <w:pPr>
        <w:pStyle w:val="Appendixheading3"/>
      </w:pPr>
      <w:r>
        <w:t>Monitoring data</w:t>
      </w:r>
    </w:p>
    <w:p w:rsidR="00264D43" w:rsidRDefault="00264D43" w:rsidP="00264D43">
      <w:r>
        <w:t>The ACCC’s role, set out in the ministerial direction, is to monitor prices, costs and profits at container terminals operating in Adelaide, Brisbane, Burnie, Fremantle, Melbourne and Sydney. In undertaking this role, the ACCC does not collect data on actual prices charged for stevedoring services as these are negotiated privately between stevedores a</w:t>
      </w:r>
      <w:r w:rsidR="00FA34A8">
        <w:t>nd users. Instead, unit revenue measures</w:t>
      </w:r>
      <w:r>
        <w:t xml:space="preserve"> are used as indicators of average stevedoring charges.</w:t>
      </w:r>
    </w:p>
    <w:p w:rsidR="00264D43" w:rsidRDefault="00264D43" w:rsidP="00264D43">
      <w:r>
        <w:t xml:space="preserve">Individual company data </w:t>
      </w:r>
      <w:r w:rsidR="00FA34A8">
        <w:t>are</w:t>
      </w:r>
      <w:r>
        <w:t xml:space="preserve"> aggregated to obtain national average revenue, costs and margins, expressed on a per unit basis. Units are expressed in terms of the size of the containers. There are typically two container sizes, 20-foot (one </w:t>
      </w:r>
      <w:r w:rsidR="00FA34A8">
        <w:t>TEU</w:t>
      </w:r>
      <w:r w:rsidR="00A00B2F">
        <w:t xml:space="preserve">) and 40-foot (two </w:t>
      </w:r>
      <w:r w:rsidR="001B2097" w:rsidRPr="001B2097">
        <w:t>TEU</w:t>
      </w:r>
      <w:r w:rsidR="00F26BCE">
        <w:t>s</w:t>
      </w:r>
      <w:r w:rsidR="00A00B2F">
        <w:t>).</w:t>
      </w:r>
      <w:r w:rsidR="00A00B2F">
        <w:rPr>
          <w:rStyle w:val="FootnoteReference"/>
        </w:rPr>
        <w:footnoteReference w:id="118"/>
      </w:r>
      <w:r w:rsidR="00A00B2F">
        <w:t xml:space="preserve"> </w:t>
      </w:r>
      <w:r>
        <w:t xml:space="preserve">Stevedoring charges are normally calculated per lift and are not generally differentiated in terms of container size. As such, </w:t>
      </w:r>
      <w:proofErr w:type="gramStart"/>
      <w:r>
        <w:t>the per</w:t>
      </w:r>
      <w:proofErr w:type="gramEnd"/>
      <w:r>
        <w:t xml:space="preserve"> TEU rate will typically be lower for 40-foot containers than for 20-foot containers. This means that the expected mix of 20-foot and 40-foot containers can be a significant factor for stevedoring companies when they are determining the actual per lift stevedoring rate to charge a shipping line. A trend towards 40-foot containers may contribute to a lowering of broad measures of average stevedoring revenue expressed per TEU.</w:t>
      </w:r>
    </w:p>
    <w:p w:rsidR="00264D43" w:rsidRDefault="00264D43" w:rsidP="00264D43">
      <w:r>
        <w:t>The ACCC receives data on revenue and costs, for total terminal activities and for the container stevedoring function only. Stevedoring revenue is defined as the revenue attributable to the loading and unloading of cargo. It includes any rebates offered by the container stevedores to shipping lines, as well as any penalties for non-performance imposed by the liner company on the stevedore. Most of the revenue generated by container terminals comes from stevedoring services. However, terminals may also conduct some break-bulk work (e.g. non-containerised cargo such as bags, crates, barrels) and provide other ancillary services related to the lifting of containers, such as storing and maintaining containers.</w:t>
      </w:r>
      <w:r w:rsidR="00FA34A8">
        <w:t xml:space="preserve"> They also receive revenue from land transport operators</w:t>
      </w:r>
      <w:r w:rsidR="007A6153">
        <w:t>—</w:t>
      </w:r>
      <w:r w:rsidR="00FA34A8">
        <w:t xml:space="preserve">for example, for truck’s access to the stevedores’ VBS. </w:t>
      </w:r>
    </w:p>
    <w:p w:rsidR="00264D43" w:rsidRDefault="00264D43" w:rsidP="00264D43">
      <w:r>
        <w:t>The former Prices Surveillance Authority conducted the initial monitoring function (1991 to 1995) using total revenue and cost data (including break-bulk revenue and costs) to derive national average revenue and cost indicators. To establish long</w:t>
      </w:r>
      <w:r w:rsidR="0055370A">
        <w:t xml:space="preserve"> </w:t>
      </w:r>
      <w:r>
        <w:t xml:space="preserve">term trends, this report presents the results of the ACCC’s recent monitoring program, as well as the </w:t>
      </w:r>
      <w:r w:rsidR="0004365F">
        <w:t>Prices Surveillance Authority</w:t>
      </w:r>
      <w:r>
        <w:t>’s monitoring program and data fr</w:t>
      </w:r>
      <w:r w:rsidR="00A00B2F">
        <w:t>om its earlier public inquiry.</w:t>
      </w:r>
      <w:r w:rsidR="00A00B2F">
        <w:rPr>
          <w:rStyle w:val="FootnoteReference"/>
        </w:rPr>
        <w:footnoteReference w:id="119"/>
      </w:r>
    </w:p>
    <w:p w:rsidR="00264D43" w:rsidRDefault="00264D43" w:rsidP="00264D43">
      <w:r>
        <w:t xml:space="preserve">The ACCC has derived its data on average revenue and costs from the total revenue and expenses of the major container terminals in Australia, in a similar way to those in the </w:t>
      </w:r>
      <w:r w:rsidR="0004365F">
        <w:t>Prices Surveillance Authority</w:t>
      </w:r>
      <w:r>
        <w:t>’s reports.</w:t>
      </w:r>
    </w:p>
    <w:p w:rsidR="00A00B2F" w:rsidRDefault="00A00B2F" w:rsidP="00A00B2F">
      <w:pPr>
        <w:pStyle w:val="Appendixheading3"/>
      </w:pPr>
      <w:r>
        <w:t>Coverage of monitoring data</w:t>
      </w:r>
    </w:p>
    <w:p w:rsidR="00A00B2F" w:rsidRDefault="00A00B2F" w:rsidP="00A00B2F">
      <w:r>
        <w:t>The container terminals included in the monitoring program are in Adelaide, Brisbane, Burnie, Fremantle, Melbourne and Sydney.</w:t>
      </w:r>
    </w:p>
    <w:p w:rsidR="00A00B2F" w:rsidRDefault="00A00B2F" w:rsidP="00A00B2F">
      <w:r>
        <w:t>These terminals are:</w:t>
      </w:r>
    </w:p>
    <w:p w:rsidR="00A00B2F" w:rsidRDefault="00A00B2F" w:rsidP="00A00B2F">
      <w:pPr>
        <w:pStyle w:val="Bulletpoint"/>
      </w:pPr>
      <w:r>
        <w:t>DP World and Patrick</w:t>
      </w:r>
      <w:r w:rsidR="00051D29">
        <w:t>—</w:t>
      </w:r>
      <w:r>
        <w:t>Swanson Dock, Melbourne</w:t>
      </w:r>
    </w:p>
    <w:p w:rsidR="00A00B2F" w:rsidRDefault="00A00B2F" w:rsidP="00A00B2F">
      <w:pPr>
        <w:pStyle w:val="Bulletpoint"/>
      </w:pPr>
      <w:r>
        <w:t xml:space="preserve">DP World, Patrick and </w:t>
      </w:r>
      <w:r w:rsidR="0051494F">
        <w:t>Hutchison</w:t>
      </w:r>
      <w:r w:rsidR="00051D29">
        <w:t>—</w:t>
      </w:r>
      <w:r>
        <w:t>Fisherman Islands, Brisbane</w:t>
      </w:r>
    </w:p>
    <w:p w:rsidR="00A00B2F" w:rsidRDefault="00A00B2F" w:rsidP="00A00B2F">
      <w:pPr>
        <w:pStyle w:val="Bulletpoint"/>
      </w:pPr>
      <w:r>
        <w:t xml:space="preserve">DP World, Patrick and </w:t>
      </w:r>
      <w:r w:rsidR="0051494F">
        <w:t>Hutchison</w:t>
      </w:r>
      <w:r w:rsidR="004F0306">
        <w:t>—</w:t>
      </w:r>
      <w:r>
        <w:t>Port Botany, Sydney</w:t>
      </w:r>
    </w:p>
    <w:p w:rsidR="00A00B2F" w:rsidRDefault="00A00B2F" w:rsidP="00A00B2F">
      <w:pPr>
        <w:pStyle w:val="Bulletpoint"/>
      </w:pPr>
      <w:r>
        <w:t>DP World and Patrick</w:t>
      </w:r>
      <w:r w:rsidR="004F0306">
        <w:t>—</w:t>
      </w:r>
      <w:r>
        <w:t>Fremantle</w:t>
      </w:r>
    </w:p>
    <w:p w:rsidR="00A00B2F" w:rsidRDefault="00A00B2F" w:rsidP="00A00B2F">
      <w:pPr>
        <w:pStyle w:val="Bulletpoint"/>
      </w:pPr>
      <w:r>
        <w:t>FACT</w:t>
      </w:r>
      <w:r w:rsidR="004F0306">
        <w:t>—</w:t>
      </w:r>
      <w:r>
        <w:t>Adelaide.</w:t>
      </w:r>
    </w:p>
    <w:p w:rsidR="00A00B2F" w:rsidRDefault="00A00B2F" w:rsidP="00A00B2F">
      <w:r>
        <w:t xml:space="preserve">Patrick closed its stevedoring operations at the Port of Burnie in May 2011 and </w:t>
      </w:r>
      <w:r w:rsidR="00FA34A8">
        <w:t xml:space="preserve">has therefore </w:t>
      </w:r>
      <w:r>
        <w:t xml:space="preserve">recorded no volumes for this port </w:t>
      </w:r>
      <w:r w:rsidR="00FA34A8">
        <w:t xml:space="preserve">since </w:t>
      </w:r>
      <w:r w:rsidR="00D8433D">
        <w:t>2010–11</w:t>
      </w:r>
      <w:r>
        <w:t>.</w:t>
      </w:r>
    </w:p>
    <w:p w:rsidR="00A00B2F" w:rsidRDefault="00A00B2F" w:rsidP="00A00B2F">
      <w:r>
        <w:t>Some terminals are not included in the data and analysis because a substantial proportion of their revenue was from non-container cargoes:</w:t>
      </w:r>
    </w:p>
    <w:p w:rsidR="00A00B2F" w:rsidRDefault="00A00B2F" w:rsidP="00A00B2F">
      <w:pPr>
        <w:pStyle w:val="Bulletpoint"/>
      </w:pPr>
      <w:r>
        <w:t>Patrick’s previous terminal</w:t>
      </w:r>
      <w:r w:rsidR="00730288">
        <w:t>s</w:t>
      </w:r>
      <w:r>
        <w:t xml:space="preserve"> at Darling Harbour in Sydney and </w:t>
      </w:r>
      <w:r w:rsidR="00730288">
        <w:t xml:space="preserve">at </w:t>
      </w:r>
      <w:r>
        <w:t>Webb Dock in Melbourne</w:t>
      </w:r>
    </w:p>
    <w:p w:rsidR="00A00B2F" w:rsidRDefault="00A00B2F" w:rsidP="00A00B2F">
      <w:pPr>
        <w:pStyle w:val="Bulletpoint"/>
      </w:pPr>
      <w:r>
        <w:t xml:space="preserve">DP World’s previous terminal at White Bay in Sydney.   </w:t>
      </w:r>
    </w:p>
    <w:p w:rsidR="00A00B2F" w:rsidRDefault="00A00B2F" w:rsidP="00A00B2F">
      <w:r>
        <w:t xml:space="preserve">In addition to using quantitative data provided by the stevedores, the ACCC </w:t>
      </w:r>
      <w:r w:rsidR="004F0306">
        <w:t xml:space="preserve">seeks </w:t>
      </w:r>
      <w:r>
        <w:t>other information through informal contacts with stevedoring companies. Where relevant, this information has been taken into account when assessing the results of the monitoring program.</w:t>
      </w:r>
    </w:p>
    <w:p w:rsidR="00A00B2F" w:rsidRDefault="00A00B2F" w:rsidP="00A00B2F">
      <w:pPr>
        <w:pStyle w:val="Appendixheading2"/>
      </w:pPr>
      <w:r>
        <w:t>Measures of industry profitability</w:t>
      </w:r>
    </w:p>
    <w:p w:rsidR="00A00B2F" w:rsidRDefault="00A00B2F" w:rsidP="00A00B2F">
      <w:r>
        <w:t>Different measures of profitability are appropriate depending on the</w:t>
      </w:r>
      <w:r w:rsidR="00FA34A8">
        <w:t xml:space="preserve"> reason why</w:t>
      </w:r>
      <w:r>
        <w:t xml:space="preserve"> performance is </w:t>
      </w:r>
      <w:r w:rsidR="00FA34A8">
        <w:t xml:space="preserve">being </w:t>
      </w:r>
      <w:r>
        <w:t xml:space="preserve">assessed. Where performance is assessed from a perspective of returns on assets employed in producing a good or service, rates of return on tangible assets are relevant. Alternatively, rates of return measures </w:t>
      </w:r>
      <w:r w:rsidR="003128E0">
        <w:t>including both tangible plus intangibles assets</w:t>
      </w:r>
      <w:r>
        <w:t xml:space="preserve"> are more appropriate where performance is assessed from the perspective of the opportunity cost of capital invested in a business.</w:t>
      </w:r>
    </w:p>
    <w:p w:rsidR="00A00B2F" w:rsidRDefault="00A00B2F" w:rsidP="00A00B2F">
      <w:r>
        <w:t xml:space="preserve">As noted in </w:t>
      </w:r>
      <w:r w:rsidRPr="00700B54">
        <w:t>section 3.</w:t>
      </w:r>
      <w:r w:rsidR="00700B54">
        <w:t>6</w:t>
      </w:r>
      <w:r>
        <w:t xml:space="preserve">, the ACCC considers that </w:t>
      </w:r>
      <w:r w:rsidR="00FA34A8">
        <w:t xml:space="preserve">for monitoring purposes, </w:t>
      </w:r>
      <w:r>
        <w:t>the most appropriate measure of industry profitability is EBITA on the average value (of opening and closing balances) of tangible assets.</w:t>
      </w:r>
    </w:p>
    <w:p w:rsidR="00A00B2F" w:rsidRDefault="00A00B2F" w:rsidP="00A00B2F">
      <w:pPr>
        <w:pStyle w:val="Appendixheading3"/>
      </w:pPr>
      <w:r>
        <w:t>Treatment of intangible assets</w:t>
      </w:r>
    </w:p>
    <w:p w:rsidR="00A00B2F" w:rsidRDefault="00A00B2F" w:rsidP="00A00B2F">
      <w:r>
        <w:t xml:space="preserve">The ACCC excludes intangibles (which, for stevedoring, include mostly goodwill and berth licensing agreements) from the industry’s asset base when assessing operating performance. Although the recognition of intangible assets is permissible under the Australian equivalent of the International Financial Reporting Standards (AIFRS), it does not necessarily follow that this is appropriate for monitoring purposes. This is because of concerns that such intangibles may reflect an expectation at the time of purchase or acquisition of assets for a business to earn economic rents, which may obscure changes in the profitability of providing services. </w:t>
      </w:r>
    </w:p>
    <w:p w:rsidR="00A00B2F" w:rsidRDefault="00A00B2F" w:rsidP="00A00B2F">
      <w:r>
        <w:t>The ACCC’s approach to exclude intangible assets will create a difference between the stevedore’s statutory and regulatory reports. However, such divergences are not unusual where prices oversight of infrastructure services is involved and is consistent with the ACCC’s approach in other industries (e.g. airport services).</w:t>
      </w:r>
    </w:p>
    <w:p w:rsidR="00A00B2F" w:rsidRDefault="00A00B2F" w:rsidP="00A00B2F">
      <w:pPr>
        <w:pStyle w:val="Appendixheading3"/>
      </w:pPr>
      <w:r>
        <w:t>Consistency in asset valuation over time</w:t>
      </w:r>
    </w:p>
    <w:p w:rsidR="00A00B2F" w:rsidRDefault="00A00B2F" w:rsidP="00A00B2F">
      <w:r>
        <w:t xml:space="preserve">One limitation of this approach is that the return on assets is affected by changes in asset values arising from asset revaluations, transfers or sales. Some businesses use different asset valuation methods, depending on the type of assets. Reported asset values may vary significantly for a given business over time, which reduces comparability. This raises issues for monitoring purposes, where consistency in reporting over time assists with meaningful analysis. The ACCC has not attempted to evaluate the appropriateness of stevedores’ asset valuations, which would be necessary if prices were regulated. However, it does require, for monitoring purposes, stevedores to report asset values on a consistent basis over time so that the ACCC can assess trends in the profitability of operating the stevedoring terminals.   </w:t>
      </w:r>
    </w:p>
    <w:p w:rsidR="00A00B2F" w:rsidRDefault="00A00B2F" w:rsidP="00A00B2F">
      <w:r>
        <w:t xml:space="preserve">For monitoring periods up to 2006–07, the asset values supplied by the Australian stevedores to the ACCC were valued on a consistent basis—on a depreciated historical cost basis. The ACCC has previously used this asset information to approximate changes in the value of the industry’s asset base with investments in container terminals over that time. It represents an effective, relatively low-cost tool to examine changes in operating profitability. </w:t>
      </w:r>
    </w:p>
    <w:p w:rsidR="00A00B2F" w:rsidRDefault="00A00B2F" w:rsidP="00A00B2F">
      <w:r>
        <w:t xml:space="preserve">However, as reported in the ACCC’s 2007 monitoring report, data supplied by Patrick to the ACCC’s 2006–07 monitoring program showed an abnormally large increase in reported asset values between 30 June 2006 and 30 June 2007. Additional information obtained by the ACCC at that time indicated that the higher closing balance asset values were affected by the accounting treatment of the acquisition of Patrick by Toll in 2006 and the subsequent purchase of the Patrick business by Asciano Ltd from Toll prior to 30 June 2007. The increase in the asset values reported by Patrick to the ACCC between 30 June 2006 and 30 June 2007 reflected the allocation of the purchase price of Patrick across the company’s asset base, including for identifiable intangible assets (primarily goodwill). </w:t>
      </w:r>
      <w:r w:rsidR="003128E0">
        <w:t>Part of this goodwill could reflect the businesses’ ability to earn abnormal returns (economic rents).</w:t>
      </w:r>
    </w:p>
    <w:p w:rsidR="00A00B2F" w:rsidRDefault="00A00B2F" w:rsidP="00A00B2F">
      <w:r>
        <w:t>According to Asciano’s published financial statements for the period ending 30 June 201</w:t>
      </w:r>
      <w:r w:rsidR="00E32162">
        <w:t>5</w:t>
      </w:r>
      <w:r>
        <w:t xml:space="preserve">, the carrying amount of goodwill allocated to Patrick’s container ports was $1.5 billion, which represented </w:t>
      </w:r>
      <w:r w:rsidR="00E32162">
        <w:t>5</w:t>
      </w:r>
      <w:r>
        <w:t xml:space="preserve">6 per cent of the total value of Patrick’s assets for the Terminals and Logistics division. While this accords with relevant accounting standards, it represents a material change to the basis on which the Patrick assets were previously valued (i.e. prior to </w:t>
      </w:r>
      <w:r w:rsidR="00665A98">
        <w:fldChar w:fldCharType="begin"/>
      </w:r>
      <w:r w:rsidR="00665A98">
        <w:instrText xml:space="preserve"> EQ 2006–07). </w:instrText>
      </w:r>
      <w:r w:rsidR="00665A98">
        <w:fldChar w:fldCharType="end"/>
      </w:r>
      <w:proofErr w:type="gramStart"/>
      <w:r>
        <w:t>This</w:t>
      </w:r>
      <w:proofErr w:type="gramEnd"/>
      <w:r>
        <w:t xml:space="preserve"> is significantly above the proportion of goodwill for companies on the S&amp;P/ASX 200 Industrials </w:t>
      </w:r>
      <w:r w:rsidRPr="003E1295">
        <w:t>Index (</w:t>
      </w:r>
      <w:r w:rsidRPr="00E71BFF">
        <w:t>1</w:t>
      </w:r>
      <w:r w:rsidR="003E1295" w:rsidRPr="00E71BFF">
        <w:t>3</w:t>
      </w:r>
      <w:r w:rsidRPr="00E71BFF">
        <w:t xml:space="preserve"> per cent of total assets in </w:t>
      </w:r>
      <w:r w:rsidR="003E1295" w:rsidRPr="00E71BFF">
        <w:t>2014</w:t>
      </w:r>
      <w:r w:rsidRPr="00E71BFF">
        <w:t>–</w:t>
      </w:r>
      <w:r w:rsidR="003E1295" w:rsidRPr="00E71BFF">
        <w:t>1</w:t>
      </w:r>
      <w:r w:rsidR="003E1295" w:rsidRPr="003E1295">
        <w:t>5</w:t>
      </w:r>
      <w:r w:rsidRPr="005F55D4">
        <w:t>).</w:t>
      </w:r>
    </w:p>
    <w:p w:rsidR="00A00B2F" w:rsidRDefault="00A00B2F" w:rsidP="00A00B2F">
      <w:r>
        <w:t xml:space="preserve">Therefore it was necessary for the ACCC to adjust the opening balance of assets employed by Patrick as at 1 July 2006 to exclude the effect of the acquisition by Toll. The result of this adjustment is that Patrick’s asset base remained valued on a basis consistent with previous years for the ACCC’s monitoring purposes. </w:t>
      </w:r>
    </w:p>
    <w:p w:rsidR="00A00B2F" w:rsidRDefault="00A00B2F" w:rsidP="00A00B2F">
      <w:r>
        <w:t>In 2006–07, it was not necessary for the ACCC to adjust the value of assets employed by DP World following its acquisition of P&amp;O Ports in 2006. This is because these assets continued to be valued on a basis consistent with previous years. In effect, the goodwill associated with the P&amp;O acquisition was not allocated to the assets employed data previously supplied to the ACCC.</w:t>
      </w:r>
    </w:p>
    <w:p w:rsidR="00A00B2F" w:rsidRDefault="00A00B2F" w:rsidP="00A00B2F">
      <w:r>
        <w:t>In March 2011, Citi Infrastructure Investors acquired a 75 per cent interest in DP World Australia (the remaining 25 per cent continues to be held by DP World). The ACCC understands that the purchase price paid by Citi Infrastructure recognises the value of intangible assets comprising goodwill and long</w:t>
      </w:r>
      <w:r w:rsidR="0055370A">
        <w:t xml:space="preserve"> </w:t>
      </w:r>
      <w:r>
        <w:t xml:space="preserve">term berth licenses. The ACCC understands that such licenses were not previously recognised as assets prior to changes in corporate ownership. For consistency with the approach taken with Patrick, the ACCC requires asset values to be reported on a consistent basis over time and considers that asset valuations that arise from changes in corporate ownership that potentially recognise capitalisation of future economic rents should be excluded. </w:t>
      </w:r>
    </w:p>
    <w:p w:rsidR="00A00B2F" w:rsidRPr="00E71BFF" w:rsidRDefault="00A00B2F" w:rsidP="00A00B2F">
      <w:r>
        <w:t xml:space="preserve">While asset revaluations are permitted under international accounting standards, for the purposes of the ACCC’s monitoring program, it was necessary for the ACCC to continue to </w:t>
      </w:r>
      <w:r w:rsidRPr="00E71BFF">
        <w:t>exclude the effect of any upward revaluations made in 201</w:t>
      </w:r>
      <w:r w:rsidR="00B94181" w:rsidRPr="00E71BFF">
        <w:t>4</w:t>
      </w:r>
      <w:r w:rsidRPr="00E71BFF">
        <w:t>–1</w:t>
      </w:r>
      <w:r w:rsidR="00B94181" w:rsidRPr="00E71BFF">
        <w:t>5</w:t>
      </w:r>
      <w:r w:rsidRPr="00E71BFF">
        <w:t>. The asset information provided by the stevedores for the period ending 30 June 201</w:t>
      </w:r>
      <w:r w:rsidR="00B94181" w:rsidRPr="00E71BFF">
        <w:t>5</w:t>
      </w:r>
      <w:r w:rsidRPr="00E71BFF">
        <w:t xml:space="preserve"> reflected the opening value of tangible assets as at 30 June 201</w:t>
      </w:r>
      <w:r w:rsidR="00B94181" w:rsidRPr="00E71BFF">
        <w:t>4</w:t>
      </w:r>
      <w:r w:rsidRPr="00E71BFF">
        <w:t>, plus additions to assets, less depreciation expenses and disposal of assets and write-downs of tangible assets that occurred in the 12 months to 30 June 201</w:t>
      </w:r>
      <w:r w:rsidR="00B94181" w:rsidRPr="00E71BFF">
        <w:t>5</w:t>
      </w:r>
      <w:r w:rsidRPr="00E71BFF">
        <w:t>.</w:t>
      </w:r>
    </w:p>
    <w:p w:rsidR="00A00B2F" w:rsidRDefault="00A00B2F" w:rsidP="00A00B2F">
      <w:pPr>
        <w:pStyle w:val="Appendixheading3"/>
      </w:pPr>
      <w:r w:rsidRPr="00E71BFF">
        <w:t>Comparisons of Australian</w:t>
      </w:r>
      <w:r>
        <w:t xml:space="preserve"> stevedoring with the S&amp;P/ASX</w:t>
      </w:r>
      <w:r w:rsidR="00304549">
        <w:t xml:space="preserve"> </w:t>
      </w:r>
      <w:r>
        <w:t>200 Industrials Index</w:t>
      </w:r>
    </w:p>
    <w:p w:rsidR="00A00B2F" w:rsidRDefault="00A00B2F" w:rsidP="00A00B2F">
      <w:r>
        <w:t xml:space="preserve">One way of assessing whether the rates of return in Australian stevedoring are consistent with those expected in a competitive industry is to compare them to an appropriate benchmark. </w:t>
      </w:r>
    </w:p>
    <w:p w:rsidR="00A00B2F" w:rsidRDefault="00A00B2F" w:rsidP="00A00B2F">
      <w:r>
        <w:t xml:space="preserve">The ACCC used the S&amp;P/ASX 200 Industrials Index to compare the profitability of the stevedoring industry with other infrastructure businesses (refer </w:t>
      </w:r>
      <w:r w:rsidRPr="00700B54">
        <w:t>section 3.</w:t>
      </w:r>
      <w:r w:rsidR="00700B54" w:rsidRPr="00700B54">
        <w:t>6</w:t>
      </w:r>
      <w:r w:rsidRPr="00700B54">
        <w:t>).</w:t>
      </w:r>
      <w:r>
        <w:t xml:space="preserve"> </w:t>
      </w:r>
    </w:p>
    <w:p w:rsidR="00A00B2F" w:rsidRDefault="00A00B2F" w:rsidP="00A00B2F">
      <w:r>
        <w:t xml:space="preserve">The S&amp;P/ASX 200 Industrials Index represents a subset of publicly listed companies in Australia’s industrial sector, including infrastructure and transport companies. The S&amp;P/ASX 200 Industrials Index is published by the ASX and the ACCC sources company information through Bloomberg. </w:t>
      </w:r>
    </w:p>
    <w:p w:rsidR="00A00B2F" w:rsidRDefault="00A00B2F" w:rsidP="00A00B2F">
      <w:r>
        <w:t xml:space="preserve">The S&amp;P/ASX 200 Industrials Index includes companies whose businesses are dominated by one of the following activities: the manufacture and distribution of capital goods, including aerospace &amp; defence, construction, engineering &amp; building products, electrical equipment and industrial machinery; or the provision of commercial services and supplies, including printing, employment, environmental and office services; or the provision of transportation services, including airlines, couriers, marine, road &amp; rail and transportation infrastructure. </w:t>
      </w:r>
    </w:p>
    <w:p w:rsidR="00A00B2F" w:rsidRDefault="00A00B2F" w:rsidP="00A00B2F">
      <w:r>
        <w:t xml:space="preserve">For the period ending 30 June 2015, there were </w:t>
      </w:r>
      <w:r w:rsidR="005F55D4">
        <w:t xml:space="preserve">29 </w:t>
      </w:r>
      <w:r>
        <w:t xml:space="preserve">S&amp;P/ASX 200 companies listed in the Industrials Index. Among the companies included were: </w:t>
      </w:r>
    </w:p>
    <w:p w:rsidR="00A00B2F" w:rsidRPr="00E71BFF" w:rsidRDefault="00A00B2F" w:rsidP="00A00B2F">
      <w:pPr>
        <w:pStyle w:val="Bulletpoint"/>
      </w:pPr>
      <w:r w:rsidRPr="00E71BFF">
        <w:t>Asciano Ltd</w:t>
      </w:r>
    </w:p>
    <w:p w:rsidR="00A00B2F" w:rsidRPr="00E71BFF" w:rsidRDefault="00A00B2F" w:rsidP="00A00B2F">
      <w:pPr>
        <w:pStyle w:val="Bulletpoint"/>
      </w:pPr>
      <w:r w:rsidRPr="00E71BFF">
        <w:t>Aurizon Holdings Ltd</w:t>
      </w:r>
    </w:p>
    <w:p w:rsidR="00A00B2F" w:rsidRPr="00E71BFF" w:rsidRDefault="00A00B2F" w:rsidP="00A00B2F">
      <w:pPr>
        <w:pStyle w:val="Bulletpoint"/>
      </w:pPr>
      <w:r w:rsidRPr="00E71BFF">
        <w:t>Brambles Ltd</w:t>
      </w:r>
    </w:p>
    <w:p w:rsidR="00A00B2F" w:rsidRPr="00E71BFF" w:rsidRDefault="00A00B2F" w:rsidP="00A00B2F">
      <w:pPr>
        <w:pStyle w:val="Bulletpoint"/>
      </w:pPr>
      <w:r w:rsidRPr="00E71BFF">
        <w:t>Mermaid Marine Australia Ltd</w:t>
      </w:r>
    </w:p>
    <w:p w:rsidR="00A00B2F" w:rsidRPr="00E71BFF" w:rsidRDefault="00A00B2F" w:rsidP="00A00B2F">
      <w:pPr>
        <w:pStyle w:val="Bulletpoint"/>
      </w:pPr>
      <w:r w:rsidRPr="00E71BFF">
        <w:t>Qantas Airways Ltd</w:t>
      </w:r>
    </w:p>
    <w:p w:rsidR="00A00B2F" w:rsidRPr="00E71BFF" w:rsidRDefault="00A00B2F" w:rsidP="00A00B2F">
      <w:pPr>
        <w:pStyle w:val="Bulletpoint"/>
      </w:pPr>
      <w:r w:rsidRPr="00E71BFF">
        <w:t>Qube Holdings Ltd</w:t>
      </w:r>
    </w:p>
    <w:p w:rsidR="00A00B2F" w:rsidRPr="00E71BFF" w:rsidRDefault="00A00B2F" w:rsidP="00A00B2F">
      <w:pPr>
        <w:pStyle w:val="Bulletpoint"/>
      </w:pPr>
      <w:r w:rsidRPr="00E71BFF">
        <w:t>Sydney Airport</w:t>
      </w:r>
    </w:p>
    <w:p w:rsidR="00A00B2F" w:rsidRPr="00E71BFF" w:rsidRDefault="00A00B2F" w:rsidP="00A00B2F">
      <w:pPr>
        <w:pStyle w:val="Bulletpoint"/>
      </w:pPr>
      <w:proofErr w:type="spellStart"/>
      <w:r w:rsidRPr="00E71BFF">
        <w:t>Transurban</w:t>
      </w:r>
      <w:proofErr w:type="spellEnd"/>
      <w:r w:rsidRPr="00E71BFF">
        <w:t xml:space="preserve"> Group</w:t>
      </w:r>
    </w:p>
    <w:p w:rsidR="00A00B2F" w:rsidRPr="00E71BFF" w:rsidRDefault="00A00B2F" w:rsidP="00A00B2F">
      <w:pPr>
        <w:pStyle w:val="Bulletpoint"/>
      </w:pPr>
      <w:r w:rsidRPr="00E71BFF">
        <w:t>Transpacific Industries Group Ltd</w:t>
      </w:r>
    </w:p>
    <w:p w:rsidR="00A00B2F" w:rsidRPr="00E71BFF" w:rsidRDefault="00A00B2F" w:rsidP="00A00B2F">
      <w:pPr>
        <w:pStyle w:val="Bulletpoint"/>
      </w:pPr>
      <w:r w:rsidRPr="00E71BFF">
        <w:t>Transfield Services Ltd</w:t>
      </w:r>
    </w:p>
    <w:p w:rsidR="00A00B2F" w:rsidRDefault="00A00B2F" w:rsidP="00A00B2F">
      <w:r>
        <w:t>The ACCC considers this index provides a better comparator than the top 200 companies listed on the ASX (which the ACCC has included as a broad comparator in previous monitoring reports). It should be noted, however, that although the S&amp;P/ASX 200 Industrials Index separately reports the value of tangible assets and total assets (which removes the value of intangible assets from each company’s asset base), the index not does disclose data on asset revaluations of the individual companies in the index.</w:t>
      </w:r>
    </w:p>
    <w:p w:rsidR="00A00B2F" w:rsidRDefault="00A00B2F" w:rsidP="00A00B2F">
      <w:r>
        <w:t xml:space="preserve">The results of the ACCC’s benchmark analysis should </w:t>
      </w:r>
      <w:r w:rsidR="00CC49D4">
        <w:t xml:space="preserve">therefore </w:t>
      </w:r>
      <w:r>
        <w:t>be used as a broad comparator when assessing the level of returns in Australian stevedoring.</w:t>
      </w:r>
    </w:p>
    <w:p w:rsidR="00A00B2F" w:rsidRDefault="00A00B2F" w:rsidP="00A00B2F">
      <w:pPr>
        <w:pStyle w:val="Appendixheading1"/>
      </w:pPr>
      <w:bookmarkStart w:id="69" w:name="_Toc433667033"/>
      <w:r>
        <w:t>Ministerial direction</w:t>
      </w:r>
      <w:bookmarkEnd w:id="69"/>
    </w:p>
    <w:p w:rsidR="00A00B2F" w:rsidRPr="00A258F7" w:rsidRDefault="00A00B2F" w:rsidP="00A00B2F">
      <w:pPr>
        <w:spacing w:after="200" w:line="276" w:lineRule="auto"/>
        <w:rPr>
          <w:b/>
        </w:rPr>
      </w:pPr>
      <w:r w:rsidRPr="00A258F7">
        <w:rPr>
          <w:b/>
        </w:rPr>
        <w:t>COMMONWEALTH OF AUSTRALIA</w:t>
      </w:r>
    </w:p>
    <w:p w:rsidR="00A00B2F" w:rsidRPr="00A258F7" w:rsidRDefault="00A00B2F" w:rsidP="00A00B2F">
      <w:pPr>
        <w:spacing w:after="200" w:line="276" w:lineRule="auto"/>
        <w:rPr>
          <w:i/>
        </w:rPr>
      </w:pPr>
      <w:r w:rsidRPr="00A258F7">
        <w:rPr>
          <w:i/>
        </w:rPr>
        <w:t>Prices Surveillance Act 1983</w:t>
      </w:r>
    </w:p>
    <w:p w:rsidR="00A00B2F" w:rsidRPr="00A258F7" w:rsidRDefault="00A00B2F" w:rsidP="00A00B2F">
      <w:pPr>
        <w:spacing w:after="200" w:line="276" w:lineRule="auto"/>
        <w:rPr>
          <w:b/>
        </w:rPr>
      </w:pPr>
      <w:r w:rsidRPr="00A258F7">
        <w:rPr>
          <w:b/>
        </w:rPr>
        <w:t>DIRECTION NO 17</w:t>
      </w:r>
    </w:p>
    <w:p w:rsidR="00A00B2F" w:rsidRDefault="00A00B2F" w:rsidP="00A00B2F">
      <w:pPr>
        <w:pStyle w:val="ListParagraph"/>
        <w:ind w:hanging="720"/>
      </w:pPr>
      <w:r>
        <w:t xml:space="preserve">(1) </w:t>
      </w:r>
      <w:r>
        <w:tab/>
        <w:t>I, Peter Costello, Treasurer, pursuant to section 27A of the Prices Surveillance Act 1983, hereby direct the Australian Competition and Consumer Commission to undertake monitoring of prices, costs and profits relating to the supply of services by a container terminal operator company in ports at the following locations:</w:t>
      </w:r>
    </w:p>
    <w:p w:rsidR="00A00B2F" w:rsidRDefault="00A00B2F" w:rsidP="00A00B2F">
      <w:pPr>
        <w:pStyle w:val="CommentText"/>
        <w:ind w:firstLine="720"/>
      </w:pPr>
      <w:r>
        <w:t>(a) Adelaide;</w:t>
      </w:r>
    </w:p>
    <w:p w:rsidR="00A00B2F" w:rsidRDefault="00A00B2F" w:rsidP="00A00B2F">
      <w:pPr>
        <w:pStyle w:val="CommentText"/>
        <w:ind w:firstLine="720"/>
      </w:pPr>
      <w:r>
        <w:t>(b) Brisbane;</w:t>
      </w:r>
    </w:p>
    <w:p w:rsidR="00A00B2F" w:rsidRDefault="00A00B2F" w:rsidP="00A00B2F">
      <w:pPr>
        <w:pStyle w:val="CommentText"/>
        <w:ind w:firstLine="720"/>
      </w:pPr>
      <w:r>
        <w:t>(c) Burnie;</w:t>
      </w:r>
    </w:p>
    <w:p w:rsidR="00A00B2F" w:rsidRDefault="00A00B2F" w:rsidP="00A00B2F">
      <w:pPr>
        <w:pStyle w:val="CommentText"/>
        <w:ind w:firstLine="720"/>
      </w:pPr>
      <w:r>
        <w:t>(d) Fremantle</w:t>
      </w:r>
    </w:p>
    <w:p w:rsidR="00A00B2F" w:rsidRDefault="00A00B2F" w:rsidP="00A00B2F">
      <w:pPr>
        <w:pStyle w:val="CommentText"/>
        <w:ind w:firstLine="720"/>
      </w:pPr>
      <w:r>
        <w:t>(e) Melbourne; and</w:t>
      </w:r>
    </w:p>
    <w:p w:rsidR="00A00B2F" w:rsidRDefault="00A00B2F" w:rsidP="00A00B2F">
      <w:pPr>
        <w:pStyle w:val="CommentText"/>
        <w:ind w:firstLine="720"/>
      </w:pPr>
      <w:r>
        <w:t>(f) Sydney.</w:t>
      </w:r>
    </w:p>
    <w:p w:rsidR="00A00B2F" w:rsidRDefault="00A00B2F" w:rsidP="00A00B2F">
      <w:pPr>
        <w:pStyle w:val="ListParagraph"/>
        <w:ind w:hanging="720"/>
      </w:pPr>
      <w:r>
        <w:t xml:space="preserve">(2) </w:t>
      </w:r>
      <w:r>
        <w:tab/>
        <w:t>In this direction, ‘container terminal operator company’ means a provider of container stevedoring services in ports at the locations listed in paragraph (1).</w:t>
      </w:r>
      <w:r>
        <w:br/>
      </w:r>
    </w:p>
    <w:p w:rsidR="00A00B2F" w:rsidRDefault="00A00B2F" w:rsidP="00A00B2F">
      <w:pPr>
        <w:pStyle w:val="ListParagraph"/>
        <w:ind w:hanging="720"/>
      </w:pPr>
      <w:r>
        <w:t xml:space="preserve">(3) </w:t>
      </w:r>
      <w:r>
        <w:tab/>
        <w:t>The ACCC is to report to me on its monitoring activities referred to in paragraph (1) within four months after the end of each financial year.</w:t>
      </w:r>
    </w:p>
    <w:p w:rsidR="00A00B2F" w:rsidRDefault="00A00B2F" w:rsidP="00A00B2F">
      <w:pPr>
        <w:spacing w:after="200" w:line="276" w:lineRule="auto"/>
      </w:pPr>
      <w:r>
        <w:rPr>
          <w:b/>
          <w:noProof/>
          <w:lang w:eastAsia="en-AU"/>
        </w:rPr>
        <w:drawing>
          <wp:anchor distT="0" distB="0" distL="114300" distR="114300" simplePos="0" relativeHeight="251659264" behindDoc="0" locked="1" layoutInCell="1" allowOverlap="1" wp14:anchorId="465C0AB0" wp14:editId="5412D6E8">
            <wp:simplePos x="0" y="0"/>
            <wp:positionH relativeFrom="column">
              <wp:posOffset>-122555</wp:posOffset>
            </wp:positionH>
            <wp:positionV relativeFrom="paragraph">
              <wp:posOffset>108585</wp:posOffset>
            </wp:positionV>
            <wp:extent cx="2091600" cy="11232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1600" cy="1123200"/>
                    </a:xfrm>
                    <a:prstGeom prst="rect">
                      <a:avLst/>
                    </a:prstGeom>
                    <a:noFill/>
                  </pic:spPr>
                </pic:pic>
              </a:graphicData>
            </a:graphic>
            <wp14:sizeRelH relativeFrom="page">
              <wp14:pctWidth>0</wp14:pctWidth>
            </wp14:sizeRelH>
            <wp14:sizeRelV relativeFrom="page">
              <wp14:pctHeight>0</wp14:pctHeight>
            </wp14:sizeRelV>
          </wp:anchor>
        </w:drawing>
      </w:r>
    </w:p>
    <w:p w:rsidR="00A00B2F" w:rsidRDefault="00A00B2F" w:rsidP="00A00B2F">
      <w:pPr>
        <w:spacing w:after="200" w:line="276" w:lineRule="auto"/>
        <w:rPr>
          <w:b/>
        </w:rPr>
      </w:pPr>
      <w:r>
        <w:rPr>
          <w:b/>
        </w:rPr>
        <w:t>J</w:t>
      </w:r>
      <w:r w:rsidRPr="00A258F7">
        <w:rPr>
          <w:b/>
        </w:rPr>
        <w:t>anuary 1999</w:t>
      </w:r>
    </w:p>
    <w:p w:rsidR="00A00B2F" w:rsidRDefault="00A00B2F" w:rsidP="00A00B2F"/>
    <w:p w:rsidR="00A00B2F" w:rsidRDefault="00A00B2F" w:rsidP="00A00B2F"/>
    <w:p w:rsidR="00A00B2F" w:rsidRDefault="00A00B2F" w:rsidP="00A00B2F"/>
    <w:p w:rsidR="00A00B2F" w:rsidRDefault="00A00B2F" w:rsidP="00A00B2F"/>
    <w:p w:rsidR="00A00B2F" w:rsidRDefault="00A00B2F" w:rsidP="00A00B2F">
      <w:r>
        <w:t>Federal Register of Legislative Instruments F2008B00402</w:t>
      </w:r>
    </w:p>
    <w:p w:rsidR="00A00B2F" w:rsidRDefault="00A00B2F" w:rsidP="00A00B2F">
      <w:pPr>
        <w:pStyle w:val="Appendixheading1"/>
      </w:pPr>
      <w:bookmarkStart w:id="70" w:name="_Toc433667034"/>
      <w:r>
        <w:t>Part VIIA, Competition and Consumer Act 2010</w:t>
      </w:r>
      <w:bookmarkEnd w:id="70"/>
    </w:p>
    <w:p w:rsidR="00A00B2F" w:rsidRPr="00A00B2F" w:rsidRDefault="00A00B2F" w:rsidP="00A00B2F">
      <w:pPr>
        <w:rPr>
          <w:b/>
        </w:rPr>
      </w:pPr>
      <w:r w:rsidRPr="00A00B2F">
        <w:rPr>
          <w:b/>
        </w:rPr>
        <w:t>s. 95ZE</w:t>
      </w:r>
    </w:p>
    <w:p w:rsidR="00A00B2F" w:rsidRPr="00A00B2F" w:rsidRDefault="00A00B2F" w:rsidP="00A00B2F">
      <w:pPr>
        <w:rPr>
          <w:b/>
        </w:rPr>
      </w:pPr>
      <w:r w:rsidRPr="00A00B2F">
        <w:rPr>
          <w:b/>
        </w:rPr>
        <w:t>Directions to monitor prices, costs and profits of an industry</w:t>
      </w:r>
    </w:p>
    <w:p w:rsidR="00A00B2F" w:rsidRDefault="00A00B2F" w:rsidP="00A00B2F">
      <w:r>
        <w:t>(1)</w:t>
      </w:r>
      <w:r>
        <w:tab/>
      </w:r>
      <w:r>
        <w:tab/>
        <w:t>The Minister may give the Commission a written direction:</w:t>
      </w:r>
    </w:p>
    <w:p w:rsidR="00A00B2F" w:rsidRDefault="000421B5" w:rsidP="000421B5">
      <w:pPr>
        <w:ind w:left="340" w:firstLine="340"/>
      </w:pPr>
      <w:r>
        <w:t xml:space="preserve">(a) </w:t>
      </w:r>
      <w:proofErr w:type="gramStart"/>
      <w:r w:rsidR="00A00B2F">
        <w:t>to</w:t>
      </w:r>
      <w:proofErr w:type="gramEnd"/>
      <w:r w:rsidR="00A00B2F">
        <w:t xml:space="preserve"> monitor prices, costs and profits relating to the </w:t>
      </w:r>
      <w:r>
        <w:t>supply of goods and services by</w:t>
      </w:r>
      <w:r>
        <w:tab/>
      </w:r>
      <w:r>
        <w:tab/>
      </w:r>
      <w:r w:rsidR="00A00B2F">
        <w:t>persons in a specified industry; and</w:t>
      </w:r>
    </w:p>
    <w:p w:rsidR="00A00B2F" w:rsidRDefault="00A00B2F" w:rsidP="000421B5">
      <w:pPr>
        <w:ind w:left="340" w:firstLine="340"/>
      </w:pPr>
      <w:r>
        <w:t>(b)</w:t>
      </w:r>
      <w:r>
        <w:tab/>
      </w:r>
      <w:proofErr w:type="gramStart"/>
      <w:r>
        <w:t>to</w:t>
      </w:r>
      <w:proofErr w:type="gramEnd"/>
      <w:r>
        <w:t xml:space="preserve"> give the Minister a report on the monitoring at a</w:t>
      </w:r>
      <w:r w:rsidR="000421B5">
        <w:t xml:space="preserve"> specified time or at specified</w:t>
      </w:r>
      <w:r w:rsidR="000421B5">
        <w:tab/>
      </w:r>
      <w:r w:rsidR="000421B5">
        <w:tab/>
      </w:r>
      <w:r w:rsidR="000421B5">
        <w:tab/>
      </w:r>
      <w:r>
        <w:t xml:space="preserve">intervals within a specified period. </w:t>
      </w:r>
    </w:p>
    <w:p w:rsidR="00A00B2F" w:rsidRPr="000421B5" w:rsidRDefault="00A00B2F" w:rsidP="000421B5">
      <w:pPr>
        <w:ind w:left="340" w:firstLine="340"/>
        <w:rPr>
          <w:i/>
        </w:rPr>
      </w:pPr>
      <w:r w:rsidRPr="000421B5">
        <w:rPr>
          <w:i/>
        </w:rPr>
        <w:t>Commercial confidentiality</w:t>
      </w:r>
    </w:p>
    <w:p w:rsidR="00A00B2F" w:rsidRDefault="00A00B2F" w:rsidP="00A00B2F">
      <w:r>
        <w:t>(2)</w:t>
      </w:r>
      <w:r>
        <w:tab/>
      </w:r>
      <w:r w:rsidR="000421B5">
        <w:tab/>
      </w:r>
      <w:r>
        <w:t>The Commission must, in preparing such a repo</w:t>
      </w:r>
      <w:r w:rsidR="000421B5">
        <w:t>rt, have regard to the need for</w:t>
      </w:r>
      <w:r w:rsidR="000421B5">
        <w:tab/>
      </w:r>
      <w:r w:rsidR="000421B5">
        <w:tab/>
      </w:r>
      <w:r w:rsidR="000421B5">
        <w:tab/>
      </w:r>
      <w:r w:rsidR="000421B5">
        <w:tab/>
      </w:r>
      <w:r>
        <w:t>commercial confidentiality.</w:t>
      </w:r>
    </w:p>
    <w:p w:rsidR="00A00B2F" w:rsidRPr="000421B5" w:rsidRDefault="00A00B2F" w:rsidP="000421B5">
      <w:pPr>
        <w:ind w:left="340" w:firstLine="340"/>
        <w:rPr>
          <w:i/>
        </w:rPr>
      </w:pPr>
      <w:r w:rsidRPr="000421B5">
        <w:rPr>
          <w:i/>
        </w:rPr>
        <w:t>Public inspection</w:t>
      </w:r>
    </w:p>
    <w:p w:rsidR="00A00B2F" w:rsidRDefault="00A00B2F" w:rsidP="00A00B2F">
      <w:r>
        <w:t>(3)</w:t>
      </w:r>
      <w:r>
        <w:tab/>
      </w:r>
      <w:r w:rsidR="000421B5">
        <w:tab/>
      </w:r>
      <w:r>
        <w:t>The Commission must also make copies of the report available for publi</w:t>
      </w:r>
      <w:r w:rsidR="000421B5">
        <w:t>c inspection</w:t>
      </w:r>
      <w:r w:rsidR="000421B5">
        <w:tab/>
      </w:r>
      <w:r w:rsidR="000421B5">
        <w:tab/>
      </w:r>
      <w:r w:rsidR="000421B5">
        <w:tab/>
      </w:r>
      <w:r>
        <w:t>as soon as practicable after it gives the Minister the report.</w:t>
      </w:r>
    </w:p>
    <w:p w:rsidR="00A00B2F" w:rsidRPr="000421B5" w:rsidRDefault="00A00B2F" w:rsidP="00A00B2F">
      <w:pPr>
        <w:rPr>
          <w:b/>
        </w:rPr>
      </w:pPr>
      <w:r w:rsidRPr="000421B5">
        <w:rPr>
          <w:b/>
        </w:rPr>
        <w:t>s. 95ZG</w:t>
      </w:r>
    </w:p>
    <w:p w:rsidR="00A00B2F" w:rsidRPr="000421B5" w:rsidRDefault="00A00B2F" w:rsidP="00A00B2F">
      <w:pPr>
        <w:rPr>
          <w:b/>
        </w:rPr>
      </w:pPr>
      <w:r w:rsidRPr="000421B5">
        <w:rPr>
          <w:b/>
        </w:rPr>
        <w:t>Exceptions to price monitoring</w:t>
      </w:r>
    </w:p>
    <w:p w:rsidR="00A00B2F" w:rsidRDefault="00A00B2F" w:rsidP="00A00B2F">
      <w:r>
        <w:t>(1)</w:t>
      </w:r>
      <w:r>
        <w:tab/>
      </w:r>
      <w:r w:rsidR="000421B5">
        <w:tab/>
      </w:r>
      <w:r>
        <w:t>The Minister must not direct the Commission under t</w:t>
      </w:r>
      <w:r w:rsidR="000421B5">
        <w:t>his Division to monitor prices,</w:t>
      </w:r>
      <w:r w:rsidR="000421B5">
        <w:tab/>
      </w:r>
      <w:r w:rsidR="000421B5">
        <w:tab/>
      </w:r>
      <w:r w:rsidR="000421B5">
        <w:tab/>
      </w:r>
      <w:r>
        <w:t>costs and profits relating to a supply of goods or servi</w:t>
      </w:r>
      <w:r w:rsidR="000421B5">
        <w:t>ces of a particular description</w:t>
      </w:r>
      <w:r w:rsidR="000421B5">
        <w:tab/>
      </w:r>
      <w:r w:rsidR="000421B5">
        <w:tab/>
      </w:r>
      <w:r w:rsidR="000421B5">
        <w:tab/>
      </w:r>
      <w:r>
        <w:t>that is an exempt supply in relation to goods or services of that description.</w:t>
      </w:r>
    </w:p>
    <w:p w:rsidR="00A00B2F" w:rsidRDefault="00A00B2F" w:rsidP="00A00B2F">
      <w:r>
        <w:t>(2)</w:t>
      </w:r>
      <w:r>
        <w:tab/>
      </w:r>
      <w:r w:rsidR="000421B5">
        <w:tab/>
      </w:r>
      <w:r>
        <w:t>The Minister must not direct the Commission under t</w:t>
      </w:r>
      <w:r w:rsidR="000421B5">
        <w:t>his Division to monitor prices,</w:t>
      </w:r>
      <w:r w:rsidR="000421B5">
        <w:tab/>
      </w:r>
      <w:r w:rsidR="000421B5">
        <w:tab/>
      </w:r>
      <w:r w:rsidR="000421B5">
        <w:tab/>
      </w:r>
      <w:r>
        <w:t xml:space="preserve">costs and profits of a State or Territory authority </w:t>
      </w:r>
      <w:r w:rsidR="000421B5">
        <w:t>that supplies goods or services</w:t>
      </w:r>
      <w:r w:rsidR="000421B5">
        <w:tab/>
      </w:r>
      <w:r w:rsidR="000421B5">
        <w:tab/>
      </w:r>
      <w:r w:rsidR="000421B5">
        <w:tab/>
      </w:r>
      <w:r w:rsidR="000421B5">
        <w:tab/>
      </w:r>
      <w:r>
        <w:t>unless the State or Territory concerned has agreed to the direction being given.</w:t>
      </w:r>
    </w:p>
    <w:p w:rsidR="00A00B2F" w:rsidRPr="000421B5" w:rsidRDefault="00A00B2F" w:rsidP="00A00B2F">
      <w:pPr>
        <w:rPr>
          <w:b/>
        </w:rPr>
      </w:pPr>
      <w:proofErr w:type="gramStart"/>
      <w:r w:rsidRPr="000421B5">
        <w:rPr>
          <w:b/>
        </w:rPr>
        <w:t>s</w:t>
      </w:r>
      <w:proofErr w:type="gramEnd"/>
      <w:r w:rsidRPr="000421B5">
        <w:rPr>
          <w:b/>
        </w:rPr>
        <w:t>. 95G(7)</w:t>
      </w:r>
    </w:p>
    <w:p w:rsidR="00A00B2F" w:rsidRPr="000421B5" w:rsidRDefault="00A00B2F" w:rsidP="00A00B2F">
      <w:pPr>
        <w:rPr>
          <w:b/>
        </w:rPr>
      </w:pPr>
      <w:r w:rsidRPr="000421B5">
        <w:rPr>
          <w:b/>
        </w:rPr>
        <w:t>The Commission’s functions under this Part</w:t>
      </w:r>
    </w:p>
    <w:p w:rsidR="00A00B2F" w:rsidRPr="000421B5" w:rsidRDefault="00A00B2F" w:rsidP="00A00B2F">
      <w:pPr>
        <w:rPr>
          <w:b/>
          <w:i/>
        </w:rPr>
      </w:pPr>
      <w:r w:rsidRPr="000421B5">
        <w:rPr>
          <w:b/>
          <w:i/>
        </w:rPr>
        <w:t>General</w:t>
      </w:r>
    </w:p>
    <w:p w:rsidR="00A00B2F" w:rsidRDefault="000421B5" w:rsidP="00A00B2F">
      <w:r>
        <w:t xml:space="preserve">(7)  </w:t>
      </w:r>
      <w:r>
        <w:tab/>
      </w:r>
      <w:r w:rsidR="00A00B2F">
        <w:t xml:space="preserve">In exercising its powers and performing its functions </w:t>
      </w:r>
      <w:r>
        <w:t>under this Part, the Commission</w:t>
      </w:r>
      <w:r>
        <w:tab/>
      </w:r>
      <w:r>
        <w:tab/>
      </w:r>
      <w:r w:rsidR="00A00B2F">
        <w:t xml:space="preserve">must, subject to any directions given under section </w:t>
      </w:r>
      <w:r>
        <w:t>95ZH, have particular regard to</w:t>
      </w:r>
      <w:r>
        <w:tab/>
      </w:r>
      <w:r>
        <w:tab/>
      </w:r>
      <w:r>
        <w:tab/>
      </w:r>
      <w:r w:rsidR="00A00B2F">
        <w:t>the following:</w:t>
      </w:r>
    </w:p>
    <w:p w:rsidR="00A00B2F" w:rsidRDefault="000421B5" w:rsidP="000421B5">
      <w:pPr>
        <w:ind w:left="340" w:firstLine="340"/>
      </w:pPr>
      <w:r>
        <w:t>(a)</w:t>
      </w:r>
      <w:r>
        <w:tab/>
      </w:r>
      <w:proofErr w:type="gramStart"/>
      <w:r w:rsidR="00A00B2F">
        <w:t>the</w:t>
      </w:r>
      <w:proofErr w:type="gramEnd"/>
      <w:r w:rsidR="00A00B2F">
        <w:t xml:space="preserve"> need to maintain investment and employm</w:t>
      </w:r>
      <w:r>
        <w:t>ent, including the influence of</w:t>
      </w:r>
      <w:r>
        <w:tab/>
      </w:r>
      <w:r>
        <w:tab/>
      </w:r>
      <w:r>
        <w:tab/>
      </w:r>
      <w:r>
        <w:tab/>
      </w:r>
      <w:r w:rsidR="00A00B2F">
        <w:t>profitability on investment and employment;</w:t>
      </w:r>
    </w:p>
    <w:p w:rsidR="00A00B2F" w:rsidRDefault="00A00B2F" w:rsidP="000421B5">
      <w:pPr>
        <w:ind w:left="340" w:firstLine="340"/>
      </w:pPr>
      <w:r>
        <w:t>(b) the need to discourage a person who is in a positi</w:t>
      </w:r>
      <w:r w:rsidR="000421B5">
        <w:t>on to substantially influence a</w:t>
      </w:r>
      <w:r w:rsidR="000421B5">
        <w:tab/>
      </w:r>
      <w:r w:rsidR="000421B5">
        <w:tab/>
      </w:r>
      <w:r w:rsidR="000421B5">
        <w:tab/>
      </w:r>
      <w:r>
        <w:t>market for goods or services from taking advantage of that power in setting prices;</w:t>
      </w:r>
    </w:p>
    <w:p w:rsidR="00A00B2F" w:rsidRDefault="00A00B2F" w:rsidP="000421B5">
      <w:pPr>
        <w:ind w:left="340" w:firstLine="340"/>
      </w:pPr>
      <w:r>
        <w:t xml:space="preserve">(c) </w:t>
      </w:r>
      <w:proofErr w:type="gramStart"/>
      <w:r>
        <w:t>the</w:t>
      </w:r>
      <w:proofErr w:type="gramEnd"/>
      <w:r>
        <w:t xml:space="preserve"> need to discourage cost increases aris</w:t>
      </w:r>
      <w:r w:rsidR="000421B5">
        <w:t>ing from increases in wages and</w:t>
      </w:r>
      <w:r w:rsidR="000421B5">
        <w:tab/>
      </w:r>
      <w:r w:rsidR="000421B5">
        <w:tab/>
      </w:r>
      <w:r w:rsidR="000421B5">
        <w:tab/>
      </w:r>
      <w:r w:rsidR="000421B5">
        <w:tab/>
      </w:r>
      <w:r>
        <w:t>changes in conditions of employment inconsistent</w:t>
      </w:r>
      <w:r w:rsidR="000421B5">
        <w:t xml:space="preserve"> with principles established by</w:t>
      </w:r>
      <w:r w:rsidR="000421B5">
        <w:tab/>
      </w:r>
      <w:r w:rsidR="000421B5">
        <w:tab/>
      </w:r>
      <w:r w:rsidR="000421B5">
        <w:tab/>
      </w:r>
      <w:r>
        <w:t>relevant industrial tribunals.</w:t>
      </w:r>
    </w:p>
    <w:p w:rsidR="00A00B2F" w:rsidRDefault="00A00B2F">
      <w:r>
        <w:br w:type="page"/>
      </w:r>
    </w:p>
    <w:p w:rsidR="00A00B2F" w:rsidRDefault="00A00B2F" w:rsidP="00A00B2F">
      <w:pPr>
        <w:pStyle w:val="Heading1"/>
      </w:pPr>
      <w:bookmarkStart w:id="71" w:name="_Toc433667035"/>
      <w:r>
        <w:t>Contacts</w:t>
      </w:r>
      <w:bookmarkEnd w:id="71"/>
    </w:p>
    <w:p w:rsidR="00A00B2F" w:rsidRDefault="00A00B2F" w:rsidP="00A00B2F">
      <w:r>
        <w:t>Infocentre: 1300 302 502</w:t>
      </w:r>
    </w:p>
    <w:p w:rsidR="00A00B2F" w:rsidRDefault="00A00B2F" w:rsidP="00A00B2F">
      <w:r>
        <w:t xml:space="preserve">Website: </w:t>
      </w:r>
      <w:hyperlink r:id="rId38" w:history="1">
        <w:r w:rsidR="00746E22" w:rsidRPr="00202FDA">
          <w:rPr>
            <w:rStyle w:val="Hyperlink"/>
          </w:rPr>
          <w:t>www.accc.gov.au</w:t>
        </w:r>
      </w:hyperlink>
      <w:r w:rsidR="00746E22">
        <w:t xml:space="preserve"> </w:t>
      </w:r>
    </w:p>
    <w:p w:rsidR="00A00B2F" w:rsidRDefault="00A00B2F" w:rsidP="00A00B2F">
      <w:r>
        <w:t xml:space="preserve">Callers who are deaf or have a hearing or speech impairment can contact the ACCC through the National Relay Service, </w:t>
      </w:r>
      <w:hyperlink r:id="rId39" w:history="1">
        <w:r w:rsidRPr="00A00B2F">
          <w:rPr>
            <w:rStyle w:val="Hyperlink"/>
          </w:rPr>
          <w:t>www.relayservice.com.au</w:t>
        </w:r>
      </w:hyperlink>
    </w:p>
    <w:p w:rsidR="00A00B2F" w:rsidRDefault="00A00B2F" w:rsidP="00A00B2F">
      <w:r>
        <w:t xml:space="preserve">For other business information, go to </w:t>
      </w:r>
      <w:hyperlink r:id="rId40" w:history="1">
        <w:r w:rsidRPr="00A00B2F">
          <w:rPr>
            <w:rStyle w:val="Hyperlink"/>
          </w:rPr>
          <w:t>www.business.gov.au</w:t>
        </w:r>
      </w:hyperlink>
    </w:p>
    <w:p w:rsidR="00A00B2F" w:rsidRDefault="00A00B2F" w:rsidP="00A00B2F">
      <w:pPr>
        <w:pStyle w:val="Contactsaddresses"/>
      </w:pPr>
      <w:r w:rsidRPr="007C2E1D">
        <w:t>Addresses</w:t>
      </w:r>
    </w:p>
    <w:tbl>
      <w:tblPr>
        <w:tblStyle w:val="LightShading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2888"/>
        <w:gridCol w:w="2888"/>
      </w:tblGrid>
      <w:tr w:rsidR="00A00B2F" w:rsidTr="00A00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rsidR="00A00B2F" w:rsidRPr="00264C58" w:rsidRDefault="00A00B2F" w:rsidP="007506A4">
            <w:pPr>
              <w:pStyle w:val="Contactsheading1"/>
              <w:spacing w:before="0"/>
              <w:rPr>
                <w:rFonts w:ascii="Times New Roman" w:hAnsi="Times New Roman"/>
              </w:rPr>
            </w:pPr>
            <w:r w:rsidRPr="00264C58">
              <w:rPr>
                <w:rFonts w:ascii="Times New Roman" w:hAnsi="Times New Roman"/>
              </w:rPr>
              <w:t>National office</w:t>
            </w:r>
          </w:p>
          <w:p w:rsidR="00A00B2F" w:rsidRPr="00264C58" w:rsidRDefault="00A00B2F" w:rsidP="007506A4">
            <w:pPr>
              <w:pStyle w:val="Contactstext"/>
              <w:rPr>
                <w:lang w:val="en-GB"/>
              </w:rPr>
            </w:pPr>
            <w:r w:rsidRPr="00264C58">
              <w:rPr>
                <w:lang w:val="en-GB"/>
              </w:rPr>
              <w:t>23 Marcus Clarke Street</w:t>
            </w:r>
            <w:r w:rsidRPr="00264C58">
              <w:rPr>
                <w:lang w:val="en-GB"/>
              </w:rPr>
              <w:br/>
              <w:t>Canberra  ACT  2601</w:t>
            </w:r>
          </w:p>
          <w:p w:rsidR="00A00B2F" w:rsidRPr="00264C58" w:rsidRDefault="00A00B2F" w:rsidP="007506A4">
            <w:pPr>
              <w:pStyle w:val="Contactstext"/>
              <w:rPr>
                <w:lang w:val="en-GB"/>
              </w:rPr>
            </w:pPr>
            <w:r w:rsidRPr="00264C58">
              <w:rPr>
                <w:lang w:val="en-GB"/>
              </w:rPr>
              <w:t>GPO Box 3131</w:t>
            </w:r>
            <w:r w:rsidRPr="00264C58">
              <w:rPr>
                <w:lang w:val="en-GB"/>
              </w:rPr>
              <w:br/>
              <w:t>Canberra  ACT  2601</w:t>
            </w:r>
          </w:p>
          <w:p w:rsidR="00A00B2F" w:rsidRPr="00264C58" w:rsidRDefault="00A00B2F" w:rsidP="007506A4">
            <w:pPr>
              <w:pStyle w:val="Contactstext"/>
            </w:pPr>
            <w:r w:rsidRPr="00264C58">
              <w:t>Tel: (02) 6243 1111</w:t>
            </w:r>
            <w:r w:rsidRPr="00264C58">
              <w:br/>
              <w:t>Fax: (02) 6243 1199</w:t>
            </w:r>
          </w:p>
          <w:p w:rsidR="00A00B2F" w:rsidRPr="00264C58" w:rsidRDefault="00A00B2F" w:rsidP="007506A4">
            <w:pPr>
              <w:pStyle w:val="Contactsheading1"/>
              <w:rPr>
                <w:rFonts w:ascii="Times New Roman" w:hAnsi="Times New Roman"/>
              </w:rPr>
            </w:pPr>
            <w:r w:rsidRPr="00264C58">
              <w:rPr>
                <w:rFonts w:ascii="Times New Roman" w:hAnsi="Times New Roman"/>
              </w:rPr>
              <w:t>New South Wales</w:t>
            </w:r>
          </w:p>
          <w:p w:rsidR="00A00B2F" w:rsidRPr="00264C58" w:rsidRDefault="00A00B2F" w:rsidP="007506A4">
            <w:pPr>
              <w:pStyle w:val="Contactstext"/>
            </w:pPr>
            <w:r>
              <w:t>Level 20</w:t>
            </w:r>
            <w:r>
              <w:br/>
              <w:t>175</w:t>
            </w:r>
            <w:r w:rsidRPr="00264C58">
              <w:t xml:space="preserve"> Pitt Street</w:t>
            </w:r>
            <w:r w:rsidRPr="00264C58">
              <w:br/>
              <w:t>Sydney</w:t>
            </w:r>
            <w:r>
              <w:t xml:space="preserve"> </w:t>
            </w:r>
            <w:r w:rsidRPr="00264C58">
              <w:t>NSW</w:t>
            </w:r>
            <w:r>
              <w:t xml:space="preserve"> </w:t>
            </w:r>
            <w:r w:rsidRPr="00264C58">
              <w:t>2000</w:t>
            </w:r>
          </w:p>
          <w:p w:rsidR="00A00B2F" w:rsidRPr="00264C58" w:rsidRDefault="00A00B2F" w:rsidP="007506A4">
            <w:pPr>
              <w:pStyle w:val="Contactstext"/>
            </w:pPr>
            <w:r w:rsidRPr="00264C58">
              <w:t>GPO Box 3648</w:t>
            </w:r>
            <w:r w:rsidRPr="00264C58">
              <w:br/>
              <w:t>Sydney</w:t>
            </w:r>
            <w:r>
              <w:t xml:space="preserve"> </w:t>
            </w:r>
            <w:r w:rsidRPr="00264C58">
              <w:t>NSW</w:t>
            </w:r>
            <w:r>
              <w:t xml:space="preserve"> </w:t>
            </w:r>
            <w:r w:rsidRPr="00264C58">
              <w:t>200</w:t>
            </w:r>
            <w:r>
              <w:t>1</w:t>
            </w:r>
          </w:p>
          <w:p w:rsidR="00A00B2F" w:rsidRPr="00264C58" w:rsidRDefault="00A00B2F" w:rsidP="007506A4">
            <w:pPr>
              <w:pStyle w:val="Contactstext"/>
            </w:pPr>
            <w:r w:rsidRPr="00264C58">
              <w:t>Tel: (02) 9230 9133</w:t>
            </w:r>
            <w:r w:rsidRPr="00264C58">
              <w:br/>
              <w:t>Fax: (02) 9223 1092</w:t>
            </w:r>
          </w:p>
          <w:p w:rsidR="00A00B2F" w:rsidRPr="00264C58" w:rsidRDefault="00A00B2F" w:rsidP="007506A4">
            <w:pPr>
              <w:pStyle w:val="Contactsheading1"/>
              <w:rPr>
                <w:rFonts w:ascii="Times New Roman" w:hAnsi="Times New Roman"/>
              </w:rPr>
            </w:pPr>
            <w:r w:rsidRPr="00264C58">
              <w:rPr>
                <w:rFonts w:ascii="Times New Roman" w:hAnsi="Times New Roman"/>
              </w:rPr>
              <w:t>Victoria</w:t>
            </w:r>
          </w:p>
          <w:p w:rsidR="00A00B2F" w:rsidRPr="00264C58" w:rsidRDefault="00A00B2F" w:rsidP="007506A4">
            <w:pPr>
              <w:pStyle w:val="Contactstext"/>
            </w:pPr>
            <w:r w:rsidRPr="00264C58">
              <w:t>Level 35</w:t>
            </w:r>
            <w:r w:rsidRPr="00264C58">
              <w:br/>
              <w:t>The Tower</w:t>
            </w:r>
            <w:r w:rsidRPr="00264C58">
              <w:br/>
              <w:t>360 Elizabeth Street</w:t>
            </w:r>
            <w:r w:rsidRPr="00264C58">
              <w:br/>
              <w:t>Melbourne Central</w:t>
            </w:r>
            <w:r w:rsidRPr="00264C58">
              <w:br/>
              <w:t>Melbourne  Vic  3000</w:t>
            </w:r>
          </w:p>
          <w:p w:rsidR="00A00B2F" w:rsidRPr="00264C58" w:rsidRDefault="00A00B2F" w:rsidP="007506A4">
            <w:pPr>
              <w:pStyle w:val="Contactstext"/>
            </w:pPr>
            <w:r w:rsidRPr="00264C58">
              <w:t>GPO Box 520</w:t>
            </w:r>
            <w:r w:rsidRPr="00264C58">
              <w:br/>
              <w:t>Melbourne  Vic  3001</w:t>
            </w:r>
          </w:p>
          <w:p w:rsidR="00A00B2F" w:rsidRPr="00264C58" w:rsidRDefault="00A00B2F" w:rsidP="007506A4">
            <w:pPr>
              <w:pStyle w:val="Contactstext"/>
            </w:pPr>
            <w:r w:rsidRPr="00264C58">
              <w:t>Tel: (03) 9290 1800</w:t>
            </w:r>
            <w:r w:rsidRPr="00264C58">
              <w:br/>
              <w:t>Fax: (03) 9663 3699</w:t>
            </w:r>
          </w:p>
          <w:p w:rsidR="00A00B2F" w:rsidRPr="00264C58" w:rsidRDefault="00A00B2F" w:rsidP="007506A4">
            <w:pPr>
              <w:pStyle w:val="Contactsheading1"/>
              <w:rPr>
                <w:rFonts w:ascii="Times New Roman" w:hAnsi="Times New Roman"/>
              </w:rPr>
            </w:pPr>
            <w:r w:rsidRPr="00264C58">
              <w:rPr>
                <w:rFonts w:ascii="Times New Roman" w:hAnsi="Times New Roman"/>
              </w:rPr>
              <w:t>Western Australia</w:t>
            </w:r>
          </w:p>
          <w:p w:rsidR="00A00B2F" w:rsidRPr="00264C58" w:rsidRDefault="00A00B2F" w:rsidP="007506A4">
            <w:pPr>
              <w:pStyle w:val="Contactstext"/>
            </w:pPr>
            <w:r w:rsidRPr="00264C58">
              <w:t>Third floor</w:t>
            </w:r>
            <w:r w:rsidRPr="00264C58">
              <w:br/>
              <w:t>East Point Plaza</w:t>
            </w:r>
            <w:r w:rsidRPr="00264C58">
              <w:br/>
              <w:t>233 Adelaide Terrace</w:t>
            </w:r>
            <w:r w:rsidRPr="00264C58">
              <w:br/>
              <w:t>Perth  WA  6000</w:t>
            </w:r>
          </w:p>
          <w:p w:rsidR="00A00B2F" w:rsidRPr="00264C58" w:rsidRDefault="00A00B2F" w:rsidP="007506A4">
            <w:pPr>
              <w:pStyle w:val="Contactstext"/>
            </w:pPr>
            <w:r w:rsidRPr="00264C58">
              <w:t>PO Box 6381</w:t>
            </w:r>
            <w:r w:rsidRPr="00264C58">
              <w:br/>
              <w:t>East Perth  WA  6892</w:t>
            </w:r>
          </w:p>
          <w:p w:rsidR="00A00B2F" w:rsidRDefault="00A00B2F" w:rsidP="007506A4">
            <w:pPr>
              <w:pStyle w:val="Contactstext"/>
            </w:pPr>
            <w:r w:rsidRPr="00264C58">
              <w:t>Tel: (08) 9325 0600</w:t>
            </w:r>
            <w:r w:rsidRPr="00264C58">
              <w:br/>
              <w:t>Fax: (08) 9325 597</w:t>
            </w:r>
            <w:r>
              <w:t>6</w:t>
            </w:r>
          </w:p>
        </w:tc>
        <w:tc>
          <w:tcPr>
            <w:tcW w:w="2888" w:type="dxa"/>
            <w:tcBorders>
              <w:top w:val="none" w:sz="0" w:space="0" w:color="auto"/>
              <w:left w:val="none" w:sz="0" w:space="0" w:color="auto"/>
              <w:bottom w:val="none" w:sz="0" w:space="0" w:color="auto"/>
              <w:right w:val="none" w:sz="0" w:space="0" w:color="auto"/>
            </w:tcBorders>
          </w:tcPr>
          <w:p w:rsidR="00A00B2F" w:rsidRPr="00445370" w:rsidRDefault="00A00B2F" w:rsidP="007506A4">
            <w:pPr>
              <w:pStyle w:val="Contactsheading1"/>
              <w:spacing w:before="0"/>
              <w:cnfStyle w:val="100000000000" w:firstRow="1" w:lastRow="0" w:firstColumn="0" w:lastColumn="0" w:oddVBand="0" w:evenVBand="0" w:oddHBand="0" w:evenHBand="0" w:firstRowFirstColumn="0" w:firstRowLastColumn="0" w:lastRowFirstColumn="0" w:lastRowLastColumn="0"/>
            </w:pPr>
            <w:r w:rsidRPr="00445370">
              <w:t>Queensland</w:t>
            </w:r>
          </w:p>
          <w:p w:rsidR="00A00B2F" w:rsidRPr="00FF1C63" w:rsidRDefault="00A00B2F" w:rsidP="007506A4">
            <w:pPr>
              <w:pStyle w:val="Contactsheading2"/>
              <w:cnfStyle w:val="100000000000" w:firstRow="1" w:lastRow="0" w:firstColumn="0" w:lastColumn="0" w:oddVBand="0" w:evenVBand="0" w:oddHBand="0" w:evenHBand="0" w:firstRowFirstColumn="0" w:firstRowLastColumn="0" w:lastRowFirstColumn="0" w:lastRowLastColumn="0"/>
            </w:pPr>
            <w:r w:rsidRPr="00FF1C63">
              <w:t xml:space="preserve">Brisbane </w:t>
            </w:r>
          </w:p>
          <w:p w:rsidR="00A00B2F" w:rsidRPr="00FF1C63"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t>Level 24</w:t>
            </w:r>
            <w:r w:rsidRPr="00FF1C63">
              <w:t xml:space="preserve"> </w:t>
            </w:r>
            <w:r w:rsidRPr="00FF1C63">
              <w:br/>
            </w:r>
            <w:r>
              <w:t>400 George</w:t>
            </w:r>
            <w:r w:rsidRPr="00FF1C63">
              <w:t xml:space="preserve"> Street</w:t>
            </w:r>
            <w:r w:rsidRPr="00FF1C63">
              <w:br/>
              <w:t>Brisbane</w:t>
            </w:r>
            <w:r>
              <w:t xml:space="preserve"> </w:t>
            </w:r>
            <w:r w:rsidRPr="00FF1C63">
              <w:t>Qld</w:t>
            </w:r>
            <w:r>
              <w:t xml:space="preserve"> 4003</w:t>
            </w:r>
          </w:p>
          <w:p w:rsidR="00A00B2F" w:rsidRPr="00FF1C63"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FF1C63">
              <w:t>PO Box 1</w:t>
            </w:r>
            <w:r>
              <w:t>2241</w:t>
            </w:r>
            <w:r>
              <w:br/>
              <w:t>George St</w:t>
            </w:r>
            <w:r w:rsidRPr="00FF1C63">
              <w:t xml:space="preserve"> Post </w:t>
            </w:r>
            <w:r>
              <w:t>Shop</w:t>
            </w:r>
            <w:r w:rsidRPr="00FF1C63">
              <w:br/>
              <w:t>Brisbane</w:t>
            </w:r>
            <w:r>
              <w:t xml:space="preserve"> </w:t>
            </w:r>
            <w:r w:rsidRPr="00FF1C63">
              <w:t>Qld</w:t>
            </w:r>
            <w:r>
              <w:t xml:space="preserve"> </w:t>
            </w:r>
            <w:r w:rsidRPr="00FF1C63">
              <w:t>4000</w:t>
            </w:r>
          </w:p>
          <w:p w:rsidR="00A00B2F" w:rsidRPr="00FF1C63"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FF1C63">
              <w:t>Tel: (07) 3835 4666</w:t>
            </w:r>
            <w:r w:rsidRPr="00FF1C63">
              <w:br/>
              <w:t xml:space="preserve">Fax: (07) 3832 </w:t>
            </w:r>
            <w:r>
              <w:t>4653</w:t>
            </w:r>
          </w:p>
          <w:p w:rsidR="00A00B2F" w:rsidRPr="00FF1C63" w:rsidRDefault="00A00B2F" w:rsidP="007506A4">
            <w:pPr>
              <w:pStyle w:val="Contactsheading2"/>
              <w:cnfStyle w:val="100000000000" w:firstRow="1" w:lastRow="0" w:firstColumn="0" w:lastColumn="0" w:oddVBand="0" w:evenVBand="0" w:oddHBand="0" w:evenHBand="0" w:firstRowFirstColumn="0" w:firstRowLastColumn="0" w:lastRowFirstColumn="0" w:lastRowLastColumn="0"/>
            </w:pPr>
            <w:r w:rsidRPr="00FF1C63">
              <w:t xml:space="preserve">Townsville </w:t>
            </w:r>
          </w:p>
          <w:p w:rsidR="00A00B2F"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t xml:space="preserve">Suncorp Plaza </w:t>
            </w:r>
          </w:p>
          <w:p w:rsidR="00A00B2F" w:rsidRPr="007C2E1D"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t>Suite 2 Level 9</w:t>
            </w:r>
            <w:r w:rsidRPr="007C2E1D">
              <w:br/>
            </w:r>
            <w:r>
              <w:t>61–73 Sturt Street</w:t>
            </w:r>
            <w:r w:rsidRPr="007C2E1D">
              <w:br/>
              <w:t>Townsville  Qld  4810</w:t>
            </w:r>
          </w:p>
          <w:p w:rsidR="00A00B2F" w:rsidRPr="00FF1C63"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FF1C63">
              <w:t>PO Box 2016</w:t>
            </w:r>
            <w:r w:rsidRPr="00FF1C63">
              <w:br/>
              <w:t>Townsville  Qld  4810</w:t>
            </w:r>
          </w:p>
          <w:p w:rsidR="00A00B2F" w:rsidRPr="00FF1C63"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FF1C63">
              <w:t>Tel: (07) 4729 2666</w:t>
            </w:r>
            <w:r w:rsidRPr="00FF1C63">
              <w:br/>
              <w:t>Fax: (07) 4721 1538</w:t>
            </w:r>
          </w:p>
          <w:p w:rsidR="00A00B2F" w:rsidRDefault="00A00B2F" w:rsidP="007506A4">
            <w:pPr>
              <w:pStyle w:val="Contactsheading1"/>
              <w:cnfStyle w:val="100000000000" w:firstRow="1" w:lastRow="0" w:firstColumn="0" w:lastColumn="0" w:oddVBand="0" w:evenVBand="0" w:oddHBand="0" w:evenHBand="0" w:firstRowFirstColumn="0" w:firstRowLastColumn="0" w:lastRowFirstColumn="0" w:lastRowLastColumn="0"/>
            </w:pPr>
            <w:r w:rsidRPr="00445370">
              <w:t xml:space="preserve">South </w:t>
            </w:r>
            <w:r w:rsidRPr="003131DB">
              <w:t>Australia</w:t>
            </w:r>
          </w:p>
          <w:p w:rsidR="00A00B2F" w:rsidRPr="00FF1C63"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FF1C63">
              <w:t xml:space="preserve">Level </w:t>
            </w:r>
            <w:r>
              <w:t>2</w:t>
            </w:r>
            <w:r>
              <w:br/>
            </w:r>
            <w:r w:rsidRPr="00FF1C63">
              <w:t>1</w:t>
            </w:r>
            <w:r>
              <w:t>9</w:t>
            </w:r>
            <w:r w:rsidRPr="00FF1C63">
              <w:t xml:space="preserve"> Grenfell Street</w:t>
            </w:r>
            <w:r>
              <w:br/>
            </w:r>
            <w:r w:rsidRPr="00FF1C63">
              <w:t>Adelaide  SA  5000</w:t>
            </w:r>
          </w:p>
          <w:p w:rsidR="00A00B2F" w:rsidRPr="00E275FF" w:rsidRDefault="00A00B2F" w:rsidP="007506A4">
            <w:pPr>
              <w:pStyle w:val="Contactstext"/>
              <w:cnfStyle w:val="100000000000" w:firstRow="1" w:lastRow="0" w:firstColumn="0" w:lastColumn="0" w:oddVBand="0" w:evenVBand="0" w:oddHBand="0" w:evenHBand="0" w:firstRowFirstColumn="0" w:firstRowLastColumn="0" w:lastRowFirstColumn="0" w:lastRowLastColumn="0"/>
              <w:rPr>
                <w:lang w:val="fr-FR"/>
              </w:rPr>
            </w:pPr>
            <w:r w:rsidRPr="00E275FF">
              <w:rPr>
                <w:lang w:val="fr-FR"/>
              </w:rPr>
              <w:t>GPO Box 922</w:t>
            </w:r>
            <w:r w:rsidRPr="00E275FF">
              <w:rPr>
                <w:lang w:val="fr-FR"/>
              </w:rPr>
              <w:br/>
            </w:r>
            <w:proofErr w:type="spellStart"/>
            <w:r w:rsidRPr="00E275FF">
              <w:rPr>
                <w:lang w:val="fr-FR"/>
              </w:rPr>
              <w:t>Adelaide</w:t>
            </w:r>
            <w:proofErr w:type="spellEnd"/>
            <w:r w:rsidRPr="00E275FF">
              <w:rPr>
                <w:lang w:val="fr-FR"/>
              </w:rPr>
              <w:t xml:space="preserve">  SA  5001</w:t>
            </w:r>
          </w:p>
          <w:p w:rsidR="00A00B2F" w:rsidRDefault="00A00B2F" w:rsidP="007506A4">
            <w:pPr>
              <w:pStyle w:val="Contactstext"/>
              <w:cnfStyle w:val="100000000000" w:firstRow="1" w:lastRow="0" w:firstColumn="0" w:lastColumn="0" w:oddVBand="0" w:evenVBand="0" w:oddHBand="0" w:evenHBand="0" w:firstRowFirstColumn="0" w:firstRowLastColumn="0" w:lastRowFirstColumn="0" w:lastRowLastColumn="0"/>
              <w:rPr>
                <w:lang w:val="fr-FR"/>
              </w:rPr>
            </w:pPr>
            <w:r w:rsidRPr="00E275FF">
              <w:rPr>
                <w:lang w:val="fr-FR"/>
              </w:rPr>
              <w:t>Tel: (08) 8213 3444</w:t>
            </w:r>
            <w:r w:rsidRPr="00E275FF">
              <w:rPr>
                <w:lang w:val="fr-FR"/>
              </w:rPr>
              <w:br/>
              <w:t>Fax: (08) 8410 4155</w:t>
            </w:r>
          </w:p>
          <w:p w:rsidR="00A00B2F" w:rsidRDefault="00A00B2F" w:rsidP="007506A4">
            <w:pPr>
              <w:pStyle w:val="Contactstext"/>
              <w:cnfStyle w:val="100000000000" w:firstRow="1" w:lastRow="0" w:firstColumn="0" w:lastColumn="0" w:oddVBand="0" w:evenVBand="0" w:oddHBand="0" w:evenHBand="0" w:firstRowFirstColumn="0" w:firstRowLastColumn="0" w:lastRowFirstColumn="0" w:lastRowLastColumn="0"/>
            </w:pPr>
          </w:p>
        </w:tc>
        <w:tc>
          <w:tcPr>
            <w:tcW w:w="2888" w:type="dxa"/>
            <w:tcBorders>
              <w:top w:val="none" w:sz="0" w:space="0" w:color="auto"/>
              <w:left w:val="none" w:sz="0" w:space="0" w:color="auto"/>
              <w:bottom w:val="none" w:sz="0" w:space="0" w:color="auto"/>
              <w:right w:val="none" w:sz="0" w:space="0" w:color="auto"/>
            </w:tcBorders>
          </w:tcPr>
          <w:p w:rsidR="00A00B2F" w:rsidRPr="00445370" w:rsidRDefault="00A00B2F" w:rsidP="007506A4">
            <w:pPr>
              <w:pStyle w:val="Contactsheading1"/>
              <w:cnfStyle w:val="100000000000" w:firstRow="1" w:lastRow="0" w:firstColumn="0" w:lastColumn="0" w:oddVBand="0" w:evenVBand="0" w:oddHBand="0" w:evenHBand="0" w:firstRowFirstColumn="0" w:firstRowLastColumn="0" w:lastRowFirstColumn="0" w:lastRowLastColumn="0"/>
            </w:pPr>
            <w:r w:rsidRPr="00445370">
              <w:t>Northern Territory</w:t>
            </w:r>
          </w:p>
          <w:p w:rsidR="00A00B2F" w:rsidRPr="00445370"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445370">
              <w:t>Level 8</w:t>
            </w:r>
            <w:r>
              <w:br/>
            </w:r>
            <w:r w:rsidRPr="00445370">
              <w:t xml:space="preserve">National Mutual Centre </w:t>
            </w:r>
            <w:r w:rsidRPr="00445370">
              <w:br/>
              <w:t xml:space="preserve">9–11 </w:t>
            </w:r>
            <w:proofErr w:type="spellStart"/>
            <w:r w:rsidRPr="00445370">
              <w:t>Cavenagh</w:t>
            </w:r>
            <w:proofErr w:type="spellEnd"/>
            <w:r w:rsidRPr="00445370">
              <w:t xml:space="preserve"> St </w:t>
            </w:r>
            <w:r w:rsidRPr="00445370">
              <w:br/>
              <w:t>Darwin  NT  0800</w:t>
            </w:r>
          </w:p>
          <w:p w:rsidR="00A00B2F" w:rsidRPr="00445370"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445370">
              <w:t xml:space="preserve">GPO Box 3056 </w:t>
            </w:r>
            <w:r w:rsidRPr="00445370">
              <w:br/>
              <w:t>Darwin  NT  0801</w:t>
            </w:r>
          </w:p>
          <w:p w:rsidR="00A00B2F"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445370">
              <w:t>Tel:</w:t>
            </w:r>
            <w:r>
              <w:t xml:space="preserve"> </w:t>
            </w:r>
            <w:r w:rsidRPr="00445370">
              <w:t xml:space="preserve">(08) 8946 9666 </w:t>
            </w:r>
            <w:r>
              <w:br/>
            </w:r>
            <w:r w:rsidRPr="00445370">
              <w:t>Fax: (08) 8946 9600</w:t>
            </w:r>
          </w:p>
          <w:p w:rsidR="00A00B2F" w:rsidRPr="00445370" w:rsidRDefault="00A00B2F" w:rsidP="007506A4">
            <w:pPr>
              <w:pStyle w:val="Contactsheading1"/>
              <w:cnfStyle w:val="100000000000" w:firstRow="1" w:lastRow="0" w:firstColumn="0" w:lastColumn="0" w:oddVBand="0" w:evenVBand="0" w:oddHBand="0" w:evenHBand="0" w:firstRowFirstColumn="0" w:firstRowLastColumn="0" w:lastRowFirstColumn="0" w:lastRowLastColumn="0"/>
            </w:pPr>
            <w:r w:rsidRPr="005B11A4">
              <w:t>Tasmania</w:t>
            </w:r>
          </w:p>
          <w:p w:rsidR="00A00B2F" w:rsidRPr="007C2E1D"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t>Level 2</w:t>
            </w:r>
            <w:r w:rsidRPr="007C2E1D">
              <w:br/>
            </w:r>
            <w:r>
              <w:t>70 Collins Street</w:t>
            </w:r>
            <w:r>
              <w:br/>
              <w:t>(</w:t>
            </w:r>
            <w:proofErr w:type="spellStart"/>
            <w:r>
              <w:t>Cnr</w:t>
            </w:r>
            <w:proofErr w:type="spellEnd"/>
            <w:r>
              <w:t xml:space="preserve"> Collins </w:t>
            </w:r>
            <w:r w:rsidRPr="007C2E1D">
              <w:t xml:space="preserve">and </w:t>
            </w:r>
            <w:r>
              <w:br/>
              <w:t xml:space="preserve">   Argyle</w:t>
            </w:r>
            <w:r w:rsidRPr="007C2E1D">
              <w:t xml:space="preserve"> streets)</w:t>
            </w:r>
            <w:r w:rsidRPr="007C2E1D">
              <w:br/>
              <w:t xml:space="preserve">Hobart  </w:t>
            </w:r>
            <w:proofErr w:type="spellStart"/>
            <w:r w:rsidRPr="007C2E1D">
              <w:t>Tas</w:t>
            </w:r>
            <w:proofErr w:type="spellEnd"/>
            <w:r w:rsidRPr="007C2E1D">
              <w:t xml:space="preserve">  7000</w:t>
            </w:r>
          </w:p>
          <w:p w:rsidR="00A00B2F" w:rsidRPr="00445370"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445370">
              <w:t>GPO Box 1210</w:t>
            </w:r>
            <w:r w:rsidRPr="00445370">
              <w:br/>
              <w:t xml:space="preserve">Hobart  </w:t>
            </w:r>
            <w:proofErr w:type="spellStart"/>
            <w:r w:rsidRPr="00445370">
              <w:t>Tas</w:t>
            </w:r>
            <w:proofErr w:type="spellEnd"/>
            <w:r w:rsidRPr="00445370">
              <w:t xml:space="preserve">  7001</w:t>
            </w:r>
          </w:p>
          <w:p w:rsidR="00A00B2F" w:rsidRPr="00445370" w:rsidRDefault="00A00B2F" w:rsidP="007506A4">
            <w:pPr>
              <w:pStyle w:val="Contactstext"/>
              <w:cnfStyle w:val="100000000000" w:firstRow="1" w:lastRow="0" w:firstColumn="0" w:lastColumn="0" w:oddVBand="0" w:evenVBand="0" w:oddHBand="0" w:evenHBand="0" w:firstRowFirstColumn="0" w:firstRowLastColumn="0" w:lastRowFirstColumn="0" w:lastRowLastColumn="0"/>
            </w:pPr>
            <w:r w:rsidRPr="00445370">
              <w:t>Tel: (03) 6215 9333</w:t>
            </w:r>
            <w:r w:rsidRPr="00445370">
              <w:br/>
              <w:t xml:space="preserve">Fax: (03) 6234 7796 </w:t>
            </w:r>
          </w:p>
          <w:p w:rsidR="00A00B2F" w:rsidRDefault="00A00B2F" w:rsidP="007506A4">
            <w:pPr>
              <w:pStyle w:val="Contactstext"/>
              <w:cnfStyle w:val="100000000000" w:firstRow="1" w:lastRow="0" w:firstColumn="0" w:lastColumn="0" w:oddVBand="0" w:evenVBand="0" w:oddHBand="0" w:evenHBand="0" w:firstRowFirstColumn="0" w:firstRowLastColumn="0" w:lastRowFirstColumn="0" w:lastRowLastColumn="0"/>
            </w:pPr>
          </w:p>
        </w:tc>
      </w:tr>
    </w:tbl>
    <w:p w:rsidR="00A00B2F" w:rsidRPr="00A00B2F" w:rsidRDefault="00A00B2F" w:rsidP="00A00B2F"/>
    <w:p w:rsidR="00A00B2F" w:rsidRPr="00A00B2F" w:rsidRDefault="00A00B2F" w:rsidP="00A00B2F">
      <w:pPr>
        <w:pStyle w:val="Heading1"/>
      </w:pPr>
    </w:p>
    <w:p w:rsidR="00A00B2F" w:rsidRPr="00A00B2F" w:rsidRDefault="00A00B2F" w:rsidP="00A00B2F"/>
    <w:sectPr w:rsidR="00A00B2F" w:rsidRPr="00A00B2F" w:rsidSect="002B4622">
      <w:footerReference w:type="default" r:id="rId4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28" w:rsidRDefault="00C32528" w:rsidP="004B4412">
      <w:pPr>
        <w:spacing w:before="0"/>
      </w:pPr>
      <w:r>
        <w:separator/>
      </w:r>
    </w:p>
  </w:endnote>
  <w:endnote w:type="continuationSeparator" w:id="0">
    <w:p w:rsidR="00C32528" w:rsidRDefault="00C32528"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A" w:rsidRDefault="0099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A" w:rsidRDefault="00990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A" w:rsidRDefault="009907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28" w:rsidRPr="000E3A2E" w:rsidRDefault="00C32528"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99073A">
      <w:rPr>
        <w:noProof/>
        <w:color w:val="51626F" w:themeColor="accent1"/>
        <w:sz w:val="18"/>
      </w:rPr>
      <w:t>Container stevedoring monitoring report no.17</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Pr>
        <w:color w:val="51626F" w:themeColor="accent1"/>
        <w:sz w:val="18"/>
      </w:rPr>
      <w:fldChar w:fldCharType="begin"/>
    </w:r>
    <w:r>
      <w:rPr>
        <w:color w:val="51626F" w:themeColor="accent1"/>
        <w:sz w:val="18"/>
      </w:rPr>
      <w:instrText xml:space="preserve"> PAGE   \* MERGEFORMAT </w:instrText>
    </w:r>
    <w:r>
      <w:rPr>
        <w:color w:val="51626F" w:themeColor="accent1"/>
        <w:sz w:val="18"/>
      </w:rPr>
      <w:fldChar w:fldCharType="separate"/>
    </w:r>
    <w:r w:rsidR="0099073A">
      <w:rPr>
        <w:noProof/>
        <w:color w:val="51626F" w:themeColor="accent1"/>
        <w:sz w:val="18"/>
      </w:rPr>
      <w:t>ix</w:t>
    </w:r>
    <w:r>
      <w:rPr>
        <w:color w:val="51626F" w:themeColor="accent1"/>
        <w:sz w:val="18"/>
      </w:rPr>
      <w:fldChar w:fldCharType="end"/>
    </w:r>
  </w:p>
  <w:p w:rsidR="00C32528" w:rsidRPr="000E3A2E" w:rsidRDefault="00C32528" w:rsidP="000E3A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28" w:rsidRPr="000E3A2E" w:rsidRDefault="00C32528"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99073A">
      <w:rPr>
        <w:noProof/>
        <w:color w:val="51626F" w:themeColor="accent1"/>
        <w:sz w:val="18"/>
      </w:rPr>
      <w:t>Container stevedoring monitoring report no.17</w:t>
    </w:r>
    <w:r w:rsidRPr="000E3A2E">
      <w:rPr>
        <w:noProof/>
        <w:color w:val="51626F" w:themeColor="accent1"/>
        <w:sz w:val="18"/>
      </w:rPr>
      <w:fldChar w:fldCharType="end"/>
    </w:r>
    <w:r>
      <w:rPr>
        <w:color w:val="51626F" w:themeColor="accent1"/>
        <w:sz w:val="18"/>
      </w:rPr>
      <w:tab/>
    </w:r>
    <w:r>
      <w:rPr>
        <w:color w:val="51626F" w:themeColor="accent1"/>
        <w:sz w:val="18"/>
      </w:rPr>
      <w:tab/>
    </w:r>
    <w:r>
      <w:rPr>
        <w:color w:val="51626F" w:themeColor="accent1"/>
        <w:sz w:val="18"/>
      </w:rPr>
      <w:fldChar w:fldCharType="begin"/>
    </w:r>
    <w:r>
      <w:rPr>
        <w:color w:val="51626F" w:themeColor="accent1"/>
        <w:sz w:val="18"/>
      </w:rPr>
      <w:instrText xml:space="preserve"> PAGE   \* MERGEFORMAT </w:instrText>
    </w:r>
    <w:r>
      <w:rPr>
        <w:color w:val="51626F" w:themeColor="accent1"/>
        <w:sz w:val="18"/>
      </w:rPr>
      <w:fldChar w:fldCharType="separate"/>
    </w:r>
    <w:r w:rsidR="0099073A">
      <w:rPr>
        <w:noProof/>
        <w:color w:val="51626F" w:themeColor="accent1"/>
        <w:sz w:val="18"/>
      </w:rPr>
      <w:t>60</w:t>
    </w:r>
    <w:r>
      <w:rPr>
        <w:color w:val="51626F" w:themeColor="accent1"/>
        <w:sz w:val="18"/>
      </w:rPr>
      <w:fldChar w:fldCharType="end"/>
    </w:r>
  </w:p>
  <w:p w:rsidR="00C32528" w:rsidRPr="000E3A2E" w:rsidRDefault="00C32528" w:rsidP="000E3A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28" w:rsidRPr="000E3A2E" w:rsidRDefault="00C32528"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99073A">
      <w:rPr>
        <w:noProof/>
        <w:color w:val="51626F" w:themeColor="accent1"/>
        <w:sz w:val="18"/>
      </w:rPr>
      <w:t>Container stevedoring monitoring report no.17</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tab/>
    </w:r>
    <w:r>
      <w:rPr>
        <w:color w:val="51626F" w:themeColor="accent1"/>
        <w:sz w:val="18"/>
      </w:rPr>
      <w:fldChar w:fldCharType="begin"/>
    </w:r>
    <w:r>
      <w:rPr>
        <w:color w:val="51626F" w:themeColor="accent1"/>
        <w:sz w:val="18"/>
      </w:rPr>
      <w:instrText xml:space="preserve"> PAGE   \* MERGEFORMAT </w:instrText>
    </w:r>
    <w:r>
      <w:rPr>
        <w:color w:val="51626F" w:themeColor="accent1"/>
        <w:sz w:val="18"/>
      </w:rPr>
      <w:fldChar w:fldCharType="separate"/>
    </w:r>
    <w:r w:rsidR="0099073A">
      <w:rPr>
        <w:noProof/>
        <w:color w:val="51626F" w:themeColor="accent1"/>
        <w:sz w:val="18"/>
      </w:rPr>
      <w:t>71</w:t>
    </w:r>
    <w:r>
      <w:rPr>
        <w:color w:val="51626F" w:themeColor="accent1"/>
        <w:sz w:val="18"/>
      </w:rPr>
      <w:fldChar w:fldCharType="end"/>
    </w:r>
  </w:p>
  <w:p w:rsidR="00C32528" w:rsidRPr="000E3A2E" w:rsidRDefault="00C32528" w:rsidP="000E3A2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28" w:rsidRPr="000E3A2E" w:rsidRDefault="00C32528"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99073A">
      <w:rPr>
        <w:noProof/>
        <w:color w:val="51626F" w:themeColor="accent1"/>
        <w:sz w:val="18"/>
      </w:rPr>
      <w:t>Container stevedoring monitoring report no.17</w:t>
    </w:r>
    <w:r w:rsidRPr="000E3A2E">
      <w:rPr>
        <w:noProof/>
        <w:color w:val="51626F" w:themeColor="accent1"/>
        <w:sz w:val="18"/>
      </w:rPr>
      <w:fldChar w:fldCharType="end"/>
    </w:r>
    <w:r w:rsidRPr="000E3A2E">
      <w:rPr>
        <w:color w:val="51626F" w:themeColor="accent1"/>
        <w:sz w:val="18"/>
      </w:rPr>
      <w:tab/>
    </w:r>
    <w:r>
      <w:rPr>
        <w:color w:val="51626F" w:themeColor="accent1"/>
        <w:sz w:val="18"/>
      </w:rPr>
      <w:tab/>
    </w:r>
    <w:r>
      <w:rPr>
        <w:color w:val="51626F" w:themeColor="accent1"/>
        <w:sz w:val="18"/>
      </w:rPr>
      <w:fldChar w:fldCharType="begin"/>
    </w:r>
    <w:r>
      <w:rPr>
        <w:color w:val="51626F" w:themeColor="accent1"/>
        <w:sz w:val="18"/>
      </w:rPr>
      <w:instrText xml:space="preserve"> PAGE   \* MERGEFORMAT </w:instrText>
    </w:r>
    <w:r>
      <w:rPr>
        <w:color w:val="51626F" w:themeColor="accent1"/>
        <w:sz w:val="18"/>
      </w:rPr>
      <w:fldChar w:fldCharType="separate"/>
    </w:r>
    <w:r w:rsidR="0099073A">
      <w:rPr>
        <w:noProof/>
        <w:color w:val="51626F" w:themeColor="accent1"/>
        <w:sz w:val="18"/>
      </w:rPr>
      <w:t>87</w:t>
    </w:r>
    <w:r>
      <w:rPr>
        <w:color w:val="51626F" w:themeColor="accent1"/>
        <w:sz w:val="18"/>
      </w:rPr>
      <w:fldChar w:fldCharType="end"/>
    </w:r>
  </w:p>
  <w:p w:rsidR="00C32528" w:rsidRPr="000E3A2E" w:rsidRDefault="00C32528" w:rsidP="000E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28" w:rsidRDefault="00C32528" w:rsidP="004B4412">
      <w:pPr>
        <w:spacing w:before="0"/>
      </w:pPr>
      <w:r>
        <w:separator/>
      </w:r>
    </w:p>
  </w:footnote>
  <w:footnote w:type="continuationSeparator" w:id="0">
    <w:p w:rsidR="00C32528" w:rsidRDefault="00C32528" w:rsidP="004B4412">
      <w:pPr>
        <w:spacing w:before="0"/>
      </w:pPr>
      <w:r>
        <w:continuationSeparator/>
      </w:r>
    </w:p>
  </w:footnote>
  <w:footnote w:id="1">
    <w:p w:rsidR="00C32528" w:rsidRDefault="00C32528">
      <w:pPr>
        <w:pStyle w:val="FootnoteText"/>
      </w:pPr>
      <w:r>
        <w:rPr>
          <w:rStyle w:val="FootnoteReference"/>
        </w:rPr>
        <w:footnoteRef/>
      </w:r>
      <w:r>
        <w:t xml:space="preserve"> </w:t>
      </w:r>
      <w:r>
        <w:tab/>
      </w:r>
      <w:r w:rsidRPr="00E641A1">
        <w:t xml:space="preserve">Under the </w:t>
      </w:r>
      <w:r w:rsidRPr="00EA0B3B">
        <w:rPr>
          <w:i/>
        </w:rPr>
        <w:t>Ports and Maritime Administration Act 1995</w:t>
      </w:r>
      <w:r w:rsidRPr="00E641A1">
        <w:t xml:space="preserve"> (NSW), the Port of Newcastle is required publish information on charges, give advance notice of changes to charges including a rationale for any increases, and provide an annual report to the Minister each year with specified information on charges and revenue.</w:t>
      </w:r>
    </w:p>
  </w:footnote>
  <w:footnote w:id="2">
    <w:p w:rsidR="00C32528" w:rsidRDefault="00C32528" w:rsidP="00E71BFF">
      <w:pPr>
        <w:pStyle w:val="FootnoteText"/>
      </w:pPr>
      <w:r>
        <w:rPr>
          <w:rStyle w:val="FootnoteReference"/>
        </w:rPr>
        <w:footnoteRef/>
      </w:r>
      <w:r>
        <w:t xml:space="preserve"> </w:t>
      </w:r>
      <w:r>
        <w:tab/>
        <w:t>T</w:t>
      </w:r>
      <w:r w:rsidRPr="00D8434B">
        <w:t xml:space="preserve">he ACCC’s monitoring program has recorded no container stevedoring activity </w:t>
      </w:r>
      <w:r>
        <w:t xml:space="preserve">in </w:t>
      </w:r>
      <w:r w:rsidRPr="00D8434B">
        <w:t>Burnie</w:t>
      </w:r>
      <w:r>
        <w:t xml:space="preserve"> since</w:t>
      </w:r>
      <w:r w:rsidRPr="00D8434B">
        <w:t xml:space="preserve"> </w:t>
      </w:r>
      <w:r>
        <w:t xml:space="preserve">2010–11 </w:t>
      </w:r>
      <w:r w:rsidRPr="00D8434B">
        <w:t>because the sole stevedore at that port, Patrick, advised the ACCC that it closed its operations in May 2011.</w:t>
      </w:r>
    </w:p>
  </w:footnote>
  <w:footnote w:id="3">
    <w:p w:rsidR="00C32528" w:rsidRDefault="00C32528" w:rsidP="00E71BFF">
      <w:pPr>
        <w:pStyle w:val="FootnoteText"/>
      </w:pPr>
      <w:r>
        <w:rPr>
          <w:rStyle w:val="FootnoteReference"/>
        </w:rPr>
        <w:footnoteRef/>
      </w:r>
      <w:r>
        <w:t xml:space="preserve"> </w:t>
      </w:r>
      <w:r>
        <w:tab/>
        <w:t xml:space="preserve">There was a third container </w:t>
      </w:r>
      <w:r w:rsidRPr="00350EF9">
        <w:t xml:space="preserve">stevedore in Brisbane, CSX World, </w:t>
      </w:r>
      <w:r>
        <w:t xml:space="preserve">the assets of </w:t>
      </w:r>
      <w:r w:rsidRPr="00350EF9">
        <w:t xml:space="preserve">which </w:t>
      </w:r>
      <w:r>
        <w:t>were</w:t>
      </w:r>
      <w:r w:rsidRPr="00350EF9">
        <w:t xml:space="preserve"> </w:t>
      </w:r>
      <w:r>
        <w:t>acquired</w:t>
      </w:r>
      <w:r w:rsidRPr="00350EF9">
        <w:t xml:space="preserve"> by Patrick in August 2001. In Adelaide</w:t>
      </w:r>
      <w:r>
        <w:t>,</w:t>
      </w:r>
      <w:r w:rsidRPr="00350EF9">
        <w:t xml:space="preserve"> </w:t>
      </w:r>
      <w:r>
        <w:t>the sole</w:t>
      </w:r>
      <w:r w:rsidRPr="00350EF9">
        <w:t xml:space="preserve"> container stevedore</w:t>
      </w:r>
      <w:r w:rsidRPr="00D56F78">
        <w:t xml:space="preserve"> </w:t>
      </w:r>
      <w:r>
        <w:t>at the time</w:t>
      </w:r>
      <w:r w:rsidRPr="00350EF9">
        <w:t>, CSX World</w:t>
      </w:r>
      <w:r>
        <w:t xml:space="preserve">, was acquired by DP World in 2005. DP World acquired P&amp;O in 2006. </w:t>
      </w:r>
    </w:p>
  </w:footnote>
  <w:footnote w:id="4">
    <w:p w:rsidR="00C32528" w:rsidRDefault="00C32528">
      <w:pPr>
        <w:pStyle w:val="FootnoteText"/>
      </w:pPr>
      <w:r>
        <w:rPr>
          <w:rStyle w:val="FootnoteReference"/>
        </w:rPr>
        <w:footnoteRef/>
      </w:r>
      <w:r>
        <w:t xml:space="preserve"> </w:t>
      </w:r>
      <w:r>
        <w:tab/>
        <w:t xml:space="preserve">This has changed in recent years in Fremantle with the switching of two major shipping lines from DP World to Patrick. </w:t>
      </w:r>
    </w:p>
  </w:footnote>
  <w:footnote w:id="5">
    <w:p w:rsidR="00C32528" w:rsidRPr="00C406D7" w:rsidRDefault="00C32528" w:rsidP="00E71BFF">
      <w:pPr>
        <w:pStyle w:val="FootnoteText"/>
        <w:rPr>
          <w:i/>
        </w:rPr>
      </w:pPr>
      <w:r>
        <w:rPr>
          <w:rStyle w:val="FootnoteReference"/>
        </w:rPr>
        <w:footnoteRef/>
      </w:r>
      <w:r>
        <w:t xml:space="preserve"> </w:t>
      </w:r>
      <w:r>
        <w:tab/>
      </w:r>
      <w:proofErr w:type="gramStart"/>
      <w:r>
        <w:t xml:space="preserve">Productivity Commission, </w:t>
      </w:r>
      <w:r w:rsidRPr="00C406D7">
        <w:rPr>
          <w:i/>
        </w:rPr>
        <w:t>International Benchmarking of the Australian Waterfront</w:t>
      </w:r>
      <w:r>
        <w:t xml:space="preserve">, </w:t>
      </w:r>
      <w:proofErr w:type="spellStart"/>
      <w:r>
        <w:t>AusInfo</w:t>
      </w:r>
      <w:proofErr w:type="spellEnd"/>
      <w:r>
        <w:t xml:space="preserve">, Canberra, April 1998, </w:t>
      </w:r>
      <w:proofErr w:type="spellStart"/>
      <w:r>
        <w:t>p.xi</w:t>
      </w:r>
      <w:proofErr w:type="spellEnd"/>
      <w:r>
        <w:t>.</w:t>
      </w:r>
      <w:proofErr w:type="gramEnd"/>
      <w:r>
        <w:t xml:space="preserve"> See also pp.111, 125, </w:t>
      </w:r>
      <w:proofErr w:type="gramStart"/>
      <w:r>
        <w:t>138</w:t>
      </w:r>
      <w:proofErr w:type="gramEnd"/>
      <w:r>
        <w:t>.</w:t>
      </w:r>
    </w:p>
  </w:footnote>
  <w:footnote w:id="6">
    <w:p w:rsidR="00C32528" w:rsidRDefault="00C32528" w:rsidP="00E71BFF">
      <w:pPr>
        <w:pStyle w:val="FootnoteText"/>
      </w:pPr>
      <w:r>
        <w:rPr>
          <w:rStyle w:val="FootnoteReference"/>
        </w:rPr>
        <w:footnoteRef/>
      </w:r>
      <w:r>
        <w:t xml:space="preserve"> </w:t>
      </w:r>
      <w:r>
        <w:tab/>
        <w:t>Twenty-foot equivalent units (TEUs)</w:t>
      </w:r>
      <w:r w:rsidRPr="005D0C82">
        <w:t xml:space="preserve"> are the standard unit of measurement for shipping containers. One TEU is equivalent to one 20-foot shipping container. One 40-foot shipping container is equivalent to two </w:t>
      </w:r>
      <w:r>
        <w:t>TEUs</w:t>
      </w:r>
      <w:r w:rsidRPr="005D0C82">
        <w:t>.</w:t>
      </w:r>
    </w:p>
  </w:footnote>
  <w:footnote w:id="7">
    <w:p w:rsidR="00C32528" w:rsidRDefault="00C32528" w:rsidP="00E71BFF">
      <w:pPr>
        <w:pStyle w:val="FootnoteText"/>
      </w:pPr>
      <w:r>
        <w:rPr>
          <w:rStyle w:val="FootnoteReference"/>
        </w:rPr>
        <w:footnoteRef/>
      </w:r>
      <w:r>
        <w:t xml:space="preserve"> </w:t>
      </w:r>
      <w:r>
        <w:tab/>
      </w:r>
      <w:r w:rsidRPr="004A3AC7">
        <w:t xml:space="preserve">Costs and revenues have been </w:t>
      </w:r>
      <w:r>
        <w:t>converted to</w:t>
      </w:r>
      <w:r w:rsidRPr="004A3AC7">
        <w:t xml:space="preserve"> real terms </w:t>
      </w:r>
      <w:r>
        <w:t xml:space="preserve">using </w:t>
      </w:r>
      <w:r w:rsidRPr="004A3AC7">
        <w:t>the Australian Bureau of Statistics</w:t>
      </w:r>
      <w:r>
        <w:t xml:space="preserve"> </w:t>
      </w:r>
      <w:r w:rsidRPr="004A3AC7">
        <w:t>Gross Domestic Product (GDP)</w:t>
      </w:r>
      <w:r>
        <w:t xml:space="preserve"> deflator series (c</w:t>
      </w:r>
      <w:r w:rsidRPr="004A3AC7">
        <w:t>at. no. 5206.0, Table 4</w:t>
      </w:r>
      <w:r>
        <w:t>,</w:t>
      </w:r>
      <w:r w:rsidRPr="004A3AC7">
        <w:t xml:space="preserve"> Expenditure on GDP, Chain price indexes, Series ID A2303862V</w:t>
      </w:r>
      <w:r>
        <w:t>)</w:t>
      </w:r>
      <w:r w:rsidRPr="004A3AC7">
        <w:t>.</w:t>
      </w:r>
    </w:p>
  </w:footnote>
  <w:footnote w:id="8">
    <w:p w:rsidR="00C32528" w:rsidRDefault="00C32528" w:rsidP="00E71BFF">
      <w:pPr>
        <w:pStyle w:val="FootnoteText"/>
      </w:pPr>
      <w:r>
        <w:rPr>
          <w:rStyle w:val="FootnoteReference"/>
        </w:rPr>
        <w:footnoteRef/>
      </w:r>
      <w:r>
        <w:t xml:space="preserve"> </w:t>
      </w:r>
      <w:r>
        <w:tab/>
      </w:r>
      <w:r w:rsidRPr="00C41875">
        <w:t>The ACCC considers that the appropriate measure of rate of return for monitoring purposes is the ratio of earnings before interest, tax and amortisation (EBITA) to the average value (of opening and closing balances) of tangible assets. The ACCC excludes the value of intangible assets (primarily goodwill) from the industry’s asset base when assessing operating performance. The effect of asset revaluations by the stevedores is also excluded. The resulting measure should therefore not be interpreted as a return on the funds invested by shareholders in the respective stevedoring businesses.</w:t>
      </w:r>
    </w:p>
  </w:footnote>
  <w:footnote w:id="9">
    <w:p w:rsidR="00C32528" w:rsidRDefault="00C32528" w:rsidP="00E71BFF">
      <w:pPr>
        <w:pStyle w:val="FootnoteText"/>
      </w:pPr>
      <w:r>
        <w:rPr>
          <w:rStyle w:val="FootnoteReference"/>
        </w:rPr>
        <w:footnoteRef/>
      </w:r>
      <w:r>
        <w:t xml:space="preserve"> </w:t>
      </w:r>
      <w:r>
        <w:tab/>
      </w:r>
      <w:r w:rsidRPr="007B594B">
        <w:t>‘Tangible assets’ refers to the physical infrastructure (e.g. cranes, straddles</w:t>
      </w:r>
      <w:r>
        <w:t>, etc.</w:t>
      </w:r>
      <w:r w:rsidRPr="007B594B">
        <w:t>) used by the stevedores to provide container stevedoring services.</w:t>
      </w:r>
    </w:p>
  </w:footnote>
  <w:footnote w:id="10">
    <w:p w:rsidR="00C32528" w:rsidRPr="00772FA1" w:rsidRDefault="00C32528" w:rsidP="00E71BFF">
      <w:pPr>
        <w:pStyle w:val="FootnoteText"/>
        <w:rPr>
          <w:lang w:val="en-US"/>
        </w:rPr>
      </w:pPr>
      <w:r>
        <w:rPr>
          <w:rStyle w:val="FootnoteReference"/>
        </w:rPr>
        <w:footnoteRef/>
      </w:r>
      <w:r>
        <w:t xml:space="preserve"> </w:t>
      </w:r>
      <w:r>
        <w:tab/>
      </w:r>
      <w:r>
        <w:rPr>
          <w:lang w:val="en-US"/>
        </w:rPr>
        <w:t xml:space="preserve">Hutchison received its first ship in Brisbane in May 2013 and in Sydney in November 2013. </w:t>
      </w:r>
    </w:p>
  </w:footnote>
  <w:footnote w:id="11">
    <w:p w:rsidR="00C32528" w:rsidRDefault="00C32528" w:rsidP="00E71BFF">
      <w:pPr>
        <w:pStyle w:val="FootnoteText"/>
      </w:pPr>
      <w:r>
        <w:rPr>
          <w:rStyle w:val="FootnoteReference"/>
        </w:rPr>
        <w:footnoteRef/>
      </w:r>
      <w:r>
        <w:t xml:space="preserve"> </w:t>
      </w:r>
      <w:r>
        <w:tab/>
      </w:r>
      <w:r w:rsidRPr="00FF4FEB">
        <w:t>In July 2011</w:t>
      </w:r>
      <w:r>
        <w:t>,</w:t>
      </w:r>
      <w:r w:rsidRPr="00FF4FEB">
        <w:t xml:space="preserve"> Asciano announced it had signed an agreement with Maersk to use Patrick as its sole service provider. In early 2014</w:t>
      </w:r>
      <w:r>
        <w:t>,</w:t>
      </w:r>
      <w:r w:rsidRPr="00FF4FEB">
        <w:t xml:space="preserve"> “K” Line </w:t>
      </w:r>
      <w:r>
        <w:t>announced that it had switched</w:t>
      </w:r>
      <w:r w:rsidRPr="00FF4FEB">
        <w:t xml:space="preserve"> </w:t>
      </w:r>
      <w:r>
        <w:t>its Singapore shuttle service from DP World to Patrick in Fremantle</w:t>
      </w:r>
      <w:r w:rsidRPr="00FF4FEB">
        <w:t xml:space="preserve">. According to Patrick, </w:t>
      </w:r>
      <w:r>
        <w:t>this represented</w:t>
      </w:r>
      <w:r w:rsidRPr="00FF4FEB">
        <w:t xml:space="preserve"> </w:t>
      </w:r>
      <w:proofErr w:type="spellStart"/>
      <w:r w:rsidRPr="00FF4FEB">
        <w:t>proforma</w:t>
      </w:r>
      <w:proofErr w:type="spellEnd"/>
      <w:r w:rsidRPr="00FF4FEB">
        <w:t xml:space="preserve"> volume </w:t>
      </w:r>
      <w:r>
        <w:t>of</w:t>
      </w:r>
      <w:r w:rsidRPr="00FF4FEB">
        <w:t xml:space="preserve"> 90,000 lifts </w:t>
      </w:r>
      <w:r>
        <w:t xml:space="preserve">per year </w:t>
      </w:r>
      <w:r w:rsidRPr="00FF4FEB">
        <w:t xml:space="preserve">[Source: Asciano, </w:t>
      </w:r>
      <w:r w:rsidRPr="00D27AA9">
        <w:rPr>
          <w:i/>
        </w:rPr>
        <w:t>HY14 Interim Results Presentation</w:t>
      </w:r>
      <w:r w:rsidRPr="00FF4FEB">
        <w:t xml:space="preserve">, </w:t>
      </w:r>
      <w:r>
        <w:t xml:space="preserve">as at </w:t>
      </w:r>
      <w:r w:rsidRPr="00FF4FEB">
        <w:t>31 December 2014, p.9].</w:t>
      </w:r>
    </w:p>
  </w:footnote>
  <w:footnote w:id="12">
    <w:p w:rsidR="00C32528" w:rsidRDefault="00C32528" w:rsidP="00E71BFF">
      <w:pPr>
        <w:pStyle w:val="FootnoteText"/>
      </w:pPr>
      <w:r>
        <w:rPr>
          <w:rStyle w:val="FootnoteReference"/>
        </w:rPr>
        <w:footnoteRef/>
      </w:r>
      <w:r>
        <w:t xml:space="preserve"> </w:t>
      </w:r>
      <w:r>
        <w:tab/>
      </w:r>
      <w:proofErr w:type="gramStart"/>
      <w:r w:rsidRPr="00040FD9">
        <w:t xml:space="preserve">South Australian Department for Transport, Energy and Infrastructure, </w:t>
      </w:r>
      <w:r w:rsidRPr="00D007FA">
        <w:rPr>
          <w:i/>
        </w:rPr>
        <w:t>Review of significant ports in South Australia under the Competition and Infrastructure Reform Agreement</w:t>
      </w:r>
      <w:r w:rsidRPr="00040FD9">
        <w:t>, 2008, p.18.</w:t>
      </w:r>
      <w:proofErr w:type="gramEnd"/>
    </w:p>
  </w:footnote>
  <w:footnote w:id="13">
    <w:p w:rsidR="00C32528" w:rsidRDefault="00C32528" w:rsidP="00E71BFF">
      <w:pPr>
        <w:pStyle w:val="FootnoteText"/>
      </w:pPr>
      <w:r>
        <w:rPr>
          <w:rStyle w:val="FootnoteReference"/>
        </w:rPr>
        <w:footnoteRef/>
      </w:r>
      <w:r>
        <w:t xml:space="preserve"> </w:t>
      </w:r>
      <w:r>
        <w:tab/>
        <w:t xml:space="preserve">FACT, </w:t>
      </w:r>
      <w:proofErr w:type="gramStart"/>
      <w:r w:rsidRPr="00D007FA">
        <w:rPr>
          <w:i/>
        </w:rPr>
        <w:t>New</w:t>
      </w:r>
      <w:proofErr w:type="gramEnd"/>
      <w:r w:rsidRPr="00D007FA">
        <w:rPr>
          <w:i/>
        </w:rPr>
        <w:t xml:space="preserve"> $24 million cranes at Container Terminal give shipping lines a boost</w:t>
      </w:r>
      <w:r>
        <w:t>, media release, 25 June 2015.</w:t>
      </w:r>
    </w:p>
  </w:footnote>
  <w:footnote w:id="14">
    <w:p w:rsidR="00C32528" w:rsidRDefault="00C32528" w:rsidP="00DB4278">
      <w:pPr>
        <w:pStyle w:val="FootnoteText"/>
      </w:pPr>
      <w:r>
        <w:rPr>
          <w:rStyle w:val="FootnoteReference"/>
        </w:rPr>
        <w:footnoteRef/>
      </w:r>
      <w:r>
        <w:t xml:space="preserve"> </w:t>
      </w:r>
      <w:r>
        <w:tab/>
        <w:t>‘Fast steaming’ refers to travelling at a speed above a vessel’s most optimal in terms of minimising costs.</w:t>
      </w:r>
    </w:p>
  </w:footnote>
  <w:footnote w:id="15">
    <w:p w:rsidR="00C32528" w:rsidRDefault="00C32528" w:rsidP="00E71BFF">
      <w:pPr>
        <w:pStyle w:val="FootnoteText"/>
      </w:pPr>
      <w:r>
        <w:rPr>
          <w:rStyle w:val="FootnoteReference"/>
        </w:rPr>
        <w:footnoteRef/>
      </w:r>
      <w:r>
        <w:t xml:space="preserve"> </w:t>
      </w:r>
      <w:r>
        <w:tab/>
      </w:r>
      <w:r w:rsidRPr="000C76E9">
        <w:t xml:space="preserve">Asciano, </w:t>
      </w:r>
      <w:r w:rsidRPr="00D007FA">
        <w:rPr>
          <w:i/>
        </w:rPr>
        <w:t>Full Year Financial Results for the twelve months ended 30 June 2014 incorporating the requirements of Appendix 4E</w:t>
      </w:r>
      <w:r w:rsidRPr="000C76E9">
        <w:t>, p. 3</w:t>
      </w:r>
      <w:r>
        <w:t>4</w:t>
      </w:r>
      <w:r w:rsidRPr="000C76E9">
        <w:t>, http://asciano.com.au/investors/financial_reports.</w:t>
      </w:r>
    </w:p>
  </w:footnote>
  <w:footnote w:id="16">
    <w:p w:rsidR="00C32528" w:rsidRDefault="00C32528" w:rsidP="00E71BFF">
      <w:pPr>
        <w:pStyle w:val="FootnoteText"/>
      </w:pPr>
      <w:r>
        <w:rPr>
          <w:rStyle w:val="FootnoteReference"/>
        </w:rPr>
        <w:footnoteRef/>
      </w:r>
      <w:r>
        <w:t xml:space="preserve"> </w:t>
      </w:r>
      <w:r>
        <w:tab/>
      </w:r>
      <w:proofErr w:type="gramStart"/>
      <w:r w:rsidRPr="00E04512">
        <w:t>Thomson Reuters</w:t>
      </w:r>
      <w:r>
        <w:t xml:space="preserve">, </w:t>
      </w:r>
      <w:r w:rsidRPr="004031C1">
        <w:rPr>
          <w:i/>
        </w:rPr>
        <w:t>Asciano FY13 Results Presentation 21 August 2013</w:t>
      </w:r>
      <w:r>
        <w:t>, transcript, p.33.</w:t>
      </w:r>
      <w:proofErr w:type="gramEnd"/>
      <w:r>
        <w:t xml:space="preserve"> </w:t>
      </w:r>
    </w:p>
  </w:footnote>
  <w:footnote w:id="17">
    <w:p w:rsidR="00C32528" w:rsidRDefault="00C32528" w:rsidP="00E71BFF">
      <w:pPr>
        <w:pStyle w:val="FootnoteText"/>
      </w:pPr>
      <w:r>
        <w:rPr>
          <w:rStyle w:val="FootnoteReference"/>
        </w:rPr>
        <w:footnoteRef/>
      </w:r>
      <w:r>
        <w:t xml:space="preserve"> </w:t>
      </w:r>
      <w:r>
        <w:tab/>
      </w:r>
      <w:r w:rsidRPr="0069299C">
        <w:t xml:space="preserve">Sydney Morning Herald, </w:t>
      </w:r>
      <w:r w:rsidRPr="00D007FA">
        <w:rPr>
          <w:i/>
        </w:rPr>
        <w:t>DP World posts $68m annual loss</w:t>
      </w:r>
      <w:r w:rsidRPr="0069299C">
        <w:t>, 22 April 2014</w:t>
      </w:r>
      <w:r>
        <w:t>.</w:t>
      </w:r>
    </w:p>
  </w:footnote>
  <w:footnote w:id="18">
    <w:p w:rsidR="00C32528" w:rsidRDefault="00C32528" w:rsidP="00E71BFF">
      <w:pPr>
        <w:pStyle w:val="FootnoteText"/>
      </w:pPr>
      <w:r>
        <w:rPr>
          <w:rStyle w:val="FootnoteReference"/>
        </w:rPr>
        <w:footnoteRef/>
      </w:r>
      <w:r>
        <w:t xml:space="preserve"> </w:t>
      </w:r>
      <w:r>
        <w:tab/>
        <w:t xml:space="preserve">Wilson J, </w:t>
      </w:r>
      <w:r w:rsidRPr="00D007FA">
        <w:rPr>
          <w:i/>
        </w:rPr>
        <w:t xml:space="preserve">New DP World </w:t>
      </w:r>
      <w:r>
        <w:rPr>
          <w:i/>
        </w:rPr>
        <w:t xml:space="preserve">Australia </w:t>
      </w:r>
      <w:r w:rsidRPr="00D007FA">
        <w:rPr>
          <w:i/>
        </w:rPr>
        <w:t xml:space="preserve">boss </w:t>
      </w:r>
      <w:r>
        <w:rPr>
          <w:i/>
        </w:rPr>
        <w:t>is steeped in stevedoring tradition but takes the modern outlook,</w:t>
      </w:r>
      <w:r w:rsidRPr="0069299C">
        <w:t xml:space="preserve"> </w:t>
      </w:r>
      <w:r w:rsidRPr="001B2097">
        <w:t>Lloyds List Australia</w:t>
      </w:r>
      <w:r>
        <w:t>, 29</w:t>
      </w:r>
      <w:r w:rsidRPr="0069299C">
        <w:t xml:space="preserve"> Jan 2014.</w:t>
      </w:r>
    </w:p>
  </w:footnote>
  <w:footnote w:id="19">
    <w:p w:rsidR="00C32528" w:rsidRDefault="00C32528" w:rsidP="00E71BFF">
      <w:pPr>
        <w:pStyle w:val="FootnoteText"/>
      </w:pPr>
      <w:r>
        <w:rPr>
          <w:rStyle w:val="FootnoteReference"/>
        </w:rPr>
        <w:footnoteRef/>
      </w:r>
      <w:r>
        <w:t xml:space="preserve"> </w:t>
      </w:r>
      <w:r>
        <w:tab/>
        <w:t xml:space="preserve">Wiggins J, </w:t>
      </w:r>
      <w:r w:rsidRPr="004031C1">
        <w:rPr>
          <w:i/>
        </w:rPr>
        <w:t>DP World prepares to fight for market share</w:t>
      </w:r>
      <w:r w:rsidRPr="00BA7BED">
        <w:t xml:space="preserve">, </w:t>
      </w:r>
      <w:r>
        <w:t xml:space="preserve">Australian Financial Review, </w:t>
      </w:r>
      <w:r w:rsidRPr="00BA7BED">
        <w:t>3 March 2014.</w:t>
      </w:r>
    </w:p>
  </w:footnote>
  <w:footnote w:id="20">
    <w:p w:rsidR="00C32528" w:rsidRDefault="00C32528" w:rsidP="00095865">
      <w:pPr>
        <w:pStyle w:val="FootnoteText"/>
      </w:pPr>
      <w:r>
        <w:rPr>
          <w:rStyle w:val="FootnoteReference"/>
        </w:rPr>
        <w:footnoteRef/>
      </w:r>
      <w:r>
        <w:t xml:space="preserve"> </w:t>
      </w:r>
      <w:r>
        <w:tab/>
      </w:r>
      <w:r w:rsidRPr="003A76D6">
        <w:t>Gilfillan G, Bringing in a third stevedore – a port perspective, Lloyds List Australia, 10 July 2015.</w:t>
      </w:r>
      <w:r w:rsidRPr="001903F4">
        <w:t xml:space="preserve"> </w:t>
      </w:r>
      <w:r>
        <w:t xml:space="preserve">Grant Gilfillan is now the CEO of the </w:t>
      </w:r>
      <w:r w:rsidRPr="00DC3E23">
        <w:t>Port Authority of New South Wales</w:t>
      </w:r>
      <w:r>
        <w:t>.</w:t>
      </w:r>
    </w:p>
  </w:footnote>
  <w:footnote w:id="21">
    <w:p w:rsidR="00C32528" w:rsidRDefault="00C32528" w:rsidP="00E71BFF">
      <w:pPr>
        <w:pStyle w:val="FootnoteText"/>
      </w:pPr>
      <w:r>
        <w:rPr>
          <w:rStyle w:val="FootnoteReference"/>
        </w:rPr>
        <w:footnoteRef/>
      </w:r>
      <w:r>
        <w:t xml:space="preserve"> </w:t>
      </w:r>
      <w:r>
        <w:tab/>
        <w:t>T</w:t>
      </w:r>
      <w:r w:rsidRPr="005D0C82">
        <w:t xml:space="preserve">otal </w:t>
      </w:r>
      <w:r>
        <w:t xml:space="preserve">or stevedoring </w:t>
      </w:r>
      <w:r w:rsidRPr="005D0C82">
        <w:t xml:space="preserve">revenue </w:t>
      </w:r>
      <w:r>
        <w:t xml:space="preserve">measures </w:t>
      </w:r>
      <w:r w:rsidRPr="005D0C82">
        <w:t xml:space="preserve">expressed on a per </w:t>
      </w:r>
      <w:r>
        <w:t>unit</w:t>
      </w:r>
      <w:r w:rsidRPr="005D0C82">
        <w:t xml:space="preserve"> basis</w:t>
      </w:r>
      <w:r>
        <w:t xml:space="preserve">, where a unit is a TEU. </w:t>
      </w:r>
    </w:p>
  </w:footnote>
  <w:footnote w:id="22">
    <w:p w:rsidR="00C32528" w:rsidRDefault="00C32528" w:rsidP="00E71BFF">
      <w:pPr>
        <w:pStyle w:val="FootnoteText"/>
      </w:pPr>
      <w:r>
        <w:rPr>
          <w:rStyle w:val="FootnoteReference"/>
        </w:rPr>
        <w:footnoteRef/>
      </w:r>
      <w:r>
        <w:t xml:space="preserve"> </w:t>
      </w:r>
      <w:r>
        <w:tab/>
        <w:t>S</w:t>
      </w:r>
      <w:r w:rsidRPr="00761A5B">
        <w:t>ince the ACCC monitoring program began collecting this data in 2001-02</w:t>
      </w:r>
      <w:r>
        <w:t>.</w:t>
      </w:r>
    </w:p>
  </w:footnote>
  <w:footnote w:id="23">
    <w:p w:rsidR="00C32528" w:rsidRDefault="00C32528" w:rsidP="00E71BFF">
      <w:pPr>
        <w:pStyle w:val="FootnoteText"/>
      </w:pPr>
      <w:r>
        <w:rPr>
          <w:rStyle w:val="FootnoteReference"/>
        </w:rPr>
        <w:footnoteRef/>
      </w:r>
      <w:r>
        <w:t xml:space="preserve"> </w:t>
      </w:r>
      <w:r>
        <w:tab/>
        <w:t>See f</w:t>
      </w:r>
      <w:r w:rsidRPr="00761A5B">
        <w:t xml:space="preserve">or example, </w:t>
      </w:r>
      <w:r w:rsidRPr="00D007FA">
        <w:rPr>
          <w:i/>
        </w:rPr>
        <w:t>Submission by Shipping Australia Limited to the Competition Policy Review</w:t>
      </w:r>
      <w:r w:rsidRPr="00761A5B">
        <w:t xml:space="preserve">, June 2014 and </w:t>
      </w:r>
      <w:r>
        <w:t>‘</w:t>
      </w:r>
      <w:r w:rsidRPr="00D007FA">
        <w:rPr>
          <w:i/>
        </w:rPr>
        <w:t>Toxic' behaviour threatens box lines' profitability</w:t>
      </w:r>
      <w:r w:rsidRPr="00761A5B">
        <w:t xml:space="preserve">, </w:t>
      </w:r>
      <w:r w:rsidRPr="001B2097">
        <w:t>Lloyds List Australia</w:t>
      </w:r>
      <w:r w:rsidRPr="00761A5B">
        <w:t>, 8 July 2015.</w:t>
      </w:r>
    </w:p>
  </w:footnote>
  <w:footnote w:id="24">
    <w:p w:rsidR="00C32528" w:rsidRDefault="00C32528" w:rsidP="00E71BFF">
      <w:pPr>
        <w:pStyle w:val="FootnoteText"/>
      </w:pPr>
      <w:r>
        <w:rPr>
          <w:rStyle w:val="FootnoteReference"/>
        </w:rPr>
        <w:footnoteRef/>
      </w:r>
      <w:r>
        <w:t xml:space="preserve"> </w:t>
      </w:r>
      <w:r>
        <w:tab/>
      </w:r>
      <w:proofErr w:type="gramStart"/>
      <w:r>
        <w:t xml:space="preserve">Asciano, </w:t>
      </w:r>
      <w:r w:rsidRPr="00D007FA">
        <w:rPr>
          <w:i/>
        </w:rPr>
        <w:t>Presentation at Port Botany and Sydney Freight Terminal Site Tour</w:t>
      </w:r>
      <w:r>
        <w:t xml:space="preserve">, 24 June 2015, p.8, </w:t>
      </w:r>
      <w:hyperlink r:id="rId1" w:history="1">
        <w:r w:rsidRPr="006129B8">
          <w:rPr>
            <w:rStyle w:val="Hyperlink"/>
            <w:sz w:val="16"/>
          </w:rPr>
          <w:t>http://www.asx.com.au/asxpdf/20150624/pdf/42zcl6cqpmhzqt.pdf</w:t>
        </w:r>
      </w:hyperlink>
      <w:r>
        <w:t>.</w:t>
      </w:r>
      <w:proofErr w:type="gramEnd"/>
    </w:p>
  </w:footnote>
  <w:footnote w:id="25">
    <w:p w:rsidR="00C32528" w:rsidRDefault="00C32528" w:rsidP="00E71BFF">
      <w:pPr>
        <w:pStyle w:val="FootnoteText"/>
      </w:pPr>
      <w:r w:rsidRPr="005076BC">
        <w:rPr>
          <w:rStyle w:val="FootnoteReference"/>
        </w:rPr>
        <w:footnoteRef/>
      </w:r>
      <w:r w:rsidRPr="005076BC">
        <w:t xml:space="preserve"> </w:t>
      </w:r>
      <w:r w:rsidRPr="005076BC">
        <w:tab/>
      </w:r>
      <w:r w:rsidRPr="000104A7">
        <w:t xml:space="preserve">International Container Terminal Services, </w:t>
      </w:r>
      <w:r w:rsidRPr="00D007FA">
        <w:rPr>
          <w:i/>
        </w:rPr>
        <w:t>ICTSI brings innovation and greater competition to Australian Ports</w:t>
      </w:r>
      <w:r w:rsidRPr="000104A7">
        <w:t xml:space="preserve">, </w:t>
      </w:r>
      <w:r>
        <w:t xml:space="preserve">media release, 2 May 2014, </w:t>
      </w:r>
      <w:r w:rsidRPr="000104A7">
        <w:t>http://www.ictsi.com/media-center/our-releases/2014/05/ictsi-brings-innovation-and-greater-competition-to-australian-ports.</w:t>
      </w:r>
      <w:r>
        <w:t xml:space="preserve"> </w:t>
      </w:r>
    </w:p>
  </w:footnote>
  <w:footnote w:id="26">
    <w:p w:rsidR="00C32528" w:rsidRDefault="00C32528" w:rsidP="00E71BFF">
      <w:pPr>
        <w:pStyle w:val="FootnoteText"/>
      </w:pPr>
      <w:r>
        <w:rPr>
          <w:rStyle w:val="FootnoteReference"/>
        </w:rPr>
        <w:footnoteRef/>
      </w:r>
      <w:r>
        <w:t xml:space="preserve"> </w:t>
      </w:r>
      <w:r>
        <w:tab/>
        <w:t xml:space="preserve">Although the ACCC understands there may be some manual intervention from a control tower at the point of loading or unloading the containers on trucks. </w:t>
      </w:r>
    </w:p>
  </w:footnote>
  <w:footnote w:id="27">
    <w:p w:rsidR="00C32528" w:rsidRDefault="00C32528" w:rsidP="00C61D58">
      <w:pPr>
        <w:pStyle w:val="FootnoteText"/>
      </w:pPr>
      <w:r>
        <w:rPr>
          <w:rStyle w:val="FootnoteReference"/>
        </w:rPr>
        <w:footnoteRef/>
      </w:r>
      <w:r>
        <w:t xml:space="preserve"> </w:t>
      </w:r>
      <w:r>
        <w:tab/>
        <w:t xml:space="preserve">White </w:t>
      </w:r>
      <w:proofErr w:type="gramStart"/>
      <w:r>
        <w:t>A</w:t>
      </w:r>
      <w:proofErr w:type="gramEnd"/>
      <w:r>
        <w:t xml:space="preserve">, </w:t>
      </w:r>
      <w:r w:rsidRPr="00D007FA">
        <w:rPr>
          <w:i/>
        </w:rPr>
        <w:t>Rise of the robots a lift for Patrick</w:t>
      </w:r>
      <w:r>
        <w:t xml:space="preserve">, </w:t>
      </w:r>
      <w:r w:rsidRPr="001B2097">
        <w:t>The Australian</w:t>
      </w:r>
      <w:r>
        <w:t>, 18 June 2015.</w:t>
      </w:r>
    </w:p>
  </w:footnote>
  <w:footnote w:id="28">
    <w:p w:rsidR="00C32528" w:rsidRDefault="00C32528" w:rsidP="002A4A2F">
      <w:pPr>
        <w:pStyle w:val="FootnoteText"/>
      </w:pPr>
      <w:r>
        <w:rPr>
          <w:rStyle w:val="FootnoteReference"/>
        </w:rPr>
        <w:footnoteRef/>
      </w:r>
      <w:r>
        <w:t xml:space="preserve"> </w:t>
      </w:r>
      <w:r>
        <w:tab/>
        <w:t xml:space="preserve">DP World website: </w:t>
      </w:r>
      <w:hyperlink r:id="rId2" w:history="1">
        <w:r w:rsidRPr="00F32256">
          <w:rPr>
            <w:rStyle w:val="Hyperlink"/>
            <w:sz w:val="16"/>
          </w:rPr>
          <w:t>http://www.dpworldaustralia.com.au/what-we-do/our-services/</w:t>
        </w:r>
      </w:hyperlink>
      <w:r>
        <w:t>, accessed 29 July 2015.</w:t>
      </w:r>
    </w:p>
  </w:footnote>
  <w:footnote w:id="29">
    <w:p w:rsidR="00C32528" w:rsidRDefault="00C32528" w:rsidP="00E71BFF">
      <w:pPr>
        <w:pStyle w:val="FootnoteText"/>
      </w:pPr>
      <w:r>
        <w:rPr>
          <w:rStyle w:val="FootnoteReference"/>
        </w:rPr>
        <w:footnoteRef/>
      </w:r>
      <w:r>
        <w:t xml:space="preserve"> </w:t>
      </w:r>
      <w:r>
        <w:tab/>
        <w:t xml:space="preserve">Wiggins J, </w:t>
      </w:r>
      <w:r w:rsidRPr="00D007FA">
        <w:rPr>
          <w:i/>
        </w:rPr>
        <w:t>DP World plots efficiency through automation</w:t>
      </w:r>
      <w:r>
        <w:t>,</w:t>
      </w:r>
      <w:r w:rsidRPr="00AD5B0B">
        <w:t xml:space="preserve"> </w:t>
      </w:r>
      <w:r w:rsidRPr="00D007FA">
        <w:t>Australian Financial Review</w:t>
      </w:r>
      <w:r>
        <w:t>, 25 February 2015.</w:t>
      </w:r>
    </w:p>
  </w:footnote>
  <w:footnote w:id="30">
    <w:p w:rsidR="00C32528" w:rsidRDefault="00C32528" w:rsidP="00E71BFF">
      <w:pPr>
        <w:pStyle w:val="FootnoteText"/>
      </w:pPr>
      <w:r>
        <w:rPr>
          <w:rStyle w:val="FootnoteReference"/>
        </w:rPr>
        <w:footnoteRef/>
      </w:r>
      <w:r>
        <w:t xml:space="preserve"> </w:t>
      </w:r>
      <w:r>
        <w:tab/>
      </w:r>
      <w:r w:rsidRPr="005E4AC9">
        <w:t>Hardstand is a hard-surfaced paved area that can be used for container storage.</w:t>
      </w:r>
    </w:p>
  </w:footnote>
  <w:footnote w:id="31">
    <w:p w:rsidR="00C32528" w:rsidRDefault="00C32528" w:rsidP="00E71BFF">
      <w:pPr>
        <w:pStyle w:val="FootnoteText"/>
      </w:pPr>
      <w:r>
        <w:rPr>
          <w:rStyle w:val="FootnoteReference"/>
        </w:rPr>
        <w:footnoteRef/>
      </w:r>
      <w:r>
        <w:t xml:space="preserve"> </w:t>
      </w:r>
      <w:r>
        <w:tab/>
        <w:t>Hutchison reported that i</w:t>
      </w:r>
      <w:r w:rsidRPr="00F978BC">
        <w:t>n December</w:t>
      </w:r>
      <w:r>
        <w:t xml:space="preserve"> 2014</w:t>
      </w:r>
      <w:r w:rsidRPr="00F978BC">
        <w:t xml:space="preserve"> a quay crane was damaged by a vessel</w:t>
      </w:r>
      <w:r>
        <w:t>,</w:t>
      </w:r>
      <w:r w:rsidRPr="00F978BC">
        <w:t xml:space="preserve"> which</w:t>
      </w:r>
      <w:r>
        <w:t>,</w:t>
      </w:r>
      <w:r w:rsidRPr="00F978BC">
        <w:t xml:space="preserve"> reduced the Brisbane terminal’s handling capacity and restricted access to Berth 12 wharf. The damaged quay crane has been propped-up and stabilised, and plans are being made to have the quay crane removed for repairs.</w:t>
      </w:r>
    </w:p>
  </w:footnote>
  <w:footnote w:id="32">
    <w:p w:rsidR="00C32528" w:rsidRDefault="00C32528" w:rsidP="00E71BFF">
      <w:pPr>
        <w:pStyle w:val="FootnoteText"/>
      </w:pPr>
      <w:r>
        <w:rPr>
          <w:rStyle w:val="FootnoteReference"/>
        </w:rPr>
        <w:footnoteRef/>
      </w:r>
      <w:r>
        <w:t xml:space="preserve"> </w:t>
      </w:r>
      <w:r>
        <w:tab/>
      </w:r>
      <w:proofErr w:type="gramStart"/>
      <w:r w:rsidRPr="00D007FA">
        <w:t xml:space="preserve">Smith S, </w:t>
      </w:r>
      <w:r w:rsidRPr="00D007FA">
        <w:rPr>
          <w:i/>
        </w:rPr>
        <w:t xml:space="preserve">Heat on for </w:t>
      </w:r>
      <w:proofErr w:type="spellStart"/>
      <w:r w:rsidRPr="00D007FA">
        <w:rPr>
          <w:i/>
        </w:rPr>
        <w:t>Freo</w:t>
      </w:r>
      <w:proofErr w:type="spellEnd"/>
      <w:r w:rsidRPr="00D007FA">
        <w:rPr>
          <w:i/>
        </w:rPr>
        <w:t xml:space="preserve"> container trade</w:t>
      </w:r>
      <w:r>
        <w:t>, The West Australian, 28 January</w:t>
      </w:r>
      <w:r w:rsidRPr="00DA65EE">
        <w:t xml:space="preserve"> 2015</w:t>
      </w:r>
      <w:r>
        <w:t>.</w:t>
      </w:r>
      <w:proofErr w:type="gramEnd"/>
      <w:r>
        <w:t xml:space="preserve"> </w:t>
      </w:r>
    </w:p>
  </w:footnote>
  <w:footnote w:id="33">
    <w:p w:rsidR="00C32528" w:rsidRDefault="00C32528" w:rsidP="00C10959">
      <w:pPr>
        <w:pStyle w:val="FootnoteText"/>
      </w:pPr>
      <w:r>
        <w:rPr>
          <w:rStyle w:val="FootnoteReference"/>
        </w:rPr>
        <w:footnoteRef/>
      </w:r>
      <w:r>
        <w:t xml:space="preserve"> </w:t>
      </w:r>
      <w:r>
        <w:tab/>
        <w:t xml:space="preserve">Source for national and </w:t>
      </w:r>
      <w:r w:rsidRPr="00A038AA">
        <w:t xml:space="preserve">electricity, gas, water and waste services </w:t>
      </w:r>
      <w:r>
        <w:t xml:space="preserve">productivity is </w:t>
      </w:r>
      <w:r w:rsidRPr="00C969F0">
        <w:t xml:space="preserve">Australia Bureau of Statistics, </w:t>
      </w:r>
      <w:r w:rsidRPr="00314594">
        <w:rPr>
          <w:i/>
        </w:rPr>
        <w:t>Estimates of Industry Multifactor Productivity, Australia</w:t>
      </w:r>
      <w:r w:rsidRPr="00C969F0">
        <w:t xml:space="preserve">, cat no, 5260.0.55.002, </w:t>
      </w:r>
      <w:r>
        <w:t>released 5 December 2014 (most recent)</w:t>
      </w:r>
      <w:r w:rsidRPr="00C969F0">
        <w:t xml:space="preserve">. </w:t>
      </w:r>
      <w:r>
        <w:t>The ABS measures productivity using</w:t>
      </w:r>
      <w:r w:rsidRPr="00C969F0">
        <w:t xml:space="preserve"> multifactor productivity on a quality adjusted hours worked basis. This measures the efficiency with which combined labour and capital inputs are transformed into outputs. </w:t>
      </w:r>
      <w:r>
        <w:t>As this is a different measure to that used for c</w:t>
      </w:r>
      <w:r w:rsidRPr="00C969F0">
        <w:t xml:space="preserve">ontainer stevedoring </w:t>
      </w:r>
      <w:r>
        <w:t>(refer chapter 2), comparisons between the two measures are can only be considered indicative of trends.</w:t>
      </w:r>
    </w:p>
  </w:footnote>
  <w:footnote w:id="34">
    <w:p w:rsidR="00C32528" w:rsidRDefault="00C32528" w:rsidP="00C10959">
      <w:pPr>
        <w:pStyle w:val="FootnoteText"/>
      </w:pPr>
      <w:r>
        <w:rPr>
          <w:rStyle w:val="FootnoteReference"/>
        </w:rPr>
        <w:footnoteRef/>
      </w:r>
      <w:r>
        <w:t xml:space="preserve"> </w:t>
      </w:r>
      <w:r>
        <w:tab/>
        <w:t xml:space="preserve">Australian Energy Regulator, </w:t>
      </w:r>
      <w:r w:rsidRPr="004E3269">
        <w:rPr>
          <w:i/>
        </w:rPr>
        <w:t>Electricity distribution network service providers: Annual benchmarking report</w:t>
      </w:r>
      <w:r>
        <w:t xml:space="preserve">, November 2014, pp.29-30, </w:t>
      </w:r>
      <w:hyperlink r:id="rId3" w:history="1">
        <w:r w:rsidRPr="00F21074">
          <w:rPr>
            <w:rStyle w:val="Hyperlink"/>
            <w:sz w:val="16"/>
          </w:rPr>
          <w:t>https://www.aer.gov.au/system/files/2014%20Annual%20distribution%20benchmarking%20report%20-%20November%202014_0.pdf</w:t>
        </w:r>
      </w:hyperlink>
      <w:r>
        <w:t>.</w:t>
      </w:r>
    </w:p>
  </w:footnote>
  <w:footnote w:id="35">
    <w:p w:rsidR="00C32528" w:rsidRDefault="00C32528" w:rsidP="001D37DD">
      <w:pPr>
        <w:pStyle w:val="FootnoteText"/>
      </w:pPr>
      <w:r>
        <w:rPr>
          <w:rStyle w:val="FootnoteReference"/>
        </w:rPr>
        <w:footnoteRef/>
      </w:r>
      <w:r>
        <w:t xml:space="preserve"> </w:t>
      </w:r>
      <w:r>
        <w:tab/>
        <w:t xml:space="preserve">DP World Australia, </w:t>
      </w:r>
      <w:r w:rsidRPr="00A97795">
        <w:rPr>
          <w:i/>
        </w:rPr>
        <w:t xml:space="preserve">Year in Review 2014 by MD and CEO Paul </w:t>
      </w:r>
      <w:proofErr w:type="spellStart"/>
      <w:r w:rsidRPr="00A97795">
        <w:rPr>
          <w:i/>
        </w:rPr>
        <w:t>Scurrah</w:t>
      </w:r>
      <w:proofErr w:type="spellEnd"/>
      <w:r>
        <w:rPr>
          <w:i/>
        </w:rPr>
        <w:t xml:space="preserve">, </w:t>
      </w:r>
      <w:hyperlink r:id="rId4" w:history="1">
        <w:r w:rsidRPr="00A97795">
          <w:rPr>
            <w:rStyle w:val="Hyperlink"/>
            <w:sz w:val="16"/>
          </w:rPr>
          <w:t>http://www.dpworldaustralia.com.au/news-and-media/latest-news/year-in-review-2014/</w:t>
        </w:r>
      </w:hyperlink>
      <w:r w:rsidRPr="00A97795">
        <w:t>, accessed 21 September 2015.</w:t>
      </w:r>
    </w:p>
  </w:footnote>
  <w:footnote w:id="36">
    <w:p w:rsidR="00C32528" w:rsidRDefault="00C32528">
      <w:pPr>
        <w:pStyle w:val="FootnoteText"/>
      </w:pPr>
      <w:r>
        <w:rPr>
          <w:rStyle w:val="FootnoteReference"/>
        </w:rPr>
        <w:footnoteRef/>
      </w:r>
      <w:r>
        <w:t xml:space="preserve"> </w:t>
      </w:r>
      <w:r>
        <w:tab/>
      </w:r>
      <w:r w:rsidRPr="008A7DA0">
        <w:t xml:space="preserve">DP World and SCT Group, </w:t>
      </w:r>
      <w:r w:rsidRPr="00D007FA">
        <w:rPr>
          <w:i/>
        </w:rPr>
        <w:t>DP World Australia, SCT Logistics join forces for regional Victorian rail service</w:t>
      </w:r>
      <w:r w:rsidRPr="008A7DA0">
        <w:t>, media release, 19 May 2015</w:t>
      </w:r>
      <w:r>
        <w:t>.</w:t>
      </w:r>
    </w:p>
  </w:footnote>
  <w:footnote w:id="37">
    <w:p w:rsidR="00C32528" w:rsidRDefault="00C32528">
      <w:pPr>
        <w:pStyle w:val="FootnoteText"/>
      </w:pPr>
      <w:r>
        <w:rPr>
          <w:rStyle w:val="FootnoteReference"/>
        </w:rPr>
        <w:footnoteRef/>
      </w:r>
      <w:r>
        <w:t xml:space="preserve"> </w:t>
      </w:r>
      <w:r>
        <w:tab/>
      </w:r>
      <w:proofErr w:type="gramStart"/>
      <w:r w:rsidRPr="008A7DA0">
        <w:t xml:space="preserve">DP World and Toll, </w:t>
      </w:r>
      <w:r w:rsidRPr="00D007FA">
        <w:rPr>
          <w:i/>
        </w:rPr>
        <w:t>Toll Group and DP World Australia in talks to set up new Joint Venture</w:t>
      </w:r>
      <w:r w:rsidRPr="008A7DA0">
        <w:t>, media release, 28 July 2015.</w:t>
      </w:r>
      <w:proofErr w:type="gramEnd"/>
    </w:p>
  </w:footnote>
  <w:footnote w:id="38">
    <w:p w:rsidR="00C32528" w:rsidRDefault="00C32528" w:rsidP="00E71BFF">
      <w:pPr>
        <w:pStyle w:val="FootnoteText"/>
      </w:pPr>
      <w:r>
        <w:rPr>
          <w:rStyle w:val="FootnoteReference"/>
        </w:rPr>
        <w:footnoteRef/>
      </w:r>
      <w:r>
        <w:t xml:space="preserve"> </w:t>
      </w:r>
      <w:r>
        <w:tab/>
        <w:t xml:space="preserve">DP World Australia, </w:t>
      </w:r>
      <w:r w:rsidRPr="00A97795">
        <w:rPr>
          <w:i/>
        </w:rPr>
        <w:t xml:space="preserve">Year in Review 2014 by MD and CEO Paul </w:t>
      </w:r>
      <w:proofErr w:type="spellStart"/>
      <w:r w:rsidRPr="00A97795">
        <w:rPr>
          <w:i/>
        </w:rPr>
        <w:t>Scurrah</w:t>
      </w:r>
      <w:proofErr w:type="spellEnd"/>
      <w:r>
        <w:rPr>
          <w:i/>
        </w:rPr>
        <w:t xml:space="preserve">, </w:t>
      </w:r>
      <w:hyperlink r:id="rId5" w:history="1">
        <w:r w:rsidRPr="00A97795">
          <w:rPr>
            <w:rStyle w:val="Hyperlink"/>
            <w:sz w:val="16"/>
          </w:rPr>
          <w:t>http://www.dpworldaustralia.com.au/news-and-media/latest-news/year-in-review-2014/</w:t>
        </w:r>
      </w:hyperlink>
      <w:r w:rsidRPr="00A97795">
        <w:t>, accessed 21 September 2015.</w:t>
      </w:r>
    </w:p>
  </w:footnote>
  <w:footnote w:id="39">
    <w:p w:rsidR="00C32528" w:rsidRDefault="00C32528" w:rsidP="00F131AF">
      <w:pPr>
        <w:pStyle w:val="FootnoteText"/>
      </w:pPr>
      <w:r>
        <w:rPr>
          <w:rStyle w:val="FootnoteReference"/>
        </w:rPr>
        <w:footnoteRef/>
      </w:r>
      <w:r>
        <w:t xml:space="preserve"> </w:t>
      </w:r>
      <w:r>
        <w:tab/>
      </w:r>
      <w:r w:rsidRPr="008A7DA0">
        <w:t xml:space="preserve">Section 50 prohibits mergers </w:t>
      </w:r>
      <w:r>
        <w:t xml:space="preserve">or acquisitions </w:t>
      </w:r>
      <w:r w:rsidRPr="008A7DA0">
        <w:t>that would have the effect, or be likely to have the effect, of substantially lessening competition in a market</w:t>
      </w:r>
      <w:r>
        <w:t xml:space="preserve"> in Australia</w:t>
      </w:r>
      <w:r w:rsidRPr="008A7DA0">
        <w:t>.</w:t>
      </w:r>
    </w:p>
  </w:footnote>
  <w:footnote w:id="40">
    <w:p w:rsidR="00C32528" w:rsidRDefault="00C32528" w:rsidP="00E71BFF">
      <w:pPr>
        <w:pStyle w:val="FootnoteText"/>
      </w:pPr>
      <w:r>
        <w:rPr>
          <w:rStyle w:val="FootnoteReference"/>
        </w:rPr>
        <w:footnoteRef/>
      </w:r>
      <w:r>
        <w:t xml:space="preserve"> </w:t>
      </w:r>
      <w:r>
        <w:tab/>
      </w:r>
      <w:proofErr w:type="spellStart"/>
      <w:r w:rsidRPr="004A4223">
        <w:t>Loussikian</w:t>
      </w:r>
      <w:proofErr w:type="spellEnd"/>
      <w:r w:rsidRPr="004A4223">
        <w:t xml:space="preserve"> K, </w:t>
      </w:r>
      <w:r w:rsidRPr="00D007FA">
        <w:rPr>
          <w:i/>
        </w:rPr>
        <w:t>Asciano confirms guidance but profit growth cut by storms</w:t>
      </w:r>
      <w:r w:rsidRPr="004A4223">
        <w:t xml:space="preserve">, The Australian, 9 May 2015; Probert O, </w:t>
      </w:r>
      <w:r w:rsidRPr="00EA0B3B">
        <w:rPr>
          <w:i/>
        </w:rPr>
        <w:t>Asciano confirms port sale plans</w:t>
      </w:r>
      <w:r w:rsidRPr="004A4223">
        <w:t>, Lloyds List Australia, 23 July 2015.</w:t>
      </w:r>
    </w:p>
  </w:footnote>
  <w:footnote w:id="41">
    <w:p w:rsidR="00C32528" w:rsidRDefault="00C32528" w:rsidP="00E71BFF">
      <w:pPr>
        <w:pStyle w:val="FootnoteText"/>
      </w:pPr>
      <w:r>
        <w:rPr>
          <w:rStyle w:val="FootnoteReference"/>
        </w:rPr>
        <w:footnoteRef/>
      </w:r>
      <w:r>
        <w:t xml:space="preserve"> </w:t>
      </w:r>
      <w:r>
        <w:tab/>
      </w:r>
      <w:proofErr w:type="spellStart"/>
      <w:r w:rsidRPr="004A4223">
        <w:t>Loussikian</w:t>
      </w:r>
      <w:proofErr w:type="spellEnd"/>
      <w:r w:rsidRPr="004A4223">
        <w:t xml:space="preserve"> K, </w:t>
      </w:r>
      <w:r w:rsidRPr="00D007FA">
        <w:rPr>
          <w:i/>
        </w:rPr>
        <w:t>Asciano confirms guidance but profit growth cut by storms</w:t>
      </w:r>
      <w:r w:rsidRPr="004A4223">
        <w:t>, The Australian, 9 May 2015.</w:t>
      </w:r>
    </w:p>
  </w:footnote>
  <w:footnote w:id="42">
    <w:p w:rsidR="00C32528" w:rsidRDefault="00C32528" w:rsidP="00377A00">
      <w:pPr>
        <w:pStyle w:val="FootnoteText"/>
      </w:pPr>
      <w:r>
        <w:rPr>
          <w:rStyle w:val="FootnoteReference"/>
        </w:rPr>
        <w:footnoteRef/>
      </w:r>
      <w:r>
        <w:t xml:space="preserve"> </w:t>
      </w:r>
      <w:r>
        <w:tab/>
      </w:r>
      <w:r w:rsidRPr="004A4223">
        <w:t xml:space="preserve">Asciano, </w:t>
      </w:r>
      <w:r w:rsidRPr="00D007FA">
        <w:rPr>
          <w:i/>
        </w:rPr>
        <w:t>Asciano confirms receipt of proposal and granting of due diligence</w:t>
      </w:r>
      <w:r w:rsidRPr="004A4223">
        <w:t>, media release, 1 July 2015.</w:t>
      </w:r>
    </w:p>
  </w:footnote>
  <w:footnote w:id="43">
    <w:p w:rsidR="00C32528" w:rsidRDefault="00C32528" w:rsidP="00377A00">
      <w:pPr>
        <w:pStyle w:val="FootnoteText"/>
      </w:pPr>
      <w:r>
        <w:rPr>
          <w:rStyle w:val="FootnoteReference"/>
        </w:rPr>
        <w:footnoteRef/>
      </w:r>
      <w:r>
        <w:t xml:space="preserve"> </w:t>
      </w:r>
      <w:r>
        <w:tab/>
      </w:r>
      <w:r w:rsidRPr="004A4223">
        <w:t xml:space="preserve">Brookfield Infrastructure Partners L.P., </w:t>
      </w:r>
      <w:hyperlink r:id="rId6" w:history="1">
        <w:r w:rsidRPr="00F21074">
          <w:rPr>
            <w:rStyle w:val="Hyperlink"/>
            <w:sz w:val="16"/>
          </w:rPr>
          <w:t>http://www.brookfieldinfrastructure.com/content/operations/transport-40805.html</w:t>
        </w:r>
      </w:hyperlink>
      <w:r w:rsidRPr="004A4223">
        <w:t>, accessed 11 August 2015.</w:t>
      </w:r>
    </w:p>
  </w:footnote>
  <w:footnote w:id="44">
    <w:p w:rsidR="00C32528" w:rsidRDefault="00C32528">
      <w:pPr>
        <w:pStyle w:val="FootnoteText"/>
      </w:pPr>
      <w:r w:rsidRPr="00EA0B3B">
        <w:rPr>
          <w:rStyle w:val="FootnoteReference"/>
        </w:rPr>
        <w:footnoteRef/>
      </w:r>
      <w:r w:rsidRPr="00EA0B3B">
        <w:t xml:space="preserve"> </w:t>
      </w:r>
      <w:r w:rsidRPr="00EA0B3B">
        <w:tab/>
        <w:t>For example, section 45 of Part IV of the CCA prohibits contracts, arrangements or understandings from having provisions that have the purpose, or would have or be likely to have the effect, of substantially lessening competition in a market. In addition, section 46 prohibits the use of a substantial degree of power in a market for a proscribed purpose, such as the purpose of eliminating or substantially damaging a competitor or to prevent a business from entering into a market.</w:t>
      </w:r>
    </w:p>
  </w:footnote>
  <w:footnote w:id="45">
    <w:p w:rsidR="00C32528" w:rsidRDefault="00C32528" w:rsidP="00E71BFF">
      <w:pPr>
        <w:pStyle w:val="FootnoteText"/>
      </w:pPr>
      <w:r>
        <w:rPr>
          <w:rStyle w:val="FootnoteReference"/>
        </w:rPr>
        <w:footnoteRef/>
      </w:r>
      <w:r>
        <w:t xml:space="preserve"> </w:t>
      </w:r>
      <w:r>
        <w:tab/>
        <w:t xml:space="preserve">This was also covered in </w:t>
      </w:r>
      <w:r w:rsidRPr="002529AA">
        <w:rPr>
          <w:i/>
        </w:rPr>
        <w:t>Container stevedoring monitoring report</w:t>
      </w:r>
      <w:r w:rsidRPr="00D007FA">
        <w:t xml:space="preserve"> </w:t>
      </w:r>
      <w:r>
        <w:t>2013–14</w:t>
      </w:r>
      <w:r w:rsidRPr="00937D7B">
        <w:t xml:space="preserve">, </w:t>
      </w:r>
      <w:r>
        <w:t>pp. 5-6.</w:t>
      </w:r>
    </w:p>
  </w:footnote>
  <w:footnote w:id="46">
    <w:p w:rsidR="00C32528" w:rsidRDefault="00C32528" w:rsidP="00E71BFF">
      <w:pPr>
        <w:pStyle w:val="FootnoteText"/>
      </w:pPr>
      <w:r>
        <w:rPr>
          <w:rStyle w:val="FootnoteReference"/>
        </w:rPr>
        <w:footnoteRef/>
      </w:r>
      <w:r>
        <w:t xml:space="preserve"> </w:t>
      </w:r>
      <w:r>
        <w:tab/>
        <w:t>Fremantle Ports</w:t>
      </w:r>
      <w:r w:rsidRPr="00FF668C">
        <w:t xml:space="preserve">, </w:t>
      </w:r>
      <w:r w:rsidRPr="00D007FA">
        <w:rPr>
          <w:i/>
        </w:rPr>
        <w:t>Invitation for expressions of interest to develop and operate the international container terminals located at North Quay</w:t>
      </w:r>
      <w:r>
        <w:t xml:space="preserve">, 6 October 2014, </w:t>
      </w:r>
      <w:hyperlink r:id="rId7" w:history="1">
        <w:r w:rsidRPr="00EF686B">
          <w:rPr>
            <w:rStyle w:val="Hyperlink"/>
            <w:sz w:val="16"/>
          </w:rPr>
          <w:t>http://www.fremantleports.com.au/Planning/Pages/North-Quay-container-terminals.aspx</w:t>
        </w:r>
      </w:hyperlink>
      <w:r>
        <w:t>, accessed 2 July 2015</w:t>
      </w:r>
      <w:r w:rsidRPr="00FF668C">
        <w:t>.</w:t>
      </w:r>
    </w:p>
  </w:footnote>
  <w:footnote w:id="47">
    <w:p w:rsidR="00C32528" w:rsidRDefault="00C32528">
      <w:pPr>
        <w:pStyle w:val="FootnoteText"/>
      </w:pPr>
      <w:r>
        <w:rPr>
          <w:rStyle w:val="FootnoteReference"/>
        </w:rPr>
        <w:footnoteRef/>
      </w:r>
      <w:r>
        <w:t xml:space="preserve"> </w:t>
      </w:r>
      <w:r>
        <w:tab/>
        <w:t xml:space="preserve">Premier of NSW, </w:t>
      </w:r>
      <w:r w:rsidRPr="00A97795">
        <w:rPr>
          <w:i/>
        </w:rPr>
        <w:t>New DP World lease at Port Botany secures jobs</w:t>
      </w:r>
      <w:r>
        <w:t xml:space="preserve">, media release, 8 July 2009; Forum 2015, report on speech by John Mullen, Managing Director and CEO Asciano, in </w:t>
      </w:r>
      <w:r w:rsidRPr="00D007FA">
        <w:t>Future Freight Networks</w:t>
      </w:r>
      <w:r w:rsidRPr="00AD5B0B">
        <w:t>,</w:t>
      </w:r>
      <w:r>
        <w:t xml:space="preserve"> </w:t>
      </w:r>
      <w:r w:rsidRPr="00994DC6">
        <w:t>Australian</w:t>
      </w:r>
      <w:r>
        <w:t xml:space="preserve"> Logistics Council Yearbook 2015, p.52. </w:t>
      </w:r>
    </w:p>
  </w:footnote>
  <w:footnote w:id="48">
    <w:p w:rsidR="00C32528" w:rsidRDefault="00C32528" w:rsidP="00E71BFF">
      <w:pPr>
        <w:pStyle w:val="FootnoteText"/>
      </w:pPr>
      <w:r>
        <w:rPr>
          <w:rStyle w:val="FootnoteReference"/>
        </w:rPr>
        <w:footnoteRef/>
      </w:r>
      <w:r>
        <w:t xml:space="preserve"> </w:t>
      </w:r>
      <w:r>
        <w:tab/>
        <w:t xml:space="preserve">Port of Melbourne Corporation, </w:t>
      </w:r>
      <w:r w:rsidRPr="00D007FA">
        <w:rPr>
          <w:i/>
        </w:rPr>
        <w:t>Invitation of Expression of Interest: Development and provision of services for the international container terminal and empty container park at Webb Dock, Melbourne</w:t>
      </w:r>
      <w:r>
        <w:t>, October 2012, p.28.</w:t>
      </w:r>
    </w:p>
  </w:footnote>
  <w:footnote w:id="49">
    <w:p w:rsidR="00C32528" w:rsidRDefault="00C32528" w:rsidP="00E71BFF">
      <w:pPr>
        <w:pStyle w:val="FootnoteText"/>
      </w:pPr>
      <w:r>
        <w:rPr>
          <w:rStyle w:val="FootnoteReference"/>
        </w:rPr>
        <w:footnoteRef/>
      </w:r>
      <w:r>
        <w:t xml:space="preserve"> </w:t>
      </w:r>
      <w:r>
        <w:tab/>
        <w:t>“National contracting” is when a shipping line uses the same stevedore at all Australian ports.</w:t>
      </w:r>
    </w:p>
  </w:footnote>
  <w:footnote w:id="50">
    <w:p w:rsidR="00C32528" w:rsidRDefault="00C32528" w:rsidP="00E71BFF">
      <w:pPr>
        <w:pStyle w:val="FootnoteText"/>
      </w:pPr>
      <w:r>
        <w:rPr>
          <w:rStyle w:val="FootnoteReference"/>
        </w:rPr>
        <w:footnoteRef/>
      </w:r>
      <w:r>
        <w:t xml:space="preserve"> </w:t>
      </w:r>
      <w:r>
        <w:tab/>
      </w:r>
      <w:r w:rsidRPr="00CF3B39">
        <w:t>S</w:t>
      </w:r>
      <w:r>
        <w:t xml:space="preserve">ubcontracting sometimes occurs if a stevedore’s </w:t>
      </w:r>
      <w:r w:rsidRPr="00CF3B39">
        <w:t xml:space="preserve">terminal </w:t>
      </w:r>
      <w:r>
        <w:t>is</w:t>
      </w:r>
      <w:r w:rsidRPr="00CF3B39">
        <w:t xml:space="preserve"> </w:t>
      </w:r>
      <w:r>
        <w:t xml:space="preserve">unable </w:t>
      </w:r>
      <w:r w:rsidRPr="00CF3B39">
        <w:t xml:space="preserve">to </w:t>
      </w:r>
      <w:r>
        <w:t>s</w:t>
      </w:r>
      <w:r w:rsidRPr="00CF3B39">
        <w:t xml:space="preserve">ervice scheduled shipping lines, for reasons including </w:t>
      </w:r>
      <w:r>
        <w:t xml:space="preserve">planned shutdowns, </w:t>
      </w:r>
      <w:r w:rsidRPr="00CF3B39">
        <w:t>equipment malfunctions, technology glitches, congestion, adverse weather or industrial unrest.</w:t>
      </w:r>
    </w:p>
  </w:footnote>
  <w:footnote w:id="51">
    <w:p w:rsidR="00C32528" w:rsidRDefault="00C32528" w:rsidP="00E71BFF">
      <w:pPr>
        <w:pStyle w:val="FootnoteText"/>
      </w:pPr>
      <w:r>
        <w:rPr>
          <w:rStyle w:val="FootnoteReference"/>
        </w:rPr>
        <w:footnoteRef/>
      </w:r>
      <w:r>
        <w:t xml:space="preserve"> </w:t>
      </w:r>
      <w:r>
        <w:tab/>
        <w:t xml:space="preserve">Hutchison, </w:t>
      </w:r>
      <w:r w:rsidRPr="00080798">
        <w:rPr>
          <w:i/>
        </w:rPr>
        <w:t>Hutchison Ports Australia Submission the Competition Policy Review</w:t>
      </w:r>
      <w:r>
        <w:t xml:space="preserve">, </w:t>
      </w:r>
      <w:r w:rsidRPr="00080798">
        <w:t>26 June 2014</w:t>
      </w:r>
      <w:r>
        <w:t>.</w:t>
      </w:r>
    </w:p>
  </w:footnote>
  <w:footnote w:id="52">
    <w:p w:rsidR="00C32528" w:rsidRDefault="00C32528" w:rsidP="00E71BFF">
      <w:pPr>
        <w:pStyle w:val="FootnoteText"/>
      </w:pPr>
      <w:r>
        <w:rPr>
          <w:rStyle w:val="FootnoteReference"/>
        </w:rPr>
        <w:footnoteRef/>
      </w:r>
      <w:r>
        <w:t xml:space="preserve"> </w:t>
      </w:r>
      <w:r>
        <w:tab/>
        <w:t xml:space="preserve">Stevens M, </w:t>
      </w:r>
      <w:r w:rsidRPr="00D007FA">
        <w:rPr>
          <w:i/>
        </w:rPr>
        <w:t>Hutchison runs up the white flag</w:t>
      </w:r>
      <w:r>
        <w:t xml:space="preserve">, Australian Financial Review, 30 June 2015. </w:t>
      </w:r>
    </w:p>
  </w:footnote>
  <w:footnote w:id="53">
    <w:p w:rsidR="00C32528" w:rsidRDefault="00C32528" w:rsidP="00E71BFF">
      <w:pPr>
        <w:pStyle w:val="FootnoteText"/>
      </w:pPr>
      <w:r>
        <w:rPr>
          <w:rStyle w:val="FootnoteReference"/>
        </w:rPr>
        <w:footnoteRef/>
      </w:r>
      <w:r>
        <w:t xml:space="preserve"> </w:t>
      </w:r>
      <w:r>
        <w:tab/>
        <w:t xml:space="preserve">Wilson J, </w:t>
      </w:r>
      <w:r w:rsidRPr="00D007FA">
        <w:rPr>
          <w:i/>
        </w:rPr>
        <w:t>’Ham-fisted’ Hutchison reveals Australia failure</w:t>
      </w:r>
      <w:r>
        <w:t>, Lloyds List Australia, 30 June 2015</w:t>
      </w:r>
      <w:r w:rsidRPr="00B22B49">
        <w:t xml:space="preserve"> </w:t>
      </w:r>
      <w:r>
        <w:t xml:space="preserve">;Stevens M, </w:t>
      </w:r>
      <w:r w:rsidRPr="00D007FA">
        <w:rPr>
          <w:i/>
        </w:rPr>
        <w:t>Hutchison runs up the white flag</w:t>
      </w:r>
      <w:r>
        <w:t xml:space="preserve">, Australian Financial Review, 30 June 2015; and Gilfillan G, </w:t>
      </w:r>
      <w:r w:rsidRPr="00D007FA">
        <w:rPr>
          <w:i/>
        </w:rPr>
        <w:t>Bringing in a third stevedore – a port perspective</w:t>
      </w:r>
      <w:r>
        <w:t>, Lloyds List Australia, 10 July 2015.</w:t>
      </w:r>
    </w:p>
  </w:footnote>
  <w:footnote w:id="54">
    <w:p w:rsidR="00C32528" w:rsidRPr="002540EF" w:rsidRDefault="00C32528" w:rsidP="00E71BFF">
      <w:pPr>
        <w:pStyle w:val="FootnoteText"/>
        <w:rPr>
          <w:lang w:val="en-US"/>
        </w:rPr>
      </w:pPr>
      <w:r>
        <w:rPr>
          <w:rStyle w:val="FootnoteReference"/>
        </w:rPr>
        <w:footnoteRef/>
      </w:r>
      <w:r>
        <w:t xml:space="preserve"> </w:t>
      </w:r>
      <w:r>
        <w:tab/>
      </w:r>
      <w:r>
        <w:rPr>
          <w:lang w:val="en-US"/>
        </w:rPr>
        <w:t xml:space="preserve">For more information see </w:t>
      </w:r>
      <w:r w:rsidRPr="00EC789D">
        <w:rPr>
          <w:i/>
          <w:lang w:val="en-US"/>
        </w:rPr>
        <w:t>Container stevedoring monitoring report</w:t>
      </w:r>
      <w:r>
        <w:rPr>
          <w:lang w:val="en-US"/>
        </w:rPr>
        <w:t xml:space="preserve"> 2013–14, pp.4-5.</w:t>
      </w:r>
    </w:p>
  </w:footnote>
  <w:footnote w:id="55">
    <w:p w:rsidR="00C32528" w:rsidRDefault="00C32528" w:rsidP="00E71BFF">
      <w:pPr>
        <w:pStyle w:val="FootnoteText"/>
      </w:pPr>
      <w:r>
        <w:rPr>
          <w:rStyle w:val="FootnoteReference"/>
        </w:rPr>
        <w:footnoteRef/>
      </w:r>
      <w:r>
        <w:t xml:space="preserve"> </w:t>
      </w:r>
      <w:r>
        <w:tab/>
      </w:r>
      <w:r w:rsidRPr="00E00CC8">
        <w:t xml:space="preserve">Shaw D, </w:t>
      </w:r>
      <w:r w:rsidRPr="00D007FA">
        <w:rPr>
          <w:i/>
        </w:rPr>
        <w:t>John Lines slams Patrick for “totally unsatisfactory” performance</w:t>
      </w:r>
      <w:r w:rsidRPr="00E00CC8">
        <w:t>, Lloyd’s List Australia, 4 May 2015.</w:t>
      </w:r>
    </w:p>
  </w:footnote>
  <w:footnote w:id="56">
    <w:p w:rsidR="00C32528" w:rsidRDefault="00C32528" w:rsidP="002118E7">
      <w:pPr>
        <w:pStyle w:val="FootnoteText"/>
      </w:pPr>
      <w:r>
        <w:rPr>
          <w:rStyle w:val="FootnoteReference"/>
        </w:rPr>
        <w:footnoteRef/>
      </w:r>
      <w:r>
        <w:t xml:space="preserve"> </w:t>
      </w:r>
      <w:r>
        <w:tab/>
        <w:t xml:space="preserve">Under the </w:t>
      </w:r>
      <w:r w:rsidRPr="00EA0B3B">
        <w:rPr>
          <w:i/>
        </w:rPr>
        <w:t xml:space="preserve">Ports and Maritime Administration Act 1995 </w:t>
      </w:r>
      <w:r w:rsidRPr="000D2FB2">
        <w:t>(NSW)</w:t>
      </w:r>
      <w:r>
        <w:t xml:space="preserve">, the Port of Newcastle </w:t>
      </w:r>
      <w:r w:rsidRPr="000D2FB2">
        <w:t>is required publish information on charges, give advance notice of changes to charges including a rationale for any increases, and provide an annual report to the Minister each year with specified information on charges and revenue</w:t>
      </w:r>
      <w:r>
        <w:t xml:space="preserve">. </w:t>
      </w:r>
    </w:p>
  </w:footnote>
  <w:footnote w:id="57">
    <w:p w:rsidR="00C32528" w:rsidRDefault="00C32528" w:rsidP="002118E7">
      <w:pPr>
        <w:pStyle w:val="FootnoteText"/>
      </w:pPr>
      <w:r>
        <w:rPr>
          <w:rStyle w:val="FootnoteReference"/>
        </w:rPr>
        <w:footnoteRef/>
      </w:r>
      <w:r>
        <w:t xml:space="preserve"> </w:t>
      </w:r>
      <w:r>
        <w:tab/>
      </w:r>
      <w:hyperlink r:id="rId8" w:history="1">
        <w:r w:rsidRPr="00764AC2">
          <w:rPr>
            <w:rStyle w:val="Hyperlink"/>
            <w:sz w:val="16"/>
          </w:rPr>
          <w:t>http://www.portofnewcastle.com.au/Resources/Documents/PON-Annual-Trade-Report-2014-FINAL.pdf</w:t>
        </w:r>
      </w:hyperlink>
      <w:r>
        <w:rPr>
          <w:rStyle w:val="Hyperlink"/>
          <w:sz w:val="16"/>
        </w:rPr>
        <w:t xml:space="preserve">. </w:t>
      </w:r>
    </w:p>
  </w:footnote>
  <w:footnote w:id="58">
    <w:p w:rsidR="00C32528" w:rsidRDefault="00C32528" w:rsidP="002118E7">
      <w:pPr>
        <w:pStyle w:val="FootnoteText"/>
      </w:pPr>
      <w:r>
        <w:rPr>
          <w:rStyle w:val="FootnoteReference"/>
        </w:rPr>
        <w:footnoteRef/>
      </w:r>
      <w:r>
        <w:t xml:space="preserve"> </w:t>
      </w:r>
      <w:r>
        <w:tab/>
      </w:r>
      <w:r w:rsidRPr="009843D1">
        <w:t xml:space="preserve">NSW Government, </w:t>
      </w:r>
      <w:r w:rsidRPr="00A5439A">
        <w:rPr>
          <w:i/>
        </w:rPr>
        <w:t>Budget Statement 2014-201</w:t>
      </w:r>
      <w:r>
        <w:rPr>
          <w:i/>
        </w:rPr>
        <w:t>5</w:t>
      </w:r>
      <w:r w:rsidRPr="00A5439A">
        <w:rPr>
          <w:i/>
        </w:rPr>
        <w:t>: Budget Paper No.2</w:t>
      </w:r>
      <w:r w:rsidRPr="009843D1">
        <w:t>, 17 June 2014.</w:t>
      </w:r>
    </w:p>
  </w:footnote>
  <w:footnote w:id="59">
    <w:p w:rsidR="00C32528" w:rsidRDefault="00C32528" w:rsidP="002118E7">
      <w:pPr>
        <w:pStyle w:val="FootnoteText"/>
      </w:pPr>
      <w:r>
        <w:rPr>
          <w:rStyle w:val="FootnoteReference"/>
        </w:rPr>
        <w:footnoteRef/>
      </w:r>
      <w:r>
        <w:t xml:space="preserve"> </w:t>
      </w:r>
      <w:r>
        <w:tab/>
      </w:r>
      <w:hyperlink r:id="rId9" w:history="1">
        <w:r w:rsidRPr="00764AC2">
          <w:rPr>
            <w:rStyle w:val="Hyperlink"/>
            <w:sz w:val="16"/>
          </w:rPr>
          <w:t>http://www.portofnewcastle.com.au/Resources/Documents/PON-Annual-Trade-Report-2014-FINAL.pdf</w:t>
        </w:r>
      </w:hyperlink>
      <w:r>
        <w:t xml:space="preserve"> </w:t>
      </w:r>
    </w:p>
  </w:footnote>
  <w:footnote w:id="60">
    <w:p w:rsidR="00C32528" w:rsidRDefault="00C32528" w:rsidP="002118E7">
      <w:pPr>
        <w:pStyle w:val="FootnoteText"/>
      </w:pPr>
      <w:r>
        <w:rPr>
          <w:rStyle w:val="FootnoteReference"/>
        </w:rPr>
        <w:footnoteRef/>
      </w:r>
      <w:r>
        <w:t xml:space="preserve"> </w:t>
      </w:r>
      <w:r>
        <w:tab/>
      </w:r>
      <w:r w:rsidRPr="004D16B2">
        <w:t>In the year to 30 June 2014, the weighted average coal ship was 58,000 GT and had 92,500 tonnes of coal on board.</w:t>
      </w:r>
    </w:p>
  </w:footnote>
  <w:footnote w:id="61">
    <w:p w:rsidR="00C32528" w:rsidRDefault="00C32528" w:rsidP="002118E7">
      <w:pPr>
        <w:pStyle w:val="FootnoteText"/>
      </w:pPr>
      <w:r>
        <w:rPr>
          <w:rStyle w:val="FootnoteReference"/>
        </w:rPr>
        <w:footnoteRef/>
      </w:r>
      <w:r>
        <w:t xml:space="preserve"> </w:t>
      </w:r>
      <w:r>
        <w:tab/>
        <w:t xml:space="preserve">See letter from Port of Newcastle to Anthony Pitt, Glencore dated 19 December 2014, available at:  </w:t>
      </w:r>
      <w:hyperlink r:id="rId10" w:history="1">
        <w:r w:rsidRPr="005265BC">
          <w:rPr>
            <w:rStyle w:val="Hyperlink"/>
            <w:sz w:val="16"/>
          </w:rPr>
          <w:t>http://ncc.gov.au/images/uploads/Glencore,_Annexure_A_(Synergies_report),_1_September_2015_(PDF,_717_KB).pdf</w:t>
        </w:r>
      </w:hyperlink>
      <w:r>
        <w:t xml:space="preserve"> </w:t>
      </w:r>
    </w:p>
  </w:footnote>
  <w:footnote w:id="62">
    <w:p w:rsidR="00C32528" w:rsidRDefault="00C32528" w:rsidP="00E71BFF">
      <w:pPr>
        <w:pStyle w:val="FootnoteText"/>
      </w:pPr>
      <w:r>
        <w:rPr>
          <w:rStyle w:val="FootnoteReference"/>
        </w:rPr>
        <w:footnoteRef/>
      </w:r>
      <w:r>
        <w:t xml:space="preserve"> </w:t>
      </w:r>
      <w:r>
        <w:tab/>
      </w:r>
      <w:r w:rsidRPr="00A45745">
        <w:t xml:space="preserve">Keen </w:t>
      </w:r>
      <w:r>
        <w:t xml:space="preserve">L </w:t>
      </w:r>
      <w:r w:rsidRPr="00A45745">
        <w:t>and Potter</w:t>
      </w:r>
      <w:r>
        <w:t xml:space="preserve"> B, </w:t>
      </w:r>
      <w:r w:rsidRPr="00D007FA">
        <w:rPr>
          <w:i/>
        </w:rPr>
        <w:t>Port of Melbourne sale kicks off despite rent row</w:t>
      </w:r>
      <w:r>
        <w:t xml:space="preserve">, </w:t>
      </w:r>
      <w:r>
        <w:rPr>
          <w:i/>
        </w:rPr>
        <w:t>Australian Financial Review</w:t>
      </w:r>
      <w:r>
        <w:t>, 27 May 2015.</w:t>
      </w:r>
    </w:p>
  </w:footnote>
  <w:footnote w:id="63">
    <w:p w:rsidR="00C32528" w:rsidRDefault="00C32528" w:rsidP="00E71BFF">
      <w:pPr>
        <w:pStyle w:val="FootnoteText"/>
      </w:pPr>
      <w:r>
        <w:rPr>
          <w:rStyle w:val="FootnoteReference"/>
        </w:rPr>
        <w:footnoteRef/>
      </w:r>
      <w:r>
        <w:t xml:space="preserve"> </w:t>
      </w:r>
      <w:r>
        <w:tab/>
        <w:t xml:space="preserve">For example, Rolfe P and Toy M, </w:t>
      </w:r>
      <w:r w:rsidRPr="00D007FA">
        <w:rPr>
          <w:i/>
        </w:rPr>
        <w:t>Full steam ahead for our new port at Hastings</w:t>
      </w:r>
      <w:r>
        <w:t xml:space="preserve">, </w:t>
      </w:r>
      <w:r w:rsidRPr="00350EF9">
        <w:rPr>
          <w:i/>
        </w:rPr>
        <w:t>Sunday Herald Sun</w:t>
      </w:r>
      <w:r>
        <w:t>, 16 October 2011.</w:t>
      </w:r>
    </w:p>
  </w:footnote>
  <w:footnote w:id="64">
    <w:p w:rsidR="00C32528" w:rsidRDefault="00C32528" w:rsidP="00E71BFF">
      <w:pPr>
        <w:pStyle w:val="FootnoteText"/>
      </w:pPr>
      <w:r>
        <w:rPr>
          <w:rStyle w:val="FootnoteReference"/>
        </w:rPr>
        <w:footnoteRef/>
      </w:r>
      <w:r>
        <w:t xml:space="preserve"> </w:t>
      </w:r>
      <w:r>
        <w:tab/>
        <w:t xml:space="preserve">AFR, </w:t>
      </w:r>
      <w:r w:rsidRPr="00EA0B3B">
        <w:rPr>
          <w:i/>
        </w:rPr>
        <w:t>Second NSW container terminal is Port Kembla</w:t>
      </w:r>
      <w:r>
        <w:t>, 27 July 2011; State of New South Wales</w:t>
      </w:r>
      <w:r w:rsidRPr="00353D51">
        <w:t xml:space="preserve">, </w:t>
      </w:r>
      <w:r w:rsidRPr="00C37091">
        <w:rPr>
          <w:i/>
        </w:rPr>
        <w:t>Draft</w:t>
      </w:r>
      <w:r>
        <w:t xml:space="preserve"> </w:t>
      </w:r>
      <w:r w:rsidRPr="00353D51">
        <w:rPr>
          <w:i/>
        </w:rPr>
        <w:t>NSW Freight and Ports Strategy</w:t>
      </w:r>
      <w:r w:rsidRPr="00353D51">
        <w:t>, 201</w:t>
      </w:r>
      <w:r>
        <w:t xml:space="preserve">2, </w:t>
      </w:r>
      <w:r w:rsidRPr="00353D51">
        <w:t xml:space="preserve">p. </w:t>
      </w:r>
      <w:r>
        <w:t>98</w:t>
      </w:r>
      <w:r w:rsidRPr="00353D51">
        <w:t>.</w:t>
      </w:r>
    </w:p>
  </w:footnote>
  <w:footnote w:id="65">
    <w:p w:rsidR="00C32528" w:rsidRDefault="00C32528" w:rsidP="00E71BFF">
      <w:pPr>
        <w:pStyle w:val="FootnoteText"/>
      </w:pPr>
      <w:r>
        <w:rPr>
          <w:rStyle w:val="FootnoteReference"/>
        </w:rPr>
        <w:footnoteRef/>
      </w:r>
      <w:r>
        <w:t xml:space="preserve"> </w:t>
      </w:r>
      <w:r>
        <w:tab/>
        <w:t xml:space="preserve">WA Planning Commission, </w:t>
      </w:r>
      <w:r w:rsidRPr="003A3FAC">
        <w:rPr>
          <w:i/>
        </w:rPr>
        <w:t>Outer Harbour Project Information Sheet</w:t>
      </w:r>
      <w:r>
        <w:t xml:space="preserve">, February 2004, </w:t>
      </w:r>
      <w:hyperlink r:id="rId11" w:history="1">
        <w:r w:rsidRPr="006139CB">
          <w:rPr>
            <w:rStyle w:val="Hyperlink"/>
            <w:sz w:val="16"/>
          </w:rPr>
          <w:t>http://www.planning.wa.gov.au/dop_pub_pdf/Fremantle_Ports.pdf</w:t>
        </w:r>
      </w:hyperlink>
      <w:r>
        <w:t>, accessed 4 August 2015; WA Environmental Protection Authority,</w:t>
      </w:r>
      <w:r w:rsidRPr="0002121B">
        <w:t xml:space="preserve"> </w:t>
      </w:r>
      <w:r w:rsidRPr="0002121B">
        <w:rPr>
          <w:i/>
        </w:rPr>
        <w:t>Fremantle Ports Outer Harbour Project - Advice to the Minister for the Environment</w:t>
      </w:r>
      <w:r>
        <w:t xml:space="preserve"> , Bulletin 1230, September 2006, </w:t>
      </w:r>
      <w:hyperlink r:id="rId12" w:history="1">
        <w:r w:rsidRPr="006139CB">
          <w:rPr>
            <w:rStyle w:val="Hyperlink"/>
            <w:sz w:val="16"/>
          </w:rPr>
          <w:t>http://www.epa.wa.gov.au/EPADocLib/2323_B1230.pdf</w:t>
        </w:r>
      </w:hyperlink>
      <w:r>
        <w:t>, accessed 4 August 2015.</w:t>
      </w:r>
    </w:p>
  </w:footnote>
  <w:footnote w:id="66">
    <w:p w:rsidR="00C32528" w:rsidRDefault="00C32528" w:rsidP="00E71BFF">
      <w:pPr>
        <w:pStyle w:val="FootnoteText"/>
      </w:pPr>
      <w:r>
        <w:rPr>
          <w:rStyle w:val="FootnoteReference"/>
        </w:rPr>
        <w:footnoteRef/>
      </w:r>
      <w:r>
        <w:t xml:space="preserve"> </w:t>
      </w:r>
      <w:r>
        <w:tab/>
      </w:r>
      <w:proofErr w:type="gramStart"/>
      <w:r>
        <w:t xml:space="preserve">Fremantle Ports, </w:t>
      </w:r>
      <w:r w:rsidRPr="006E304B">
        <w:rPr>
          <w:i/>
        </w:rPr>
        <w:t>2014 Annual Report</w:t>
      </w:r>
      <w:r>
        <w:t>, p.28.</w:t>
      </w:r>
      <w:proofErr w:type="gramEnd"/>
    </w:p>
  </w:footnote>
  <w:footnote w:id="67">
    <w:p w:rsidR="00C32528" w:rsidRDefault="00C32528">
      <w:pPr>
        <w:pStyle w:val="FootnoteText"/>
      </w:pPr>
      <w:r>
        <w:rPr>
          <w:rStyle w:val="FootnoteReference"/>
        </w:rPr>
        <w:footnoteRef/>
      </w:r>
      <w:r>
        <w:t xml:space="preserve"> </w:t>
      </w:r>
      <w:r>
        <w:tab/>
        <w:t xml:space="preserve">The ACCC notes a distinction between this monitoring report on the competitive dynamics of the container stevedoring industry and price monitoring activities which involve a port operator simply publishing and/or providing notice of price increases. </w:t>
      </w:r>
    </w:p>
  </w:footnote>
  <w:footnote w:id="68">
    <w:p w:rsidR="00C32528" w:rsidRDefault="00C32528" w:rsidP="00E71BFF">
      <w:pPr>
        <w:pStyle w:val="FootnoteText"/>
      </w:pPr>
      <w:r>
        <w:rPr>
          <w:rStyle w:val="FootnoteReference"/>
        </w:rPr>
        <w:footnoteRef/>
      </w:r>
      <w:r>
        <w:t xml:space="preserve"> </w:t>
      </w:r>
      <w:r>
        <w:tab/>
        <w:t xml:space="preserve">See 4(c) (7) of the </w:t>
      </w:r>
      <w:r w:rsidRPr="00D27E63">
        <w:t>Council of Australian Governments’</w:t>
      </w:r>
      <w:r>
        <w:t xml:space="preserve"> </w:t>
      </w:r>
      <w:r w:rsidRPr="00D27E63">
        <w:t xml:space="preserve">(COAG) </w:t>
      </w:r>
      <w:r>
        <w:t xml:space="preserve">Competition Principles Agreement </w:t>
      </w:r>
      <w:r w:rsidRPr="00D27E63">
        <w:t xml:space="preserve">at </w:t>
      </w:r>
      <w:hyperlink r:id="rId13" w:history="1">
        <w:r w:rsidRPr="00255920">
          <w:rPr>
            <w:rStyle w:val="Hyperlink"/>
            <w:sz w:val="16"/>
          </w:rPr>
          <w:t>https://www.coag.gov.au/node/52</w:t>
        </w:r>
      </w:hyperlink>
      <w:r>
        <w:t xml:space="preserve">. The </w:t>
      </w:r>
      <w:r w:rsidRPr="00D27E63">
        <w:t>Competition Principles Agreement covered: oversight of government business enterprises; competitive neutrality; structural reform of public monopolies; legislation review; access to services provided by means of significant infrastructure facilities; application of the principles to local government; and the operation of th</w:t>
      </w:r>
      <w:r>
        <w:t>e National Competition Council.</w:t>
      </w:r>
    </w:p>
  </w:footnote>
  <w:footnote w:id="69">
    <w:p w:rsidR="00C32528" w:rsidRDefault="00C32528">
      <w:pPr>
        <w:pStyle w:val="FootnoteText"/>
      </w:pPr>
      <w:r>
        <w:rPr>
          <w:rStyle w:val="FootnoteReference"/>
        </w:rPr>
        <w:footnoteRef/>
      </w:r>
      <w:r>
        <w:t xml:space="preserve"> </w:t>
      </w:r>
      <w:r>
        <w:tab/>
      </w:r>
      <w:r w:rsidRPr="006F3E46">
        <w:t xml:space="preserve">These are the provision of channels, common user berths, certain bulk handling facilities operated by </w:t>
      </w:r>
      <w:proofErr w:type="spellStart"/>
      <w:r w:rsidRPr="006F3E46">
        <w:t>Viterra</w:t>
      </w:r>
      <w:proofErr w:type="spellEnd"/>
      <w:r w:rsidRPr="006F3E46">
        <w:t xml:space="preserve">, berths adjacent to bulk handling facilities, land providing access to maritime services, and the Outer Harbor bulk loader at Port Adelaide (operated by </w:t>
      </w:r>
      <w:proofErr w:type="spellStart"/>
      <w:r w:rsidRPr="006F3E46">
        <w:t>Viterra</w:t>
      </w:r>
      <w:proofErr w:type="spellEnd"/>
      <w:r w:rsidRPr="006F3E46">
        <w:t>), as proclaimed by the Governor.</w:t>
      </w:r>
    </w:p>
  </w:footnote>
  <w:footnote w:id="70">
    <w:p w:rsidR="00C32528" w:rsidRDefault="00C32528" w:rsidP="00E71BFF">
      <w:pPr>
        <w:pStyle w:val="FootnoteText"/>
      </w:pPr>
      <w:r>
        <w:rPr>
          <w:rStyle w:val="FootnoteReference"/>
        </w:rPr>
        <w:footnoteRef/>
      </w:r>
      <w:r>
        <w:t xml:space="preserve"> </w:t>
      </w:r>
      <w:r>
        <w:tab/>
        <w:t xml:space="preserve">Under </w:t>
      </w:r>
      <w:proofErr w:type="gramStart"/>
      <w:r>
        <w:t>a negotiate</w:t>
      </w:r>
      <w:proofErr w:type="gramEnd"/>
      <w:r>
        <w:t xml:space="preserve">-arbitrate model, </w:t>
      </w:r>
      <w:r w:rsidRPr="00A57C86">
        <w:t xml:space="preserve">a service provider and access seeker </w:t>
      </w:r>
      <w:r>
        <w:t>are free to commercially</w:t>
      </w:r>
      <w:r w:rsidRPr="00A57C86">
        <w:t xml:space="preserve"> negotiate </w:t>
      </w:r>
      <w:r>
        <w:t xml:space="preserve">the </w:t>
      </w:r>
      <w:r w:rsidRPr="00A57C86">
        <w:t xml:space="preserve">terms and conditions of access to a service, </w:t>
      </w:r>
      <w:r>
        <w:t xml:space="preserve">but if they fail to reach agreement, a nominated third-party party </w:t>
      </w:r>
      <w:r w:rsidRPr="00A57C86">
        <w:t>can be calle</w:t>
      </w:r>
      <w:r>
        <w:t xml:space="preserve">d upon to arbitrate the dispute and make a </w:t>
      </w:r>
      <w:r w:rsidRPr="00A57C86">
        <w:t>determination.</w:t>
      </w:r>
    </w:p>
  </w:footnote>
  <w:footnote w:id="71">
    <w:p w:rsidR="00C32528" w:rsidRDefault="00C32528" w:rsidP="00E76E0B">
      <w:pPr>
        <w:pStyle w:val="FootnoteText"/>
      </w:pPr>
      <w:r>
        <w:rPr>
          <w:rStyle w:val="FootnoteReference"/>
        </w:rPr>
        <w:footnoteRef/>
      </w:r>
      <w:r>
        <w:t xml:space="preserve"> </w:t>
      </w:r>
      <w:r>
        <w:tab/>
        <w:t xml:space="preserve">Feil J, </w:t>
      </w:r>
      <w:r w:rsidRPr="00E76E0B">
        <w:rPr>
          <w:i/>
        </w:rPr>
        <w:t>Regulated Third Party Access to Infrastructure: A perspective on the Australian experience</w:t>
      </w:r>
      <w:r w:rsidRPr="00E76E0B">
        <w:t>, 15 June 2007, pp.8-9.</w:t>
      </w:r>
    </w:p>
  </w:footnote>
  <w:footnote w:id="72">
    <w:p w:rsidR="00C32528" w:rsidRDefault="00C32528" w:rsidP="00E71BFF">
      <w:pPr>
        <w:pStyle w:val="FootnoteText"/>
      </w:pPr>
      <w:r>
        <w:rPr>
          <w:rStyle w:val="FootnoteReference"/>
        </w:rPr>
        <w:footnoteRef/>
      </w:r>
      <w:r>
        <w:t xml:space="preserve"> </w:t>
      </w:r>
      <w:r>
        <w:tab/>
      </w:r>
      <w:proofErr w:type="gramStart"/>
      <w:r>
        <w:t>having</w:t>
      </w:r>
      <w:proofErr w:type="gramEnd"/>
      <w:r>
        <w:t xml:space="preserve"> regard to: (</w:t>
      </w:r>
      <w:proofErr w:type="spellStart"/>
      <w:r>
        <w:t>i</w:t>
      </w:r>
      <w:proofErr w:type="spellEnd"/>
      <w:r>
        <w:t>) the size of the facility; or (ii) the importance of the facility to constitutional trade or commerce; or (iii) the importance of the facility to the national economy.</w:t>
      </w:r>
    </w:p>
  </w:footnote>
  <w:footnote w:id="73">
    <w:p w:rsidR="00C32528" w:rsidRPr="00D55B88" w:rsidRDefault="00C32528" w:rsidP="00E71BFF">
      <w:pPr>
        <w:pStyle w:val="FootnoteText"/>
      </w:pPr>
      <w:r>
        <w:rPr>
          <w:rStyle w:val="FootnoteReference"/>
        </w:rPr>
        <w:footnoteRef/>
      </w:r>
      <w:r>
        <w:t xml:space="preserve"> </w:t>
      </w:r>
      <w:r>
        <w:tab/>
        <w:t xml:space="preserve">BITRE, </w:t>
      </w:r>
      <w:r>
        <w:rPr>
          <w:i/>
        </w:rPr>
        <w:t>Containerised and non-containerised trade through Australian ports to 2032-33</w:t>
      </w:r>
      <w:r>
        <w:t xml:space="preserve">, December 2014, pp.70-71, </w:t>
      </w:r>
      <w:hyperlink r:id="rId14" w:history="1">
        <w:r w:rsidRPr="00DC559C">
          <w:rPr>
            <w:rStyle w:val="Hyperlink"/>
            <w:sz w:val="16"/>
          </w:rPr>
          <w:t>http://www.bitre.gov.au/publications/2014/report_138.aspx</w:t>
        </w:r>
      </w:hyperlink>
      <w:r>
        <w:t>, accessed 7 July 2015.</w:t>
      </w:r>
    </w:p>
  </w:footnote>
  <w:footnote w:id="74">
    <w:p w:rsidR="00C32528" w:rsidRDefault="00C32528" w:rsidP="00E71BFF">
      <w:pPr>
        <w:pStyle w:val="FootnoteText"/>
      </w:pPr>
      <w:r>
        <w:rPr>
          <w:rStyle w:val="FootnoteReference"/>
        </w:rPr>
        <w:footnoteRef/>
      </w:r>
      <w:r>
        <w:t xml:space="preserve"> </w:t>
      </w:r>
      <w:r>
        <w:tab/>
        <w:t xml:space="preserve">Australian Logistics Council, </w:t>
      </w:r>
      <w:r w:rsidRPr="00D007FA">
        <w:rPr>
          <w:i/>
        </w:rPr>
        <w:t>The Economic Significance of the Australian Logistics Industry</w:t>
      </w:r>
      <w:r>
        <w:t>, report prepared by ACIL Allen, 2014, pp.i,3.</w:t>
      </w:r>
    </w:p>
  </w:footnote>
  <w:footnote w:id="75">
    <w:p w:rsidR="00C32528" w:rsidRPr="00C406D7" w:rsidRDefault="00C32528" w:rsidP="00E71BFF">
      <w:pPr>
        <w:pStyle w:val="FootnoteText"/>
        <w:rPr>
          <w:i/>
        </w:rPr>
      </w:pPr>
      <w:r>
        <w:rPr>
          <w:rStyle w:val="FootnoteReference"/>
        </w:rPr>
        <w:footnoteRef/>
      </w:r>
      <w:r>
        <w:t xml:space="preserve"> </w:t>
      </w:r>
      <w:r>
        <w:tab/>
      </w:r>
      <w:proofErr w:type="gramStart"/>
      <w:r>
        <w:t xml:space="preserve">Productivity Commission, </w:t>
      </w:r>
      <w:r w:rsidRPr="00C406D7">
        <w:rPr>
          <w:i/>
        </w:rPr>
        <w:t>International Benchmarking of the Australian Waterfront</w:t>
      </w:r>
      <w:r>
        <w:t xml:space="preserve">, </w:t>
      </w:r>
      <w:proofErr w:type="spellStart"/>
      <w:r>
        <w:t>AusInfo</w:t>
      </w:r>
      <w:proofErr w:type="spellEnd"/>
      <w:r>
        <w:t xml:space="preserve">, Canberra, April 1998, </w:t>
      </w:r>
      <w:proofErr w:type="spellStart"/>
      <w:r>
        <w:t>p.xi</w:t>
      </w:r>
      <w:proofErr w:type="spellEnd"/>
      <w:r>
        <w:t>.</w:t>
      </w:r>
      <w:proofErr w:type="gramEnd"/>
    </w:p>
  </w:footnote>
  <w:footnote w:id="76">
    <w:p w:rsidR="00C32528" w:rsidRDefault="00C32528" w:rsidP="001824BA">
      <w:pPr>
        <w:pStyle w:val="FootnoteText"/>
      </w:pPr>
      <w:r>
        <w:rPr>
          <w:rStyle w:val="FootnoteReference"/>
        </w:rPr>
        <w:footnoteRef/>
      </w:r>
      <w:r>
        <w:t xml:space="preserve"> </w:t>
      </w:r>
      <w:r>
        <w:tab/>
      </w:r>
      <w:proofErr w:type="gramStart"/>
      <w:r w:rsidRPr="00720C75">
        <w:t>Independent Pricing and Regulatory Tribunal (IPART)</w:t>
      </w:r>
      <w:r>
        <w:t xml:space="preserve">, </w:t>
      </w:r>
      <w:r w:rsidRPr="00720C75">
        <w:rPr>
          <w:i/>
        </w:rPr>
        <w:t>Final Report - Reforming Port Botany's links with inland transport - March 2008</w:t>
      </w:r>
      <w:r>
        <w:t>, pp.3-4</w:t>
      </w:r>
      <w:r>
        <w:rPr>
          <w:i/>
        </w:rPr>
        <w:t>.</w:t>
      </w:r>
      <w:proofErr w:type="gramEnd"/>
    </w:p>
  </w:footnote>
  <w:footnote w:id="77">
    <w:p w:rsidR="00C32528" w:rsidRDefault="00C32528">
      <w:pPr>
        <w:pStyle w:val="FootnoteText"/>
      </w:pPr>
      <w:r>
        <w:rPr>
          <w:rStyle w:val="FootnoteReference"/>
        </w:rPr>
        <w:footnoteRef/>
      </w:r>
      <w:r>
        <w:t xml:space="preserve"> </w:t>
      </w:r>
      <w:r>
        <w:tab/>
        <w:t xml:space="preserve">Infrastructure Australia, </w:t>
      </w:r>
      <w:r w:rsidRPr="00B73E17">
        <w:rPr>
          <w:i/>
        </w:rPr>
        <w:t>Australian Infrastructure Audit: Our infrastructure challenges</w:t>
      </w:r>
      <w:r>
        <w:t xml:space="preserve">, April 2015, pp.49-50. </w:t>
      </w:r>
    </w:p>
  </w:footnote>
  <w:footnote w:id="78">
    <w:p w:rsidR="00C32528" w:rsidRDefault="00C32528" w:rsidP="00E71BFF">
      <w:pPr>
        <w:pStyle w:val="FootnoteText"/>
      </w:pPr>
      <w:r>
        <w:rPr>
          <w:rStyle w:val="FootnoteReference"/>
        </w:rPr>
        <w:footnoteRef/>
      </w:r>
      <w:r>
        <w:t xml:space="preserve"> </w:t>
      </w:r>
      <w:r>
        <w:tab/>
      </w:r>
      <w:proofErr w:type="gramStart"/>
      <w:r w:rsidRPr="000A608F">
        <w:t>NSW Ports</w:t>
      </w:r>
      <w:proofErr w:type="gramEnd"/>
      <w:r w:rsidRPr="000A608F">
        <w:t xml:space="preserve"> website, http://www.nswportsbotany.com.au/projects-and-planning/ilc-at-enfield/, accessed 12</w:t>
      </w:r>
      <w:r>
        <w:t xml:space="preserve"> August 2015</w:t>
      </w:r>
      <w:r w:rsidRPr="000A608F">
        <w:t>.</w:t>
      </w:r>
    </w:p>
  </w:footnote>
  <w:footnote w:id="79">
    <w:p w:rsidR="00C32528" w:rsidRDefault="00C32528">
      <w:pPr>
        <w:pStyle w:val="FootnoteText"/>
      </w:pPr>
      <w:r>
        <w:rPr>
          <w:rStyle w:val="FootnoteReference"/>
        </w:rPr>
        <w:footnoteRef/>
      </w:r>
      <w:r>
        <w:t xml:space="preserve"> </w:t>
      </w:r>
      <w:r>
        <w:tab/>
        <w:t xml:space="preserve">Joint media release by </w:t>
      </w:r>
      <w:r w:rsidRPr="002D354B">
        <w:t xml:space="preserve">Moorebank Intermodal Company (MIC) and SIMTA, </w:t>
      </w:r>
      <w:r w:rsidRPr="00EA0B3B">
        <w:rPr>
          <w:i/>
        </w:rPr>
        <w:t>Government approves MIC and SIMTA agreement to develop and operate Moorebank Intermodal Terminal</w:t>
      </w:r>
      <w:r w:rsidRPr="002D354B">
        <w:t>, 4 June 2015.</w:t>
      </w:r>
    </w:p>
  </w:footnote>
  <w:footnote w:id="80">
    <w:p w:rsidR="00C32528" w:rsidRDefault="00C32528" w:rsidP="00E71BFF">
      <w:pPr>
        <w:pStyle w:val="FootnoteText"/>
      </w:pPr>
      <w:r>
        <w:rPr>
          <w:rStyle w:val="FootnoteReference"/>
        </w:rPr>
        <w:footnoteRef/>
      </w:r>
      <w:r>
        <w:t xml:space="preserve"> </w:t>
      </w:r>
      <w:r>
        <w:tab/>
      </w:r>
      <w:proofErr w:type="gramStart"/>
      <w:r w:rsidRPr="000A608F">
        <w:t xml:space="preserve">Australian Government, </w:t>
      </w:r>
      <w:r w:rsidRPr="00D27AA9">
        <w:rPr>
          <w:i/>
        </w:rPr>
        <w:t>Information Paper – Moorebank Intermodal Terminal Project</w:t>
      </w:r>
      <w:r>
        <w:t>, October 2011, pp.8-</w:t>
      </w:r>
      <w:r w:rsidRPr="000A608F">
        <w:t>9.</w:t>
      </w:r>
      <w:proofErr w:type="gramEnd"/>
    </w:p>
  </w:footnote>
  <w:footnote w:id="81">
    <w:p w:rsidR="00C32528" w:rsidRDefault="00C32528" w:rsidP="00E71BFF">
      <w:pPr>
        <w:pStyle w:val="FootnoteText"/>
      </w:pPr>
      <w:r>
        <w:rPr>
          <w:rStyle w:val="FootnoteReference"/>
        </w:rPr>
        <w:footnoteRef/>
      </w:r>
      <w:r>
        <w:t xml:space="preserve"> </w:t>
      </w:r>
      <w:r>
        <w:tab/>
      </w:r>
      <w:r w:rsidRPr="00630CF8">
        <w:t xml:space="preserve">Asciano, </w:t>
      </w:r>
      <w:r w:rsidRPr="00D27AA9">
        <w:rPr>
          <w:i/>
        </w:rPr>
        <w:t>Pacific National doubles Sydney intermodal terminal capacity with new RMG cranes</w:t>
      </w:r>
      <w:r w:rsidRPr="00630CF8">
        <w:t xml:space="preserve">, media release, 27 February 2015, http://asciano.com.au/news/articles/news/a/pacific-national-doubles-sydney-intermodal-terminal-capacity-with-new-rmg-cranes, </w:t>
      </w:r>
      <w:proofErr w:type="gramStart"/>
      <w:r w:rsidRPr="00630CF8">
        <w:t>accessed</w:t>
      </w:r>
      <w:proofErr w:type="gramEnd"/>
      <w:r w:rsidRPr="00630CF8">
        <w:t xml:space="preserve"> 12/8/15.</w:t>
      </w:r>
    </w:p>
  </w:footnote>
  <w:footnote w:id="82">
    <w:p w:rsidR="00C32528" w:rsidRDefault="00C32528" w:rsidP="00E71BFF">
      <w:pPr>
        <w:pStyle w:val="FootnoteText"/>
      </w:pPr>
      <w:r>
        <w:rPr>
          <w:rStyle w:val="FootnoteReference"/>
        </w:rPr>
        <w:footnoteRef/>
      </w:r>
      <w:r>
        <w:t xml:space="preserve"> </w:t>
      </w:r>
      <w:r>
        <w:tab/>
      </w:r>
      <w:r w:rsidRPr="00630CF8">
        <w:t xml:space="preserve">White </w:t>
      </w:r>
      <w:proofErr w:type="gramStart"/>
      <w:r w:rsidRPr="00630CF8">
        <w:t>A</w:t>
      </w:r>
      <w:proofErr w:type="gramEnd"/>
      <w:r w:rsidRPr="00630CF8">
        <w:t xml:space="preserve">, </w:t>
      </w:r>
      <w:r w:rsidRPr="00D27AA9">
        <w:rPr>
          <w:i/>
        </w:rPr>
        <w:t>Ports boss quits as new tenant scales back</w:t>
      </w:r>
      <w:r w:rsidRPr="00630CF8">
        <w:t xml:space="preserve">, </w:t>
      </w:r>
      <w:r w:rsidRPr="001B2097">
        <w:t>The Australian</w:t>
      </w:r>
      <w:r w:rsidRPr="00630CF8">
        <w:t>, 7 August 2015, p.20.</w:t>
      </w:r>
    </w:p>
  </w:footnote>
  <w:footnote w:id="83">
    <w:p w:rsidR="00C32528" w:rsidRDefault="00C32528" w:rsidP="00E71BFF">
      <w:pPr>
        <w:pStyle w:val="FootnoteText"/>
      </w:pPr>
      <w:r>
        <w:rPr>
          <w:rStyle w:val="FootnoteReference"/>
        </w:rPr>
        <w:footnoteRef/>
      </w:r>
      <w:r>
        <w:t xml:space="preserve"> </w:t>
      </w:r>
      <w:r>
        <w:tab/>
      </w:r>
      <w:proofErr w:type="gramStart"/>
      <w:r>
        <w:t xml:space="preserve">DP World and Toll, </w:t>
      </w:r>
      <w:r w:rsidRPr="00D27AA9">
        <w:rPr>
          <w:i/>
        </w:rPr>
        <w:t>Toll Group and DP World Australia in talks to set up new Joint Venture</w:t>
      </w:r>
      <w:r>
        <w:t>, media release, 28 July 2015.</w:t>
      </w:r>
      <w:proofErr w:type="gramEnd"/>
    </w:p>
  </w:footnote>
  <w:footnote w:id="84">
    <w:p w:rsidR="00C32528" w:rsidRDefault="00C32528" w:rsidP="00E71BFF">
      <w:pPr>
        <w:pStyle w:val="FootnoteText"/>
      </w:pPr>
      <w:r>
        <w:rPr>
          <w:rStyle w:val="FootnoteReference"/>
        </w:rPr>
        <w:footnoteRef/>
      </w:r>
      <w:r>
        <w:t xml:space="preserve"> </w:t>
      </w:r>
      <w:r>
        <w:tab/>
        <w:t xml:space="preserve">The Hon Warren Truss MP, </w:t>
      </w:r>
      <w:r w:rsidRPr="00D27AA9">
        <w:rPr>
          <w:i/>
        </w:rPr>
        <w:t>Speech to Shipping Australia</w:t>
      </w:r>
      <w:r>
        <w:t xml:space="preserve">, 20 May 2015, </w:t>
      </w:r>
      <w:hyperlink r:id="rId15" w:history="1">
        <w:r w:rsidRPr="00CA1A3C">
          <w:rPr>
            <w:rStyle w:val="Hyperlink"/>
            <w:sz w:val="16"/>
          </w:rPr>
          <w:t>http://minister.infrastructure.gov.au/wt/speeches/2015/wts007_2015.aspx</w:t>
        </w:r>
      </w:hyperlink>
      <w:r>
        <w:t>, accessed 9 July 2015.</w:t>
      </w:r>
    </w:p>
  </w:footnote>
  <w:footnote w:id="85">
    <w:p w:rsidR="00C32528" w:rsidRPr="00E87883" w:rsidRDefault="00C32528" w:rsidP="00E87883">
      <w:pPr>
        <w:pStyle w:val="FootnoteText"/>
      </w:pPr>
      <w:r>
        <w:rPr>
          <w:rStyle w:val="FootnoteReference"/>
        </w:rPr>
        <w:footnoteRef/>
      </w:r>
      <w:r>
        <w:t xml:space="preserve"> </w:t>
      </w:r>
      <w:r>
        <w:tab/>
        <w:t xml:space="preserve">The Hon Warren Truss MP, </w:t>
      </w:r>
      <w:r w:rsidRPr="00EA0B3B">
        <w:rPr>
          <w:i/>
        </w:rPr>
        <w:t>Shipping Legislation Amendment Bill 2015 - Second Reading</w:t>
      </w:r>
      <w:r w:rsidRPr="00EA0B3B">
        <w:t xml:space="preserve">, 25 June 2015. </w:t>
      </w:r>
    </w:p>
  </w:footnote>
  <w:footnote w:id="86">
    <w:p w:rsidR="00C32528" w:rsidRDefault="00C32528" w:rsidP="00E71BFF">
      <w:pPr>
        <w:pStyle w:val="FootnoteText"/>
      </w:pPr>
      <w:r>
        <w:rPr>
          <w:rStyle w:val="FootnoteReference"/>
        </w:rPr>
        <w:footnoteRef/>
      </w:r>
      <w:r>
        <w:t xml:space="preserve"> </w:t>
      </w:r>
      <w:r>
        <w:tab/>
        <w:t xml:space="preserve">Shipping Australia, </w:t>
      </w:r>
      <w:r w:rsidRPr="00D27AA9">
        <w:rPr>
          <w:i/>
        </w:rPr>
        <w:t>New life for coastal shipping – reversing the rot</w:t>
      </w:r>
      <w:r>
        <w:t xml:space="preserve">, media release, 21 May 2015, </w:t>
      </w:r>
      <w:hyperlink r:id="rId16" w:history="1">
        <w:r w:rsidRPr="00CA1A3C">
          <w:rPr>
            <w:rStyle w:val="Hyperlink"/>
            <w:sz w:val="16"/>
          </w:rPr>
          <w:t>https://shippingaustralia.com.au/new-life-for-coastal-shipping-reversing-the-rot/</w:t>
        </w:r>
      </w:hyperlink>
      <w:r>
        <w:t>, accessed 9 July 2015.</w:t>
      </w:r>
    </w:p>
  </w:footnote>
  <w:footnote w:id="87">
    <w:p w:rsidR="00C32528" w:rsidRDefault="00C32528" w:rsidP="00E71BFF">
      <w:pPr>
        <w:pStyle w:val="FootnoteText"/>
      </w:pPr>
      <w:r>
        <w:rPr>
          <w:rStyle w:val="FootnoteReference"/>
        </w:rPr>
        <w:footnoteRef/>
      </w:r>
      <w:r>
        <w:t xml:space="preserve"> </w:t>
      </w:r>
      <w:r>
        <w:tab/>
        <w:t xml:space="preserve">For example, see Martin Parkinson (Secretary of Treasury), </w:t>
      </w:r>
      <w:r w:rsidRPr="002F692F">
        <w:rPr>
          <w:i/>
        </w:rPr>
        <w:t>Fiscal sustainability &amp; living standards — the decade ahead</w:t>
      </w:r>
      <w:r>
        <w:t>, Speech to the Sydney Institute, Sydney, 2 April 2014.</w:t>
      </w:r>
    </w:p>
  </w:footnote>
  <w:footnote w:id="88">
    <w:p w:rsidR="00C32528" w:rsidRDefault="00C32528" w:rsidP="00E71BFF">
      <w:pPr>
        <w:pStyle w:val="FootnoteText"/>
      </w:pPr>
      <w:r>
        <w:rPr>
          <w:rStyle w:val="FootnoteReference"/>
        </w:rPr>
        <w:footnoteRef/>
      </w:r>
      <w:r>
        <w:t xml:space="preserve"> </w:t>
      </w:r>
      <w:r>
        <w:tab/>
      </w:r>
      <w:r w:rsidRPr="00171C2F">
        <w:t xml:space="preserve">Infrastructure Australia, </w:t>
      </w:r>
      <w:r w:rsidRPr="00D27AA9">
        <w:rPr>
          <w:i/>
        </w:rPr>
        <w:t>Australian Infrastructure Audit: Our infrastructure challenges</w:t>
      </w:r>
      <w:r w:rsidRPr="00171C2F">
        <w:t xml:space="preserve">, April 2015, p.42. </w:t>
      </w:r>
      <w:r>
        <w:t xml:space="preserve">Infrastructure Australia </w:t>
      </w:r>
      <w:r w:rsidRPr="00171C2F">
        <w:t>noted that “Australians expect the nation’s infrastructure to sustain and improve current living standards and quality of life” (p.16).</w:t>
      </w:r>
    </w:p>
  </w:footnote>
  <w:footnote w:id="89">
    <w:p w:rsidR="00C32528" w:rsidRDefault="00C32528" w:rsidP="00E71BFF">
      <w:pPr>
        <w:pStyle w:val="FootnoteText"/>
      </w:pPr>
      <w:r>
        <w:rPr>
          <w:rStyle w:val="FootnoteReference"/>
        </w:rPr>
        <w:footnoteRef/>
      </w:r>
      <w:r>
        <w:t xml:space="preserve"> </w:t>
      </w:r>
      <w:r>
        <w:tab/>
      </w:r>
      <w:r w:rsidRPr="00171C2F">
        <w:t xml:space="preserve">Infrastructure Australia, </w:t>
      </w:r>
      <w:r w:rsidRPr="00D27AA9">
        <w:rPr>
          <w:i/>
        </w:rPr>
        <w:t>Australian Infrastructure Audit: Our infrastructure challenges</w:t>
      </w:r>
      <w:r w:rsidRPr="00171C2F">
        <w:t>, April 2015, p.52.</w:t>
      </w:r>
    </w:p>
  </w:footnote>
  <w:footnote w:id="90">
    <w:p w:rsidR="00C32528" w:rsidRDefault="00C32528" w:rsidP="00E71BFF">
      <w:pPr>
        <w:pStyle w:val="FootnoteText"/>
      </w:pPr>
      <w:r>
        <w:rPr>
          <w:rStyle w:val="FootnoteReference"/>
        </w:rPr>
        <w:footnoteRef/>
      </w:r>
      <w:r>
        <w:t xml:space="preserve"> </w:t>
      </w:r>
      <w:r>
        <w:tab/>
      </w:r>
      <w:proofErr w:type="gramStart"/>
      <w:r>
        <w:t xml:space="preserve">Productivity Commission, </w:t>
      </w:r>
      <w:r w:rsidRPr="002F692F">
        <w:rPr>
          <w:i/>
        </w:rPr>
        <w:t>PC Productivity Update</w:t>
      </w:r>
      <w:r w:rsidRPr="002F692F">
        <w:t xml:space="preserve">, </w:t>
      </w:r>
      <w:r>
        <w:t xml:space="preserve">July 2015, </w:t>
      </w:r>
      <w:r w:rsidRPr="002F692F">
        <w:t>p.34.</w:t>
      </w:r>
      <w:proofErr w:type="gramEnd"/>
    </w:p>
  </w:footnote>
  <w:footnote w:id="91">
    <w:p w:rsidR="00C32528" w:rsidRDefault="00C32528" w:rsidP="00E71BFF">
      <w:pPr>
        <w:pStyle w:val="FootnoteText"/>
      </w:pPr>
      <w:r>
        <w:rPr>
          <w:rStyle w:val="FootnoteReference"/>
        </w:rPr>
        <w:footnoteRef/>
      </w:r>
      <w:r>
        <w:t xml:space="preserve"> </w:t>
      </w:r>
      <w:r>
        <w:tab/>
      </w:r>
      <w:proofErr w:type="gramStart"/>
      <w:r w:rsidRPr="00171C2F">
        <w:t xml:space="preserve">Productivity Commission, </w:t>
      </w:r>
      <w:r w:rsidRPr="00D27AA9">
        <w:rPr>
          <w:i/>
        </w:rPr>
        <w:t>Public Infrastructure – Inquiry Report</w:t>
      </w:r>
      <w:r w:rsidRPr="00171C2F">
        <w:t>, 14 July 2014, p.75.</w:t>
      </w:r>
      <w:proofErr w:type="gramEnd"/>
    </w:p>
  </w:footnote>
  <w:footnote w:id="92">
    <w:p w:rsidR="00C32528" w:rsidRDefault="00C32528" w:rsidP="00E71BFF">
      <w:pPr>
        <w:pStyle w:val="FootnoteText"/>
      </w:pPr>
      <w:r>
        <w:rPr>
          <w:rStyle w:val="FootnoteReference"/>
        </w:rPr>
        <w:footnoteRef/>
      </w:r>
      <w:r>
        <w:t xml:space="preserve"> </w:t>
      </w:r>
      <w:r>
        <w:tab/>
        <w:t xml:space="preserve">Premier of Victoria 2015, </w:t>
      </w:r>
      <w:r w:rsidRPr="0085420B">
        <w:rPr>
          <w:i/>
        </w:rPr>
        <w:t xml:space="preserve">Building Better Infrastructure </w:t>
      </w:r>
      <w:proofErr w:type="gramStart"/>
      <w:r w:rsidRPr="0085420B">
        <w:rPr>
          <w:i/>
        </w:rPr>
        <w:t>For Jobs And</w:t>
      </w:r>
      <w:proofErr w:type="gramEnd"/>
      <w:r w:rsidRPr="0085420B">
        <w:rPr>
          <w:i/>
        </w:rPr>
        <w:t xml:space="preserve"> Growth</w:t>
      </w:r>
      <w:r>
        <w:t>, media release, 3 September 2015.</w:t>
      </w:r>
    </w:p>
  </w:footnote>
  <w:footnote w:id="93">
    <w:p w:rsidR="00C32528" w:rsidRDefault="00C32528" w:rsidP="00BA7D10">
      <w:pPr>
        <w:pStyle w:val="FootnoteText"/>
      </w:pPr>
      <w:r>
        <w:rPr>
          <w:rStyle w:val="FootnoteReference"/>
        </w:rPr>
        <w:footnoteRef/>
      </w:r>
      <w:r>
        <w:t xml:space="preserve"> </w:t>
      </w:r>
      <w:r>
        <w:tab/>
      </w:r>
      <w:r w:rsidRPr="00E21667">
        <w:t>Shangha</w:t>
      </w:r>
      <w:r>
        <w:t xml:space="preserve">i International </w:t>
      </w:r>
      <w:proofErr w:type="gramStart"/>
      <w:r>
        <w:t>Port(</w:t>
      </w:r>
      <w:proofErr w:type="gramEnd"/>
      <w:r>
        <w:t xml:space="preserve">Group) Co. </w:t>
      </w:r>
      <w:r w:rsidRPr="00E21667">
        <w:t>Ltd</w:t>
      </w:r>
      <w:r>
        <w:t xml:space="preserve">, </w:t>
      </w:r>
      <w:hyperlink r:id="rId17" w:history="1">
        <w:r w:rsidRPr="00E05DB8">
          <w:rPr>
            <w:rStyle w:val="Hyperlink"/>
            <w:sz w:val="16"/>
          </w:rPr>
          <w:t>http://www.portshanghai.com.cn/en/channel1/channel11.html</w:t>
        </w:r>
      </w:hyperlink>
      <w:r>
        <w:t xml:space="preserve"> (accessed 9/10/2015).</w:t>
      </w:r>
    </w:p>
  </w:footnote>
  <w:footnote w:id="94">
    <w:p w:rsidR="00C32528" w:rsidRPr="00582A91" w:rsidRDefault="00C32528">
      <w:pPr>
        <w:pStyle w:val="FootnoteText"/>
        <w:rPr>
          <w:lang w:val="en-US"/>
        </w:rPr>
      </w:pPr>
      <w:r>
        <w:rPr>
          <w:rStyle w:val="FootnoteReference"/>
        </w:rPr>
        <w:footnoteRef/>
      </w:r>
      <w:r>
        <w:t xml:space="preserve"> </w:t>
      </w:r>
      <w:r>
        <w:tab/>
      </w:r>
      <w:r w:rsidRPr="00582A91">
        <w:t>The net crane rate is measured by dividing total number of containers</w:t>
      </w:r>
      <w:r>
        <w:t xml:space="preserve"> or TEUs</w:t>
      </w:r>
      <w:r w:rsidRPr="00582A91">
        <w:t xml:space="preserve"> handled by the elapsed crane time. The elapsed crane time is the crane time allocated by the stevedores. It is computed as the total allocated crane hours less operational and non-operational delays. See BITRE, </w:t>
      </w:r>
      <w:proofErr w:type="gramStart"/>
      <w:r w:rsidRPr="00D20B8C">
        <w:rPr>
          <w:i/>
        </w:rPr>
        <w:t>Waterline</w:t>
      </w:r>
      <w:r w:rsidRPr="00582A91">
        <w:t>,</w:t>
      </w:r>
      <w:proofErr w:type="gramEnd"/>
      <w:r w:rsidRPr="00582A91">
        <w:t xml:space="preserve"> issue no. 5</w:t>
      </w:r>
      <w:r>
        <w:t>6, p.21 for further information</w:t>
      </w:r>
      <w:r w:rsidRPr="00582A91">
        <w:t>.</w:t>
      </w:r>
    </w:p>
  </w:footnote>
  <w:footnote w:id="95">
    <w:p w:rsidR="00C32528" w:rsidRPr="00D20B8C" w:rsidRDefault="00C32528" w:rsidP="00D20B8C">
      <w:pPr>
        <w:pStyle w:val="FootnoteText"/>
      </w:pPr>
      <w:r>
        <w:rPr>
          <w:rStyle w:val="FootnoteReference"/>
        </w:rPr>
        <w:footnoteRef/>
      </w:r>
      <w:r>
        <w:t xml:space="preserve"> </w:t>
      </w:r>
      <w:r>
        <w:tab/>
        <w:t xml:space="preserve">The elapsed labour rate is computed as the number of containers handled divided by the elapsed labour time. The elapsed labour time is the elapsed time between labour first boarding the ship and labour last leaving the ship, less any time when the labour has not worked for whatever reasons including non-operational delays. See BITRE, </w:t>
      </w:r>
      <w:proofErr w:type="gramStart"/>
      <w:r w:rsidRPr="00D20B8C">
        <w:rPr>
          <w:i/>
        </w:rPr>
        <w:t>Waterline</w:t>
      </w:r>
      <w:r>
        <w:t>,</w:t>
      </w:r>
      <w:proofErr w:type="gramEnd"/>
      <w:r>
        <w:t xml:space="preserve"> issue no. 56, p.22 for further information.</w:t>
      </w:r>
    </w:p>
  </w:footnote>
  <w:footnote w:id="96">
    <w:p w:rsidR="00C32528" w:rsidRPr="00D20B8C" w:rsidRDefault="00C32528" w:rsidP="009E01AF">
      <w:pPr>
        <w:pStyle w:val="FootnoteText"/>
        <w:rPr>
          <w:lang w:val="en-US"/>
        </w:rPr>
      </w:pPr>
      <w:r>
        <w:rPr>
          <w:rStyle w:val="FootnoteReference"/>
        </w:rPr>
        <w:footnoteRef/>
      </w:r>
      <w:r>
        <w:t xml:space="preserve"> </w:t>
      </w:r>
      <w:r>
        <w:tab/>
      </w:r>
      <w:r w:rsidRPr="00D20B8C">
        <w:t xml:space="preserve">The ship rate is </w:t>
      </w:r>
      <w:r>
        <w:t xml:space="preserve">calculated by multiplying the net crane rate by crane intensity. Crane intensity is defined as the total number of allocated crane hours divided by the elapsed time from labour first boarding the ship to labour last leaving the ship. </w:t>
      </w:r>
      <w:r w:rsidRPr="00D20B8C">
        <w:t xml:space="preserve">See BITRE </w:t>
      </w:r>
      <w:r w:rsidRPr="00D20B8C">
        <w:rPr>
          <w:i/>
        </w:rPr>
        <w:t>Waterline</w:t>
      </w:r>
      <w:r>
        <w:t xml:space="preserve"> publications</w:t>
      </w:r>
      <w:r w:rsidRPr="00D20B8C">
        <w:t>.</w:t>
      </w:r>
      <w:r>
        <w:t xml:space="preserve"> </w:t>
      </w:r>
    </w:p>
  </w:footnote>
  <w:footnote w:id="97">
    <w:p w:rsidR="00C32528" w:rsidRPr="00CC6101" w:rsidRDefault="00C32528">
      <w:pPr>
        <w:pStyle w:val="FootnoteText"/>
      </w:pPr>
      <w:r>
        <w:rPr>
          <w:rStyle w:val="FootnoteReference"/>
        </w:rPr>
        <w:footnoteRef/>
      </w:r>
      <w:r>
        <w:t xml:space="preserve"> </w:t>
      </w:r>
      <w:r>
        <w:tab/>
      </w:r>
      <w:proofErr w:type="spellStart"/>
      <w:r>
        <w:t>Changarathil</w:t>
      </w:r>
      <w:proofErr w:type="spellEnd"/>
      <w:r>
        <w:t xml:space="preserve"> V, </w:t>
      </w:r>
      <w:r w:rsidRPr="00D27AA9">
        <w:rPr>
          <w:i/>
        </w:rPr>
        <w:t>Big lift in crane drivers’ training</w:t>
      </w:r>
      <w:r>
        <w:t>,</w:t>
      </w:r>
      <w:r w:rsidRPr="00D519DE">
        <w:t xml:space="preserve"> </w:t>
      </w:r>
      <w:r w:rsidRPr="00D27AA9">
        <w:t>Adelaide Advertiser</w:t>
      </w:r>
      <w:r>
        <w:t>, 14 July 2015, p.32.</w:t>
      </w:r>
    </w:p>
  </w:footnote>
  <w:footnote w:id="98">
    <w:p w:rsidR="00C32528" w:rsidRDefault="00C32528" w:rsidP="00F60095">
      <w:pPr>
        <w:pStyle w:val="FootnoteText"/>
      </w:pPr>
      <w:r>
        <w:rPr>
          <w:rStyle w:val="FootnoteReference"/>
        </w:rPr>
        <w:footnoteRef/>
      </w:r>
      <w:r>
        <w:t xml:space="preserve"> </w:t>
      </w:r>
      <w:r>
        <w:tab/>
      </w:r>
      <w:proofErr w:type="gramStart"/>
      <w:r w:rsidRPr="00D007FA">
        <w:t xml:space="preserve">Smith S, </w:t>
      </w:r>
      <w:r w:rsidRPr="00D007FA">
        <w:rPr>
          <w:i/>
        </w:rPr>
        <w:t xml:space="preserve">Heat on for </w:t>
      </w:r>
      <w:proofErr w:type="spellStart"/>
      <w:r w:rsidRPr="00D007FA">
        <w:rPr>
          <w:i/>
        </w:rPr>
        <w:t>Freo</w:t>
      </w:r>
      <w:proofErr w:type="spellEnd"/>
      <w:r w:rsidRPr="00D007FA">
        <w:rPr>
          <w:i/>
        </w:rPr>
        <w:t xml:space="preserve"> container trade</w:t>
      </w:r>
      <w:r>
        <w:t>, The West Australian, 28 January</w:t>
      </w:r>
      <w:r w:rsidRPr="00DA65EE">
        <w:t xml:space="preserve"> 2015</w:t>
      </w:r>
      <w:r>
        <w:t>.</w:t>
      </w:r>
      <w:proofErr w:type="gramEnd"/>
      <w:r>
        <w:t xml:space="preserve"> </w:t>
      </w:r>
    </w:p>
  </w:footnote>
  <w:footnote w:id="99">
    <w:p w:rsidR="00C32528" w:rsidRDefault="00C32528" w:rsidP="007A73BA">
      <w:pPr>
        <w:pStyle w:val="FootnoteText"/>
        <w:ind w:left="113" w:hanging="113"/>
      </w:pPr>
      <w:r>
        <w:rPr>
          <w:rStyle w:val="FootnoteReference"/>
        </w:rPr>
        <w:footnoteRef/>
      </w:r>
      <w:r>
        <w:t xml:space="preserve"> The term ‘other or ancillary activities’ refers to all activities other than the container stevedoring activity, including activities such as break-bulk, berth hire, container storage and reposition, penalties, and services provided to the Australian Customs </w:t>
      </w:r>
      <w:r w:rsidRPr="00D160AD">
        <w:t xml:space="preserve">and Border Protection </w:t>
      </w:r>
      <w:r>
        <w:t>Service as part of the container examination facilities program.</w:t>
      </w:r>
    </w:p>
  </w:footnote>
  <w:footnote w:id="100">
    <w:p w:rsidR="00C32528" w:rsidRDefault="00C32528" w:rsidP="0027729A">
      <w:pPr>
        <w:pStyle w:val="FootnoteText"/>
        <w:ind w:left="0" w:firstLine="0"/>
      </w:pPr>
      <w:r>
        <w:rPr>
          <w:rStyle w:val="FootnoteReference"/>
        </w:rPr>
        <w:footnoteRef/>
      </w:r>
      <w:r>
        <w:t xml:space="preserve"> </w:t>
      </w:r>
      <w:proofErr w:type="gramStart"/>
      <w:r>
        <w:t xml:space="preserve">ACS, </w:t>
      </w:r>
      <w:r>
        <w:rPr>
          <w:i/>
        </w:rPr>
        <w:t>Annual report 2013-</w:t>
      </w:r>
      <w:r w:rsidRPr="00EA0B3B">
        <w:t>14</w:t>
      </w:r>
      <w:r>
        <w:t>, p.198.</w:t>
      </w:r>
      <w:proofErr w:type="gramEnd"/>
      <w:r>
        <w:t xml:space="preserve"> </w:t>
      </w:r>
      <w:r w:rsidRPr="004B61E5">
        <w:t>The</w:t>
      </w:r>
      <w:r w:rsidRPr="0027729A">
        <w:t xml:space="preserve"> ACCC understands that the first ACS CEF began in November 2002. A published breakdown of the number of </w:t>
      </w:r>
      <w:r>
        <w:t>TEUs</w:t>
      </w:r>
      <w:r w:rsidRPr="0027729A">
        <w:t xml:space="preserve"> examined by the ACS through the CEF system is publicly available from its annual reports published from 2003–04 onwards. ACS annual reports can be downloaded from </w:t>
      </w:r>
      <w:hyperlink r:id="rId18" w:history="1">
        <w:r w:rsidRPr="004F0FBB">
          <w:rPr>
            <w:rStyle w:val="Hyperlink"/>
            <w:sz w:val="16"/>
          </w:rPr>
          <w:t>www.border.gov.a</w:t>
        </w:r>
        <w:r w:rsidRPr="00304549">
          <w:rPr>
            <w:rStyle w:val="Hyperlink"/>
            <w:sz w:val="16"/>
          </w:rPr>
          <w:t>u</w:t>
        </w:r>
      </w:hyperlink>
      <w:r w:rsidRPr="0027729A">
        <w:t xml:space="preserve">. At the time the ACCC finalised this monitoring report, the ACS annual report for </w:t>
      </w:r>
      <w:r>
        <w:t>2014–15</w:t>
      </w:r>
      <w:r w:rsidRPr="0027729A">
        <w:t xml:space="preserve"> was not publicly available.</w:t>
      </w:r>
    </w:p>
  </w:footnote>
  <w:footnote w:id="101">
    <w:p w:rsidR="00C32528" w:rsidRDefault="00C32528">
      <w:pPr>
        <w:pStyle w:val="FootnoteText"/>
      </w:pPr>
      <w:r>
        <w:rPr>
          <w:rStyle w:val="FootnoteReference"/>
        </w:rPr>
        <w:footnoteRef/>
      </w:r>
      <w:r>
        <w:t xml:space="preserve"> </w:t>
      </w:r>
      <w:r>
        <w:tab/>
      </w:r>
      <w:r w:rsidRPr="00A13CCE">
        <w:t xml:space="preserve">ACCC calculation based on Asciano’s </w:t>
      </w:r>
      <w:r w:rsidRPr="00D27AA9">
        <w:rPr>
          <w:i/>
        </w:rPr>
        <w:t>Full Year Report</w:t>
      </w:r>
      <w:r w:rsidRPr="00A13CCE">
        <w:t xml:space="preserve"> for the year ended 30 June 2015, p</w:t>
      </w:r>
      <w:r>
        <w:t>p</w:t>
      </w:r>
      <w:r w:rsidRPr="00A13CCE">
        <w:t>.44</w:t>
      </w:r>
      <w:proofErr w:type="gramStart"/>
      <w:r>
        <w:t>,</w:t>
      </w:r>
      <w:r w:rsidRPr="00A13CCE">
        <w:t>59</w:t>
      </w:r>
      <w:proofErr w:type="gramEnd"/>
      <w:r w:rsidRPr="00A13CCE">
        <w:t>.</w:t>
      </w:r>
    </w:p>
  </w:footnote>
  <w:footnote w:id="102">
    <w:p w:rsidR="00C32528" w:rsidRDefault="00C32528">
      <w:pPr>
        <w:pStyle w:val="FootnoteText"/>
      </w:pPr>
      <w:r>
        <w:rPr>
          <w:rStyle w:val="FootnoteReference"/>
        </w:rPr>
        <w:footnoteRef/>
      </w:r>
      <w:r>
        <w:t xml:space="preserve"> </w:t>
      </w:r>
      <w:r>
        <w:tab/>
      </w:r>
      <w:r w:rsidRPr="00C42F6B">
        <w:t>Other costs are not shown separately in table C.1 in appendix C, but are included in the total cost index and also in industry-wide data presented in figures 3.</w:t>
      </w:r>
      <w:r>
        <w:t>5</w:t>
      </w:r>
      <w:r w:rsidRPr="00C42F6B">
        <w:t xml:space="preserve"> and 3.</w:t>
      </w:r>
      <w:r>
        <w:t>6</w:t>
      </w:r>
      <w:r w:rsidRPr="00C42F6B">
        <w:t>.</w:t>
      </w:r>
    </w:p>
  </w:footnote>
  <w:footnote w:id="103">
    <w:p w:rsidR="00C32528" w:rsidRDefault="00C32528" w:rsidP="004D543C">
      <w:pPr>
        <w:pStyle w:val="FootnoteText"/>
      </w:pPr>
      <w:r>
        <w:rPr>
          <w:rStyle w:val="FootnoteReference"/>
        </w:rPr>
        <w:footnoteRef/>
      </w:r>
      <w:r>
        <w:t xml:space="preserve"> </w:t>
      </w:r>
      <w:r>
        <w:tab/>
        <w:t xml:space="preserve">DP World Australia’s accounting practices are such that, while revenues are broken down on the basis of container-specific activity at its terminals, costs are not. Therefore, DP World Australia’s general cost data relates to stevedoring and other activities at its respective terminals.  </w:t>
      </w:r>
      <w:r>
        <w:tab/>
      </w:r>
    </w:p>
  </w:footnote>
  <w:footnote w:id="104">
    <w:p w:rsidR="00C32528" w:rsidRDefault="00C32528">
      <w:pPr>
        <w:pStyle w:val="FootnoteText"/>
      </w:pPr>
      <w:r>
        <w:rPr>
          <w:rStyle w:val="FootnoteReference"/>
        </w:rPr>
        <w:footnoteRef/>
      </w:r>
      <w:r>
        <w:t xml:space="preserve"> </w:t>
      </w:r>
      <w:r>
        <w:tab/>
        <w:t>Other costs are not shown separately in table C.2 in appendix C, but are included in the total cost index and also in industry-wide data presented in figures 3.5 and 3.6.</w:t>
      </w:r>
    </w:p>
  </w:footnote>
  <w:footnote w:id="105">
    <w:p w:rsidR="00C32528" w:rsidRDefault="00C32528" w:rsidP="00AD1BD2">
      <w:pPr>
        <w:pStyle w:val="FootnoteText"/>
      </w:pPr>
      <w:r>
        <w:rPr>
          <w:rStyle w:val="FootnoteReference"/>
        </w:rPr>
        <w:footnoteRef/>
      </w:r>
      <w:r>
        <w:t xml:space="preserve"> </w:t>
      </w:r>
      <w:r>
        <w:tab/>
        <w:t>Other costs are not shown separately in table C.3 in appendix C, but are included in the total cost index and also in industry-wide data presented in figures 3.5 and 3.6.</w:t>
      </w:r>
    </w:p>
  </w:footnote>
  <w:footnote w:id="106">
    <w:p w:rsidR="00C32528" w:rsidRDefault="00C32528">
      <w:pPr>
        <w:pStyle w:val="FootnoteText"/>
      </w:pPr>
      <w:r>
        <w:rPr>
          <w:rStyle w:val="FootnoteReference"/>
        </w:rPr>
        <w:footnoteRef/>
      </w:r>
      <w:r>
        <w:t xml:space="preserve"> </w:t>
      </w:r>
      <w:r>
        <w:tab/>
      </w:r>
      <w:r w:rsidRPr="000500C2">
        <w:t>In Australia, the Port of Adelaide is the only port at which the port manager has an ownership interest in the container stevedoring business</w:t>
      </w:r>
      <w:r>
        <w:t xml:space="preserve">—Flinders </w:t>
      </w:r>
      <w:r w:rsidRPr="000500C2">
        <w:t>Adelaide Container Terminal Pty Ltd. This container stevedoring business is wholly owned by Flinders Ports</w:t>
      </w:r>
      <w:r>
        <w:t>—</w:t>
      </w:r>
      <w:r w:rsidRPr="000500C2">
        <w:t xml:space="preserve">the port </w:t>
      </w:r>
      <w:r>
        <w:t>operator</w:t>
      </w:r>
      <w:r w:rsidRPr="000500C2">
        <w:t xml:space="preserve"> of the Port of Adelaide. Previously this business was owned under a joint venture between Flinders Ports and DP World Australia.</w:t>
      </w:r>
    </w:p>
  </w:footnote>
  <w:footnote w:id="107">
    <w:p w:rsidR="00C32528" w:rsidRDefault="00C32528">
      <w:pPr>
        <w:pStyle w:val="FootnoteText"/>
      </w:pPr>
      <w:r>
        <w:rPr>
          <w:rStyle w:val="FootnoteReference"/>
        </w:rPr>
        <w:footnoteRef/>
      </w:r>
      <w:r>
        <w:t xml:space="preserve"> </w:t>
      </w:r>
      <w:r>
        <w:tab/>
      </w:r>
      <w:r w:rsidRPr="000500C2">
        <w:t>Patrick Terminals and Logistics is a division of Asciano L</w:t>
      </w:r>
      <w:r>
        <w:t>td</w:t>
      </w:r>
      <w:r w:rsidRPr="000500C2">
        <w:t>.</w:t>
      </w:r>
    </w:p>
  </w:footnote>
  <w:footnote w:id="108">
    <w:p w:rsidR="00C32528" w:rsidRDefault="00C32528" w:rsidP="005607FC">
      <w:pPr>
        <w:pStyle w:val="FootnoteText"/>
      </w:pPr>
      <w:r>
        <w:rPr>
          <w:rStyle w:val="FootnoteReference"/>
        </w:rPr>
        <w:footnoteRef/>
      </w:r>
      <w:r>
        <w:t xml:space="preserve"> </w:t>
      </w:r>
      <w:r>
        <w:tab/>
      </w:r>
      <w:r w:rsidRPr="000500C2">
        <w:t>In January 2011, Citi Infrastructure and DP World Australia entered into a strategic partnership in which Citi holds a 75 per cent interest in DP World’s Australian container terminal operations.</w:t>
      </w:r>
    </w:p>
  </w:footnote>
  <w:footnote w:id="109">
    <w:p w:rsidR="00C32528" w:rsidRDefault="00C32528">
      <w:pPr>
        <w:pStyle w:val="FootnoteText"/>
      </w:pPr>
      <w:r>
        <w:rPr>
          <w:rStyle w:val="FootnoteReference"/>
        </w:rPr>
        <w:footnoteRef/>
      </w:r>
      <w:r>
        <w:t xml:space="preserve"> </w:t>
      </w:r>
      <w:r>
        <w:tab/>
        <w:t>Hutchison</w:t>
      </w:r>
      <w:r w:rsidRPr="000500C2">
        <w:t xml:space="preserve"> covers Brisbane Container Terminals Pty Ltd and Sydney International Container Terminals Pty Ltd. </w:t>
      </w:r>
      <w:r>
        <w:t>Hutchison</w:t>
      </w:r>
      <w:r w:rsidRPr="000500C2">
        <w:t xml:space="preserve"> is a member of the Hutchison Port Holdings Group.</w:t>
      </w:r>
    </w:p>
  </w:footnote>
  <w:footnote w:id="110">
    <w:p w:rsidR="00C32528" w:rsidRDefault="00C32528">
      <w:pPr>
        <w:pStyle w:val="FootnoteText"/>
      </w:pPr>
      <w:r>
        <w:rPr>
          <w:rStyle w:val="FootnoteReference"/>
        </w:rPr>
        <w:footnoteRef/>
      </w:r>
      <w:r>
        <w:t xml:space="preserve">    </w:t>
      </w:r>
      <w:r w:rsidRPr="00465FFD">
        <w:t xml:space="preserve">Previously, DP World Adelaide supplied stevedoring services, under a joint venture arrangement between DP World and Flinders Ports. However, in July 2012, Flinders Ports </w:t>
      </w:r>
      <w:r>
        <w:t>announced that it had acquired</w:t>
      </w:r>
      <w:r w:rsidRPr="00465FFD">
        <w:t xml:space="preserve"> DP World’s 60 per cent share of the business and became sole owner.</w:t>
      </w:r>
      <w:r>
        <w:t xml:space="preserve"> Three years prior, Flinders Ports had acquired a 40 per cent stake in the business.  </w:t>
      </w:r>
    </w:p>
  </w:footnote>
  <w:footnote w:id="111">
    <w:p w:rsidR="00C32528" w:rsidRPr="00F00AFF" w:rsidRDefault="00C32528">
      <w:pPr>
        <w:pStyle w:val="FootnoteText"/>
      </w:pPr>
      <w:r>
        <w:rPr>
          <w:rStyle w:val="FootnoteReference"/>
        </w:rPr>
        <w:footnoteRef/>
      </w:r>
      <w:r>
        <w:t xml:space="preserve"> </w:t>
      </w:r>
      <w:r>
        <w:tab/>
        <w:t xml:space="preserve">BITRE, </w:t>
      </w:r>
      <w:r>
        <w:rPr>
          <w:i/>
        </w:rPr>
        <w:t>Waterline</w:t>
      </w:r>
      <w:r>
        <w:t xml:space="preserve">, forthcoming publication no. </w:t>
      </w:r>
      <w:r w:rsidRPr="001920CE">
        <w:t>57</w:t>
      </w:r>
      <w:r>
        <w:t>.</w:t>
      </w:r>
    </w:p>
  </w:footnote>
  <w:footnote w:id="112">
    <w:p w:rsidR="00C32528" w:rsidRDefault="00C32528" w:rsidP="008575F2">
      <w:pPr>
        <w:pStyle w:val="FootnoteText"/>
      </w:pPr>
      <w:r w:rsidRPr="00CB67E9">
        <w:rPr>
          <w:rStyle w:val="FootnoteReference"/>
        </w:rPr>
        <w:footnoteRef/>
      </w:r>
      <w:r w:rsidRPr="00CB67E9">
        <w:t xml:space="preserve"> </w:t>
      </w:r>
      <w:r w:rsidRPr="00CB67E9">
        <w:tab/>
        <w:t>Sunk costs represent the investment made by firm which cannot be recovered. The level of sunk costs influences a decision a firm makes about whether to enter (or expand in) a market.</w:t>
      </w:r>
      <w:r>
        <w:t xml:space="preserve">  </w:t>
      </w:r>
    </w:p>
  </w:footnote>
  <w:footnote w:id="113">
    <w:p w:rsidR="00C32528" w:rsidRDefault="00C32528">
      <w:pPr>
        <w:pStyle w:val="FootnoteText"/>
      </w:pPr>
      <w:r>
        <w:rPr>
          <w:rStyle w:val="FootnoteReference"/>
        </w:rPr>
        <w:footnoteRef/>
      </w:r>
      <w:r>
        <w:t xml:space="preserve"> </w:t>
      </w:r>
      <w:r>
        <w:tab/>
      </w:r>
      <w:proofErr w:type="gramStart"/>
      <w:r w:rsidRPr="00F00AFF">
        <w:t xml:space="preserve">Productivity Commission, </w:t>
      </w:r>
      <w:r w:rsidRPr="00D27AA9">
        <w:rPr>
          <w:i/>
        </w:rPr>
        <w:t>Work arrangements in container stevedoring</w:t>
      </w:r>
      <w:r w:rsidRPr="00F00AFF">
        <w:t>, 1998, p.140.</w:t>
      </w:r>
      <w:proofErr w:type="gramEnd"/>
    </w:p>
  </w:footnote>
  <w:footnote w:id="114">
    <w:p w:rsidR="00C32528" w:rsidRDefault="00C32528"/>
  </w:footnote>
  <w:footnote w:id="115">
    <w:p w:rsidR="00C32528" w:rsidRDefault="00C32528" w:rsidP="001920CE">
      <w:pPr>
        <w:pStyle w:val="FootnoteText"/>
      </w:pPr>
      <w:r>
        <w:rPr>
          <w:rStyle w:val="FootnoteReference"/>
        </w:rPr>
        <w:footnoteRef/>
      </w:r>
      <w:r>
        <w:t xml:space="preserve"> </w:t>
      </w:r>
      <w:r>
        <w:tab/>
      </w:r>
      <w:r w:rsidRPr="00F00AFF">
        <w:t xml:space="preserve">“K” Line Australia Pty. Ltd., </w:t>
      </w:r>
      <w:r w:rsidRPr="00D27AA9">
        <w:rPr>
          <w:i/>
        </w:rPr>
        <w:t xml:space="preserve">Important Notice to “K” Line Container Trade Customers </w:t>
      </w:r>
      <w:proofErr w:type="gramStart"/>
      <w:r w:rsidRPr="00D27AA9">
        <w:rPr>
          <w:i/>
        </w:rPr>
        <w:t>To</w:t>
      </w:r>
      <w:proofErr w:type="gramEnd"/>
      <w:r w:rsidRPr="00D27AA9">
        <w:rPr>
          <w:i/>
        </w:rPr>
        <w:t xml:space="preserve"> / From Fremantle</w:t>
      </w:r>
      <w:r w:rsidRPr="00F00AFF">
        <w:t>, 1</w:t>
      </w:r>
      <w:r>
        <w:t> </w:t>
      </w:r>
      <w:r w:rsidRPr="00F00AFF">
        <w:t>January 2014.</w:t>
      </w:r>
    </w:p>
  </w:footnote>
  <w:footnote w:id="116">
    <w:p w:rsidR="00C32528" w:rsidRDefault="00C32528">
      <w:pPr>
        <w:pStyle w:val="FootnoteText"/>
      </w:pPr>
      <w:r>
        <w:rPr>
          <w:rStyle w:val="FootnoteReference"/>
        </w:rPr>
        <w:footnoteRef/>
      </w:r>
      <w:r>
        <w:t xml:space="preserve"> </w:t>
      </w:r>
      <w:r>
        <w:tab/>
        <w:t xml:space="preserve">Shaw D, </w:t>
      </w:r>
      <w:r w:rsidRPr="00D27AA9">
        <w:rPr>
          <w:i/>
        </w:rPr>
        <w:t>John Lines slams Patrick for “totally unsatisfactory” performance</w:t>
      </w:r>
      <w:r>
        <w:t>, Lloyd’s List Australia, 4 May 2015.</w:t>
      </w:r>
    </w:p>
  </w:footnote>
  <w:footnote w:id="117">
    <w:p w:rsidR="00C32528" w:rsidRDefault="00C32528">
      <w:pPr>
        <w:pStyle w:val="FootnoteText"/>
      </w:pPr>
      <w:r>
        <w:rPr>
          <w:rStyle w:val="FootnoteReference"/>
        </w:rPr>
        <w:footnoteRef/>
      </w:r>
      <w:r>
        <w:t xml:space="preserve"> </w:t>
      </w:r>
      <w:r>
        <w:tab/>
      </w:r>
      <w:r w:rsidRPr="00264D43">
        <w:t xml:space="preserve">Between </w:t>
      </w:r>
      <w:r>
        <w:t>2011–12</w:t>
      </w:r>
      <w:r w:rsidRPr="00264D43">
        <w:t xml:space="preserve"> and </w:t>
      </w:r>
      <w:r>
        <w:t>2014–15</w:t>
      </w:r>
      <w:r w:rsidRPr="00264D43">
        <w:t>, the ACCC’s monitoring program recorded no container stevedoring activity in Burnie because the sole stevedore at the port, Patrick, advised the ACCC that it had closed its operations in May 2011.</w:t>
      </w:r>
    </w:p>
  </w:footnote>
  <w:footnote w:id="118">
    <w:p w:rsidR="00C32528" w:rsidRDefault="00C32528">
      <w:pPr>
        <w:pStyle w:val="FootnoteText"/>
      </w:pPr>
      <w:r>
        <w:rPr>
          <w:rStyle w:val="FootnoteReference"/>
        </w:rPr>
        <w:footnoteRef/>
      </w:r>
      <w:r>
        <w:t xml:space="preserve"> </w:t>
      </w:r>
      <w:r>
        <w:tab/>
      </w:r>
      <w:r w:rsidRPr="00A00B2F">
        <w:t>The ACCC is provided with information to enable separate calculations of revenue per TEU on both 20-foot and 40-foot containers.</w:t>
      </w:r>
    </w:p>
  </w:footnote>
  <w:footnote w:id="119">
    <w:p w:rsidR="00C32528" w:rsidRDefault="00C32528">
      <w:pPr>
        <w:pStyle w:val="FootnoteText"/>
      </w:pPr>
      <w:r>
        <w:rPr>
          <w:rStyle w:val="FootnoteReference"/>
        </w:rPr>
        <w:footnoteRef/>
      </w:r>
      <w:r>
        <w:t xml:space="preserve"> </w:t>
      </w:r>
      <w:r>
        <w:tab/>
      </w:r>
      <w:r w:rsidRPr="00A00B2F">
        <w:t>In 1990, the Prices Surveillance Authority conducted a public inquiry into charges by the stevedoring and container depot industries.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A" w:rsidRDefault="00990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A" w:rsidRDefault="00990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A" w:rsidRDefault="00990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EB73523"/>
    <w:multiLevelType w:val="hybridMultilevel"/>
    <w:tmpl w:val="961A0CAC"/>
    <w:lvl w:ilvl="0" w:tplc="749E3A5A">
      <w:start w:val="1"/>
      <w:numFmt w:val="bullet"/>
      <w:pStyle w:val="Tabletextlist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58D6DF9"/>
    <w:multiLevelType w:val="multilevel"/>
    <w:tmpl w:val="9CD04B72"/>
    <w:lvl w:ilvl="0">
      <w:start w:val="1"/>
      <w:numFmt w:val="upperLetter"/>
      <w:pStyle w:val="Appendixheading1"/>
      <w:lvlText w:val="%1"/>
      <w:lvlJc w:val="left"/>
      <w:pPr>
        <w:tabs>
          <w:tab w:val="num" w:pos="958"/>
        </w:tabs>
        <w:ind w:left="958" w:hanging="958"/>
      </w:pPr>
      <w:rPr>
        <w:rFonts w:hint="default"/>
      </w:rPr>
    </w:lvl>
    <w:lvl w:ilvl="1">
      <w:start w:val="1"/>
      <w:numFmt w:val="decimal"/>
      <w:pStyle w:val="Appendixheading2"/>
      <w:lvlText w:val="%1.%2"/>
      <w:lvlJc w:val="left"/>
      <w:pPr>
        <w:tabs>
          <w:tab w:val="num" w:pos="958"/>
        </w:tabs>
        <w:ind w:left="958" w:hanging="958"/>
      </w:pPr>
      <w:rPr>
        <w:rFonts w:hint="default"/>
      </w:rPr>
    </w:lvl>
    <w:lvl w:ilvl="2">
      <w:start w:val="1"/>
      <w:numFmt w:val="decimal"/>
      <w:pStyle w:val="Appendixheading3"/>
      <w:lvlText w:val="%1.%2.%3"/>
      <w:lvlJc w:val="left"/>
      <w:pPr>
        <w:tabs>
          <w:tab w:val="num" w:pos="958"/>
        </w:tabs>
        <w:ind w:left="958" w:hanging="958"/>
      </w:pPr>
      <w:rPr>
        <w:rFonts w:hint="default"/>
      </w:rPr>
    </w:lvl>
    <w:lvl w:ilvl="3">
      <w:start w:val="1"/>
      <w:numFmt w:val="decimal"/>
      <w:pStyle w:val="Appendixheading4"/>
      <w:lvlText w:val="%1.%2.%3.%4"/>
      <w:lvlJc w:val="left"/>
      <w:pPr>
        <w:tabs>
          <w:tab w:val="num" w:pos="958"/>
        </w:tabs>
        <w:ind w:left="958" w:hanging="958"/>
      </w:pPr>
      <w:rPr>
        <w:rFonts w:hint="default"/>
      </w:rPr>
    </w:lvl>
    <w:lvl w:ilvl="4">
      <w:start w:val="1"/>
      <w:numFmt w:val="decimal"/>
      <w:lvlRestart w:val="1"/>
      <w:pStyle w:val="Appendixtabletitle"/>
      <w:lvlText w:val="Table %1.%5:"/>
      <w:lvlJc w:val="left"/>
      <w:pPr>
        <w:tabs>
          <w:tab w:val="num" w:pos="958"/>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7"/>
  </w:num>
  <w:num w:numId="11">
    <w:abstractNumId w:val="9"/>
  </w:num>
  <w:num w:numId="12">
    <w:abstractNumId w:val="14"/>
  </w:num>
  <w:num w:numId="13">
    <w:abstractNumId w:val="16"/>
  </w:num>
  <w:num w:numId="14">
    <w:abstractNumId w:val="2"/>
  </w:num>
  <w:num w:numId="15">
    <w:abstractNumId w:val="24"/>
  </w:num>
  <w:num w:numId="16">
    <w:abstractNumId w:val="27"/>
  </w:num>
  <w:num w:numId="17">
    <w:abstractNumId w:val="26"/>
  </w:num>
  <w:num w:numId="18">
    <w:abstractNumId w:val="20"/>
  </w:num>
  <w:num w:numId="19">
    <w:abstractNumId w:val="15"/>
  </w:num>
  <w:num w:numId="20">
    <w:abstractNumId w:val="18"/>
  </w:num>
  <w:num w:numId="21">
    <w:abstractNumId w:val="25"/>
  </w:num>
  <w:num w:numId="22">
    <w:abstractNumId w:val="21"/>
  </w:num>
  <w:num w:numId="23">
    <w:abstractNumId w:val="8"/>
  </w:num>
  <w:num w:numId="24">
    <w:abstractNumId w:val="3"/>
  </w:num>
  <w:num w:numId="25">
    <w:abstractNumId w:val="19"/>
  </w:num>
  <w:num w:numId="26">
    <w:abstractNumId w:val="13"/>
  </w:num>
  <w:num w:numId="27">
    <w:abstractNumId w:val="22"/>
  </w:num>
  <w:num w:numId="28">
    <w:abstractNumId w:val="10"/>
  </w:num>
  <w:num w:numId="29">
    <w:abstractNumId w:val="12"/>
  </w:num>
  <w:num w:numId="30">
    <w:abstractNumId w:val="23"/>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340"/>
  <w:defaultTableStyle w:val="LightShad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4620\D15 152936  20151012 Container stevedoring monitoring report 2014-15 - post Commission master version - final - CLOSED.DOCX"/>
  </w:docVars>
  <w:rsids>
    <w:rsidRoot w:val="00D97319"/>
    <w:rsid w:val="0000054A"/>
    <w:rsid w:val="000010C5"/>
    <w:rsid w:val="00001FD8"/>
    <w:rsid w:val="0000214A"/>
    <w:rsid w:val="00002ABF"/>
    <w:rsid w:val="00004632"/>
    <w:rsid w:val="00005ED3"/>
    <w:rsid w:val="00006CAF"/>
    <w:rsid w:val="00007A30"/>
    <w:rsid w:val="00010C84"/>
    <w:rsid w:val="00011135"/>
    <w:rsid w:val="00011B82"/>
    <w:rsid w:val="000124E6"/>
    <w:rsid w:val="00015F8A"/>
    <w:rsid w:val="00016F36"/>
    <w:rsid w:val="00017CD0"/>
    <w:rsid w:val="0002115F"/>
    <w:rsid w:val="00021202"/>
    <w:rsid w:val="0002124F"/>
    <w:rsid w:val="00021B71"/>
    <w:rsid w:val="000225C4"/>
    <w:rsid w:val="00023D2A"/>
    <w:rsid w:val="0002438C"/>
    <w:rsid w:val="00024F88"/>
    <w:rsid w:val="00025731"/>
    <w:rsid w:val="00030049"/>
    <w:rsid w:val="0003006C"/>
    <w:rsid w:val="00030DED"/>
    <w:rsid w:val="00031BAD"/>
    <w:rsid w:val="00031E7F"/>
    <w:rsid w:val="000329CA"/>
    <w:rsid w:val="0003405C"/>
    <w:rsid w:val="0003476A"/>
    <w:rsid w:val="0003578C"/>
    <w:rsid w:val="000404AE"/>
    <w:rsid w:val="0004069D"/>
    <w:rsid w:val="000421B5"/>
    <w:rsid w:val="0004365F"/>
    <w:rsid w:val="00045D36"/>
    <w:rsid w:val="0004623D"/>
    <w:rsid w:val="00046461"/>
    <w:rsid w:val="0004705A"/>
    <w:rsid w:val="00047FB4"/>
    <w:rsid w:val="000500C2"/>
    <w:rsid w:val="00051D29"/>
    <w:rsid w:val="0005587C"/>
    <w:rsid w:val="00056A3D"/>
    <w:rsid w:val="000576B0"/>
    <w:rsid w:val="000622C8"/>
    <w:rsid w:val="00063247"/>
    <w:rsid w:val="000640EF"/>
    <w:rsid w:val="000705DA"/>
    <w:rsid w:val="00070F9F"/>
    <w:rsid w:val="0007137B"/>
    <w:rsid w:val="00071771"/>
    <w:rsid w:val="000727D7"/>
    <w:rsid w:val="00072E64"/>
    <w:rsid w:val="00072E6D"/>
    <w:rsid w:val="000748F6"/>
    <w:rsid w:val="00075667"/>
    <w:rsid w:val="00075AD0"/>
    <w:rsid w:val="000803B9"/>
    <w:rsid w:val="00080A84"/>
    <w:rsid w:val="00080C06"/>
    <w:rsid w:val="00080C54"/>
    <w:rsid w:val="000818A3"/>
    <w:rsid w:val="0008242E"/>
    <w:rsid w:val="00083174"/>
    <w:rsid w:val="000837C5"/>
    <w:rsid w:val="00083F43"/>
    <w:rsid w:val="000841C3"/>
    <w:rsid w:val="00085663"/>
    <w:rsid w:val="0008577A"/>
    <w:rsid w:val="00085CDD"/>
    <w:rsid w:val="00085EBF"/>
    <w:rsid w:val="00086F05"/>
    <w:rsid w:val="0008719D"/>
    <w:rsid w:val="000934CD"/>
    <w:rsid w:val="00095278"/>
    <w:rsid w:val="00095865"/>
    <w:rsid w:val="00095872"/>
    <w:rsid w:val="00097A76"/>
    <w:rsid w:val="000A2602"/>
    <w:rsid w:val="000A2A84"/>
    <w:rsid w:val="000A2DC6"/>
    <w:rsid w:val="000A578F"/>
    <w:rsid w:val="000A59FD"/>
    <w:rsid w:val="000B01AA"/>
    <w:rsid w:val="000B0BDE"/>
    <w:rsid w:val="000B2687"/>
    <w:rsid w:val="000B29F3"/>
    <w:rsid w:val="000B3987"/>
    <w:rsid w:val="000B48A6"/>
    <w:rsid w:val="000B4DC8"/>
    <w:rsid w:val="000B571A"/>
    <w:rsid w:val="000B6CA1"/>
    <w:rsid w:val="000C0F28"/>
    <w:rsid w:val="000C1007"/>
    <w:rsid w:val="000C2576"/>
    <w:rsid w:val="000C3CE8"/>
    <w:rsid w:val="000C40FC"/>
    <w:rsid w:val="000C67E7"/>
    <w:rsid w:val="000D122C"/>
    <w:rsid w:val="000D12EB"/>
    <w:rsid w:val="000D424F"/>
    <w:rsid w:val="000D68C6"/>
    <w:rsid w:val="000D6D5C"/>
    <w:rsid w:val="000E0121"/>
    <w:rsid w:val="000E1819"/>
    <w:rsid w:val="000E23FC"/>
    <w:rsid w:val="000E2C3E"/>
    <w:rsid w:val="000E3A2E"/>
    <w:rsid w:val="000E48A1"/>
    <w:rsid w:val="000E5E1E"/>
    <w:rsid w:val="000E5FF6"/>
    <w:rsid w:val="000E6C72"/>
    <w:rsid w:val="000E7489"/>
    <w:rsid w:val="000E7E7E"/>
    <w:rsid w:val="000F02F9"/>
    <w:rsid w:val="000F2368"/>
    <w:rsid w:val="000F27D3"/>
    <w:rsid w:val="000F31EF"/>
    <w:rsid w:val="000F360C"/>
    <w:rsid w:val="000F489E"/>
    <w:rsid w:val="000F7ACC"/>
    <w:rsid w:val="00100A54"/>
    <w:rsid w:val="00100E2A"/>
    <w:rsid w:val="00110137"/>
    <w:rsid w:val="001137E1"/>
    <w:rsid w:val="00116EB2"/>
    <w:rsid w:val="00117FA1"/>
    <w:rsid w:val="001209A5"/>
    <w:rsid w:val="00121DD1"/>
    <w:rsid w:val="00122162"/>
    <w:rsid w:val="001230F9"/>
    <w:rsid w:val="00124609"/>
    <w:rsid w:val="001246B5"/>
    <w:rsid w:val="001247B6"/>
    <w:rsid w:val="001248A7"/>
    <w:rsid w:val="00126443"/>
    <w:rsid w:val="00127493"/>
    <w:rsid w:val="0012759B"/>
    <w:rsid w:val="001326BE"/>
    <w:rsid w:val="00133A35"/>
    <w:rsid w:val="0013414C"/>
    <w:rsid w:val="00142311"/>
    <w:rsid w:val="00145A54"/>
    <w:rsid w:val="0015034C"/>
    <w:rsid w:val="00150B7D"/>
    <w:rsid w:val="00151F77"/>
    <w:rsid w:val="001573E4"/>
    <w:rsid w:val="001578C4"/>
    <w:rsid w:val="00160334"/>
    <w:rsid w:val="00160756"/>
    <w:rsid w:val="00160AB0"/>
    <w:rsid w:val="001633C6"/>
    <w:rsid w:val="001638D4"/>
    <w:rsid w:val="00166E94"/>
    <w:rsid w:val="00171E77"/>
    <w:rsid w:val="0017232E"/>
    <w:rsid w:val="00172F4C"/>
    <w:rsid w:val="00174102"/>
    <w:rsid w:val="00174702"/>
    <w:rsid w:val="00174AE3"/>
    <w:rsid w:val="00177D83"/>
    <w:rsid w:val="00177FAA"/>
    <w:rsid w:val="00180157"/>
    <w:rsid w:val="001807B9"/>
    <w:rsid w:val="00180D63"/>
    <w:rsid w:val="00181223"/>
    <w:rsid w:val="001824BA"/>
    <w:rsid w:val="00184CA5"/>
    <w:rsid w:val="00185942"/>
    <w:rsid w:val="00186F77"/>
    <w:rsid w:val="001877CB"/>
    <w:rsid w:val="001903F4"/>
    <w:rsid w:val="00190C60"/>
    <w:rsid w:val="00191F12"/>
    <w:rsid w:val="001920CE"/>
    <w:rsid w:val="001926A4"/>
    <w:rsid w:val="001928C4"/>
    <w:rsid w:val="001938B2"/>
    <w:rsid w:val="001948CA"/>
    <w:rsid w:val="00195BA7"/>
    <w:rsid w:val="00196C20"/>
    <w:rsid w:val="001A01AE"/>
    <w:rsid w:val="001A03AF"/>
    <w:rsid w:val="001A3F05"/>
    <w:rsid w:val="001A3F47"/>
    <w:rsid w:val="001A6FE8"/>
    <w:rsid w:val="001A72ED"/>
    <w:rsid w:val="001A791F"/>
    <w:rsid w:val="001A7EA8"/>
    <w:rsid w:val="001B0C01"/>
    <w:rsid w:val="001B17A6"/>
    <w:rsid w:val="001B2097"/>
    <w:rsid w:val="001B20FC"/>
    <w:rsid w:val="001B3000"/>
    <w:rsid w:val="001B45A0"/>
    <w:rsid w:val="001B45E1"/>
    <w:rsid w:val="001C03DC"/>
    <w:rsid w:val="001C18EE"/>
    <w:rsid w:val="001C2720"/>
    <w:rsid w:val="001C2F85"/>
    <w:rsid w:val="001C3189"/>
    <w:rsid w:val="001C3EF3"/>
    <w:rsid w:val="001C4E66"/>
    <w:rsid w:val="001C78E5"/>
    <w:rsid w:val="001D055E"/>
    <w:rsid w:val="001D3062"/>
    <w:rsid w:val="001D32AB"/>
    <w:rsid w:val="001D37DD"/>
    <w:rsid w:val="001D43C0"/>
    <w:rsid w:val="001D4CBE"/>
    <w:rsid w:val="001D4DAE"/>
    <w:rsid w:val="001E0B36"/>
    <w:rsid w:val="001E322E"/>
    <w:rsid w:val="001E37B2"/>
    <w:rsid w:val="001E384A"/>
    <w:rsid w:val="001E41B9"/>
    <w:rsid w:val="001E5215"/>
    <w:rsid w:val="001E78B6"/>
    <w:rsid w:val="001F02BC"/>
    <w:rsid w:val="001F2925"/>
    <w:rsid w:val="001F3D48"/>
    <w:rsid w:val="001F492E"/>
    <w:rsid w:val="001F6325"/>
    <w:rsid w:val="001F6DA3"/>
    <w:rsid w:val="001F753F"/>
    <w:rsid w:val="001F7638"/>
    <w:rsid w:val="00201D13"/>
    <w:rsid w:val="0020299B"/>
    <w:rsid w:val="002041EB"/>
    <w:rsid w:val="00204BCB"/>
    <w:rsid w:val="00206128"/>
    <w:rsid w:val="00207593"/>
    <w:rsid w:val="00211085"/>
    <w:rsid w:val="002118E7"/>
    <w:rsid w:val="0021219A"/>
    <w:rsid w:val="00212737"/>
    <w:rsid w:val="0021280A"/>
    <w:rsid w:val="00213308"/>
    <w:rsid w:val="00213398"/>
    <w:rsid w:val="002141A3"/>
    <w:rsid w:val="00215582"/>
    <w:rsid w:val="00216B02"/>
    <w:rsid w:val="00217AAA"/>
    <w:rsid w:val="00222344"/>
    <w:rsid w:val="002245AF"/>
    <w:rsid w:val="00224DB9"/>
    <w:rsid w:val="00225A30"/>
    <w:rsid w:val="00226F8C"/>
    <w:rsid w:val="00227018"/>
    <w:rsid w:val="0022747B"/>
    <w:rsid w:val="00227806"/>
    <w:rsid w:val="00227BBF"/>
    <w:rsid w:val="00227EF8"/>
    <w:rsid w:val="00230EF7"/>
    <w:rsid w:val="0023221E"/>
    <w:rsid w:val="00232AFA"/>
    <w:rsid w:val="002331AE"/>
    <w:rsid w:val="002339F5"/>
    <w:rsid w:val="00235B6D"/>
    <w:rsid w:val="002418F0"/>
    <w:rsid w:val="00242A21"/>
    <w:rsid w:val="00242E41"/>
    <w:rsid w:val="0024411A"/>
    <w:rsid w:val="002450F4"/>
    <w:rsid w:val="002456B3"/>
    <w:rsid w:val="00245F68"/>
    <w:rsid w:val="00247ADF"/>
    <w:rsid w:val="002515B4"/>
    <w:rsid w:val="00251745"/>
    <w:rsid w:val="002529AA"/>
    <w:rsid w:val="00253792"/>
    <w:rsid w:val="0025428F"/>
    <w:rsid w:val="00260433"/>
    <w:rsid w:val="00263AC0"/>
    <w:rsid w:val="00264D43"/>
    <w:rsid w:val="0026772D"/>
    <w:rsid w:val="00270A89"/>
    <w:rsid w:val="00270ECF"/>
    <w:rsid w:val="00271412"/>
    <w:rsid w:val="00271588"/>
    <w:rsid w:val="002721C2"/>
    <w:rsid w:val="002740D7"/>
    <w:rsid w:val="002753BB"/>
    <w:rsid w:val="00275D09"/>
    <w:rsid w:val="0027729A"/>
    <w:rsid w:val="00277BA0"/>
    <w:rsid w:val="00281883"/>
    <w:rsid w:val="00282191"/>
    <w:rsid w:val="002832C6"/>
    <w:rsid w:val="00283EFA"/>
    <w:rsid w:val="00284201"/>
    <w:rsid w:val="00284E53"/>
    <w:rsid w:val="002854D3"/>
    <w:rsid w:val="00286874"/>
    <w:rsid w:val="00286CF1"/>
    <w:rsid w:val="002900AF"/>
    <w:rsid w:val="0029089A"/>
    <w:rsid w:val="002908AD"/>
    <w:rsid w:val="00290C13"/>
    <w:rsid w:val="00291B86"/>
    <w:rsid w:val="00292787"/>
    <w:rsid w:val="002947F3"/>
    <w:rsid w:val="00296B65"/>
    <w:rsid w:val="00297BC6"/>
    <w:rsid w:val="002A17A7"/>
    <w:rsid w:val="002A1DB5"/>
    <w:rsid w:val="002A2C52"/>
    <w:rsid w:val="002A331A"/>
    <w:rsid w:val="002A4A2F"/>
    <w:rsid w:val="002A564F"/>
    <w:rsid w:val="002A7351"/>
    <w:rsid w:val="002A7DEF"/>
    <w:rsid w:val="002A7ED6"/>
    <w:rsid w:val="002B2519"/>
    <w:rsid w:val="002B2627"/>
    <w:rsid w:val="002B27C0"/>
    <w:rsid w:val="002B3317"/>
    <w:rsid w:val="002B4622"/>
    <w:rsid w:val="002C1D9E"/>
    <w:rsid w:val="002C2564"/>
    <w:rsid w:val="002C2FE0"/>
    <w:rsid w:val="002C3FE7"/>
    <w:rsid w:val="002C4A09"/>
    <w:rsid w:val="002C7073"/>
    <w:rsid w:val="002C7D48"/>
    <w:rsid w:val="002D020B"/>
    <w:rsid w:val="002D354B"/>
    <w:rsid w:val="002D49AB"/>
    <w:rsid w:val="002D4A1F"/>
    <w:rsid w:val="002E05AD"/>
    <w:rsid w:val="002E1DFF"/>
    <w:rsid w:val="002E28C5"/>
    <w:rsid w:val="002E37E4"/>
    <w:rsid w:val="002E7381"/>
    <w:rsid w:val="002E7596"/>
    <w:rsid w:val="002E7857"/>
    <w:rsid w:val="002F0152"/>
    <w:rsid w:val="002F1A8F"/>
    <w:rsid w:val="002F24EF"/>
    <w:rsid w:val="002F773F"/>
    <w:rsid w:val="002F7986"/>
    <w:rsid w:val="003020CD"/>
    <w:rsid w:val="00303C4A"/>
    <w:rsid w:val="00304549"/>
    <w:rsid w:val="0030493D"/>
    <w:rsid w:val="00304E64"/>
    <w:rsid w:val="00307F6D"/>
    <w:rsid w:val="00310C23"/>
    <w:rsid w:val="003128E0"/>
    <w:rsid w:val="00314BDC"/>
    <w:rsid w:val="00314E08"/>
    <w:rsid w:val="0031515A"/>
    <w:rsid w:val="003177A2"/>
    <w:rsid w:val="00320585"/>
    <w:rsid w:val="00320D27"/>
    <w:rsid w:val="00321501"/>
    <w:rsid w:val="00322A25"/>
    <w:rsid w:val="0032341D"/>
    <w:rsid w:val="00324BBC"/>
    <w:rsid w:val="003271B5"/>
    <w:rsid w:val="00327FBF"/>
    <w:rsid w:val="00331264"/>
    <w:rsid w:val="00331515"/>
    <w:rsid w:val="0033281A"/>
    <w:rsid w:val="003328B0"/>
    <w:rsid w:val="00334C8D"/>
    <w:rsid w:val="00340655"/>
    <w:rsid w:val="00344653"/>
    <w:rsid w:val="00344DD9"/>
    <w:rsid w:val="003459E6"/>
    <w:rsid w:val="00347A3F"/>
    <w:rsid w:val="00351552"/>
    <w:rsid w:val="003518B3"/>
    <w:rsid w:val="00351E2D"/>
    <w:rsid w:val="0035299E"/>
    <w:rsid w:val="00353994"/>
    <w:rsid w:val="003545C8"/>
    <w:rsid w:val="00356EAC"/>
    <w:rsid w:val="00363CF9"/>
    <w:rsid w:val="00372EB0"/>
    <w:rsid w:val="003731F2"/>
    <w:rsid w:val="0037661E"/>
    <w:rsid w:val="00377A00"/>
    <w:rsid w:val="0038098D"/>
    <w:rsid w:val="0038131A"/>
    <w:rsid w:val="0038173A"/>
    <w:rsid w:val="00382369"/>
    <w:rsid w:val="003846F1"/>
    <w:rsid w:val="00384912"/>
    <w:rsid w:val="003859DB"/>
    <w:rsid w:val="00386CD5"/>
    <w:rsid w:val="0039101D"/>
    <w:rsid w:val="00391591"/>
    <w:rsid w:val="0039471D"/>
    <w:rsid w:val="0039484C"/>
    <w:rsid w:val="003A0DE3"/>
    <w:rsid w:val="003A618E"/>
    <w:rsid w:val="003A6531"/>
    <w:rsid w:val="003A673F"/>
    <w:rsid w:val="003B064C"/>
    <w:rsid w:val="003B4866"/>
    <w:rsid w:val="003B5A70"/>
    <w:rsid w:val="003B5AAD"/>
    <w:rsid w:val="003B5EAA"/>
    <w:rsid w:val="003B6953"/>
    <w:rsid w:val="003C05F6"/>
    <w:rsid w:val="003C068C"/>
    <w:rsid w:val="003C0F7D"/>
    <w:rsid w:val="003C445B"/>
    <w:rsid w:val="003C634B"/>
    <w:rsid w:val="003C7402"/>
    <w:rsid w:val="003C742F"/>
    <w:rsid w:val="003D0008"/>
    <w:rsid w:val="003D1C28"/>
    <w:rsid w:val="003D25B8"/>
    <w:rsid w:val="003D3038"/>
    <w:rsid w:val="003D4B58"/>
    <w:rsid w:val="003D5811"/>
    <w:rsid w:val="003D673B"/>
    <w:rsid w:val="003E0B71"/>
    <w:rsid w:val="003E1295"/>
    <w:rsid w:val="003E41AD"/>
    <w:rsid w:val="003E5F96"/>
    <w:rsid w:val="003E661C"/>
    <w:rsid w:val="003E6FF2"/>
    <w:rsid w:val="003F1745"/>
    <w:rsid w:val="003F3E24"/>
    <w:rsid w:val="003F6C0C"/>
    <w:rsid w:val="003F75D1"/>
    <w:rsid w:val="00400E5C"/>
    <w:rsid w:val="00402FB5"/>
    <w:rsid w:val="00407D3D"/>
    <w:rsid w:val="004110B9"/>
    <w:rsid w:val="004116A4"/>
    <w:rsid w:val="00412ADC"/>
    <w:rsid w:val="00412C85"/>
    <w:rsid w:val="00412EE8"/>
    <w:rsid w:val="00413647"/>
    <w:rsid w:val="0041484C"/>
    <w:rsid w:val="004163F4"/>
    <w:rsid w:val="0041655C"/>
    <w:rsid w:val="00416701"/>
    <w:rsid w:val="00416CFB"/>
    <w:rsid w:val="004219A4"/>
    <w:rsid w:val="00422257"/>
    <w:rsid w:val="00423ABF"/>
    <w:rsid w:val="00424C93"/>
    <w:rsid w:val="004253DB"/>
    <w:rsid w:val="00427A14"/>
    <w:rsid w:val="00427E42"/>
    <w:rsid w:val="00433F44"/>
    <w:rsid w:val="004340E4"/>
    <w:rsid w:val="00435C4A"/>
    <w:rsid w:val="00435F5D"/>
    <w:rsid w:val="004371ED"/>
    <w:rsid w:val="0043755D"/>
    <w:rsid w:val="004426E0"/>
    <w:rsid w:val="00443A44"/>
    <w:rsid w:val="0044552E"/>
    <w:rsid w:val="00445CE8"/>
    <w:rsid w:val="00447DA6"/>
    <w:rsid w:val="004501B6"/>
    <w:rsid w:val="00450D5C"/>
    <w:rsid w:val="004543A8"/>
    <w:rsid w:val="00461640"/>
    <w:rsid w:val="00463A48"/>
    <w:rsid w:val="00465FFD"/>
    <w:rsid w:val="00467A41"/>
    <w:rsid w:val="00470DAD"/>
    <w:rsid w:val="00474AC3"/>
    <w:rsid w:val="00475893"/>
    <w:rsid w:val="00475DDE"/>
    <w:rsid w:val="0048092C"/>
    <w:rsid w:val="00480B4B"/>
    <w:rsid w:val="00480F73"/>
    <w:rsid w:val="0048480F"/>
    <w:rsid w:val="00485DC4"/>
    <w:rsid w:val="00491394"/>
    <w:rsid w:val="0049282A"/>
    <w:rsid w:val="00493222"/>
    <w:rsid w:val="0049528C"/>
    <w:rsid w:val="00496E85"/>
    <w:rsid w:val="00497D71"/>
    <w:rsid w:val="004A22CC"/>
    <w:rsid w:val="004A6547"/>
    <w:rsid w:val="004A693A"/>
    <w:rsid w:val="004A7CCA"/>
    <w:rsid w:val="004B4412"/>
    <w:rsid w:val="004B61E5"/>
    <w:rsid w:val="004B65E6"/>
    <w:rsid w:val="004B6B3B"/>
    <w:rsid w:val="004B6F2F"/>
    <w:rsid w:val="004C348C"/>
    <w:rsid w:val="004C3D1F"/>
    <w:rsid w:val="004C4DA7"/>
    <w:rsid w:val="004C54D7"/>
    <w:rsid w:val="004C70E1"/>
    <w:rsid w:val="004D0293"/>
    <w:rsid w:val="004D2321"/>
    <w:rsid w:val="004D2799"/>
    <w:rsid w:val="004D4125"/>
    <w:rsid w:val="004D4616"/>
    <w:rsid w:val="004D543C"/>
    <w:rsid w:val="004D55BA"/>
    <w:rsid w:val="004D74A8"/>
    <w:rsid w:val="004E02FD"/>
    <w:rsid w:val="004E14A6"/>
    <w:rsid w:val="004E3D9D"/>
    <w:rsid w:val="004E4187"/>
    <w:rsid w:val="004E60E9"/>
    <w:rsid w:val="004F0306"/>
    <w:rsid w:val="004F079C"/>
    <w:rsid w:val="004F0F2D"/>
    <w:rsid w:val="004F0FBB"/>
    <w:rsid w:val="004F1A4B"/>
    <w:rsid w:val="004F2781"/>
    <w:rsid w:val="004F659D"/>
    <w:rsid w:val="004F66C6"/>
    <w:rsid w:val="004F7E5A"/>
    <w:rsid w:val="005022AC"/>
    <w:rsid w:val="005038DB"/>
    <w:rsid w:val="00504E50"/>
    <w:rsid w:val="005053CF"/>
    <w:rsid w:val="0050574C"/>
    <w:rsid w:val="00506FAC"/>
    <w:rsid w:val="00507FBF"/>
    <w:rsid w:val="005117FC"/>
    <w:rsid w:val="0051494F"/>
    <w:rsid w:val="005156BF"/>
    <w:rsid w:val="00521128"/>
    <w:rsid w:val="00524140"/>
    <w:rsid w:val="005257D8"/>
    <w:rsid w:val="005278B4"/>
    <w:rsid w:val="00530128"/>
    <w:rsid w:val="00530D1F"/>
    <w:rsid w:val="005314AA"/>
    <w:rsid w:val="00532048"/>
    <w:rsid w:val="00532467"/>
    <w:rsid w:val="00533F27"/>
    <w:rsid w:val="0053436E"/>
    <w:rsid w:val="0053571E"/>
    <w:rsid w:val="005360AA"/>
    <w:rsid w:val="00536DEE"/>
    <w:rsid w:val="00537E00"/>
    <w:rsid w:val="0054050B"/>
    <w:rsid w:val="00544E01"/>
    <w:rsid w:val="00546BB1"/>
    <w:rsid w:val="00547CCF"/>
    <w:rsid w:val="0055370A"/>
    <w:rsid w:val="00554A2D"/>
    <w:rsid w:val="00555AD1"/>
    <w:rsid w:val="005577EA"/>
    <w:rsid w:val="005607FC"/>
    <w:rsid w:val="00564A4D"/>
    <w:rsid w:val="00565A9E"/>
    <w:rsid w:val="0056714E"/>
    <w:rsid w:val="0056733D"/>
    <w:rsid w:val="00570609"/>
    <w:rsid w:val="00571B35"/>
    <w:rsid w:val="00571C9F"/>
    <w:rsid w:val="005730D2"/>
    <w:rsid w:val="00573665"/>
    <w:rsid w:val="0057396D"/>
    <w:rsid w:val="00574FDF"/>
    <w:rsid w:val="005764D5"/>
    <w:rsid w:val="00577194"/>
    <w:rsid w:val="00577A09"/>
    <w:rsid w:val="00577EEF"/>
    <w:rsid w:val="00582831"/>
    <w:rsid w:val="00582928"/>
    <w:rsid w:val="00582A91"/>
    <w:rsid w:val="00583A05"/>
    <w:rsid w:val="00584D8F"/>
    <w:rsid w:val="005856FE"/>
    <w:rsid w:val="00587097"/>
    <w:rsid w:val="0059485A"/>
    <w:rsid w:val="00596D42"/>
    <w:rsid w:val="005978B8"/>
    <w:rsid w:val="005A12AF"/>
    <w:rsid w:val="005A2EF6"/>
    <w:rsid w:val="005A3DA1"/>
    <w:rsid w:val="005A404D"/>
    <w:rsid w:val="005B15A3"/>
    <w:rsid w:val="005B1E3C"/>
    <w:rsid w:val="005B1F63"/>
    <w:rsid w:val="005B2CA0"/>
    <w:rsid w:val="005B4E27"/>
    <w:rsid w:val="005C017A"/>
    <w:rsid w:val="005C1FCD"/>
    <w:rsid w:val="005C26CC"/>
    <w:rsid w:val="005C27BF"/>
    <w:rsid w:val="005C4F0C"/>
    <w:rsid w:val="005C4F6D"/>
    <w:rsid w:val="005D58AA"/>
    <w:rsid w:val="005D5EE2"/>
    <w:rsid w:val="005D7EBA"/>
    <w:rsid w:val="005E0DF2"/>
    <w:rsid w:val="005E1096"/>
    <w:rsid w:val="005E169A"/>
    <w:rsid w:val="005E1AD2"/>
    <w:rsid w:val="005E2BB0"/>
    <w:rsid w:val="005E4119"/>
    <w:rsid w:val="005E5865"/>
    <w:rsid w:val="005E6C0E"/>
    <w:rsid w:val="005F12C0"/>
    <w:rsid w:val="005F34E3"/>
    <w:rsid w:val="005F4C90"/>
    <w:rsid w:val="005F55D4"/>
    <w:rsid w:val="005F76B4"/>
    <w:rsid w:val="00601527"/>
    <w:rsid w:val="00602AC8"/>
    <w:rsid w:val="006034F8"/>
    <w:rsid w:val="006047D0"/>
    <w:rsid w:val="00606A72"/>
    <w:rsid w:val="00607322"/>
    <w:rsid w:val="0060761C"/>
    <w:rsid w:val="006108D0"/>
    <w:rsid w:val="006140A1"/>
    <w:rsid w:val="006158CD"/>
    <w:rsid w:val="00615C6B"/>
    <w:rsid w:val="0062126A"/>
    <w:rsid w:val="00621347"/>
    <w:rsid w:val="0062148F"/>
    <w:rsid w:val="006246CB"/>
    <w:rsid w:val="00624C24"/>
    <w:rsid w:val="00626674"/>
    <w:rsid w:val="0062790F"/>
    <w:rsid w:val="00631E8A"/>
    <w:rsid w:val="006321C4"/>
    <w:rsid w:val="00632D6D"/>
    <w:rsid w:val="006330E0"/>
    <w:rsid w:val="00642C3E"/>
    <w:rsid w:val="00644F7A"/>
    <w:rsid w:val="006460C5"/>
    <w:rsid w:val="006461F4"/>
    <w:rsid w:val="00646D30"/>
    <w:rsid w:val="0064718B"/>
    <w:rsid w:val="0065350E"/>
    <w:rsid w:val="00653AC3"/>
    <w:rsid w:val="006552A2"/>
    <w:rsid w:val="00655623"/>
    <w:rsid w:val="0065565B"/>
    <w:rsid w:val="00662875"/>
    <w:rsid w:val="00663DAD"/>
    <w:rsid w:val="00665A98"/>
    <w:rsid w:val="00667E41"/>
    <w:rsid w:val="00670375"/>
    <w:rsid w:val="00670DA2"/>
    <w:rsid w:val="00672631"/>
    <w:rsid w:val="00676679"/>
    <w:rsid w:val="00676F73"/>
    <w:rsid w:val="00681B76"/>
    <w:rsid w:val="00682963"/>
    <w:rsid w:val="0068444A"/>
    <w:rsid w:val="006860F9"/>
    <w:rsid w:val="00687791"/>
    <w:rsid w:val="00687D15"/>
    <w:rsid w:val="00687F39"/>
    <w:rsid w:val="0069012A"/>
    <w:rsid w:val="00695AD2"/>
    <w:rsid w:val="006964A5"/>
    <w:rsid w:val="006978E6"/>
    <w:rsid w:val="006A6CF7"/>
    <w:rsid w:val="006B009E"/>
    <w:rsid w:val="006B069B"/>
    <w:rsid w:val="006B09B7"/>
    <w:rsid w:val="006B0C31"/>
    <w:rsid w:val="006B269D"/>
    <w:rsid w:val="006B329A"/>
    <w:rsid w:val="006B4CF9"/>
    <w:rsid w:val="006B5516"/>
    <w:rsid w:val="006B6BCE"/>
    <w:rsid w:val="006B7AC8"/>
    <w:rsid w:val="006C0357"/>
    <w:rsid w:val="006C15F5"/>
    <w:rsid w:val="006C2822"/>
    <w:rsid w:val="006C29AB"/>
    <w:rsid w:val="006C3541"/>
    <w:rsid w:val="006C3C5F"/>
    <w:rsid w:val="006C5D6C"/>
    <w:rsid w:val="006C69EC"/>
    <w:rsid w:val="006C7C5D"/>
    <w:rsid w:val="006C7CA1"/>
    <w:rsid w:val="006D03F8"/>
    <w:rsid w:val="006D0BD5"/>
    <w:rsid w:val="006D0E38"/>
    <w:rsid w:val="006D3AC6"/>
    <w:rsid w:val="006D3BF3"/>
    <w:rsid w:val="006D4841"/>
    <w:rsid w:val="006D550F"/>
    <w:rsid w:val="006D5E25"/>
    <w:rsid w:val="006D77F3"/>
    <w:rsid w:val="006E192E"/>
    <w:rsid w:val="006E34F2"/>
    <w:rsid w:val="006E3AA3"/>
    <w:rsid w:val="006E5543"/>
    <w:rsid w:val="006E71AA"/>
    <w:rsid w:val="006F3E46"/>
    <w:rsid w:val="0070039D"/>
    <w:rsid w:val="00700B54"/>
    <w:rsid w:val="00701CAB"/>
    <w:rsid w:val="007020CF"/>
    <w:rsid w:val="007029B3"/>
    <w:rsid w:val="00702E24"/>
    <w:rsid w:val="00702E9B"/>
    <w:rsid w:val="007032EB"/>
    <w:rsid w:val="00704667"/>
    <w:rsid w:val="00705716"/>
    <w:rsid w:val="00705FB1"/>
    <w:rsid w:val="00706F52"/>
    <w:rsid w:val="00707563"/>
    <w:rsid w:val="00712031"/>
    <w:rsid w:val="0071333E"/>
    <w:rsid w:val="007147C1"/>
    <w:rsid w:val="00722122"/>
    <w:rsid w:val="0072348C"/>
    <w:rsid w:val="00724012"/>
    <w:rsid w:val="00724A37"/>
    <w:rsid w:val="00725968"/>
    <w:rsid w:val="00725BF1"/>
    <w:rsid w:val="00726AE2"/>
    <w:rsid w:val="00730288"/>
    <w:rsid w:val="007303C3"/>
    <w:rsid w:val="00730427"/>
    <w:rsid w:val="00731553"/>
    <w:rsid w:val="00733C52"/>
    <w:rsid w:val="00734A31"/>
    <w:rsid w:val="007407C1"/>
    <w:rsid w:val="0074094D"/>
    <w:rsid w:val="00741D41"/>
    <w:rsid w:val="00742A89"/>
    <w:rsid w:val="00743223"/>
    <w:rsid w:val="0074379E"/>
    <w:rsid w:val="00745381"/>
    <w:rsid w:val="00745BE7"/>
    <w:rsid w:val="00746E01"/>
    <w:rsid w:val="00746E22"/>
    <w:rsid w:val="00746EF4"/>
    <w:rsid w:val="007506A4"/>
    <w:rsid w:val="007509A4"/>
    <w:rsid w:val="00750BA6"/>
    <w:rsid w:val="00750BAF"/>
    <w:rsid w:val="00750D42"/>
    <w:rsid w:val="00751E4E"/>
    <w:rsid w:val="00753AB9"/>
    <w:rsid w:val="007553EB"/>
    <w:rsid w:val="0075699A"/>
    <w:rsid w:val="00757DBE"/>
    <w:rsid w:val="00757EF2"/>
    <w:rsid w:val="00760A92"/>
    <w:rsid w:val="00763E5D"/>
    <w:rsid w:val="00765750"/>
    <w:rsid w:val="00766605"/>
    <w:rsid w:val="00767740"/>
    <w:rsid w:val="00770B41"/>
    <w:rsid w:val="0077144F"/>
    <w:rsid w:val="00772AC8"/>
    <w:rsid w:val="007772B4"/>
    <w:rsid w:val="00777EE6"/>
    <w:rsid w:val="0078117E"/>
    <w:rsid w:val="00781328"/>
    <w:rsid w:val="00781370"/>
    <w:rsid w:val="00781A7D"/>
    <w:rsid w:val="007823B5"/>
    <w:rsid w:val="00782EEA"/>
    <w:rsid w:val="00783139"/>
    <w:rsid w:val="00784FAE"/>
    <w:rsid w:val="00790CEA"/>
    <w:rsid w:val="00791388"/>
    <w:rsid w:val="007916E3"/>
    <w:rsid w:val="00791B86"/>
    <w:rsid w:val="0079213D"/>
    <w:rsid w:val="00793A5B"/>
    <w:rsid w:val="00793FFE"/>
    <w:rsid w:val="007952C8"/>
    <w:rsid w:val="00797F92"/>
    <w:rsid w:val="007A5A6B"/>
    <w:rsid w:val="007A5C17"/>
    <w:rsid w:val="007A6153"/>
    <w:rsid w:val="007A73BA"/>
    <w:rsid w:val="007A79C8"/>
    <w:rsid w:val="007B1900"/>
    <w:rsid w:val="007B2C72"/>
    <w:rsid w:val="007B343A"/>
    <w:rsid w:val="007B3525"/>
    <w:rsid w:val="007B3B3D"/>
    <w:rsid w:val="007B49F1"/>
    <w:rsid w:val="007B6F43"/>
    <w:rsid w:val="007C021B"/>
    <w:rsid w:val="007C0673"/>
    <w:rsid w:val="007C1C53"/>
    <w:rsid w:val="007C263C"/>
    <w:rsid w:val="007C3B0A"/>
    <w:rsid w:val="007C3BB9"/>
    <w:rsid w:val="007C4466"/>
    <w:rsid w:val="007D1DEE"/>
    <w:rsid w:val="007D2D5D"/>
    <w:rsid w:val="007D4D3C"/>
    <w:rsid w:val="007D5549"/>
    <w:rsid w:val="007E0F96"/>
    <w:rsid w:val="007E26A9"/>
    <w:rsid w:val="007E4904"/>
    <w:rsid w:val="007E4CB5"/>
    <w:rsid w:val="007E7ADC"/>
    <w:rsid w:val="007F066B"/>
    <w:rsid w:val="007F155F"/>
    <w:rsid w:val="007F2077"/>
    <w:rsid w:val="007F2432"/>
    <w:rsid w:val="007F641C"/>
    <w:rsid w:val="007F67E0"/>
    <w:rsid w:val="007F6A3B"/>
    <w:rsid w:val="007F74D0"/>
    <w:rsid w:val="007F7D9B"/>
    <w:rsid w:val="007F7FB8"/>
    <w:rsid w:val="008007C8"/>
    <w:rsid w:val="0080276A"/>
    <w:rsid w:val="008033C4"/>
    <w:rsid w:val="00805153"/>
    <w:rsid w:val="0080516E"/>
    <w:rsid w:val="00806C88"/>
    <w:rsid w:val="0081034E"/>
    <w:rsid w:val="00813A26"/>
    <w:rsid w:val="00816288"/>
    <w:rsid w:val="00816B46"/>
    <w:rsid w:val="00817693"/>
    <w:rsid w:val="00822878"/>
    <w:rsid w:val="00824D54"/>
    <w:rsid w:val="00825274"/>
    <w:rsid w:val="008262BE"/>
    <w:rsid w:val="00830FE2"/>
    <w:rsid w:val="008319E0"/>
    <w:rsid w:val="00834154"/>
    <w:rsid w:val="008344F6"/>
    <w:rsid w:val="00834BC7"/>
    <w:rsid w:val="0083510F"/>
    <w:rsid w:val="008353B2"/>
    <w:rsid w:val="0084003F"/>
    <w:rsid w:val="008408DA"/>
    <w:rsid w:val="0084252B"/>
    <w:rsid w:val="00842FFE"/>
    <w:rsid w:val="00844CC1"/>
    <w:rsid w:val="00851209"/>
    <w:rsid w:val="00853E59"/>
    <w:rsid w:val="00856FC4"/>
    <w:rsid w:val="008575F2"/>
    <w:rsid w:val="00861042"/>
    <w:rsid w:val="008612BC"/>
    <w:rsid w:val="00861DD3"/>
    <w:rsid w:val="008721B6"/>
    <w:rsid w:val="008743F6"/>
    <w:rsid w:val="00875E6A"/>
    <w:rsid w:val="0088007E"/>
    <w:rsid w:val="00880B67"/>
    <w:rsid w:val="00882B26"/>
    <w:rsid w:val="008837AC"/>
    <w:rsid w:val="008872EC"/>
    <w:rsid w:val="008908F0"/>
    <w:rsid w:val="00892149"/>
    <w:rsid w:val="008930CC"/>
    <w:rsid w:val="008945B4"/>
    <w:rsid w:val="00897157"/>
    <w:rsid w:val="00897FA9"/>
    <w:rsid w:val="008A2F76"/>
    <w:rsid w:val="008A415E"/>
    <w:rsid w:val="008A572C"/>
    <w:rsid w:val="008A587D"/>
    <w:rsid w:val="008A5B20"/>
    <w:rsid w:val="008A7054"/>
    <w:rsid w:val="008A7468"/>
    <w:rsid w:val="008B4A03"/>
    <w:rsid w:val="008B6204"/>
    <w:rsid w:val="008C5486"/>
    <w:rsid w:val="008C6E1D"/>
    <w:rsid w:val="008C6F59"/>
    <w:rsid w:val="008D19D3"/>
    <w:rsid w:val="008D1C99"/>
    <w:rsid w:val="008D1ECC"/>
    <w:rsid w:val="008D200C"/>
    <w:rsid w:val="008D3021"/>
    <w:rsid w:val="008D4B78"/>
    <w:rsid w:val="008E0A67"/>
    <w:rsid w:val="008E0C12"/>
    <w:rsid w:val="008E1249"/>
    <w:rsid w:val="008E1B7A"/>
    <w:rsid w:val="008E2B3B"/>
    <w:rsid w:val="008E3B0F"/>
    <w:rsid w:val="008E6DAD"/>
    <w:rsid w:val="008E7031"/>
    <w:rsid w:val="008F17E0"/>
    <w:rsid w:val="008F274A"/>
    <w:rsid w:val="008F6E27"/>
    <w:rsid w:val="00900878"/>
    <w:rsid w:val="0090461E"/>
    <w:rsid w:val="009061AB"/>
    <w:rsid w:val="009078DB"/>
    <w:rsid w:val="00913EDC"/>
    <w:rsid w:val="00914452"/>
    <w:rsid w:val="00915B45"/>
    <w:rsid w:val="0091647C"/>
    <w:rsid w:val="009179E9"/>
    <w:rsid w:val="009201A8"/>
    <w:rsid w:val="00920F0B"/>
    <w:rsid w:val="009212C3"/>
    <w:rsid w:val="00921AC5"/>
    <w:rsid w:val="00922390"/>
    <w:rsid w:val="009229A6"/>
    <w:rsid w:val="00922C95"/>
    <w:rsid w:val="0092328C"/>
    <w:rsid w:val="009233EE"/>
    <w:rsid w:val="00924147"/>
    <w:rsid w:val="00926FD7"/>
    <w:rsid w:val="00927F25"/>
    <w:rsid w:val="00933349"/>
    <w:rsid w:val="0093517D"/>
    <w:rsid w:val="0093554A"/>
    <w:rsid w:val="00937680"/>
    <w:rsid w:val="00937D7B"/>
    <w:rsid w:val="00937EE9"/>
    <w:rsid w:val="00940097"/>
    <w:rsid w:val="009410EF"/>
    <w:rsid w:val="009464C4"/>
    <w:rsid w:val="00946EDE"/>
    <w:rsid w:val="00950EA9"/>
    <w:rsid w:val="00951073"/>
    <w:rsid w:val="00952172"/>
    <w:rsid w:val="00953632"/>
    <w:rsid w:val="00954CFC"/>
    <w:rsid w:val="0095551D"/>
    <w:rsid w:val="009564B3"/>
    <w:rsid w:val="009620DF"/>
    <w:rsid w:val="00962215"/>
    <w:rsid w:val="00964C42"/>
    <w:rsid w:val="009661DE"/>
    <w:rsid w:val="009669E3"/>
    <w:rsid w:val="00966E9E"/>
    <w:rsid w:val="00970AF6"/>
    <w:rsid w:val="009719A2"/>
    <w:rsid w:val="00973549"/>
    <w:rsid w:val="00974A45"/>
    <w:rsid w:val="0097551B"/>
    <w:rsid w:val="00975D16"/>
    <w:rsid w:val="00976B6E"/>
    <w:rsid w:val="00977F9C"/>
    <w:rsid w:val="00980012"/>
    <w:rsid w:val="00980886"/>
    <w:rsid w:val="0098149F"/>
    <w:rsid w:val="00981D1E"/>
    <w:rsid w:val="00982466"/>
    <w:rsid w:val="009843D1"/>
    <w:rsid w:val="00984403"/>
    <w:rsid w:val="009856B7"/>
    <w:rsid w:val="00985E7B"/>
    <w:rsid w:val="0098602B"/>
    <w:rsid w:val="00986A9E"/>
    <w:rsid w:val="00986B44"/>
    <w:rsid w:val="009871EE"/>
    <w:rsid w:val="0099073A"/>
    <w:rsid w:val="00990DE5"/>
    <w:rsid w:val="00991B3B"/>
    <w:rsid w:val="00991C48"/>
    <w:rsid w:val="0099242E"/>
    <w:rsid w:val="00993707"/>
    <w:rsid w:val="009951BA"/>
    <w:rsid w:val="009962BA"/>
    <w:rsid w:val="00996D89"/>
    <w:rsid w:val="009A121C"/>
    <w:rsid w:val="009A2FB7"/>
    <w:rsid w:val="009A453D"/>
    <w:rsid w:val="009A46B7"/>
    <w:rsid w:val="009B0C14"/>
    <w:rsid w:val="009B3767"/>
    <w:rsid w:val="009B4098"/>
    <w:rsid w:val="009B4908"/>
    <w:rsid w:val="009B5C89"/>
    <w:rsid w:val="009B657D"/>
    <w:rsid w:val="009B7249"/>
    <w:rsid w:val="009B74B0"/>
    <w:rsid w:val="009C05A9"/>
    <w:rsid w:val="009C42DF"/>
    <w:rsid w:val="009C4C12"/>
    <w:rsid w:val="009C7C9E"/>
    <w:rsid w:val="009D0242"/>
    <w:rsid w:val="009D1908"/>
    <w:rsid w:val="009D24A8"/>
    <w:rsid w:val="009D311A"/>
    <w:rsid w:val="009D4414"/>
    <w:rsid w:val="009D54B7"/>
    <w:rsid w:val="009D6B46"/>
    <w:rsid w:val="009D6E34"/>
    <w:rsid w:val="009D7134"/>
    <w:rsid w:val="009E01AF"/>
    <w:rsid w:val="009E0398"/>
    <w:rsid w:val="009E1D12"/>
    <w:rsid w:val="009E55AC"/>
    <w:rsid w:val="009E74E7"/>
    <w:rsid w:val="009F11B5"/>
    <w:rsid w:val="009F16D5"/>
    <w:rsid w:val="009F2220"/>
    <w:rsid w:val="009F2BE5"/>
    <w:rsid w:val="009F4940"/>
    <w:rsid w:val="00A00AE8"/>
    <w:rsid w:val="00A00B2F"/>
    <w:rsid w:val="00A01F41"/>
    <w:rsid w:val="00A023EF"/>
    <w:rsid w:val="00A02637"/>
    <w:rsid w:val="00A032C1"/>
    <w:rsid w:val="00A038AA"/>
    <w:rsid w:val="00A055A5"/>
    <w:rsid w:val="00A0585D"/>
    <w:rsid w:val="00A05B3C"/>
    <w:rsid w:val="00A06801"/>
    <w:rsid w:val="00A06E5B"/>
    <w:rsid w:val="00A10218"/>
    <w:rsid w:val="00A1117F"/>
    <w:rsid w:val="00A1153C"/>
    <w:rsid w:val="00A13CCE"/>
    <w:rsid w:val="00A14305"/>
    <w:rsid w:val="00A14F06"/>
    <w:rsid w:val="00A1665B"/>
    <w:rsid w:val="00A16BD4"/>
    <w:rsid w:val="00A2127E"/>
    <w:rsid w:val="00A21767"/>
    <w:rsid w:val="00A21779"/>
    <w:rsid w:val="00A21A84"/>
    <w:rsid w:val="00A21D5C"/>
    <w:rsid w:val="00A247BF"/>
    <w:rsid w:val="00A262F6"/>
    <w:rsid w:val="00A27AD6"/>
    <w:rsid w:val="00A303DB"/>
    <w:rsid w:val="00A3101F"/>
    <w:rsid w:val="00A31C1A"/>
    <w:rsid w:val="00A32892"/>
    <w:rsid w:val="00A3615A"/>
    <w:rsid w:val="00A366D3"/>
    <w:rsid w:val="00A368A7"/>
    <w:rsid w:val="00A4478A"/>
    <w:rsid w:val="00A44852"/>
    <w:rsid w:val="00A44C06"/>
    <w:rsid w:val="00A463D3"/>
    <w:rsid w:val="00A47EA7"/>
    <w:rsid w:val="00A52097"/>
    <w:rsid w:val="00A53F23"/>
    <w:rsid w:val="00A53F7A"/>
    <w:rsid w:val="00A55D08"/>
    <w:rsid w:val="00A57D04"/>
    <w:rsid w:val="00A57F34"/>
    <w:rsid w:val="00A60A26"/>
    <w:rsid w:val="00A612B1"/>
    <w:rsid w:val="00A61598"/>
    <w:rsid w:val="00A620D6"/>
    <w:rsid w:val="00A6320B"/>
    <w:rsid w:val="00A64D7E"/>
    <w:rsid w:val="00A6559F"/>
    <w:rsid w:val="00A673A9"/>
    <w:rsid w:val="00A6790F"/>
    <w:rsid w:val="00A701FD"/>
    <w:rsid w:val="00A70231"/>
    <w:rsid w:val="00A70640"/>
    <w:rsid w:val="00A713A4"/>
    <w:rsid w:val="00A73D6D"/>
    <w:rsid w:val="00A74748"/>
    <w:rsid w:val="00A80ABA"/>
    <w:rsid w:val="00A83428"/>
    <w:rsid w:val="00A84F46"/>
    <w:rsid w:val="00A85C1A"/>
    <w:rsid w:val="00A86A21"/>
    <w:rsid w:val="00A871F4"/>
    <w:rsid w:val="00A87B3B"/>
    <w:rsid w:val="00A976E8"/>
    <w:rsid w:val="00A97795"/>
    <w:rsid w:val="00A9781B"/>
    <w:rsid w:val="00AA08CC"/>
    <w:rsid w:val="00AA0D59"/>
    <w:rsid w:val="00AB2511"/>
    <w:rsid w:val="00AB34E4"/>
    <w:rsid w:val="00AB3579"/>
    <w:rsid w:val="00AB4C01"/>
    <w:rsid w:val="00AB53A7"/>
    <w:rsid w:val="00AC1B2C"/>
    <w:rsid w:val="00AC1D7A"/>
    <w:rsid w:val="00AC2058"/>
    <w:rsid w:val="00AC322A"/>
    <w:rsid w:val="00AC3264"/>
    <w:rsid w:val="00AC4027"/>
    <w:rsid w:val="00AC533F"/>
    <w:rsid w:val="00AC56F6"/>
    <w:rsid w:val="00AC6C57"/>
    <w:rsid w:val="00AC6EA0"/>
    <w:rsid w:val="00AC6F01"/>
    <w:rsid w:val="00AC7415"/>
    <w:rsid w:val="00AC76C5"/>
    <w:rsid w:val="00AD0572"/>
    <w:rsid w:val="00AD14EA"/>
    <w:rsid w:val="00AD1BD2"/>
    <w:rsid w:val="00AD5B0B"/>
    <w:rsid w:val="00AD5EEC"/>
    <w:rsid w:val="00AD6231"/>
    <w:rsid w:val="00AD6C62"/>
    <w:rsid w:val="00AE025C"/>
    <w:rsid w:val="00AE0FE2"/>
    <w:rsid w:val="00AE1BF1"/>
    <w:rsid w:val="00AE61CE"/>
    <w:rsid w:val="00AE642B"/>
    <w:rsid w:val="00AE7394"/>
    <w:rsid w:val="00AE794D"/>
    <w:rsid w:val="00AF0DD2"/>
    <w:rsid w:val="00AF2083"/>
    <w:rsid w:val="00AF3C54"/>
    <w:rsid w:val="00AF43ED"/>
    <w:rsid w:val="00AF4EB7"/>
    <w:rsid w:val="00AF525A"/>
    <w:rsid w:val="00AF7F8C"/>
    <w:rsid w:val="00B01125"/>
    <w:rsid w:val="00B03D0F"/>
    <w:rsid w:val="00B04835"/>
    <w:rsid w:val="00B05537"/>
    <w:rsid w:val="00B05E4A"/>
    <w:rsid w:val="00B05F99"/>
    <w:rsid w:val="00B060FB"/>
    <w:rsid w:val="00B10314"/>
    <w:rsid w:val="00B119E7"/>
    <w:rsid w:val="00B11B50"/>
    <w:rsid w:val="00B11B66"/>
    <w:rsid w:val="00B13048"/>
    <w:rsid w:val="00B143F7"/>
    <w:rsid w:val="00B1589A"/>
    <w:rsid w:val="00B15998"/>
    <w:rsid w:val="00B15E89"/>
    <w:rsid w:val="00B17152"/>
    <w:rsid w:val="00B1716D"/>
    <w:rsid w:val="00B17382"/>
    <w:rsid w:val="00B17A1D"/>
    <w:rsid w:val="00B207A0"/>
    <w:rsid w:val="00B21F30"/>
    <w:rsid w:val="00B22836"/>
    <w:rsid w:val="00B22B49"/>
    <w:rsid w:val="00B237C8"/>
    <w:rsid w:val="00B23C7C"/>
    <w:rsid w:val="00B2538C"/>
    <w:rsid w:val="00B25DEF"/>
    <w:rsid w:val="00B303E0"/>
    <w:rsid w:val="00B32CCA"/>
    <w:rsid w:val="00B33370"/>
    <w:rsid w:val="00B35EC8"/>
    <w:rsid w:val="00B37B3D"/>
    <w:rsid w:val="00B401B9"/>
    <w:rsid w:val="00B4062E"/>
    <w:rsid w:val="00B4106B"/>
    <w:rsid w:val="00B41E16"/>
    <w:rsid w:val="00B45CF1"/>
    <w:rsid w:val="00B5041C"/>
    <w:rsid w:val="00B51A63"/>
    <w:rsid w:val="00B52CA9"/>
    <w:rsid w:val="00B54CBE"/>
    <w:rsid w:val="00B556A3"/>
    <w:rsid w:val="00B55E69"/>
    <w:rsid w:val="00B56E03"/>
    <w:rsid w:val="00B60F5D"/>
    <w:rsid w:val="00B62437"/>
    <w:rsid w:val="00B67E91"/>
    <w:rsid w:val="00B70B8F"/>
    <w:rsid w:val="00B72476"/>
    <w:rsid w:val="00B73CAC"/>
    <w:rsid w:val="00B73E17"/>
    <w:rsid w:val="00B74FFB"/>
    <w:rsid w:val="00B77B61"/>
    <w:rsid w:val="00B8068F"/>
    <w:rsid w:val="00B8080B"/>
    <w:rsid w:val="00B824BF"/>
    <w:rsid w:val="00B85925"/>
    <w:rsid w:val="00B87C39"/>
    <w:rsid w:val="00B904E6"/>
    <w:rsid w:val="00B90B60"/>
    <w:rsid w:val="00B92136"/>
    <w:rsid w:val="00B933E6"/>
    <w:rsid w:val="00B94181"/>
    <w:rsid w:val="00B97FBC"/>
    <w:rsid w:val="00BA01CE"/>
    <w:rsid w:val="00BA320F"/>
    <w:rsid w:val="00BA44BF"/>
    <w:rsid w:val="00BA4665"/>
    <w:rsid w:val="00BA5AD4"/>
    <w:rsid w:val="00BA7D10"/>
    <w:rsid w:val="00BB0DCE"/>
    <w:rsid w:val="00BB2499"/>
    <w:rsid w:val="00BB2FB2"/>
    <w:rsid w:val="00BB3304"/>
    <w:rsid w:val="00BB52EB"/>
    <w:rsid w:val="00BB710E"/>
    <w:rsid w:val="00BC371F"/>
    <w:rsid w:val="00BC408F"/>
    <w:rsid w:val="00BC45FF"/>
    <w:rsid w:val="00BC5086"/>
    <w:rsid w:val="00BC596F"/>
    <w:rsid w:val="00BC5D09"/>
    <w:rsid w:val="00BC73FD"/>
    <w:rsid w:val="00BD09B8"/>
    <w:rsid w:val="00BD3023"/>
    <w:rsid w:val="00BD3446"/>
    <w:rsid w:val="00BD73A2"/>
    <w:rsid w:val="00BE0B92"/>
    <w:rsid w:val="00BE1F1B"/>
    <w:rsid w:val="00BE46DC"/>
    <w:rsid w:val="00BE47B5"/>
    <w:rsid w:val="00BE4C99"/>
    <w:rsid w:val="00BE52DB"/>
    <w:rsid w:val="00BE6A57"/>
    <w:rsid w:val="00BE7286"/>
    <w:rsid w:val="00BE7CF1"/>
    <w:rsid w:val="00BF1630"/>
    <w:rsid w:val="00BF20DA"/>
    <w:rsid w:val="00BF2191"/>
    <w:rsid w:val="00BF2267"/>
    <w:rsid w:val="00BF24D7"/>
    <w:rsid w:val="00BF5CB9"/>
    <w:rsid w:val="00BF7511"/>
    <w:rsid w:val="00BF7E40"/>
    <w:rsid w:val="00C01DF0"/>
    <w:rsid w:val="00C058AB"/>
    <w:rsid w:val="00C06739"/>
    <w:rsid w:val="00C06D47"/>
    <w:rsid w:val="00C07176"/>
    <w:rsid w:val="00C079B0"/>
    <w:rsid w:val="00C10959"/>
    <w:rsid w:val="00C11F8D"/>
    <w:rsid w:val="00C12B74"/>
    <w:rsid w:val="00C14A65"/>
    <w:rsid w:val="00C14B41"/>
    <w:rsid w:val="00C2054E"/>
    <w:rsid w:val="00C2083D"/>
    <w:rsid w:val="00C2110E"/>
    <w:rsid w:val="00C2174C"/>
    <w:rsid w:val="00C2196E"/>
    <w:rsid w:val="00C21DA5"/>
    <w:rsid w:val="00C24C1B"/>
    <w:rsid w:val="00C25609"/>
    <w:rsid w:val="00C2776B"/>
    <w:rsid w:val="00C27D8B"/>
    <w:rsid w:val="00C30089"/>
    <w:rsid w:val="00C301EB"/>
    <w:rsid w:val="00C32528"/>
    <w:rsid w:val="00C3273B"/>
    <w:rsid w:val="00C33FDD"/>
    <w:rsid w:val="00C35EDE"/>
    <w:rsid w:val="00C366BD"/>
    <w:rsid w:val="00C36C87"/>
    <w:rsid w:val="00C37091"/>
    <w:rsid w:val="00C41FB0"/>
    <w:rsid w:val="00C42A0C"/>
    <w:rsid w:val="00C42F6B"/>
    <w:rsid w:val="00C43865"/>
    <w:rsid w:val="00C43B5A"/>
    <w:rsid w:val="00C4496C"/>
    <w:rsid w:val="00C50871"/>
    <w:rsid w:val="00C5242B"/>
    <w:rsid w:val="00C538A9"/>
    <w:rsid w:val="00C53B5A"/>
    <w:rsid w:val="00C54AD2"/>
    <w:rsid w:val="00C54D41"/>
    <w:rsid w:val="00C54F5A"/>
    <w:rsid w:val="00C6013C"/>
    <w:rsid w:val="00C6198B"/>
    <w:rsid w:val="00C61D58"/>
    <w:rsid w:val="00C61E19"/>
    <w:rsid w:val="00C64080"/>
    <w:rsid w:val="00C65441"/>
    <w:rsid w:val="00C66C66"/>
    <w:rsid w:val="00C66D44"/>
    <w:rsid w:val="00C67014"/>
    <w:rsid w:val="00C6726B"/>
    <w:rsid w:val="00C673FD"/>
    <w:rsid w:val="00C67452"/>
    <w:rsid w:val="00C7118B"/>
    <w:rsid w:val="00C71586"/>
    <w:rsid w:val="00C755AD"/>
    <w:rsid w:val="00C75A11"/>
    <w:rsid w:val="00C801FD"/>
    <w:rsid w:val="00C8194B"/>
    <w:rsid w:val="00C83C3D"/>
    <w:rsid w:val="00C83EB2"/>
    <w:rsid w:val="00C86679"/>
    <w:rsid w:val="00C86689"/>
    <w:rsid w:val="00C90A03"/>
    <w:rsid w:val="00C92AB0"/>
    <w:rsid w:val="00C93069"/>
    <w:rsid w:val="00C950F7"/>
    <w:rsid w:val="00C97747"/>
    <w:rsid w:val="00CA11F7"/>
    <w:rsid w:val="00CA2291"/>
    <w:rsid w:val="00CA67D7"/>
    <w:rsid w:val="00CB0CFD"/>
    <w:rsid w:val="00CB1F66"/>
    <w:rsid w:val="00CB34D9"/>
    <w:rsid w:val="00CB3B3C"/>
    <w:rsid w:val="00CB4400"/>
    <w:rsid w:val="00CB666B"/>
    <w:rsid w:val="00CB67E9"/>
    <w:rsid w:val="00CC2F68"/>
    <w:rsid w:val="00CC30E0"/>
    <w:rsid w:val="00CC318D"/>
    <w:rsid w:val="00CC35A5"/>
    <w:rsid w:val="00CC49D4"/>
    <w:rsid w:val="00CC6101"/>
    <w:rsid w:val="00CD0C7B"/>
    <w:rsid w:val="00CD17E1"/>
    <w:rsid w:val="00CD2B28"/>
    <w:rsid w:val="00CD403F"/>
    <w:rsid w:val="00CD44C4"/>
    <w:rsid w:val="00CD52B2"/>
    <w:rsid w:val="00CD678B"/>
    <w:rsid w:val="00CD7174"/>
    <w:rsid w:val="00CD7C01"/>
    <w:rsid w:val="00CE1EE0"/>
    <w:rsid w:val="00CE3FFD"/>
    <w:rsid w:val="00CE564D"/>
    <w:rsid w:val="00CF1580"/>
    <w:rsid w:val="00CF2EB3"/>
    <w:rsid w:val="00CF5B64"/>
    <w:rsid w:val="00CF6F5A"/>
    <w:rsid w:val="00CF799E"/>
    <w:rsid w:val="00CF7B5F"/>
    <w:rsid w:val="00D007FA"/>
    <w:rsid w:val="00D0094A"/>
    <w:rsid w:val="00D00CA6"/>
    <w:rsid w:val="00D01CF0"/>
    <w:rsid w:val="00D0442A"/>
    <w:rsid w:val="00D04984"/>
    <w:rsid w:val="00D0516C"/>
    <w:rsid w:val="00D11881"/>
    <w:rsid w:val="00D11D2D"/>
    <w:rsid w:val="00D160AD"/>
    <w:rsid w:val="00D1719D"/>
    <w:rsid w:val="00D179D5"/>
    <w:rsid w:val="00D203E1"/>
    <w:rsid w:val="00D20747"/>
    <w:rsid w:val="00D20B8C"/>
    <w:rsid w:val="00D214C1"/>
    <w:rsid w:val="00D24A55"/>
    <w:rsid w:val="00D263E9"/>
    <w:rsid w:val="00D27AA9"/>
    <w:rsid w:val="00D31955"/>
    <w:rsid w:val="00D347CE"/>
    <w:rsid w:val="00D35605"/>
    <w:rsid w:val="00D35ACD"/>
    <w:rsid w:val="00D35BE3"/>
    <w:rsid w:val="00D40292"/>
    <w:rsid w:val="00D41035"/>
    <w:rsid w:val="00D41684"/>
    <w:rsid w:val="00D444BA"/>
    <w:rsid w:val="00D44899"/>
    <w:rsid w:val="00D45835"/>
    <w:rsid w:val="00D4636B"/>
    <w:rsid w:val="00D46A7F"/>
    <w:rsid w:val="00D47465"/>
    <w:rsid w:val="00D508ED"/>
    <w:rsid w:val="00D5094B"/>
    <w:rsid w:val="00D516E0"/>
    <w:rsid w:val="00D519DE"/>
    <w:rsid w:val="00D53BC6"/>
    <w:rsid w:val="00D53FB1"/>
    <w:rsid w:val="00D544B8"/>
    <w:rsid w:val="00D5479E"/>
    <w:rsid w:val="00D567F8"/>
    <w:rsid w:val="00D56F78"/>
    <w:rsid w:val="00D57B2F"/>
    <w:rsid w:val="00D607C3"/>
    <w:rsid w:val="00D60C8F"/>
    <w:rsid w:val="00D61388"/>
    <w:rsid w:val="00D61A54"/>
    <w:rsid w:val="00D62C42"/>
    <w:rsid w:val="00D63D68"/>
    <w:rsid w:val="00D64AF7"/>
    <w:rsid w:val="00D64DEA"/>
    <w:rsid w:val="00D73D5F"/>
    <w:rsid w:val="00D756DD"/>
    <w:rsid w:val="00D75A1E"/>
    <w:rsid w:val="00D765B1"/>
    <w:rsid w:val="00D773B7"/>
    <w:rsid w:val="00D80893"/>
    <w:rsid w:val="00D8203C"/>
    <w:rsid w:val="00D822FA"/>
    <w:rsid w:val="00D82B3B"/>
    <w:rsid w:val="00D82BE8"/>
    <w:rsid w:val="00D83F5C"/>
    <w:rsid w:val="00D8433D"/>
    <w:rsid w:val="00D84AD1"/>
    <w:rsid w:val="00D861CE"/>
    <w:rsid w:val="00D8659B"/>
    <w:rsid w:val="00D8789B"/>
    <w:rsid w:val="00D9085B"/>
    <w:rsid w:val="00D919D5"/>
    <w:rsid w:val="00D92CF1"/>
    <w:rsid w:val="00D92D38"/>
    <w:rsid w:val="00D94423"/>
    <w:rsid w:val="00D950F5"/>
    <w:rsid w:val="00D95A7F"/>
    <w:rsid w:val="00D97319"/>
    <w:rsid w:val="00DA0FDD"/>
    <w:rsid w:val="00DA1A14"/>
    <w:rsid w:val="00DA1C30"/>
    <w:rsid w:val="00DA33DD"/>
    <w:rsid w:val="00DA3DF1"/>
    <w:rsid w:val="00DA3E54"/>
    <w:rsid w:val="00DA40B0"/>
    <w:rsid w:val="00DA47EB"/>
    <w:rsid w:val="00DB0902"/>
    <w:rsid w:val="00DB0F93"/>
    <w:rsid w:val="00DB31C2"/>
    <w:rsid w:val="00DB4278"/>
    <w:rsid w:val="00DC01FA"/>
    <w:rsid w:val="00DC18B6"/>
    <w:rsid w:val="00DC25F4"/>
    <w:rsid w:val="00DC2B91"/>
    <w:rsid w:val="00DC33BE"/>
    <w:rsid w:val="00DC3E23"/>
    <w:rsid w:val="00DC542F"/>
    <w:rsid w:val="00DC7981"/>
    <w:rsid w:val="00DD1EBA"/>
    <w:rsid w:val="00DD2582"/>
    <w:rsid w:val="00DD3148"/>
    <w:rsid w:val="00DD32A0"/>
    <w:rsid w:val="00DD32CC"/>
    <w:rsid w:val="00DE06DE"/>
    <w:rsid w:val="00DE44D6"/>
    <w:rsid w:val="00DE4EFA"/>
    <w:rsid w:val="00DE50AC"/>
    <w:rsid w:val="00DE5520"/>
    <w:rsid w:val="00DE5C97"/>
    <w:rsid w:val="00DF02B8"/>
    <w:rsid w:val="00DF5416"/>
    <w:rsid w:val="00DF74A4"/>
    <w:rsid w:val="00E03D21"/>
    <w:rsid w:val="00E047DE"/>
    <w:rsid w:val="00E04818"/>
    <w:rsid w:val="00E06442"/>
    <w:rsid w:val="00E129A1"/>
    <w:rsid w:val="00E14C01"/>
    <w:rsid w:val="00E16F7D"/>
    <w:rsid w:val="00E17EC2"/>
    <w:rsid w:val="00E20E36"/>
    <w:rsid w:val="00E21667"/>
    <w:rsid w:val="00E2341E"/>
    <w:rsid w:val="00E237BC"/>
    <w:rsid w:val="00E23993"/>
    <w:rsid w:val="00E23D0A"/>
    <w:rsid w:val="00E25B8C"/>
    <w:rsid w:val="00E25FC5"/>
    <w:rsid w:val="00E267ED"/>
    <w:rsid w:val="00E2710B"/>
    <w:rsid w:val="00E30300"/>
    <w:rsid w:val="00E30C5C"/>
    <w:rsid w:val="00E32162"/>
    <w:rsid w:val="00E349D0"/>
    <w:rsid w:val="00E402D4"/>
    <w:rsid w:val="00E42743"/>
    <w:rsid w:val="00E445D2"/>
    <w:rsid w:val="00E4674F"/>
    <w:rsid w:val="00E5318A"/>
    <w:rsid w:val="00E549F0"/>
    <w:rsid w:val="00E56849"/>
    <w:rsid w:val="00E60522"/>
    <w:rsid w:val="00E63639"/>
    <w:rsid w:val="00E63A99"/>
    <w:rsid w:val="00E641A1"/>
    <w:rsid w:val="00E64B54"/>
    <w:rsid w:val="00E65C85"/>
    <w:rsid w:val="00E66199"/>
    <w:rsid w:val="00E67C38"/>
    <w:rsid w:val="00E700AA"/>
    <w:rsid w:val="00E7145B"/>
    <w:rsid w:val="00E71BFF"/>
    <w:rsid w:val="00E74EF5"/>
    <w:rsid w:val="00E755EC"/>
    <w:rsid w:val="00E7624D"/>
    <w:rsid w:val="00E76715"/>
    <w:rsid w:val="00E76E0B"/>
    <w:rsid w:val="00E8112B"/>
    <w:rsid w:val="00E82861"/>
    <w:rsid w:val="00E85DA9"/>
    <w:rsid w:val="00E86A44"/>
    <w:rsid w:val="00E86C5F"/>
    <w:rsid w:val="00E86D20"/>
    <w:rsid w:val="00E86EC7"/>
    <w:rsid w:val="00E87883"/>
    <w:rsid w:val="00E90CC5"/>
    <w:rsid w:val="00E92103"/>
    <w:rsid w:val="00E929B3"/>
    <w:rsid w:val="00E934C3"/>
    <w:rsid w:val="00E94C6C"/>
    <w:rsid w:val="00E965DB"/>
    <w:rsid w:val="00EA0B3B"/>
    <w:rsid w:val="00EA12FC"/>
    <w:rsid w:val="00EA138B"/>
    <w:rsid w:val="00EA2D1C"/>
    <w:rsid w:val="00EA3D42"/>
    <w:rsid w:val="00EA6B1B"/>
    <w:rsid w:val="00EA74BC"/>
    <w:rsid w:val="00EB0C88"/>
    <w:rsid w:val="00EB1461"/>
    <w:rsid w:val="00EB1986"/>
    <w:rsid w:val="00EB53C3"/>
    <w:rsid w:val="00EB5683"/>
    <w:rsid w:val="00EB61BE"/>
    <w:rsid w:val="00EC0A7B"/>
    <w:rsid w:val="00EC3C15"/>
    <w:rsid w:val="00EC4D7C"/>
    <w:rsid w:val="00EC789D"/>
    <w:rsid w:val="00ED34D6"/>
    <w:rsid w:val="00EE28F3"/>
    <w:rsid w:val="00EE477E"/>
    <w:rsid w:val="00EE4922"/>
    <w:rsid w:val="00EE7652"/>
    <w:rsid w:val="00EF0293"/>
    <w:rsid w:val="00EF11D3"/>
    <w:rsid w:val="00EF5110"/>
    <w:rsid w:val="00EF739E"/>
    <w:rsid w:val="00F00AFF"/>
    <w:rsid w:val="00F015F6"/>
    <w:rsid w:val="00F026AB"/>
    <w:rsid w:val="00F02CB7"/>
    <w:rsid w:val="00F05BE9"/>
    <w:rsid w:val="00F05DCE"/>
    <w:rsid w:val="00F05EF0"/>
    <w:rsid w:val="00F10F9F"/>
    <w:rsid w:val="00F127DC"/>
    <w:rsid w:val="00F131AF"/>
    <w:rsid w:val="00F13D08"/>
    <w:rsid w:val="00F15882"/>
    <w:rsid w:val="00F16721"/>
    <w:rsid w:val="00F16F9E"/>
    <w:rsid w:val="00F20BD3"/>
    <w:rsid w:val="00F2317B"/>
    <w:rsid w:val="00F24E4F"/>
    <w:rsid w:val="00F255EC"/>
    <w:rsid w:val="00F26096"/>
    <w:rsid w:val="00F26BCE"/>
    <w:rsid w:val="00F26F3D"/>
    <w:rsid w:val="00F27577"/>
    <w:rsid w:val="00F3069A"/>
    <w:rsid w:val="00F32841"/>
    <w:rsid w:val="00F32E9C"/>
    <w:rsid w:val="00F3384E"/>
    <w:rsid w:val="00F373A5"/>
    <w:rsid w:val="00F40045"/>
    <w:rsid w:val="00F4024D"/>
    <w:rsid w:val="00F41793"/>
    <w:rsid w:val="00F455C7"/>
    <w:rsid w:val="00F47559"/>
    <w:rsid w:val="00F505ED"/>
    <w:rsid w:val="00F534B5"/>
    <w:rsid w:val="00F55DC5"/>
    <w:rsid w:val="00F60095"/>
    <w:rsid w:val="00F60BE4"/>
    <w:rsid w:val="00F61B84"/>
    <w:rsid w:val="00F62762"/>
    <w:rsid w:val="00F63C78"/>
    <w:rsid w:val="00F64C7B"/>
    <w:rsid w:val="00F65498"/>
    <w:rsid w:val="00F676DD"/>
    <w:rsid w:val="00F71265"/>
    <w:rsid w:val="00F74B57"/>
    <w:rsid w:val="00F7500F"/>
    <w:rsid w:val="00F75557"/>
    <w:rsid w:val="00F75A26"/>
    <w:rsid w:val="00F76B9C"/>
    <w:rsid w:val="00F775F7"/>
    <w:rsid w:val="00F77B5B"/>
    <w:rsid w:val="00F81FB7"/>
    <w:rsid w:val="00F82CFB"/>
    <w:rsid w:val="00F83FAD"/>
    <w:rsid w:val="00F91DC6"/>
    <w:rsid w:val="00F92468"/>
    <w:rsid w:val="00F92905"/>
    <w:rsid w:val="00F952A0"/>
    <w:rsid w:val="00F96561"/>
    <w:rsid w:val="00F967E7"/>
    <w:rsid w:val="00FA19F3"/>
    <w:rsid w:val="00FA34A8"/>
    <w:rsid w:val="00FA3C7F"/>
    <w:rsid w:val="00FA5D42"/>
    <w:rsid w:val="00FA6639"/>
    <w:rsid w:val="00FB0C75"/>
    <w:rsid w:val="00FB1A1F"/>
    <w:rsid w:val="00FB2088"/>
    <w:rsid w:val="00FB344B"/>
    <w:rsid w:val="00FB4D91"/>
    <w:rsid w:val="00FB52D7"/>
    <w:rsid w:val="00FB5AC6"/>
    <w:rsid w:val="00FB6087"/>
    <w:rsid w:val="00FB74E2"/>
    <w:rsid w:val="00FB7513"/>
    <w:rsid w:val="00FC134F"/>
    <w:rsid w:val="00FC19A2"/>
    <w:rsid w:val="00FC2D46"/>
    <w:rsid w:val="00FC2F9D"/>
    <w:rsid w:val="00FC4604"/>
    <w:rsid w:val="00FC6C38"/>
    <w:rsid w:val="00FC7CC7"/>
    <w:rsid w:val="00FC7E04"/>
    <w:rsid w:val="00FD0948"/>
    <w:rsid w:val="00FD36A7"/>
    <w:rsid w:val="00FD4971"/>
    <w:rsid w:val="00FD5614"/>
    <w:rsid w:val="00FD5A2E"/>
    <w:rsid w:val="00FD69F7"/>
    <w:rsid w:val="00FD7B8F"/>
    <w:rsid w:val="00FE0A15"/>
    <w:rsid w:val="00FE0BE1"/>
    <w:rsid w:val="00FE1131"/>
    <w:rsid w:val="00FE1DE9"/>
    <w:rsid w:val="00FE2BAE"/>
    <w:rsid w:val="00FE36F8"/>
    <w:rsid w:val="00FE39C2"/>
    <w:rsid w:val="00FE64AE"/>
    <w:rsid w:val="00FE798D"/>
    <w:rsid w:val="00FE7A8B"/>
    <w:rsid w:val="00FF12AD"/>
    <w:rsid w:val="00FF3203"/>
    <w:rsid w:val="00FF7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FC2F9D"/>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1C2720"/>
    <w:pPr>
      <w:keepNext/>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4A6547"/>
    <w:pPr>
      <w:keepNext/>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1C2720"/>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4A6547"/>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016F36"/>
    <w:pPr>
      <w:keepNext/>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B143F7"/>
    <w:pPr>
      <w:keepNext/>
      <w:spacing w:before="240" w:after="120"/>
    </w:pPr>
    <w:rPr>
      <w:b/>
      <w:szCs w:val="20"/>
    </w:rPr>
  </w:style>
  <w:style w:type="character" w:customStyle="1" w:styleId="TabletitleChar">
    <w:name w:val="Table title Char"/>
    <w:basedOn w:val="DefaultParagraphFont"/>
    <w:link w:val="Tabletitle"/>
    <w:rsid w:val="00B143F7"/>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D214C1"/>
    <w:pPr>
      <w:spacing w:before="120" w:after="120"/>
    </w:pPr>
    <w:rPr>
      <w:color w:val="000000" w:themeColor="text1" w:themeShade="BF"/>
    </w:rPr>
    <w:tblPr>
      <w:tblStyleRowBandSize w:val="1"/>
      <w:tblStyleColBandSize w:val="1"/>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paragraph" w:customStyle="1" w:styleId="Tabletextheadingleft">
    <w:name w:val="Table text heading left"/>
    <w:autoRedefine/>
    <w:qFormat/>
    <w:rsid w:val="00D97319"/>
    <w:pPr>
      <w:spacing w:before="120" w:after="120"/>
    </w:pPr>
    <w:rPr>
      <w:rFonts w:ascii="Arial" w:hAnsi="Arial"/>
      <w:b/>
      <w:sz w:val="18"/>
    </w:rPr>
  </w:style>
  <w:style w:type="paragraph" w:customStyle="1" w:styleId="Tabletextheadingcentre">
    <w:name w:val="Table text heading centre"/>
    <w:basedOn w:val="Tabletextheadingleft"/>
    <w:autoRedefine/>
    <w:qFormat/>
    <w:rsid w:val="00D97319"/>
    <w:pPr>
      <w:jc w:val="center"/>
    </w:pPr>
  </w:style>
  <w:style w:type="paragraph" w:customStyle="1" w:styleId="Tabletextheadingright">
    <w:name w:val="Table text heading right"/>
    <w:basedOn w:val="Tabletextheadingleft"/>
    <w:autoRedefine/>
    <w:qFormat/>
    <w:rsid w:val="00D97319"/>
    <w:pPr>
      <w:jc w:val="right"/>
    </w:pPr>
  </w:style>
  <w:style w:type="paragraph" w:customStyle="1" w:styleId="Tabletextleft">
    <w:name w:val="Table text left"/>
    <w:autoRedefine/>
    <w:qFormat/>
    <w:rsid w:val="00FD0948"/>
    <w:pPr>
      <w:spacing w:before="120" w:after="120"/>
    </w:pPr>
    <w:rPr>
      <w:rFonts w:ascii="Arial" w:hAnsi="Arial"/>
      <w:sz w:val="18"/>
    </w:rPr>
  </w:style>
  <w:style w:type="paragraph" w:customStyle="1" w:styleId="Tabletextcentre">
    <w:name w:val="Table text centre"/>
    <w:basedOn w:val="Tabletextleft"/>
    <w:autoRedefine/>
    <w:qFormat/>
    <w:rsid w:val="00D97319"/>
    <w:pPr>
      <w:jc w:val="center"/>
    </w:pPr>
  </w:style>
  <w:style w:type="paragraph" w:customStyle="1" w:styleId="Tabletextright">
    <w:name w:val="Table text right"/>
    <w:basedOn w:val="Tabletextleft"/>
    <w:autoRedefine/>
    <w:qFormat/>
    <w:rsid w:val="00BF7511"/>
    <w:pPr>
      <w:jc w:val="right"/>
    </w:pPr>
  </w:style>
  <w:style w:type="paragraph" w:customStyle="1" w:styleId="Tabletextlistbullet">
    <w:name w:val="Table text list bullet"/>
    <w:basedOn w:val="Tabletextleft"/>
    <w:autoRedefine/>
    <w:qFormat/>
    <w:rsid w:val="00D97319"/>
    <w:pPr>
      <w:numPr>
        <w:numId w:val="28"/>
      </w:numPr>
      <w:ind w:left="357" w:hanging="357"/>
    </w:pPr>
  </w:style>
  <w:style w:type="paragraph" w:customStyle="1" w:styleId="Summaryheading">
    <w:name w:val="Summary heading"/>
    <w:basedOn w:val="Normal"/>
    <w:next w:val="Normal"/>
    <w:autoRedefine/>
    <w:qFormat/>
    <w:rsid w:val="006E5543"/>
    <w:pPr>
      <w:pageBreakBefore/>
      <w:spacing w:before="360" w:after="360"/>
      <w:outlineLvl w:val="0"/>
    </w:pPr>
    <w:rPr>
      <w:rFonts w:ascii="Lucida Fax" w:eastAsiaTheme="majorEastAsia" w:hAnsi="Lucida Fax" w:cstheme="majorBidi"/>
      <w:b/>
      <w:bCs/>
      <w:sz w:val="36"/>
      <w:szCs w:val="28"/>
    </w:rPr>
  </w:style>
  <w:style w:type="paragraph" w:customStyle="1" w:styleId="Appendixheading1">
    <w:name w:val="Appendix heading 1"/>
    <w:basedOn w:val="Normal"/>
    <w:next w:val="Normal"/>
    <w:autoRedefine/>
    <w:qFormat/>
    <w:rsid w:val="006E5543"/>
    <w:pPr>
      <w:pageBreakBefore/>
      <w:numPr>
        <w:numId w:val="29"/>
      </w:numPr>
      <w:spacing w:before="360" w:after="360"/>
      <w:outlineLvl w:val="0"/>
    </w:pPr>
    <w:rPr>
      <w:rFonts w:ascii="Lucida Fax" w:eastAsiaTheme="majorEastAsia" w:hAnsi="Lucida Fax" w:cstheme="majorBidi"/>
      <w:bCs/>
      <w:color w:val="51626F" w:themeColor="accent1"/>
      <w:sz w:val="36"/>
      <w:szCs w:val="28"/>
    </w:rPr>
  </w:style>
  <w:style w:type="paragraph" w:customStyle="1" w:styleId="Appendixheading2">
    <w:name w:val="Appendix heading 2"/>
    <w:basedOn w:val="Normal"/>
    <w:next w:val="Normal"/>
    <w:autoRedefine/>
    <w:qFormat/>
    <w:rsid w:val="006E5543"/>
    <w:pPr>
      <w:numPr>
        <w:ilvl w:val="1"/>
        <w:numId w:val="29"/>
      </w:numPr>
      <w:spacing w:before="240" w:after="240"/>
    </w:pPr>
    <w:rPr>
      <w:rFonts w:eastAsiaTheme="majorEastAsia" w:cstheme="majorBidi"/>
      <w:b/>
      <w:bCs/>
      <w:color w:val="51626F" w:themeColor="accent1"/>
      <w:sz w:val="32"/>
      <w:szCs w:val="28"/>
    </w:rPr>
  </w:style>
  <w:style w:type="paragraph" w:customStyle="1" w:styleId="Appendixheading3">
    <w:name w:val="Appendix heading 3"/>
    <w:basedOn w:val="Normal"/>
    <w:next w:val="Normal"/>
    <w:autoRedefine/>
    <w:qFormat/>
    <w:rsid w:val="006E5543"/>
    <w:pPr>
      <w:keepNext/>
      <w:numPr>
        <w:ilvl w:val="2"/>
        <w:numId w:val="29"/>
      </w:numPr>
      <w:spacing w:before="120" w:after="120"/>
    </w:pPr>
    <w:rPr>
      <w:rFonts w:eastAsiaTheme="majorEastAsia" w:cstheme="majorBidi"/>
      <w:b/>
      <w:bCs/>
      <w:sz w:val="24"/>
      <w:szCs w:val="28"/>
    </w:rPr>
  </w:style>
  <w:style w:type="paragraph" w:customStyle="1" w:styleId="Appendixheading4">
    <w:name w:val="Appendix heading 4"/>
    <w:basedOn w:val="Normal"/>
    <w:next w:val="Normal"/>
    <w:autoRedefine/>
    <w:qFormat/>
    <w:rsid w:val="006E5543"/>
    <w:pPr>
      <w:keepNext/>
      <w:numPr>
        <w:ilvl w:val="3"/>
        <w:numId w:val="29"/>
      </w:numPr>
      <w:spacing w:before="120" w:after="120"/>
    </w:pPr>
    <w:rPr>
      <w:rFonts w:eastAsiaTheme="majorEastAsia" w:cstheme="majorBidi"/>
      <w:b/>
      <w:bCs/>
      <w:i/>
      <w:color w:val="51626F" w:themeColor="accent1"/>
      <w:sz w:val="24"/>
      <w:szCs w:val="28"/>
    </w:rPr>
  </w:style>
  <w:style w:type="paragraph" w:customStyle="1" w:styleId="Appendixtabletitle">
    <w:name w:val="Appendix table title"/>
    <w:basedOn w:val="Normal"/>
    <w:next w:val="Normal"/>
    <w:qFormat/>
    <w:rsid w:val="006E5543"/>
    <w:pPr>
      <w:keepNext/>
      <w:numPr>
        <w:ilvl w:val="4"/>
        <w:numId w:val="29"/>
      </w:numPr>
      <w:spacing w:before="120" w:after="60"/>
      <w:ind w:left="958" w:hanging="958"/>
    </w:pPr>
    <w:rPr>
      <w:rFonts w:eastAsiaTheme="majorEastAsia" w:cstheme="majorBidi"/>
      <w:b/>
      <w:bCs/>
      <w:szCs w:val="28"/>
    </w:rPr>
  </w:style>
  <w:style w:type="paragraph" w:customStyle="1" w:styleId="Listbullet1">
    <w:name w:val="List bullet 1"/>
    <w:basedOn w:val="Normal"/>
    <w:autoRedefine/>
    <w:qFormat/>
    <w:rsid w:val="00A00B2F"/>
    <w:pPr>
      <w:spacing w:before="120" w:after="240"/>
      <w:ind w:left="360" w:hanging="360"/>
    </w:pPr>
    <w:rPr>
      <w:sz w:val="20"/>
    </w:rPr>
  </w:style>
  <w:style w:type="paragraph" w:styleId="CommentText">
    <w:name w:val="annotation text"/>
    <w:basedOn w:val="Normal"/>
    <w:link w:val="CommentTextChar"/>
    <w:uiPriority w:val="99"/>
    <w:unhideWhenUsed/>
    <w:rsid w:val="00A00B2F"/>
    <w:pPr>
      <w:spacing w:before="0" w:after="240"/>
    </w:pPr>
    <w:rPr>
      <w:sz w:val="20"/>
      <w:szCs w:val="20"/>
    </w:rPr>
  </w:style>
  <w:style w:type="character" w:customStyle="1" w:styleId="CommentTextChar">
    <w:name w:val="Comment Text Char"/>
    <w:basedOn w:val="DefaultParagraphFont"/>
    <w:link w:val="CommentText"/>
    <w:uiPriority w:val="99"/>
    <w:rsid w:val="00A00B2F"/>
    <w:rPr>
      <w:rFonts w:ascii="Arial" w:hAnsi="Arial"/>
      <w:sz w:val="20"/>
      <w:szCs w:val="20"/>
    </w:rPr>
  </w:style>
  <w:style w:type="paragraph" w:customStyle="1" w:styleId="Contactsaddresses">
    <w:name w:val="Contacts addresses"/>
    <w:qFormat/>
    <w:rsid w:val="00A00B2F"/>
    <w:pPr>
      <w:pBdr>
        <w:bottom w:val="single" w:sz="2" w:space="1" w:color="auto"/>
      </w:pBdr>
      <w:spacing w:before="120" w:after="120"/>
      <w:ind w:left="454" w:hanging="454"/>
    </w:pPr>
    <w:rPr>
      <w:rFonts w:ascii="Arial" w:eastAsia="Times New Roman" w:hAnsi="Arial" w:cs="Times New Roman"/>
      <w:b/>
      <w:sz w:val="24"/>
      <w:szCs w:val="20"/>
      <w:lang w:eastAsia="en-AU"/>
    </w:rPr>
  </w:style>
  <w:style w:type="paragraph" w:customStyle="1" w:styleId="Contactsheading1">
    <w:name w:val="Contacts heading  1"/>
    <w:basedOn w:val="Normal"/>
    <w:qFormat/>
    <w:rsid w:val="00A00B2F"/>
    <w:pPr>
      <w:keepNext/>
      <w:spacing w:before="120"/>
    </w:pPr>
    <w:rPr>
      <w:rFonts w:eastAsia="Times New Roman" w:cs="Times New Roman"/>
      <w:b/>
      <w:sz w:val="20"/>
      <w:szCs w:val="20"/>
      <w:lang w:eastAsia="en-AU"/>
    </w:rPr>
  </w:style>
  <w:style w:type="paragraph" w:customStyle="1" w:styleId="Contactstext">
    <w:name w:val="Contacts text"/>
    <w:qFormat/>
    <w:rsid w:val="00A00B2F"/>
    <w:pPr>
      <w:spacing w:before="60" w:after="60"/>
    </w:pPr>
    <w:rPr>
      <w:rFonts w:ascii="Times New Roman" w:eastAsia="Times New Roman" w:hAnsi="Times New Roman" w:cs="Times New Roman"/>
      <w:sz w:val="20"/>
      <w:szCs w:val="20"/>
      <w:lang w:eastAsia="en-AU"/>
    </w:rPr>
  </w:style>
  <w:style w:type="paragraph" w:customStyle="1" w:styleId="Contactsheading2">
    <w:name w:val="Contacts heading 2"/>
    <w:basedOn w:val="Contactstext"/>
    <w:qFormat/>
    <w:rsid w:val="00A00B2F"/>
    <w:pPr>
      <w:keepNext/>
    </w:pPr>
    <w:rPr>
      <w:i/>
    </w:rPr>
  </w:style>
  <w:style w:type="character" w:styleId="CommentReference">
    <w:name w:val="annotation reference"/>
    <w:basedOn w:val="DefaultParagraphFont"/>
    <w:uiPriority w:val="99"/>
    <w:semiHidden/>
    <w:unhideWhenUsed/>
    <w:rsid w:val="0029089A"/>
    <w:rPr>
      <w:sz w:val="16"/>
      <w:szCs w:val="16"/>
    </w:rPr>
  </w:style>
  <w:style w:type="paragraph" w:styleId="CommentSubject">
    <w:name w:val="annotation subject"/>
    <w:basedOn w:val="CommentText"/>
    <w:next w:val="CommentText"/>
    <w:link w:val="CommentSubjectChar"/>
    <w:uiPriority w:val="99"/>
    <w:semiHidden/>
    <w:unhideWhenUsed/>
    <w:rsid w:val="0029089A"/>
    <w:pPr>
      <w:spacing w:before="200" w:after="0"/>
    </w:pPr>
    <w:rPr>
      <w:b/>
      <w:bCs/>
    </w:rPr>
  </w:style>
  <w:style w:type="character" w:customStyle="1" w:styleId="CommentSubjectChar">
    <w:name w:val="Comment Subject Char"/>
    <w:basedOn w:val="CommentTextChar"/>
    <w:link w:val="CommentSubject"/>
    <w:uiPriority w:val="99"/>
    <w:semiHidden/>
    <w:rsid w:val="0029089A"/>
    <w:rPr>
      <w:rFonts w:ascii="Arial" w:hAnsi="Arial"/>
      <w:b/>
      <w:bCs/>
      <w:sz w:val="20"/>
      <w:szCs w:val="20"/>
    </w:rPr>
  </w:style>
  <w:style w:type="paragraph" w:styleId="Revision">
    <w:name w:val="Revision"/>
    <w:hidden/>
    <w:uiPriority w:val="99"/>
    <w:semiHidden/>
    <w:rsid w:val="004D2799"/>
    <w:pPr>
      <w:spacing w:before="0"/>
    </w:pPr>
    <w:rPr>
      <w:rFonts w:ascii="Arial" w:hAnsi="Arial"/>
    </w:rPr>
  </w:style>
  <w:style w:type="character" w:styleId="FollowedHyperlink">
    <w:name w:val="FollowedHyperlink"/>
    <w:basedOn w:val="DefaultParagraphFont"/>
    <w:uiPriority w:val="99"/>
    <w:semiHidden/>
    <w:unhideWhenUsed/>
    <w:rsid w:val="00E71B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FC2F9D"/>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1C2720"/>
    <w:pPr>
      <w:keepNext/>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4A6547"/>
    <w:pPr>
      <w:keepNext/>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1C2720"/>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4A6547"/>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016F36"/>
    <w:pPr>
      <w:keepNext/>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B143F7"/>
    <w:pPr>
      <w:keepNext/>
      <w:spacing w:before="240" w:after="120"/>
    </w:pPr>
    <w:rPr>
      <w:b/>
      <w:szCs w:val="20"/>
    </w:rPr>
  </w:style>
  <w:style w:type="character" w:customStyle="1" w:styleId="TabletitleChar">
    <w:name w:val="Table title Char"/>
    <w:basedOn w:val="DefaultParagraphFont"/>
    <w:link w:val="Tabletitle"/>
    <w:rsid w:val="00B143F7"/>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D214C1"/>
    <w:pPr>
      <w:spacing w:before="120" w:after="120"/>
    </w:pPr>
    <w:rPr>
      <w:color w:val="000000" w:themeColor="text1" w:themeShade="BF"/>
    </w:rPr>
    <w:tblPr>
      <w:tblStyleRowBandSize w:val="1"/>
      <w:tblStyleColBandSize w:val="1"/>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paragraph" w:customStyle="1" w:styleId="Tabletextheadingleft">
    <w:name w:val="Table text heading left"/>
    <w:autoRedefine/>
    <w:qFormat/>
    <w:rsid w:val="00D97319"/>
    <w:pPr>
      <w:spacing w:before="120" w:after="120"/>
    </w:pPr>
    <w:rPr>
      <w:rFonts w:ascii="Arial" w:hAnsi="Arial"/>
      <w:b/>
      <w:sz w:val="18"/>
    </w:rPr>
  </w:style>
  <w:style w:type="paragraph" w:customStyle="1" w:styleId="Tabletextheadingcentre">
    <w:name w:val="Table text heading centre"/>
    <w:basedOn w:val="Tabletextheadingleft"/>
    <w:autoRedefine/>
    <w:qFormat/>
    <w:rsid w:val="00D97319"/>
    <w:pPr>
      <w:jc w:val="center"/>
    </w:pPr>
  </w:style>
  <w:style w:type="paragraph" w:customStyle="1" w:styleId="Tabletextheadingright">
    <w:name w:val="Table text heading right"/>
    <w:basedOn w:val="Tabletextheadingleft"/>
    <w:autoRedefine/>
    <w:qFormat/>
    <w:rsid w:val="00D97319"/>
    <w:pPr>
      <w:jc w:val="right"/>
    </w:pPr>
  </w:style>
  <w:style w:type="paragraph" w:customStyle="1" w:styleId="Tabletextleft">
    <w:name w:val="Table text left"/>
    <w:autoRedefine/>
    <w:qFormat/>
    <w:rsid w:val="00FD0948"/>
    <w:pPr>
      <w:spacing w:before="120" w:after="120"/>
    </w:pPr>
    <w:rPr>
      <w:rFonts w:ascii="Arial" w:hAnsi="Arial"/>
      <w:sz w:val="18"/>
    </w:rPr>
  </w:style>
  <w:style w:type="paragraph" w:customStyle="1" w:styleId="Tabletextcentre">
    <w:name w:val="Table text centre"/>
    <w:basedOn w:val="Tabletextleft"/>
    <w:autoRedefine/>
    <w:qFormat/>
    <w:rsid w:val="00D97319"/>
    <w:pPr>
      <w:jc w:val="center"/>
    </w:pPr>
  </w:style>
  <w:style w:type="paragraph" w:customStyle="1" w:styleId="Tabletextright">
    <w:name w:val="Table text right"/>
    <w:basedOn w:val="Tabletextleft"/>
    <w:autoRedefine/>
    <w:qFormat/>
    <w:rsid w:val="00BF7511"/>
    <w:pPr>
      <w:jc w:val="right"/>
    </w:pPr>
  </w:style>
  <w:style w:type="paragraph" w:customStyle="1" w:styleId="Tabletextlistbullet">
    <w:name w:val="Table text list bullet"/>
    <w:basedOn w:val="Tabletextleft"/>
    <w:autoRedefine/>
    <w:qFormat/>
    <w:rsid w:val="00D97319"/>
    <w:pPr>
      <w:numPr>
        <w:numId w:val="28"/>
      </w:numPr>
      <w:ind w:left="357" w:hanging="357"/>
    </w:pPr>
  </w:style>
  <w:style w:type="paragraph" w:customStyle="1" w:styleId="Summaryheading">
    <w:name w:val="Summary heading"/>
    <w:basedOn w:val="Normal"/>
    <w:next w:val="Normal"/>
    <w:autoRedefine/>
    <w:qFormat/>
    <w:rsid w:val="006E5543"/>
    <w:pPr>
      <w:pageBreakBefore/>
      <w:spacing w:before="360" w:after="360"/>
      <w:outlineLvl w:val="0"/>
    </w:pPr>
    <w:rPr>
      <w:rFonts w:ascii="Lucida Fax" w:eastAsiaTheme="majorEastAsia" w:hAnsi="Lucida Fax" w:cstheme="majorBidi"/>
      <w:b/>
      <w:bCs/>
      <w:sz w:val="36"/>
      <w:szCs w:val="28"/>
    </w:rPr>
  </w:style>
  <w:style w:type="paragraph" w:customStyle="1" w:styleId="Appendixheading1">
    <w:name w:val="Appendix heading 1"/>
    <w:basedOn w:val="Normal"/>
    <w:next w:val="Normal"/>
    <w:autoRedefine/>
    <w:qFormat/>
    <w:rsid w:val="006E5543"/>
    <w:pPr>
      <w:pageBreakBefore/>
      <w:numPr>
        <w:numId w:val="29"/>
      </w:numPr>
      <w:spacing w:before="360" w:after="360"/>
      <w:outlineLvl w:val="0"/>
    </w:pPr>
    <w:rPr>
      <w:rFonts w:ascii="Lucida Fax" w:eastAsiaTheme="majorEastAsia" w:hAnsi="Lucida Fax" w:cstheme="majorBidi"/>
      <w:bCs/>
      <w:color w:val="51626F" w:themeColor="accent1"/>
      <w:sz w:val="36"/>
      <w:szCs w:val="28"/>
    </w:rPr>
  </w:style>
  <w:style w:type="paragraph" w:customStyle="1" w:styleId="Appendixheading2">
    <w:name w:val="Appendix heading 2"/>
    <w:basedOn w:val="Normal"/>
    <w:next w:val="Normal"/>
    <w:autoRedefine/>
    <w:qFormat/>
    <w:rsid w:val="006E5543"/>
    <w:pPr>
      <w:numPr>
        <w:ilvl w:val="1"/>
        <w:numId w:val="29"/>
      </w:numPr>
      <w:spacing w:before="240" w:after="240"/>
    </w:pPr>
    <w:rPr>
      <w:rFonts w:eastAsiaTheme="majorEastAsia" w:cstheme="majorBidi"/>
      <w:b/>
      <w:bCs/>
      <w:color w:val="51626F" w:themeColor="accent1"/>
      <w:sz w:val="32"/>
      <w:szCs w:val="28"/>
    </w:rPr>
  </w:style>
  <w:style w:type="paragraph" w:customStyle="1" w:styleId="Appendixheading3">
    <w:name w:val="Appendix heading 3"/>
    <w:basedOn w:val="Normal"/>
    <w:next w:val="Normal"/>
    <w:autoRedefine/>
    <w:qFormat/>
    <w:rsid w:val="006E5543"/>
    <w:pPr>
      <w:keepNext/>
      <w:numPr>
        <w:ilvl w:val="2"/>
        <w:numId w:val="29"/>
      </w:numPr>
      <w:spacing w:before="120" w:after="120"/>
    </w:pPr>
    <w:rPr>
      <w:rFonts w:eastAsiaTheme="majorEastAsia" w:cstheme="majorBidi"/>
      <w:b/>
      <w:bCs/>
      <w:sz w:val="24"/>
      <w:szCs w:val="28"/>
    </w:rPr>
  </w:style>
  <w:style w:type="paragraph" w:customStyle="1" w:styleId="Appendixheading4">
    <w:name w:val="Appendix heading 4"/>
    <w:basedOn w:val="Normal"/>
    <w:next w:val="Normal"/>
    <w:autoRedefine/>
    <w:qFormat/>
    <w:rsid w:val="006E5543"/>
    <w:pPr>
      <w:keepNext/>
      <w:numPr>
        <w:ilvl w:val="3"/>
        <w:numId w:val="29"/>
      </w:numPr>
      <w:spacing w:before="120" w:after="120"/>
    </w:pPr>
    <w:rPr>
      <w:rFonts w:eastAsiaTheme="majorEastAsia" w:cstheme="majorBidi"/>
      <w:b/>
      <w:bCs/>
      <w:i/>
      <w:color w:val="51626F" w:themeColor="accent1"/>
      <w:sz w:val="24"/>
      <w:szCs w:val="28"/>
    </w:rPr>
  </w:style>
  <w:style w:type="paragraph" w:customStyle="1" w:styleId="Appendixtabletitle">
    <w:name w:val="Appendix table title"/>
    <w:basedOn w:val="Normal"/>
    <w:next w:val="Normal"/>
    <w:qFormat/>
    <w:rsid w:val="006E5543"/>
    <w:pPr>
      <w:keepNext/>
      <w:numPr>
        <w:ilvl w:val="4"/>
        <w:numId w:val="29"/>
      </w:numPr>
      <w:spacing w:before="120" w:after="60"/>
      <w:ind w:left="958" w:hanging="958"/>
    </w:pPr>
    <w:rPr>
      <w:rFonts w:eastAsiaTheme="majorEastAsia" w:cstheme="majorBidi"/>
      <w:b/>
      <w:bCs/>
      <w:szCs w:val="28"/>
    </w:rPr>
  </w:style>
  <w:style w:type="paragraph" w:customStyle="1" w:styleId="Listbullet1">
    <w:name w:val="List bullet 1"/>
    <w:basedOn w:val="Normal"/>
    <w:autoRedefine/>
    <w:qFormat/>
    <w:rsid w:val="00A00B2F"/>
    <w:pPr>
      <w:spacing w:before="120" w:after="240"/>
      <w:ind w:left="360" w:hanging="360"/>
    </w:pPr>
    <w:rPr>
      <w:sz w:val="20"/>
    </w:rPr>
  </w:style>
  <w:style w:type="paragraph" w:styleId="CommentText">
    <w:name w:val="annotation text"/>
    <w:basedOn w:val="Normal"/>
    <w:link w:val="CommentTextChar"/>
    <w:uiPriority w:val="99"/>
    <w:unhideWhenUsed/>
    <w:rsid w:val="00A00B2F"/>
    <w:pPr>
      <w:spacing w:before="0" w:after="240"/>
    </w:pPr>
    <w:rPr>
      <w:sz w:val="20"/>
      <w:szCs w:val="20"/>
    </w:rPr>
  </w:style>
  <w:style w:type="character" w:customStyle="1" w:styleId="CommentTextChar">
    <w:name w:val="Comment Text Char"/>
    <w:basedOn w:val="DefaultParagraphFont"/>
    <w:link w:val="CommentText"/>
    <w:uiPriority w:val="99"/>
    <w:rsid w:val="00A00B2F"/>
    <w:rPr>
      <w:rFonts w:ascii="Arial" w:hAnsi="Arial"/>
      <w:sz w:val="20"/>
      <w:szCs w:val="20"/>
    </w:rPr>
  </w:style>
  <w:style w:type="paragraph" w:customStyle="1" w:styleId="Contactsaddresses">
    <w:name w:val="Contacts addresses"/>
    <w:qFormat/>
    <w:rsid w:val="00A00B2F"/>
    <w:pPr>
      <w:pBdr>
        <w:bottom w:val="single" w:sz="2" w:space="1" w:color="auto"/>
      </w:pBdr>
      <w:spacing w:before="120" w:after="120"/>
      <w:ind w:left="454" w:hanging="454"/>
    </w:pPr>
    <w:rPr>
      <w:rFonts w:ascii="Arial" w:eastAsia="Times New Roman" w:hAnsi="Arial" w:cs="Times New Roman"/>
      <w:b/>
      <w:sz w:val="24"/>
      <w:szCs w:val="20"/>
      <w:lang w:eastAsia="en-AU"/>
    </w:rPr>
  </w:style>
  <w:style w:type="paragraph" w:customStyle="1" w:styleId="Contactsheading1">
    <w:name w:val="Contacts heading  1"/>
    <w:basedOn w:val="Normal"/>
    <w:qFormat/>
    <w:rsid w:val="00A00B2F"/>
    <w:pPr>
      <w:keepNext/>
      <w:spacing w:before="120"/>
    </w:pPr>
    <w:rPr>
      <w:rFonts w:eastAsia="Times New Roman" w:cs="Times New Roman"/>
      <w:b/>
      <w:sz w:val="20"/>
      <w:szCs w:val="20"/>
      <w:lang w:eastAsia="en-AU"/>
    </w:rPr>
  </w:style>
  <w:style w:type="paragraph" w:customStyle="1" w:styleId="Contactstext">
    <w:name w:val="Contacts text"/>
    <w:qFormat/>
    <w:rsid w:val="00A00B2F"/>
    <w:pPr>
      <w:spacing w:before="60" w:after="60"/>
    </w:pPr>
    <w:rPr>
      <w:rFonts w:ascii="Times New Roman" w:eastAsia="Times New Roman" w:hAnsi="Times New Roman" w:cs="Times New Roman"/>
      <w:sz w:val="20"/>
      <w:szCs w:val="20"/>
      <w:lang w:eastAsia="en-AU"/>
    </w:rPr>
  </w:style>
  <w:style w:type="paragraph" w:customStyle="1" w:styleId="Contactsheading2">
    <w:name w:val="Contacts heading 2"/>
    <w:basedOn w:val="Contactstext"/>
    <w:qFormat/>
    <w:rsid w:val="00A00B2F"/>
    <w:pPr>
      <w:keepNext/>
    </w:pPr>
    <w:rPr>
      <w:i/>
    </w:rPr>
  </w:style>
  <w:style w:type="character" w:styleId="CommentReference">
    <w:name w:val="annotation reference"/>
    <w:basedOn w:val="DefaultParagraphFont"/>
    <w:uiPriority w:val="99"/>
    <w:semiHidden/>
    <w:unhideWhenUsed/>
    <w:rsid w:val="0029089A"/>
    <w:rPr>
      <w:sz w:val="16"/>
      <w:szCs w:val="16"/>
    </w:rPr>
  </w:style>
  <w:style w:type="paragraph" w:styleId="CommentSubject">
    <w:name w:val="annotation subject"/>
    <w:basedOn w:val="CommentText"/>
    <w:next w:val="CommentText"/>
    <w:link w:val="CommentSubjectChar"/>
    <w:uiPriority w:val="99"/>
    <w:semiHidden/>
    <w:unhideWhenUsed/>
    <w:rsid w:val="0029089A"/>
    <w:pPr>
      <w:spacing w:before="200" w:after="0"/>
    </w:pPr>
    <w:rPr>
      <w:b/>
      <w:bCs/>
    </w:rPr>
  </w:style>
  <w:style w:type="character" w:customStyle="1" w:styleId="CommentSubjectChar">
    <w:name w:val="Comment Subject Char"/>
    <w:basedOn w:val="CommentTextChar"/>
    <w:link w:val="CommentSubject"/>
    <w:uiPriority w:val="99"/>
    <w:semiHidden/>
    <w:rsid w:val="0029089A"/>
    <w:rPr>
      <w:rFonts w:ascii="Arial" w:hAnsi="Arial"/>
      <w:b/>
      <w:bCs/>
      <w:sz w:val="20"/>
      <w:szCs w:val="20"/>
    </w:rPr>
  </w:style>
  <w:style w:type="paragraph" w:styleId="Revision">
    <w:name w:val="Revision"/>
    <w:hidden/>
    <w:uiPriority w:val="99"/>
    <w:semiHidden/>
    <w:rsid w:val="004D2799"/>
    <w:pPr>
      <w:spacing w:before="0"/>
    </w:pPr>
    <w:rPr>
      <w:rFonts w:ascii="Arial" w:hAnsi="Arial"/>
    </w:rPr>
  </w:style>
  <w:style w:type="character" w:styleId="FollowedHyperlink">
    <w:name w:val="FollowedHyperlink"/>
    <w:basedOn w:val="DefaultParagraphFont"/>
    <w:uiPriority w:val="99"/>
    <w:semiHidden/>
    <w:unhideWhenUsed/>
    <w:rsid w:val="00E7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2471">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2.xml"/><Relationship Id="rId39" Type="http://schemas.openxmlformats.org/officeDocument/2006/relationships/hyperlink" Target="file:///\\cdchnas-evs02\home$\aparn\trimdata\TRIM\TEMP\HPTRIM.7080\www.relayservice.com.au" TargetMode="External"/><Relationship Id="rId3" Type="http://schemas.openxmlformats.org/officeDocument/2006/relationships/numbering" Target="numbering.xml"/><Relationship Id="rId21" Type="http://schemas.openxmlformats.org/officeDocument/2006/relationships/chart" Target="charts/chart1.xml"/><Relationship Id="rId34" Type="http://schemas.openxmlformats.org/officeDocument/2006/relationships/image" Target="media/image16.emf"/><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image" Target="media/image15.emf"/><Relationship Id="rId38" Type="http://schemas.openxmlformats.org/officeDocument/2006/relationships/hyperlink" Target="http://www.acc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image" Target="media/image11.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image" Target="media/image17.png"/><Relationship Id="rId40" Type="http://schemas.openxmlformats.org/officeDocument/2006/relationships/hyperlink" Target="file:///\\cdchnas-evs02\home$\aparn\trimdata\TRIM\TEMP\HPTRIM.7080\www.business.gov.a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0.emf"/><Relationship Id="rId36" Type="http://schemas.openxmlformats.org/officeDocument/2006/relationships/footer" Target="footer6.xml"/><Relationship Id="rId10" Type="http://schemas.openxmlformats.org/officeDocument/2006/relationships/image" Target="media/image1.jpg"/><Relationship Id="rId19" Type="http://schemas.openxmlformats.org/officeDocument/2006/relationships/footer" Target="footer4.xml"/><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footer" Target="footer5.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ortofnewcastle.com.au/Resources/Documents/PON-Annual-Trade-Report-2014-FINAL.pdf" TargetMode="External"/><Relationship Id="rId13" Type="http://schemas.openxmlformats.org/officeDocument/2006/relationships/hyperlink" Target="https://www.coag.gov.au/node/52" TargetMode="External"/><Relationship Id="rId18" Type="http://schemas.openxmlformats.org/officeDocument/2006/relationships/hyperlink" Target="http://www.border.gov.au" TargetMode="External"/><Relationship Id="rId3" Type="http://schemas.openxmlformats.org/officeDocument/2006/relationships/hyperlink" Target="https://www.aer.gov.au/system/files/2014%20Annual%20distribution%20benchmarking%20report%20-%20November%202014_0.pdf" TargetMode="External"/><Relationship Id="rId7" Type="http://schemas.openxmlformats.org/officeDocument/2006/relationships/hyperlink" Target="http://www.fremantleports.com.au/Planning/Pages/North-Quay-container-terminals.aspx" TargetMode="External"/><Relationship Id="rId12" Type="http://schemas.openxmlformats.org/officeDocument/2006/relationships/hyperlink" Target="http://www.epa.wa.gov.au/EPADocLib/2323_B1230.pdf" TargetMode="External"/><Relationship Id="rId17" Type="http://schemas.openxmlformats.org/officeDocument/2006/relationships/hyperlink" Target="http://www.portshanghai.com.cn/en/channel1/channel11.html" TargetMode="External"/><Relationship Id="rId2" Type="http://schemas.openxmlformats.org/officeDocument/2006/relationships/hyperlink" Target="http://www.dpworldaustralia.com.au/what-we-do/our-services/" TargetMode="External"/><Relationship Id="rId16" Type="http://schemas.openxmlformats.org/officeDocument/2006/relationships/hyperlink" Target="https://shippingaustralia.com.au/new-life-for-coastal-shipping-reversing-the-rot/" TargetMode="External"/><Relationship Id="rId1" Type="http://schemas.openxmlformats.org/officeDocument/2006/relationships/hyperlink" Target="http://www.asx.com.au/asxpdf/20150624/pdf/42zcl6cqpmhzqt.pdf" TargetMode="External"/><Relationship Id="rId6" Type="http://schemas.openxmlformats.org/officeDocument/2006/relationships/hyperlink" Target="http://www.brookfieldinfrastructure.com/content/operations/transport-40805.html" TargetMode="External"/><Relationship Id="rId11" Type="http://schemas.openxmlformats.org/officeDocument/2006/relationships/hyperlink" Target="http://www.planning.wa.gov.au/dop_pub_pdf/Fremantle_Ports.pdf" TargetMode="External"/><Relationship Id="rId5" Type="http://schemas.openxmlformats.org/officeDocument/2006/relationships/hyperlink" Target="http://www.dpworldaustralia.com.au/news-and-media/latest-news/year-in-review-2014/" TargetMode="External"/><Relationship Id="rId15" Type="http://schemas.openxmlformats.org/officeDocument/2006/relationships/hyperlink" Target="http://minister.infrastructure.gov.au/wt/speeches/2015/wts007_2015.aspx" TargetMode="External"/><Relationship Id="rId10" Type="http://schemas.openxmlformats.org/officeDocument/2006/relationships/hyperlink" Target="http://ncc.gov.au/images/uploads/Glencore,_Annexure_A_(Synergies_report),_1_September_2015_(PDF,_717_KB).pdf" TargetMode="External"/><Relationship Id="rId4" Type="http://schemas.openxmlformats.org/officeDocument/2006/relationships/hyperlink" Target="http://www.dpworldaustralia.com.au/news-and-media/latest-news/year-in-review-2014/" TargetMode="External"/><Relationship Id="rId9" Type="http://schemas.openxmlformats.org/officeDocument/2006/relationships/hyperlink" Target="http://www.portofnewcastle.com.au/Resources/Documents/PON-Annual-Trade-Report-2014-FINAL.pdf" TargetMode="External"/><Relationship Id="rId14" Type="http://schemas.openxmlformats.org/officeDocument/2006/relationships/hyperlink" Target="http://www.bitre.gov.au/publications/2014/report_138.asp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chnas-evs02\home$\cyen\20150813%20master%20spreadsheet%20-%20container%20stevedoring%20monitoring%20report%202014-15%20(D2015-0012052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chnas-evs02\home$\cyen\20150813%20master%20spreadsheet%20-%20container%20stevedoring%20monitoring%20report%202014-15%20(D2015-0012052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69538288289111"/>
          <c:y val="0.11206243386243386"/>
          <c:w val="0.55507563813816285"/>
          <c:h val="0.78239232804230996"/>
        </c:manualLayout>
      </c:layout>
      <c:pieChart>
        <c:varyColors val="1"/>
        <c:ser>
          <c:idx val="0"/>
          <c:order val="0"/>
          <c:spPr>
            <a:solidFill>
              <a:srgbClr val="993366"/>
            </a:solidFill>
            <a:ln w="12700">
              <a:solidFill>
                <a:srgbClr val="000000"/>
              </a:solidFill>
              <a:prstDash val="solid"/>
            </a:ln>
          </c:spPr>
          <c:dPt>
            <c:idx val="1"/>
            <c:bubble3D val="0"/>
            <c:spPr>
              <a:solidFill>
                <a:srgbClr val="339966"/>
              </a:solidFill>
              <a:ln w="12700">
                <a:solidFill>
                  <a:srgbClr val="000000"/>
                </a:solidFill>
                <a:prstDash val="solid"/>
              </a:ln>
            </c:spPr>
          </c:dPt>
          <c:dPt>
            <c:idx val="2"/>
            <c:bubble3D val="0"/>
            <c:spPr>
              <a:solidFill>
                <a:srgbClr val="333399"/>
              </a:solidFill>
              <a:ln w="12700">
                <a:solidFill>
                  <a:srgbClr val="000000"/>
                </a:solidFill>
                <a:prstDash val="solid"/>
              </a:ln>
            </c:spPr>
          </c:dPt>
          <c:dPt>
            <c:idx val="3"/>
            <c:bubble3D val="0"/>
            <c:spPr>
              <a:solidFill>
                <a:srgbClr val="99CCFF"/>
              </a:solidFill>
              <a:ln w="12700">
                <a:solidFill>
                  <a:srgbClr val="000000"/>
                </a:solidFill>
                <a:prstDash val="solid"/>
              </a:ln>
            </c:spPr>
          </c:dPt>
          <c:dPt>
            <c:idx val="4"/>
            <c:bubble3D val="0"/>
            <c:spPr>
              <a:solidFill>
                <a:srgbClr val="FFCC00"/>
              </a:solidFill>
              <a:ln w="12700">
                <a:solidFill>
                  <a:srgbClr val="000000"/>
                </a:solidFill>
                <a:prstDash val="solid"/>
              </a:ln>
            </c:spPr>
          </c:dPt>
          <c:dPt>
            <c:idx val="5"/>
            <c:bubble3D val="0"/>
            <c:spPr>
              <a:solidFill>
                <a:srgbClr val="FF00FF"/>
              </a:solidFill>
              <a:ln w="12700">
                <a:solidFill>
                  <a:srgbClr val="000000"/>
                </a:solidFill>
                <a:prstDash val="solid"/>
              </a:ln>
            </c:spPr>
          </c:dPt>
          <c:dLbls>
            <c:dLbl>
              <c:idx val="0"/>
              <c:layout>
                <c:manualLayout>
                  <c:x val="2.6214453239519202E-2"/>
                  <c:y val="2.2802380952380952E-2"/>
                </c:manualLayout>
              </c:layout>
              <c:tx>
                <c:rich>
                  <a:bodyPr/>
                  <a:lstStyle/>
                  <a:p>
                    <a:r>
                      <a:rPr lang="en-US"/>
                      <a:t>Melbourne, 36.2%</a:t>
                    </a:r>
                  </a:p>
                </c:rich>
              </c:tx>
              <c:dLblPos val="bestFit"/>
              <c:showLegendKey val="0"/>
              <c:showVal val="1"/>
              <c:showCatName val="0"/>
              <c:showSerName val="1"/>
              <c:showPercent val="0"/>
              <c:showBubbleSize val="0"/>
            </c:dLbl>
            <c:dLbl>
              <c:idx val="1"/>
              <c:layout>
                <c:manualLayout>
                  <c:x val="-6.7964031808853714E-2"/>
                  <c:y val="-2.8029894179894179E-2"/>
                </c:manualLayout>
              </c:layout>
              <c:tx>
                <c:rich>
                  <a:bodyPr/>
                  <a:lstStyle/>
                  <a:p>
                    <a:r>
                      <a:rPr lang="en-US"/>
                      <a:t>Sydney, 32.2%</a:t>
                    </a:r>
                  </a:p>
                </c:rich>
              </c:tx>
              <c:dLblPos val="bestFit"/>
              <c:showLegendKey val="0"/>
              <c:showVal val="1"/>
              <c:showCatName val="0"/>
              <c:showSerName val="1"/>
              <c:showPercent val="0"/>
              <c:showBubbleSize val="0"/>
            </c:dLbl>
            <c:dLbl>
              <c:idx val="2"/>
              <c:layout>
                <c:manualLayout>
                  <c:x val="-5.8097881852829086E-3"/>
                  <c:y val="-4.0728042328042328E-2"/>
                </c:manualLayout>
              </c:layout>
              <c:tx>
                <c:rich>
                  <a:bodyPr/>
                  <a:lstStyle/>
                  <a:p>
                    <a:r>
                      <a:rPr lang="en-US"/>
                      <a:t>Brisbane, 16.0%</a:t>
                    </a:r>
                  </a:p>
                </c:rich>
              </c:tx>
              <c:dLblPos val="bestFit"/>
              <c:showLegendKey val="0"/>
              <c:showVal val="1"/>
              <c:showCatName val="0"/>
              <c:showSerName val="1"/>
              <c:showPercent val="0"/>
              <c:showBubbleSize val="0"/>
            </c:dLbl>
            <c:dLbl>
              <c:idx val="3"/>
              <c:layout>
                <c:manualLayout>
                  <c:x val="-2.6343814130753446E-2"/>
                  <c:y val="6.8555555555555557E-3"/>
                </c:manualLayout>
              </c:layout>
              <c:tx>
                <c:rich>
                  <a:bodyPr/>
                  <a:lstStyle/>
                  <a:p>
                    <a:r>
                      <a:rPr lang="en-US"/>
                      <a:t>Fremantle, 10.4%</a:t>
                    </a:r>
                  </a:p>
                </c:rich>
              </c:tx>
              <c:dLblPos val="bestFit"/>
              <c:showLegendKey val="0"/>
              <c:showVal val="1"/>
              <c:showCatName val="0"/>
              <c:showSerName val="1"/>
              <c:showPercent val="0"/>
              <c:showBubbleSize val="0"/>
            </c:dLbl>
            <c:dLbl>
              <c:idx val="4"/>
              <c:layout>
                <c:manualLayout>
                  <c:x val="-8.7236147757255942E-3"/>
                  <c:y val="-2.267089947089947E-2"/>
                </c:manualLayout>
              </c:layout>
              <c:tx>
                <c:rich>
                  <a:bodyPr/>
                  <a:lstStyle/>
                  <a:p>
                    <a:r>
                      <a:rPr lang="en-US"/>
                      <a:t>Adelaide, 5.1%</a:t>
                    </a:r>
                  </a:p>
                </c:rich>
              </c:tx>
              <c:dLblPos val="bestFit"/>
              <c:showLegendKey val="0"/>
              <c:showVal val="1"/>
              <c:showCatName val="0"/>
              <c:showSerName val="1"/>
              <c:showPercent val="0"/>
              <c:showBubbleSize val="0"/>
            </c:dLbl>
            <c:dLblPos val="bestFit"/>
            <c:showLegendKey val="0"/>
            <c:showVal val="1"/>
            <c:showCatName val="0"/>
            <c:showSerName val="1"/>
            <c:showPercent val="0"/>
            <c:showBubbleSize val="0"/>
            <c:showLeaderLines val="1"/>
          </c:dLbls>
          <c:cat>
            <c:strRef>
              <c:f>'ch 2 - charts'!$C$36:$C$40</c:f>
              <c:strCache>
                <c:ptCount val="5"/>
                <c:pt idx="0">
                  <c:v>Melbourne</c:v>
                </c:pt>
                <c:pt idx="1">
                  <c:v>Sydney</c:v>
                </c:pt>
                <c:pt idx="2">
                  <c:v>Brisbane</c:v>
                </c:pt>
                <c:pt idx="3">
                  <c:v>Fremantle </c:v>
                </c:pt>
                <c:pt idx="4">
                  <c:v>umns</c:v>
                </c:pt>
              </c:strCache>
            </c:strRef>
          </c:cat>
          <c:val>
            <c:numRef>
              <c:f>'ch 2 - charts'!$T$36:$T$40</c:f>
              <c:numCache>
                <c:formatCode>0.0%</c:formatCode>
                <c:ptCount val="5"/>
                <c:pt idx="0">
                  <c:v>0.36237300996248262</c:v>
                </c:pt>
                <c:pt idx="1">
                  <c:v>0.32172214650048475</c:v>
                </c:pt>
                <c:pt idx="2">
                  <c:v>0.16000393440780136</c:v>
                </c:pt>
                <c:pt idx="3">
                  <c:v>0.10448663003920357</c:v>
                </c:pt>
                <c:pt idx="4">
                  <c:v>5.141427909002768E-2</c:v>
                </c:pt>
              </c:numCache>
            </c:numRef>
          </c:val>
        </c:ser>
        <c:dLbls>
          <c:dLblPos val="bestFit"/>
          <c:showLegendKey val="0"/>
          <c:showVal val="1"/>
          <c:showCatName val="0"/>
          <c:showSerName val="1"/>
          <c:showPercent val="0"/>
          <c:showBubbleSize val="0"/>
          <c:showLeaderLines val="1"/>
        </c:dLbls>
        <c:firstSliceAng val="0"/>
      </c:pieChart>
      <c:spPr>
        <a:noFill/>
        <a:ln w="25400">
          <a:noFill/>
        </a:ln>
      </c:spPr>
    </c:plotArea>
    <c:plotVisOnly val="1"/>
    <c:dispBlanksAs val="zero"/>
    <c:showDLblsOverMax val="0"/>
  </c:chart>
  <c:spPr>
    <a:solidFill>
      <a:srgbClr val="FFFFFF"/>
    </a:solidFill>
    <a:ln w="9525">
      <a:noFill/>
    </a:ln>
  </c:spPr>
  <c:txPr>
    <a:bodyPr/>
    <a:lstStyle/>
    <a:p>
      <a:pPr>
        <a:defRPr sz="85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1557073884283"/>
          <c:y val="1.7308518253400143E-2"/>
          <c:w val="0.85680641771630395"/>
          <c:h val="0.58487407407407765"/>
        </c:manualLayout>
      </c:layout>
      <c:barChart>
        <c:barDir val="col"/>
        <c:grouping val="clustered"/>
        <c:varyColors val="0"/>
        <c:ser>
          <c:idx val="0"/>
          <c:order val="0"/>
          <c:tx>
            <c:strRef>
              <c:f>'ch 2 - charts'!$AC$236</c:f>
              <c:strCache>
                <c:ptCount val="1"/>
                <c:pt idx="0">
                  <c:v>Sep-14</c:v>
                </c:pt>
              </c:strCache>
            </c:strRef>
          </c:tx>
          <c:spPr>
            <a:solidFill>
              <a:srgbClr val="993366"/>
            </a:solidFill>
            <a:ln>
              <a:solidFill>
                <a:sysClr val="windowText" lastClr="000000"/>
              </a:solidFill>
            </a:ln>
          </c:spPr>
          <c:invertIfNegative val="0"/>
          <c:cat>
            <c:strRef>
              <c:f>'ch 2 - charts'!$C$240:$C$254</c:f>
              <c:strCache>
                <c:ptCount val="15"/>
                <c:pt idx="0">
                  <c:v>Total trucks (Bris)</c:v>
                </c:pt>
                <c:pt idx="1">
                  <c:v>Containers - road (Bris)</c:v>
                </c:pt>
                <c:pt idx="2">
                  <c:v>Containers - rail (Bris)</c:v>
                </c:pt>
                <c:pt idx="3">
                  <c:v>Total trucks (Syd)</c:v>
                </c:pt>
                <c:pt idx="4">
                  <c:v>Containers - road (Syd)</c:v>
                </c:pt>
                <c:pt idx="5">
                  <c:v>Containers - rail (Syd)</c:v>
                </c:pt>
                <c:pt idx="6">
                  <c:v>Total trucks (Melb)</c:v>
                </c:pt>
                <c:pt idx="7">
                  <c:v>Containers - road (Melb</c:v>
                </c:pt>
                <c:pt idx="8">
                  <c:v>Containers - rail (Melb)</c:v>
                </c:pt>
                <c:pt idx="9">
                  <c:v>Total trucks (Freo)</c:v>
                </c:pt>
                <c:pt idx="10">
                  <c:v>Containers - road (Freo)</c:v>
                </c:pt>
                <c:pt idx="11">
                  <c:v>Containers - rail (Freo)</c:v>
                </c:pt>
                <c:pt idx="12">
                  <c:v>Total trucks (Adel)</c:v>
                </c:pt>
                <c:pt idx="13">
                  <c:v>Containers - road (Adel)</c:v>
                </c:pt>
                <c:pt idx="14">
                  <c:v>Containers - rail (Adel)</c:v>
                </c:pt>
              </c:strCache>
            </c:strRef>
          </c:cat>
          <c:val>
            <c:numRef>
              <c:f>'ch 2 - charts'!$AC$240:$AC$254</c:f>
              <c:numCache>
                <c:formatCode>#,##0_ ;[Red]\-#,##0\ </c:formatCode>
                <c:ptCount val="15"/>
                <c:pt idx="0">
                  <c:v>87700</c:v>
                </c:pt>
                <c:pt idx="1">
                  <c:v>145500</c:v>
                </c:pt>
                <c:pt idx="2">
                  <c:v>12300</c:v>
                </c:pt>
                <c:pt idx="3">
                  <c:v>157900</c:v>
                </c:pt>
                <c:pt idx="4">
                  <c:v>217000</c:v>
                </c:pt>
                <c:pt idx="5">
                  <c:v>32300</c:v>
                </c:pt>
                <c:pt idx="6">
                  <c:v>186900</c:v>
                </c:pt>
                <c:pt idx="7">
                  <c:v>317300</c:v>
                </c:pt>
                <c:pt idx="8">
                  <c:v>54000</c:v>
                </c:pt>
                <c:pt idx="9">
                  <c:v>52100</c:v>
                </c:pt>
                <c:pt idx="10">
                  <c:v>85600</c:v>
                </c:pt>
                <c:pt idx="11">
                  <c:v>17900</c:v>
                </c:pt>
                <c:pt idx="12">
                  <c:v>30400</c:v>
                </c:pt>
                <c:pt idx="13">
                  <c:v>53300</c:v>
                </c:pt>
                <c:pt idx="14">
                  <c:v>11100</c:v>
                </c:pt>
              </c:numCache>
            </c:numRef>
          </c:val>
        </c:ser>
        <c:ser>
          <c:idx val="1"/>
          <c:order val="1"/>
          <c:tx>
            <c:strRef>
              <c:f>'ch 2 - charts'!$AD$236</c:f>
              <c:strCache>
                <c:ptCount val="1"/>
                <c:pt idx="0">
                  <c:v>Dec-14</c:v>
                </c:pt>
              </c:strCache>
            </c:strRef>
          </c:tx>
          <c:spPr>
            <a:solidFill>
              <a:srgbClr val="339933"/>
            </a:solidFill>
            <a:ln>
              <a:solidFill>
                <a:sysClr val="windowText" lastClr="000000"/>
              </a:solidFill>
            </a:ln>
          </c:spPr>
          <c:invertIfNegative val="0"/>
          <c:cat>
            <c:strRef>
              <c:f>'ch 2 - charts'!$C$240:$C$254</c:f>
              <c:strCache>
                <c:ptCount val="15"/>
                <c:pt idx="0">
                  <c:v>Total trucks (Bris)</c:v>
                </c:pt>
                <c:pt idx="1">
                  <c:v>Containers - road (Bris)</c:v>
                </c:pt>
                <c:pt idx="2">
                  <c:v>Containers - rail (Bris)</c:v>
                </c:pt>
                <c:pt idx="3">
                  <c:v>Total trucks (Syd)</c:v>
                </c:pt>
                <c:pt idx="4">
                  <c:v>Containers - road (Syd)</c:v>
                </c:pt>
                <c:pt idx="5">
                  <c:v>Containers - rail (Syd)</c:v>
                </c:pt>
                <c:pt idx="6">
                  <c:v>Total trucks (Melb)</c:v>
                </c:pt>
                <c:pt idx="7">
                  <c:v>Containers - road (Melb</c:v>
                </c:pt>
                <c:pt idx="8">
                  <c:v>Containers - rail (Melb)</c:v>
                </c:pt>
                <c:pt idx="9">
                  <c:v>Total trucks (Freo)</c:v>
                </c:pt>
                <c:pt idx="10">
                  <c:v>Containers - road (Freo)</c:v>
                </c:pt>
                <c:pt idx="11">
                  <c:v>Containers - rail (Freo)</c:v>
                </c:pt>
                <c:pt idx="12">
                  <c:v>Total trucks (Adel)</c:v>
                </c:pt>
                <c:pt idx="13">
                  <c:v>Containers - road (Adel)</c:v>
                </c:pt>
                <c:pt idx="14">
                  <c:v>Containers - rail (Adel)</c:v>
                </c:pt>
              </c:strCache>
            </c:strRef>
          </c:cat>
          <c:val>
            <c:numRef>
              <c:f>'ch 2 - charts'!$AD$240:$AD$254</c:f>
              <c:numCache>
                <c:formatCode>#,##0_ ;[Red]\-#,##0\ </c:formatCode>
                <c:ptCount val="15"/>
                <c:pt idx="0">
                  <c:v>85700</c:v>
                </c:pt>
                <c:pt idx="1">
                  <c:v>143700</c:v>
                </c:pt>
                <c:pt idx="2">
                  <c:v>9500</c:v>
                </c:pt>
                <c:pt idx="3">
                  <c:v>161000</c:v>
                </c:pt>
                <c:pt idx="4">
                  <c:v>218200</c:v>
                </c:pt>
                <c:pt idx="5">
                  <c:v>34200</c:v>
                </c:pt>
                <c:pt idx="6">
                  <c:v>180600</c:v>
                </c:pt>
                <c:pt idx="7">
                  <c:v>311000</c:v>
                </c:pt>
                <c:pt idx="8">
                  <c:v>38800</c:v>
                </c:pt>
                <c:pt idx="9">
                  <c:v>53900</c:v>
                </c:pt>
                <c:pt idx="10">
                  <c:v>88900</c:v>
                </c:pt>
                <c:pt idx="11">
                  <c:v>22300</c:v>
                </c:pt>
                <c:pt idx="12">
                  <c:v>31000</c:v>
                </c:pt>
                <c:pt idx="13">
                  <c:v>52900</c:v>
                </c:pt>
                <c:pt idx="14">
                  <c:v>11400</c:v>
                </c:pt>
              </c:numCache>
            </c:numRef>
          </c:val>
        </c:ser>
        <c:ser>
          <c:idx val="2"/>
          <c:order val="2"/>
          <c:tx>
            <c:strRef>
              <c:f>'ch 2 - charts'!$AE$236</c:f>
              <c:strCache>
                <c:ptCount val="1"/>
                <c:pt idx="0">
                  <c:v>Mar-15</c:v>
                </c:pt>
              </c:strCache>
            </c:strRef>
          </c:tx>
          <c:spPr>
            <a:solidFill>
              <a:srgbClr val="333399"/>
            </a:solidFill>
            <a:ln>
              <a:solidFill>
                <a:sysClr val="windowText" lastClr="000000"/>
              </a:solidFill>
            </a:ln>
          </c:spPr>
          <c:invertIfNegative val="0"/>
          <c:cat>
            <c:strRef>
              <c:f>'ch 2 - charts'!$C$240:$C$254</c:f>
              <c:strCache>
                <c:ptCount val="15"/>
                <c:pt idx="0">
                  <c:v>Total trucks (Bris)</c:v>
                </c:pt>
                <c:pt idx="1">
                  <c:v>Containers - road (Bris)</c:v>
                </c:pt>
                <c:pt idx="2">
                  <c:v>Containers - rail (Bris)</c:v>
                </c:pt>
                <c:pt idx="3">
                  <c:v>Total trucks (Syd)</c:v>
                </c:pt>
                <c:pt idx="4">
                  <c:v>Containers - road (Syd)</c:v>
                </c:pt>
                <c:pt idx="5">
                  <c:v>Containers - rail (Syd)</c:v>
                </c:pt>
                <c:pt idx="6">
                  <c:v>Total trucks (Melb)</c:v>
                </c:pt>
                <c:pt idx="7">
                  <c:v>Containers - road (Melb</c:v>
                </c:pt>
                <c:pt idx="8">
                  <c:v>Containers - rail (Melb)</c:v>
                </c:pt>
                <c:pt idx="9">
                  <c:v>Total trucks (Freo)</c:v>
                </c:pt>
                <c:pt idx="10">
                  <c:v>Containers - road (Freo)</c:v>
                </c:pt>
                <c:pt idx="11">
                  <c:v>Containers - rail (Freo)</c:v>
                </c:pt>
                <c:pt idx="12">
                  <c:v>Total trucks (Adel)</c:v>
                </c:pt>
                <c:pt idx="13">
                  <c:v>Containers - road (Adel)</c:v>
                </c:pt>
                <c:pt idx="14">
                  <c:v>Containers - rail (Adel)</c:v>
                </c:pt>
              </c:strCache>
            </c:strRef>
          </c:cat>
          <c:val>
            <c:numRef>
              <c:f>'ch 2 - charts'!$AE$240:$AE$254</c:f>
              <c:numCache>
                <c:formatCode>#,##0_ ;[Red]\-#,##0\ </c:formatCode>
                <c:ptCount val="15"/>
                <c:pt idx="0">
                  <c:v>74400</c:v>
                </c:pt>
                <c:pt idx="1">
                  <c:v>121600</c:v>
                </c:pt>
                <c:pt idx="2">
                  <c:v>7200</c:v>
                </c:pt>
                <c:pt idx="3">
                  <c:v>139900</c:v>
                </c:pt>
                <c:pt idx="4">
                  <c:v>189000</c:v>
                </c:pt>
                <c:pt idx="5">
                  <c:v>54500</c:v>
                </c:pt>
                <c:pt idx="6">
                  <c:v>167600</c:v>
                </c:pt>
                <c:pt idx="7">
                  <c:v>289500</c:v>
                </c:pt>
                <c:pt idx="8">
                  <c:v>42500</c:v>
                </c:pt>
                <c:pt idx="9">
                  <c:v>46600</c:v>
                </c:pt>
                <c:pt idx="10">
                  <c:v>75800</c:v>
                </c:pt>
                <c:pt idx="11">
                  <c:v>17200</c:v>
                </c:pt>
                <c:pt idx="12">
                  <c:v>31000</c:v>
                </c:pt>
                <c:pt idx="13">
                  <c:v>53200</c:v>
                </c:pt>
                <c:pt idx="14">
                  <c:v>11400</c:v>
                </c:pt>
              </c:numCache>
            </c:numRef>
          </c:val>
        </c:ser>
        <c:ser>
          <c:idx val="3"/>
          <c:order val="3"/>
          <c:tx>
            <c:strRef>
              <c:f>'ch 2 - charts'!$AF$236</c:f>
              <c:strCache>
                <c:ptCount val="1"/>
                <c:pt idx="0">
                  <c:v>Jun-15</c:v>
                </c:pt>
              </c:strCache>
            </c:strRef>
          </c:tx>
          <c:spPr>
            <a:solidFill>
              <a:srgbClr val="99CCFF"/>
            </a:solidFill>
            <a:ln>
              <a:solidFill>
                <a:sysClr val="windowText" lastClr="000000"/>
              </a:solidFill>
            </a:ln>
          </c:spPr>
          <c:invertIfNegative val="0"/>
          <c:cat>
            <c:strRef>
              <c:f>'ch 2 - charts'!$C$240:$C$254</c:f>
              <c:strCache>
                <c:ptCount val="15"/>
                <c:pt idx="0">
                  <c:v>Total trucks (Bris)</c:v>
                </c:pt>
                <c:pt idx="1">
                  <c:v>Containers - road (Bris)</c:v>
                </c:pt>
                <c:pt idx="2">
                  <c:v>Containers - rail (Bris)</c:v>
                </c:pt>
                <c:pt idx="3">
                  <c:v>Total trucks (Syd)</c:v>
                </c:pt>
                <c:pt idx="4">
                  <c:v>Containers - road (Syd)</c:v>
                </c:pt>
                <c:pt idx="5">
                  <c:v>Containers - rail (Syd)</c:v>
                </c:pt>
                <c:pt idx="6">
                  <c:v>Total trucks (Melb)</c:v>
                </c:pt>
                <c:pt idx="7">
                  <c:v>Containers - road (Melb</c:v>
                </c:pt>
                <c:pt idx="8">
                  <c:v>Containers - rail (Melb)</c:v>
                </c:pt>
                <c:pt idx="9">
                  <c:v>Total trucks (Freo)</c:v>
                </c:pt>
                <c:pt idx="10">
                  <c:v>Containers - road (Freo)</c:v>
                </c:pt>
                <c:pt idx="11">
                  <c:v>Containers - rail (Freo)</c:v>
                </c:pt>
                <c:pt idx="12">
                  <c:v>Total trucks (Adel)</c:v>
                </c:pt>
                <c:pt idx="13">
                  <c:v>Containers - road (Adel)</c:v>
                </c:pt>
                <c:pt idx="14">
                  <c:v>Containers - rail (Adel)</c:v>
                </c:pt>
              </c:strCache>
            </c:strRef>
          </c:cat>
          <c:val>
            <c:numRef>
              <c:f>'ch 2 - charts'!$AF$240:$AF$254</c:f>
              <c:numCache>
                <c:formatCode>#,##0_ ;[Red]\-#,##0\ </c:formatCode>
                <c:ptCount val="15"/>
                <c:pt idx="0">
                  <c:v>80600</c:v>
                </c:pt>
                <c:pt idx="1">
                  <c:v>132400</c:v>
                </c:pt>
                <c:pt idx="2">
                  <c:v>10000</c:v>
                </c:pt>
                <c:pt idx="3">
                  <c:v>153800</c:v>
                </c:pt>
                <c:pt idx="4">
                  <c:v>214700</c:v>
                </c:pt>
                <c:pt idx="5">
                  <c:v>43000</c:v>
                </c:pt>
                <c:pt idx="6">
                  <c:v>161300</c:v>
                </c:pt>
                <c:pt idx="7">
                  <c:v>279200</c:v>
                </c:pt>
                <c:pt idx="8">
                  <c:v>39900</c:v>
                </c:pt>
                <c:pt idx="9">
                  <c:v>44100</c:v>
                </c:pt>
                <c:pt idx="10">
                  <c:v>69600</c:v>
                </c:pt>
                <c:pt idx="11">
                  <c:v>16800</c:v>
                </c:pt>
                <c:pt idx="12">
                  <c:v>30300</c:v>
                </c:pt>
                <c:pt idx="13">
                  <c:v>51900</c:v>
                </c:pt>
                <c:pt idx="14">
                  <c:v>10700</c:v>
                </c:pt>
              </c:numCache>
            </c:numRef>
          </c:val>
        </c:ser>
        <c:dLbls>
          <c:showLegendKey val="0"/>
          <c:showVal val="0"/>
          <c:showCatName val="0"/>
          <c:showSerName val="0"/>
          <c:showPercent val="0"/>
          <c:showBubbleSize val="0"/>
        </c:dLbls>
        <c:gapWidth val="150"/>
        <c:axId val="119356032"/>
        <c:axId val="119374208"/>
      </c:barChart>
      <c:catAx>
        <c:axId val="119356032"/>
        <c:scaling>
          <c:orientation val="minMax"/>
        </c:scaling>
        <c:delete val="0"/>
        <c:axPos val="b"/>
        <c:numFmt formatCode="General" sourceLinked="1"/>
        <c:majorTickMark val="in"/>
        <c:minorTickMark val="none"/>
        <c:tickLblPos val="low"/>
        <c:spPr>
          <a:ln>
            <a:solidFill>
              <a:sysClr val="windowText" lastClr="000000"/>
            </a:solidFill>
          </a:ln>
        </c:spPr>
        <c:txPr>
          <a:bodyPr rot="-5400000" vert="horz"/>
          <a:lstStyle/>
          <a:p>
            <a:pPr>
              <a:defRPr/>
            </a:pPr>
            <a:endParaRPr lang="en-US"/>
          </a:p>
        </c:txPr>
        <c:crossAx val="119374208"/>
        <c:crosses val="autoZero"/>
        <c:auto val="0"/>
        <c:lblAlgn val="ctr"/>
        <c:lblOffset val="50"/>
        <c:noMultiLvlLbl val="0"/>
      </c:catAx>
      <c:valAx>
        <c:axId val="119374208"/>
        <c:scaling>
          <c:orientation val="minMax"/>
        </c:scaling>
        <c:delete val="0"/>
        <c:axPos val="l"/>
        <c:majorGridlines>
          <c:spPr>
            <a:ln>
              <a:solidFill>
                <a:sysClr val="windowText" lastClr="000000"/>
              </a:solidFill>
            </a:ln>
          </c:spPr>
        </c:majorGridlines>
        <c:title>
          <c:tx>
            <c:rich>
              <a:bodyPr rot="-5400000" vert="horz"/>
              <a:lstStyle/>
              <a:p>
                <a:pPr>
                  <a:defRPr b="0"/>
                </a:pPr>
                <a:r>
                  <a:rPr lang="en-AU" b="0"/>
                  <a:t>Number of containers / trucks</a:t>
                </a:r>
              </a:p>
            </c:rich>
          </c:tx>
          <c:layout>
            <c:manualLayout>
              <c:xMode val="edge"/>
              <c:yMode val="edge"/>
              <c:x val="0"/>
              <c:y val="0.17159920634920744"/>
            </c:manualLayout>
          </c:layout>
          <c:overlay val="0"/>
        </c:title>
        <c:numFmt formatCode="#,##0_ ;[Red]\-#,##0\ " sourceLinked="1"/>
        <c:majorTickMark val="none"/>
        <c:minorTickMark val="none"/>
        <c:tickLblPos val="nextTo"/>
        <c:spPr>
          <a:ln>
            <a:solidFill>
              <a:srgbClr val="000000"/>
            </a:solidFill>
          </a:ln>
        </c:spPr>
        <c:crossAx val="119356032"/>
        <c:crosses val="autoZero"/>
        <c:crossBetween val="between"/>
      </c:valAx>
      <c:spPr>
        <a:noFill/>
        <a:ln>
          <a:solidFill>
            <a:sysClr val="windowText" lastClr="000000"/>
          </a:solidFill>
        </a:ln>
      </c:spPr>
    </c:plotArea>
    <c:legend>
      <c:legendPos val="b"/>
      <c:layout>
        <c:manualLayout>
          <c:xMode val="edge"/>
          <c:yMode val="edge"/>
          <c:x val="0.11828688080656589"/>
          <c:y val="0.94739153439154811"/>
          <c:w val="0.8817131191934342"/>
          <c:h val="3.8301587301587302E-2"/>
        </c:manualLayout>
      </c:layout>
      <c:overlay val="0"/>
      <c:spPr>
        <a:ln>
          <a:solidFill>
            <a:schemeClr val="tx1"/>
          </a:solidFill>
        </a:ln>
      </c:spPr>
    </c:legend>
    <c:plotVisOnly val="1"/>
    <c:dispBlanksAs val="gap"/>
    <c:showDLblsOverMax val="0"/>
  </c:chart>
  <c:spPr>
    <a:ln>
      <a:noFill/>
    </a:ln>
  </c:spPr>
  <c:txPr>
    <a:bodyPr/>
    <a:lstStyle/>
    <a:p>
      <a:pPr>
        <a:defRPr sz="850" baseline="0">
          <a:latin typeface="Arial" pitchFamily="34"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0.76967</cdr:x>
      <cdr:y>0.35278</cdr:y>
    </cdr:from>
    <cdr:to>
      <cdr:x>0.97212</cdr:x>
      <cdr:y>0.40821</cdr:y>
    </cdr:to>
    <cdr:sp macro="" textlink="">
      <cdr:nvSpPr>
        <cdr:cNvPr id="2" name="TextBox 1"/>
        <cdr:cNvSpPr txBox="1"/>
      </cdr:nvSpPr>
      <cdr:spPr>
        <a:xfrm xmlns:a="http://schemas.openxmlformats.org/drawingml/2006/main">
          <a:off x="4200528" y="1333513"/>
          <a:ext cx="1104891" cy="209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50">
              <a:latin typeface="Arial" pitchFamily="34" charset="0"/>
              <a:cs typeface="Arial" pitchFamily="34" charset="0"/>
            </a:rPr>
            <a:t>( 2 578 900 </a:t>
          </a:r>
          <a:r>
            <a:rPr lang="en-AU" sz="850">
              <a:latin typeface="Arial" pitchFamily="34" charset="0"/>
              <a:ea typeface="+mn-ea"/>
              <a:cs typeface="Arial" pitchFamily="34" charset="0"/>
            </a:rPr>
            <a:t>TEU</a:t>
          </a:r>
          <a:r>
            <a:rPr lang="en-AU" sz="850" baseline="0">
              <a:latin typeface="Arial" pitchFamily="34" charset="0"/>
              <a:cs typeface="Arial" pitchFamily="34" charset="0"/>
            </a:rPr>
            <a:t>)</a:t>
          </a:r>
          <a:endParaRPr lang="en-AU" sz="850">
            <a:latin typeface="Arial" pitchFamily="34" charset="0"/>
            <a:cs typeface="Arial" pitchFamily="34" charset="0"/>
          </a:endParaRPr>
        </a:p>
      </cdr:txBody>
    </cdr:sp>
  </cdr:relSizeAnchor>
  <cdr:relSizeAnchor xmlns:cdr="http://schemas.openxmlformats.org/drawingml/2006/chartDrawing">
    <cdr:from>
      <cdr:x>0.25132</cdr:x>
      <cdr:y>0.90966</cdr:y>
    </cdr:from>
    <cdr:to>
      <cdr:x>0.45377</cdr:x>
      <cdr:y>0.9651</cdr:y>
    </cdr:to>
    <cdr:sp macro="" textlink="">
      <cdr:nvSpPr>
        <cdr:cNvPr id="3" name="TextBox 1"/>
        <cdr:cNvSpPr txBox="1"/>
      </cdr:nvSpPr>
      <cdr:spPr>
        <a:xfrm xmlns:a="http://schemas.openxmlformats.org/drawingml/2006/main">
          <a:off x="1371600" y="3438515"/>
          <a:ext cx="1104891" cy="2095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50">
              <a:latin typeface="Arial" pitchFamily="34" charset="0"/>
              <a:cs typeface="Arial" pitchFamily="34" charset="0"/>
            </a:rPr>
            <a:t>(2 289 600 </a:t>
          </a:r>
          <a:r>
            <a:rPr lang="en-AU" sz="850">
              <a:latin typeface="Arial" pitchFamily="34" charset="0"/>
              <a:ea typeface="+mn-ea"/>
              <a:cs typeface="Arial" pitchFamily="34" charset="0"/>
            </a:rPr>
            <a:t>TEU</a:t>
          </a:r>
          <a:r>
            <a:rPr lang="en-AU" sz="850" baseline="0">
              <a:latin typeface="Arial" pitchFamily="34" charset="0"/>
              <a:cs typeface="Arial" pitchFamily="34" charset="0"/>
            </a:rPr>
            <a:t>)</a:t>
          </a:r>
          <a:endParaRPr lang="en-AU" sz="850">
            <a:latin typeface="Arial" pitchFamily="34" charset="0"/>
            <a:cs typeface="Arial" pitchFamily="34" charset="0"/>
          </a:endParaRPr>
        </a:p>
      </cdr:txBody>
    </cdr:sp>
  </cdr:relSizeAnchor>
  <cdr:relSizeAnchor xmlns:cdr="http://schemas.openxmlformats.org/drawingml/2006/chartDrawing">
    <cdr:from>
      <cdr:x>0.02094</cdr:x>
      <cdr:y>0.43593</cdr:y>
    </cdr:from>
    <cdr:to>
      <cdr:x>0.22339</cdr:x>
      <cdr:y>0.49137</cdr:y>
    </cdr:to>
    <cdr:sp macro="" textlink="">
      <cdr:nvSpPr>
        <cdr:cNvPr id="4" name="TextBox 1"/>
        <cdr:cNvSpPr txBox="1"/>
      </cdr:nvSpPr>
      <cdr:spPr>
        <a:xfrm xmlns:a="http://schemas.openxmlformats.org/drawingml/2006/main">
          <a:off x="114299" y="1647818"/>
          <a:ext cx="1104891" cy="2095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50">
              <a:latin typeface="Arial" pitchFamily="34" charset="0"/>
              <a:cs typeface="Arial" pitchFamily="34" charset="0"/>
            </a:rPr>
            <a:t>(1 138 700</a:t>
          </a:r>
          <a:r>
            <a:rPr lang="en-AU" sz="850" baseline="0">
              <a:latin typeface="Arial" pitchFamily="34" charset="0"/>
              <a:cs typeface="Arial" pitchFamily="34" charset="0"/>
            </a:rPr>
            <a:t> </a:t>
          </a:r>
          <a:r>
            <a:rPr lang="en-AU" sz="850" baseline="0">
              <a:latin typeface="Arial" pitchFamily="34" charset="0"/>
              <a:ea typeface="+mn-ea"/>
              <a:cs typeface="Arial" pitchFamily="34" charset="0"/>
            </a:rPr>
            <a:t>TEU</a:t>
          </a:r>
          <a:r>
            <a:rPr lang="en-AU" sz="850" baseline="0">
              <a:latin typeface="Arial" pitchFamily="34" charset="0"/>
              <a:cs typeface="Arial" pitchFamily="34" charset="0"/>
            </a:rPr>
            <a:t>)</a:t>
          </a:r>
          <a:endParaRPr lang="en-AU" sz="850">
            <a:latin typeface="Arial" pitchFamily="34" charset="0"/>
            <a:cs typeface="Arial" pitchFamily="34" charset="0"/>
          </a:endParaRPr>
        </a:p>
      </cdr:txBody>
    </cdr:sp>
  </cdr:relSizeAnchor>
  <cdr:relSizeAnchor xmlns:cdr="http://schemas.openxmlformats.org/drawingml/2006/chartDrawing">
    <cdr:from>
      <cdr:x>0.1309</cdr:x>
      <cdr:y>0.17135</cdr:y>
    </cdr:from>
    <cdr:to>
      <cdr:x>0.33335</cdr:x>
      <cdr:y>0.22679</cdr:y>
    </cdr:to>
    <cdr:sp macro="" textlink="">
      <cdr:nvSpPr>
        <cdr:cNvPr id="5" name="TextBox 1"/>
        <cdr:cNvSpPr txBox="1"/>
      </cdr:nvSpPr>
      <cdr:spPr>
        <a:xfrm xmlns:a="http://schemas.openxmlformats.org/drawingml/2006/main">
          <a:off x="714375" y="647700"/>
          <a:ext cx="1104900" cy="2095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50">
              <a:latin typeface="Arial" pitchFamily="34" charset="0"/>
              <a:cs typeface="Arial" pitchFamily="34" charset="0"/>
            </a:rPr>
            <a:t>(743 600 </a:t>
          </a:r>
          <a:r>
            <a:rPr lang="en-AU" sz="850">
              <a:latin typeface="Arial" pitchFamily="34" charset="0"/>
              <a:ea typeface="+mn-ea"/>
              <a:cs typeface="Arial" pitchFamily="34" charset="0"/>
            </a:rPr>
            <a:t>TEU</a:t>
          </a:r>
          <a:r>
            <a:rPr lang="en-AU" sz="850" baseline="0">
              <a:latin typeface="Arial" pitchFamily="34" charset="0"/>
              <a:cs typeface="Arial" pitchFamily="34" charset="0"/>
            </a:rPr>
            <a:t>)</a:t>
          </a:r>
          <a:endParaRPr lang="en-AU" sz="850">
            <a:latin typeface="Arial" pitchFamily="34" charset="0"/>
            <a:cs typeface="Arial" pitchFamily="34" charset="0"/>
          </a:endParaRPr>
        </a:p>
      </cdr:txBody>
    </cdr:sp>
  </cdr:relSizeAnchor>
  <cdr:relSizeAnchor xmlns:cdr="http://schemas.openxmlformats.org/drawingml/2006/chartDrawing">
    <cdr:from>
      <cdr:x>0.26702</cdr:x>
      <cdr:y>0.05796</cdr:y>
    </cdr:from>
    <cdr:to>
      <cdr:x>0.46947</cdr:x>
      <cdr:y>0.12852</cdr:y>
    </cdr:to>
    <cdr:sp macro="" textlink="">
      <cdr:nvSpPr>
        <cdr:cNvPr id="6" name="TextBox 1"/>
        <cdr:cNvSpPr txBox="1"/>
      </cdr:nvSpPr>
      <cdr:spPr>
        <a:xfrm xmlns:a="http://schemas.openxmlformats.org/drawingml/2006/main">
          <a:off x="1457293" y="219086"/>
          <a:ext cx="1104891" cy="2667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50">
              <a:latin typeface="Arial" pitchFamily="34" charset="0"/>
              <a:cs typeface="Arial" pitchFamily="34" charset="0"/>
            </a:rPr>
            <a:t>(365 900 </a:t>
          </a:r>
          <a:r>
            <a:rPr lang="en-AU" sz="850">
              <a:latin typeface="Arial" pitchFamily="34" charset="0"/>
              <a:ea typeface="+mn-ea"/>
              <a:cs typeface="Arial" pitchFamily="34" charset="0"/>
            </a:rPr>
            <a:t>TEU</a:t>
          </a:r>
          <a:r>
            <a:rPr lang="en-AU" sz="850" baseline="0">
              <a:latin typeface="Arial" pitchFamily="34" charset="0"/>
              <a:cs typeface="Arial" pitchFamily="34" charset="0"/>
            </a:rPr>
            <a:t>)</a:t>
          </a:r>
          <a:endParaRPr lang="en-AU" sz="850">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FEC104-72A1-4B8C-8D7D-A23A1502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6E0B3AC7</Template>
  <TotalTime>0</TotalTime>
  <Pages>101</Pages>
  <Words>32351</Words>
  <Characters>184407</Characters>
  <Application>Microsoft Office Word</Application>
  <DocSecurity>4</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2015-11-05T21:50:00Z</dcterms:created>
  <dcterms:modified xsi:type="dcterms:W3CDTF">2015-11-05T21:50:00Z</dcterms:modified>
</cp:coreProperties>
</file>