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68" w:rsidRPr="004A4462" w:rsidRDefault="00E21A68" w:rsidP="00E21A68">
      <w:pPr>
        <w:spacing w:after="480" w:line="240" w:lineRule="auto"/>
        <w:jc w:val="center"/>
        <w:rPr>
          <w:rFonts w:ascii="Times New Roman" w:hAnsi="Times New Roman"/>
          <w:b/>
          <w:sz w:val="24"/>
          <w:szCs w:val="24"/>
        </w:rPr>
      </w:pPr>
      <w:bookmarkStart w:id="0" w:name="_GoBack"/>
      <w:bookmarkEnd w:id="0"/>
      <w:r w:rsidRPr="004A4462">
        <w:rPr>
          <w:rFonts w:ascii="Times New Roman" w:hAnsi="Times New Roman"/>
          <w:b/>
          <w:i/>
          <w:sz w:val="24"/>
          <w:szCs w:val="24"/>
        </w:rPr>
        <w:t xml:space="preserve">Competition and Consumer Act 2010 </w:t>
      </w:r>
      <w:r w:rsidRPr="004A4462">
        <w:rPr>
          <w:rFonts w:ascii="Times New Roman" w:hAnsi="Times New Roman"/>
          <w:b/>
          <w:sz w:val="24"/>
          <w:szCs w:val="24"/>
        </w:rPr>
        <w:t>(</w:t>
      </w:r>
      <w:proofErr w:type="spellStart"/>
      <w:r w:rsidRPr="004A4462">
        <w:rPr>
          <w:rFonts w:ascii="Times New Roman" w:hAnsi="Times New Roman"/>
          <w:b/>
          <w:sz w:val="24"/>
          <w:szCs w:val="24"/>
        </w:rPr>
        <w:t>Cth</w:t>
      </w:r>
      <w:proofErr w:type="spellEnd"/>
      <w:r w:rsidRPr="004A4462">
        <w:rPr>
          <w:rFonts w:ascii="Times New Roman" w:hAnsi="Times New Roman"/>
          <w:b/>
          <w:sz w:val="24"/>
          <w:szCs w:val="24"/>
        </w:rPr>
        <w:t>)</w:t>
      </w:r>
    </w:p>
    <w:p w:rsidR="00E21A68" w:rsidRPr="004A4462" w:rsidRDefault="00E21A68" w:rsidP="00E21A68">
      <w:pPr>
        <w:spacing w:after="480" w:line="240" w:lineRule="auto"/>
        <w:jc w:val="center"/>
        <w:rPr>
          <w:rFonts w:ascii="Times New Roman" w:hAnsi="Times New Roman"/>
          <w:b/>
          <w:sz w:val="24"/>
          <w:szCs w:val="24"/>
        </w:rPr>
      </w:pPr>
      <w:r>
        <w:rPr>
          <w:rFonts w:ascii="Times New Roman" w:hAnsi="Times New Roman"/>
          <w:b/>
          <w:sz w:val="24"/>
          <w:szCs w:val="24"/>
        </w:rPr>
        <w:t>NOTICE PURSUANT TO SUBSECTION</w:t>
      </w:r>
      <w:r w:rsidRPr="004A4462">
        <w:rPr>
          <w:rFonts w:ascii="Times New Roman" w:hAnsi="Times New Roman"/>
          <w:b/>
          <w:sz w:val="24"/>
          <w:szCs w:val="24"/>
        </w:rPr>
        <w:t xml:space="preserve"> </w:t>
      </w:r>
      <w:proofErr w:type="gramStart"/>
      <w:r w:rsidRPr="004A4462">
        <w:rPr>
          <w:rFonts w:ascii="Times New Roman" w:hAnsi="Times New Roman"/>
          <w:b/>
          <w:sz w:val="24"/>
          <w:szCs w:val="24"/>
        </w:rPr>
        <w:t>151BUA(</w:t>
      </w:r>
      <w:proofErr w:type="gramEnd"/>
      <w:r>
        <w:rPr>
          <w:rFonts w:ascii="Times New Roman" w:hAnsi="Times New Roman"/>
          <w:b/>
          <w:sz w:val="24"/>
          <w:szCs w:val="24"/>
        </w:rPr>
        <w:t>2</w:t>
      </w:r>
      <w:r w:rsidRPr="004A4462">
        <w:rPr>
          <w:rFonts w:ascii="Times New Roman" w:hAnsi="Times New Roman"/>
          <w:b/>
          <w:sz w:val="24"/>
          <w:szCs w:val="24"/>
        </w:rPr>
        <w:t>)</w:t>
      </w:r>
    </w:p>
    <w:p w:rsidR="00E21A68" w:rsidRDefault="00E21A68" w:rsidP="00E21A68">
      <w:pPr>
        <w:spacing w:after="0" w:line="240" w:lineRule="auto"/>
        <w:ind w:left="567" w:hanging="567"/>
        <w:rPr>
          <w:rFonts w:ascii="Times New Roman" w:hAnsi="Times New Roman"/>
          <w:b/>
          <w:sz w:val="24"/>
        </w:rPr>
      </w:pPr>
      <w:r w:rsidRPr="009803EC">
        <w:rPr>
          <w:rFonts w:ascii="Times New Roman" w:hAnsi="Times New Roman"/>
          <w:b/>
          <w:sz w:val="24"/>
        </w:rPr>
        <w:t>T</w:t>
      </w:r>
      <w:r>
        <w:rPr>
          <w:rFonts w:ascii="Times New Roman" w:hAnsi="Times New Roman"/>
          <w:b/>
          <w:sz w:val="24"/>
        </w:rPr>
        <w:t>O</w:t>
      </w:r>
      <w:r w:rsidRPr="009803EC">
        <w:rPr>
          <w:rFonts w:ascii="Times New Roman" w:hAnsi="Times New Roman"/>
          <w:b/>
          <w:sz w:val="24"/>
        </w:rPr>
        <w:t>:</w:t>
      </w:r>
      <w:r w:rsidRPr="009803EC">
        <w:rPr>
          <w:rFonts w:ascii="Times New Roman" w:hAnsi="Times New Roman"/>
          <w:b/>
          <w:sz w:val="24"/>
        </w:rPr>
        <w:tab/>
        <w:t>Telstra</w:t>
      </w:r>
      <w:r>
        <w:rPr>
          <w:rFonts w:ascii="Times New Roman" w:hAnsi="Times New Roman"/>
          <w:b/>
          <w:sz w:val="24"/>
        </w:rPr>
        <w:t xml:space="preserve"> Corporation</w:t>
      </w:r>
      <w:r w:rsidRPr="009803EC">
        <w:rPr>
          <w:rFonts w:ascii="Times New Roman" w:hAnsi="Times New Roman"/>
          <w:b/>
          <w:sz w:val="24"/>
        </w:rPr>
        <w:t xml:space="preserve"> </w:t>
      </w:r>
      <w:r>
        <w:rPr>
          <w:rFonts w:ascii="Times New Roman" w:hAnsi="Times New Roman"/>
          <w:b/>
          <w:sz w:val="24"/>
        </w:rPr>
        <w:t xml:space="preserve">Limited (ACN </w:t>
      </w:r>
      <w:r w:rsidRPr="004A4462">
        <w:rPr>
          <w:rFonts w:ascii="Times New Roman" w:hAnsi="Times New Roman"/>
          <w:b/>
          <w:sz w:val="24"/>
        </w:rPr>
        <w:t>051 775 556</w:t>
      </w:r>
      <w:r>
        <w:rPr>
          <w:rFonts w:ascii="Times New Roman" w:hAnsi="Times New Roman"/>
          <w:b/>
          <w:sz w:val="24"/>
        </w:rPr>
        <w:t>)</w:t>
      </w:r>
    </w:p>
    <w:p w:rsidR="00E21A68" w:rsidRDefault="00E21A68" w:rsidP="00E21A68">
      <w:pPr>
        <w:spacing w:after="0" w:line="240" w:lineRule="auto"/>
        <w:ind w:left="567"/>
        <w:rPr>
          <w:rFonts w:ascii="Times New Roman" w:hAnsi="Times New Roman"/>
          <w:b/>
          <w:sz w:val="24"/>
        </w:rPr>
      </w:pPr>
      <w:r w:rsidRPr="00333A02">
        <w:rPr>
          <w:rFonts w:ascii="Times New Roman" w:hAnsi="Times New Roman"/>
          <w:b/>
          <w:sz w:val="24"/>
        </w:rPr>
        <w:t>L</w:t>
      </w:r>
      <w:r>
        <w:rPr>
          <w:rFonts w:ascii="Times New Roman" w:hAnsi="Times New Roman"/>
          <w:b/>
          <w:sz w:val="24"/>
        </w:rPr>
        <w:t>evel 10</w:t>
      </w:r>
    </w:p>
    <w:p w:rsidR="00E21A68" w:rsidRDefault="00E21A68" w:rsidP="00E21A68">
      <w:pPr>
        <w:spacing w:after="0" w:line="240" w:lineRule="auto"/>
        <w:ind w:left="567"/>
        <w:rPr>
          <w:rFonts w:ascii="Times New Roman" w:hAnsi="Times New Roman"/>
          <w:b/>
          <w:sz w:val="24"/>
        </w:rPr>
      </w:pPr>
      <w:r w:rsidRPr="00333A02">
        <w:rPr>
          <w:rFonts w:ascii="Times New Roman" w:hAnsi="Times New Roman"/>
          <w:b/>
          <w:sz w:val="24"/>
        </w:rPr>
        <w:t xml:space="preserve">400 </w:t>
      </w:r>
      <w:r>
        <w:rPr>
          <w:rFonts w:ascii="Times New Roman" w:hAnsi="Times New Roman"/>
          <w:b/>
          <w:sz w:val="24"/>
        </w:rPr>
        <w:t>George Street</w:t>
      </w:r>
    </w:p>
    <w:p w:rsidR="00E21A68" w:rsidRDefault="00E21A68" w:rsidP="00E21A68">
      <w:pPr>
        <w:spacing w:after="480" w:line="240" w:lineRule="auto"/>
        <w:ind w:left="567"/>
        <w:rPr>
          <w:rFonts w:ascii="Times New Roman" w:hAnsi="Times New Roman"/>
          <w:b/>
          <w:sz w:val="24"/>
        </w:rPr>
      </w:pPr>
      <w:proofErr w:type="gramStart"/>
      <w:r w:rsidRPr="00333A02">
        <w:rPr>
          <w:rFonts w:ascii="Times New Roman" w:hAnsi="Times New Roman"/>
          <w:b/>
          <w:sz w:val="24"/>
        </w:rPr>
        <w:t xml:space="preserve">SYDNEY </w:t>
      </w:r>
      <w:r>
        <w:rPr>
          <w:rFonts w:ascii="Times New Roman" w:hAnsi="Times New Roman"/>
          <w:b/>
          <w:sz w:val="24"/>
        </w:rPr>
        <w:t xml:space="preserve"> </w:t>
      </w:r>
      <w:r w:rsidRPr="00333A02">
        <w:rPr>
          <w:rFonts w:ascii="Times New Roman" w:hAnsi="Times New Roman"/>
          <w:b/>
          <w:sz w:val="24"/>
        </w:rPr>
        <w:t>NSW</w:t>
      </w:r>
      <w:proofErr w:type="gramEnd"/>
      <w:r>
        <w:rPr>
          <w:rFonts w:ascii="Times New Roman" w:hAnsi="Times New Roman"/>
          <w:b/>
          <w:sz w:val="24"/>
        </w:rPr>
        <w:t xml:space="preserve"> </w:t>
      </w:r>
      <w:r w:rsidRPr="00333A02">
        <w:rPr>
          <w:rFonts w:ascii="Times New Roman" w:hAnsi="Times New Roman"/>
          <w:b/>
          <w:sz w:val="24"/>
        </w:rPr>
        <w:t xml:space="preserve"> 2000</w:t>
      </w:r>
    </w:p>
    <w:p w:rsidR="00E21A68" w:rsidRPr="00FC0903" w:rsidRDefault="00E21A68" w:rsidP="00E21A68">
      <w:pPr>
        <w:pStyle w:val="ListParagraph"/>
        <w:spacing w:after="240" w:line="240" w:lineRule="auto"/>
        <w:ind w:left="567"/>
        <w:contextualSpacing w:val="0"/>
        <w:rPr>
          <w:rFonts w:ascii="Times New Roman" w:hAnsi="Times New Roman"/>
          <w:b/>
          <w:sz w:val="24"/>
        </w:rPr>
      </w:pPr>
      <w:r>
        <w:rPr>
          <w:rFonts w:ascii="Times New Roman" w:hAnsi="Times New Roman"/>
          <w:b/>
          <w:sz w:val="24"/>
        </w:rPr>
        <w:t>Category A: Disclosure to certain persons on certain terms and conditions</w:t>
      </w:r>
    </w:p>
    <w:p w:rsidR="00E21A68" w:rsidRDefault="00E21A68" w:rsidP="00E21A68">
      <w:pPr>
        <w:pStyle w:val="ListParagraph"/>
        <w:numPr>
          <w:ilvl w:val="0"/>
          <w:numId w:val="3"/>
        </w:numPr>
        <w:spacing w:after="240" w:line="240" w:lineRule="auto"/>
        <w:contextualSpacing w:val="0"/>
        <w:rPr>
          <w:rFonts w:ascii="Times New Roman" w:hAnsi="Times New Roman"/>
          <w:sz w:val="24"/>
        </w:rPr>
      </w:pPr>
      <w:r>
        <w:rPr>
          <w:rFonts w:ascii="Times New Roman" w:hAnsi="Times New Roman"/>
          <w:sz w:val="24"/>
        </w:rPr>
        <w:t xml:space="preserve">Pursuant to subsection 151BUA(2)(d) of the </w:t>
      </w:r>
      <w:r>
        <w:rPr>
          <w:rFonts w:ascii="Times New Roman" w:hAnsi="Times New Roman"/>
          <w:i/>
          <w:sz w:val="24"/>
        </w:rPr>
        <w:t xml:space="preserve">Competition and Consumer Act 2010 </w:t>
      </w:r>
      <w:r>
        <w:rPr>
          <w:rFonts w:ascii="Times New Roman" w:hAnsi="Times New Roman"/>
          <w:sz w:val="24"/>
        </w:rPr>
        <w:t>(</w:t>
      </w:r>
      <w:proofErr w:type="spellStart"/>
      <w:r>
        <w:rPr>
          <w:rFonts w:ascii="Times New Roman" w:hAnsi="Times New Roman"/>
          <w:sz w:val="24"/>
        </w:rPr>
        <w:t>Cth</w:t>
      </w:r>
      <w:proofErr w:type="spellEnd"/>
      <w:r>
        <w:rPr>
          <w:rFonts w:ascii="Times New Roman" w:hAnsi="Times New Roman"/>
          <w:sz w:val="24"/>
        </w:rPr>
        <w:t>) (</w:t>
      </w:r>
      <w:r w:rsidRPr="006F6FC5">
        <w:rPr>
          <w:rFonts w:ascii="Times New Roman" w:hAnsi="Times New Roman"/>
          <w:b/>
          <w:sz w:val="24"/>
        </w:rPr>
        <w:t>CCA</w:t>
      </w:r>
      <w:r>
        <w:rPr>
          <w:rFonts w:ascii="Times New Roman" w:hAnsi="Times New Roman"/>
          <w:sz w:val="24"/>
        </w:rPr>
        <w:t>), t</w:t>
      </w:r>
      <w:r w:rsidRPr="00725CA6">
        <w:rPr>
          <w:rFonts w:ascii="Times New Roman" w:hAnsi="Times New Roman"/>
          <w:sz w:val="24"/>
        </w:rPr>
        <w:t xml:space="preserve">he </w:t>
      </w:r>
      <w:r>
        <w:rPr>
          <w:rFonts w:ascii="Times New Roman" w:hAnsi="Times New Roman"/>
          <w:sz w:val="24"/>
        </w:rPr>
        <w:t>Australian Competition and Consumer Commission (</w:t>
      </w:r>
      <w:r w:rsidRPr="006F6FC5">
        <w:rPr>
          <w:rFonts w:ascii="Times New Roman" w:hAnsi="Times New Roman"/>
          <w:b/>
          <w:sz w:val="24"/>
        </w:rPr>
        <w:t>ACCC</w:t>
      </w:r>
      <w:r>
        <w:rPr>
          <w:rFonts w:ascii="Times New Roman" w:hAnsi="Times New Roman"/>
          <w:sz w:val="24"/>
        </w:rPr>
        <w:t>)</w:t>
      </w:r>
      <w:r w:rsidRPr="00725CA6">
        <w:rPr>
          <w:rFonts w:ascii="Times New Roman" w:hAnsi="Times New Roman"/>
          <w:sz w:val="24"/>
        </w:rPr>
        <w:t xml:space="preserve"> </w:t>
      </w:r>
      <w:r>
        <w:rPr>
          <w:rFonts w:ascii="Times New Roman" w:hAnsi="Times New Roman"/>
          <w:sz w:val="24"/>
        </w:rPr>
        <w:t xml:space="preserve">gives notice to Telstra Corporation Limited </w:t>
      </w:r>
      <w:r w:rsidRPr="00342ED8">
        <w:rPr>
          <w:rFonts w:ascii="Times New Roman" w:hAnsi="Times New Roman"/>
          <w:sz w:val="24"/>
        </w:rPr>
        <w:t xml:space="preserve">(ACN 051 775 556) </w:t>
      </w:r>
      <w:r>
        <w:rPr>
          <w:rFonts w:ascii="Times New Roman" w:hAnsi="Times New Roman"/>
          <w:sz w:val="24"/>
        </w:rPr>
        <w:t>(</w:t>
      </w:r>
      <w:r w:rsidRPr="00242CE7">
        <w:rPr>
          <w:rFonts w:ascii="Times New Roman" w:hAnsi="Times New Roman"/>
          <w:b/>
          <w:sz w:val="24"/>
        </w:rPr>
        <w:t>Telstra</w:t>
      </w:r>
      <w:r>
        <w:rPr>
          <w:rFonts w:ascii="Times New Roman" w:hAnsi="Times New Roman"/>
          <w:sz w:val="24"/>
        </w:rPr>
        <w:t xml:space="preserve">) that it </w:t>
      </w:r>
      <w:r w:rsidRPr="00242CE7">
        <w:rPr>
          <w:rFonts w:ascii="Times New Roman" w:hAnsi="Times New Roman"/>
          <w:sz w:val="24"/>
        </w:rPr>
        <w:t>intends</w:t>
      </w:r>
      <w:r w:rsidRPr="00725CA6">
        <w:rPr>
          <w:rFonts w:ascii="Times New Roman" w:hAnsi="Times New Roman"/>
          <w:sz w:val="24"/>
        </w:rPr>
        <w:t xml:space="preserve"> to make copies </w:t>
      </w:r>
      <w:r>
        <w:rPr>
          <w:rFonts w:ascii="Times New Roman" w:hAnsi="Times New Roman"/>
          <w:sz w:val="24"/>
        </w:rPr>
        <w:t>of:</w:t>
      </w:r>
    </w:p>
    <w:p w:rsidR="00E21A68" w:rsidRDefault="00E21A68" w:rsidP="00E21A68">
      <w:pPr>
        <w:pStyle w:val="ListParagraph"/>
        <w:numPr>
          <w:ilvl w:val="1"/>
          <w:numId w:val="3"/>
        </w:numPr>
        <w:spacing w:after="240" w:line="240" w:lineRule="auto"/>
        <w:contextualSpacing w:val="0"/>
        <w:rPr>
          <w:rFonts w:ascii="Times New Roman" w:hAnsi="Times New Roman"/>
          <w:sz w:val="24"/>
        </w:rPr>
      </w:pPr>
      <w:r w:rsidRPr="00725CA6">
        <w:rPr>
          <w:rFonts w:ascii="Times New Roman" w:hAnsi="Times New Roman"/>
          <w:sz w:val="24"/>
        </w:rPr>
        <w:t xml:space="preserve">the report that Telstra provided </w:t>
      </w:r>
      <w:r>
        <w:rPr>
          <w:rFonts w:ascii="Times New Roman" w:hAnsi="Times New Roman"/>
          <w:sz w:val="24"/>
        </w:rPr>
        <w:t>to the ACCC on 25</w:t>
      </w:r>
      <w:r w:rsidRPr="00F83F96">
        <w:rPr>
          <w:rFonts w:ascii="Times New Roman" w:hAnsi="Times New Roman"/>
          <w:sz w:val="24"/>
        </w:rPr>
        <w:t xml:space="preserve"> November 2013</w:t>
      </w:r>
      <w:r>
        <w:rPr>
          <w:rFonts w:ascii="Times New Roman" w:hAnsi="Times New Roman"/>
          <w:sz w:val="24"/>
        </w:rPr>
        <w:t xml:space="preserve"> in response to the ACCC’s request on 13 September 2013 under </w:t>
      </w:r>
      <w:r w:rsidRPr="00F8223F">
        <w:rPr>
          <w:rFonts w:ascii="Times New Roman" w:hAnsi="Times New Roman"/>
          <w:sz w:val="24"/>
        </w:rPr>
        <w:t xml:space="preserve">Rule 15 of the </w:t>
      </w:r>
      <w:r w:rsidRPr="00F8223F">
        <w:rPr>
          <w:rFonts w:ascii="Times New Roman" w:hAnsi="Times New Roman"/>
          <w:i/>
          <w:sz w:val="24"/>
        </w:rPr>
        <w:t>Building Block Model Record-Keeping Rule</w:t>
      </w:r>
      <w:r>
        <w:rPr>
          <w:rFonts w:ascii="Times New Roman" w:hAnsi="Times New Roman"/>
          <w:sz w:val="24"/>
        </w:rPr>
        <w:t xml:space="preserve"> (</w:t>
      </w:r>
      <w:r w:rsidRPr="006F6FC5">
        <w:rPr>
          <w:rFonts w:ascii="Times New Roman" w:hAnsi="Times New Roman"/>
          <w:b/>
          <w:sz w:val="24"/>
        </w:rPr>
        <w:t>Report</w:t>
      </w:r>
      <w:r>
        <w:rPr>
          <w:rFonts w:ascii="Times New Roman" w:hAnsi="Times New Roman"/>
          <w:sz w:val="24"/>
        </w:rPr>
        <w:t>); and</w:t>
      </w:r>
    </w:p>
    <w:p w:rsidR="00E21A68" w:rsidRPr="00063086" w:rsidRDefault="00E21A68" w:rsidP="00E21A68">
      <w:pPr>
        <w:pStyle w:val="ListParagraph"/>
        <w:numPr>
          <w:ilvl w:val="1"/>
          <w:numId w:val="3"/>
        </w:numPr>
        <w:spacing w:after="240" w:line="240" w:lineRule="auto"/>
        <w:contextualSpacing w:val="0"/>
        <w:rPr>
          <w:rFonts w:ascii="Times New Roman" w:hAnsi="Times New Roman"/>
          <w:sz w:val="24"/>
        </w:rPr>
      </w:pPr>
      <w:r w:rsidRPr="00063086">
        <w:rPr>
          <w:rFonts w:ascii="Times New Roman" w:hAnsi="Times New Roman"/>
          <w:sz w:val="24"/>
        </w:rPr>
        <w:t>the material that Telstra provided to the ACCC on 10 February 2014, in response to the ACCC’s request on 17 January 2014 for further explanatory material</w:t>
      </w:r>
      <w:r>
        <w:rPr>
          <w:rFonts w:ascii="Times New Roman" w:hAnsi="Times New Roman"/>
          <w:sz w:val="24"/>
        </w:rPr>
        <w:t xml:space="preserve"> </w:t>
      </w:r>
      <w:r w:rsidRPr="00063086">
        <w:rPr>
          <w:rFonts w:ascii="Times New Roman" w:hAnsi="Times New Roman"/>
          <w:sz w:val="24"/>
        </w:rPr>
        <w:t>(</w:t>
      </w:r>
      <w:r w:rsidRPr="00063086">
        <w:rPr>
          <w:rFonts w:ascii="Times New Roman" w:hAnsi="Times New Roman"/>
          <w:b/>
          <w:sz w:val="24"/>
        </w:rPr>
        <w:t>Other Relevant Material</w:t>
      </w:r>
      <w:r w:rsidRPr="00063086">
        <w:rPr>
          <w:rFonts w:ascii="Times New Roman" w:hAnsi="Times New Roman"/>
          <w:sz w:val="24"/>
        </w:rPr>
        <w:t>)</w:t>
      </w:r>
      <w:r>
        <w:rPr>
          <w:rFonts w:ascii="Times New Roman" w:hAnsi="Times New Roman"/>
          <w:sz w:val="24"/>
        </w:rPr>
        <w:t>,</w:t>
      </w:r>
    </w:p>
    <w:p w:rsidR="00E21A68" w:rsidRDefault="00E21A68" w:rsidP="00E21A68">
      <w:pPr>
        <w:pStyle w:val="ListParagraph"/>
        <w:spacing w:after="240" w:line="240" w:lineRule="auto"/>
        <w:ind w:left="567"/>
        <w:contextualSpacing w:val="0"/>
        <w:rPr>
          <w:rFonts w:ascii="Times New Roman" w:hAnsi="Times New Roman"/>
          <w:sz w:val="24"/>
        </w:rPr>
      </w:pPr>
      <w:r w:rsidRPr="00783B8E">
        <w:rPr>
          <w:rFonts w:ascii="Times New Roman" w:hAnsi="Times New Roman"/>
          <w:sz w:val="24"/>
        </w:rPr>
        <w:t xml:space="preserve">available for inspection and purchase </w:t>
      </w:r>
      <w:r>
        <w:rPr>
          <w:rFonts w:ascii="Times New Roman" w:hAnsi="Times New Roman"/>
          <w:sz w:val="24"/>
        </w:rPr>
        <w:t xml:space="preserve">electronically at no cost </w:t>
      </w:r>
      <w:r w:rsidRPr="00783B8E">
        <w:rPr>
          <w:rFonts w:ascii="Times New Roman" w:hAnsi="Times New Roman"/>
          <w:sz w:val="24"/>
        </w:rPr>
        <w:t>by</w:t>
      </w:r>
      <w:r>
        <w:rPr>
          <w:rFonts w:ascii="Times New Roman" w:hAnsi="Times New Roman"/>
          <w:sz w:val="24"/>
        </w:rPr>
        <w:t xml:space="preserve"> a person specified in paragraph 2, on the terms and conditions specified in paragraph 3, </w:t>
      </w:r>
      <w:r w:rsidRPr="00A41EE5">
        <w:rPr>
          <w:rFonts w:ascii="Times New Roman" w:hAnsi="Times New Roman"/>
          <w:sz w:val="24"/>
        </w:rPr>
        <w:t xml:space="preserve">as soon as practicable </w:t>
      </w:r>
      <w:r w:rsidRPr="00FE4BDC">
        <w:rPr>
          <w:rFonts w:ascii="Times New Roman" w:hAnsi="Times New Roman"/>
          <w:sz w:val="24"/>
        </w:rPr>
        <w:t>after 9 July 2014.</w:t>
      </w:r>
    </w:p>
    <w:p w:rsidR="00E21A68" w:rsidRDefault="00E21A68" w:rsidP="00E21A68">
      <w:pPr>
        <w:pStyle w:val="ListParagraph"/>
        <w:numPr>
          <w:ilvl w:val="0"/>
          <w:numId w:val="3"/>
        </w:numPr>
        <w:spacing w:after="240" w:line="240" w:lineRule="auto"/>
        <w:contextualSpacing w:val="0"/>
        <w:rPr>
          <w:rFonts w:ascii="Times New Roman" w:hAnsi="Times New Roman"/>
          <w:sz w:val="24"/>
        </w:rPr>
      </w:pPr>
      <w:r>
        <w:rPr>
          <w:rFonts w:ascii="Times New Roman" w:hAnsi="Times New Roman"/>
          <w:sz w:val="24"/>
        </w:rPr>
        <w:t>A person for the purposes of paragraph 1 is a person who</w:t>
      </w:r>
      <w:r w:rsidRPr="00BF7E35">
        <w:rPr>
          <w:rFonts w:ascii="Times New Roman" w:hAnsi="Times New Roman"/>
          <w:sz w:val="24"/>
        </w:rPr>
        <w:t xml:space="preserve"> </w:t>
      </w:r>
      <w:r>
        <w:rPr>
          <w:rFonts w:ascii="Times New Roman" w:hAnsi="Times New Roman"/>
          <w:sz w:val="24"/>
        </w:rPr>
        <w:t xml:space="preserve">is not employed at NBN Co Limited (ACN </w:t>
      </w:r>
      <w:r w:rsidRPr="00F41764">
        <w:rPr>
          <w:rFonts w:ascii="Times New Roman" w:hAnsi="Times New Roman"/>
          <w:sz w:val="24"/>
        </w:rPr>
        <w:t>136 533 741</w:t>
      </w:r>
      <w:r>
        <w:rPr>
          <w:rFonts w:ascii="Times New Roman" w:hAnsi="Times New Roman"/>
          <w:sz w:val="24"/>
        </w:rPr>
        <w:t>) (</w:t>
      </w:r>
      <w:r>
        <w:rPr>
          <w:rFonts w:ascii="Times New Roman" w:hAnsi="Times New Roman"/>
          <w:b/>
          <w:sz w:val="24"/>
        </w:rPr>
        <w:t>NBN Co</w:t>
      </w:r>
      <w:r w:rsidRPr="00F41764">
        <w:rPr>
          <w:rFonts w:ascii="Times New Roman" w:hAnsi="Times New Roman"/>
          <w:sz w:val="24"/>
        </w:rPr>
        <w:t>)</w:t>
      </w:r>
      <w:r>
        <w:rPr>
          <w:rFonts w:ascii="Times New Roman" w:hAnsi="Times New Roman"/>
          <w:b/>
          <w:sz w:val="24"/>
        </w:rPr>
        <w:t xml:space="preserve"> </w:t>
      </w:r>
      <w:r>
        <w:rPr>
          <w:rFonts w:ascii="Times New Roman" w:hAnsi="Times New Roman"/>
          <w:sz w:val="24"/>
        </w:rPr>
        <w:t>or a related party of NBN Co and is:</w:t>
      </w:r>
    </w:p>
    <w:p w:rsidR="00E21A68" w:rsidRDefault="00E21A68" w:rsidP="00E21A68">
      <w:pPr>
        <w:pStyle w:val="ListParagraph"/>
        <w:numPr>
          <w:ilvl w:val="1"/>
          <w:numId w:val="3"/>
        </w:numPr>
        <w:spacing w:after="240" w:line="240" w:lineRule="auto"/>
        <w:contextualSpacing w:val="0"/>
        <w:rPr>
          <w:rFonts w:ascii="Times New Roman" w:hAnsi="Times New Roman"/>
          <w:sz w:val="24"/>
        </w:rPr>
      </w:pPr>
      <w:r w:rsidRPr="008B2F06">
        <w:rPr>
          <w:rFonts w:ascii="Times New Roman" w:hAnsi="Times New Roman"/>
          <w:sz w:val="24"/>
        </w:rPr>
        <w:t>employed</w:t>
      </w:r>
      <w:r>
        <w:rPr>
          <w:rFonts w:ascii="Times New Roman" w:hAnsi="Times New Roman"/>
          <w:sz w:val="24"/>
        </w:rPr>
        <w:t>:</w:t>
      </w:r>
    </w:p>
    <w:p w:rsidR="00E21A68" w:rsidRDefault="00E21A68" w:rsidP="00E21A68">
      <w:pPr>
        <w:pStyle w:val="ListParagraph"/>
        <w:numPr>
          <w:ilvl w:val="2"/>
          <w:numId w:val="3"/>
        </w:numPr>
        <w:spacing w:after="240" w:line="240" w:lineRule="auto"/>
        <w:contextualSpacing w:val="0"/>
        <w:rPr>
          <w:rFonts w:ascii="Times New Roman" w:hAnsi="Times New Roman"/>
          <w:sz w:val="24"/>
        </w:rPr>
      </w:pPr>
      <w:r w:rsidRPr="008B2F06">
        <w:rPr>
          <w:rFonts w:ascii="Times New Roman" w:hAnsi="Times New Roman"/>
          <w:sz w:val="24"/>
        </w:rPr>
        <w:t>at a</w:t>
      </w:r>
      <w:r>
        <w:rPr>
          <w:rFonts w:ascii="Times New Roman" w:hAnsi="Times New Roman"/>
          <w:sz w:val="24"/>
        </w:rPr>
        <w:t xml:space="preserve"> service provider who, for the purposes of section 152AG of the CCA, is an access seeker; and</w:t>
      </w:r>
    </w:p>
    <w:p w:rsidR="00E21A68" w:rsidRDefault="00E21A68" w:rsidP="00E21A68">
      <w:pPr>
        <w:pStyle w:val="ListParagraph"/>
        <w:numPr>
          <w:ilvl w:val="2"/>
          <w:numId w:val="3"/>
        </w:numPr>
        <w:spacing w:after="240" w:line="240" w:lineRule="auto"/>
        <w:contextualSpacing w:val="0"/>
        <w:rPr>
          <w:rFonts w:ascii="Times New Roman" w:hAnsi="Times New Roman"/>
          <w:sz w:val="24"/>
        </w:rPr>
      </w:pPr>
      <w:r>
        <w:rPr>
          <w:rFonts w:ascii="Times New Roman" w:hAnsi="Times New Roman"/>
          <w:sz w:val="24"/>
        </w:rPr>
        <w:t>in a regulatory role or as an Australian legal practitioner</w:t>
      </w:r>
      <w:r w:rsidRPr="008B2F06">
        <w:rPr>
          <w:rFonts w:ascii="Times New Roman" w:hAnsi="Times New Roman"/>
          <w:sz w:val="24"/>
        </w:rPr>
        <w:t xml:space="preserve"> </w:t>
      </w:r>
      <w:r>
        <w:rPr>
          <w:rFonts w:ascii="Times New Roman" w:hAnsi="Times New Roman"/>
          <w:sz w:val="24"/>
        </w:rPr>
        <w:t xml:space="preserve">to produce and provide submissions on behalf of that access seeker to </w:t>
      </w:r>
      <w:r w:rsidRPr="00EE6010">
        <w:rPr>
          <w:rFonts w:ascii="Times New Roman" w:hAnsi="Times New Roman" w:cs="Times New Roman"/>
          <w:sz w:val="24"/>
          <w:szCs w:val="24"/>
        </w:rPr>
        <w:t xml:space="preserve">the </w:t>
      </w:r>
      <w:r w:rsidRPr="00EE6010">
        <w:rPr>
          <w:rFonts w:ascii="Times New Roman" w:hAnsi="Times New Roman"/>
          <w:sz w:val="24"/>
        </w:rPr>
        <w:t xml:space="preserve">ACCC’s </w:t>
      </w:r>
      <w:r w:rsidRPr="00F8223F">
        <w:rPr>
          <w:rFonts w:ascii="Times New Roman" w:hAnsi="Times New Roman"/>
          <w:sz w:val="24"/>
        </w:rPr>
        <w:t>public inquiry into making final access determinations for the declared fixed line services and the wholesale ADSL service</w:t>
      </w:r>
      <w:r>
        <w:rPr>
          <w:rFonts w:ascii="Times New Roman" w:hAnsi="Times New Roman"/>
          <w:sz w:val="24"/>
        </w:rPr>
        <w:t xml:space="preserve"> </w:t>
      </w:r>
      <w:r w:rsidRPr="00EE6010">
        <w:rPr>
          <w:rFonts w:ascii="Times New Roman" w:hAnsi="Times New Roman"/>
          <w:sz w:val="24"/>
        </w:rPr>
        <w:t>that was commenced on 1 July 2013 (</w:t>
      </w:r>
      <w:r w:rsidRPr="00EE6010">
        <w:rPr>
          <w:rFonts w:ascii="Times New Roman" w:hAnsi="Times New Roman"/>
          <w:b/>
          <w:sz w:val="24"/>
        </w:rPr>
        <w:t xml:space="preserve">Fixed Line Services </w:t>
      </w:r>
      <w:r>
        <w:rPr>
          <w:rFonts w:ascii="Times New Roman" w:hAnsi="Times New Roman"/>
          <w:b/>
          <w:sz w:val="24"/>
        </w:rPr>
        <w:t>FAD Inquiry</w:t>
      </w:r>
      <w:r w:rsidRPr="00EE6010">
        <w:rPr>
          <w:rFonts w:ascii="Times New Roman" w:hAnsi="Times New Roman"/>
          <w:sz w:val="24"/>
        </w:rPr>
        <w:t>)</w:t>
      </w:r>
      <w:r>
        <w:rPr>
          <w:rFonts w:ascii="Times New Roman" w:hAnsi="Times New Roman"/>
          <w:sz w:val="24"/>
        </w:rPr>
        <w:t>; or</w:t>
      </w:r>
    </w:p>
    <w:p w:rsidR="00E21A68" w:rsidRDefault="00E21A68" w:rsidP="00E21A68">
      <w:pPr>
        <w:pStyle w:val="ListParagraph"/>
        <w:numPr>
          <w:ilvl w:val="1"/>
          <w:numId w:val="3"/>
        </w:numPr>
        <w:spacing w:after="240" w:line="240" w:lineRule="auto"/>
        <w:contextualSpacing w:val="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consultant or an adviser engaged by an access seeker referred to in paragraph (a)(</w:t>
      </w:r>
      <w:proofErr w:type="spellStart"/>
      <w:r>
        <w:rPr>
          <w:rFonts w:ascii="Times New Roman" w:hAnsi="Times New Roman"/>
          <w:sz w:val="24"/>
        </w:rPr>
        <w:t>i</w:t>
      </w:r>
      <w:proofErr w:type="spellEnd"/>
      <w:r>
        <w:rPr>
          <w:rFonts w:ascii="Times New Roman" w:hAnsi="Times New Roman"/>
          <w:sz w:val="24"/>
        </w:rPr>
        <w:t>) above solely to assist in the production and provision of submissions to the Fixed Line Services FAD Inquiry.</w:t>
      </w:r>
    </w:p>
    <w:p w:rsidR="00E21A68" w:rsidRDefault="00E21A68" w:rsidP="00E21A68">
      <w:pPr>
        <w:pStyle w:val="ListParagraph"/>
        <w:keepNext/>
        <w:numPr>
          <w:ilvl w:val="0"/>
          <w:numId w:val="3"/>
        </w:numPr>
        <w:spacing w:after="240" w:line="240" w:lineRule="auto"/>
        <w:contextualSpacing w:val="0"/>
        <w:rPr>
          <w:rFonts w:ascii="Times New Roman" w:hAnsi="Times New Roman"/>
          <w:sz w:val="24"/>
        </w:rPr>
      </w:pPr>
      <w:r>
        <w:rPr>
          <w:rFonts w:ascii="Times New Roman" w:hAnsi="Times New Roman"/>
          <w:sz w:val="24"/>
        </w:rPr>
        <w:lastRenderedPageBreak/>
        <w:t>The terms and conditions for the purposes of paragraph 1 are that a person must:</w:t>
      </w:r>
    </w:p>
    <w:p w:rsidR="00E21A68" w:rsidRDefault="00E21A68" w:rsidP="00E21A68">
      <w:pPr>
        <w:pStyle w:val="ListParagraph"/>
        <w:numPr>
          <w:ilvl w:val="1"/>
          <w:numId w:val="3"/>
        </w:numPr>
        <w:spacing w:after="240" w:line="240" w:lineRule="auto"/>
        <w:contextualSpacing w:val="0"/>
        <w:rPr>
          <w:rFonts w:ascii="Times New Roman" w:eastAsia="Times New Roman" w:hAnsi="Times New Roman" w:cs="Times New Roman"/>
          <w:sz w:val="24"/>
          <w:szCs w:val="20"/>
          <w:lang w:val="en-GB" w:eastAsia="en-AU"/>
        </w:rPr>
      </w:pPr>
      <w:r w:rsidRPr="00F83F96">
        <w:rPr>
          <w:rFonts w:ascii="Times New Roman" w:eastAsia="Times New Roman" w:hAnsi="Times New Roman" w:cs="Times New Roman"/>
          <w:sz w:val="24"/>
          <w:szCs w:val="20"/>
          <w:lang w:val="en-GB" w:eastAsia="en-AU"/>
        </w:rPr>
        <w:t xml:space="preserve">execute </w:t>
      </w:r>
      <w:r>
        <w:rPr>
          <w:rFonts w:ascii="Times New Roman" w:eastAsia="Times New Roman" w:hAnsi="Times New Roman" w:cs="Times New Roman"/>
          <w:sz w:val="24"/>
          <w:szCs w:val="20"/>
          <w:lang w:val="en-GB" w:eastAsia="en-AU"/>
        </w:rPr>
        <w:t>the confidentiality undertaking that is included at Schedule 2 to this Notice;</w:t>
      </w:r>
    </w:p>
    <w:p w:rsidR="00E21A68" w:rsidRDefault="00E21A68" w:rsidP="00E21A68">
      <w:pPr>
        <w:pStyle w:val="ListParagraph"/>
        <w:numPr>
          <w:ilvl w:val="1"/>
          <w:numId w:val="3"/>
        </w:numPr>
        <w:spacing w:after="240" w:line="240" w:lineRule="auto"/>
        <w:contextualSpacing w:val="0"/>
        <w:rPr>
          <w:rFonts w:ascii="Times New Roman" w:eastAsia="Times New Roman" w:hAnsi="Times New Roman" w:cs="Times New Roman"/>
          <w:sz w:val="24"/>
          <w:szCs w:val="20"/>
          <w:lang w:val="en-GB" w:eastAsia="en-AU"/>
        </w:rPr>
      </w:pPr>
      <w:r>
        <w:rPr>
          <w:rFonts w:ascii="Times New Roman" w:eastAsia="Times New Roman" w:hAnsi="Times New Roman" w:cs="Times New Roman"/>
          <w:sz w:val="24"/>
          <w:szCs w:val="20"/>
          <w:lang w:val="en-GB" w:eastAsia="en-AU"/>
        </w:rPr>
        <w:t xml:space="preserve">provide the ACCC and Telstra with a copy of the executed confidentiality undertaking; </w:t>
      </w:r>
    </w:p>
    <w:p w:rsidR="00E21A68" w:rsidRDefault="00E21A68" w:rsidP="00E21A68">
      <w:pPr>
        <w:pStyle w:val="ListParagraph"/>
        <w:numPr>
          <w:ilvl w:val="1"/>
          <w:numId w:val="3"/>
        </w:numPr>
        <w:spacing w:after="240" w:line="240" w:lineRule="auto"/>
        <w:contextualSpacing w:val="0"/>
        <w:rPr>
          <w:rFonts w:ascii="Times New Roman" w:eastAsia="Times New Roman" w:hAnsi="Times New Roman" w:cs="Times New Roman"/>
          <w:sz w:val="24"/>
          <w:szCs w:val="20"/>
          <w:lang w:val="en-GB" w:eastAsia="en-AU"/>
        </w:rPr>
      </w:pPr>
      <w:r>
        <w:rPr>
          <w:rFonts w:ascii="Times New Roman" w:eastAsia="Times New Roman" w:hAnsi="Times New Roman" w:cs="Times New Roman"/>
          <w:sz w:val="24"/>
          <w:szCs w:val="20"/>
          <w:lang w:val="en-GB" w:eastAsia="en-AU"/>
        </w:rPr>
        <w:t>comply with the executed confidentiality undertaking at all times; and</w:t>
      </w:r>
    </w:p>
    <w:p w:rsidR="00E21A68" w:rsidRDefault="00E21A68" w:rsidP="00E21A68">
      <w:pPr>
        <w:pStyle w:val="ListParagraph"/>
        <w:numPr>
          <w:ilvl w:val="1"/>
          <w:numId w:val="3"/>
        </w:numPr>
        <w:spacing w:after="240" w:line="240" w:lineRule="auto"/>
        <w:contextualSpacing w:val="0"/>
        <w:rPr>
          <w:rFonts w:ascii="Times New Roman" w:eastAsia="Times New Roman" w:hAnsi="Times New Roman" w:cs="Times New Roman"/>
          <w:sz w:val="24"/>
          <w:szCs w:val="20"/>
          <w:lang w:val="en-GB" w:eastAsia="en-AU"/>
        </w:rPr>
      </w:pPr>
      <w:proofErr w:type="gramStart"/>
      <w:r>
        <w:rPr>
          <w:rFonts w:ascii="Times New Roman" w:eastAsia="Times New Roman" w:hAnsi="Times New Roman" w:cs="Times New Roman"/>
          <w:sz w:val="24"/>
          <w:szCs w:val="20"/>
          <w:lang w:val="en-GB" w:eastAsia="en-AU"/>
        </w:rPr>
        <w:t>provide</w:t>
      </w:r>
      <w:proofErr w:type="gramEnd"/>
      <w:r>
        <w:rPr>
          <w:rFonts w:ascii="Times New Roman" w:eastAsia="Times New Roman" w:hAnsi="Times New Roman" w:cs="Times New Roman"/>
          <w:sz w:val="24"/>
          <w:szCs w:val="20"/>
          <w:lang w:val="en-GB" w:eastAsia="en-AU"/>
        </w:rPr>
        <w:t xml:space="preserve"> the ACCC with a secure e-mail address for receipt of the Report and the Other Relevant Material.</w:t>
      </w:r>
    </w:p>
    <w:p w:rsidR="00E21A68" w:rsidRPr="008B2F06" w:rsidRDefault="00E21A68" w:rsidP="00E21A68">
      <w:pPr>
        <w:spacing w:after="240" w:line="240" w:lineRule="auto"/>
        <w:ind w:firstLine="567"/>
        <w:rPr>
          <w:rFonts w:ascii="Times New Roman" w:hAnsi="Times New Roman"/>
          <w:b/>
          <w:sz w:val="24"/>
        </w:rPr>
      </w:pPr>
      <w:r w:rsidRPr="00FC0903">
        <w:rPr>
          <w:rFonts w:ascii="Times New Roman" w:hAnsi="Times New Roman"/>
          <w:b/>
          <w:sz w:val="24"/>
        </w:rPr>
        <w:t>Category B</w:t>
      </w:r>
      <w:r>
        <w:rPr>
          <w:rFonts w:ascii="Times New Roman" w:hAnsi="Times New Roman"/>
          <w:b/>
          <w:sz w:val="24"/>
        </w:rPr>
        <w:t>: Disclosure to the public</w:t>
      </w:r>
    </w:p>
    <w:p w:rsidR="00E21A68" w:rsidRDefault="00E21A68" w:rsidP="00E21A68">
      <w:pPr>
        <w:spacing w:after="240" w:line="240" w:lineRule="auto"/>
        <w:ind w:left="567" w:hanging="567"/>
        <w:rPr>
          <w:rFonts w:ascii="Times New Roman" w:hAnsi="Times New Roman"/>
          <w:sz w:val="24"/>
        </w:rPr>
      </w:pPr>
      <w:r>
        <w:rPr>
          <w:rFonts w:ascii="Times New Roman" w:hAnsi="Times New Roman"/>
          <w:sz w:val="24"/>
        </w:rPr>
        <w:t>4.</w:t>
      </w:r>
      <w:r>
        <w:rPr>
          <w:rFonts w:ascii="Times New Roman" w:hAnsi="Times New Roman"/>
          <w:sz w:val="24"/>
        </w:rPr>
        <w:tab/>
        <w:t xml:space="preserve">Pursuant to </w:t>
      </w:r>
      <w:r w:rsidRPr="00FC0903">
        <w:rPr>
          <w:rFonts w:ascii="Times New Roman" w:hAnsi="Times New Roman"/>
          <w:sz w:val="24"/>
        </w:rPr>
        <w:t>subsection 151BUA(2)(c) of the CCA, the ACCC gives notice to Telstra that it intends to make copies of extracts of</w:t>
      </w:r>
      <w:r>
        <w:rPr>
          <w:rFonts w:ascii="Times New Roman" w:hAnsi="Times New Roman"/>
          <w:sz w:val="24"/>
        </w:rPr>
        <w:t xml:space="preserve"> </w:t>
      </w:r>
      <w:r w:rsidRPr="00725CA6">
        <w:rPr>
          <w:rFonts w:ascii="Times New Roman" w:hAnsi="Times New Roman"/>
          <w:sz w:val="24"/>
        </w:rPr>
        <w:t xml:space="preserve">the </w:t>
      </w:r>
      <w:r>
        <w:rPr>
          <w:rFonts w:ascii="Times New Roman" w:hAnsi="Times New Roman"/>
          <w:sz w:val="24"/>
        </w:rPr>
        <w:t>R</w:t>
      </w:r>
      <w:r w:rsidRPr="00725CA6">
        <w:rPr>
          <w:rFonts w:ascii="Times New Roman" w:hAnsi="Times New Roman"/>
          <w:sz w:val="24"/>
        </w:rPr>
        <w:t>eport</w:t>
      </w:r>
      <w:r>
        <w:rPr>
          <w:rFonts w:ascii="Times New Roman" w:hAnsi="Times New Roman"/>
          <w:sz w:val="24"/>
        </w:rPr>
        <w:t xml:space="preserve"> and </w:t>
      </w:r>
      <w:r w:rsidRPr="00FC0903">
        <w:rPr>
          <w:rFonts w:ascii="Times New Roman" w:hAnsi="Times New Roman"/>
          <w:sz w:val="24"/>
        </w:rPr>
        <w:t>the Other Relevant Material,</w:t>
      </w:r>
      <w:r>
        <w:rPr>
          <w:rFonts w:ascii="Times New Roman" w:hAnsi="Times New Roman"/>
          <w:sz w:val="24"/>
        </w:rPr>
        <w:t xml:space="preserve"> other than the extracts specified in Schedule 1 to this Notice, </w:t>
      </w:r>
      <w:r w:rsidRPr="00783B8E">
        <w:rPr>
          <w:rFonts w:ascii="Times New Roman" w:hAnsi="Times New Roman"/>
          <w:sz w:val="24"/>
        </w:rPr>
        <w:t>available</w:t>
      </w:r>
      <w:r>
        <w:rPr>
          <w:rFonts w:ascii="Times New Roman" w:hAnsi="Times New Roman"/>
          <w:sz w:val="24"/>
        </w:rPr>
        <w:t xml:space="preserve"> for inspection by the public:</w:t>
      </w:r>
      <w:r w:rsidRPr="00783B8E">
        <w:rPr>
          <w:rFonts w:ascii="Times New Roman" w:hAnsi="Times New Roman"/>
          <w:sz w:val="24"/>
        </w:rPr>
        <w:t xml:space="preserve"> </w:t>
      </w:r>
    </w:p>
    <w:p w:rsidR="00E21A68" w:rsidRDefault="00E21A68" w:rsidP="00E21A68">
      <w:pPr>
        <w:pStyle w:val="ListParagraph"/>
        <w:numPr>
          <w:ilvl w:val="1"/>
          <w:numId w:val="18"/>
        </w:numPr>
        <w:spacing w:after="240" w:line="240" w:lineRule="auto"/>
        <w:contextualSpacing w:val="0"/>
        <w:rPr>
          <w:rFonts w:ascii="Times New Roman" w:hAnsi="Times New Roman"/>
          <w:sz w:val="24"/>
        </w:rPr>
      </w:pPr>
      <w:r>
        <w:rPr>
          <w:rFonts w:ascii="Times New Roman" w:hAnsi="Times New Roman"/>
          <w:sz w:val="24"/>
        </w:rPr>
        <w:t>on the ACCC’s website at www.accc.gov.au</w:t>
      </w:r>
      <w:r w:rsidRPr="00783B8E">
        <w:rPr>
          <w:rFonts w:ascii="Times New Roman" w:hAnsi="Times New Roman"/>
          <w:sz w:val="24"/>
        </w:rPr>
        <w:t xml:space="preserve"> </w:t>
      </w:r>
      <w:r>
        <w:rPr>
          <w:rFonts w:ascii="Times New Roman" w:hAnsi="Times New Roman"/>
          <w:sz w:val="24"/>
        </w:rPr>
        <w:t>and purchase electronically at no cost; or</w:t>
      </w:r>
    </w:p>
    <w:p w:rsidR="00E21A68" w:rsidRDefault="00E21A68" w:rsidP="00E21A68">
      <w:pPr>
        <w:pStyle w:val="ListParagraph"/>
        <w:numPr>
          <w:ilvl w:val="1"/>
          <w:numId w:val="18"/>
        </w:numPr>
        <w:spacing w:after="240" w:line="240" w:lineRule="auto"/>
        <w:contextualSpacing w:val="0"/>
        <w:rPr>
          <w:rFonts w:ascii="Times New Roman" w:hAnsi="Times New Roman"/>
          <w:sz w:val="24"/>
        </w:rPr>
      </w:pPr>
      <w:r>
        <w:rPr>
          <w:rFonts w:ascii="Times New Roman" w:hAnsi="Times New Roman"/>
          <w:sz w:val="24"/>
        </w:rPr>
        <w:t>by appointment at the ACCC's Melbourne office at Level 35, 360 Elizabeth Street, Melbourne, Victoria and for purchase of a physical copy at $1 per page; or</w:t>
      </w:r>
    </w:p>
    <w:p w:rsidR="00E21A68" w:rsidRDefault="00E21A68" w:rsidP="00E21A68">
      <w:pPr>
        <w:pStyle w:val="ListParagraph"/>
        <w:numPr>
          <w:ilvl w:val="1"/>
          <w:numId w:val="18"/>
        </w:numPr>
        <w:spacing w:after="240" w:line="240" w:lineRule="auto"/>
        <w:contextualSpacing w:val="0"/>
        <w:rPr>
          <w:rFonts w:ascii="Times New Roman" w:hAnsi="Times New Roman"/>
          <w:sz w:val="24"/>
        </w:rPr>
      </w:pPr>
      <w:r>
        <w:rPr>
          <w:rFonts w:ascii="Times New Roman" w:hAnsi="Times New Roman"/>
          <w:sz w:val="24"/>
        </w:rPr>
        <w:t>by appointment at the ACCC’s Sydney office at Level 20, 175 Pitt Street, Sydney, New South Wales and for purchase of a physical copy at $1 per page; or</w:t>
      </w:r>
    </w:p>
    <w:p w:rsidR="00E21A68" w:rsidRDefault="00E21A68" w:rsidP="00E21A68">
      <w:pPr>
        <w:pStyle w:val="ListParagraph"/>
        <w:numPr>
          <w:ilvl w:val="1"/>
          <w:numId w:val="18"/>
        </w:numPr>
        <w:spacing w:after="240" w:line="240" w:lineRule="auto"/>
        <w:contextualSpacing w:val="0"/>
        <w:rPr>
          <w:rFonts w:ascii="Times New Roman" w:hAnsi="Times New Roman"/>
          <w:sz w:val="24"/>
        </w:rPr>
      </w:pPr>
      <w:proofErr w:type="gramStart"/>
      <w:r>
        <w:rPr>
          <w:rFonts w:ascii="Times New Roman" w:hAnsi="Times New Roman"/>
          <w:sz w:val="24"/>
        </w:rPr>
        <w:t>by</w:t>
      </w:r>
      <w:proofErr w:type="gramEnd"/>
      <w:r>
        <w:rPr>
          <w:rFonts w:ascii="Times New Roman" w:hAnsi="Times New Roman"/>
          <w:sz w:val="24"/>
        </w:rPr>
        <w:t xml:space="preserve"> appointment at the ACCC’s Canberra office at </w:t>
      </w:r>
      <w:r>
        <w:rPr>
          <w:sz w:val="21"/>
          <w:szCs w:val="21"/>
          <w:lang w:val="en"/>
        </w:rPr>
        <w:t>23 </w:t>
      </w:r>
      <w:r w:rsidRPr="006E46AA">
        <w:rPr>
          <w:rFonts w:ascii="Times New Roman" w:hAnsi="Times New Roman" w:cs="Times New Roman"/>
          <w:sz w:val="24"/>
          <w:szCs w:val="24"/>
          <w:lang w:val="en"/>
        </w:rPr>
        <w:t>Marcus Clarke Street</w:t>
      </w:r>
      <w:r>
        <w:rPr>
          <w:rFonts w:ascii="Times New Roman" w:hAnsi="Times New Roman"/>
          <w:sz w:val="24"/>
        </w:rPr>
        <w:t>, Canberra, Australian Capital Territory and for purchase of a physical copy at $1 per page.</w:t>
      </w:r>
    </w:p>
    <w:p w:rsidR="00E21A68" w:rsidRPr="005A7EEE" w:rsidRDefault="00E21A68" w:rsidP="00E21A68">
      <w:pPr>
        <w:spacing w:after="240" w:line="240" w:lineRule="auto"/>
        <w:ind w:left="567"/>
        <w:rPr>
          <w:rFonts w:ascii="Times New Roman" w:hAnsi="Times New Roman"/>
          <w:sz w:val="24"/>
        </w:rPr>
      </w:pPr>
      <w:proofErr w:type="gramStart"/>
      <w:r w:rsidRPr="005A7EEE">
        <w:rPr>
          <w:rFonts w:ascii="Times New Roman" w:hAnsi="Times New Roman"/>
          <w:sz w:val="24"/>
        </w:rPr>
        <w:t>as</w:t>
      </w:r>
      <w:proofErr w:type="gramEnd"/>
      <w:r w:rsidRPr="005A7EEE">
        <w:rPr>
          <w:rFonts w:ascii="Times New Roman" w:hAnsi="Times New Roman"/>
          <w:sz w:val="24"/>
        </w:rPr>
        <w:t xml:space="preserve"> soon as practicable </w:t>
      </w:r>
      <w:r w:rsidRPr="00FE4BDC">
        <w:rPr>
          <w:rFonts w:ascii="Times New Roman" w:hAnsi="Times New Roman"/>
          <w:sz w:val="24"/>
        </w:rPr>
        <w:t>after 9 July 2014.</w:t>
      </w:r>
    </w:p>
    <w:p w:rsidR="00E21A68" w:rsidRDefault="00E21A68" w:rsidP="00E21A68">
      <w:pPr>
        <w:spacing w:after="240" w:line="240" w:lineRule="auto"/>
        <w:rPr>
          <w:rFonts w:ascii="Times New Roman" w:hAnsi="Times New Roman"/>
          <w:sz w:val="24"/>
        </w:rPr>
      </w:pPr>
    </w:p>
    <w:p w:rsidR="00E21A68" w:rsidRPr="00063086" w:rsidRDefault="00E21A68" w:rsidP="00E21A68">
      <w:pPr>
        <w:spacing w:after="240" w:line="240" w:lineRule="auto"/>
        <w:rPr>
          <w:rFonts w:ascii="Times New Roman" w:eastAsia="Times New Roman" w:hAnsi="Times New Roman" w:cs="Times New Roman"/>
          <w:sz w:val="24"/>
          <w:szCs w:val="20"/>
          <w:lang w:val="en-GB" w:eastAsia="en-AU"/>
        </w:rPr>
      </w:pPr>
    </w:p>
    <w:p w:rsidR="00E21A68" w:rsidRPr="00725CA6" w:rsidRDefault="00E21A68" w:rsidP="00E21A68">
      <w:pPr>
        <w:spacing w:before="240" w:after="240" w:line="240" w:lineRule="auto"/>
        <w:rPr>
          <w:rFonts w:ascii="Times New Roman" w:hAnsi="Times New Roman"/>
          <w:sz w:val="24"/>
        </w:rPr>
      </w:pPr>
      <w:r w:rsidRPr="00725CA6">
        <w:rPr>
          <w:rFonts w:ascii="Times New Roman" w:hAnsi="Times New Roman"/>
          <w:sz w:val="24"/>
        </w:rPr>
        <w:t xml:space="preserve">Dated this ____ day of </w:t>
      </w:r>
      <w:r>
        <w:rPr>
          <w:rFonts w:ascii="Times New Roman" w:hAnsi="Times New Roman"/>
          <w:sz w:val="24"/>
        </w:rPr>
        <w:t>_____________</w:t>
      </w:r>
      <w:r w:rsidRPr="00725CA6">
        <w:rPr>
          <w:rFonts w:ascii="Times New Roman" w:hAnsi="Times New Roman"/>
          <w:sz w:val="24"/>
        </w:rPr>
        <w:t xml:space="preserve"> 2014</w:t>
      </w:r>
    </w:p>
    <w:p w:rsidR="00E21A68" w:rsidRDefault="00E21A68" w:rsidP="00E21A68">
      <w:pPr>
        <w:spacing w:after="240" w:line="240" w:lineRule="auto"/>
        <w:rPr>
          <w:rFonts w:ascii="Times New Roman" w:hAnsi="Times New Roman"/>
          <w:sz w:val="24"/>
        </w:rPr>
      </w:pPr>
    </w:p>
    <w:p w:rsidR="00E21A68" w:rsidRPr="00725CA6" w:rsidRDefault="00E21A68" w:rsidP="00E21A68">
      <w:pPr>
        <w:spacing w:after="240" w:line="240" w:lineRule="auto"/>
        <w:rPr>
          <w:rFonts w:ascii="Times New Roman" w:hAnsi="Times New Roman"/>
          <w:sz w:val="24"/>
        </w:rPr>
      </w:pPr>
    </w:p>
    <w:p w:rsidR="00E21A68" w:rsidRPr="00725CA6" w:rsidRDefault="00E21A68" w:rsidP="00E21A68">
      <w:pPr>
        <w:spacing w:after="240" w:line="240" w:lineRule="auto"/>
        <w:rPr>
          <w:rFonts w:ascii="Times New Roman" w:hAnsi="Times New Roman"/>
          <w:sz w:val="24"/>
        </w:rPr>
      </w:pPr>
      <w:r w:rsidRPr="00725CA6">
        <w:rPr>
          <w:rFonts w:ascii="Times New Roman" w:hAnsi="Times New Roman"/>
          <w:sz w:val="24"/>
        </w:rPr>
        <w:t>………………………………………</w:t>
      </w:r>
    </w:p>
    <w:p w:rsidR="00E21A68" w:rsidRDefault="00E21A68" w:rsidP="00E21A68">
      <w:pPr>
        <w:spacing w:after="240"/>
        <w:rPr>
          <w:rFonts w:ascii="Times New Roman" w:hAnsi="Times New Roman"/>
          <w:sz w:val="24"/>
        </w:rPr>
      </w:pPr>
      <w:r w:rsidRPr="00725CA6">
        <w:rPr>
          <w:rFonts w:ascii="Times New Roman" w:hAnsi="Times New Roman"/>
          <w:sz w:val="24"/>
        </w:rPr>
        <w:t>Rodney Graham Sims</w:t>
      </w:r>
      <w:r w:rsidRPr="00725CA6">
        <w:rPr>
          <w:rFonts w:ascii="Times New Roman" w:hAnsi="Times New Roman"/>
          <w:sz w:val="24"/>
        </w:rPr>
        <w:br/>
        <w:t>Chairman</w:t>
      </w:r>
      <w:r w:rsidRPr="00725CA6">
        <w:rPr>
          <w:rFonts w:ascii="Times New Roman" w:hAnsi="Times New Roman"/>
          <w:sz w:val="24"/>
        </w:rPr>
        <w:br/>
        <w:t>Australian Competition and Consumer Commission</w:t>
      </w:r>
    </w:p>
    <w:p w:rsidR="00E21A68" w:rsidRDefault="00E21A68" w:rsidP="00E21A68">
      <w:pPr>
        <w:rPr>
          <w:rFonts w:asciiTheme="majorHAnsi" w:eastAsiaTheme="majorEastAsia" w:hAnsiTheme="majorHAnsi" w:cstheme="majorBidi"/>
          <w:b/>
          <w:bCs/>
          <w:color w:val="000000" w:themeColor="text1"/>
          <w:sz w:val="26"/>
          <w:szCs w:val="26"/>
        </w:rPr>
      </w:pPr>
      <w:r>
        <w:rPr>
          <w:color w:val="000000" w:themeColor="text1"/>
        </w:rPr>
        <w:br w:type="page"/>
      </w:r>
    </w:p>
    <w:p w:rsidR="00E21A68" w:rsidRDefault="00E21A68" w:rsidP="00E21A68">
      <w:pPr>
        <w:spacing w:after="240"/>
        <w:jc w:val="center"/>
        <w:rPr>
          <w:rFonts w:ascii="Times New Roman" w:eastAsiaTheme="majorEastAsia" w:hAnsi="Times New Roman" w:cstheme="majorBidi"/>
          <w:b/>
          <w:bCs/>
          <w:caps/>
          <w:color w:val="000000" w:themeColor="text1"/>
          <w:sz w:val="24"/>
        </w:rPr>
      </w:pPr>
      <w:r>
        <w:rPr>
          <w:rFonts w:ascii="Times New Roman" w:eastAsiaTheme="majorEastAsia" w:hAnsi="Times New Roman" w:cstheme="majorBidi"/>
          <w:b/>
          <w:bCs/>
          <w:caps/>
          <w:color w:val="000000" w:themeColor="text1"/>
          <w:sz w:val="24"/>
        </w:rPr>
        <w:lastRenderedPageBreak/>
        <w:t>SCHEDULE 1</w:t>
      </w:r>
    </w:p>
    <w:p w:rsidR="00E21A68" w:rsidRDefault="00E21A68" w:rsidP="00E21A68">
      <w:pPr>
        <w:spacing w:after="480"/>
        <w:jc w:val="center"/>
        <w:rPr>
          <w:rFonts w:ascii="Times New Roman" w:hAnsi="Times New Roman"/>
          <w:b/>
          <w:sz w:val="24"/>
          <w:szCs w:val="24"/>
        </w:rPr>
      </w:pPr>
      <w:r w:rsidRPr="00F41764">
        <w:rPr>
          <w:rFonts w:ascii="Times New Roman" w:eastAsiaTheme="majorEastAsia" w:hAnsi="Times New Roman" w:cstheme="majorBidi"/>
          <w:b/>
          <w:bCs/>
          <w:caps/>
          <w:color w:val="000000" w:themeColor="text1"/>
          <w:sz w:val="24"/>
        </w:rPr>
        <w:t xml:space="preserve">Specification of extracts </w:t>
      </w:r>
      <w:r>
        <w:rPr>
          <w:rFonts w:ascii="Times New Roman" w:eastAsiaTheme="majorEastAsia" w:hAnsi="Times New Roman" w:cstheme="majorBidi"/>
          <w:b/>
          <w:bCs/>
          <w:caps/>
          <w:color w:val="000000" w:themeColor="text1"/>
          <w:sz w:val="24"/>
        </w:rPr>
        <w:br/>
      </w:r>
      <w:r w:rsidRPr="00F41764">
        <w:rPr>
          <w:rFonts w:ascii="Times New Roman" w:eastAsiaTheme="majorEastAsia" w:hAnsi="Times New Roman" w:cstheme="majorBidi"/>
          <w:b/>
          <w:bCs/>
          <w:caps/>
          <w:color w:val="000000" w:themeColor="text1"/>
          <w:sz w:val="24"/>
        </w:rPr>
        <w:t>for the purposes of paragraph</w:t>
      </w:r>
      <w:r>
        <w:rPr>
          <w:rFonts w:ascii="Times New Roman" w:eastAsiaTheme="majorEastAsia" w:hAnsi="Times New Roman" w:cstheme="majorBidi"/>
          <w:b/>
          <w:bCs/>
          <w:caps/>
          <w:color w:val="000000" w:themeColor="text1"/>
          <w:sz w:val="24"/>
        </w:rPr>
        <w:t>s 1 and</w:t>
      </w:r>
      <w:r w:rsidRPr="00F41764">
        <w:rPr>
          <w:rFonts w:ascii="Times New Roman" w:eastAsiaTheme="majorEastAsia" w:hAnsi="Times New Roman" w:cstheme="majorBidi"/>
          <w:b/>
          <w:bCs/>
          <w:caps/>
          <w:color w:val="000000" w:themeColor="text1"/>
          <w:sz w:val="24"/>
        </w:rPr>
        <w:t xml:space="preserve"> 4 of the Notice</w:t>
      </w:r>
      <w:r w:rsidRPr="00331F8E">
        <w:rPr>
          <w:rFonts w:ascii="Times New Roman" w:hAnsi="Times New Roman"/>
          <w:b/>
          <w:sz w:val="24"/>
          <w:szCs w:val="24"/>
        </w:rPr>
        <w:t xml:space="preserve"> </w:t>
      </w:r>
      <w:r>
        <w:rPr>
          <w:rFonts w:ascii="Times New Roman" w:hAnsi="Times New Roman"/>
          <w:b/>
          <w:sz w:val="24"/>
          <w:szCs w:val="24"/>
        </w:rPr>
        <w:t>ISSUED TO TELSTRA CORPORATION LIMITED</w:t>
      </w:r>
      <w:r w:rsidRPr="0023769D">
        <w:rPr>
          <w:rFonts w:ascii="Times New Roman" w:hAnsi="Times New Roman"/>
          <w:b/>
          <w:sz w:val="24"/>
          <w:szCs w:val="24"/>
        </w:rPr>
        <w:t xml:space="preserve"> (ACN 051 775 556)</w:t>
      </w:r>
      <w:r>
        <w:rPr>
          <w:rFonts w:ascii="Times New Roman" w:hAnsi="Times New Roman"/>
          <w:b/>
          <w:sz w:val="24"/>
          <w:szCs w:val="24"/>
        </w:rPr>
        <w:t xml:space="preserve"> </w:t>
      </w:r>
      <w:r>
        <w:rPr>
          <w:rFonts w:ascii="Times New Roman" w:hAnsi="Times New Roman"/>
          <w:b/>
          <w:sz w:val="24"/>
          <w:szCs w:val="24"/>
        </w:rPr>
        <w:br/>
        <w:t>PURSUANT TO SUBSECTION</w:t>
      </w:r>
      <w:r w:rsidRPr="004A4462">
        <w:rPr>
          <w:rFonts w:ascii="Times New Roman" w:hAnsi="Times New Roman"/>
          <w:b/>
          <w:sz w:val="24"/>
          <w:szCs w:val="24"/>
        </w:rPr>
        <w:t xml:space="preserve"> </w:t>
      </w:r>
      <w:proofErr w:type="gramStart"/>
      <w:r w:rsidRPr="004A4462">
        <w:rPr>
          <w:rFonts w:ascii="Times New Roman" w:hAnsi="Times New Roman"/>
          <w:b/>
          <w:sz w:val="24"/>
          <w:szCs w:val="24"/>
        </w:rPr>
        <w:t>151BUA(</w:t>
      </w:r>
      <w:proofErr w:type="gramEnd"/>
      <w:r>
        <w:rPr>
          <w:rFonts w:ascii="Times New Roman" w:hAnsi="Times New Roman"/>
          <w:b/>
          <w:sz w:val="24"/>
          <w:szCs w:val="24"/>
        </w:rPr>
        <w:t>2</w:t>
      </w:r>
      <w:r w:rsidRPr="004A4462">
        <w:rPr>
          <w:rFonts w:ascii="Times New Roman" w:hAnsi="Times New Roman"/>
          <w:b/>
          <w:sz w:val="24"/>
          <w:szCs w:val="24"/>
        </w:rPr>
        <w:t>)</w:t>
      </w:r>
      <w:r>
        <w:rPr>
          <w:rFonts w:ascii="Times New Roman" w:hAnsi="Times New Roman"/>
          <w:b/>
          <w:sz w:val="24"/>
          <w:szCs w:val="24"/>
        </w:rPr>
        <w:t xml:space="preserve"> </w:t>
      </w:r>
    </w:p>
    <w:p w:rsidR="00E21A68" w:rsidRPr="00E77C2C" w:rsidRDefault="00E21A68" w:rsidP="00E21A68">
      <w:pPr>
        <w:spacing w:after="480"/>
        <w:rPr>
          <w:rFonts w:ascii="Times New Roman" w:hAnsi="Times New Roman"/>
          <w:sz w:val="24"/>
          <w:szCs w:val="24"/>
        </w:rPr>
      </w:pPr>
      <w:r>
        <w:rPr>
          <w:rFonts w:ascii="Times New Roman" w:hAnsi="Times New Roman"/>
          <w:sz w:val="24"/>
          <w:szCs w:val="24"/>
        </w:rPr>
        <w:t>The information specified by these tables is as highlighted in the versions of the documents provided by Telstra to the ACCC on 17 April 2014.</w:t>
      </w:r>
    </w:p>
    <w:tbl>
      <w:tblPr>
        <w:tblStyle w:val="LightList"/>
        <w:tblW w:w="0" w:type="auto"/>
        <w:tblLook w:val="04A0" w:firstRow="1" w:lastRow="0" w:firstColumn="1" w:lastColumn="0" w:noHBand="0" w:noVBand="1"/>
      </w:tblPr>
      <w:tblGrid>
        <w:gridCol w:w="1750"/>
        <w:gridCol w:w="7492"/>
      </w:tblGrid>
      <w:tr w:rsidR="00E21A68" w:rsidRPr="00302829" w:rsidTr="00C11F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0" w:type="dxa"/>
          </w:tcPr>
          <w:p w:rsidR="00E21A68" w:rsidRPr="00302829" w:rsidRDefault="00E21A68" w:rsidP="00C11F9E">
            <w:pPr>
              <w:rPr>
                <w:rFonts w:ascii="Times New Roman" w:hAnsi="Times New Roman"/>
                <w:sz w:val="24"/>
              </w:rPr>
            </w:pPr>
            <w:r w:rsidRPr="00302829">
              <w:rPr>
                <w:rFonts w:ascii="Times New Roman" w:hAnsi="Times New Roman"/>
                <w:sz w:val="24"/>
              </w:rPr>
              <w:t>Page</w:t>
            </w:r>
          </w:p>
        </w:tc>
        <w:tc>
          <w:tcPr>
            <w:tcW w:w="7492" w:type="dxa"/>
          </w:tcPr>
          <w:p w:rsidR="00E21A68" w:rsidRPr="00302829" w:rsidRDefault="00E21A68" w:rsidP="00C11F9E">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02829">
              <w:rPr>
                <w:rFonts w:ascii="Times New Roman" w:hAnsi="Times New Roman"/>
                <w:sz w:val="24"/>
              </w:rPr>
              <w:t>Description</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gridSpan w:val="2"/>
          </w:tcPr>
          <w:p w:rsidR="00E21A68" w:rsidRPr="00302829" w:rsidRDefault="00E21A68" w:rsidP="00C11F9E">
            <w:pPr>
              <w:rPr>
                <w:rFonts w:ascii="Times New Roman" w:hAnsi="Times New Roman"/>
                <w:sz w:val="24"/>
              </w:rPr>
            </w:pPr>
            <w:r w:rsidRPr="00CE04B8">
              <w:t>Telstra, Final Access Determinations (FADs) Inquiry – confidential response to information request under the BBM RKR, 25 November 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11, section 5.1.1(b), Figure 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Contributions to operating expenditure forecast estimates FY2014</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rsidRPr="00665B28">
              <w:t>Page 11, section 5.1.1(b)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Estimate used in forecast of Telstra Operations’ contribution to relevant operating expenditure FY2014</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12, section 5.1.1(b), Figure 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LOB contribution for FY 2014</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13, section 5.1.1(b), Figure 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LOB contribution to CAN, Core and Indirect operating expenditure</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14, section 5.1.1(b), Customer Service Delivery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FY2014 CSD total operating expenditure budget</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14, section 5.1.1(b), Customer Service Delivery LOB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FLSM asset categories/fixed line services estimated operating expenditure incurred by CSD for FY2014</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14, section 5.1.1(b), Customer Service Delivery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Estimate of percentage of CSD’s FY2014 operating expenditure budget contributed by FLSM asset categories/fixed line services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14, section 5.1.1(b), Customer Service Delivery LOB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Commentary about how the CSD budget is tracking for FY2014</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lastRenderedPageBreak/>
              <w:t>Page 14, section 5.1.1(b), Customer Service Delivery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Percentage of CSD’s </w:t>
            </w:r>
            <w:proofErr w:type="spellStart"/>
            <w:r>
              <w:t>Opex</w:t>
            </w:r>
            <w:proofErr w:type="spellEnd"/>
            <w:r>
              <w:t xml:space="preserve"> attributable to FLSM asset classes CAN Ducts and Pipes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15, section 5.1.1(b), Networks LOB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FY2014 Networks LOB total operating expenditure budget</w:t>
            </w:r>
          </w:p>
        </w:tc>
      </w:tr>
      <w:tr w:rsidR="00E21A68" w:rsidRPr="00B55448"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15, section 5.1.1(b), Networks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FLSM asset categories estimated operating expenditure incurred by Networks for FY2014</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15, section 5.1.1(b), Networks LOB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Estimate of percentage of Network’s FY2014 operating expenditure budget contributed by FLSM asset categories/fixed line services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16, section 5.1.1(b), Service Operations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FY2014 Service Operations total operating expenditure budget</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16, section 5.1.1(b), Service Operations LOB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FLSM asset categories/fixed line services estimated operating expenditure incurred by Service Operations for FY2014</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16, section 5.1.1(b), Service Operations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Estimate of percentage of Service Operations FY2014 operating expenditure budget contributed by FLSM asset categories/fixed line services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16, section 5.1.1(b), IT Services LOB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FY2014 IT Services LOB total operating expenditure budget</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16, section 5.1.1(b), IT Services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FLSM asset categories estimated operating expenditure incurred by IT Services for FY2014</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16, section 5.1.1(b), IT Services LOB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Estimated percentage of IT Services FY2014 operating expenditure budget contributed by FLSM asset categories/fixed line services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17, section 5.1.1(b), IT Services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Percentage of applications costs allocated to FLSM asset classes in forecasting</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17, section 5.1.1(b), IT Services LOB</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Uplift factor applied to account for IT Services management</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18, section 5.1.1(b), Telstra Operations Business Unit Support, Table 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Estimates of relevant direct and indirect operating expenditure (FY 2011 to FY2013)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19, section 5.1.1(b), Telstra Operations Business Unit Support, Table 3</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 xml:space="preserve">Total attributable and </w:t>
            </w:r>
            <w:proofErr w:type="spellStart"/>
            <w:r>
              <w:t>unattributable</w:t>
            </w:r>
            <w:proofErr w:type="spellEnd"/>
            <w:r>
              <w:t xml:space="preserve"> costs for regulated fixed line services, FY2013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lastRenderedPageBreak/>
              <w:t>Page 19, section 5.1.1(b), Telstra Operations Business Unit Support</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Estimate of percentage of </w:t>
            </w:r>
            <w:proofErr w:type="spellStart"/>
            <w:r>
              <w:t>unattributable</w:t>
            </w:r>
            <w:proofErr w:type="spellEnd"/>
            <w:r>
              <w:t xml:space="preserve"> costs to total costs for regulated fixed line services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19, section 5.1.1(b), Telstra Operations Business Unit Support</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Estimate of operating expenditure for LSS Equipment FY2014 and forecast of LSS SIOs for the regulatory period</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20 through to page 22, paragraph 5.1.1(d)</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Basis for assumptions used in estimated operating expenditure between FY2014 and FY2019</w:t>
            </w:r>
          </w:p>
        </w:tc>
      </w:tr>
      <w:tr w:rsidR="00E21A68" w:rsidTr="00C1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22 through page 24, section 5.1.1(d)</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Information and data relating to addressing network and customer faults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24 through to page 25, section 5.1.1(d)</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Information relating to estimates of operating expenditure beyond FY2014</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27 through to page 28, section 5.2.1.1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Explanation of calculations of estimates of month to month movements for ULLS SIOs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28, section 5.2.1.1, Figure 16</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Total connections, total disconnections and SIOs for ULLS, June 2010 to June 2019 (Actuals and Forecasts)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28, section 5.2.1.1, Table 9</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rsidRPr="0033256C">
              <w:t>Impact of NBN on ULLS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29, section 5.2.1.1, Table 10</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Allocation of ULLS forecasts into geographic bands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29, section 5.2.1.1, Figure 17</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Split of ULLS SIOs by ULLS Band, June 2010 to June 2013 (quarterly actuals), June 2014 to June 2019 (annual forecasts)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rsidRPr="00D9694D">
              <w:t>Page 30, section 5.2.1.2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Explanation of calculations of estimates of month to month movements for LSS SIOs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31, section 5.2.1.2, Figure 18</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Total connections, total disconnections and SIOs for LSS, June 2010 to March 2019 (actuals and forecasts) LSS SIOs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31, section 5.2.1.2, Table 11</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rsidRPr="00D9694D">
              <w:t>Impact of NBN on LSS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32 through to page 33, section 5.2.1.3, Figure 19</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WLR SIOs as at 30 June each year -2010 to 2019 (Actuals and Forecasts) and explanation of calculations used to estimate month to month WLR movements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33, section 5.2.1.3, Figure 20</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Breakdown of WLR SIO movement between June 2013 and June 2014 forecast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rsidRPr="00DC7134">
              <w:t>Page 33, section 5.2.1.3</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Commentary relating to the demand drivers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lastRenderedPageBreak/>
              <w:t>Page 34, section 5.2.1.3, Table 12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rsidRPr="00DC7134">
              <w:t>Impact of NBN on WLR</w:t>
            </w:r>
            <w:r>
              <w:t xml:space="preserve">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rsidRPr="00BA575A">
              <w:t>Page 35, section 5.2</w:t>
            </w:r>
            <w:r>
              <w:t>, Figure 21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New Connections, In Place Connections and Cancellations for WLR, June 2011 to June 2018 (Actuals and Forecasts) and explanation of calculations of estimates of forecast values for New Connections, In Place Connections and Cancellations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36, section 5.2.1.3, Figure 22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Split of WLR SIOs by ULLS Band, June 2010 to June 2013 (quarterly actuals), June 2014 to June 2019 (annual forecasts)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36 through to page 38, section 5.2.1.4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Explanation of calculations used to estimate total supply of basic access services, data relating to the calculations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38, section 5.2.1.4, Figure 24</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Split of total SIOs by ULLS Band, June 2010 to June 2013 (quarterly actuals), June 2014 to June 2019 (annual forecasts)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rsidRPr="00BA575A">
              <w:t>Page 39, section 5.2.1.5</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Explanation of calculation of domestic PSTN Originating Access and Terminating Access call minutes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39 through to page 40, section 5.2.1.5</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Explanation of calculation of Wholesale PSTN OA/TA and LCI call minutes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40 through to page 41, section 5.2.1.5, Figure 25</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PSTN OTA Total Minutes (Actuals) Jun 11 –March 13 and relevant commentary around calculations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41, section 5.2.1.5, Figure 26</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Wholesale PSTN OA/TA and LCI call minutes (Actuals and Forecasts)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41 through to page 42, section 5.2.1.5</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Explanation of calculation of ‘Other’ OTA call minutes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42, section 5.2.1.5, Table 14</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Percentage of total OTA minutes attributable to Wholesale PSTN OTA and “Other” PSTN OTA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42 through to 43, section 5.2.1.5, Table 15 through to Table 16</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PSTN OTA Call minutes as a proportion of total OTA minutes (FY2011 – FY2019)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43, section 5.2.1.5, Table 16</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Total PSTN OTA minutes (actual and forecast) FY2011-FY2019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43 through to page 44, section 5.2.1.5, Table 17 through to section 5.2.1.6</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‘Other’ OTA call minutes (actual and forecast) FY2011-FY2019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45 through to page 46, section 5.2.1.6, Figure 29</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Annual number of LCS calls, explanation of calculation of annual number of LCS calls and relevant commentary</w:t>
            </w:r>
          </w:p>
        </w:tc>
      </w:tr>
      <w:tr w:rsidR="00E21A68"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A54CE0" w:rsidRDefault="00E21A68" w:rsidP="00C11F9E">
            <w:pPr>
              <w:spacing w:after="200" w:line="276" w:lineRule="auto"/>
            </w:pPr>
            <w:r w:rsidRPr="00A54CE0">
              <w:lastRenderedPageBreak/>
              <w:t>Page 46, section 5.2.1.6</w:t>
            </w:r>
          </w:p>
        </w:tc>
        <w:tc>
          <w:tcPr>
            <w:tcW w:w="7492" w:type="dxa"/>
          </w:tcPr>
          <w:p w:rsidR="00E21A68" w:rsidRPr="00F821E2" w:rsidRDefault="00E21A68" w:rsidP="00C11F9E">
            <w:pPr>
              <w:cnfStyle w:val="000000100000" w:firstRow="0" w:lastRow="0" w:firstColumn="0" w:lastColumn="0" w:oddVBand="0" w:evenVBand="0" w:oddHBand="1" w:evenHBand="0" w:firstRowFirstColumn="0" w:firstRowLastColumn="0" w:lastRowFirstColumn="0" w:lastRowLastColumn="0"/>
            </w:pPr>
            <w:r w:rsidRPr="00A54CE0">
              <w:t>Information regarding average call duration LCS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46 through to page 47, section 5.2.1.6, Figure 30</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Average LCS Call Duration -2009/10 to 2018/19 (Actuals and Forecasts) and relevant commentary including explanation of calculation of LCS call times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47 through to page 48, section 5.2.2.1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Explanation of calculation of forecast estimates for WDSL SIOs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48 through to page 49, section 5.2.2.1, Figure 31</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Relative impact of WDSL SIO demand drivers (June 2013-June 2014)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49, section 5.2.2.1, Table 18</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Impact of NBN – WDSL assumptions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49, section 5.2.2.1, Figure 32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Total WDSL Connections and Disconnections from July 2011 to April 2015 (Actuals and Forecasts)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rsidRPr="00FF635B">
              <w:t>Page 50, section 5.2.2.1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Methodology relevant to allocating wholesale ADSL SIOs to three zones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50, section 5.2.2.1, Figure 33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Relative proportions of WDSL SIOs in Zones 2 and 3 from June 2014 to June 2019 (Actuals and Forecasts)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50 through to page 52, section 5.2.2.2</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Explanation of calculation of the estimate of total amount of Peak Usage by Access Seekers for the Wholesale ADSL service</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52 through to page 53, section 5.2.2.2, Table 19</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Sample WDSL Peak Usage forecast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53 through to page 54, section 5.2.2.3</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Explanation of calculation of the estimate of total number of Retail ADSL SIOs supplied by Telstra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54 through to page 55, section 5.2.2.4, Table 20</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Retail ADSL Peak Usage (Mbps) (Actuals and Forecasts) June 2011 – June 2019 and relevant commentary (including assumptions)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55 through to page 56, section 5.3(a)</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Explanation of method used to determine forecasts of capital expenditure for each FLSM Asset Class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56 through to page 57, section 5.3(b)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The assumptions used to determine forecasts of capital expenditure for each FSM Asset Class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57 through to page 58, section 5.3(c)</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The basis for the assumptions used to determine forecasts of capital expenditure for each FSM Asset Class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lastRenderedPageBreak/>
              <w:t>Page 59 through to page 60, Attachment 1</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NBN Forecast model assumptions and relevant commentary</w:t>
            </w:r>
          </w:p>
        </w:tc>
      </w:tr>
    </w:tbl>
    <w:p w:rsidR="00E21A68" w:rsidRDefault="00E21A68" w:rsidP="00E21A68"/>
    <w:tbl>
      <w:tblPr>
        <w:tblStyle w:val="LightList"/>
        <w:tblW w:w="0" w:type="auto"/>
        <w:tblLook w:val="04A0" w:firstRow="1" w:lastRow="0" w:firstColumn="1" w:lastColumn="0" w:noHBand="0" w:noVBand="1"/>
      </w:tblPr>
      <w:tblGrid>
        <w:gridCol w:w="1750"/>
        <w:gridCol w:w="7492"/>
      </w:tblGrid>
      <w:tr w:rsidR="00E21A68" w:rsidRPr="00302829" w:rsidTr="00C11F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0" w:type="dxa"/>
          </w:tcPr>
          <w:p w:rsidR="00E21A68" w:rsidRPr="00302829" w:rsidRDefault="00E21A68" w:rsidP="00C11F9E">
            <w:pPr>
              <w:rPr>
                <w:rFonts w:ascii="Times New Roman" w:hAnsi="Times New Roman"/>
                <w:sz w:val="24"/>
              </w:rPr>
            </w:pPr>
            <w:r w:rsidRPr="00302829">
              <w:rPr>
                <w:rFonts w:ascii="Times New Roman" w:hAnsi="Times New Roman"/>
                <w:sz w:val="24"/>
              </w:rPr>
              <w:t>Page</w:t>
            </w:r>
          </w:p>
        </w:tc>
        <w:tc>
          <w:tcPr>
            <w:tcW w:w="7492" w:type="dxa"/>
          </w:tcPr>
          <w:p w:rsidR="00E21A68" w:rsidRPr="00302829" w:rsidRDefault="00E21A68" w:rsidP="00C11F9E">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02829">
              <w:rPr>
                <w:rFonts w:ascii="Times New Roman" w:hAnsi="Times New Roman"/>
                <w:sz w:val="24"/>
              </w:rPr>
              <w:t>Description</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gridSpan w:val="2"/>
          </w:tcPr>
          <w:p w:rsidR="00E21A68" w:rsidRPr="00CE04B8" w:rsidRDefault="00E21A68" w:rsidP="00C11F9E">
            <w:r w:rsidRPr="00CE04B8">
              <w:t>Telstra, Final Access Determinations (FADs) Inquiry – confidential response to information request under the BBM RKR – Amended Excerpt, 10 February 2014</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29, section 5.1.2(b),</w:t>
            </w:r>
          </w:p>
          <w:p w:rsidR="00E21A68" w:rsidRPr="002315C3" w:rsidRDefault="00E21A68" w:rsidP="00C11F9E">
            <w:r w:rsidRPr="002315C3">
              <w:t>Identifying relevant projects</w:t>
            </w:r>
          </w:p>
        </w:tc>
        <w:tc>
          <w:tcPr>
            <w:tcW w:w="7492" w:type="dxa"/>
          </w:tcPr>
          <w:p w:rsidR="00E21A68" w:rsidRPr="003E35E6"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Helvetica" w:hAnsi="Helvetica" w:cs="Helvetica"/>
                <w:sz w:val="20"/>
                <w:szCs w:val="20"/>
              </w:rPr>
              <w:t>Figures relating to forecasts of total capital expenditure FY2014-15</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29, section 5.1.2(b),</w:t>
            </w:r>
          </w:p>
          <w:p w:rsidR="00E21A68" w:rsidRPr="002315C3" w:rsidRDefault="00E21A68" w:rsidP="00C11F9E">
            <w:r w:rsidRPr="002315C3">
              <w:t>table 7</w:t>
            </w:r>
          </w:p>
        </w:tc>
        <w:tc>
          <w:tcPr>
            <w:tcW w:w="7492" w:type="dxa"/>
          </w:tcPr>
          <w:p w:rsidR="00E21A68" w:rsidRPr="003E35E6"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Helvetica" w:hAnsi="Helvetica" w:cs="Helvetica"/>
                <w:sz w:val="20"/>
                <w:szCs w:val="20"/>
              </w:rPr>
              <w:t>Value of capital expenditure forecasts – excluded projects ($m) FY2014-15</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33, section 5.1.2(c)</w:t>
            </w:r>
          </w:p>
        </w:tc>
        <w:tc>
          <w:tcPr>
            <w:tcW w:w="7492" w:type="dxa"/>
          </w:tcPr>
          <w:p w:rsidR="00E21A68"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Amount of unforeseen capital expenditure relating to South Brisbane</w:t>
            </w:r>
          </w:p>
          <w:p w:rsidR="00E21A68" w:rsidRPr="003E35E6" w:rsidRDefault="00E21A68" w:rsidP="00C11F9E">
            <w:pPr>
              <w:cnfStyle w:val="000000000000" w:firstRow="0" w:lastRow="0" w:firstColumn="0" w:lastColumn="0" w:oddVBand="0" w:evenVBand="0" w:oddHBand="0" w:evenHBand="0" w:firstRowFirstColumn="0" w:firstRowLastColumn="0" w:lastRowFirstColumn="0" w:lastRowLastColumn="0"/>
            </w:pPr>
            <w:r>
              <w:rPr>
                <w:rFonts w:ascii="Helvetica" w:hAnsi="Helvetica" w:cs="Helvetica"/>
                <w:sz w:val="20"/>
                <w:szCs w:val="20"/>
              </w:rPr>
              <w:t>Exchange Project</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34, section 5.1.2(c)</w:t>
            </w:r>
          </w:p>
        </w:tc>
        <w:tc>
          <w:tcPr>
            <w:tcW w:w="7492" w:type="dxa"/>
          </w:tcPr>
          <w:p w:rsidR="00E21A68" w:rsidRPr="003E35E6"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Helvetica" w:hAnsi="Helvetica" w:cs="Helvetica"/>
                <w:sz w:val="20"/>
                <w:szCs w:val="20"/>
              </w:rPr>
              <w:t>Amount of allowance for disaster rectification in forecasts</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t>Page 34, section 5.1.2(</w:t>
            </w:r>
            <w:proofErr w:type="spellStart"/>
            <w:r>
              <w:t>i</w:t>
            </w:r>
            <w:proofErr w:type="spellEnd"/>
            <w:r>
              <w:t xml:space="preserve">) (e) </w:t>
            </w:r>
          </w:p>
        </w:tc>
        <w:tc>
          <w:tcPr>
            <w:tcW w:w="7492" w:type="dxa"/>
          </w:tcPr>
          <w:p w:rsidR="00E21A68"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t>Telstra’s overall capital expenditure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t>Page 35, section 5.1.2(</w:t>
            </w:r>
            <w:proofErr w:type="spellStart"/>
            <w:r>
              <w:t>i</w:t>
            </w:r>
            <w:proofErr w:type="spellEnd"/>
            <w:r>
              <w:t xml:space="preserve">) (e) </w:t>
            </w:r>
          </w:p>
        </w:tc>
        <w:tc>
          <w:tcPr>
            <w:tcW w:w="7492" w:type="dxa"/>
          </w:tcPr>
          <w:p w:rsidR="00E21A68"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t>Proportion of Telstra’s business represented by Telstra’s regulated services</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36, section 5.1.2(e),</w:t>
            </w:r>
          </w:p>
          <w:p w:rsidR="00E21A68" w:rsidRPr="002315C3" w:rsidRDefault="00E21A68" w:rsidP="00C11F9E">
            <w:r w:rsidRPr="002315C3">
              <w:t>Figure 13</w:t>
            </w:r>
          </w:p>
        </w:tc>
        <w:tc>
          <w:tcPr>
            <w:tcW w:w="7492" w:type="dxa"/>
          </w:tcPr>
          <w:p w:rsidR="00E21A68" w:rsidRPr="003E35E6"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Helvetica" w:hAnsi="Helvetica" w:cs="Helvetica"/>
                <w:sz w:val="20"/>
                <w:szCs w:val="20"/>
              </w:rPr>
              <w:t>Value of capital expenditure in projects included in forecast for BBM RKR response (Actual and Forecast) and relevant commentary</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37, section 5.1.2(e)</w:t>
            </w:r>
          </w:p>
        </w:tc>
        <w:tc>
          <w:tcPr>
            <w:tcW w:w="7492" w:type="dxa"/>
          </w:tcPr>
          <w:p w:rsidR="00E21A68"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Figures relating to the level of capital booked to the asset register</w:t>
            </w:r>
          </w:p>
          <w:p w:rsidR="00E21A68" w:rsidRPr="003E35E6"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37, section 5.1.2(e)</w:t>
            </w:r>
            <w:r>
              <w:t>, Figure 14</w:t>
            </w:r>
          </w:p>
        </w:tc>
        <w:tc>
          <w:tcPr>
            <w:tcW w:w="7492" w:type="dxa"/>
          </w:tcPr>
          <w:p w:rsidR="00E21A68"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Data relating to summary of alternative approach to comparing forecasts and</w:t>
            </w:r>
          </w:p>
          <w:p w:rsidR="00E21A68"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relevant commentary</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37, section 5.1.2(e)</w:t>
            </w:r>
          </w:p>
        </w:tc>
        <w:tc>
          <w:tcPr>
            <w:tcW w:w="7492" w:type="dxa"/>
          </w:tcPr>
          <w:p w:rsidR="00E21A68"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Figure related to medium-term capital expenditure/sales ratio</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 xml:space="preserve">Page 39, section 5.1.2(e), </w:t>
            </w:r>
            <w:r w:rsidRPr="002315C3">
              <w:br/>
              <w:t>Capital Management Governance and Approval Delegations</w:t>
            </w:r>
          </w:p>
        </w:tc>
        <w:tc>
          <w:tcPr>
            <w:tcW w:w="7492" w:type="dxa"/>
          </w:tcPr>
          <w:p w:rsidR="00E21A68"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Current figures relating to capital management governance thresholds</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40, section 5.1.2(e),</w:t>
            </w:r>
          </w:p>
          <w:p w:rsidR="00E21A68" w:rsidRPr="002315C3" w:rsidRDefault="00E21A68" w:rsidP="00C11F9E">
            <w:r w:rsidRPr="002315C3">
              <w:t>Business Case Requirements</w:t>
            </w:r>
          </w:p>
        </w:tc>
        <w:tc>
          <w:tcPr>
            <w:tcW w:w="7492" w:type="dxa"/>
          </w:tcPr>
          <w:p w:rsidR="00E21A68" w:rsidRPr="00E35138"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Current financial hurdles to be met by investment proposals</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40, section 5.1.2(e),</w:t>
            </w:r>
          </w:p>
          <w:p w:rsidR="00E21A68" w:rsidRPr="002315C3" w:rsidRDefault="00E21A68" w:rsidP="00C11F9E">
            <w:r w:rsidRPr="002315C3">
              <w:t>Review and monitoring</w:t>
            </w:r>
          </w:p>
        </w:tc>
        <w:tc>
          <w:tcPr>
            <w:tcW w:w="7492" w:type="dxa"/>
          </w:tcPr>
          <w:p w:rsidR="00E21A68" w:rsidRPr="00E35138"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Current threshold figures relating to variations in business case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lastRenderedPageBreak/>
              <w:t>Page 42 through to page 44, section 5.1.2(e),</w:t>
            </w:r>
          </w:p>
          <w:p w:rsidR="00E21A68" w:rsidRPr="002315C3" w:rsidRDefault="00E21A68" w:rsidP="00C11F9E">
            <w:r w:rsidRPr="002315C3">
              <w:t>Telstra’s policies</w:t>
            </w:r>
          </w:p>
        </w:tc>
        <w:tc>
          <w:tcPr>
            <w:tcW w:w="7492" w:type="dxa"/>
          </w:tcPr>
          <w:p w:rsidR="00E21A68" w:rsidRPr="00E35138"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35138">
              <w:rPr>
                <w:rFonts w:ascii="Helvetica" w:hAnsi="Helvetica" w:cs="Helvetica"/>
                <w:sz w:val="20"/>
                <w:szCs w:val="20"/>
              </w:rPr>
              <w:t>Current Telstra policies in</w:t>
            </w:r>
            <w:r>
              <w:rPr>
                <w:rFonts w:ascii="Helvetica" w:hAnsi="Helvetica" w:cs="Helvetica"/>
                <w:sz w:val="20"/>
                <w:szCs w:val="20"/>
              </w:rPr>
              <w:t xml:space="preserve"> </w:t>
            </w:r>
            <w:r w:rsidRPr="00E35138">
              <w:rPr>
                <w:rFonts w:ascii="Helvetica" w:hAnsi="Helvetica" w:cs="Helvetica"/>
                <w:sz w:val="20"/>
                <w:szCs w:val="20"/>
              </w:rPr>
              <w:t>relation to tendering or</w:t>
            </w:r>
            <w:r>
              <w:rPr>
                <w:rFonts w:ascii="Helvetica" w:hAnsi="Helvetica" w:cs="Helvetica"/>
                <w:sz w:val="20"/>
                <w:szCs w:val="20"/>
              </w:rPr>
              <w:t xml:space="preserve"> </w:t>
            </w:r>
            <w:r w:rsidRPr="00E35138">
              <w:rPr>
                <w:rFonts w:ascii="Helvetica" w:hAnsi="Helvetica" w:cs="Helvetica"/>
                <w:sz w:val="20"/>
                <w:szCs w:val="20"/>
              </w:rPr>
              <w:t>contracting out capital</w:t>
            </w:r>
          </w:p>
          <w:p w:rsidR="00E21A68" w:rsidRPr="00E35138"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35138">
              <w:rPr>
                <w:rFonts w:ascii="Helvetica" w:hAnsi="Helvetica" w:cs="Helvetica"/>
                <w:sz w:val="20"/>
                <w:szCs w:val="20"/>
              </w:rPr>
              <w:t>expenditure projects</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44 through to page 45, section 5.1.2(f), Background and Table 8</w:t>
            </w:r>
          </w:p>
        </w:tc>
        <w:tc>
          <w:tcPr>
            <w:tcW w:w="7492" w:type="dxa"/>
          </w:tcPr>
          <w:p w:rsidR="00E21A68"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Figures relating to major drivers of forecast capital expenditure FY2014-</w:t>
            </w:r>
          </w:p>
          <w:p w:rsidR="00E21A68" w:rsidRPr="00E35138"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FY2019</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45</w:t>
            </w:r>
            <w:r>
              <w:t xml:space="preserve">, </w:t>
            </w:r>
            <w:r w:rsidRPr="002315C3">
              <w:t>section 5.1.2(f), Figure</w:t>
            </w:r>
          </w:p>
          <w:p w:rsidR="00E21A68" w:rsidRPr="002315C3" w:rsidRDefault="00E21A68" w:rsidP="00C11F9E">
            <w:r w:rsidRPr="002315C3">
              <w:t>15</w:t>
            </w:r>
          </w:p>
        </w:tc>
        <w:tc>
          <w:tcPr>
            <w:tcW w:w="7492" w:type="dxa"/>
          </w:tcPr>
          <w:p w:rsidR="00E21A68"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Fixed broadband data growth, June 2007-</w:t>
            </w:r>
          </w:p>
          <w:p w:rsidR="00E21A68"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April 2015</w:t>
            </w:r>
          </w:p>
        </w:tc>
      </w:tr>
      <w:tr w:rsidR="00E21A68" w:rsidRPr="00500ED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A54CE0" w:rsidRDefault="00E21A68" w:rsidP="00C11F9E">
            <w:r w:rsidRPr="002315C3">
              <w:t>Page 45</w:t>
            </w:r>
            <w:r>
              <w:t xml:space="preserve">, </w:t>
            </w:r>
            <w:r w:rsidRPr="002315C3">
              <w:t>section 5.1.2(f</w:t>
            </w:r>
            <w:r>
              <w:t>)</w:t>
            </w:r>
          </w:p>
        </w:tc>
        <w:tc>
          <w:tcPr>
            <w:tcW w:w="7492" w:type="dxa"/>
          </w:tcPr>
          <w:p w:rsidR="00E21A68" w:rsidRPr="00A54CE0"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Forecast of ADSL SIO volumes at June 2016</w:t>
            </w:r>
          </w:p>
        </w:tc>
      </w:tr>
      <w:tr w:rsidR="00E21A68" w:rsidRPr="00500ED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A54CE0" w:rsidRDefault="00E21A68" w:rsidP="00C11F9E">
            <w:r>
              <w:t xml:space="preserve">Page 46, </w:t>
            </w:r>
            <w:r w:rsidRPr="002315C3">
              <w:t>section 5.1.2(f</w:t>
            </w:r>
            <w:r>
              <w:t>)</w:t>
            </w:r>
          </w:p>
        </w:tc>
        <w:tc>
          <w:tcPr>
            <w:tcW w:w="7492" w:type="dxa"/>
          </w:tcPr>
          <w:p w:rsidR="00E21A68" w:rsidRPr="00A54CE0"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Forecast percentage increase of demand at peak times on ADSL network</w:t>
            </w:r>
          </w:p>
        </w:tc>
      </w:tr>
      <w:tr w:rsidR="00E21A68" w:rsidRPr="00500ED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A54CE0" w:rsidRDefault="00E21A68" w:rsidP="00C11F9E">
            <w:r>
              <w:t xml:space="preserve">Page 46, </w:t>
            </w:r>
            <w:r w:rsidRPr="002315C3">
              <w:t>section 5.1.2(f</w:t>
            </w:r>
            <w:r>
              <w:t>)</w:t>
            </w:r>
          </w:p>
        </w:tc>
        <w:tc>
          <w:tcPr>
            <w:tcW w:w="7492" w:type="dxa"/>
          </w:tcPr>
          <w:p w:rsidR="00E21A68" w:rsidRPr="00A54CE0" w:rsidRDefault="00E21A68" w:rsidP="00C11F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Commentary related to usage levels</w:t>
            </w:r>
          </w:p>
        </w:tc>
      </w:tr>
      <w:tr w:rsidR="00E21A68" w:rsidRPr="00500ED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A54CE0" w:rsidRDefault="00E21A68" w:rsidP="00C11F9E">
            <w:pPr>
              <w:spacing w:after="200" w:line="276" w:lineRule="auto"/>
            </w:pPr>
            <w:r w:rsidRPr="00A54CE0">
              <w:t>Page 46, section 5.1.2(f)</w:t>
            </w:r>
          </w:p>
        </w:tc>
        <w:tc>
          <w:tcPr>
            <w:tcW w:w="7492" w:type="dxa"/>
          </w:tcPr>
          <w:p w:rsidR="00E21A68" w:rsidRPr="00A54CE0" w:rsidRDefault="00E21A68" w:rsidP="00C11F9E">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A54CE0">
              <w:rPr>
                <w:rFonts w:ascii="Helvetica" w:hAnsi="Helvetica" w:cs="Helvetica"/>
                <w:sz w:val="20"/>
                <w:szCs w:val="20"/>
              </w:rPr>
              <w:t>Information about impact of investment</w:t>
            </w:r>
          </w:p>
        </w:tc>
      </w:tr>
      <w:tr w:rsidR="00E21A68" w:rsidRPr="00500ED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A54CE0" w:rsidRDefault="00E21A68" w:rsidP="00C11F9E">
            <w:pPr>
              <w:spacing w:after="200" w:line="276" w:lineRule="auto"/>
            </w:pPr>
            <w:r w:rsidRPr="00A54CE0">
              <w:t>Page 46, section 5.1.2(f)</w:t>
            </w:r>
          </w:p>
        </w:tc>
        <w:tc>
          <w:tcPr>
            <w:tcW w:w="7492" w:type="dxa"/>
          </w:tcPr>
          <w:p w:rsidR="00E21A68" w:rsidRPr="00A54CE0" w:rsidRDefault="00E21A68" w:rsidP="00C11F9E">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A54CE0">
              <w:rPr>
                <w:rFonts w:ascii="Helvetica" w:hAnsi="Helvetica" w:cs="Helvetica"/>
                <w:sz w:val="20"/>
                <w:szCs w:val="20"/>
              </w:rPr>
              <w:t>Actual number of SIOs backhaul congestion relief provided</w:t>
            </w:r>
          </w:p>
        </w:tc>
      </w:tr>
      <w:tr w:rsidR="00E21A68"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A54CE0" w:rsidRDefault="00E21A68" w:rsidP="00C11F9E">
            <w:pPr>
              <w:spacing w:after="200" w:line="276" w:lineRule="auto"/>
            </w:pPr>
            <w:r w:rsidRPr="00A54CE0">
              <w:t>Page 47, section 5.1.2(f), discretionary expenditure</w:t>
            </w:r>
          </w:p>
        </w:tc>
        <w:tc>
          <w:tcPr>
            <w:tcW w:w="7492" w:type="dxa"/>
          </w:tcPr>
          <w:p w:rsidR="00E21A68" w:rsidRPr="00A54CE0" w:rsidRDefault="00E21A68" w:rsidP="00C11F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A54CE0">
              <w:rPr>
                <w:rFonts w:ascii="Helvetica" w:hAnsi="Helvetica" w:cs="Helvetica"/>
                <w:sz w:val="20"/>
                <w:szCs w:val="20"/>
              </w:rPr>
              <w:t xml:space="preserve">Estimated percentage of forecast </w:t>
            </w:r>
            <w:proofErr w:type="spellStart"/>
            <w:r w:rsidRPr="00A54CE0">
              <w:rPr>
                <w:rFonts w:ascii="Helvetica" w:hAnsi="Helvetica" w:cs="Helvetica"/>
                <w:sz w:val="20"/>
                <w:szCs w:val="20"/>
              </w:rPr>
              <w:t>capex</w:t>
            </w:r>
            <w:proofErr w:type="spellEnd"/>
            <w:r w:rsidRPr="00A54CE0">
              <w:rPr>
                <w:rFonts w:ascii="Helvetica" w:hAnsi="Helvetica" w:cs="Helvetica"/>
                <w:sz w:val="20"/>
                <w:szCs w:val="20"/>
              </w:rPr>
              <w:t xml:space="preserve"> represented by discretionary expenditure</w:t>
            </w:r>
          </w:p>
        </w:tc>
      </w:tr>
    </w:tbl>
    <w:p w:rsidR="00E21A68" w:rsidRDefault="00E21A68" w:rsidP="00E21A68"/>
    <w:tbl>
      <w:tblPr>
        <w:tblStyle w:val="LightList"/>
        <w:tblW w:w="0" w:type="auto"/>
        <w:tblLook w:val="04A0" w:firstRow="1" w:lastRow="0" w:firstColumn="1" w:lastColumn="0" w:noHBand="0" w:noVBand="1"/>
      </w:tblPr>
      <w:tblGrid>
        <w:gridCol w:w="1750"/>
        <w:gridCol w:w="7492"/>
      </w:tblGrid>
      <w:tr w:rsidR="00E21A68" w:rsidRPr="00302829" w:rsidTr="00C11F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0" w:type="dxa"/>
          </w:tcPr>
          <w:p w:rsidR="00E21A68" w:rsidRPr="00302829" w:rsidRDefault="00E21A68" w:rsidP="00C11F9E">
            <w:pPr>
              <w:keepNext/>
              <w:rPr>
                <w:rFonts w:ascii="Times New Roman" w:hAnsi="Times New Roman"/>
                <w:sz w:val="24"/>
              </w:rPr>
            </w:pPr>
            <w:r w:rsidRPr="00302829">
              <w:rPr>
                <w:rFonts w:ascii="Times New Roman" w:hAnsi="Times New Roman"/>
                <w:sz w:val="24"/>
              </w:rPr>
              <w:t>Page</w:t>
            </w:r>
          </w:p>
        </w:tc>
        <w:tc>
          <w:tcPr>
            <w:tcW w:w="7492" w:type="dxa"/>
          </w:tcPr>
          <w:p w:rsidR="00E21A68" w:rsidRPr="00302829" w:rsidRDefault="00E21A68" w:rsidP="00C11F9E">
            <w:pPr>
              <w:keepNext/>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02829">
              <w:rPr>
                <w:rFonts w:ascii="Times New Roman" w:hAnsi="Times New Roman"/>
                <w:sz w:val="24"/>
              </w:rPr>
              <w:t>Description</w:t>
            </w:r>
          </w:p>
        </w:tc>
      </w:tr>
      <w:tr w:rsidR="00E21A68" w:rsidRPr="00CE04B8"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gridSpan w:val="2"/>
          </w:tcPr>
          <w:p w:rsidR="00E21A68" w:rsidRPr="00CE04B8" w:rsidRDefault="00E21A68" w:rsidP="00C11F9E">
            <w:r w:rsidRPr="00CE04B8">
              <w:t>Telstra, Final Access Determinations Inquiry – confidential response to information request under the BBM RKR, Comparison statement, 25 November 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t>Page 4</w:t>
            </w:r>
            <w:r w:rsidRPr="002315C3">
              <w:t>, section 2.1.1</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Nominal annual increase percentage of 2012-13 expenditure forecast</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5, section 2.1.1</w:t>
            </w:r>
            <w:r>
              <w:t>, table 1</w:t>
            </w:r>
          </w:p>
        </w:tc>
        <w:tc>
          <w:tcPr>
            <w:tcW w:w="7492" w:type="dxa"/>
          </w:tcPr>
          <w:p w:rsidR="00E21A68" w:rsidRPr="003B19F9" w:rsidRDefault="00E21A68" w:rsidP="00C11F9E">
            <w:pPr>
              <w:cnfStyle w:val="000000100000" w:firstRow="0" w:lastRow="0" w:firstColumn="0" w:lastColumn="0" w:oddVBand="0" w:evenVBand="0" w:oddHBand="1" w:evenHBand="0" w:firstRowFirstColumn="0" w:firstRowLastColumn="0" w:lastRowFirstColumn="0" w:lastRowLastColumn="0"/>
            </w:pPr>
            <w:r>
              <w:t>Percentage nominal annual increase used to create forecast for direct capital expenditure</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t>Page 7, section 2.1.1, table 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Figures relating to previous regulatory forecasts for direct capital expenditure for FY2013</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8, section 2.1.1, table 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Figures relating to previous regulatory forecasts for direct capital expenditure (data equipment) for FY2013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11, section 2.1.2</w:t>
            </w:r>
          </w:p>
        </w:tc>
        <w:tc>
          <w:tcPr>
            <w:tcW w:w="7492" w:type="dxa"/>
          </w:tcPr>
          <w:p w:rsidR="00E21A68" w:rsidRPr="003B19F9" w:rsidRDefault="00E21A68" w:rsidP="00C11F9E">
            <w:pPr>
              <w:cnfStyle w:val="000000000000" w:firstRow="0" w:lastRow="0" w:firstColumn="0" w:lastColumn="0" w:oddVBand="0" w:evenVBand="0" w:oddHBand="0" w:evenHBand="0" w:firstRowFirstColumn="0" w:firstRowLastColumn="0" w:lastRowFirstColumn="0" w:lastRowLastColumn="0"/>
            </w:pPr>
            <w:r>
              <w:t>Written down value of the assets allocated to and applicable to internal wholesale products and external wholesale products as at end of June 2009</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t>Page 11, section 2.1.2, table 8</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Figures relating to previous regulatory forecasts for indirect asset capital expenditure for FY2013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12</w:t>
            </w:r>
            <w:r>
              <w:t xml:space="preserve"> and 13</w:t>
            </w:r>
            <w:r w:rsidRPr="002315C3">
              <w:t>, section 2.2.1, table 9</w:t>
            </w:r>
          </w:p>
        </w:tc>
        <w:tc>
          <w:tcPr>
            <w:tcW w:w="7492" w:type="dxa"/>
          </w:tcPr>
          <w:p w:rsidR="00E21A68" w:rsidRPr="003B19F9" w:rsidRDefault="00E21A68" w:rsidP="00C11F9E">
            <w:pPr>
              <w:cnfStyle w:val="000000000000" w:firstRow="0" w:lastRow="0" w:firstColumn="0" w:lastColumn="0" w:oddVBand="0" w:evenVBand="0" w:oddHBand="0" w:evenHBand="0" w:firstRowFirstColumn="0" w:firstRowLastColumn="0" w:lastRowFirstColumn="0" w:lastRowLastColumn="0"/>
            </w:pPr>
            <w:r>
              <w:t>Actual capital expenditure for direct assets for FY2011, FY2012 and FY2013</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lastRenderedPageBreak/>
              <w:t>Page 13, section 2.2.1, table 10</w:t>
            </w:r>
          </w:p>
        </w:tc>
        <w:tc>
          <w:tcPr>
            <w:tcW w:w="7492" w:type="dxa"/>
          </w:tcPr>
          <w:p w:rsidR="00E21A68" w:rsidRPr="003B19F9" w:rsidRDefault="00E21A68" w:rsidP="00C11F9E">
            <w:pPr>
              <w:cnfStyle w:val="000000100000" w:firstRow="0" w:lastRow="0" w:firstColumn="0" w:lastColumn="0" w:oddVBand="0" w:evenVBand="0" w:oddHBand="1" w:evenHBand="0" w:firstRowFirstColumn="0" w:firstRowLastColumn="0" w:lastRowFirstColumn="0" w:lastRowLastColumn="0"/>
            </w:pPr>
            <w:r>
              <w:t>Actual capital expenditure for data equipment in FY2012 and FY2013 and explanation of why the actual capital expenditure for WDSL in FY2012 in Telstra’s June 2012 asset register differed from that contained in Telstra’s June 2013 asset register.</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w:t>
            </w:r>
            <w:r>
              <w:t>s</w:t>
            </w:r>
            <w:r w:rsidRPr="002315C3">
              <w:t xml:space="preserve"> 13</w:t>
            </w:r>
            <w:r>
              <w:t xml:space="preserve"> and 14</w:t>
            </w:r>
            <w:r w:rsidRPr="002315C3">
              <w:t>, section 2.2.1, table 11</w:t>
            </w:r>
          </w:p>
        </w:tc>
        <w:tc>
          <w:tcPr>
            <w:tcW w:w="7492" w:type="dxa"/>
          </w:tcPr>
          <w:p w:rsidR="00E21A68" w:rsidRPr="003B19F9" w:rsidRDefault="00E21A68" w:rsidP="00C11F9E">
            <w:pPr>
              <w:cnfStyle w:val="000000000000" w:firstRow="0" w:lastRow="0" w:firstColumn="0" w:lastColumn="0" w:oddVBand="0" w:evenVBand="0" w:oddHBand="0" w:evenHBand="0" w:firstRowFirstColumn="0" w:firstRowLastColumn="0" w:lastRowFirstColumn="0" w:lastRowLastColumn="0"/>
            </w:pPr>
            <w:r>
              <w:t>New asset classes in FY2012 and FY2013</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14, section 2.2.2, table 12</w:t>
            </w:r>
          </w:p>
        </w:tc>
        <w:tc>
          <w:tcPr>
            <w:tcW w:w="7492" w:type="dxa"/>
          </w:tcPr>
          <w:p w:rsidR="00E21A68" w:rsidRPr="003B19F9" w:rsidRDefault="00E21A68" w:rsidP="00C11F9E">
            <w:pPr>
              <w:cnfStyle w:val="000000100000" w:firstRow="0" w:lastRow="0" w:firstColumn="0" w:lastColumn="0" w:oddVBand="0" w:evenVBand="0" w:oddHBand="1" w:evenHBand="0" w:firstRowFirstColumn="0" w:firstRowLastColumn="0" w:lastRowFirstColumn="0" w:lastRowLastColumn="0"/>
            </w:pPr>
            <w:r>
              <w:t>Actual capital expenditure for indirect assets for FY2011, FY2012 and FY2013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w:t>
            </w:r>
            <w:r>
              <w:t>s</w:t>
            </w:r>
            <w:r w:rsidRPr="002315C3">
              <w:t xml:space="preserve"> 15</w:t>
            </w:r>
            <w:r>
              <w:t xml:space="preserve"> and 16</w:t>
            </w:r>
            <w:r w:rsidRPr="002315C3">
              <w:t>, section 2.3.1, table 13</w:t>
            </w:r>
          </w:p>
        </w:tc>
        <w:tc>
          <w:tcPr>
            <w:tcW w:w="7492" w:type="dxa"/>
          </w:tcPr>
          <w:p w:rsidR="00E21A68" w:rsidRPr="003B19F9" w:rsidRDefault="00E21A68" w:rsidP="00C11F9E">
            <w:pPr>
              <w:cnfStyle w:val="000000000000" w:firstRow="0" w:lastRow="0" w:firstColumn="0" w:lastColumn="0" w:oddVBand="0" w:evenVBand="0" w:oddHBand="0" w:evenHBand="0" w:firstRowFirstColumn="0" w:firstRowLastColumn="0" w:lastRowFirstColumn="0" w:lastRowLastColumn="0"/>
            </w:pPr>
            <w:r>
              <w:t>Difference in actual direct capital expenditure and previous regulatory forecast direct capital expenditure for FY2011, FY2012, FY2013 and over the three year period and relevant commentary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16, section 2.3.1, table 14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Difference in actual and previous regulatory forecast data equipment direct asset capital expenditure for FY2012 and FY2013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16, section 2.3.2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Written down value of indirect capital assets as at June 2009 in FY2009 dollars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17, section 2.3.2, table 15</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Forecast and actual written down values and actual depreciation for FY2010 to FY2013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17, section 2.3.2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Explanation of trends in written down values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17, section 2.3.2</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Comparison of actual spending on indirect assets with forecast</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17, section 2.3.2, table 16</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Difference in actual to Previous Regulatory Forecasts for indirect asset capital expenditure for FY2011 to FY2013</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18</w:t>
            </w:r>
            <w:r>
              <w:t>, 19 and 20</w:t>
            </w:r>
            <w:r w:rsidRPr="002315C3">
              <w:t>, section 2.4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Reasons for differences in forecasts to actual capital expenditure in relation to direct assets, data equipment and indirect assets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w:t>
            </w:r>
            <w:r>
              <w:t>s</w:t>
            </w:r>
            <w:r w:rsidRPr="002315C3">
              <w:t xml:space="preserve"> 21</w:t>
            </w:r>
            <w:r>
              <w:t xml:space="preserve"> and 22</w:t>
            </w:r>
            <w:r w:rsidRPr="002315C3">
              <w:t>, section 2.5, table 18</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Forecast capital expenditure for FY2014 showing previous regulatory forecast and Telstra’s new methodology</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24, section 3.1.1, table 20</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Actual operating expenditure for FY2006 to FY2010</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25, section 3.1.1</w:t>
            </w:r>
            <w:r>
              <w:t>, table 22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Figures relating to previous regulatory forecasts for operating expenditure for FY2013</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25, section 3.1.1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 xml:space="preserve">LSS data for operating expenditure from November 2010 </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26, section 3.1.1, table 23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Previous Regulatory Forecast operating expenditure for LSS Equipment for FY2013</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26, section 3.1.1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Data equipment forecast operating expenditure for FY2013 in FY2009 real dollars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27, section 3.1.1, table 24</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Forecast </w:t>
            </w:r>
            <w:proofErr w:type="spellStart"/>
            <w:r>
              <w:t>opex</w:t>
            </w:r>
            <w:proofErr w:type="spellEnd"/>
            <w:r>
              <w:t xml:space="preserve"> for FY2013</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27, section 3.1.2</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The percentage of direct operating expenditure attributable to the CAN and Core networks including data equipment (but excluding LSS)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27, section 3.1.2, table 25</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Previous Regulatory Forecast of indirect operating expenditure for FY2013</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28, section 3.1.3, table 26</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Previous Regulatory Forecast operating expenditure (direct + indirect) for FY2013 in 2009 million dollars</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28, section 3.1.3, table 27</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Previous Regulatory Forecast direct + indirect operating expenditure for FY2013 in nominal million dollars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lastRenderedPageBreak/>
              <w:t>Page 30, section 3.2.1, table 28</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Actual direct operating expenditure from the RAF for  FY2011 to FY2013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30, section 3.2.1</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Actual direct operating expenditure for data equipment in the RAF in FY2013 and the allocation of this to the FLSM data equipment asset class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31, section 3.2.1, table 29</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 xml:space="preserve">Actual </w:t>
            </w:r>
            <w:proofErr w:type="spellStart"/>
            <w:r>
              <w:t>opex</w:t>
            </w:r>
            <w:proofErr w:type="spellEnd"/>
            <w:r>
              <w:t xml:space="preserve"> from the RAF, proportion of costs allocated to FLSM and actual </w:t>
            </w:r>
            <w:proofErr w:type="spellStart"/>
            <w:r>
              <w:t>opex</w:t>
            </w:r>
            <w:proofErr w:type="spellEnd"/>
            <w:r>
              <w:t xml:space="preserve"> allocated to FLSM</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31, section 3.2.2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Mode of calculating actual indirect expenditure for CAN and CORE assets (excluding data equipment)</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31, section 3.2.2, table 30</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Actual indirect operating expenditure for FY2011 to FY2013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32, section 3.2.2, table 31</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Actual indirect </w:t>
            </w:r>
            <w:proofErr w:type="spellStart"/>
            <w:r>
              <w:t>opex</w:t>
            </w:r>
            <w:proofErr w:type="spellEnd"/>
            <w:r>
              <w:t xml:space="preserve"> (80% of direct </w:t>
            </w:r>
            <w:proofErr w:type="spellStart"/>
            <w:r>
              <w:t>opex</w:t>
            </w:r>
            <w:proofErr w:type="spellEnd"/>
            <w:r>
              <w:t xml:space="preserve">), proportion of costs allocated to FLSM and actual indirect </w:t>
            </w:r>
            <w:proofErr w:type="spellStart"/>
            <w:r>
              <w:t>opex</w:t>
            </w:r>
            <w:proofErr w:type="spellEnd"/>
            <w:r>
              <w:t xml:space="preserve"> allocated to FLSM</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32, section 3.2.2, table 32</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Actual direct + indirect operating expenditure for FY2011 to FY2013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32, section 3.3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Mode of calculating forecasts of indirect operating expenditure</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w:t>
            </w:r>
            <w:r>
              <w:t>s</w:t>
            </w:r>
            <w:r w:rsidRPr="002315C3">
              <w:t xml:space="preserve"> 33</w:t>
            </w:r>
            <w:r>
              <w:t xml:space="preserve"> and 34</w:t>
            </w:r>
            <w:r w:rsidRPr="002315C3">
              <w:t>, section 3.3, table 33</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Comparison of Previous Regulatory Forecasts to actual direct operating expenditure for FY2011 to Fy2013</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34, section 3.4</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Reason for differences in Previous Regulatory Forecasts to actual operating expenditure</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35, section 3.5, table 34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 xml:space="preserve">Forecast comparison for </w:t>
            </w:r>
            <w:proofErr w:type="spellStart"/>
            <w:r>
              <w:t>opex</w:t>
            </w:r>
            <w:proofErr w:type="spellEnd"/>
            <w:r>
              <w:t xml:space="preserve"> FY2014 using the previous Regulatory Forecast method and Telstra’s new forecast method</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w:t>
            </w:r>
            <w:r>
              <w:t>s</w:t>
            </w:r>
            <w:r w:rsidRPr="002315C3">
              <w:t xml:space="preserve"> 36</w:t>
            </w:r>
            <w:r>
              <w:t xml:space="preserve"> and 37</w:t>
            </w:r>
            <w:r w:rsidRPr="002315C3">
              <w:t xml:space="preserve">, </w:t>
            </w:r>
            <w:proofErr w:type="spellStart"/>
            <w:r w:rsidRPr="002315C3">
              <w:t>secion</w:t>
            </w:r>
            <w:proofErr w:type="spellEnd"/>
            <w:r w:rsidRPr="002315C3">
              <w:t xml:space="preserve"> 4.1</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Details of the Previous Regulatory Forecast for demand for each of the fixed line services</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37, section 4.1, table 35</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Previous Regulatory Forecast demand for fixed line services for Fy2013 and FY2014</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39, section 4.2, table 36</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Comparison of Previous Regulatory Forecast demand to actual demand for Fy2011 to FY2013 by service</w:t>
            </w:r>
            <w:r>
              <w:br/>
            </w:r>
            <w:r>
              <w:br/>
              <w:t>Excludes FY2011 and FY2012 actual demand data for ULLS, LSS and WLR SIOs, which should be made public.</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 xml:space="preserve">Pages </w:t>
            </w:r>
            <w:r>
              <w:t xml:space="preserve">39, 40, </w:t>
            </w:r>
            <w:r w:rsidRPr="002315C3">
              <w:t>41, 42 and 43</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Graphs comparing forecast to actual data and relevant commentary</w:t>
            </w:r>
          </w:p>
        </w:tc>
      </w:tr>
      <w:tr w:rsidR="00E21A68" w:rsidRPr="00302829"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r w:rsidRPr="002315C3">
              <w:t>Page 43 and 44, section 4.3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Reasons for differences in Previous Regulatory Forecasts to actual costs</w:t>
            </w:r>
          </w:p>
        </w:tc>
      </w:tr>
    </w:tbl>
    <w:p w:rsidR="00E21A68" w:rsidRDefault="00E21A68" w:rsidP="00E21A68"/>
    <w:tbl>
      <w:tblPr>
        <w:tblStyle w:val="LightList"/>
        <w:tblW w:w="0" w:type="auto"/>
        <w:tblLook w:val="04A0" w:firstRow="1" w:lastRow="0" w:firstColumn="1" w:lastColumn="0" w:noHBand="0" w:noVBand="1"/>
      </w:tblPr>
      <w:tblGrid>
        <w:gridCol w:w="1750"/>
        <w:gridCol w:w="7492"/>
      </w:tblGrid>
      <w:tr w:rsidR="00E21A68" w:rsidRPr="00302829" w:rsidTr="00C11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rsidR="00E21A68" w:rsidRPr="00302829" w:rsidRDefault="00E21A68" w:rsidP="00C11F9E">
            <w:pPr>
              <w:keepNext/>
              <w:rPr>
                <w:rFonts w:ascii="Times New Roman" w:hAnsi="Times New Roman"/>
                <w:sz w:val="24"/>
              </w:rPr>
            </w:pPr>
            <w:r w:rsidRPr="00302829">
              <w:rPr>
                <w:rFonts w:ascii="Times New Roman" w:hAnsi="Times New Roman"/>
                <w:sz w:val="24"/>
              </w:rPr>
              <w:t>Page</w:t>
            </w:r>
          </w:p>
        </w:tc>
        <w:tc>
          <w:tcPr>
            <w:tcW w:w="7492" w:type="dxa"/>
          </w:tcPr>
          <w:p w:rsidR="00E21A68" w:rsidRPr="00302829" w:rsidRDefault="00E21A68" w:rsidP="00C11F9E">
            <w:pPr>
              <w:keepNext/>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02829">
              <w:rPr>
                <w:rFonts w:ascii="Times New Roman" w:hAnsi="Times New Roman"/>
                <w:sz w:val="24"/>
              </w:rPr>
              <w:t>Description</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E21A68" w:rsidRPr="00CE04B8" w:rsidRDefault="00E21A68" w:rsidP="00C11F9E">
            <w:r w:rsidRPr="00CE04B8">
              <w:t xml:space="preserve">Telstra, Final Access Determinations Inquiry – confidential response to information request under the BBM RKR, </w:t>
            </w:r>
            <w:r>
              <w:t>Excel Workbook</w:t>
            </w:r>
            <w:r w:rsidRPr="00CE04B8">
              <w:t>, 25 November 2013</w:t>
            </w:r>
          </w:p>
        </w:tc>
      </w:tr>
      <w:tr w:rsidR="00E21A68" w:rsidRPr="00302829" w:rsidTr="00C11F9E">
        <w:tc>
          <w:tcPr>
            <w:cnfStyle w:val="001000000000" w:firstRow="0" w:lastRow="0" w:firstColumn="1" w:lastColumn="0" w:oddVBand="0" w:evenVBand="0" w:oddHBand="0" w:evenHBand="0" w:firstRowFirstColumn="0" w:firstRowLastColumn="0" w:lastRowFirstColumn="0" w:lastRowLastColumn="0"/>
            <w:tcW w:w="1750" w:type="dxa"/>
          </w:tcPr>
          <w:p w:rsidR="00E21A68" w:rsidRPr="002315C3" w:rsidRDefault="00E21A68" w:rsidP="00C11F9E">
            <w:pPr>
              <w:rPr>
                <w:rFonts w:cstheme="minorHAnsi"/>
                <w:sz w:val="24"/>
              </w:rPr>
            </w:pPr>
            <w:r>
              <w:rPr>
                <w:rFonts w:cstheme="minorHAnsi"/>
                <w:sz w:val="24"/>
              </w:rPr>
              <w:t>Excel workbook</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rPr>
                <w:rFonts w:cstheme="minorHAnsi"/>
                <w:sz w:val="24"/>
              </w:rPr>
            </w:pPr>
            <w:r w:rsidRPr="002315C3">
              <w:rPr>
                <w:rFonts w:cstheme="minorHAnsi"/>
                <w:sz w:val="24"/>
              </w:rPr>
              <w:t xml:space="preserve">All of the data in the </w:t>
            </w:r>
            <w:proofErr w:type="spellStart"/>
            <w:r w:rsidRPr="002315C3">
              <w:rPr>
                <w:rFonts w:cstheme="minorHAnsi"/>
                <w:sz w:val="24"/>
              </w:rPr>
              <w:t>spreadsheet</w:t>
            </w:r>
            <w:r>
              <w:rPr>
                <w:rFonts w:cstheme="minorHAnsi"/>
                <w:sz w:val="24"/>
              </w:rPr>
              <w:t>s</w:t>
            </w:r>
            <w:proofErr w:type="spellEnd"/>
            <w:r>
              <w:rPr>
                <w:rFonts w:cstheme="minorHAnsi"/>
                <w:sz w:val="24"/>
              </w:rPr>
              <w:t>:</w:t>
            </w:r>
          </w:p>
          <w:p w:rsidR="00E21A68" w:rsidRDefault="00E21A68" w:rsidP="00C11F9E">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 xml:space="preserve">Historic cost </w:t>
            </w:r>
            <w:proofErr w:type="spellStart"/>
            <w:r>
              <w:rPr>
                <w:rFonts w:cstheme="minorHAnsi"/>
                <w:sz w:val="24"/>
              </w:rPr>
              <w:t>spreadsheet</w:t>
            </w:r>
            <w:proofErr w:type="spellEnd"/>
            <w:r>
              <w:rPr>
                <w:rFonts w:cstheme="minorHAnsi"/>
                <w:sz w:val="24"/>
              </w:rPr>
              <w:t>: Table B1: Historic cost by vintage</w:t>
            </w:r>
          </w:p>
          <w:p w:rsidR="00E21A68" w:rsidRDefault="00E21A68" w:rsidP="00C11F9E">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 xml:space="preserve">WDV </w:t>
            </w:r>
            <w:proofErr w:type="spellStart"/>
            <w:r>
              <w:rPr>
                <w:rFonts w:cstheme="minorHAnsi"/>
                <w:sz w:val="24"/>
              </w:rPr>
              <w:t>spreadsheet</w:t>
            </w:r>
            <w:proofErr w:type="spellEnd"/>
            <w:r>
              <w:rPr>
                <w:rFonts w:cstheme="minorHAnsi"/>
                <w:sz w:val="24"/>
              </w:rPr>
              <w:t>: Table B2: Written down values by vintage</w:t>
            </w:r>
          </w:p>
          <w:p w:rsidR="00E21A68" w:rsidRDefault="00E21A68" w:rsidP="00C11F9E">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 xml:space="preserve">Forecast </w:t>
            </w:r>
            <w:proofErr w:type="spellStart"/>
            <w:r>
              <w:rPr>
                <w:rFonts w:cstheme="minorHAnsi"/>
                <w:sz w:val="24"/>
              </w:rPr>
              <w:t>opex</w:t>
            </w:r>
            <w:proofErr w:type="spellEnd"/>
            <w:r>
              <w:rPr>
                <w:rFonts w:cstheme="minorHAnsi"/>
                <w:sz w:val="24"/>
              </w:rPr>
              <w:t xml:space="preserve"> </w:t>
            </w:r>
            <w:proofErr w:type="spellStart"/>
            <w:r>
              <w:rPr>
                <w:rFonts w:cstheme="minorHAnsi"/>
                <w:sz w:val="24"/>
              </w:rPr>
              <w:t>spreadsheet</w:t>
            </w:r>
            <w:proofErr w:type="spellEnd"/>
            <w:r>
              <w:rPr>
                <w:rFonts w:cstheme="minorHAnsi"/>
                <w:sz w:val="24"/>
              </w:rPr>
              <w:t>: Table C1: Forecast Operating Expenditure for the Regulatory Period</w:t>
            </w:r>
          </w:p>
          <w:p w:rsidR="00E21A68" w:rsidRDefault="00E21A68" w:rsidP="00C11F9E">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 xml:space="preserve">Forecast </w:t>
            </w:r>
            <w:proofErr w:type="spellStart"/>
            <w:r>
              <w:rPr>
                <w:rFonts w:cstheme="minorHAnsi"/>
                <w:sz w:val="24"/>
              </w:rPr>
              <w:t>capex</w:t>
            </w:r>
            <w:proofErr w:type="spellEnd"/>
            <w:r>
              <w:rPr>
                <w:rFonts w:cstheme="minorHAnsi"/>
                <w:sz w:val="24"/>
              </w:rPr>
              <w:t xml:space="preserve"> </w:t>
            </w:r>
            <w:proofErr w:type="spellStart"/>
            <w:r>
              <w:rPr>
                <w:rFonts w:cstheme="minorHAnsi"/>
                <w:sz w:val="24"/>
              </w:rPr>
              <w:t>spreadsheet</w:t>
            </w:r>
            <w:proofErr w:type="spellEnd"/>
            <w:r>
              <w:rPr>
                <w:rFonts w:cstheme="minorHAnsi"/>
                <w:sz w:val="24"/>
              </w:rPr>
              <w:t>: Table C2: Forecast Capital Expenditure for the Regulatory Period</w:t>
            </w:r>
          </w:p>
          <w:p w:rsidR="00E21A68" w:rsidRDefault="00E21A68" w:rsidP="00C11F9E">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lastRenderedPageBreak/>
              <w:t xml:space="preserve">Asset lives </w:t>
            </w:r>
            <w:proofErr w:type="spellStart"/>
            <w:r>
              <w:rPr>
                <w:rFonts w:cstheme="minorHAnsi"/>
                <w:sz w:val="24"/>
              </w:rPr>
              <w:t>spreadsheet</w:t>
            </w:r>
            <w:proofErr w:type="spellEnd"/>
            <w:r>
              <w:rPr>
                <w:rFonts w:cstheme="minorHAnsi"/>
                <w:sz w:val="24"/>
              </w:rPr>
              <w:t>: Table C3: Total asset lives for forecast Capital Expenditure during the Regulatory Period</w:t>
            </w:r>
          </w:p>
          <w:p w:rsidR="00E21A68" w:rsidRDefault="00E21A68" w:rsidP="00C11F9E">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 xml:space="preserve">Forecast demand </w:t>
            </w:r>
            <w:proofErr w:type="spellStart"/>
            <w:r>
              <w:rPr>
                <w:rFonts w:cstheme="minorHAnsi"/>
                <w:sz w:val="24"/>
              </w:rPr>
              <w:t>spreadsheet</w:t>
            </w:r>
            <w:proofErr w:type="spellEnd"/>
            <w:r>
              <w:rPr>
                <w:rFonts w:cstheme="minorHAnsi"/>
                <w:sz w:val="24"/>
              </w:rPr>
              <w:t>: Table C4: Forecast Demand for the Regulatory Period</w:t>
            </w:r>
          </w:p>
          <w:p w:rsidR="00E21A68" w:rsidRPr="002315C3" w:rsidRDefault="00E21A68" w:rsidP="00C11F9E">
            <w:pPr>
              <w:cnfStyle w:val="000000000000" w:firstRow="0" w:lastRow="0" w:firstColumn="0" w:lastColumn="0" w:oddVBand="0" w:evenVBand="0" w:oddHBand="0" w:evenHBand="0" w:firstRowFirstColumn="0" w:firstRowLastColumn="0" w:lastRowFirstColumn="0" w:lastRowLastColumn="0"/>
              <w:rPr>
                <w:rFonts w:cstheme="minorHAnsi"/>
                <w:sz w:val="24"/>
              </w:rPr>
            </w:pPr>
          </w:p>
        </w:tc>
      </w:tr>
    </w:tbl>
    <w:p w:rsidR="00E21A68" w:rsidRDefault="00E21A68" w:rsidP="00E21A68">
      <w:pPr>
        <w:spacing w:after="240"/>
        <w:rPr>
          <w:rFonts w:ascii="Times New Roman" w:hAnsi="Times New Roman"/>
          <w:sz w:val="24"/>
        </w:rPr>
      </w:pPr>
    </w:p>
    <w:tbl>
      <w:tblPr>
        <w:tblStyle w:val="LightList"/>
        <w:tblW w:w="0" w:type="auto"/>
        <w:tblLook w:val="04A0" w:firstRow="1" w:lastRow="0" w:firstColumn="1" w:lastColumn="0" w:noHBand="0" w:noVBand="1"/>
      </w:tblPr>
      <w:tblGrid>
        <w:gridCol w:w="1750"/>
        <w:gridCol w:w="7492"/>
      </w:tblGrid>
      <w:tr w:rsidR="00E21A68" w:rsidRPr="00302829" w:rsidTr="00C11F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0" w:type="dxa"/>
          </w:tcPr>
          <w:p w:rsidR="00E21A68" w:rsidRPr="00302829" w:rsidRDefault="00E21A68" w:rsidP="00C11F9E">
            <w:pPr>
              <w:rPr>
                <w:rFonts w:ascii="Times New Roman" w:hAnsi="Times New Roman"/>
                <w:sz w:val="24"/>
              </w:rPr>
            </w:pPr>
            <w:r w:rsidRPr="00302829">
              <w:rPr>
                <w:rFonts w:ascii="Times New Roman" w:hAnsi="Times New Roman"/>
                <w:sz w:val="24"/>
              </w:rPr>
              <w:t>Page</w:t>
            </w:r>
          </w:p>
        </w:tc>
        <w:tc>
          <w:tcPr>
            <w:tcW w:w="7492" w:type="dxa"/>
          </w:tcPr>
          <w:p w:rsidR="00E21A68" w:rsidRPr="00302829" w:rsidRDefault="00E21A68" w:rsidP="00C11F9E">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02829">
              <w:rPr>
                <w:rFonts w:ascii="Times New Roman" w:hAnsi="Times New Roman"/>
                <w:sz w:val="24"/>
              </w:rPr>
              <w:t>Description</w:t>
            </w:r>
          </w:p>
        </w:tc>
      </w:tr>
      <w:tr w:rsidR="00E21A68" w:rsidRPr="00302829"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42" w:type="dxa"/>
            <w:gridSpan w:val="2"/>
          </w:tcPr>
          <w:p w:rsidR="00E21A68" w:rsidRPr="00CE04B8" w:rsidRDefault="00E21A68" w:rsidP="00C11F9E">
            <w:r w:rsidRPr="00CE04B8">
              <w:t xml:space="preserve">Telstra, Final Access Determinations (FADs) Inquiry – </w:t>
            </w:r>
            <w:r>
              <w:t>additional</w:t>
            </w:r>
            <w:r w:rsidRPr="00CE04B8">
              <w:t xml:space="preserve"> response to information request under the BBM RKR, 10 February 2014</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 section 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Key contributors to direct and indirect operating expenditure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3, section 2, table 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operating expenditure forecast, by contributing factor and FLSM Asset Class,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Pages 4 and 5, section 2, table 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Breakdown of direct CSD operating expenditure, by activity type FY2014, and relevant commentary</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5 through to page 6, section 2, table 3</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direct CSD operating expenditure, by expenditure type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6, section 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Drivers of indirect operating expenditure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6, section 2, table 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indirect CSD operating expenditure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6, section 2, “Networks LOB”</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Key cost categories for Networks LOB</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7, section 2, table 5</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direct Networks operating expenditure, by expenditure type,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7, section 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Drivers of indirect operating expenditure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7 through to page 8, section 2, table 6</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Networks indirect operating expenditure by driver,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8, section 2, table 7</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Current proportion of system costs allocated to FLSM Asset Classes</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9, section 2, table 8</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direct ITS operating expenditure, by IT system,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9, section 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Drivers of indirect operating expenditure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9, section 2, table 9</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IT Services indirect operating expenditure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 xml:space="preserve">Page 9 through to page 10, section 2, Telstra Service Operations </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TSO cost categories</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10, section 2, table 10</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direct TSO operating expenditure, by cost category,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10, section 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Drivers of indirect operating expenditure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lastRenderedPageBreak/>
              <w:t>Page 10, section 2, table 11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Service Operations indirect operating expenditure,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11, section 2, table 12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Breakdown of Operations Business Unit Support indirect operating expenditure, FY2014</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 xml:space="preserve">Page 11, section 2 </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Drivers of indirect operating expenditure drivers</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11, section 2, table 13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Breakdown of operating expenditure, by driver, FY2014 and relevant commentary</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12, section 2, table 14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operating expenditure, by driver, proportions by FLSM Asset Class</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1103CC" w:rsidRDefault="00E21A68" w:rsidP="00C11F9E">
            <w:r>
              <w:t>Page 12, section 2</w:t>
            </w:r>
          </w:p>
        </w:tc>
        <w:tc>
          <w:tcPr>
            <w:tcW w:w="7492" w:type="dxa"/>
          </w:tcPr>
          <w:p w:rsidR="00E21A68" w:rsidRPr="001103CC" w:rsidRDefault="00E21A68" w:rsidP="00C11F9E">
            <w:pPr>
              <w:cnfStyle w:val="000000000000" w:firstRow="0" w:lastRow="0" w:firstColumn="0" w:lastColumn="0" w:oddVBand="0" w:evenVBand="0" w:oddHBand="0" w:evenHBand="0" w:firstRowFirstColumn="0" w:firstRowLastColumn="0" w:lastRowFirstColumn="0" w:lastRowLastColumn="0"/>
            </w:pPr>
            <w:r>
              <w:t xml:space="preserve">Percentage of contribution of top 10 IMC codes to aggregate </w:t>
            </w:r>
            <w:proofErr w:type="spellStart"/>
            <w:r>
              <w:t>opex</w:t>
            </w:r>
            <w:proofErr w:type="spellEnd"/>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12, section 2, table 15</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 xml:space="preserve">Top 10 IMC codes by contribution to </w:t>
            </w:r>
            <w:proofErr w:type="spellStart"/>
            <w:r>
              <w:t>opex</w:t>
            </w:r>
            <w:proofErr w:type="spellEnd"/>
            <w:r>
              <w:t xml:space="preserve"> relevant to the FLSM Asset Classes</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13, section 2, table 16</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Breakdown of operating expenditure for top 10 IMC codes (in terms of </w:t>
            </w:r>
            <w:proofErr w:type="spellStart"/>
            <w:r>
              <w:t>opex</w:t>
            </w:r>
            <w:proofErr w:type="spellEnd"/>
            <w:r>
              <w:t>), FY2014</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13, section 2, table 17</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Telstra Wholesale expenditure by cost category, FY2013-4</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Pr="0087534E" w:rsidRDefault="00E21A68" w:rsidP="00C11F9E">
            <w:r>
              <w:t>Page 14, section 2, Further Question 1 response</w:t>
            </w:r>
          </w:p>
        </w:tc>
        <w:tc>
          <w:tcPr>
            <w:tcW w:w="7492" w:type="dxa"/>
          </w:tcPr>
          <w:p w:rsidR="00E21A68" w:rsidRPr="0087534E" w:rsidRDefault="00E21A68" w:rsidP="00C11F9E">
            <w:pPr>
              <w:cnfStyle w:val="000000000000" w:firstRow="0" w:lastRow="0" w:firstColumn="0" w:lastColumn="0" w:oddVBand="0" w:evenVBand="0" w:oddHBand="0" w:evenHBand="0" w:firstRowFirstColumn="0" w:firstRowLastColumn="0" w:lastRowFirstColumn="0" w:lastRowLastColumn="0"/>
            </w:pPr>
            <w:r>
              <w:t>Estimated mark-up applied to FLSM Asset Classes</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14, section 2, Further Question 2</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Key drivers of the aggregate operating expenditure</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15, section 2, Further Question 2 response</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Commentary relating to major factors impacting on changes in operating expenditure</w:t>
            </w:r>
          </w:p>
        </w:tc>
      </w:tr>
      <w:tr w:rsidR="00E21A68" w:rsidTr="00C11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rsidR="00E21A68" w:rsidRPr="00B67EA1" w:rsidRDefault="00E21A68" w:rsidP="00C11F9E">
            <w:pPr>
              <w:spacing w:after="200" w:line="276" w:lineRule="auto"/>
            </w:pPr>
            <w:r w:rsidRPr="00B67EA1">
              <w:t>Page 15, section 2 through to page 1</w:t>
            </w:r>
            <w:r>
              <w:t>7</w:t>
            </w:r>
            <w:r w:rsidRPr="00B67EA1">
              <w:t>, Further Question 2 response</w:t>
            </w:r>
          </w:p>
        </w:tc>
        <w:tc>
          <w:tcPr>
            <w:tcW w:w="7492" w:type="dxa"/>
          </w:tcPr>
          <w:p w:rsidR="00E21A68" w:rsidRPr="00037BE0" w:rsidRDefault="00E21A68" w:rsidP="00C11F9E">
            <w:pPr>
              <w:cnfStyle w:val="000000100000" w:firstRow="0" w:lastRow="0" w:firstColumn="0" w:lastColumn="0" w:oddVBand="0" w:evenVBand="0" w:oddHBand="1" w:evenHBand="0" w:firstRowFirstColumn="0" w:firstRowLastColumn="0" w:lastRowFirstColumn="0" w:lastRowLastColumn="0"/>
            </w:pPr>
            <w:r w:rsidRPr="00B67EA1">
              <w:t>Commentary relating to drivers of factors impacting on changes in operating expenditure.</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18, section 2, Further Question 2 response</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Commentary relating to future key drivers in operating expenditure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18 and 19, section 2, table 18</w:t>
            </w:r>
          </w:p>
        </w:tc>
        <w:tc>
          <w:tcPr>
            <w:tcW w:w="7492" w:type="dxa"/>
          </w:tcPr>
          <w:p w:rsidR="00E21A68" w:rsidRDefault="00E21A68" w:rsidP="00C11F9E">
            <w:pPr>
              <w:tabs>
                <w:tab w:val="left" w:pos="1073"/>
              </w:tabs>
              <w:cnfStyle w:val="000000100000" w:firstRow="0" w:lastRow="0" w:firstColumn="0" w:lastColumn="0" w:oddVBand="0" w:evenVBand="0" w:oddHBand="1" w:evenHBand="0" w:firstRowFirstColumn="0" w:firstRowLastColumn="0" w:lastRowFirstColumn="0" w:lastRowLastColumn="0"/>
            </w:pPr>
            <w:r>
              <w:t>RAF cost items used in calculation of LSS Equipment operating expenditure, FY2009 to FY2013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19, section 2, table 19</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Breakdown of major LSS Equipment cost items by cost type, FY2013</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19, section 2, Further Question 5 and response</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Commentary relating to forecast of operating expenditure</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rsidRPr="005B0D50">
              <w:lastRenderedPageBreak/>
              <w:t>Page 2</w:t>
            </w:r>
            <w:r>
              <w:t>0</w:t>
            </w:r>
            <w:r w:rsidRPr="005B0D50">
              <w:t>, section 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Specific expenditure drivers</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20, section 3, table 20</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Breakdown of capital expenditure forecasts by expenditure driver FY2014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21, section 3, Further breakdown of capital expenditure by investment program</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Number of IMC programs contributing to the estimated capital expenditure within the relevant FLSM Asset Classes and percentage contribution of top 10 IMC programs to forecast capital expenditure</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21, section 3, table 21</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Top 10 IMC codes relevant to the FLSM capital expenditure forecasts and percentage component of capital expenditure</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22, section 3, table 22</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Aggregate capital expenditure by top 10 IMC codes relevant to the FLSM Asset Classes, FY2014</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22, section 3, table 23</w:t>
            </w:r>
          </w:p>
        </w:tc>
        <w:tc>
          <w:tcPr>
            <w:tcW w:w="7492" w:type="dxa"/>
          </w:tcPr>
          <w:p w:rsidR="00E21A68" w:rsidRDefault="00E21A68" w:rsidP="00C11F9E">
            <w:pPr>
              <w:tabs>
                <w:tab w:val="left" w:pos="1128"/>
              </w:tabs>
              <w:cnfStyle w:val="000000100000" w:firstRow="0" w:lastRow="0" w:firstColumn="0" w:lastColumn="0" w:oddVBand="0" w:evenVBand="0" w:oddHBand="1" w:evenHBand="0" w:firstRowFirstColumn="0" w:firstRowLastColumn="0" w:lastRowFirstColumn="0" w:lastRowLastColumn="0"/>
            </w:pPr>
            <w:r>
              <w:t>Calculation forecast capital expenditure estimates, by top 10 IMC codes</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23, section 3, Figure 1</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Actual and forecast estimates for IMC 986, IMC 985 and IMC 430, FY2010 to FY2019</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23, section 3, Figure 2</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Actual and forecast estimates for IMC 143, IMC 149 and IMC 358, FY2010 to FY2019</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24, section 3, Figure 3</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Actual and forecast estimates for IMC 181, IMC 230, IMC 700 and IMC 388, FY2010 to FY2019</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24, section 3, Further Question 6</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Reasons for refinement to the FLSM Mapping file</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25, section 4, Figure 4</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Forecast </w:t>
            </w:r>
            <w:proofErr w:type="spellStart"/>
            <w:r>
              <w:t>vs</w:t>
            </w:r>
            <w:proofErr w:type="spellEnd"/>
            <w:r>
              <w:t xml:space="preserve"> Actual - Unconditioned Local Loop Service (ULLS) SIOs, FY2010 to FY2013</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26, section 4, Figure 5</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 xml:space="preserve">Forecast </w:t>
            </w:r>
            <w:proofErr w:type="spellStart"/>
            <w:r>
              <w:t>vs</w:t>
            </w:r>
            <w:proofErr w:type="spellEnd"/>
            <w:r>
              <w:t xml:space="preserve"> Actual - Wholesale Line Rental (WLR) SIOs, FY2010 to FY2013</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26, section 4, Figure 6</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Forecast </w:t>
            </w:r>
            <w:proofErr w:type="spellStart"/>
            <w:r>
              <w:t>vs</w:t>
            </w:r>
            <w:proofErr w:type="spellEnd"/>
            <w:r>
              <w:t xml:space="preserve"> Actual Line Sharing Service (LSS) SIOs, FY2010 to FY2013</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26, section 4, Figure 7</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 xml:space="preserve">Forecast </w:t>
            </w:r>
            <w:proofErr w:type="spellStart"/>
            <w:r>
              <w:t>vs</w:t>
            </w:r>
            <w:proofErr w:type="spellEnd"/>
            <w:r>
              <w:t xml:space="preserve"> Actual Wholesale ADSL (WDSL) SIOs, FY2010 to FY2013</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27, section 4, Figure 8</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Forecast </w:t>
            </w:r>
            <w:proofErr w:type="spellStart"/>
            <w:r>
              <w:t>vs</w:t>
            </w:r>
            <w:proofErr w:type="spellEnd"/>
            <w:r>
              <w:t xml:space="preserve"> Actual Local Carriage Service (LCS) minutes, FY2010 to FY2013</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pPr>
              <w:tabs>
                <w:tab w:val="left" w:pos="1929"/>
              </w:tabs>
            </w:pPr>
            <w:r>
              <w:t>Page 27, section 4, Figure 9</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 xml:space="preserve">Forecast </w:t>
            </w:r>
            <w:proofErr w:type="spellStart"/>
            <w:r>
              <w:t>vs</w:t>
            </w:r>
            <w:proofErr w:type="spellEnd"/>
            <w:r>
              <w:t xml:space="preserve"> Actual Retail ADSL SIOs, FY2010 to FY2013</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27, section 4, Figure 10</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 xml:space="preserve">Forecast </w:t>
            </w:r>
            <w:proofErr w:type="spellStart"/>
            <w:r>
              <w:t>vs</w:t>
            </w:r>
            <w:proofErr w:type="spellEnd"/>
            <w:r>
              <w:t xml:space="preserve"> Actual Retail Basic Access SIOs, FY2010 to FY2013</w:t>
            </w:r>
          </w:p>
        </w:tc>
      </w:tr>
      <w:tr w:rsidR="00E21A68" w:rsidRPr="00321DEE" w:rsidTr="00C11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28, section 4, table 24</w:t>
            </w:r>
          </w:p>
        </w:tc>
        <w:tc>
          <w:tcPr>
            <w:tcW w:w="7492" w:type="dxa"/>
          </w:tcPr>
          <w:p w:rsidR="00E21A68" w:rsidRDefault="00E21A68" w:rsidP="00C11F9E">
            <w:pPr>
              <w:cnfStyle w:val="000000100000" w:firstRow="0" w:lastRow="0" w:firstColumn="0" w:lastColumn="0" w:oddVBand="0" w:evenVBand="0" w:oddHBand="1" w:evenHBand="0" w:firstRowFirstColumn="0" w:firstRowLastColumn="0" w:lastRowFirstColumn="0" w:lastRowLastColumn="0"/>
            </w:pPr>
            <w:r>
              <w:t>Absolute Average Forecast Variation for each service and relevant commentary</w:t>
            </w:r>
          </w:p>
        </w:tc>
      </w:tr>
      <w:tr w:rsidR="00E21A68" w:rsidRPr="00321DEE" w:rsidTr="00C11F9E">
        <w:trPr>
          <w:cantSplit/>
        </w:trPr>
        <w:tc>
          <w:tcPr>
            <w:cnfStyle w:val="001000000000" w:firstRow="0" w:lastRow="0" w:firstColumn="1" w:lastColumn="0" w:oddVBand="0" w:evenVBand="0" w:oddHBand="0" w:evenHBand="0" w:firstRowFirstColumn="0" w:firstRowLastColumn="0" w:lastRowFirstColumn="0" w:lastRowLastColumn="0"/>
            <w:tcW w:w="1750" w:type="dxa"/>
          </w:tcPr>
          <w:p w:rsidR="00E21A68" w:rsidRDefault="00E21A68" w:rsidP="00C11F9E">
            <w:r>
              <w:t>Page 28, section 4, table 25</w:t>
            </w:r>
          </w:p>
        </w:tc>
        <w:tc>
          <w:tcPr>
            <w:tcW w:w="7492" w:type="dxa"/>
          </w:tcPr>
          <w:p w:rsidR="00E21A68" w:rsidRDefault="00E21A68" w:rsidP="00C11F9E">
            <w:pPr>
              <w:cnfStyle w:val="000000000000" w:firstRow="0" w:lastRow="0" w:firstColumn="0" w:lastColumn="0" w:oddVBand="0" w:evenVBand="0" w:oddHBand="0" w:evenHBand="0" w:firstRowFirstColumn="0" w:firstRowLastColumn="0" w:lastRowFirstColumn="0" w:lastRowLastColumn="0"/>
            </w:pPr>
            <w:r>
              <w:t>Absolute Average Forecast Variation, one year time horizon, FY2011-FY2013</w:t>
            </w:r>
          </w:p>
        </w:tc>
      </w:tr>
    </w:tbl>
    <w:p w:rsidR="00E21A68" w:rsidRDefault="00E21A68" w:rsidP="00E21A68"/>
    <w:p w:rsidR="00E21A68" w:rsidRDefault="00E21A68" w:rsidP="00E21A68">
      <w:pPr>
        <w:spacing w:after="240"/>
        <w:rPr>
          <w:rFonts w:ascii="Times New Roman" w:hAnsi="Times New Roman"/>
          <w:sz w:val="24"/>
        </w:rPr>
      </w:pPr>
    </w:p>
    <w:p w:rsidR="00E21A68" w:rsidRDefault="00E21A68" w:rsidP="00E21A68">
      <w:pPr>
        <w:rPr>
          <w:rFonts w:ascii="Times New Roman" w:hAnsi="Times New Roman"/>
          <w:sz w:val="24"/>
        </w:rPr>
      </w:pPr>
      <w:r>
        <w:rPr>
          <w:rFonts w:ascii="Times New Roman" w:hAnsi="Times New Roman"/>
          <w:sz w:val="24"/>
        </w:rPr>
        <w:br w:type="page"/>
      </w:r>
    </w:p>
    <w:p w:rsidR="00E21A68" w:rsidRDefault="00E21A68" w:rsidP="00E21A68">
      <w:pPr>
        <w:pStyle w:val="Heading2"/>
        <w:spacing w:before="0" w:after="240"/>
        <w:jc w:val="center"/>
        <w:rPr>
          <w:rFonts w:ascii="Times New Roman" w:hAnsi="Times New Roman" w:cs="Times New Roman"/>
          <w:color w:val="000000" w:themeColor="text1"/>
          <w:sz w:val="24"/>
          <w:szCs w:val="24"/>
        </w:rPr>
      </w:pPr>
      <w:r w:rsidRPr="00331F8E">
        <w:rPr>
          <w:rFonts w:ascii="Times New Roman" w:hAnsi="Times New Roman" w:cs="Times New Roman"/>
          <w:color w:val="000000" w:themeColor="text1"/>
          <w:sz w:val="24"/>
          <w:szCs w:val="24"/>
        </w:rPr>
        <w:lastRenderedPageBreak/>
        <w:t>SCHEDULE 2</w:t>
      </w:r>
    </w:p>
    <w:p w:rsidR="00E21A68" w:rsidRDefault="00E21A68" w:rsidP="00E21A68">
      <w:pPr>
        <w:spacing w:after="240"/>
        <w:jc w:val="center"/>
        <w:rPr>
          <w:rFonts w:ascii="Times New Roman" w:eastAsiaTheme="majorEastAsia" w:hAnsi="Times New Roman" w:cstheme="majorBidi"/>
          <w:b/>
          <w:bCs/>
          <w:caps/>
          <w:color w:val="000000" w:themeColor="text1"/>
          <w:sz w:val="24"/>
        </w:rPr>
      </w:pPr>
      <w:r>
        <w:rPr>
          <w:rFonts w:ascii="Times New Roman" w:eastAsiaTheme="majorEastAsia" w:hAnsi="Times New Roman" w:cstheme="majorBidi"/>
          <w:b/>
          <w:bCs/>
          <w:caps/>
          <w:color w:val="000000" w:themeColor="text1"/>
          <w:sz w:val="24"/>
        </w:rPr>
        <w:t>CONFIDENTIALITY UNDERTAKING</w:t>
      </w:r>
    </w:p>
    <w:p w:rsidR="00E21A68" w:rsidRDefault="00E21A68" w:rsidP="00E21A68">
      <w:pPr>
        <w:spacing w:after="240"/>
        <w:jc w:val="center"/>
        <w:rPr>
          <w:rFonts w:ascii="Times New Roman" w:eastAsiaTheme="majorEastAsia" w:hAnsi="Times New Roman" w:cstheme="majorBidi"/>
          <w:b/>
          <w:bCs/>
          <w:caps/>
          <w:color w:val="000000" w:themeColor="text1"/>
          <w:sz w:val="24"/>
        </w:rPr>
      </w:pPr>
      <w:r>
        <w:rPr>
          <w:rFonts w:ascii="Times New Roman" w:eastAsiaTheme="majorEastAsia" w:hAnsi="Times New Roman" w:cstheme="majorBidi"/>
          <w:b/>
          <w:bCs/>
          <w:caps/>
          <w:color w:val="000000" w:themeColor="text1"/>
          <w:sz w:val="24"/>
        </w:rPr>
        <w:t>IN FAVOUR OF</w:t>
      </w:r>
    </w:p>
    <w:p w:rsidR="00E21A68" w:rsidRDefault="00E21A68" w:rsidP="00E21A68">
      <w:pPr>
        <w:spacing w:after="240"/>
        <w:jc w:val="center"/>
        <w:rPr>
          <w:rFonts w:ascii="Times New Roman" w:eastAsiaTheme="majorEastAsia" w:hAnsi="Times New Roman" w:cstheme="majorBidi"/>
          <w:b/>
          <w:bCs/>
          <w:caps/>
          <w:color w:val="000000" w:themeColor="text1"/>
          <w:sz w:val="24"/>
        </w:rPr>
      </w:pPr>
      <w:r>
        <w:rPr>
          <w:rFonts w:ascii="Times New Roman" w:eastAsiaTheme="majorEastAsia" w:hAnsi="Times New Roman" w:cstheme="majorBidi"/>
          <w:b/>
          <w:bCs/>
          <w:caps/>
          <w:color w:val="000000" w:themeColor="text1"/>
          <w:sz w:val="24"/>
        </w:rPr>
        <w:t xml:space="preserve">TELSTRA CORPORATION LIMITED </w:t>
      </w:r>
      <w:r w:rsidRPr="009B0C34">
        <w:rPr>
          <w:rFonts w:ascii="Times New Roman" w:eastAsiaTheme="majorEastAsia" w:hAnsi="Times New Roman" w:cstheme="majorBidi"/>
          <w:b/>
          <w:bCs/>
          <w:caps/>
          <w:color w:val="000000" w:themeColor="text1"/>
          <w:sz w:val="24"/>
        </w:rPr>
        <w:t>(ACN 051 775 556)</w:t>
      </w:r>
    </w:p>
    <w:p w:rsidR="00E21A68" w:rsidRDefault="00E21A68" w:rsidP="00E21A68">
      <w:pPr>
        <w:tabs>
          <w:tab w:val="center" w:pos="4513"/>
        </w:tabs>
        <w:spacing w:after="480"/>
        <w:rPr>
          <w:rFonts w:ascii="Times New Roman" w:hAnsi="Times New Roman" w:cs="Times New Roman"/>
          <w:sz w:val="24"/>
          <w:szCs w:val="24"/>
        </w:rPr>
      </w:pPr>
    </w:p>
    <w:p w:rsidR="00E21A68" w:rsidRPr="008A06D1" w:rsidRDefault="00E21A68" w:rsidP="00E21A68">
      <w:pPr>
        <w:tabs>
          <w:tab w:val="center" w:pos="4513"/>
        </w:tabs>
        <w:spacing w:after="480"/>
        <w:rPr>
          <w:rFonts w:ascii="Times New Roman" w:hAnsi="Times New Roman" w:cs="Times New Roman"/>
          <w:sz w:val="24"/>
          <w:szCs w:val="24"/>
        </w:rPr>
      </w:pPr>
      <w:r w:rsidRPr="008A06D1">
        <w:rPr>
          <w:rFonts w:ascii="Times New Roman" w:hAnsi="Times New Roman" w:cs="Times New Roman"/>
          <w:sz w:val="24"/>
          <w:szCs w:val="24"/>
        </w:rPr>
        <w:t>I</w:t>
      </w:r>
      <w:r>
        <w:rPr>
          <w:rFonts w:ascii="Times New Roman" w:hAnsi="Times New Roman" w:cs="Times New Roman"/>
          <w:sz w:val="24"/>
          <w:szCs w:val="24"/>
        </w:rPr>
        <w:t>,</w:t>
      </w:r>
      <w:r w:rsidRPr="008A06D1">
        <w:rPr>
          <w:rFonts w:ascii="Times New Roman" w:hAnsi="Times New Roman" w:cs="Times New Roman"/>
          <w:sz w:val="24"/>
          <w:szCs w:val="24"/>
        </w:rPr>
        <w:t xml:space="preserve"> </w:t>
      </w:r>
      <w:r w:rsidRPr="00EE6010">
        <w:rPr>
          <w:rFonts w:ascii="Times New Roman" w:hAnsi="Times New Roman" w:cs="Times New Roman"/>
          <w:sz w:val="24"/>
          <w:szCs w:val="24"/>
          <w:highlight w:val="yellow"/>
        </w:rPr>
        <w:t>[NAME]</w:t>
      </w:r>
      <w:r w:rsidRPr="008A06D1">
        <w:rPr>
          <w:rFonts w:ascii="Times New Roman" w:hAnsi="Times New Roman" w:cs="Times New Roman"/>
          <w:sz w:val="24"/>
          <w:szCs w:val="24"/>
        </w:rPr>
        <w:t xml:space="preserve">…………………………………………………………………….. </w:t>
      </w:r>
      <w:proofErr w:type="gramStart"/>
      <w:r w:rsidRPr="008A06D1">
        <w:rPr>
          <w:rFonts w:ascii="Times New Roman" w:hAnsi="Times New Roman" w:cs="Times New Roman"/>
          <w:sz w:val="24"/>
          <w:szCs w:val="24"/>
        </w:rPr>
        <w:t>of</w:t>
      </w:r>
      <w:proofErr w:type="gramEnd"/>
    </w:p>
    <w:p w:rsidR="00E21A68" w:rsidRPr="006E1F29" w:rsidRDefault="00E21A68" w:rsidP="00E21A68">
      <w:pPr>
        <w:tabs>
          <w:tab w:val="center" w:pos="4513"/>
        </w:tabs>
        <w:spacing w:after="480"/>
        <w:rPr>
          <w:rFonts w:ascii="Times New Roman" w:hAnsi="Times New Roman" w:cs="Times New Roman"/>
          <w:sz w:val="24"/>
          <w:szCs w:val="24"/>
        </w:rPr>
      </w:pPr>
      <w:r w:rsidRPr="00EE6010">
        <w:rPr>
          <w:rFonts w:ascii="Times New Roman" w:hAnsi="Times New Roman" w:cs="Times New Roman"/>
          <w:sz w:val="24"/>
          <w:szCs w:val="24"/>
          <w:highlight w:val="yellow"/>
        </w:rPr>
        <w:t>[</w:t>
      </w:r>
      <w:r>
        <w:rPr>
          <w:rFonts w:ascii="Times New Roman" w:hAnsi="Times New Roman" w:cs="Times New Roman"/>
          <w:sz w:val="24"/>
          <w:szCs w:val="24"/>
          <w:highlight w:val="yellow"/>
        </w:rPr>
        <w:t>COMPANY/</w:t>
      </w:r>
      <w:r w:rsidRPr="00EE6010">
        <w:rPr>
          <w:rFonts w:ascii="Times New Roman" w:hAnsi="Times New Roman" w:cs="Times New Roman"/>
          <w:sz w:val="24"/>
          <w:szCs w:val="24"/>
          <w:highlight w:val="yellow"/>
        </w:rPr>
        <w:t>ORGANISATION NAME]</w:t>
      </w:r>
      <w:r>
        <w:rPr>
          <w:rFonts w:ascii="Times New Roman" w:hAnsi="Times New Roman" w:cs="Times New Roman"/>
          <w:sz w:val="24"/>
          <w:szCs w:val="24"/>
        </w:rPr>
        <w:t xml:space="preserve"> (</w:t>
      </w:r>
      <w:r>
        <w:rPr>
          <w:rFonts w:ascii="Times New Roman" w:hAnsi="Times New Roman" w:cs="Times New Roman"/>
          <w:b/>
          <w:sz w:val="24"/>
          <w:szCs w:val="24"/>
        </w:rPr>
        <w:t>xxx</w:t>
      </w:r>
      <w:r>
        <w:rPr>
          <w:rFonts w:ascii="Times New Roman" w:hAnsi="Times New Roman" w:cs="Times New Roman"/>
          <w:sz w:val="24"/>
          <w:szCs w:val="24"/>
        </w:rPr>
        <w:t>)</w:t>
      </w:r>
    </w:p>
    <w:p w:rsidR="00E21A68" w:rsidRPr="009B0C34" w:rsidRDefault="00E21A68" w:rsidP="00E21A68">
      <w:pPr>
        <w:tabs>
          <w:tab w:val="center" w:pos="4513"/>
        </w:tabs>
        <w:spacing w:after="240"/>
        <w:rPr>
          <w:rFonts w:ascii="Times New Roman" w:hAnsi="Times New Roman" w:cs="Times New Roman"/>
          <w:sz w:val="24"/>
          <w:szCs w:val="24"/>
        </w:rPr>
      </w:pPr>
      <w:proofErr w:type="gramStart"/>
      <w:r>
        <w:rPr>
          <w:rFonts w:ascii="Times New Roman" w:hAnsi="Times New Roman" w:cs="Times New Roman"/>
          <w:sz w:val="24"/>
          <w:szCs w:val="24"/>
        </w:rPr>
        <w:t>undertake</w:t>
      </w:r>
      <w:proofErr w:type="gramEnd"/>
      <w:r>
        <w:rPr>
          <w:rFonts w:ascii="Times New Roman" w:hAnsi="Times New Roman" w:cs="Times New Roman"/>
          <w:sz w:val="24"/>
          <w:szCs w:val="24"/>
        </w:rPr>
        <w:t xml:space="preserve"> to </w:t>
      </w:r>
      <w:r w:rsidRPr="008A06D1">
        <w:rPr>
          <w:rFonts w:ascii="Times New Roman" w:hAnsi="Times New Roman" w:cs="Times New Roman"/>
          <w:sz w:val="24"/>
          <w:szCs w:val="24"/>
        </w:rPr>
        <w:t>Telstra Corporation Limited (ACN 051 775 556) (</w:t>
      </w:r>
      <w:r w:rsidRPr="008A06D1">
        <w:rPr>
          <w:rFonts w:ascii="Times New Roman" w:hAnsi="Times New Roman" w:cs="Times New Roman"/>
          <w:b/>
          <w:sz w:val="24"/>
          <w:szCs w:val="24"/>
        </w:rPr>
        <w:t>Telstra</w:t>
      </w:r>
      <w:r w:rsidRPr="008A06D1">
        <w:rPr>
          <w:rFonts w:ascii="Times New Roman" w:hAnsi="Times New Roman" w:cs="Times New Roman"/>
          <w:sz w:val="24"/>
          <w:szCs w:val="24"/>
        </w:rPr>
        <w:t>)</w:t>
      </w:r>
      <w:r>
        <w:rPr>
          <w:rFonts w:ascii="Times New Roman" w:hAnsi="Times New Roman" w:cs="Times New Roman"/>
          <w:sz w:val="24"/>
          <w:szCs w:val="24"/>
        </w:rPr>
        <w:t xml:space="preserve"> that:</w:t>
      </w:r>
    </w:p>
    <w:p w:rsidR="00E21A68"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Subject to the terms of this Undertaking, I will keep confidential at all times </w:t>
      </w:r>
      <w:r w:rsidRPr="008A06D1">
        <w:rPr>
          <w:rFonts w:ascii="Times New Roman" w:hAnsi="Times New Roman" w:cs="Times New Roman"/>
          <w:sz w:val="24"/>
          <w:szCs w:val="24"/>
        </w:rPr>
        <w:t xml:space="preserve">the information </w:t>
      </w:r>
      <w:r w:rsidRPr="00F32911">
        <w:rPr>
          <w:rFonts w:ascii="Times New Roman" w:hAnsi="Times New Roman" w:cs="Times New Roman"/>
          <w:sz w:val="24"/>
          <w:szCs w:val="24"/>
        </w:rPr>
        <w:t xml:space="preserve"> </w:t>
      </w:r>
      <w:r w:rsidRPr="008A06D1">
        <w:rPr>
          <w:rFonts w:ascii="Times New Roman" w:hAnsi="Times New Roman" w:cs="Times New Roman"/>
          <w:sz w:val="24"/>
          <w:szCs w:val="24"/>
        </w:rPr>
        <w:t>and material</w:t>
      </w:r>
      <w:r>
        <w:rPr>
          <w:rFonts w:ascii="Times New Roman" w:hAnsi="Times New Roman" w:cs="Times New Roman"/>
          <w:sz w:val="24"/>
          <w:szCs w:val="24"/>
        </w:rPr>
        <w:t xml:space="preserve"> that is specified in Schedule 1 to the Notice issued to </w:t>
      </w:r>
      <w:r w:rsidRPr="008A06D1">
        <w:rPr>
          <w:rFonts w:ascii="Times New Roman" w:hAnsi="Times New Roman" w:cs="Times New Roman"/>
          <w:sz w:val="24"/>
          <w:szCs w:val="24"/>
        </w:rPr>
        <w:t xml:space="preserve">Telstra </w:t>
      </w:r>
      <w:r>
        <w:rPr>
          <w:rFonts w:ascii="Times New Roman" w:hAnsi="Times New Roman" w:cs="Times New Roman"/>
          <w:sz w:val="24"/>
          <w:szCs w:val="24"/>
        </w:rPr>
        <w:t>by the Australian Competition and Consumer Commission (</w:t>
      </w:r>
      <w:r w:rsidRPr="00EE6010">
        <w:rPr>
          <w:rFonts w:ascii="Times New Roman" w:hAnsi="Times New Roman" w:cs="Times New Roman"/>
          <w:b/>
          <w:sz w:val="24"/>
          <w:szCs w:val="24"/>
        </w:rPr>
        <w:t>ACCC</w:t>
      </w:r>
      <w:r>
        <w:rPr>
          <w:rFonts w:ascii="Times New Roman" w:hAnsi="Times New Roman" w:cs="Times New Roman"/>
          <w:sz w:val="24"/>
          <w:szCs w:val="24"/>
        </w:rPr>
        <w:t xml:space="preserve">) pursuant to </w:t>
      </w:r>
      <w:r w:rsidRPr="008A06D1">
        <w:rPr>
          <w:rFonts w:ascii="Times New Roman" w:hAnsi="Times New Roman" w:cs="Times New Roman"/>
          <w:sz w:val="24"/>
          <w:szCs w:val="24"/>
        </w:rPr>
        <w:t>subsection 151BU</w:t>
      </w:r>
      <w:r>
        <w:rPr>
          <w:rFonts w:ascii="Times New Roman" w:hAnsi="Times New Roman" w:cs="Times New Roman"/>
          <w:sz w:val="24"/>
          <w:szCs w:val="24"/>
        </w:rPr>
        <w:t>A(2)(</w:t>
      </w:r>
      <w:r w:rsidRPr="008A06D1">
        <w:rPr>
          <w:rFonts w:ascii="Times New Roman" w:hAnsi="Times New Roman" w:cs="Times New Roman"/>
          <w:sz w:val="24"/>
          <w:szCs w:val="24"/>
        </w:rPr>
        <w:t xml:space="preserve">d) of the </w:t>
      </w:r>
      <w:r w:rsidRPr="008A06D1">
        <w:rPr>
          <w:rFonts w:ascii="Times New Roman" w:hAnsi="Times New Roman" w:cs="Times New Roman"/>
          <w:i/>
          <w:sz w:val="24"/>
          <w:szCs w:val="24"/>
        </w:rPr>
        <w:t>Competition and Consumer Act 2010</w:t>
      </w:r>
      <w:r w:rsidRPr="008A06D1">
        <w:rPr>
          <w:rFonts w:ascii="Times New Roman" w:hAnsi="Times New Roman" w:cs="Times New Roman"/>
          <w:sz w:val="24"/>
          <w:szCs w:val="24"/>
        </w:rPr>
        <w:t xml:space="preserve"> (</w:t>
      </w:r>
      <w:proofErr w:type="spellStart"/>
      <w:r w:rsidRPr="008A06D1">
        <w:rPr>
          <w:rFonts w:ascii="Times New Roman" w:hAnsi="Times New Roman" w:cs="Times New Roman"/>
          <w:sz w:val="24"/>
          <w:szCs w:val="24"/>
        </w:rPr>
        <w:t>Cth</w:t>
      </w:r>
      <w:proofErr w:type="spellEnd"/>
      <w:r w:rsidRPr="008A06D1">
        <w:rPr>
          <w:rFonts w:ascii="Times New Roman" w:hAnsi="Times New Roman" w:cs="Times New Roman"/>
          <w:sz w:val="24"/>
          <w:szCs w:val="24"/>
        </w:rPr>
        <w:t xml:space="preserve">) </w:t>
      </w:r>
      <w:r>
        <w:rPr>
          <w:rFonts w:ascii="Times New Roman" w:hAnsi="Times New Roman"/>
          <w:sz w:val="24"/>
        </w:rPr>
        <w:t>(</w:t>
      </w:r>
      <w:r>
        <w:rPr>
          <w:rFonts w:ascii="Times New Roman" w:hAnsi="Times New Roman"/>
          <w:b/>
          <w:sz w:val="24"/>
        </w:rPr>
        <w:t>CCA</w:t>
      </w:r>
      <w:r>
        <w:rPr>
          <w:rFonts w:ascii="Times New Roman" w:hAnsi="Times New Roman"/>
          <w:sz w:val="24"/>
        </w:rPr>
        <w:t xml:space="preserve">) </w:t>
      </w:r>
      <w:r>
        <w:rPr>
          <w:rFonts w:ascii="Times New Roman" w:hAnsi="Times New Roman" w:cs="Times New Roman"/>
          <w:sz w:val="24"/>
          <w:szCs w:val="24"/>
        </w:rPr>
        <w:t>on 11 June 2014 (</w:t>
      </w:r>
      <w:r>
        <w:rPr>
          <w:rFonts w:ascii="Times New Roman" w:hAnsi="Times New Roman" w:cs="Times New Roman"/>
          <w:b/>
          <w:sz w:val="24"/>
          <w:szCs w:val="24"/>
        </w:rPr>
        <w:t>Confidential Information</w:t>
      </w:r>
      <w:r>
        <w:rPr>
          <w:rFonts w:ascii="Times New Roman" w:hAnsi="Times New Roman" w:cs="Times New Roman"/>
          <w:sz w:val="24"/>
          <w:szCs w:val="24"/>
        </w:rPr>
        <w:t>).</w:t>
      </w:r>
    </w:p>
    <w:p w:rsidR="00E21A68"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I </w:t>
      </w:r>
      <w:r w:rsidRPr="008A06D1">
        <w:rPr>
          <w:rFonts w:ascii="Times New Roman" w:hAnsi="Times New Roman" w:cs="Times New Roman"/>
          <w:sz w:val="24"/>
          <w:szCs w:val="24"/>
        </w:rPr>
        <w:t>a</w:t>
      </w:r>
      <w:r>
        <w:rPr>
          <w:rFonts w:ascii="Times New Roman" w:hAnsi="Times New Roman" w:cs="Times New Roman"/>
          <w:sz w:val="24"/>
          <w:szCs w:val="24"/>
        </w:rPr>
        <w:t>cknowledge that:</w:t>
      </w:r>
    </w:p>
    <w:p w:rsidR="00E21A68"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9B0C34">
        <w:rPr>
          <w:rFonts w:ascii="Times New Roman" w:hAnsi="Times New Roman" w:cs="Times New Roman"/>
          <w:sz w:val="24"/>
          <w:szCs w:val="24"/>
        </w:rPr>
        <w:t xml:space="preserve">this Undertaking is given by me to Telstra in consideration for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 xml:space="preserve">nformation being made available to me for the Approved Purpose (as defined in paragraph 3 below); </w:t>
      </w:r>
    </w:p>
    <w:p w:rsidR="00E21A68"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9B0C34">
        <w:rPr>
          <w:rFonts w:ascii="Times New Roman" w:hAnsi="Times New Roman" w:cs="Times New Roman"/>
          <w:sz w:val="24"/>
          <w:szCs w:val="24"/>
        </w:rPr>
        <w:t xml:space="preserve">all intellectual property in (or in any part of)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 is and will remain owned by Telstra; and</w:t>
      </w:r>
    </w:p>
    <w:p w:rsidR="00E21A68" w:rsidRPr="00F32911"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F32911">
        <w:rPr>
          <w:rFonts w:ascii="Times New Roman" w:hAnsi="Times New Roman" w:cs="Times New Roman"/>
          <w:sz w:val="24"/>
          <w:szCs w:val="24"/>
        </w:rPr>
        <w:t>by reason of this Undertaking, no licence or right is granted to me, or any other employee, agent, officer or member of [</w:t>
      </w:r>
      <w:r w:rsidRPr="00F32911">
        <w:rPr>
          <w:rFonts w:ascii="Times New Roman" w:hAnsi="Times New Roman" w:cs="Times New Roman"/>
          <w:sz w:val="24"/>
          <w:szCs w:val="24"/>
          <w:highlight w:val="yellow"/>
        </w:rPr>
        <w:t>xxx</w:t>
      </w:r>
      <w:r w:rsidRPr="00F32911">
        <w:rPr>
          <w:rFonts w:ascii="Times New Roman" w:hAnsi="Times New Roman" w:cs="Times New Roman"/>
          <w:sz w:val="24"/>
          <w:szCs w:val="24"/>
        </w:rPr>
        <w:t>], or any person engaged by [</w:t>
      </w:r>
      <w:r w:rsidRPr="00F32911">
        <w:rPr>
          <w:rFonts w:ascii="Times New Roman" w:hAnsi="Times New Roman" w:cs="Times New Roman"/>
          <w:sz w:val="24"/>
          <w:szCs w:val="24"/>
          <w:highlight w:val="yellow"/>
        </w:rPr>
        <w:t>xxx</w:t>
      </w:r>
      <w:r w:rsidRPr="00F32911">
        <w:rPr>
          <w:rFonts w:ascii="Times New Roman" w:hAnsi="Times New Roman" w:cs="Times New Roman"/>
          <w:sz w:val="24"/>
          <w:szCs w:val="24"/>
        </w:rPr>
        <w:t xml:space="preserve">] for the Approved Purpose in relation to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F32911">
        <w:rPr>
          <w:rFonts w:ascii="Times New Roman" w:hAnsi="Times New Roman" w:cs="Times New Roman"/>
          <w:sz w:val="24"/>
          <w:szCs w:val="24"/>
        </w:rPr>
        <w:t>, except as expressly provided in this Undertaking.</w:t>
      </w:r>
    </w:p>
    <w:p w:rsidR="00E21A68"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sidRPr="003E3EB5">
        <w:rPr>
          <w:rFonts w:ascii="Times New Roman" w:hAnsi="Times New Roman" w:cs="Times New Roman"/>
          <w:sz w:val="24"/>
          <w:szCs w:val="24"/>
        </w:rPr>
        <w:t xml:space="preserve">I will only use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 xml:space="preserve">nformation </w:t>
      </w:r>
      <w:r w:rsidRPr="003E3EB5">
        <w:rPr>
          <w:rFonts w:ascii="Times New Roman" w:hAnsi="Times New Roman" w:cs="Times New Roman"/>
          <w:sz w:val="24"/>
          <w:szCs w:val="24"/>
        </w:rPr>
        <w:t xml:space="preserve">for the purposes of making submissions on behalf of </w:t>
      </w:r>
      <w:r w:rsidRPr="003E3EB5">
        <w:rPr>
          <w:rFonts w:ascii="Times New Roman" w:hAnsi="Times New Roman" w:cs="Times New Roman"/>
          <w:sz w:val="24"/>
          <w:szCs w:val="24"/>
          <w:highlight w:val="yellow"/>
        </w:rPr>
        <w:t>[</w:t>
      </w:r>
      <w:r>
        <w:rPr>
          <w:rFonts w:ascii="Times New Roman" w:hAnsi="Times New Roman" w:cs="Times New Roman"/>
          <w:sz w:val="24"/>
          <w:szCs w:val="24"/>
          <w:highlight w:val="yellow"/>
        </w:rPr>
        <w:t>xxx</w:t>
      </w:r>
      <w:r w:rsidRPr="003E3EB5">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3E3EB5">
        <w:rPr>
          <w:rFonts w:ascii="Times New Roman" w:hAnsi="Times New Roman" w:cs="Times New Roman"/>
          <w:sz w:val="24"/>
          <w:szCs w:val="24"/>
        </w:rPr>
        <w:t xml:space="preserve">to the </w:t>
      </w:r>
      <w:r>
        <w:rPr>
          <w:rFonts w:ascii="Times New Roman" w:hAnsi="Times New Roman"/>
          <w:sz w:val="24"/>
        </w:rPr>
        <w:t>ACCC</w:t>
      </w:r>
      <w:r w:rsidRPr="003E3EB5">
        <w:rPr>
          <w:rFonts w:ascii="Times New Roman" w:hAnsi="Times New Roman"/>
          <w:sz w:val="24"/>
        </w:rPr>
        <w:t>’s public inquiry into making final access determinations for the declared fixed line services and the wholesale ADSL service that was commenced on 1 July 2013 (</w:t>
      </w:r>
      <w:r w:rsidRPr="003E3EB5">
        <w:rPr>
          <w:rFonts w:ascii="Times New Roman" w:hAnsi="Times New Roman"/>
          <w:b/>
          <w:sz w:val="24"/>
        </w:rPr>
        <w:t xml:space="preserve">Fixed Line Services </w:t>
      </w:r>
      <w:r>
        <w:rPr>
          <w:rFonts w:ascii="Times New Roman" w:hAnsi="Times New Roman"/>
          <w:b/>
          <w:sz w:val="24"/>
        </w:rPr>
        <w:t>FAD Inquiry</w:t>
      </w:r>
      <w:r w:rsidRPr="003E3EB5">
        <w:rPr>
          <w:rFonts w:ascii="Times New Roman" w:hAnsi="Times New Roman"/>
          <w:sz w:val="24"/>
        </w:rPr>
        <w:t>)</w:t>
      </w:r>
      <w:r>
        <w:rPr>
          <w:rFonts w:ascii="Times New Roman" w:hAnsi="Times New Roman"/>
          <w:sz w:val="24"/>
        </w:rPr>
        <w:t xml:space="preserve"> </w:t>
      </w:r>
      <w:r w:rsidRPr="003E3EB5">
        <w:rPr>
          <w:rFonts w:ascii="Times New Roman" w:hAnsi="Times New Roman" w:cs="Times New Roman"/>
          <w:sz w:val="24"/>
          <w:szCs w:val="24"/>
        </w:rPr>
        <w:t>(</w:t>
      </w:r>
      <w:r w:rsidRPr="003E3EB5">
        <w:rPr>
          <w:rFonts w:ascii="Times New Roman" w:hAnsi="Times New Roman" w:cs="Times New Roman"/>
          <w:b/>
          <w:sz w:val="24"/>
          <w:szCs w:val="24"/>
        </w:rPr>
        <w:t>the Approved Purpose</w:t>
      </w:r>
      <w:r w:rsidRPr="003E3EB5">
        <w:rPr>
          <w:rFonts w:ascii="Times New Roman" w:hAnsi="Times New Roman" w:cs="Times New Roman"/>
          <w:sz w:val="24"/>
          <w:szCs w:val="24"/>
        </w:rPr>
        <w:t>)</w:t>
      </w:r>
      <w:r w:rsidRPr="00F32911">
        <w:rPr>
          <w:rFonts w:ascii="Times New Roman" w:hAnsi="Times New Roman" w:cs="Times New Roman"/>
          <w:sz w:val="24"/>
          <w:szCs w:val="24"/>
        </w:rPr>
        <w:t>.</w:t>
      </w:r>
    </w:p>
    <w:p w:rsidR="00E21A68"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sidRPr="003E3EB5">
        <w:rPr>
          <w:rFonts w:ascii="Times New Roman" w:hAnsi="Times New Roman" w:cs="Times New Roman"/>
          <w:sz w:val="24"/>
          <w:szCs w:val="24"/>
        </w:rPr>
        <w:t>To the extent that any submission or other document is submitted to the ACCC or given to any person by me or [</w:t>
      </w:r>
      <w:r w:rsidRPr="006E1F29">
        <w:rPr>
          <w:rFonts w:ascii="Times New Roman" w:hAnsi="Times New Roman" w:cs="Times New Roman"/>
          <w:sz w:val="24"/>
          <w:szCs w:val="24"/>
          <w:highlight w:val="yellow"/>
        </w:rPr>
        <w:t>xxx</w:t>
      </w:r>
      <w:r w:rsidRPr="003E3EB5">
        <w:rPr>
          <w:rFonts w:ascii="Times New Roman" w:hAnsi="Times New Roman" w:cs="Times New Roman"/>
          <w:sz w:val="24"/>
          <w:szCs w:val="24"/>
        </w:rPr>
        <w:t xml:space="preserve">] as permitted by this Undertaking and which contains any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3E3EB5">
        <w:rPr>
          <w:rFonts w:ascii="Times New Roman" w:hAnsi="Times New Roman" w:cs="Times New Roman"/>
          <w:sz w:val="24"/>
          <w:szCs w:val="24"/>
        </w:rPr>
        <w:t>, I will:</w:t>
      </w:r>
    </w:p>
    <w:p w:rsidR="00E21A68"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3E3EB5">
        <w:rPr>
          <w:rFonts w:ascii="Times New Roman" w:hAnsi="Times New Roman" w:cs="Times New Roman"/>
          <w:sz w:val="24"/>
          <w:szCs w:val="24"/>
        </w:rPr>
        <w:lastRenderedPageBreak/>
        <w:t xml:space="preserve">clearly mark that document as a confidential submission or confidential document containing </w:t>
      </w:r>
      <w:r>
        <w:rPr>
          <w:rFonts w:ascii="Times New Roman" w:hAnsi="Times New Roman" w:cs="Times New Roman"/>
          <w:sz w:val="24"/>
          <w:szCs w:val="24"/>
        </w:rPr>
        <w:t>the 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3E3EB5">
        <w:rPr>
          <w:rFonts w:ascii="Times New Roman" w:hAnsi="Times New Roman" w:cs="Times New Roman"/>
          <w:sz w:val="24"/>
          <w:szCs w:val="24"/>
        </w:rPr>
        <w:t xml:space="preserve"> and that is subject to this Undertaking; and</w:t>
      </w:r>
    </w:p>
    <w:p w:rsidR="00E21A68"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3E3EB5">
        <w:rPr>
          <w:rFonts w:ascii="Times New Roman" w:hAnsi="Times New Roman" w:cs="Times New Roman"/>
          <w:sz w:val="24"/>
          <w:szCs w:val="24"/>
        </w:rPr>
        <w:t xml:space="preserve">clearly identify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3E3EB5">
        <w:rPr>
          <w:rFonts w:ascii="Times New Roman" w:hAnsi="Times New Roman" w:cs="Times New Roman"/>
          <w:sz w:val="24"/>
          <w:szCs w:val="24"/>
        </w:rPr>
        <w:t xml:space="preserve"> within the submission or document;</w:t>
      </w:r>
    </w:p>
    <w:p w:rsidR="00E21A68"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proofErr w:type="gramStart"/>
      <w:r w:rsidRPr="003E3EB5">
        <w:rPr>
          <w:rFonts w:ascii="Times New Roman" w:hAnsi="Times New Roman" w:cs="Times New Roman"/>
          <w:sz w:val="24"/>
          <w:szCs w:val="24"/>
        </w:rPr>
        <w:t>comply</w:t>
      </w:r>
      <w:proofErr w:type="gramEnd"/>
      <w:r w:rsidRPr="003E3EB5">
        <w:rPr>
          <w:rFonts w:ascii="Times New Roman" w:hAnsi="Times New Roman" w:cs="Times New Roman"/>
          <w:sz w:val="24"/>
          <w:szCs w:val="24"/>
        </w:rPr>
        <w:t xml:space="preserve"> with any reasonable request or direction from the ACCC or Telstra regarding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3E3EB5">
        <w:rPr>
          <w:rFonts w:ascii="Times New Roman" w:hAnsi="Times New Roman" w:cs="Times New Roman"/>
          <w:sz w:val="24"/>
          <w:szCs w:val="24"/>
        </w:rPr>
        <w:t>.</w:t>
      </w:r>
    </w:p>
    <w:p w:rsidR="00E21A68"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sidRPr="003E3EB5">
        <w:rPr>
          <w:rFonts w:ascii="Times New Roman" w:hAnsi="Times New Roman" w:cs="Times New Roman"/>
          <w:sz w:val="24"/>
          <w:szCs w:val="24"/>
        </w:rPr>
        <w:t xml:space="preserve">I will not disclose any of the </w:t>
      </w:r>
      <w:r>
        <w:rPr>
          <w:rFonts w:ascii="Times New Roman" w:hAnsi="Times New Roman" w:cs="Times New Roman"/>
          <w:sz w:val="24"/>
          <w:szCs w:val="24"/>
        </w:rPr>
        <w:t>Confidential Information</w:t>
      </w:r>
      <w:r w:rsidRPr="003E3EB5">
        <w:rPr>
          <w:rFonts w:ascii="Times New Roman" w:hAnsi="Times New Roman" w:cs="Times New Roman"/>
          <w:sz w:val="24"/>
          <w:szCs w:val="24"/>
        </w:rPr>
        <w:t xml:space="preserve"> to any other person</w:t>
      </w:r>
      <w:r w:rsidRPr="000A391A">
        <w:rPr>
          <w:rFonts w:ascii="Times New Roman" w:hAnsi="Times New Roman" w:cs="Times New Roman"/>
          <w:sz w:val="24"/>
          <w:szCs w:val="24"/>
        </w:rPr>
        <w:t xml:space="preserve"> </w:t>
      </w:r>
      <w:r>
        <w:rPr>
          <w:rFonts w:ascii="Times New Roman" w:hAnsi="Times New Roman" w:cs="Times New Roman"/>
          <w:sz w:val="24"/>
          <w:szCs w:val="24"/>
        </w:rPr>
        <w:t>save for disclosure to</w:t>
      </w:r>
      <w:r w:rsidRPr="006E1F29">
        <w:rPr>
          <w:rFonts w:ascii="Times New Roman" w:hAnsi="Times New Roman" w:cs="Times New Roman"/>
          <w:sz w:val="24"/>
          <w:szCs w:val="24"/>
        </w:rPr>
        <w:t>:</w:t>
      </w:r>
    </w:p>
    <w:p w:rsidR="00E21A68"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any person</w:t>
      </w:r>
      <w:r>
        <w:rPr>
          <w:rFonts w:ascii="Times New Roman" w:hAnsi="Times New Roman" w:cs="Times New Roman"/>
          <w:sz w:val="24"/>
          <w:szCs w:val="24"/>
        </w:rPr>
        <w:t xml:space="preserve"> who:</w:t>
      </w:r>
    </w:p>
    <w:p w:rsidR="00E21A68" w:rsidRPr="006E1F2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is a person for the purposes of paragraph 2 of the Notice issued to </w:t>
      </w:r>
      <w:r w:rsidRPr="008A06D1">
        <w:rPr>
          <w:rFonts w:ascii="Times New Roman" w:hAnsi="Times New Roman" w:cs="Times New Roman"/>
          <w:sz w:val="24"/>
          <w:szCs w:val="24"/>
        </w:rPr>
        <w:t xml:space="preserve">Telstra </w:t>
      </w:r>
      <w:r>
        <w:rPr>
          <w:rFonts w:ascii="Times New Roman" w:hAnsi="Times New Roman" w:cs="Times New Roman"/>
          <w:sz w:val="24"/>
          <w:szCs w:val="24"/>
        </w:rPr>
        <w:t xml:space="preserve">by the ACCC pursuant to </w:t>
      </w:r>
      <w:r w:rsidRPr="008A06D1">
        <w:rPr>
          <w:rFonts w:ascii="Times New Roman" w:hAnsi="Times New Roman" w:cs="Times New Roman"/>
          <w:sz w:val="24"/>
          <w:szCs w:val="24"/>
        </w:rPr>
        <w:t>subsection 151BU</w:t>
      </w:r>
      <w:r>
        <w:rPr>
          <w:rFonts w:ascii="Times New Roman" w:hAnsi="Times New Roman" w:cs="Times New Roman"/>
          <w:sz w:val="24"/>
          <w:szCs w:val="24"/>
        </w:rPr>
        <w:t>A(2)(</w:t>
      </w:r>
      <w:r w:rsidRPr="008A06D1">
        <w:rPr>
          <w:rFonts w:ascii="Times New Roman" w:hAnsi="Times New Roman" w:cs="Times New Roman"/>
          <w:sz w:val="24"/>
          <w:szCs w:val="24"/>
        </w:rPr>
        <w:t>d)</w:t>
      </w:r>
      <w:r>
        <w:rPr>
          <w:rFonts w:ascii="Times New Roman" w:hAnsi="Times New Roman" w:cs="Times New Roman"/>
          <w:sz w:val="24"/>
          <w:szCs w:val="24"/>
        </w:rPr>
        <w:t xml:space="preserve"> of the CCA on 11 June 2014</w:t>
      </w:r>
      <w:r w:rsidRPr="006E1F29">
        <w:rPr>
          <w:rFonts w:ascii="Times New Roman" w:hAnsi="Times New Roman" w:cs="Times New Roman"/>
          <w:sz w:val="24"/>
          <w:szCs w:val="24"/>
        </w:rPr>
        <w:t>;</w:t>
      </w:r>
      <w:r>
        <w:rPr>
          <w:rFonts w:ascii="Times New Roman" w:hAnsi="Times New Roman" w:cs="Times New Roman"/>
          <w:sz w:val="24"/>
          <w:szCs w:val="24"/>
        </w:rPr>
        <w:t xml:space="preserve"> and</w:t>
      </w:r>
    </w:p>
    <w:p w:rsidR="00E21A68" w:rsidRPr="006E1F2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has signed a confidentiality undertaking in the form of this Undertaking or another form acceptable to the ACCC and Telstra for the Approved Purpose; and</w:t>
      </w:r>
    </w:p>
    <w:p w:rsidR="00E21A68" w:rsidRPr="006E1F2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 xml:space="preserve">has served </w:t>
      </w:r>
      <w:r>
        <w:rPr>
          <w:rFonts w:ascii="Times New Roman" w:hAnsi="Times New Roman" w:cs="Times New Roman"/>
          <w:sz w:val="24"/>
          <w:szCs w:val="24"/>
        </w:rPr>
        <w:t xml:space="preserve">a copy of the signed undertaking </w:t>
      </w:r>
      <w:r w:rsidRPr="006E1F29">
        <w:rPr>
          <w:rFonts w:ascii="Times New Roman" w:hAnsi="Times New Roman" w:cs="Times New Roman"/>
          <w:sz w:val="24"/>
          <w:szCs w:val="24"/>
        </w:rPr>
        <w:t>on the ACCC and Telstra</w:t>
      </w:r>
      <w:r>
        <w:rPr>
          <w:rFonts w:ascii="Times New Roman" w:hAnsi="Times New Roman" w:cs="Times New Roman"/>
          <w:sz w:val="24"/>
          <w:szCs w:val="24"/>
        </w:rPr>
        <w:t>;</w:t>
      </w:r>
    </w:p>
    <w:p w:rsidR="00E21A68"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 xml:space="preserve">any secretarial, administrative and support staff who perform purely administrative tasks and who assist me or any person referred to in paragraph </w:t>
      </w:r>
      <w:r>
        <w:rPr>
          <w:rFonts w:ascii="Times New Roman" w:hAnsi="Times New Roman" w:cs="Times New Roman"/>
          <w:sz w:val="24"/>
          <w:szCs w:val="24"/>
        </w:rPr>
        <w:t>5</w:t>
      </w:r>
      <w:r w:rsidRPr="006E1F29">
        <w:rPr>
          <w:rFonts w:ascii="Times New Roman" w:hAnsi="Times New Roman" w:cs="Times New Roman"/>
          <w:sz w:val="24"/>
          <w:szCs w:val="24"/>
        </w:rPr>
        <w:t>(a) for the Approved Purpose; and</w:t>
      </w:r>
    </w:p>
    <w:p w:rsidR="00E21A68"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other persons, if required to do so by law, but then only:</w:t>
      </w:r>
    </w:p>
    <w:p w:rsidR="00E21A68" w:rsidRPr="006E1F2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if I notify the ACCC and Telstra of that request within 7 days of receiving the request;</w:t>
      </w:r>
    </w:p>
    <w:p w:rsidR="00E21A68" w:rsidRPr="006E1F2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to the person(s) to whom I am obliged to provide the</w:t>
      </w:r>
      <w:r>
        <w:rPr>
          <w:rFonts w:ascii="Times New Roman" w:hAnsi="Times New Roman" w:cs="Times New Roman"/>
          <w:sz w:val="24"/>
          <w:szCs w:val="24"/>
        </w:rPr>
        <w:t xml:space="preserve"> Confidential Information</w:t>
      </w:r>
      <w:r w:rsidRPr="006E1F29">
        <w:rPr>
          <w:rFonts w:ascii="Times New Roman" w:hAnsi="Times New Roman" w:cs="Times New Roman"/>
          <w:sz w:val="24"/>
          <w:szCs w:val="24"/>
        </w:rPr>
        <w:t>;</w:t>
      </w:r>
    </w:p>
    <w:p w:rsidR="00E21A68" w:rsidRPr="006E1F2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 xml:space="preserve">to the extent necessary </w:t>
      </w:r>
      <w:r>
        <w:rPr>
          <w:rFonts w:ascii="Times New Roman" w:hAnsi="Times New Roman" w:cs="Times New Roman"/>
          <w:sz w:val="24"/>
          <w:szCs w:val="24"/>
        </w:rPr>
        <w:t>as required by law</w:t>
      </w:r>
      <w:r w:rsidRPr="006E1F29">
        <w:rPr>
          <w:rFonts w:ascii="Times New Roman" w:hAnsi="Times New Roman" w:cs="Times New Roman"/>
          <w:sz w:val="24"/>
          <w:szCs w:val="24"/>
        </w:rPr>
        <w:t>; and</w:t>
      </w:r>
    </w:p>
    <w:p w:rsidR="00E21A68"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proofErr w:type="gramStart"/>
      <w:r w:rsidRPr="006E1F29">
        <w:rPr>
          <w:rFonts w:ascii="Times New Roman" w:hAnsi="Times New Roman" w:cs="Times New Roman"/>
          <w:sz w:val="24"/>
          <w:szCs w:val="24"/>
        </w:rPr>
        <w:t>if</w:t>
      </w:r>
      <w:proofErr w:type="gramEnd"/>
      <w:r w:rsidRPr="006E1F29">
        <w:rPr>
          <w:rFonts w:ascii="Times New Roman" w:hAnsi="Times New Roman" w:cs="Times New Roman"/>
          <w:sz w:val="24"/>
          <w:szCs w:val="24"/>
        </w:rPr>
        <w:t xml:space="preserve"> I notify the recipient of the </w:t>
      </w:r>
      <w:r>
        <w:rPr>
          <w:rFonts w:ascii="Times New Roman" w:hAnsi="Times New Roman" w:cs="Times New Roman"/>
          <w:sz w:val="24"/>
          <w:szCs w:val="24"/>
        </w:rPr>
        <w:t>Confidential Information</w:t>
      </w:r>
      <w:r w:rsidRPr="006E1F29">
        <w:rPr>
          <w:rFonts w:ascii="Times New Roman" w:hAnsi="Times New Roman" w:cs="Times New Roman"/>
          <w:sz w:val="24"/>
          <w:szCs w:val="24"/>
        </w:rPr>
        <w:t xml:space="preserve"> that the information is confidential and is </w:t>
      </w:r>
      <w:r>
        <w:rPr>
          <w:rFonts w:ascii="Times New Roman" w:hAnsi="Times New Roman" w:cs="Times New Roman"/>
          <w:sz w:val="24"/>
          <w:szCs w:val="24"/>
        </w:rPr>
        <w:t xml:space="preserve">the </w:t>
      </w:r>
      <w:r w:rsidRPr="006E1F29">
        <w:rPr>
          <w:rFonts w:ascii="Times New Roman" w:hAnsi="Times New Roman" w:cs="Times New Roman"/>
          <w:sz w:val="24"/>
          <w:szCs w:val="24"/>
        </w:rPr>
        <w:t>subject of this Undertaking to Telstra.</w:t>
      </w:r>
    </w:p>
    <w:p w:rsidR="00E21A68"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I may disclose any recommendations that I may form which are based </w:t>
      </w:r>
      <w:r w:rsidRPr="00382CDC">
        <w:rPr>
          <w:rFonts w:ascii="Times New Roman" w:hAnsi="Times New Roman" w:cs="Times New Roman"/>
          <w:sz w:val="24"/>
          <w:szCs w:val="24"/>
        </w:rPr>
        <w:t xml:space="preserve">on the Confidential Information to </w:t>
      </w:r>
      <w:r w:rsidRPr="00E37E7C">
        <w:rPr>
          <w:rFonts w:ascii="Times New Roman" w:hAnsi="Times New Roman" w:cs="Times New Roman"/>
          <w:sz w:val="24"/>
          <w:szCs w:val="24"/>
        </w:rPr>
        <w:t xml:space="preserve">the executive management or the Board of </w:t>
      </w:r>
      <w:r w:rsidRPr="00E37E7C">
        <w:rPr>
          <w:rFonts w:ascii="Times New Roman" w:hAnsi="Times New Roman" w:cs="Times New Roman"/>
          <w:sz w:val="24"/>
          <w:szCs w:val="24"/>
          <w:highlight w:val="yellow"/>
        </w:rPr>
        <w:t>[</w:t>
      </w:r>
      <w:r>
        <w:rPr>
          <w:rFonts w:ascii="Times New Roman" w:hAnsi="Times New Roman" w:cs="Times New Roman"/>
          <w:sz w:val="24"/>
          <w:szCs w:val="24"/>
          <w:highlight w:val="yellow"/>
        </w:rPr>
        <w:t>xxx</w:t>
      </w:r>
      <w:r w:rsidRPr="00E37E7C">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382CDC">
        <w:rPr>
          <w:rFonts w:ascii="Times New Roman" w:hAnsi="Times New Roman" w:cs="Times New Roman"/>
          <w:sz w:val="24"/>
          <w:szCs w:val="24"/>
        </w:rPr>
        <w:t xml:space="preserve">for the purposes of obtaining approval to provide a submission to the ACCC in relation to the Fixed Line Services </w:t>
      </w:r>
      <w:r>
        <w:rPr>
          <w:rFonts w:ascii="Times New Roman" w:hAnsi="Times New Roman" w:cs="Times New Roman"/>
          <w:sz w:val="24"/>
          <w:szCs w:val="24"/>
        </w:rPr>
        <w:t>FAD Inquiry</w:t>
      </w:r>
      <w:r w:rsidRPr="00382CDC">
        <w:rPr>
          <w:rFonts w:ascii="Times New Roman" w:hAnsi="Times New Roman" w:cs="Times New Roman"/>
          <w:sz w:val="24"/>
          <w:szCs w:val="24"/>
        </w:rPr>
        <w:t xml:space="preserve">, provided that the Confidential Information cannot be identified or derived from those </w:t>
      </w:r>
      <w:r>
        <w:rPr>
          <w:rFonts w:ascii="Times New Roman" w:hAnsi="Times New Roman" w:cs="Times New Roman"/>
          <w:sz w:val="24"/>
          <w:szCs w:val="24"/>
        </w:rPr>
        <w:t>recommendations.</w:t>
      </w:r>
    </w:p>
    <w:p w:rsidR="00E21A68" w:rsidRPr="00796C1D"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sidRPr="00796C1D">
        <w:rPr>
          <w:rFonts w:ascii="Times New Roman" w:hAnsi="Times New Roman" w:cs="Times New Roman"/>
          <w:sz w:val="24"/>
          <w:szCs w:val="24"/>
        </w:rPr>
        <w:lastRenderedPageBreak/>
        <w:t>I will establish and maintain security measures to safeguard the Confidential Information from unauthorised access, use, copying, reproduction or disclosure and will protect the Confidential Information using the same degree of care as a prudent person would use to protect their own confidential information.</w:t>
      </w:r>
    </w:p>
    <w:p w:rsidR="00E21A68"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Except as required by law, within 14 days after whichever of the following first occurs:</w:t>
      </w:r>
    </w:p>
    <w:p w:rsidR="00E21A68" w:rsidRPr="006E1F29"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 xml:space="preserve">the conclusion of the Fixed Line Services </w:t>
      </w:r>
      <w:r>
        <w:rPr>
          <w:rFonts w:ascii="Times New Roman" w:hAnsi="Times New Roman" w:cs="Times New Roman"/>
          <w:sz w:val="24"/>
          <w:szCs w:val="24"/>
        </w:rPr>
        <w:t>FAD Inquiry</w:t>
      </w:r>
      <w:r w:rsidRPr="006E1F29">
        <w:rPr>
          <w:rFonts w:ascii="Times New Roman" w:hAnsi="Times New Roman" w:cs="Times New Roman"/>
          <w:sz w:val="24"/>
          <w:szCs w:val="24"/>
        </w:rPr>
        <w:t>; or</w:t>
      </w:r>
    </w:p>
    <w:p w:rsidR="00E21A68" w:rsidRPr="006E1F29"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my ceasing to be employed or retained by, an officer, a member or a representative of [</w:t>
      </w:r>
      <w:r w:rsidRPr="006E1F29">
        <w:rPr>
          <w:rFonts w:ascii="Times New Roman" w:hAnsi="Times New Roman" w:cs="Times New Roman"/>
          <w:sz w:val="24"/>
          <w:szCs w:val="24"/>
          <w:highlight w:val="yellow"/>
        </w:rPr>
        <w:t>xxx</w:t>
      </w:r>
      <w:r w:rsidRPr="006E1F29">
        <w:rPr>
          <w:rFonts w:ascii="Times New Roman" w:hAnsi="Times New Roman" w:cs="Times New Roman"/>
          <w:sz w:val="24"/>
          <w:szCs w:val="24"/>
        </w:rPr>
        <w:t>]; or</w:t>
      </w:r>
    </w:p>
    <w:p w:rsidR="00E21A68" w:rsidRPr="006E1F29"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6E1F29">
        <w:rPr>
          <w:rFonts w:ascii="Times New Roman" w:hAnsi="Times New Roman" w:cs="Times New Roman"/>
          <w:sz w:val="24"/>
          <w:szCs w:val="24"/>
        </w:rPr>
        <w:t>my ceasing to work for or represent [</w:t>
      </w:r>
      <w:r w:rsidRPr="006E1F29">
        <w:rPr>
          <w:rFonts w:ascii="Times New Roman" w:hAnsi="Times New Roman" w:cs="Times New Roman"/>
          <w:sz w:val="24"/>
          <w:szCs w:val="24"/>
          <w:highlight w:val="yellow"/>
        </w:rPr>
        <w:t>xxx</w:t>
      </w:r>
      <w:r w:rsidRPr="006E1F29">
        <w:rPr>
          <w:rFonts w:ascii="Times New Roman" w:hAnsi="Times New Roman" w:cs="Times New Roman"/>
          <w:sz w:val="24"/>
          <w:szCs w:val="24"/>
        </w:rPr>
        <w:t>] in respect of the Approved Purpose,</w:t>
      </w:r>
    </w:p>
    <w:p w:rsidR="00E21A68" w:rsidRPr="006E1F29" w:rsidRDefault="00E21A68" w:rsidP="00E21A68">
      <w:pPr>
        <w:tabs>
          <w:tab w:val="center" w:pos="4513"/>
        </w:tabs>
        <w:spacing w:after="240"/>
        <w:ind w:left="567"/>
        <w:rPr>
          <w:rFonts w:ascii="Times New Roman" w:hAnsi="Times New Roman" w:cs="Times New Roman"/>
          <w:sz w:val="24"/>
          <w:szCs w:val="24"/>
        </w:rPr>
      </w:pPr>
      <w:r w:rsidRPr="006E1F29">
        <w:rPr>
          <w:rFonts w:ascii="Times New Roman" w:hAnsi="Times New Roman" w:cs="Times New Roman"/>
          <w:sz w:val="24"/>
          <w:szCs w:val="24"/>
        </w:rPr>
        <w:t xml:space="preserve">I will destroy or deliver to Telstra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6E1F29">
        <w:rPr>
          <w:rFonts w:ascii="Times New Roman" w:hAnsi="Times New Roman" w:cs="Times New Roman"/>
          <w:sz w:val="24"/>
          <w:szCs w:val="24"/>
        </w:rPr>
        <w:t xml:space="preserve"> and any documents or things (or parts of documents or things), constituting, recording or containing any of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6E1F29">
        <w:rPr>
          <w:rFonts w:ascii="Times New Roman" w:hAnsi="Times New Roman" w:cs="Times New Roman"/>
          <w:sz w:val="24"/>
          <w:szCs w:val="24"/>
        </w:rPr>
        <w:t xml:space="preserve"> in my possession, custody, power or control, other than electronic records stored in IT systems that cannot be destroyed or deleted.</w:t>
      </w:r>
    </w:p>
    <w:p w:rsidR="00E21A68" w:rsidRDefault="00E21A68" w:rsidP="00E21A68">
      <w:pPr>
        <w:pStyle w:val="ListParagraph"/>
        <w:numPr>
          <w:ilvl w:val="0"/>
          <w:numId w:val="17"/>
        </w:numPr>
        <w:tabs>
          <w:tab w:val="center" w:pos="4513"/>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Nothing in this Undertaking shall impose an obligation upon me in respect of information:</w:t>
      </w:r>
    </w:p>
    <w:p w:rsidR="00E21A68" w:rsidRPr="006A1019"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that is in the public domain; or</w:t>
      </w:r>
    </w:p>
    <w:p w:rsidR="00E21A68" w:rsidRPr="006A1019" w:rsidRDefault="00E21A68" w:rsidP="00E21A68">
      <w:pPr>
        <w:pStyle w:val="ListParagraph"/>
        <w:numPr>
          <w:ilvl w:val="1"/>
          <w:numId w:val="17"/>
        </w:numPr>
        <w:tabs>
          <w:tab w:val="center" w:pos="4513"/>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that has been obtained by me otherwise than from:</w:t>
      </w:r>
    </w:p>
    <w:p w:rsidR="00E21A68" w:rsidRPr="006A101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the ACCC;</w:t>
      </w:r>
    </w:p>
    <w:p w:rsidR="00E21A68" w:rsidRPr="006A101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Telstra;</w:t>
      </w:r>
    </w:p>
    <w:p w:rsidR="00E21A68" w:rsidRPr="006A101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another person who has signed a confidentiality undertaking; or</w:t>
      </w:r>
    </w:p>
    <w:p w:rsidR="00E21A68" w:rsidRPr="006A1019" w:rsidRDefault="00E21A68" w:rsidP="00E21A68">
      <w:pPr>
        <w:pStyle w:val="ListParagraph"/>
        <w:numPr>
          <w:ilvl w:val="2"/>
          <w:numId w:val="17"/>
        </w:numPr>
        <w:tabs>
          <w:tab w:val="center" w:pos="4513"/>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 xml:space="preserve">another person who has an obligation of confidence in relation to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6A1019">
        <w:rPr>
          <w:rFonts w:ascii="Times New Roman" w:hAnsi="Times New Roman" w:cs="Times New Roman"/>
          <w:sz w:val="24"/>
          <w:szCs w:val="24"/>
        </w:rPr>
        <w:t xml:space="preserve"> (or any part of it),</w:t>
      </w:r>
    </w:p>
    <w:p w:rsidR="00E21A68" w:rsidRPr="006A1019" w:rsidRDefault="00E21A68" w:rsidP="00E21A68">
      <w:pPr>
        <w:pStyle w:val="ListParagraph"/>
        <w:tabs>
          <w:tab w:val="center" w:pos="4513"/>
        </w:tabs>
        <w:spacing w:after="240"/>
        <w:ind w:left="1134"/>
        <w:contextualSpacing w:val="0"/>
        <w:rPr>
          <w:rFonts w:ascii="Times New Roman" w:hAnsi="Times New Roman" w:cs="Times New Roman"/>
          <w:sz w:val="24"/>
          <w:szCs w:val="24"/>
        </w:rPr>
      </w:pPr>
      <w:proofErr w:type="gramStart"/>
      <w:r w:rsidRPr="006A1019">
        <w:rPr>
          <w:rFonts w:ascii="Times New Roman" w:hAnsi="Times New Roman" w:cs="Times New Roman"/>
          <w:sz w:val="24"/>
          <w:szCs w:val="24"/>
        </w:rPr>
        <w:t>provided</w:t>
      </w:r>
      <w:proofErr w:type="gramEnd"/>
      <w:r w:rsidRPr="006A1019">
        <w:rPr>
          <w:rFonts w:ascii="Times New Roman" w:hAnsi="Times New Roman" w:cs="Times New Roman"/>
          <w:sz w:val="24"/>
          <w:szCs w:val="24"/>
        </w:rPr>
        <w:t xml:space="preserve"> that the information has not been obtained by me by reason of, or in circumstances involving, any breach of this Undertaking, any other confidentiality undertaking in favour of Telstra for the Approved Purpose, or by any other unlawful means.</w:t>
      </w:r>
    </w:p>
    <w:p w:rsidR="00E21A68" w:rsidRPr="006A1019" w:rsidRDefault="00E21A68" w:rsidP="00E21A68">
      <w:pPr>
        <w:pStyle w:val="ListParagraph"/>
        <w:numPr>
          <w:ilvl w:val="0"/>
          <w:numId w:val="17"/>
        </w:numPr>
        <w:tabs>
          <w:tab w:val="center" w:pos="851"/>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I acknowledge that damages are not a sufficient remedy for any breach of this Undertaking and that Telstra is entitled to specific performance or injunctive relief (as appropriate) as a remedy for any breach or threatened breach of this Undertaking, in addition to any other remedies available to Telstra at law or in equity.</w:t>
      </w:r>
    </w:p>
    <w:p w:rsidR="00E21A68" w:rsidRPr="006A1019" w:rsidRDefault="00E21A68" w:rsidP="00E21A68">
      <w:pPr>
        <w:pStyle w:val="ListParagraph"/>
        <w:numPr>
          <w:ilvl w:val="0"/>
          <w:numId w:val="17"/>
        </w:numPr>
        <w:tabs>
          <w:tab w:val="center" w:pos="851"/>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t xml:space="preserve">The obligations of confidentiality imposed by this Undertaking survive the destruction or delivery to Telstra of the </w:t>
      </w:r>
      <w:r>
        <w:rPr>
          <w:rFonts w:ascii="Times New Roman" w:hAnsi="Times New Roman" w:cs="Times New Roman"/>
          <w:sz w:val="24"/>
          <w:szCs w:val="24"/>
        </w:rPr>
        <w:t>C</w:t>
      </w:r>
      <w:r w:rsidRPr="009B0C34">
        <w:rPr>
          <w:rFonts w:ascii="Times New Roman" w:hAnsi="Times New Roman" w:cs="Times New Roman"/>
          <w:sz w:val="24"/>
          <w:szCs w:val="24"/>
        </w:rPr>
        <w:t xml:space="preserve">onfidential </w:t>
      </w:r>
      <w:r>
        <w:rPr>
          <w:rFonts w:ascii="Times New Roman" w:hAnsi="Times New Roman" w:cs="Times New Roman"/>
          <w:sz w:val="24"/>
          <w:szCs w:val="24"/>
        </w:rPr>
        <w:t>I</w:t>
      </w:r>
      <w:r w:rsidRPr="009B0C34">
        <w:rPr>
          <w:rFonts w:ascii="Times New Roman" w:hAnsi="Times New Roman" w:cs="Times New Roman"/>
          <w:sz w:val="24"/>
          <w:szCs w:val="24"/>
        </w:rPr>
        <w:t>nformation</w:t>
      </w:r>
      <w:r w:rsidRPr="006A1019">
        <w:rPr>
          <w:rFonts w:ascii="Times New Roman" w:hAnsi="Times New Roman" w:cs="Times New Roman"/>
          <w:sz w:val="24"/>
          <w:szCs w:val="24"/>
        </w:rPr>
        <w:t xml:space="preserve"> pursuant to paragraph 8 above.</w:t>
      </w:r>
    </w:p>
    <w:p w:rsidR="00E21A68" w:rsidRDefault="00E21A68" w:rsidP="00E21A68">
      <w:pPr>
        <w:pStyle w:val="ListParagraph"/>
        <w:numPr>
          <w:ilvl w:val="0"/>
          <w:numId w:val="17"/>
        </w:numPr>
        <w:tabs>
          <w:tab w:val="center" w:pos="851"/>
        </w:tabs>
        <w:spacing w:after="240"/>
        <w:contextualSpacing w:val="0"/>
        <w:rPr>
          <w:rFonts w:ascii="Times New Roman" w:hAnsi="Times New Roman" w:cs="Times New Roman"/>
          <w:sz w:val="24"/>
          <w:szCs w:val="24"/>
        </w:rPr>
      </w:pPr>
      <w:r w:rsidRPr="006A1019">
        <w:rPr>
          <w:rFonts w:ascii="Times New Roman" w:hAnsi="Times New Roman" w:cs="Times New Roman"/>
          <w:sz w:val="24"/>
          <w:szCs w:val="24"/>
        </w:rPr>
        <w:lastRenderedPageBreak/>
        <w:t>I acknowledge that this Undertaking is governed by the law in force in the State of New South Wales and I agree to submit to the non-exclusive jurisdiction of the court of that place.</w:t>
      </w:r>
    </w:p>
    <w:p w:rsidR="00E21A68" w:rsidRDefault="00E21A68" w:rsidP="00E21A68">
      <w:pPr>
        <w:tabs>
          <w:tab w:val="center" w:pos="4513"/>
        </w:tabs>
        <w:spacing w:after="960"/>
        <w:rPr>
          <w:rFonts w:ascii="Times New Roman" w:hAnsi="Times New Roman" w:cs="Times New Roman"/>
          <w:sz w:val="24"/>
          <w:szCs w:val="24"/>
        </w:rPr>
      </w:pPr>
    </w:p>
    <w:p w:rsidR="00E21A68" w:rsidRDefault="00E21A68" w:rsidP="00E21A68">
      <w:pPr>
        <w:tabs>
          <w:tab w:val="center" w:pos="4513"/>
        </w:tabs>
        <w:spacing w:after="960"/>
        <w:rPr>
          <w:rFonts w:ascii="Times New Roman" w:hAnsi="Times New Roman" w:cs="Times New Roman"/>
          <w:sz w:val="24"/>
          <w:szCs w:val="24"/>
        </w:rPr>
      </w:pPr>
      <w:r>
        <w:rPr>
          <w:rFonts w:ascii="Times New Roman" w:hAnsi="Times New Roman" w:cs="Times New Roman"/>
          <w:sz w:val="24"/>
          <w:szCs w:val="24"/>
        </w:rPr>
        <w:t>Signed:</w:t>
      </w:r>
    </w:p>
    <w:p w:rsidR="00E21A68" w:rsidRDefault="00E21A68" w:rsidP="00E21A68">
      <w:pPr>
        <w:tabs>
          <w:tab w:val="center" w:pos="4513"/>
        </w:tabs>
        <w:spacing w:after="960"/>
        <w:rPr>
          <w:rFonts w:ascii="Times New Roman" w:hAnsi="Times New Roman" w:cs="Times New Roman"/>
          <w:sz w:val="24"/>
          <w:szCs w:val="24"/>
        </w:rPr>
      </w:pPr>
      <w:r w:rsidRPr="008A06D1">
        <w:rPr>
          <w:rFonts w:ascii="Times New Roman" w:hAnsi="Times New Roman" w:cs="Times New Roman"/>
          <w:sz w:val="24"/>
          <w:szCs w:val="24"/>
        </w:rPr>
        <w:t>Name</w:t>
      </w:r>
      <w:r>
        <w:rPr>
          <w:rFonts w:ascii="Times New Roman" w:hAnsi="Times New Roman" w:cs="Times New Roman"/>
          <w:sz w:val="24"/>
          <w:szCs w:val="24"/>
        </w:rPr>
        <w:t>:</w:t>
      </w:r>
    </w:p>
    <w:p w:rsidR="00E21A68" w:rsidRDefault="00E21A68" w:rsidP="00E21A68">
      <w:pPr>
        <w:tabs>
          <w:tab w:val="center" w:pos="4513"/>
        </w:tabs>
        <w:spacing w:after="960"/>
        <w:rPr>
          <w:rFonts w:ascii="Times New Roman" w:hAnsi="Times New Roman" w:cs="Times New Roman"/>
          <w:sz w:val="24"/>
          <w:szCs w:val="24"/>
        </w:rPr>
      </w:pPr>
      <w:r>
        <w:rPr>
          <w:rFonts w:ascii="Times New Roman" w:hAnsi="Times New Roman" w:cs="Times New Roman"/>
          <w:sz w:val="24"/>
          <w:szCs w:val="24"/>
        </w:rPr>
        <w:t>Dated:</w:t>
      </w:r>
    </w:p>
    <w:p w:rsidR="00E21A68" w:rsidRDefault="00E21A68" w:rsidP="00E21A68"/>
    <w:p w:rsidR="00E21A68" w:rsidRDefault="00E21A68" w:rsidP="00E21A68">
      <w:pPr>
        <w:tabs>
          <w:tab w:val="center" w:pos="4513"/>
        </w:tabs>
        <w:spacing w:after="480"/>
        <w:rPr>
          <w:rFonts w:ascii="Times New Roman" w:hAnsi="Times New Roman" w:cs="Times New Roman"/>
          <w:sz w:val="24"/>
          <w:szCs w:val="24"/>
        </w:rPr>
      </w:pPr>
      <w:r>
        <w:rPr>
          <w:rFonts w:ascii="Times New Roman" w:hAnsi="Times New Roman" w:cs="Times New Roman"/>
          <w:sz w:val="24"/>
          <w:szCs w:val="24"/>
        </w:rPr>
        <w:t>Witness signature:</w:t>
      </w:r>
    </w:p>
    <w:p w:rsidR="00E21A68" w:rsidRDefault="00E21A68" w:rsidP="00E21A68">
      <w:pPr>
        <w:tabs>
          <w:tab w:val="center" w:pos="4513"/>
        </w:tabs>
        <w:spacing w:after="480"/>
        <w:rPr>
          <w:rFonts w:ascii="Times New Roman" w:hAnsi="Times New Roman" w:cs="Times New Roman"/>
          <w:sz w:val="24"/>
          <w:szCs w:val="24"/>
        </w:rPr>
      </w:pPr>
      <w:r>
        <w:rPr>
          <w:rFonts w:ascii="Times New Roman" w:hAnsi="Times New Roman" w:cs="Times New Roman"/>
          <w:sz w:val="24"/>
          <w:szCs w:val="24"/>
        </w:rPr>
        <w:t>Witness name:</w:t>
      </w:r>
    </w:p>
    <w:p w:rsidR="00CC54F8" w:rsidRPr="00E21A68" w:rsidRDefault="00CC54F8" w:rsidP="00E21A68"/>
    <w:sectPr w:rsidR="00CC54F8" w:rsidRPr="00E21A68" w:rsidSect="00FD17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9E" w:rsidRDefault="00C11F9E" w:rsidP="00F8223F">
      <w:pPr>
        <w:spacing w:after="0" w:line="240" w:lineRule="auto"/>
      </w:pPr>
      <w:r>
        <w:separator/>
      </w:r>
    </w:p>
  </w:endnote>
  <w:endnote w:type="continuationSeparator" w:id="0">
    <w:p w:rsidR="00C11F9E" w:rsidRDefault="00C11F9E" w:rsidP="00F8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E" w:rsidRDefault="00C11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808979"/>
      <w:docPartObj>
        <w:docPartGallery w:val="Page Numbers (Bottom of Page)"/>
        <w:docPartUnique/>
      </w:docPartObj>
    </w:sdtPr>
    <w:sdtEndPr>
      <w:rPr>
        <w:noProof/>
      </w:rPr>
    </w:sdtEndPr>
    <w:sdtContent>
      <w:p w:rsidR="00C11F9E" w:rsidRDefault="00C11F9E">
        <w:pPr>
          <w:pStyle w:val="Footer"/>
          <w:jc w:val="center"/>
        </w:pPr>
        <w:r>
          <w:fldChar w:fldCharType="begin"/>
        </w:r>
        <w:r>
          <w:instrText xml:space="preserve"> PAGE   \* MERGEFORMAT </w:instrText>
        </w:r>
        <w:r>
          <w:fldChar w:fldCharType="separate"/>
        </w:r>
        <w:r w:rsidR="00912D0C">
          <w:rPr>
            <w:noProof/>
          </w:rPr>
          <w:t>2</w:t>
        </w:r>
        <w:r>
          <w:rPr>
            <w:noProof/>
          </w:rPr>
          <w:fldChar w:fldCharType="end"/>
        </w:r>
      </w:p>
    </w:sdtContent>
  </w:sdt>
  <w:p w:rsidR="00C11F9E" w:rsidRDefault="00C11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E" w:rsidRDefault="00C1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9E" w:rsidRDefault="00C11F9E" w:rsidP="00F8223F">
      <w:pPr>
        <w:spacing w:after="0" w:line="240" w:lineRule="auto"/>
      </w:pPr>
      <w:r>
        <w:separator/>
      </w:r>
    </w:p>
  </w:footnote>
  <w:footnote w:type="continuationSeparator" w:id="0">
    <w:p w:rsidR="00C11F9E" w:rsidRDefault="00C11F9E" w:rsidP="00F82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E" w:rsidRDefault="00C11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E" w:rsidRPr="0035187B" w:rsidRDefault="00C11F9E" w:rsidP="00725CA6">
    <w:pPr>
      <w:pStyle w:val="Header"/>
      <w:jc w:val="right"/>
      <w:rPr>
        <w:rFonts w:ascii="Times New Roman" w:hAnsi="Times New Roman" w:cs="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E" w:rsidRPr="00FD178A" w:rsidRDefault="00C11F9E" w:rsidP="00FD178A">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B49"/>
    <w:multiLevelType w:val="hybridMultilevel"/>
    <w:tmpl w:val="A78AD5F0"/>
    <w:lvl w:ilvl="0" w:tplc="0C09000F">
      <w:start w:val="1"/>
      <w:numFmt w:val="decimal"/>
      <w:lvlText w:val="%1."/>
      <w:lvlJc w:val="left"/>
      <w:pPr>
        <w:ind w:left="720" w:hanging="360"/>
      </w:pPr>
    </w:lvl>
    <w:lvl w:ilvl="1" w:tplc="63F088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597CF9"/>
    <w:multiLevelType w:val="multilevel"/>
    <w:tmpl w:val="B478DFE6"/>
    <w:numStyleLink w:val="AERnumberedlist"/>
  </w:abstractNum>
  <w:abstractNum w:abstractNumId="2">
    <w:nsid w:val="14E25CA9"/>
    <w:multiLevelType w:val="hybridMultilevel"/>
    <w:tmpl w:val="908CECFA"/>
    <w:lvl w:ilvl="0" w:tplc="2D2C3756">
      <w:start w:val="1"/>
      <w:numFmt w:val="decimal"/>
      <w:lvlText w:val="%1."/>
      <w:lvlJc w:val="left"/>
      <w:pPr>
        <w:ind w:left="2205" w:hanging="1845"/>
      </w:pPr>
      <w:rPr>
        <w:rFonts w:hint="default"/>
      </w:rPr>
    </w:lvl>
    <w:lvl w:ilvl="1" w:tplc="63F0888C">
      <w:start w:val="1"/>
      <w:numFmt w:val="lowerLetter"/>
      <w:lvlText w:val="(%2)"/>
      <w:lvlJc w:val="left"/>
      <w:pPr>
        <w:ind w:left="1440" w:hanging="360"/>
      </w:pPr>
      <w:rPr>
        <w:rFonts w:hint="default"/>
      </w:rPr>
    </w:lvl>
    <w:lvl w:ilvl="2" w:tplc="0AD87AF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303E89"/>
    <w:multiLevelType w:val="multilevel"/>
    <w:tmpl w:val="32F2F47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6D2A01"/>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671DF5"/>
    <w:multiLevelType w:val="hybridMultilevel"/>
    <w:tmpl w:val="3C68CC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843E3F"/>
    <w:multiLevelType w:val="multilevel"/>
    <w:tmpl w:val="EE50071E"/>
    <w:lvl w:ilvl="0">
      <w:start w:val="1"/>
      <w:numFmt w:val="decimal"/>
      <w:lvlText w:val="(%1)"/>
      <w:lvlJc w:val="left"/>
      <w:pPr>
        <w:tabs>
          <w:tab w:val="num" w:pos="720"/>
        </w:tabs>
        <w:ind w:left="720" w:hanging="436"/>
      </w:pPr>
      <w:rPr>
        <w:rFonts w:hint="default"/>
        <w:b w:val="0"/>
      </w:rPr>
    </w:lvl>
    <w:lvl w:ilvl="1">
      <w:start w:val="1"/>
      <w:numFmt w:val="lowerLetter"/>
      <w:lvlText w:val="(%2)"/>
      <w:lvlJc w:val="left"/>
      <w:pPr>
        <w:tabs>
          <w:tab w:val="num" w:pos="1247"/>
        </w:tabs>
        <w:ind w:left="1247" w:hanging="453"/>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B0A2260"/>
    <w:multiLevelType w:val="multilevel"/>
    <w:tmpl w:val="32F2F47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E9C1D55"/>
    <w:multiLevelType w:val="hybridMultilevel"/>
    <w:tmpl w:val="0A302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8840A0"/>
    <w:multiLevelType w:val="hybridMultilevel"/>
    <w:tmpl w:val="D47E8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EF010E2"/>
    <w:multiLevelType w:val="multilevel"/>
    <w:tmpl w:val="32F2F47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1487971"/>
    <w:multiLevelType w:val="multilevel"/>
    <w:tmpl w:val="B478DFE6"/>
    <w:styleLink w:val="AERnumberedlist"/>
    <w:lvl w:ilvl="0">
      <w:start w:val="1"/>
      <w:numFmt w:val="none"/>
      <w:pStyle w:val="AERbodytext"/>
      <w:lvlText w:val="%1"/>
      <w:lvlJc w:val="left"/>
      <w:pPr>
        <w:tabs>
          <w:tab w:val="num" w:pos="0"/>
        </w:tabs>
        <w:ind w:left="0" w:firstLine="0"/>
      </w:pPr>
      <w:rPr>
        <w:rFonts w:hint="default"/>
      </w:rPr>
    </w:lvl>
    <w:lvl w:ilvl="1">
      <w:start w:val="1"/>
      <w:numFmt w:val="decimal"/>
      <w:pStyle w:val="AERnumberedlistfirststyle"/>
      <w:lvlText w:val="%2."/>
      <w:lvlJc w:val="left"/>
      <w:pPr>
        <w:tabs>
          <w:tab w:val="num" w:pos="357"/>
        </w:tabs>
        <w:ind w:left="357" w:hanging="357"/>
      </w:pPr>
      <w:rPr>
        <w:rFonts w:hint="default"/>
      </w:rPr>
    </w:lvl>
    <w:lvl w:ilvl="2">
      <w:start w:val="1"/>
      <w:numFmt w:val="lowerLetter"/>
      <w:pStyle w:val="AERnumberedlistsecondstyle"/>
      <w:lvlText w:val="%3."/>
      <w:lvlJc w:val="left"/>
      <w:pPr>
        <w:tabs>
          <w:tab w:val="num" w:pos="720"/>
        </w:tabs>
        <w:ind w:left="720" w:hanging="363"/>
      </w:pPr>
      <w:rPr>
        <w:rFonts w:hint="default"/>
      </w:rPr>
    </w:lvl>
    <w:lvl w:ilvl="3">
      <w:start w:val="1"/>
      <w:numFmt w:val="lowerRoman"/>
      <w:pStyle w:val="AERnumberedlistthirdstyle"/>
      <w:lvlText w:val="%4."/>
      <w:lvlJc w:val="left"/>
      <w:pPr>
        <w:tabs>
          <w:tab w:val="num" w:pos="1077"/>
        </w:tabs>
        <w:ind w:left="1077" w:hanging="357"/>
      </w:pPr>
      <w:rPr>
        <w:rFonts w:hint="default"/>
      </w:rPr>
    </w:lvl>
    <w:lvl w:ilvl="4">
      <w:start w:val="1"/>
      <w:numFmt w:val="decimal"/>
      <w:lvlRestart w:val="1"/>
      <w:pStyle w:val="AERnumberedlist2first"/>
      <w:lvlText w:val="(%5)"/>
      <w:lvlJc w:val="left"/>
      <w:pPr>
        <w:tabs>
          <w:tab w:val="num" w:pos="357"/>
        </w:tabs>
        <w:ind w:left="357" w:hanging="357"/>
      </w:pPr>
      <w:rPr>
        <w:rFonts w:hint="default"/>
      </w:rPr>
    </w:lvl>
    <w:lvl w:ilvl="5">
      <w:start w:val="1"/>
      <w:numFmt w:val="lowerLetter"/>
      <w:lvlRestart w:val="2"/>
      <w:pStyle w:val="AERnumberedlist2second"/>
      <w:lvlText w:val="(%6)"/>
      <w:lvlJc w:val="left"/>
      <w:pPr>
        <w:tabs>
          <w:tab w:val="num" w:pos="720"/>
        </w:tabs>
        <w:ind w:left="720" w:hanging="363"/>
      </w:pPr>
      <w:rPr>
        <w:rFonts w:hint="default"/>
      </w:rPr>
    </w:lvl>
    <w:lvl w:ilvl="6">
      <w:start w:val="1"/>
      <w:numFmt w:val="lowerRoman"/>
      <w:lvlRestart w:val="3"/>
      <w:pStyle w:val="AERnumberedlist2third"/>
      <w:lvlText w:val="(%7)"/>
      <w:lvlJc w:val="left"/>
      <w:pPr>
        <w:tabs>
          <w:tab w:val="num" w:pos="1077"/>
        </w:tabs>
        <w:ind w:left="107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9E5636E"/>
    <w:multiLevelType w:val="hybridMultilevel"/>
    <w:tmpl w:val="8CB0E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68510B"/>
    <w:multiLevelType w:val="hybridMultilevel"/>
    <w:tmpl w:val="8F4E2284"/>
    <w:lvl w:ilvl="0" w:tplc="63F0888C">
      <w:start w:val="1"/>
      <w:numFmt w:val="lowerLetter"/>
      <w:lvlText w:val="(%1)"/>
      <w:lvlJc w:val="left"/>
      <w:pPr>
        <w:ind w:left="25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45309E"/>
    <w:multiLevelType w:val="multilevel"/>
    <w:tmpl w:val="EE50071E"/>
    <w:lvl w:ilvl="0">
      <w:start w:val="1"/>
      <w:numFmt w:val="decimal"/>
      <w:lvlText w:val="(%1)"/>
      <w:lvlJc w:val="left"/>
      <w:pPr>
        <w:tabs>
          <w:tab w:val="num" w:pos="720"/>
        </w:tabs>
        <w:ind w:left="720" w:hanging="436"/>
      </w:pPr>
      <w:rPr>
        <w:rFonts w:hint="default"/>
        <w:b w:val="0"/>
      </w:rPr>
    </w:lvl>
    <w:lvl w:ilvl="1">
      <w:start w:val="1"/>
      <w:numFmt w:val="lowerLetter"/>
      <w:lvlText w:val="(%2)"/>
      <w:lvlJc w:val="left"/>
      <w:pPr>
        <w:tabs>
          <w:tab w:val="num" w:pos="1247"/>
        </w:tabs>
        <w:ind w:left="1247" w:hanging="453"/>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2100E54"/>
    <w:multiLevelType w:val="hybridMultilevel"/>
    <w:tmpl w:val="EC38B2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4F36694"/>
    <w:multiLevelType w:val="hybridMultilevel"/>
    <w:tmpl w:val="3C68CC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5"/>
  </w:num>
  <w:num w:numId="5">
    <w:abstractNumId w:val="8"/>
  </w:num>
  <w:num w:numId="6">
    <w:abstractNumId w:val="14"/>
  </w:num>
  <w:num w:numId="7">
    <w:abstractNumId w:val="6"/>
  </w:num>
  <w:num w:numId="8">
    <w:abstractNumId w:val="12"/>
  </w:num>
  <w:num w:numId="9">
    <w:abstractNumId w:val="16"/>
  </w:num>
  <w:num w:numId="10">
    <w:abstractNumId w:val="5"/>
  </w:num>
  <w:num w:numId="11">
    <w:abstractNumId w:val="13"/>
  </w:num>
  <w:num w:numId="12">
    <w:abstractNumId w:val="11"/>
  </w:num>
  <w:num w:numId="13">
    <w:abstractNumId w:val="1"/>
  </w:num>
  <w:num w:numId="14">
    <w:abstractNumId w:val="11"/>
    <w:lvlOverride w:ilvl="0">
      <w:startOverride w:val="1"/>
    </w:lvlOverride>
    <w:lvlOverride w:ilvl="1">
      <w:startOverride w:val="2"/>
    </w:lvlOverride>
  </w:num>
  <w:num w:numId="15">
    <w:abstractNumId w:val="2"/>
  </w:num>
  <w:num w:numId="16">
    <w:abstractNumId w:val="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2816\D14 63371  APFA-minute - FSR FAD - disclosure notice to Telstra under subs.151BUA(2) - BBM RKR information 11 June 2014 (replaces document 14 45246).DOCX"/>
  </w:docVars>
  <w:rsids>
    <w:rsidRoot w:val="00F3100B"/>
    <w:rsid w:val="0000300A"/>
    <w:rsid w:val="00010AA2"/>
    <w:rsid w:val="000372CD"/>
    <w:rsid w:val="00037BE0"/>
    <w:rsid w:val="00050B83"/>
    <w:rsid w:val="00051565"/>
    <w:rsid w:val="000613FC"/>
    <w:rsid w:val="00063086"/>
    <w:rsid w:val="0007654D"/>
    <w:rsid w:val="00084D78"/>
    <w:rsid w:val="00091AEC"/>
    <w:rsid w:val="0009283A"/>
    <w:rsid w:val="000B2548"/>
    <w:rsid w:val="000B29EC"/>
    <w:rsid w:val="000B7C61"/>
    <w:rsid w:val="000C07B3"/>
    <w:rsid w:val="000C63B1"/>
    <w:rsid w:val="000D6347"/>
    <w:rsid w:val="000E08EE"/>
    <w:rsid w:val="000E62E3"/>
    <w:rsid w:val="000E64E1"/>
    <w:rsid w:val="000F6EB6"/>
    <w:rsid w:val="00105343"/>
    <w:rsid w:val="00112F2E"/>
    <w:rsid w:val="0012279D"/>
    <w:rsid w:val="00136CFA"/>
    <w:rsid w:val="00153C06"/>
    <w:rsid w:val="00160B99"/>
    <w:rsid w:val="00161D33"/>
    <w:rsid w:val="00172683"/>
    <w:rsid w:val="00173503"/>
    <w:rsid w:val="0018051E"/>
    <w:rsid w:val="00181A2F"/>
    <w:rsid w:val="00183DBA"/>
    <w:rsid w:val="001876C7"/>
    <w:rsid w:val="00194E5D"/>
    <w:rsid w:val="00196CE6"/>
    <w:rsid w:val="001A4EAC"/>
    <w:rsid w:val="001C4C9B"/>
    <w:rsid w:val="001C6844"/>
    <w:rsid w:val="001D1998"/>
    <w:rsid w:val="001D3181"/>
    <w:rsid w:val="001D53E7"/>
    <w:rsid w:val="001E72FE"/>
    <w:rsid w:val="001F705D"/>
    <w:rsid w:val="00201E86"/>
    <w:rsid w:val="002315C3"/>
    <w:rsid w:val="00235EC8"/>
    <w:rsid w:val="00237050"/>
    <w:rsid w:val="0023769D"/>
    <w:rsid w:val="002401CD"/>
    <w:rsid w:val="00242CE7"/>
    <w:rsid w:val="00251DA1"/>
    <w:rsid w:val="00266721"/>
    <w:rsid w:val="00277084"/>
    <w:rsid w:val="00283B3B"/>
    <w:rsid w:val="00291983"/>
    <w:rsid w:val="002968DA"/>
    <w:rsid w:val="002A46A7"/>
    <w:rsid w:val="002A4D8A"/>
    <w:rsid w:val="002B6B94"/>
    <w:rsid w:val="002D249A"/>
    <w:rsid w:val="002D40A6"/>
    <w:rsid w:val="002F2041"/>
    <w:rsid w:val="00302829"/>
    <w:rsid w:val="003175A1"/>
    <w:rsid w:val="00320D48"/>
    <w:rsid w:val="00321DEE"/>
    <w:rsid w:val="00331F8E"/>
    <w:rsid w:val="00333A02"/>
    <w:rsid w:val="003349F0"/>
    <w:rsid w:val="00342ED8"/>
    <w:rsid w:val="00344DD9"/>
    <w:rsid w:val="0035187B"/>
    <w:rsid w:val="00352D9C"/>
    <w:rsid w:val="00353F6F"/>
    <w:rsid w:val="00367DB8"/>
    <w:rsid w:val="0037288B"/>
    <w:rsid w:val="00382CDC"/>
    <w:rsid w:val="003A05D6"/>
    <w:rsid w:val="003A0A74"/>
    <w:rsid w:val="003C19F3"/>
    <w:rsid w:val="003E4BF1"/>
    <w:rsid w:val="003F61C6"/>
    <w:rsid w:val="00401C8F"/>
    <w:rsid w:val="00405930"/>
    <w:rsid w:val="00411162"/>
    <w:rsid w:val="00412349"/>
    <w:rsid w:val="0043332C"/>
    <w:rsid w:val="00435A66"/>
    <w:rsid w:val="00436F9E"/>
    <w:rsid w:val="00443412"/>
    <w:rsid w:val="00463259"/>
    <w:rsid w:val="00470EE7"/>
    <w:rsid w:val="004814EB"/>
    <w:rsid w:val="00481BF0"/>
    <w:rsid w:val="00493BBC"/>
    <w:rsid w:val="004A2CB3"/>
    <w:rsid w:val="004A4462"/>
    <w:rsid w:val="004C640D"/>
    <w:rsid w:val="004C6B5C"/>
    <w:rsid w:val="004D0DA8"/>
    <w:rsid w:val="004D21BD"/>
    <w:rsid w:val="004D4C74"/>
    <w:rsid w:val="004E0BC7"/>
    <w:rsid w:val="004E2236"/>
    <w:rsid w:val="004E36D0"/>
    <w:rsid w:val="004E3E5E"/>
    <w:rsid w:val="004E7E70"/>
    <w:rsid w:val="004F40AF"/>
    <w:rsid w:val="00505D24"/>
    <w:rsid w:val="0051705A"/>
    <w:rsid w:val="005307D8"/>
    <w:rsid w:val="00532F67"/>
    <w:rsid w:val="00533E5F"/>
    <w:rsid w:val="005375CC"/>
    <w:rsid w:val="005407A8"/>
    <w:rsid w:val="00547BBC"/>
    <w:rsid w:val="005500DC"/>
    <w:rsid w:val="0055355E"/>
    <w:rsid w:val="00563C4A"/>
    <w:rsid w:val="00573760"/>
    <w:rsid w:val="005737DC"/>
    <w:rsid w:val="00576104"/>
    <w:rsid w:val="005801DA"/>
    <w:rsid w:val="00581050"/>
    <w:rsid w:val="005870A1"/>
    <w:rsid w:val="00587D01"/>
    <w:rsid w:val="005A20F9"/>
    <w:rsid w:val="005A2B6B"/>
    <w:rsid w:val="005A3273"/>
    <w:rsid w:val="005A7EEE"/>
    <w:rsid w:val="005C73D8"/>
    <w:rsid w:val="005E27EF"/>
    <w:rsid w:val="005E7FBB"/>
    <w:rsid w:val="005F573B"/>
    <w:rsid w:val="00601832"/>
    <w:rsid w:val="006033D4"/>
    <w:rsid w:val="00606812"/>
    <w:rsid w:val="00607170"/>
    <w:rsid w:val="00611FB2"/>
    <w:rsid w:val="006144E4"/>
    <w:rsid w:val="00616371"/>
    <w:rsid w:val="0061703C"/>
    <w:rsid w:val="00620EDE"/>
    <w:rsid w:val="006227E4"/>
    <w:rsid w:val="00623EDF"/>
    <w:rsid w:val="00627E6C"/>
    <w:rsid w:val="0063177D"/>
    <w:rsid w:val="00635675"/>
    <w:rsid w:val="00636461"/>
    <w:rsid w:val="006475C5"/>
    <w:rsid w:val="006525E7"/>
    <w:rsid w:val="006529A5"/>
    <w:rsid w:val="00652CA7"/>
    <w:rsid w:val="00653F7A"/>
    <w:rsid w:val="00660817"/>
    <w:rsid w:val="00661B32"/>
    <w:rsid w:val="0066237D"/>
    <w:rsid w:val="00665CC8"/>
    <w:rsid w:val="00667849"/>
    <w:rsid w:val="0067391F"/>
    <w:rsid w:val="00673D63"/>
    <w:rsid w:val="006832C4"/>
    <w:rsid w:val="006920F8"/>
    <w:rsid w:val="00694CFC"/>
    <w:rsid w:val="006A4146"/>
    <w:rsid w:val="006B0EA4"/>
    <w:rsid w:val="006B3185"/>
    <w:rsid w:val="006B3A2D"/>
    <w:rsid w:val="006B5125"/>
    <w:rsid w:val="006B7B63"/>
    <w:rsid w:val="006D38DC"/>
    <w:rsid w:val="006D61AC"/>
    <w:rsid w:val="006D6DBB"/>
    <w:rsid w:val="006E3868"/>
    <w:rsid w:val="006E46AA"/>
    <w:rsid w:val="006E5E0C"/>
    <w:rsid w:val="006E7D30"/>
    <w:rsid w:val="006F6545"/>
    <w:rsid w:val="006F6FC5"/>
    <w:rsid w:val="00702B2D"/>
    <w:rsid w:val="00704B82"/>
    <w:rsid w:val="0070533A"/>
    <w:rsid w:val="00712861"/>
    <w:rsid w:val="00723FBF"/>
    <w:rsid w:val="00725CA6"/>
    <w:rsid w:val="00741A3C"/>
    <w:rsid w:val="00742215"/>
    <w:rsid w:val="00751B91"/>
    <w:rsid w:val="00754CFD"/>
    <w:rsid w:val="0076058B"/>
    <w:rsid w:val="007708A7"/>
    <w:rsid w:val="00774267"/>
    <w:rsid w:val="00783B8E"/>
    <w:rsid w:val="0079705E"/>
    <w:rsid w:val="007A388E"/>
    <w:rsid w:val="007B0022"/>
    <w:rsid w:val="007B2025"/>
    <w:rsid w:val="007E19DE"/>
    <w:rsid w:val="007E33B0"/>
    <w:rsid w:val="007E50AC"/>
    <w:rsid w:val="007F387D"/>
    <w:rsid w:val="008039D6"/>
    <w:rsid w:val="00805A59"/>
    <w:rsid w:val="00810987"/>
    <w:rsid w:val="00811278"/>
    <w:rsid w:val="008154FC"/>
    <w:rsid w:val="00842BEE"/>
    <w:rsid w:val="00845AE5"/>
    <w:rsid w:val="00847045"/>
    <w:rsid w:val="0085441B"/>
    <w:rsid w:val="00864744"/>
    <w:rsid w:val="00865E2F"/>
    <w:rsid w:val="0086686D"/>
    <w:rsid w:val="00867AD6"/>
    <w:rsid w:val="008743A9"/>
    <w:rsid w:val="0087693E"/>
    <w:rsid w:val="008810D6"/>
    <w:rsid w:val="00885619"/>
    <w:rsid w:val="00890FA3"/>
    <w:rsid w:val="0089763A"/>
    <w:rsid w:val="008A06D1"/>
    <w:rsid w:val="008A0C8D"/>
    <w:rsid w:val="008B2A73"/>
    <w:rsid w:val="008B2F06"/>
    <w:rsid w:val="008B471D"/>
    <w:rsid w:val="008B502D"/>
    <w:rsid w:val="008E089A"/>
    <w:rsid w:val="008E0A0A"/>
    <w:rsid w:val="008E0D38"/>
    <w:rsid w:val="00901607"/>
    <w:rsid w:val="009036F0"/>
    <w:rsid w:val="0090576E"/>
    <w:rsid w:val="00912D0C"/>
    <w:rsid w:val="009208EB"/>
    <w:rsid w:val="00931A6A"/>
    <w:rsid w:val="00933A03"/>
    <w:rsid w:val="0094222B"/>
    <w:rsid w:val="00943CEB"/>
    <w:rsid w:val="009673D3"/>
    <w:rsid w:val="00970333"/>
    <w:rsid w:val="00980200"/>
    <w:rsid w:val="009803EC"/>
    <w:rsid w:val="00986DF3"/>
    <w:rsid w:val="009A6A52"/>
    <w:rsid w:val="009E79FB"/>
    <w:rsid w:val="00A064A6"/>
    <w:rsid w:val="00A111BA"/>
    <w:rsid w:val="00A14764"/>
    <w:rsid w:val="00A154B4"/>
    <w:rsid w:val="00A15F90"/>
    <w:rsid w:val="00A223A0"/>
    <w:rsid w:val="00A250DB"/>
    <w:rsid w:val="00A3141A"/>
    <w:rsid w:val="00A41EE5"/>
    <w:rsid w:val="00A5003F"/>
    <w:rsid w:val="00A54CE0"/>
    <w:rsid w:val="00A66650"/>
    <w:rsid w:val="00A66EB7"/>
    <w:rsid w:val="00A67746"/>
    <w:rsid w:val="00A95C5A"/>
    <w:rsid w:val="00A963F7"/>
    <w:rsid w:val="00AA4B7F"/>
    <w:rsid w:val="00AC4086"/>
    <w:rsid w:val="00AC7425"/>
    <w:rsid w:val="00AC77AE"/>
    <w:rsid w:val="00AD4B38"/>
    <w:rsid w:val="00AE1B8F"/>
    <w:rsid w:val="00AF3053"/>
    <w:rsid w:val="00B06321"/>
    <w:rsid w:val="00B30803"/>
    <w:rsid w:val="00B332C9"/>
    <w:rsid w:val="00B3546E"/>
    <w:rsid w:val="00B44E0F"/>
    <w:rsid w:val="00B52FBC"/>
    <w:rsid w:val="00B55448"/>
    <w:rsid w:val="00B564F4"/>
    <w:rsid w:val="00B5715E"/>
    <w:rsid w:val="00B67EA1"/>
    <w:rsid w:val="00B7265F"/>
    <w:rsid w:val="00B90C44"/>
    <w:rsid w:val="00B926F7"/>
    <w:rsid w:val="00B937BA"/>
    <w:rsid w:val="00BA1BE6"/>
    <w:rsid w:val="00BB2456"/>
    <w:rsid w:val="00BB522B"/>
    <w:rsid w:val="00BB6598"/>
    <w:rsid w:val="00BB71FF"/>
    <w:rsid w:val="00BE3D49"/>
    <w:rsid w:val="00BF6466"/>
    <w:rsid w:val="00BF6C7E"/>
    <w:rsid w:val="00BF7E35"/>
    <w:rsid w:val="00BF7FA9"/>
    <w:rsid w:val="00C00118"/>
    <w:rsid w:val="00C04726"/>
    <w:rsid w:val="00C10771"/>
    <w:rsid w:val="00C11F9E"/>
    <w:rsid w:val="00C14EE7"/>
    <w:rsid w:val="00C25D47"/>
    <w:rsid w:val="00C41EAC"/>
    <w:rsid w:val="00C51A9D"/>
    <w:rsid w:val="00C57F0D"/>
    <w:rsid w:val="00C620E4"/>
    <w:rsid w:val="00C65D19"/>
    <w:rsid w:val="00C91F85"/>
    <w:rsid w:val="00CA2F94"/>
    <w:rsid w:val="00CB3855"/>
    <w:rsid w:val="00CC112F"/>
    <w:rsid w:val="00CC2101"/>
    <w:rsid w:val="00CC54F8"/>
    <w:rsid w:val="00CC560E"/>
    <w:rsid w:val="00CC63CC"/>
    <w:rsid w:val="00CD0CA0"/>
    <w:rsid w:val="00CD23A9"/>
    <w:rsid w:val="00CD3FC0"/>
    <w:rsid w:val="00CE04B8"/>
    <w:rsid w:val="00CE38D5"/>
    <w:rsid w:val="00CE721A"/>
    <w:rsid w:val="00CF2350"/>
    <w:rsid w:val="00CF5A2C"/>
    <w:rsid w:val="00D0111D"/>
    <w:rsid w:val="00D0586B"/>
    <w:rsid w:val="00D05A5A"/>
    <w:rsid w:val="00D17393"/>
    <w:rsid w:val="00D210B0"/>
    <w:rsid w:val="00D211C0"/>
    <w:rsid w:val="00D33CB9"/>
    <w:rsid w:val="00D408A4"/>
    <w:rsid w:val="00D54231"/>
    <w:rsid w:val="00D56675"/>
    <w:rsid w:val="00D7364C"/>
    <w:rsid w:val="00D76B07"/>
    <w:rsid w:val="00D82723"/>
    <w:rsid w:val="00D84897"/>
    <w:rsid w:val="00D943E8"/>
    <w:rsid w:val="00D95E35"/>
    <w:rsid w:val="00DA0929"/>
    <w:rsid w:val="00DA580C"/>
    <w:rsid w:val="00DB0AF3"/>
    <w:rsid w:val="00DC1537"/>
    <w:rsid w:val="00DC7D8F"/>
    <w:rsid w:val="00DD017D"/>
    <w:rsid w:val="00DF37A4"/>
    <w:rsid w:val="00E05DCB"/>
    <w:rsid w:val="00E21A68"/>
    <w:rsid w:val="00E30F42"/>
    <w:rsid w:val="00E32F8B"/>
    <w:rsid w:val="00E40DF2"/>
    <w:rsid w:val="00E52EDF"/>
    <w:rsid w:val="00E5772B"/>
    <w:rsid w:val="00E60A66"/>
    <w:rsid w:val="00E72AFB"/>
    <w:rsid w:val="00E77C2C"/>
    <w:rsid w:val="00E80BD2"/>
    <w:rsid w:val="00E811A2"/>
    <w:rsid w:val="00E91985"/>
    <w:rsid w:val="00E91B62"/>
    <w:rsid w:val="00E946D9"/>
    <w:rsid w:val="00E94740"/>
    <w:rsid w:val="00E94DD4"/>
    <w:rsid w:val="00EB42C4"/>
    <w:rsid w:val="00EC1F11"/>
    <w:rsid w:val="00EC525B"/>
    <w:rsid w:val="00EE1D73"/>
    <w:rsid w:val="00EE6010"/>
    <w:rsid w:val="00EE7F47"/>
    <w:rsid w:val="00EF0531"/>
    <w:rsid w:val="00EF4EBA"/>
    <w:rsid w:val="00EF659C"/>
    <w:rsid w:val="00F036C5"/>
    <w:rsid w:val="00F20231"/>
    <w:rsid w:val="00F266CE"/>
    <w:rsid w:val="00F3100B"/>
    <w:rsid w:val="00F31691"/>
    <w:rsid w:val="00F36A78"/>
    <w:rsid w:val="00F36F9A"/>
    <w:rsid w:val="00F36FD9"/>
    <w:rsid w:val="00F40B06"/>
    <w:rsid w:val="00F41764"/>
    <w:rsid w:val="00F429C7"/>
    <w:rsid w:val="00F665F0"/>
    <w:rsid w:val="00F72DB4"/>
    <w:rsid w:val="00F80B17"/>
    <w:rsid w:val="00F821E2"/>
    <w:rsid w:val="00F8223F"/>
    <w:rsid w:val="00F82B9F"/>
    <w:rsid w:val="00F83F96"/>
    <w:rsid w:val="00FA0FB7"/>
    <w:rsid w:val="00FA14DD"/>
    <w:rsid w:val="00FA73E0"/>
    <w:rsid w:val="00FB6FED"/>
    <w:rsid w:val="00FB7793"/>
    <w:rsid w:val="00FC06F1"/>
    <w:rsid w:val="00FC0903"/>
    <w:rsid w:val="00FC7C40"/>
    <w:rsid w:val="00FC7C5D"/>
    <w:rsid w:val="00FD178A"/>
    <w:rsid w:val="00FD1C1E"/>
    <w:rsid w:val="00FD471A"/>
    <w:rsid w:val="00FE11F5"/>
    <w:rsid w:val="00FE4BDC"/>
    <w:rsid w:val="00FE706D"/>
    <w:rsid w:val="00FF08E6"/>
    <w:rsid w:val="00FF6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17"/>
  </w:style>
  <w:style w:type="paragraph" w:styleId="Heading2">
    <w:name w:val="heading 2"/>
    <w:basedOn w:val="Normal"/>
    <w:next w:val="Normal"/>
    <w:link w:val="Heading2Char"/>
    <w:uiPriority w:val="9"/>
    <w:unhideWhenUsed/>
    <w:qFormat/>
    <w:rsid w:val="00302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3F"/>
    <w:pPr>
      <w:ind w:left="720"/>
      <w:contextualSpacing/>
    </w:pPr>
  </w:style>
  <w:style w:type="character" w:styleId="CommentReference">
    <w:name w:val="annotation reference"/>
    <w:basedOn w:val="DefaultParagraphFont"/>
    <w:uiPriority w:val="99"/>
    <w:semiHidden/>
    <w:unhideWhenUsed/>
    <w:rsid w:val="00BB2456"/>
    <w:rPr>
      <w:sz w:val="16"/>
      <w:szCs w:val="16"/>
    </w:rPr>
  </w:style>
  <w:style w:type="paragraph" w:styleId="CommentText">
    <w:name w:val="annotation text"/>
    <w:basedOn w:val="Normal"/>
    <w:link w:val="CommentTextChar"/>
    <w:uiPriority w:val="99"/>
    <w:semiHidden/>
    <w:unhideWhenUsed/>
    <w:rsid w:val="00BB2456"/>
    <w:pPr>
      <w:spacing w:line="240" w:lineRule="auto"/>
    </w:pPr>
    <w:rPr>
      <w:sz w:val="20"/>
      <w:szCs w:val="20"/>
    </w:rPr>
  </w:style>
  <w:style w:type="character" w:customStyle="1" w:styleId="CommentTextChar">
    <w:name w:val="Comment Text Char"/>
    <w:basedOn w:val="DefaultParagraphFont"/>
    <w:link w:val="CommentText"/>
    <w:uiPriority w:val="99"/>
    <w:semiHidden/>
    <w:rsid w:val="00BB2456"/>
    <w:rPr>
      <w:sz w:val="20"/>
      <w:szCs w:val="20"/>
    </w:rPr>
  </w:style>
  <w:style w:type="paragraph" w:styleId="CommentSubject">
    <w:name w:val="annotation subject"/>
    <w:basedOn w:val="CommentText"/>
    <w:next w:val="CommentText"/>
    <w:link w:val="CommentSubjectChar"/>
    <w:uiPriority w:val="99"/>
    <w:semiHidden/>
    <w:unhideWhenUsed/>
    <w:rsid w:val="00BB2456"/>
    <w:rPr>
      <w:b/>
      <w:bCs/>
    </w:rPr>
  </w:style>
  <w:style w:type="character" w:customStyle="1" w:styleId="CommentSubjectChar">
    <w:name w:val="Comment Subject Char"/>
    <w:basedOn w:val="CommentTextChar"/>
    <w:link w:val="CommentSubject"/>
    <w:uiPriority w:val="99"/>
    <w:semiHidden/>
    <w:rsid w:val="00BB2456"/>
    <w:rPr>
      <w:b/>
      <w:bCs/>
      <w:sz w:val="20"/>
      <w:szCs w:val="20"/>
    </w:rPr>
  </w:style>
  <w:style w:type="paragraph" w:styleId="BalloonText">
    <w:name w:val="Balloon Text"/>
    <w:basedOn w:val="Normal"/>
    <w:link w:val="BalloonTextChar"/>
    <w:uiPriority w:val="99"/>
    <w:semiHidden/>
    <w:unhideWhenUsed/>
    <w:rsid w:val="00BB2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56"/>
    <w:rPr>
      <w:rFonts w:ascii="Tahoma" w:hAnsi="Tahoma" w:cs="Tahoma"/>
      <w:sz w:val="16"/>
      <w:szCs w:val="16"/>
    </w:rPr>
  </w:style>
  <w:style w:type="paragraph" w:styleId="Header">
    <w:name w:val="header"/>
    <w:basedOn w:val="Normal"/>
    <w:link w:val="HeaderChar"/>
    <w:uiPriority w:val="99"/>
    <w:unhideWhenUsed/>
    <w:rsid w:val="00563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C4A"/>
  </w:style>
  <w:style w:type="paragraph" w:styleId="Footer">
    <w:name w:val="footer"/>
    <w:basedOn w:val="Normal"/>
    <w:link w:val="FooterChar"/>
    <w:uiPriority w:val="99"/>
    <w:unhideWhenUsed/>
    <w:qFormat/>
    <w:rsid w:val="00563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C4A"/>
  </w:style>
  <w:style w:type="paragraph" w:styleId="Revision">
    <w:name w:val="Revision"/>
    <w:hidden/>
    <w:uiPriority w:val="99"/>
    <w:semiHidden/>
    <w:rsid w:val="00667849"/>
    <w:pPr>
      <w:spacing w:after="0" w:line="240" w:lineRule="auto"/>
    </w:pPr>
  </w:style>
  <w:style w:type="paragraph" w:styleId="FootnoteText">
    <w:name w:val="footnote text"/>
    <w:basedOn w:val="Normal"/>
    <w:link w:val="FootnoteTextChar"/>
    <w:uiPriority w:val="99"/>
    <w:semiHidden/>
    <w:unhideWhenUsed/>
    <w:rsid w:val="00302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829"/>
    <w:rPr>
      <w:sz w:val="20"/>
      <w:szCs w:val="20"/>
    </w:rPr>
  </w:style>
  <w:style w:type="character" w:styleId="FootnoteReference">
    <w:name w:val="footnote reference"/>
    <w:basedOn w:val="DefaultParagraphFont"/>
    <w:uiPriority w:val="99"/>
    <w:semiHidden/>
    <w:unhideWhenUsed/>
    <w:rsid w:val="00302829"/>
    <w:rPr>
      <w:vertAlign w:val="superscript"/>
    </w:rPr>
  </w:style>
  <w:style w:type="table" w:styleId="LightList-Accent1">
    <w:name w:val="Light List Accent 1"/>
    <w:basedOn w:val="TableNormal"/>
    <w:uiPriority w:val="61"/>
    <w:rsid w:val="003028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302829"/>
    <w:rPr>
      <w:rFonts w:asciiTheme="majorHAnsi" w:eastAsiaTheme="majorEastAsia" w:hAnsiTheme="majorHAnsi" w:cstheme="majorBidi"/>
      <w:b/>
      <w:bCs/>
      <w:color w:val="4F81BD" w:themeColor="accent1"/>
      <w:sz w:val="26"/>
      <w:szCs w:val="26"/>
    </w:rPr>
  </w:style>
  <w:style w:type="paragraph" w:customStyle="1" w:styleId="AERbodytext">
    <w:name w:val="AER body text"/>
    <w:qFormat/>
    <w:rsid w:val="00FE706D"/>
    <w:pPr>
      <w:numPr>
        <w:numId w:val="13"/>
      </w:numPr>
      <w:spacing w:after="240" w:line="288" w:lineRule="auto"/>
      <w:jc w:val="both"/>
    </w:pPr>
    <w:rPr>
      <w:rFonts w:ascii="Gautami" w:eastAsia="Times New Roman" w:hAnsi="Gautami" w:cs="Times New Roman"/>
      <w:sz w:val="20"/>
      <w:szCs w:val="24"/>
    </w:rPr>
  </w:style>
  <w:style w:type="paragraph" w:customStyle="1" w:styleId="AERbodytextindent2">
    <w:name w:val="AER body text (indent 2)"/>
    <w:basedOn w:val="Normal"/>
    <w:qFormat/>
    <w:rsid w:val="00FE706D"/>
    <w:pPr>
      <w:spacing w:after="240" w:line="288" w:lineRule="auto"/>
      <w:ind w:left="709"/>
      <w:jc w:val="both"/>
    </w:pPr>
    <w:rPr>
      <w:rFonts w:ascii="Gautami" w:eastAsia="Times New Roman" w:hAnsi="Gautami" w:cs="Times New Roman"/>
      <w:sz w:val="20"/>
      <w:szCs w:val="24"/>
    </w:rPr>
  </w:style>
  <w:style w:type="paragraph" w:customStyle="1" w:styleId="AERbodytextindent3">
    <w:name w:val="AER body text (indent 3)"/>
    <w:basedOn w:val="AERbodytext"/>
    <w:qFormat/>
    <w:rsid w:val="00FE706D"/>
    <w:pPr>
      <w:numPr>
        <w:numId w:val="0"/>
      </w:numPr>
      <w:ind w:left="1077"/>
    </w:pPr>
  </w:style>
  <w:style w:type="paragraph" w:customStyle="1" w:styleId="AERnumberedlistfirststyle">
    <w:name w:val="AER numbered list (first style)"/>
    <w:basedOn w:val="AERbodytext"/>
    <w:qFormat/>
    <w:rsid w:val="00FE706D"/>
    <w:pPr>
      <w:numPr>
        <w:ilvl w:val="1"/>
      </w:numPr>
      <w:spacing w:after="200"/>
    </w:pPr>
  </w:style>
  <w:style w:type="paragraph" w:customStyle="1" w:styleId="AERnumberedlistsecondstyle">
    <w:name w:val="AER numbered list (second style)"/>
    <w:basedOn w:val="AERnumberedlistfirststyle"/>
    <w:qFormat/>
    <w:rsid w:val="00FE706D"/>
    <w:pPr>
      <w:numPr>
        <w:ilvl w:val="2"/>
      </w:numPr>
    </w:pPr>
  </w:style>
  <w:style w:type="paragraph" w:customStyle="1" w:styleId="AERnumberedlistthirdstyle">
    <w:name w:val="AER numbered list (third style)"/>
    <w:basedOn w:val="AERnumberedlistsecondstyle"/>
    <w:qFormat/>
    <w:rsid w:val="00FE706D"/>
    <w:pPr>
      <w:numPr>
        <w:ilvl w:val="3"/>
      </w:numPr>
    </w:pPr>
  </w:style>
  <w:style w:type="character" w:customStyle="1" w:styleId="AERtexthighlight">
    <w:name w:val="AER text highlight"/>
    <w:qFormat/>
    <w:rsid w:val="00FE706D"/>
    <w:rPr>
      <w:bdr w:val="none" w:sz="0" w:space="0" w:color="auto"/>
      <w:shd w:val="clear" w:color="auto" w:fill="FFFF00"/>
    </w:rPr>
  </w:style>
  <w:style w:type="numbering" w:customStyle="1" w:styleId="AERnumberedlist">
    <w:name w:val="AER numbered list"/>
    <w:uiPriority w:val="99"/>
    <w:rsid w:val="00FE706D"/>
    <w:pPr>
      <w:numPr>
        <w:numId w:val="12"/>
      </w:numPr>
    </w:pPr>
  </w:style>
  <w:style w:type="paragraph" w:customStyle="1" w:styleId="AERbodytextnospace">
    <w:name w:val="AER body text no space"/>
    <w:basedOn w:val="AERbodytext"/>
    <w:qFormat/>
    <w:rsid w:val="00FE706D"/>
    <w:pPr>
      <w:spacing w:after="0"/>
    </w:pPr>
  </w:style>
  <w:style w:type="paragraph" w:customStyle="1" w:styleId="AERnumberedlist2first">
    <w:name w:val="AER numbered list 2 first"/>
    <w:basedOn w:val="AERbodytext"/>
    <w:qFormat/>
    <w:rsid w:val="00FE706D"/>
    <w:pPr>
      <w:numPr>
        <w:ilvl w:val="4"/>
      </w:numPr>
    </w:pPr>
  </w:style>
  <w:style w:type="paragraph" w:customStyle="1" w:styleId="AERnumberedlist2second">
    <w:name w:val="AER numbered list 2 second"/>
    <w:basedOn w:val="AERnumberedlist2first"/>
    <w:qFormat/>
    <w:rsid w:val="00FE706D"/>
    <w:pPr>
      <w:numPr>
        <w:ilvl w:val="5"/>
      </w:numPr>
    </w:pPr>
  </w:style>
  <w:style w:type="paragraph" w:customStyle="1" w:styleId="AERnumberedlist2third">
    <w:name w:val="AER numbered list 2 third"/>
    <w:basedOn w:val="AERnumberedlist2second"/>
    <w:qFormat/>
    <w:rsid w:val="00FE706D"/>
    <w:pPr>
      <w:numPr>
        <w:ilvl w:val="6"/>
      </w:numPr>
    </w:pPr>
  </w:style>
  <w:style w:type="table" w:styleId="LightList">
    <w:name w:val="Light List"/>
    <w:basedOn w:val="TableNormal"/>
    <w:uiPriority w:val="61"/>
    <w:rsid w:val="00CE04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17"/>
  </w:style>
  <w:style w:type="paragraph" w:styleId="Heading2">
    <w:name w:val="heading 2"/>
    <w:basedOn w:val="Normal"/>
    <w:next w:val="Normal"/>
    <w:link w:val="Heading2Char"/>
    <w:uiPriority w:val="9"/>
    <w:unhideWhenUsed/>
    <w:qFormat/>
    <w:rsid w:val="00302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3F"/>
    <w:pPr>
      <w:ind w:left="720"/>
      <w:contextualSpacing/>
    </w:pPr>
  </w:style>
  <w:style w:type="character" w:styleId="CommentReference">
    <w:name w:val="annotation reference"/>
    <w:basedOn w:val="DefaultParagraphFont"/>
    <w:uiPriority w:val="99"/>
    <w:semiHidden/>
    <w:unhideWhenUsed/>
    <w:rsid w:val="00BB2456"/>
    <w:rPr>
      <w:sz w:val="16"/>
      <w:szCs w:val="16"/>
    </w:rPr>
  </w:style>
  <w:style w:type="paragraph" w:styleId="CommentText">
    <w:name w:val="annotation text"/>
    <w:basedOn w:val="Normal"/>
    <w:link w:val="CommentTextChar"/>
    <w:uiPriority w:val="99"/>
    <w:semiHidden/>
    <w:unhideWhenUsed/>
    <w:rsid w:val="00BB2456"/>
    <w:pPr>
      <w:spacing w:line="240" w:lineRule="auto"/>
    </w:pPr>
    <w:rPr>
      <w:sz w:val="20"/>
      <w:szCs w:val="20"/>
    </w:rPr>
  </w:style>
  <w:style w:type="character" w:customStyle="1" w:styleId="CommentTextChar">
    <w:name w:val="Comment Text Char"/>
    <w:basedOn w:val="DefaultParagraphFont"/>
    <w:link w:val="CommentText"/>
    <w:uiPriority w:val="99"/>
    <w:semiHidden/>
    <w:rsid w:val="00BB2456"/>
    <w:rPr>
      <w:sz w:val="20"/>
      <w:szCs w:val="20"/>
    </w:rPr>
  </w:style>
  <w:style w:type="paragraph" w:styleId="CommentSubject">
    <w:name w:val="annotation subject"/>
    <w:basedOn w:val="CommentText"/>
    <w:next w:val="CommentText"/>
    <w:link w:val="CommentSubjectChar"/>
    <w:uiPriority w:val="99"/>
    <w:semiHidden/>
    <w:unhideWhenUsed/>
    <w:rsid w:val="00BB2456"/>
    <w:rPr>
      <w:b/>
      <w:bCs/>
    </w:rPr>
  </w:style>
  <w:style w:type="character" w:customStyle="1" w:styleId="CommentSubjectChar">
    <w:name w:val="Comment Subject Char"/>
    <w:basedOn w:val="CommentTextChar"/>
    <w:link w:val="CommentSubject"/>
    <w:uiPriority w:val="99"/>
    <w:semiHidden/>
    <w:rsid w:val="00BB2456"/>
    <w:rPr>
      <w:b/>
      <w:bCs/>
      <w:sz w:val="20"/>
      <w:szCs w:val="20"/>
    </w:rPr>
  </w:style>
  <w:style w:type="paragraph" w:styleId="BalloonText">
    <w:name w:val="Balloon Text"/>
    <w:basedOn w:val="Normal"/>
    <w:link w:val="BalloonTextChar"/>
    <w:uiPriority w:val="99"/>
    <w:semiHidden/>
    <w:unhideWhenUsed/>
    <w:rsid w:val="00BB2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56"/>
    <w:rPr>
      <w:rFonts w:ascii="Tahoma" w:hAnsi="Tahoma" w:cs="Tahoma"/>
      <w:sz w:val="16"/>
      <w:szCs w:val="16"/>
    </w:rPr>
  </w:style>
  <w:style w:type="paragraph" w:styleId="Header">
    <w:name w:val="header"/>
    <w:basedOn w:val="Normal"/>
    <w:link w:val="HeaderChar"/>
    <w:uiPriority w:val="99"/>
    <w:unhideWhenUsed/>
    <w:rsid w:val="00563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C4A"/>
  </w:style>
  <w:style w:type="paragraph" w:styleId="Footer">
    <w:name w:val="footer"/>
    <w:basedOn w:val="Normal"/>
    <w:link w:val="FooterChar"/>
    <w:uiPriority w:val="99"/>
    <w:unhideWhenUsed/>
    <w:qFormat/>
    <w:rsid w:val="00563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C4A"/>
  </w:style>
  <w:style w:type="paragraph" w:styleId="Revision">
    <w:name w:val="Revision"/>
    <w:hidden/>
    <w:uiPriority w:val="99"/>
    <w:semiHidden/>
    <w:rsid w:val="00667849"/>
    <w:pPr>
      <w:spacing w:after="0" w:line="240" w:lineRule="auto"/>
    </w:pPr>
  </w:style>
  <w:style w:type="paragraph" w:styleId="FootnoteText">
    <w:name w:val="footnote text"/>
    <w:basedOn w:val="Normal"/>
    <w:link w:val="FootnoteTextChar"/>
    <w:uiPriority w:val="99"/>
    <w:semiHidden/>
    <w:unhideWhenUsed/>
    <w:rsid w:val="00302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829"/>
    <w:rPr>
      <w:sz w:val="20"/>
      <w:szCs w:val="20"/>
    </w:rPr>
  </w:style>
  <w:style w:type="character" w:styleId="FootnoteReference">
    <w:name w:val="footnote reference"/>
    <w:basedOn w:val="DefaultParagraphFont"/>
    <w:uiPriority w:val="99"/>
    <w:semiHidden/>
    <w:unhideWhenUsed/>
    <w:rsid w:val="00302829"/>
    <w:rPr>
      <w:vertAlign w:val="superscript"/>
    </w:rPr>
  </w:style>
  <w:style w:type="table" w:styleId="LightList-Accent1">
    <w:name w:val="Light List Accent 1"/>
    <w:basedOn w:val="TableNormal"/>
    <w:uiPriority w:val="61"/>
    <w:rsid w:val="003028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302829"/>
    <w:rPr>
      <w:rFonts w:asciiTheme="majorHAnsi" w:eastAsiaTheme="majorEastAsia" w:hAnsiTheme="majorHAnsi" w:cstheme="majorBidi"/>
      <w:b/>
      <w:bCs/>
      <w:color w:val="4F81BD" w:themeColor="accent1"/>
      <w:sz w:val="26"/>
      <w:szCs w:val="26"/>
    </w:rPr>
  </w:style>
  <w:style w:type="paragraph" w:customStyle="1" w:styleId="AERbodytext">
    <w:name w:val="AER body text"/>
    <w:qFormat/>
    <w:rsid w:val="00FE706D"/>
    <w:pPr>
      <w:numPr>
        <w:numId w:val="13"/>
      </w:numPr>
      <w:spacing w:after="240" w:line="288" w:lineRule="auto"/>
      <w:jc w:val="both"/>
    </w:pPr>
    <w:rPr>
      <w:rFonts w:ascii="Gautami" w:eastAsia="Times New Roman" w:hAnsi="Gautami" w:cs="Times New Roman"/>
      <w:sz w:val="20"/>
      <w:szCs w:val="24"/>
    </w:rPr>
  </w:style>
  <w:style w:type="paragraph" w:customStyle="1" w:styleId="AERbodytextindent2">
    <w:name w:val="AER body text (indent 2)"/>
    <w:basedOn w:val="Normal"/>
    <w:qFormat/>
    <w:rsid w:val="00FE706D"/>
    <w:pPr>
      <w:spacing w:after="240" w:line="288" w:lineRule="auto"/>
      <w:ind w:left="709"/>
      <w:jc w:val="both"/>
    </w:pPr>
    <w:rPr>
      <w:rFonts w:ascii="Gautami" w:eastAsia="Times New Roman" w:hAnsi="Gautami" w:cs="Times New Roman"/>
      <w:sz w:val="20"/>
      <w:szCs w:val="24"/>
    </w:rPr>
  </w:style>
  <w:style w:type="paragraph" w:customStyle="1" w:styleId="AERbodytextindent3">
    <w:name w:val="AER body text (indent 3)"/>
    <w:basedOn w:val="AERbodytext"/>
    <w:qFormat/>
    <w:rsid w:val="00FE706D"/>
    <w:pPr>
      <w:numPr>
        <w:numId w:val="0"/>
      </w:numPr>
      <w:ind w:left="1077"/>
    </w:pPr>
  </w:style>
  <w:style w:type="paragraph" w:customStyle="1" w:styleId="AERnumberedlistfirststyle">
    <w:name w:val="AER numbered list (first style)"/>
    <w:basedOn w:val="AERbodytext"/>
    <w:qFormat/>
    <w:rsid w:val="00FE706D"/>
    <w:pPr>
      <w:numPr>
        <w:ilvl w:val="1"/>
      </w:numPr>
      <w:spacing w:after="200"/>
    </w:pPr>
  </w:style>
  <w:style w:type="paragraph" w:customStyle="1" w:styleId="AERnumberedlistsecondstyle">
    <w:name w:val="AER numbered list (second style)"/>
    <w:basedOn w:val="AERnumberedlistfirststyle"/>
    <w:qFormat/>
    <w:rsid w:val="00FE706D"/>
    <w:pPr>
      <w:numPr>
        <w:ilvl w:val="2"/>
      </w:numPr>
    </w:pPr>
  </w:style>
  <w:style w:type="paragraph" w:customStyle="1" w:styleId="AERnumberedlistthirdstyle">
    <w:name w:val="AER numbered list (third style)"/>
    <w:basedOn w:val="AERnumberedlistsecondstyle"/>
    <w:qFormat/>
    <w:rsid w:val="00FE706D"/>
    <w:pPr>
      <w:numPr>
        <w:ilvl w:val="3"/>
      </w:numPr>
    </w:pPr>
  </w:style>
  <w:style w:type="character" w:customStyle="1" w:styleId="AERtexthighlight">
    <w:name w:val="AER text highlight"/>
    <w:qFormat/>
    <w:rsid w:val="00FE706D"/>
    <w:rPr>
      <w:bdr w:val="none" w:sz="0" w:space="0" w:color="auto"/>
      <w:shd w:val="clear" w:color="auto" w:fill="FFFF00"/>
    </w:rPr>
  </w:style>
  <w:style w:type="numbering" w:customStyle="1" w:styleId="AERnumberedlist">
    <w:name w:val="AER numbered list"/>
    <w:uiPriority w:val="99"/>
    <w:rsid w:val="00FE706D"/>
    <w:pPr>
      <w:numPr>
        <w:numId w:val="12"/>
      </w:numPr>
    </w:pPr>
  </w:style>
  <w:style w:type="paragraph" w:customStyle="1" w:styleId="AERbodytextnospace">
    <w:name w:val="AER body text no space"/>
    <w:basedOn w:val="AERbodytext"/>
    <w:qFormat/>
    <w:rsid w:val="00FE706D"/>
    <w:pPr>
      <w:spacing w:after="0"/>
    </w:pPr>
  </w:style>
  <w:style w:type="paragraph" w:customStyle="1" w:styleId="AERnumberedlist2first">
    <w:name w:val="AER numbered list 2 first"/>
    <w:basedOn w:val="AERbodytext"/>
    <w:qFormat/>
    <w:rsid w:val="00FE706D"/>
    <w:pPr>
      <w:numPr>
        <w:ilvl w:val="4"/>
      </w:numPr>
    </w:pPr>
  </w:style>
  <w:style w:type="paragraph" w:customStyle="1" w:styleId="AERnumberedlist2second">
    <w:name w:val="AER numbered list 2 second"/>
    <w:basedOn w:val="AERnumberedlist2first"/>
    <w:qFormat/>
    <w:rsid w:val="00FE706D"/>
    <w:pPr>
      <w:numPr>
        <w:ilvl w:val="5"/>
      </w:numPr>
    </w:pPr>
  </w:style>
  <w:style w:type="paragraph" w:customStyle="1" w:styleId="AERnumberedlist2third">
    <w:name w:val="AER numbered list 2 third"/>
    <w:basedOn w:val="AERnumberedlist2second"/>
    <w:qFormat/>
    <w:rsid w:val="00FE706D"/>
    <w:pPr>
      <w:numPr>
        <w:ilvl w:val="6"/>
      </w:numPr>
    </w:pPr>
  </w:style>
  <w:style w:type="table" w:styleId="LightList">
    <w:name w:val="Light List"/>
    <w:basedOn w:val="TableNormal"/>
    <w:uiPriority w:val="61"/>
    <w:rsid w:val="00CE04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C53788E9.dotm</Template>
  <TotalTime>0</TotalTime>
  <Pages>18</Pages>
  <Words>5136</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2014-06-11T06:07:00Z</dcterms:created>
  <dcterms:modified xsi:type="dcterms:W3CDTF">2014-06-11T06:47:00Z</dcterms:modified>
</cp:coreProperties>
</file>