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46" w:rsidRDefault="00DD5607" w:rsidP="00E40C46">
      <w:bookmarkStart w:id="0" w:name="_GoBack"/>
      <w:bookmarkEnd w:id="0"/>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CCC-logo-BW" style="width:269.75pt;height:82.75pt;visibility:visible">
            <v:imagedata r:id="rId9" o:title="ACCC-logo-BW"/>
          </v:shape>
        </w:pict>
      </w:r>
    </w:p>
    <w:p w:rsidR="00E40C46" w:rsidRDefault="004A4600" w:rsidP="00E40C46">
      <w:pPr>
        <w:pStyle w:val="ACCCreporttitle1"/>
      </w:pPr>
      <w:r>
        <w:t xml:space="preserve">Guideline for </w:t>
      </w:r>
      <w:r w:rsidR="006F23B7">
        <w:t xml:space="preserve">quality of service monitoring </w:t>
      </w:r>
      <w:r>
        <w:t>at airports</w:t>
      </w:r>
    </w:p>
    <w:p w:rsidR="006F23B7" w:rsidRDefault="006F23B7" w:rsidP="006F23B7">
      <w:pPr>
        <w:pStyle w:val="ACCCreporttitle2"/>
      </w:pPr>
    </w:p>
    <w:p w:rsidR="00E40C46" w:rsidRDefault="006F23B7" w:rsidP="00E40C46">
      <w:pPr>
        <w:pStyle w:val="ACCCreportdate"/>
      </w:pPr>
      <w:r>
        <w:t xml:space="preserve">June </w:t>
      </w:r>
      <w:r w:rsidR="00687771">
        <w:t>2014</w:t>
      </w: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DD5607" w:rsidP="00E40C46">
      <w:pPr>
        <w:pStyle w:val="ACCCcopyrighttext"/>
      </w:pPr>
      <w:r>
        <w:rPr>
          <w:rFonts w:cs="Arial"/>
          <w:noProof/>
          <w:color w:val="0000FF"/>
          <w:lang w:eastAsia="en-AU"/>
        </w:rPr>
        <w:pict>
          <v:shape id="Picture 10" o:spid="_x0000_i1026" type="#_x0000_t75" style="width:93.5pt;height:1in;visibility:visible">
            <v:imagedata r:id="rId10" o:title=""/>
          </v:shape>
        </w:pict>
      </w:r>
    </w:p>
    <w:p w:rsidR="00E40C46" w:rsidRDefault="00E40C46" w:rsidP="00E40C46">
      <w:pPr>
        <w:pStyle w:val="ACCCcopyrighttext"/>
      </w:pPr>
    </w:p>
    <w:p w:rsidR="00E40C46" w:rsidRDefault="00E40C46" w:rsidP="00E40C46">
      <w:pPr>
        <w:pStyle w:val="ACCCcopyrighttext"/>
      </w:pPr>
      <w:r>
        <w:t>Australian Competition and Consumer Commission</w:t>
      </w:r>
    </w:p>
    <w:p w:rsidR="00E40C46" w:rsidRDefault="00E40C46" w:rsidP="00E40C46">
      <w:pPr>
        <w:pStyle w:val="ACCCcopyrighttext"/>
      </w:pPr>
      <w:r>
        <w:t>23 Marcus Clarke Street, Canberra, Australian Capital Territory, 2601</w:t>
      </w:r>
    </w:p>
    <w:p w:rsidR="00E40C46" w:rsidRDefault="00E40C46" w:rsidP="00E40C46">
      <w:pPr>
        <w:pStyle w:val="ACCCcopyrighttext"/>
      </w:pPr>
    </w:p>
    <w:p w:rsidR="00E40C46" w:rsidRDefault="00E40C46" w:rsidP="00E40C46">
      <w:pPr>
        <w:pStyle w:val="ACCCcopyrighttext"/>
      </w:pPr>
      <w:r>
        <w:rPr>
          <w:rFonts w:cs="Arial"/>
        </w:rPr>
        <w:t>©</w:t>
      </w:r>
      <w:r>
        <w:t xml:space="preserve"> Commonwealth of Australia </w:t>
      </w:r>
      <w:r w:rsidRPr="00E13990">
        <w:t>201</w:t>
      </w:r>
      <w:r w:rsidR="00687771">
        <w:t>4</w:t>
      </w:r>
    </w:p>
    <w:p w:rsidR="00E40C46" w:rsidRDefault="00E40C46" w:rsidP="00E40C46">
      <w:pPr>
        <w:pStyle w:val="ACCCcopyrighttext"/>
      </w:pPr>
    </w:p>
    <w:p w:rsidR="005D54D4" w:rsidRDefault="00E40C46" w:rsidP="005D54D4">
      <w:pPr>
        <w:sectPr w:rsidR="005D54D4" w:rsidSect="00292A26">
          <w:footerReference w:type="default" r:id="rId11"/>
          <w:pgSz w:w="11906" w:h="16838"/>
          <w:pgMar w:top="1440" w:right="1729" w:bottom="1582" w:left="1729" w:header="709" w:footer="709" w:gutter="0"/>
          <w:pgNumType w:fmt="lowerRoman"/>
          <w:cols w:space="708"/>
          <w:docGrid w:linePitch="360"/>
        </w:sectPr>
      </w:pPr>
      <w:r w:rsidRPr="005D54D4">
        <w:t>This work is copyright. Apart from any use permitted by the Copyright Act 1968,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w:t>
      </w:r>
      <w:r>
        <w:t>.</w:t>
      </w:r>
      <w:bookmarkStart w:id="1" w:name="_Toc352926772"/>
      <w:bookmarkStart w:id="2" w:name="_Toc352671883"/>
    </w:p>
    <w:p w:rsidR="00A70A39" w:rsidRDefault="00A70A39" w:rsidP="005D54D4">
      <w:pPr>
        <w:pStyle w:val="Contentsheading"/>
      </w:pPr>
      <w:bookmarkStart w:id="3" w:name="_Toc356383805"/>
      <w:bookmarkStart w:id="4" w:name="_Toc359587361"/>
      <w:r>
        <w:lastRenderedPageBreak/>
        <w:t>Contents</w:t>
      </w:r>
      <w:bookmarkEnd w:id="1"/>
      <w:bookmarkEnd w:id="3"/>
      <w:bookmarkEnd w:id="4"/>
    </w:p>
    <w:p w:rsidR="00564935" w:rsidRPr="00717E41" w:rsidRDefault="007B28A8">
      <w:pPr>
        <w:pStyle w:val="TOC1"/>
        <w:rPr>
          <w:rFonts w:ascii="Calibri" w:eastAsia="Times New Roman" w:hAnsi="Calibri"/>
          <w:b w:val="0"/>
          <w:sz w:val="22"/>
          <w:lang w:eastAsia="en-AU"/>
        </w:rPr>
      </w:pPr>
      <w:r>
        <w:fldChar w:fldCharType="begin"/>
      </w:r>
      <w:r w:rsidR="00A20E5A">
        <w:instrText xml:space="preserve"> TOC \h \z \t "Numbered heading 1,1,Numbered heading 2,2,Non-numbered heading 1,1,Non-numbered heading 2,2,Contents heading,1,Glossary heading,1,Summary heading,1,Appendix heading 1,1,Appendix heading 2,2" </w:instrText>
      </w:r>
      <w:r>
        <w:fldChar w:fldCharType="separate"/>
      </w:r>
      <w:hyperlink w:anchor="_Toc359587361" w:history="1">
        <w:r w:rsidR="00564935" w:rsidRPr="00305655">
          <w:rPr>
            <w:rStyle w:val="Hyperlink"/>
          </w:rPr>
          <w:t>Contents</w:t>
        </w:r>
        <w:r w:rsidR="00564935">
          <w:rPr>
            <w:webHidden/>
          </w:rPr>
          <w:tab/>
        </w:r>
        <w:r w:rsidR="00564935">
          <w:rPr>
            <w:webHidden/>
          </w:rPr>
          <w:fldChar w:fldCharType="begin"/>
        </w:r>
        <w:r w:rsidR="00564935">
          <w:rPr>
            <w:webHidden/>
          </w:rPr>
          <w:instrText xml:space="preserve"> PAGEREF _Toc359587361 \h </w:instrText>
        </w:r>
        <w:r w:rsidR="00564935">
          <w:rPr>
            <w:webHidden/>
          </w:rPr>
        </w:r>
        <w:r w:rsidR="00564935">
          <w:rPr>
            <w:webHidden/>
          </w:rPr>
          <w:fldChar w:fldCharType="separate"/>
        </w:r>
        <w:r w:rsidR="004D42D1">
          <w:rPr>
            <w:webHidden/>
          </w:rPr>
          <w:t>iii</w:t>
        </w:r>
        <w:r w:rsidR="00564935">
          <w:rPr>
            <w:webHidden/>
          </w:rPr>
          <w:fldChar w:fldCharType="end"/>
        </w:r>
      </w:hyperlink>
    </w:p>
    <w:p w:rsidR="00564935" w:rsidRPr="00717E41" w:rsidRDefault="00DD5607">
      <w:pPr>
        <w:pStyle w:val="TOC1"/>
        <w:rPr>
          <w:rFonts w:ascii="Calibri" w:eastAsia="Times New Roman" w:hAnsi="Calibri"/>
          <w:b w:val="0"/>
          <w:sz w:val="22"/>
          <w:lang w:eastAsia="en-AU"/>
        </w:rPr>
      </w:pPr>
      <w:hyperlink w:anchor="_Toc359587362" w:history="1">
        <w:r w:rsidR="00564935" w:rsidRPr="00305655">
          <w:rPr>
            <w:rStyle w:val="Hyperlink"/>
          </w:rPr>
          <w:t>Glossary and abbreviations</w:t>
        </w:r>
        <w:r w:rsidR="00564935">
          <w:rPr>
            <w:webHidden/>
          </w:rPr>
          <w:tab/>
        </w:r>
        <w:r w:rsidR="00564935">
          <w:rPr>
            <w:webHidden/>
          </w:rPr>
          <w:fldChar w:fldCharType="begin"/>
        </w:r>
        <w:r w:rsidR="00564935">
          <w:rPr>
            <w:webHidden/>
          </w:rPr>
          <w:instrText xml:space="preserve"> PAGEREF _Toc359587362 \h </w:instrText>
        </w:r>
        <w:r w:rsidR="00564935">
          <w:rPr>
            <w:webHidden/>
          </w:rPr>
        </w:r>
        <w:r w:rsidR="00564935">
          <w:rPr>
            <w:webHidden/>
          </w:rPr>
          <w:fldChar w:fldCharType="separate"/>
        </w:r>
        <w:r w:rsidR="004D42D1">
          <w:rPr>
            <w:webHidden/>
          </w:rPr>
          <w:t>iv</w:t>
        </w:r>
        <w:r w:rsidR="00564935">
          <w:rPr>
            <w:webHidden/>
          </w:rPr>
          <w:fldChar w:fldCharType="end"/>
        </w:r>
      </w:hyperlink>
    </w:p>
    <w:p w:rsidR="00564935" w:rsidRPr="00717E41" w:rsidRDefault="00DD5607">
      <w:pPr>
        <w:pStyle w:val="TOC1"/>
        <w:rPr>
          <w:rFonts w:ascii="Calibri" w:eastAsia="Times New Roman" w:hAnsi="Calibri"/>
          <w:b w:val="0"/>
          <w:sz w:val="22"/>
          <w:lang w:eastAsia="en-AU"/>
        </w:rPr>
      </w:pPr>
      <w:hyperlink w:anchor="_Toc359587363" w:history="1">
        <w:r w:rsidR="00564935" w:rsidRPr="00305655">
          <w:rPr>
            <w:rStyle w:val="Hyperlink"/>
          </w:rPr>
          <w:t>1</w:t>
        </w:r>
        <w:r w:rsidR="00564935" w:rsidRPr="00717E41">
          <w:rPr>
            <w:rFonts w:ascii="Calibri" w:eastAsia="Times New Roman" w:hAnsi="Calibri"/>
            <w:b w:val="0"/>
            <w:sz w:val="22"/>
            <w:lang w:eastAsia="en-AU"/>
          </w:rPr>
          <w:tab/>
        </w:r>
        <w:r w:rsidR="00564935" w:rsidRPr="00305655">
          <w:rPr>
            <w:rStyle w:val="Hyperlink"/>
          </w:rPr>
          <w:t>Introduction</w:t>
        </w:r>
        <w:r w:rsidR="00564935">
          <w:rPr>
            <w:webHidden/>
          </w:rPr>
          <w:tab/>
        </w:r>
        <w:r w:rsidR="00564935">
          <w:rPr>
            <w:webHidden/>
          </w:rPr>
          <w:fldChar w:fldCharType="begin"/>
        </w:r>
        <w:r w:rsidR="00564935">
          <w:rPr>
            <w:webHidden/>
          </w:rPr>
          <w:instrText xml:space="preserve"> PAGEREF _Toc359587363 \h </w:instrText>
        </w:r>
        <w:r w:rsidR="00564935">
          <w:rPr>
            <w:webHidden/>
          </w:rPr>
        </w:r>
        <w:r w:rsidR="00564935">
          <w:rPr>
            <w:webHidden/>
          </w:rPr>
          <w:fldChar w:fldCharType="separate"/>
        </w:r>
        <w:r w:rsidR="004D42D1">
          <w:rPr>
            <w:webHidden/>
          </w:rPr>
          <w:t>1</w:t>
        </w:r>
        <w:r w:rsidR="00564935">
          <w:rPr>
            <w:webHidden/>
          </w:rPr>
          <w:fldChar w:fldCharType="end"/>
        </w:r>
      </w:hyperlink>
    </w:p>
    <w:p w:rsidR="00564935" w:rsidRPr="00717E41" w:rsidRDefault="00DD5607">
      <w:pPr>
        <w:pStyle w:val="TOC2"/>
        <w:rPr>
          <w:rFonts w:ascii="Calibri" w:eastAsia="Times New Roman" w:hAnsi="Calibri"/>
          <w:sz w:val="22"/>
          <w:lang w:eastAsia="en-AU"/>
        </w:rPr>
      </w:pPr>
      <w:hyperlink w:anchor="_Toc359587364" w:history="1">
        <w:r w:rsidR="00564935" w:rsidRPr="00305655">
          <w:rPr>
            <w:rStyle w:val="Hyperlink"/>
          </w:rPr>
          <w:t>1.1</w:t>
        </w:r>
        <w:r w:rsidR="00564935" w:rsidRPr="00717E41">
          <w:rPr>
            <w:rFonts w:ascii="Calibri" w:eastAsia="Times New Roman" w:hAnsi="Calibri"/>
            <w:sz w:val="22"/>
            <w:lang w:eastAsia="en-AU"/>
          </w:rPr>
          <w:tab/>
        </w:r>
        <w:r w:rsidR="00564935" w:rsidRPr="00305655">
          <w:rPr>
            <w:rStyle w:val="Hyperlink"/>
          </w:rPr>
          <w:t>Implementation of this guideline</w:t>
        </w:r>
        <w:r w:rsidR="00564935">
          <w:rPr>
            <w:webHidden/>
          </w:rPr>
          <w:tab/>
        </w:r>
        <w:r w:rsidR="00564935">
          <w:rPr>
            <w:webHidden/>
          </w:rPr>
          <w:fldChar w:fldCharType="begin"/>
        </w:r>
        <w:r w:rsidR="00564935">
          <w:rPr>
            <w:webHidden/>
          </w:rPr>
          <w:instrText xml:space="preserve"> PAGEREF _Toc359587364 \h </w:instrText>
        </w:r>
        <w:r w:rsidR="00564935">
          <w:rPr>
            <w:webHidden/>
          </w:rPr>
        </w:r>
        <w:r w:rsidR="00564935">
          <w:rPr>
            <w:webHidden/>
          </w:rPr>
          <w:fldChar w:fldCharType="separate"/>
        </w:r>
        <w:r w:rsidR="004D42D1">
          <w:rPr>
            <w:webHidden/>
          </w:rPr>
          <w:t>1</w:t>
        </w:r>
        <w:r w:rsidR="00564935">
          <w:rPr>
            <w:webHidden/>
          </w:rPr>
          <w:fldChar w:fldCharType="end"/>
        </w:r>
      </w:hyperlink>
    </w:p>
    <w:p w:rsidR="00564935" w:rsidRPr="00717E41" w:rsidRDefault="00DD5607">
      <w:pPr>
        <w:pStyle w:val="TOC2"/>
        <w:rPr>
          <w:rFonts w:ascii="Calibri" w:eastAsia="Times New Roman" w:hAnsi="Calibri"/>
          <w:sz w:val="22"/>
          <w:lang w:eastAsia="en-AU"/>
        </w:rPr>
      </w:pPr>
      <w:hyperlink w:anchor="_Toc359587365" w:history="1">
        <w:r w:rsidR="00564935" w:rsidRPr="00305655">
          <w:rPr>
            <w:rStyle w:val="Hyperlink"/>
          </w:rPr>
          <w:t>1.2</w:t>
        </w:r>
        <w:r w:rsidR="00564935" w:rsidRPr="00717E41">
          <w:rPr>
            <w:rFonts w:ascii="Calibri" w:eastAsia="Times New Roman" w:hAnsi="Calibri"/>
            <w:sz w:val="22"/>
            <w:lang w:eastAsia="en-AU"/>
          </w:rPr>
          <w:tab/>
        </w:r>
        <w:r w:rsidR="00564935" w:rsidRPr="00305655">
          <w:rPr>
            <w:rStyle w:val="Hyperlink"/>
          </w:rPr>
          <w:t>Background to the ACCC’s quality of service monitoring program</w:t>
        </w:r>
        <w:r w:rsidR="00564935">
          <w:rPr>
            <w:webHidden/>
          </w:rPr>
          <w:tab/>
        </w:r>
        <w:r w:rsidR="00564935">
          <w:rPr>
            <w:webHidden/>
          </w:rPr>
          <w:fldChar w:fldCharType="begin"/>
        </w:r>
        <w:r w:rsidR="00564935">
          <w:rPr>
            <w:webHidden/>
          </w:rPr>
          <w:instrText xml:space="preserve"> PAGEREF _Toc359587365 \h </w:instrText>
        </w:r>
        <w:r w:rsidR="00564935">
          <w:rPr>
            <w:webHidden/>
          </w:rPr>
        </w:r>
        <w:r w:rsidR="00564935">
          <w:rPr>
            <w:webHidden/>
          </w:rPr>
          <w:fldChar w:fldCharType="separate"/>
        </w:r>
        <w:r w:rsidR="004D42D1">
          <w:rPr>
            <w:webHidden/>
          </w:rPr>
          <w:t>2</w:t>
        </w:r>
        <w:r w:rsidR="00564935">
          <w:rPr>
            <w:webHidden/>
          </w:rPr>
          <w:fldChar w:fldCharType="end"/>
        </w:r>
      </w:hyperlink>
    </w:p>
    <w:p w:rsidR="00564935" w:rsidRPr="00717E41" w:rsidRDefault="00DD5607">
      <w:pPr>
        <w:pStyle w:val="TOC1"/>
        <w:rPr>
          <w:rFonts w:ascii="Calibri" w:eastAsia="Times New Roman" w:hAnsi="Calibri"/>
          <w:b w:val="0"/>
          <w:sz w:val="22"/>
          <w:lang w:eastAsia="en-AU"/>
        </w:rPr>
      </w:pPr>
      <w:hyperlink w:anchor="_Toc359587366" w:history="1">
        <w:r w:rsidR="00564935" w:rsidRPr="00305655">
          <w:rPr>
            <w:rStyle w:val="Hyperlink"/>
          </w:rPr>
          <w:t>2</w:t>
        </w:r>
        <w:r w:rsidR="00564935" w:rsidRPr="00717E41">
          <w:rPr>
            <w:rFonts w:ascii="Calibri" w:eastAsia="Times New Roman" w:hAnsi="Calibri"/>
            <w:b w:val="0"/>
            <w:sz w:val="22"/>
            <w:lang w:eastAsia="en-AU"/>
          </w:rPr>
          <w:tab/>
        </w:r>
        <w:r w:rsidR="00564935" w:rsidRPr="00305655">
          <w:rPr>
            <w:rStyle w:val="Hyperlink"/>
          </w:rPr>
          <w:t>The Airports Act and Airports Regulations</w:t>
        </w:r>
        <w:r w:rsidR="00564935">
          <w:rPr>
            <w:webHidden/>
          </w:rPr>
          <w:tab/>
        </w:r>
        <w:r w:rsidR="00564935">
          <w:rPr>
            <w:webHidden/>
          </w:rPr>
          <w:fldChar w:fldCharType="begin"/>
        </w:r>
        <w:r w:rsidR="00564935">
          <w:rPr>
            <w:webHidden/>
          </w:rPr>
          <w:instrText xml:space="preserve"> PAGEREF _Toc359587366 \h </w:instrText>
        </w:r>
        <w:r w:rsidR="00564935">
          <w:rPr>
            <w:webHidden/>
          </w:rPr>
        </w:r>
        <w:r w:rsidR="00564935">
          <w:rPr>
            <w:webHidden/>
          </w:rPr>
          <w:fldChar w:fldCharType="separate"/>
        </w:r>
        <w:r w:rsidR="004D42D1">
          <w:rPr>
            <w:webHidden/>
          </w:rPr>
          <w:t>4</w:t>
        </w:r>
        <w:r w:rsidR="00564935">
          <w:rPr>
            <w:webHidden/>
          </w:rPr>
          <w:fldChar w:fldCharType="end"/>
        </w:r>
      </w:hyperlink>
    </w:p>
    <w:p w:rsidR="00564935" w:rsidRPr="00717E41" w:rsidRDefault="00DD5607">
      <w:pPr>
        <w:pStyle w:val="TOC1"/>
        <w:rPr>
          <w:rFonts w:ascii="Calibri" w:eastAsia="Times New Roman" w:hAnsi="Calibri"/>
          <w:b w:val="0"/>
          <w:sz w:val="22"/>
          <w:lang w:eastAsia="en-AU"/>
        </w:rPr>
      </w:pPr>
      <w:hyperlink w:anchor="_Toc359587367" w:history="1">
        <w:r w:rsidR="00564935" w:rsidRPr="00305655">
          <w:rPr>
            <w:rStyle w:val="Hyperlink"/>
          </w:rPr>
          <w:t>3</w:t>
        </w:r>
        <w:r w:rsidR="00564935" w:rsidRPr="00717E41">
          <w:rPr>
            <w:rFonts w:ascii="Calibri" w:eastAsia="Times New Roman" w:hAnsi="Calibri"/>
            <w:b w:val="0"/>
            <w:sz w:val="22"/>
            <w:lang w:eastAsia="en-AU"/>
          </w:rPr>
          <w:tab/>
        </w:r>
        <w:r w:rsidR="00564935" w:rsidRPr="00305655">
          <w:rPr>
            <w:rStyle w:val="Hyperlink"/>
          </w:rPr>
          <w:t>The ACCC’s approach to quality of service monitoring</w:t>
        </w:r>
        <w:r w:rsidR="00564935">
          <w:rPr>
            <w:webHidden/>
          </w:rPr>
          <w:tab/>
        </w:r>
        <w:r w:rsidR="00564935">
          <w:rPr>
            <w:webHidden/>
          </w:rPr>
          <w:fldChar w:fldCharType="begin"/>
        </w:r>
        <w:r w:rsidR="00564935">
          <w:rPr>
            <w:webHidden/>
          </w:rPr>
          <w:instrText xml:space="preserve"> PAGEREF _Toc359587367 \h </w:instrText>
        </w:r>
        <w:r w:rsidR="00564935">
          <w:rPr>
            <w:webHidden/>
          </w:rPr>
        </w:r>
        <w:r w:rsidR="00564935">
          <w:rPr>
            <w:webHidden/>
          </w:rPr>
          <w:fldChar w:fldCharType="separate"/>
        </w:r>
        <w:r w:rsidR="004D42D1">
          <w:rPr>
            <w:webHidden/>
          </w:rPr>
          <w:t>5</w:t>
        </w:r>
        <w:r w:rsidR="00564935">
          <w:rPr>
            <w:webHidden/>
          </w:rPr>
          <w:fldChar w:fldCharType="end"/>
        </w:r>
      </w:hyperlink>
    </w:p>
    <w:p w:rsidR="00564935" w:rsidRPr="00717E41" w:rsidRDefault="00DD5607">
      <w:pPr>
        <w:pStyle w:val="TOC2"/>
        <w:rPr>
          <w:rFonts w:ascii="Calibri" w:eastAsia="Times New Roman" w:hAnsi="Calibri"/>
          <w:sz w:val="22"/>
          <w:lang w:eastAsia="en-AU"/>
        </w:rPr>
      </w:pPr>
      <w:hyperlink w:anchor="_Toc359587368" w:history="1">
        <w:r w:rsidR="00564935" w:rsidRPr="00305655">
          <w:rPr>
            <w:rStyle w:val="Hyperlink"/>
          </w:rPr>
          <w:t>3.1</w:t>
        </w:r>
        <w:r w:rsidR="00564935" w:rsidRPr="00717E41">
          <w:rPr>
            <w:rFonts w:ascii="Calibri" w:eastAsia="Times New Roman" w:hAnsi="Calibri"/>
            <w:sz w:val="22"/>
            <w:lang w:eastAsia="en-AU"/>
          </w:rPr>
          <w:tab/>
        </w:r>
        <w:r w:rsidR="00564935" w:rsidRPr="00305655">
          <w:rPr>
            <w:rStyle w:val="Hyperlink"/>
          </w:rPr>
          <w:t>Objectives of quality of service monitoring</w:t>
        </w:r>
        <w:r w:rsidR="00564935">
          <w:rPr>
            <w:webHidden/>
          </w:rPr>
          <w:tab/>
        </w:r>
        <w:r w:rsidR="00564935">
          <w:rPr>
            <w:webHidden/>
          </w:rPr>
          <w:fldChar w:fldCharType="begin"/>
        </w:r>
        <w:r w:rsidR="00564935">
          <w:rPr>
            <w:webHidden/>
          </w:rPr>
          <w:instrText xml:space="preserve"> PAGEREF _Toc359587368 \h </w:instrText>
        </w:r>
        <w:r w:rsidR="00564935">
          <w:rPr>
            <w:webHidden/>
          </w:rPr>
        </w:r>
        <w:r w:rsidR="00564935">
          <w:rPr>
            <w:webHidden/>
          </w:rPr>
          <w:fldChar w:fldCharType="separate"/>
        </w:r>
        <w:r w:rsidR="004D42D1">
          <w:rPr>
            <w:webHidden/>
          </w:rPr>
          <w:t>5</w:t>
        </w:r>
        <w:r w:rsidR="00564935">
          <w:rPr>
            <w:webHidden/>
          </w:rPr>
          <w:fldChar w:fldCharType="end"/>
        </w:r>
      </w:hyperlink>
    </w:p>
    <w:p w:rsidR="00564935" w:rsidRPr="00717E41" w:rsidRDefault="00DD5607">
      <w:pPr>
        <w:pStyle w:val="TOC2"/>
        <w:rPr>
          <w:rFonts w:ascii="Calibri" w:eastAsia="Times New Roman" w:hAnsi="Calibri"/>
          <w:sz w:val="22"/>
          <w:lang w:eastAsia="en-AU"/>
        </w:rPr>
      </w:pPr>
      <w:hyperlink w:anchor="_Toc359587369" w:history="1">
        <w:r w:rsidR="00564935" w:rsidRPr="00305655">
          <w:rPr>
            <w:rStyle w:val="Hyperlink"/>
          </w:rPr>
          <w:t>3.2</w:t>
        </w:r>
        <w:r w:rsidR="00564935" w:rsidRPr="00717E41">
          <w:rPr>
            <w:rFonts w:ascii="Calibri" w:eastAsia="Times New Roman" w:hAnsi="Calibri"/>
            <w:sz w:val="22"/>
            <w:lang w:eastAsia="en-AU"/>
          </w:rPr>
          <w:tab/>
        </w:r>
        <w:r w:rsidR="00564935" w:rsidRPr="00305655">
          <w:rPr>
            <w:rStyle w:val="Hyperlink"/>
          </w:rPr>
          <w:t>The ACCC’s process in quality of service monitoring</w:t>
        </w:r>
        <w:r w:rsidR="00564935">
          <w:rPr>
            <w:webHidden/>
          </w:rPr>
          <w:tab/>
        </w:r>
        <w:r w:rsidR="00564935">
          <w:rPr>
            <w:webHidden/>
          </w:rPr>
          <w:fldChar w:fldCharType="begin"/>
        </w:r>
        <w:r w:rsidR="00564935">
          <w:rPr>
            <w:webHidden/>
          </w:rPr>
          <w:instrText xml:space="preserve"> PAGEREF _Toc359587369 \h </w:instrText>
        </w:r>
        <w:r w:rsidR="00564935">
          <w:rPr>
            <w:webHidden/>
          </w:rPr>
        </w:r>
        <w:r w:rsidR="00564935">
          <w:rPr>
            <w:webHidden/>
          </w:rPr>
          <w:fldChar w:fldCharType="separate"/>
        </w:r>
        <w:r w:rsidR="004D42D1">
          <w:rPr>
            <w:webHidden/>
          </w:rPr>
          <w:t>5</w:t>
        </w:r>
        <w:r w:rsidR="00564935">
          <w:rPr>
            <w:webHidden/>
          </w:rPr>
          <w:fldChar w:fldCharType="end"/>
        </w:r>
      </w:hyperlink>
    </w:p>
    <w:p w:rsidR="00564935" w:rsidRPr="00717E41" w:rsidRDefault="00DD5607">
      <w:pPr>
        <w:pStyle w:val="TOC1"/>
        <w:rPr>
          <w:rFonts w:ascii="Calibri" w:eastAsia="Times New Roman" w:hAnsi="Calibri"/>
          <w:b w:val="0"/>
          <w:sz w:val="22"/>
          <w:lang w:eastAsia="en-AU"/>
        </w:rPr>
      </w:pPr>
      <w:hyperlink w:anchor="_Toc359587370" w:history="1">
        <w:r w:rsidR="00564935" w:rsidRPr="00305655">
          <w:rPr>
            <w:rStyle w:val="Hyperlink"/>
          </w:rPr>
          <w:t>4</w:t>
        </w:r>
        <w:r w:rsidR="00564935" w:rsidRPr="00717E41">
          <w:rPr>
            <w:rFonts w:ascii="Calibri" w:eastAsia="Times New Roman" w:hAnsi="Calibri"/>
            <w:b w:val="0"/>
            <w:sz w:val="22"/>
            <w:lang w:eastAsia="en-AU"/>
          </w:rPr>
          <w:tab/>
        </w:r>
        <w:r w:rsidR="00564935" w:rsidRPr="00305655">
          <w:rPr>
            <w:rStyle w:val="Hyperlink"/>
          </w:rPr>
          <w:t>ACCC’s information requests</w:t>
        </w:r>
        <w:r w:rsidR="00564935">
          <w:rPr>
            <w:webHidden/>
          </w:rPr>
          <w:tab/>
        </w:r>
        <w:r w:rsidR="00564935">
          <w:rPr>
            <w:webHidden/>
          </w:rPr>
          <w:fldChar w:fldCharType="begin"/>
        </w:r>
        <w:r w:rsidR="00564935">
          <w:rPr>
            <w:webHidden/>
          </w:rPr>
          <w:instrText xml:space="preserve"> PAGEREF _Toc359587370 \h </w:instrText>
        </w:r>
        <w:r w:rsidR="00564935">
          <w:rPr>
            <w:webHidden/>
          </w:rPr>
        </w:r>
        <w:r w:rsidR="00564935">
          <w:rPr>
            <w:webHidden/>
          </w:rPr>
          <w:fldChar w:fldCharType="separate"/>
        </w:r>
        <w:r w:rsidR="004D42D1">
          <w:rPr>
            <w:webHidden/>
          </w:rPr>
          <w:t>7</w:t>
        </w:r>
        <w:r w:rsidR="00564935">
          <w:rPr>
            <w:webHidden/>
          </w:rPr>
          <w:fldChar w:fldCharType="end"/>
        </w:r>
      </w:hyperlink>
    </w:p>
    <w:p w:rsidR="00564935" w:rsidRPr="00717E41" w:rsidRDefault="00DD5607">
      <w:pPr>
        <w:pStyle w:val="TOC2"/>
        <w:rPr>
          <w:rFonts w:ascii="Calibri" w:eastAsia="Times New Roman" w:hAnsi="Calibri"/>
          <w:sz w:val="22"/>
          <w:lang w:eastAsia="en-AU"/>
        </w:rPr>
      </w:pPr>
      <w:hyperlink w:anchor="_Toc359587371" w:history="1">
        <w:r w:rsidR="00564935" w:rsidRPr="00305655">
          <w:rPr>
            <w:rStyle w:val="Hyperlink"/>
          </w:rPr>
          <w:t>4.1</w:t>
        </w:r>
        <w:r w:rsidR="00564935" w:rsidRPr="00717E41">
          <w:rPr>
            <w:rFonts w:ascii="Calibri" w:eastAsia="Times New Roman" w:hAnsi="Calibri"/>
            <w:sz w:val="22"/>
            <w:lang w:eastAsia="en-AU"/>
          </w:rPr>
          <w:tab/>
        </w:r>
        <w:r w:rsidR="00564935" w:rsidRPr="00305655">
          <w:rPr>
            <w:rStyle w:val="Hyperlink"/>
          </w:rPr>
          <w:t>Objective and subjective data collection from airport operators</w:t>
        </w:r>
        <w:r w:rsidR="00564935">
          <w:rPr>
            <w:webHidden/>
          </w:rPr>
          <w:tab/>
        </w:r>
        <w:r w:rsidR="00564935">
          <w:rPr>
            <w:webHidden/>
          </w:rPr>
          <w:fldChar w:fldCharType="begin"/>
        </w:r>
        <w:r w:rsidR="00564935">
          <w:rPr>
            <w:webHidden/>
          </w:rPr>
          <w:instrText xml:space="preserve"> PAGEREF _Toc359587371 \h </w:instrText>
        </w:r>
        <w:r w:rsidR="00564935">
          <w:rPr>
            <w:webHidden/>
          </w:rPr>
        </w:r>
        <w:r w:rsidR="00564935">
          <w:rPr>
            <w:webHidden/>
          </w:rPr>
          <w:fldChar w:fldCharType="separate"/>
        </w:r>
        <w:r w:rsidR="004D42D1">
          <w:rPr>
            <w:webHidden/>
          </w:rPr>
          <w:t>7</w:t>
        </w:r>
        <w:r w:rsidR="00564935">
          <w:rPr>
            <w:webHidden/>
          </w:rPr>
          <w:fldChar w:fldCharType="end"/>
        </w:r>
      </w:hyperlink>
    </w:p>
    <w:p w:rsidR="00564935" w:rsidRPr="00717E41" w:rsidRDefault="00DD5607">
      <w:pPr>
        <w:pStyle w:val="TOC2"/>
        <w:rPr>
          <w:rFonts w:ascii="Calibri" w:eastAsia="Times New Roman" w:hAnsi="Calibri"/>
          <w:sz w:val="22"/>
          <w:lang w:eastAsia="en-AU"/>
        </w:rPr>
      </w:pPr>
      <w:hyperlink w:anchor="_Toc359587372" w:history="1">
        <w:r w:rsidR="00564935" w:rsidRPr="00305655">
          <w:rPr>
            <w:rStyle w:val="Hyperlink"/>
          </w:rPr>
          <w:t>4.2</w:t>
        </w:r>
        <w:r w:rsidR="00564935" w:rsidRPr="00717E41">
          <w:rPr>
            <w:rFonts w:ascii="Calibri" w:eastAsia="Times New Roman" w:hAnsi="Calibri"/>
            <w:sz w:val="22"/>
            <w:lang w:eastAsia="en-AU"/>
          </w:rPr>
          <w:tab/>
        </w:r>
        <w:r w:rsidR="00564935" w:rsidRPr="00305655">
          <w:rPr>
            <w:rStyle w:val="Hyperlink"/>
          </w:rPr>
          <w:t>Subjective data collected from airport users</w:t>
        </w:r>
        <w:r w:rsidR="00564935">
          <w:rPr>
            <w:webHidden/>
          </w:rPr>
          <w:tab/>
        </w:r>
        <w:r w:rsidR="00564935">
          <w:rPr>
            <w:webHidden/>
          </w:rPr>
          <w:fldChar w:fldCharType="begin"/>
        </w:r>
        <w:r w:rsidR="00564935">
          <w:rPr>
            <w:webHidden/>
          </w:rPr>
          <w:instrText xml:space="preserve"> PAGEREF _Toc359587372 \h </w:instrText>
        </w:r>
        <w:r w:rsidR="00564935">
          <w:rPr>
            <w:webHidden/>
          </w:rPr>
        </w:r>
        <w:r w:rsidR="00564935">
          <w:rPr>
            <w:webHidden/>
          </w:rPr>
          <w:fldChar w:fldCharType="separate"/>
        </w:r>
        <w:r w:rsidR="004D42D1">
          <w:rPr>
            <w:webHidden/>
          </w:rPr>
          <w:t>8</w:t>
        </w:r>
        <w:r w:rsidR="00564935">
          <w:rPr>
            <w:webHidden/>
          </w:rPr>
          <w:fldChar w:fldCharType="end"/>
        </w:r>
      </w:hyperlink>
    </w:p>
    <w:p w:rsidR="00564935" w:rsidRPr="00717E41" w:rsidRDefault="00DD5607">
      <w:pPr>
        <w:pStyle w:val="TOC1"/>
        <w:rPr>
          <w:rFonts w:ascii="Calibri" w:eastAsia="Times New Roman" w:hAnsi="Calibri"/>
          <w:b w:val="0"/>
          <w:sz w:val="22"/>
          <w:lang w:eastAsia="en-AU"/>
        </w:rPr>
      </w:pPr>
      <w:hyperlink w:anchor="_Toc359587373" w:history="1">
        <w:r w:rsidR="00564935" w:rsidRPr="00305655">
          <w:rPr>
            <w:rStyle w:val="Hyperlink"/>
          </w:rPr>
          <w:t>5</w:t>
        </w:r>
        <w:r w:rsidR="00564935" w:rsidRPr="00717E41">
          <w:rPr>
            <w:rFonts w:ascii="Calibri" w:eastAsia="Times New Roman" w:hAnsi="Calibri"/>
            <w:b w:val="0"/>
            <w:sz w:val="22"/>
            <w:lang w:eastAsia="en-AU"/>
          </w:rPr>
          <w:tab/>
        </w:r>
        <w:r w:rsidR="00564935" w:rsidRPr="00305655">
          <w:rPr>
            <w:rStyle w:val="Hyperlink"/>
          </w:rPr>
          <w:t>Reporting on the results of quality of service monitoring</w:t>
        </w:r>
        <w:r w:rsidR="00564935">
          <w:rPr>
            <w:webHidden/>
          </w:rPr>
          <w:tab/>
        </w:r>
        <w:r w:rsidR="00564935">
          <w:rPr>
            <w:webHidden/>
          </w:rPr>
          <w:fldChar w:fldCharType="begin"/>
        </w:r>
        <w:r w:rsidR="00564935">
          <w:rPr>
            <w:webHidden/>
          </w:rPr>
          <w:instrText xml:space="preserve"> PAGEREF _Toc359587373 \h </w:instrText>
        </w:r>
        <w:r w:rsidR="00564935">
          <w:rPr>
            <w:webHidden/>
          </w:rPr>
        </w:r>
        <w:r w:rsidR="00564935">
          <w:rPr>
            <w:webHidden/>
          </w:rPr>
          <w:fldChar w:fldCharType="separate"/>
        </w:r>
        <w:r w:rsidR="004D42D1">
          <w:rPr>
            <w:webHidden/>
          </w:rPr>
          <w:t>10</w:t>
        </w:r>
        <w:r w:rsidR="00564935">
          <w:rPr>
            <w:webHidden/>
          </w:rPr>
          <w:fldChar w:fldCharType="end"/>
        </w:r>
      </w:hyperlink>
    </w:p>
    <w:p w:rsidR="00564935" w:rsidRPr="00717E41" w:rsidRDefault="00DD5607">
      <w:pPr>
        <w:pStyle w:val="TOC2"/>
        <w:rPr>
          <w:rFonts w:ascii="Calibri" w:eastAsia="Times New Roman" w:hAnsi="Calibri"/>
          <w:sz w:val="22"/>
          <w:lang w:eastAsia="en-AU"/>
        </w:rPr>
      </w:pPr>
      <w:hyperlink w:anchor="_Toc359587374" w:history="1">
        <w:r w:rsidR="00564935" w:rsidRPr="00305655">
          <w:rPr>
            <w:rStyle w:val="Hyperlink"/>
          </w:rPr>
          <w:t>5.1</w:t>
        </w:r>
        <w:r w:rsidR="00564935" w:rsidRPr="00717E41">
          <w:rPr>
            <w:rFonts w:ascii="Calibri" w:eastAsia="Times New Roman" w:hAnsi="Calibri"/>
            <w:sz w:val="22"/>
            <w:lang w:eastAsia="en-AU"/>
          </w:rPr>
          <w:tab/>
        </w:r>
        <w:r w:rsidR="00564935" w:rsidRPr="00305655">
          <w:rPr>
            <w:rStyle w:val="Hyperlink"/>
          </w:rPr>
          <w:t>Publication by the ACCC</w:t>
        </w:r>
        <w:r w:rsidR="00564935">
          <w:rPr>
            <w:webHidden/>
          </w:rPr>
          <w:tab/>
        </w:r>
        <w:r w:rsidR="00564935">
          <w:rPr>
            <w:webHidden/>
          </w:rPr>
          <w:fldChar w:fldCharType="begin"/>
        </w:r>
        <w:r w:rsidR="00564935">
          <w:rPr>
            <w:webHidden/>
          </w:rPr>
          <w:instrText xml:space="preserve"> PAGEREF _Toc359587374 \h </w:instrText>
        </w:r>
        <w:r w:rsidR="00564935">
          <w:rPr>
            <w:webHidden/>
          </w:rPr>
        </w:r>
        <w:r w:rsidR="00564935">
          <w:rPr>
            <w:webHidden/>
          </w:rPr>
          <w:fldChar w:fldCharType="separate"/>
        </w:r>
        <w:r w:rsidR="004D42D1">
          <w:rPr>
            <w:webHidden/>
          </w:rPr>
          <w:t>10</w:t>
        </w:r>
        <w:r w:rsidR="00564935">
          <w:rPr>
            <w:webHidden/>
          </w:rPr>
          <w:fldChar w:fldCharType="end"/>
        </w:r>
      </w:hyperlink>
    </w:p>
    <w:p w:rsidR="00564935" w:rsidRPr="00717E41" w:rsidRDefault="00DD5607">
      <w:pPr>
        <w:pStyle w:val="TOC2"/>
        <w:rPr>
          <w:rFonts w:ascii="Calibri" w:eastAsia="Times New Roman" w:hAnsi="Calibri"/>
          <w:sz w:val="22"/>
          <w:lang w:eastAsia="en-AU"/>
        </w:rPr>
      </w:pPr>
      <w:hyperlink w:anchor="_Toc359587375" w:history="1">
        <w:r w:rsidR="00564935" w:rsidRPr="00305655">
          <w:rPr>
            <w:rStyle w:val="Hyperlink"/>
          </w:rPr>
          <w:t>5.2</w:t>
        </w:r>
        <w:r w:rsidR="00564935" w:rsidRPr="00717E41">
          <w:rPr>
            <w:rFonts w:ascii="Calibri" w:eastAsia="Times New Roman" w:hAnsi="Calibri"/>
            <w:sz w:val="22"/>
            <w:lang w:eastAsia="en-AU"/>
          </w:rPr>
          <w:tab/>
        </w:r>
        <w:r w:rsidR="00564935" w:rsidRPr="00305655">
          <w:rPr>
            <w:rStyle w:val="Hyperlink"/>
          </w:rPr>
          <w:t>Confidentiality</w:t>
        </w:r>
        <w:r w:rsidR="00564935">
          <w:rPr>
            <w:webHidden/>
          </w:rPr>
          <w:tab/>
        </w:r>
        <w:r w:rsidR="00564935">
          <w:rPr>
            <w:webHidden/>
          </w:rPr>
          <w:fldChar w:fldCharType="begin"/>
        </w:r>
        <w:r w:rsidR="00564935">
          <w:rPr>
            <w:webHidden/>
          </w:rPr>
          <w:instrText xml:space="preserve"> PAGEREF _Toc359587375 \h </w:instrText>
        </w:r>
        <w:r w:rsidR="00564935">
          <w:rPr>
            <w:webHidden/>
          </w:rPr>
        </w:r>
        <w:r w:rsidR="00564935">
          <w:rPr>
            <w:webHidden/>
          </w:rPr>
          <w:fldChar w:fldCharType="separate"/>
        </w:r>
        <w:r w:rsidR="004D42D1">
          <w:rPr>
            <w:webHidden/>
          </w:rPr>
          <w:t>11</w:t>
        </w:r>
        <w:r w:rsidR="00564935">
          <w:rPr>
            <w:webHidden/>
          </w:rPr>
          <w:fldChar w:fldCharType="end"/>
        </w:r>
      </w:hyperlink>
    </w:p>
    <w:p w:rsidR="00564935" w:rsidRPr="00717E41" w:rsidRDefault="00DD5607">
      <w:pPr>
        <w:pStyle w:val="TOC1"/>
        <w:rPr>
          <w:rFonts w:ascii="Calibri" w:eastAsia="Times New Roman" w:hAnsi="Calibri"/>
          <w:b w:val="0"/>
          <w:sz w:val="22"/>
          <w:lang w:eastAsia="en-AU"/>
        </w:rPr>
      </w:pPr>
      <w:hyperlink w:anchor="_Toc359587376" w:history="1">
        <w:r w:rsidR="00564935" w:rsidRPr="00305655">
          <w:rPr>
            <w:rStyle w:val="Hyperlink"/>
          </w:rPr>
          <w:t>6</w:t>
        </w:r>
        <w:r w:rsidR="00564935" w:rsidRPr="00717E41">
          <w:rPr>
            <w:rFonts w:ascii="Calibri" w:eastAsia="Times New Roman" w:hAnsi="Calibri"/>
            <w:b w:val="0"/>
            <w:sz w:val="22"/>
            <w:lang w:eastAsia="en-AU"/>
          </w:rPr>
          <w:tab/>
        </w:r>
        <w:r w:rsidR="00564935" w:rsidRPr="00305655">
          <w:rPr>
            <w:rStyle w:val="Hyperlink"/>
          </w:rPr>
          <w:t>List of quality of service matters and criteria</w:t>
        </w:r>
        <w:r w:rsidR="00564935">
          <w:rPr>
            <w:webHidden/>
          </w:rPr>
          <w:tab/>
        </w:r>
        <w:r w:rsidR="00564935">
          <w:rPr>
            <w:webHidden/>
          </w:rPr>
          <w:fldChar w:fldCharType="begin"/>
        </w:r>
        <w:r w:rsidR="00564935">
          <w:rPr>
            <w:webHidden/>
          </w:rPr>
          <w:instrText xml:space="preserve"> PAGEREF _Toc359587376 \h </w:instrText>
        </w:r>
        <w:r w:rsidR="00564935">
          <w:rPr>
            <w:webHidden/>
          </w:rPr>
        </w:r>
        <w:r w:rsidR="00564935">
          <w:rPr>
            <w:webHidden/>
          </w:rPr>
          <w:fldChar w:fldCharType="separate"/>
        </w:r>
        <w:r w:rsidR="004D42D1">
          <w:rPr>
            <w:webHidden/>
          </w:rPr>
          <w:t>12</w:t>
        </w:r>
        <w:r w:rsidR="00564935">
          <w:rPr>
            <w:webHidden/>
          </w:rPr>
          <w:fldChar w:fldCharType="end"/>
        </w:r>
      </w:hyperlink>
    </w:p>
    <w:p w:rsidR="00A20E5A" w:rsidRDefault="007B28A8" w:rsidP="00A20E5A">
      <w:r>
        <w:fldChar w:fldCharType="end"/>
      </w:r>
    </w:p>
    <w:p w:rsidR="00A70A39" w:rsidRDefault="00A70A39" w:rsidP="00837A98">
      <w:pPr>
        <w:pStyle w:val="Glossaryheading"/>
      </w:pPr>
      <w:bookmarkStart w:id="5" w:name="_Toc359587362"/>
      <w:r>
        <w:lastRenderedPageBreak/>
        <w:t>Glossary</w:t>
      </w:r>
      <w:r w:rsidR="00C6598B">
        <w:t xml:space="preserve"> and abbreviations</w:t>
      </w:r>
      <w:bookmarkEnd w:id="5"/>
    </w:p>
    <w:tbl>
      <w:tblPr>
        <w:tblW w:w="0" w:type="auto"/>
        <w:tblLook w:val="04A0" w:firstRow="1" w:lastRow="0" w:firstColumn="1" w:lastColumn="0" w:noHBand="0" w:noVBand="1"/>
      </w:tblPr>
      <w:tblGrid>
        <w:gridCol w:w="2166"/>
        <w:gridCol w:w="6498"/>
      </w:tblGrid>
      <w:tr w:rsidR="00C6598B" w:rsidRPr="006F23B7" w:rsidTr="006F23B7">
        <w:trPr>
          <w:trHeight w:val="37"/>
        </w:trPr>
        <w:tc>
          <w:tcPr>
            <w:tcW w:w="2166" w:type="dxa"/>
          </w:tcPr>
          <w:p w:rsidR="00C6598B" w:rsidRDefault="00C6598B" w:rsidP="00C6598B">
            <w:pPr>
              <w:pStyle w:val="Tabletextleft"/>
            </w:pPr>
            <w:r w:rsidRPr="00C6598B">
              <w:t>Airports</w:t>
            </w:r>
            <w:r>
              <w:t xml:space="preserve"> </w:t>
            </w:r>
            <w:r w:rsidRPr="00C6598B">
              <w:t>Act</w:t>
            </w:r>
          </w:p>
        </w:tc>
        <w:tc>
          <w:tcPr>
            <w:tcW w:w="6498" w:type="dxa"/>
          </w:tcPr>
          <w:p w:rsidR="00C6598B" w:rsidRPr="00C6598B" w:rsidRDefault="00C6598B" w:rsidP="00C6598B">
            <w:pPr>
              <w:pStyle w:val="Tabletextleft"/>
            </w:pPr>
            <w:r w:rsidRPr="00C6598B">
              <w:rPr>
                <w:i/>
              </w:rPr>
              <w:t>Airports</w:t>
            </w:r>
            <w:r w:rsidRPr="00C6598B">
              <w:t xml:space="preserve"> </w:t>
            </w:r>
            <w:r w:rsidRPr="00C6598B">
              <w:rPr>
                <w:i/>
              </w:rPr>
              <w:t>Act</w:t>
            </w:r>
            <w:r w:rsidRPr="00C6598B">
              <w:t xml:space="preserve"> </w:t>
            </w:r>
            <w:r w:rsidRPr="00C6598B">
              <w:rPr>
                <w:i/>
              </w:rPr>
              <w:t>1996</w:t>
            </w:r>
          </w:p>
        </w:tc>
      </w:tr>
      <w:tr w:rsidR="00C6598B" w:rsidRPr="006F23B7" w:rsidTr="006F23B7">
        <w:trPr>
          <w:trHeight w:val="37"/>
        </w:trPr>
        <w:tc>
          <w:tcPr>
            <w:tcW w:w="2166" w:type="dxa"/>
          </w:tcPr>
          <w:p w:rsidR="00C6598B" w:rsidRPr="00C6598B" w:rsidRDefault="00C6598B" w:rsidP="00C6598B">
            <w:pPr>
              <w:pStyle w:val="Tabletextleft"/>
            </w:pPr>
            <w:r w:rsidRPr="00C6598B">
              <w:t>Airports Regulations</w:t>
            </w:r>
          </w:p>
        </w:tc>
        <w:tc>
          <w:tcPr>
            <w:tcW w:w="6498" w:type="dxa"/>
          </w:tcPr>
          <w:p w:rsidR="00C6598B" w:rsidRPr="00C6598B" w:rsidRDefault="00C6598B" w:rsidP="00C6598B">
            <w:pPr>
              <w:pStyle w:val="Tabletextleft"/>
            </w:pPr>
            <w:r w:rsidRPr="00C6598B">
              <w:rPr>
                <w:i/>
              </w:rPr>
              <w:t>Airports</w:t>
            </w:r>
            <w:r w:rsidRPr="00C6598B">
              <w:t xml:space="preserve"> </w:t>
            </w:r>
            <w:r w:rsidRPr="00C6598B">
              <w:rPr>
                <w:i/>
              </w:rPr>
              <w:t>Regulations</w:t>
            </w:r>
            <w:r w:rsidRPr="00C6598B">
              <w:t xml:space="preserve"> </w:t>
            </w:r>
            <w:r w:rsidRPr="00C6598B">
              <w:rPr>
                <w:i/>
              </w:rPr>
              <w:t>1997</w:t>
            </w:r>
          </w:p>
        </w:tc>
      </w:tr>
      <w:tr w:rsidR="0067580A" w:rsidRPr="006F23B7" w:rsidTr="006F23B7">
        <w:trPr>
          <w:trHeight w:val="37"/>
        </w:trPr>
        <w:tc>
          <w:tcPr>
            <w:tcW w:w="2166" w:type="dxa"/>
          </w:tcPr>
          <w:p w:rsidR="0067580A" w:rsidRPr="006F23B7" w:rsidRDefault="00BA46DC" w:rsidP="00C6598B">
            <w:pPr>
              <w:pStyle w:val="Tabletextleft"/>
            </w:pPr>
            <w:r w:rsidRPr="00C6598B">
              <w:t>Aspect</w:t>
            </w:r>
          </w:p>
        </w:tc>
        <w:tc>
          <w:tcPr>
            <w:tcW w:w="6498" w:type="dxa"/>
          </w:tcPr>
          <w:p w:rsidR="0067580A" w:rsidRPr="00C6598B" w:rsidRDefault="00BA46DC" w:rsidP="00E57064">
            <w:pPr>
              <w:pStyle w:val="Tabletextleft"/>
            </w:pPr>
            <w:r w:rsidRPr="00C6598B">
              <w:t xml:space="preserve">Passenger-related and aircraft-related services and facilities that are to be monitored and evaluated. Aspects are </w:t>
            </w:r>
            <w:r w:rsidR="00E57064">
              <w:t>specified</w:t>
            </w:r>
            <w:r w:rsidRPr="00C6598B">
              <w:t xml:space="preserve"> in</w:t>
            </w:r>
            <w:r w:rsidR="00E57064">
              <w:t xml:space="preserve"> Part 8 of </w:t>
            </w:r>
            <w:r w:rsidRPr="00C6598B">
              <w:t xml:space="preserve">the </w:t>
            </w:r>
            <w:r w:rsidR="00AE3531" w:rsidRPr="00AE3531">
              <w:rPr>
                <w:i/>
              </w:rPr>
              <w:t>Airports Regulations 1997</w:t>
            </w:r>
            <w:r w:rsidRPr="00C6598B">
              <w:t>.</w:t>
            </w:r>
          </w:p>
        </w:tc>
      </w:tr>
      <w:tr w:rsidR="0067580A" w:rsidRPr="006F23B7" w:rsidTr="006F23B7">
        <w:trPr>
          <w:trHeight w:val="37"/>
        </w:trPr>
        <w:tc>
          <w:tcPr>
            <w:tcW w:w="2166" w:type="dxa"/>
          </w:tcPr>
          <w:p w:rsidR="0067580A" w:rsidRPr="006F23B7" w:rsidRDefault="00BA46DC" w:rsidP="00C6598B">
            <w:pPr>
              <w:pStyle w:val="Tabletextleft"/>
            </w:pPr>
            <w:r w:rsidRPr="00C6598B">
              <w:t>Availability</w:t>
            </w:r>
          </w:p>
        </w:tc>
        <w:tc>
          <w:tcPr>
            <w:tcW w:w="6498" w:type="dxa"/>
          </w:tcPr>
          <w:p w:rsidR="0067580A" w:rsidRPr="006F23B7" w:rsidRDefault="00BA46DC" w:rsidP="00C6598B">
            <w:pPr>
              <w:pStyle w:val="Tabletextleft"/>
            </w:pPr>
            <w:r>
              <w:t>Describes the size, number or capacity of the services and facilities provided by an airport operator. An assessment of availability gives an indication of whether airport operators are undertaking adequate investment in the capacity of services and facilities.</w:t>
            </w:r>
          </w:p>
        </w:tc>
      </w:tr>
      <w:tr w:rsidR="00FA1FD4" w:rsidRPr="006F23B7" w:rsidTr="006F23B7">
        <w:trPr>
          <w:trHeight w:val="37"/>
        </w:trPr>
        <w:tc>
          <w:tcPr>
            <w:tcW w:w="2166" w:type="dxa"/>
          </w:tcPr>
          <w:p w:rsidR="00FA1FD4" w:rsidRDefault="00FA1FD4" w:rsidP="00C6598B">
            <w:pPr>
              <w:pStyle w:val="Tabletextleft"/>
            </w:pPr>
            <w:r>
              <w:t>BARA</w:t>
            </w:r>
          </w:p>
        </w:tc>
        <w:tc>
          <w:tcPr>
            <w:tcW w:w="6498" w:type="dxa"/>
          </w:tcPr>
          <w:p w:rsidR="00FA1FD4" w:rsidRPr="00C6598B" w:rsidRDefault="00FA1FD4" w:rsidP="00C6598B">
            <w:pPr>
              <w:pStyle w:val="Tabletextleft"/>
              <w:rPr>
                <w:i/>
              </w:rPr>
            </w:pPr>
            <w:r w:rsidRPr="00FA1FD4">
              <w:t>Board</w:t>
            </w:r>
            <w:r>
              <w:rPr>
                <w:i/>
              </w:rPr>
              <w:t xml:space="preserve"> </w:t>
            </w:r>
            <w:r w:rsidRPr="00FA1FD4">
              <w:t>of</w:t>
            </w:r>
            <w:r>
              <w:rPr>
                <w:i/>
              </w:rPr>
              <w:t xml:space="preserve"> </w:t>
            </w:r>
            <w:r w:rsidRPr="00FA1FD4">
              <w:t>Airline</w:t>
            </w:r>
            <w:r>
              <w:t xml:space="preserve"> Representatives of Australia</w:t>
            </w:r>
          </w:p>
        </w:tc>
      </w:tr>
      <w:tr w:rsidR="00C6598B" w:rsidRPr="006F23B7" w:rsidTr="006F23B7">
        <w:trPr>
          <w:trHeight w:val="37"/>
        </w:trPr>
        <w:tc>
          <w:tcPr>
            <w:tcW w:w="2166" w:type="dxa"/>
          </w:tcPr>
          <w:p w:rsidR="00C6598B" w:rsidRDefault="00C6598B" w:rsidP="00C6598B">
            <w:pPr>
              <w:pStyle w:val="Tabletextleft"/>
            </w:pPr>
            <w:r>
              <w:t>CCA</w:t>
            </w:r>
          </w:p>
        </w:tc>
        <w:tc>
          <w:tcPr>
            <w:tcW w:w="6498" w:type="dxa"/>
          </w:tcPr>
          <w:p w:rsidR="00C6598B" w:rsidRDefault="00C6598B" w:rsidP="00C6598B">
            <w:pPr>
              <w:pStyle w:val="Tabletextleft"/>
            </w:pPr>
            <w:r w:rsidRPr="00C6598B">
              <w:rPr>
                <w:i/>
              </w:rPr>
              <w:t>Competition</w:t>
            </w:r>
            <w:r>
              <w:t xml:space="preserve"> </w:t>
            </w:r>
            <w:r w:rsidRPr="00C6598B">
              <w:rPr>
                <w:i/>
              </w:rPr>
              <w:t>and</w:t>
            </w:r>
            <w:r>
              <w:t xml:space="preserve"> </w:t>
            </w:r>
            <w:r w:rsidRPr="00C6598B">
              <w:rPr>
                <w:i/>
              </w:rPr>
              <w:t>Consumer</w:t>
            </w:r>
            <w:r>
              <w:t xml:space="preserve"> </w:t>
            </w:r>
            <w:r w:rsidRPr="00C6598B">
              <w:rPr>
                <w:i/>
              </w:rPr>
              <w:t>Act</w:t>
            </w:r>
            <w:r>
              <w:t xml:space="preserve"> </w:t>
            </w:r>
            <w:r w:rsidRPr="00C6598B">
              <w:rPr>
                <w:i/>
              </w:rPr>
              <w:t>2010</w:t>
            </w:r>
          </w:p>
        </w:tc>
      </w:tr>
      <w:tr w:rsidR="0067580A" w:rsidRPr="006F23B7" w:rsidTr="006F23B7">
        <w:trPr>
          <w:trHeight w:val="37"/>
        </w:trPr>
        <w:tc>
          <w:tcPr>
            <w:tcW w:w="2166" w:type="dxa"/>
          </w:tcPr>
          <w:p w:rsidR="0067580A" w:rsidRPr="006F23B7" w:rsidRDefault="00BA46DC" w:rsidP="00C6598B">
            <w:pPr>
              <w:pStyle w:val="Tabletextleft"/>
            </w:pPr>
            <w:r>
              <w:t>Criteria</w:t>
            </w:r>
          </w:p>
        </w:tc>
        <w:tc>
          <w:tcPr>
            <w:tcW w:w="6498" w:type="dxa"/>
          </w:tcPr>
          <w:p w:rsidR="0067580A" w:rsidRPr="00BA46DC" w:rsidRDefault="00BA46DC" w:rsidP="00D93359">
            <w:pPr>
              <w:pStyle w:val="Tabletextleft"/>
            </w:pPr>
            <w:r>
              <w:t xml:space="preserve">Measures used to monitor and evaluate the quality of an </w:t>
            </w:r>
            <w:r>
              <w:rPr>
                <w:i/>
              </w:rPr>
              <w:t>aspect</w:t>
            </w:r>
            <w:r>
              <w:t xml:space="preserve">. </w:t>
            </w:r>
            <w:r>
              <w:rPr>
                <w:i/>
              </w:rPr>
              <w:t>Criteria</w:t>
            </w:r>
            <w:r>
              <w:t xml:space="preserve"> are determined by the ACCC, in consultation with the </w:t>
            </w:r>
            <w:r w:rsidRPr="00C6598B">
              <w:t xml:space="preserve">Department of Infrastructure and </w:t>
            </w:r>
            <w:r w:rsidR="00D93359">
              <w:t>Regional Development</w:t>
            </w:r>
            <w:r w:rsidR="00D93359" w:rsidRPr="00C6598B">
              <w:t xml:space="preserve"> </w:t>
            </w:r>
            <w:r w:rsidRPr="00C6598B">
              <w:t>and the Treasury, and are published in this monitoring guideline.</w:t>
            </w:r>
            <w:r>
              <w:t xml:space="preserve"> </w:t>
            </w:r>
          </w:p>
        </w:tc>
      </w:tr>
      <w:tr w:rsidR="00FA1FD4" w:rsidRPr="006F23B7" w:rsidTr="006F23B7">
        <w:trPr>
          <w:trHeight w:val="37"/>
        </w:trPr>
        <w:tc>
          <w:tcPr>
            <w:tcW w:w="2166" w:type="dxa"/>
          </w:tcPr>
          <w:p w:rsidR="00FA1FD4" w:rsidRDefault="00B3314F">
            <w:pPr>
              <w:pStyle w:val="Tabletextleft"/>
            </w:pPr>
            <w:r>
              <w:t>DoIRD</w:t>
            </w:r>
          </w:p>
        </w:tc>
        <w:tc>
          <w:tcPr>
            <w:tcW w:w="6498" w:type="dxa"/>
          </w:tcPr>
          <w:p w:rsidR="00FA1FD4" w:rsidRDefault="008E7E7A" w:rsidP="00B3314F">
            <w:pPr>
              <w:pStyle w:val="Tabletextleft"/>
            </w:pPr>
            <w:r>
              <w:t xml:space="preserve">Department of Infrastructure and </w:t>
            </w:r>
            <w:r w:rsidR="00B3314F">
              <w:t>Regional Development</w:t>
            </w:r>
          </w:p>
        </w:tc>
      </w:tr>
      <w:tr w:rsidR="00C6598B" w:rsidRPr="006F23B7" w:rsidTr="006F23B7">
        <w:trPr>
          <w:trHeight w:val="37"/>
        </w:trPr>
        <w:tc>
          <w:tcPr>
            <w:tcW w:w="2166" w:type="dxa"/>
          </w:tcPr>
          <w:p w:rsidR="00C6598B" w:rsidRPr="00C6598B" w:rsidRDefault="00C6598B" w:rsidP="00C6598B">
            <w:pPr>
              <w:pStyle w:val="Tabletextleft"/>
            </w:pPr>
            <w:r>
              <w:t>Government</w:t>
            </w:r>
          </w:p>
        </w:tc>
        <w:tc>
          <w:tcPr>
            <w:tcW w:w="6498" w:type="dxa"/>
          </w:tcPr>
          <w:p w:rsidR="00C6598B" w:rsidRDefault="00C6598B" w:rsidP="00C6598B">
            <w:pPr>
              <w:pStyle w:val="Tabletextleft"/>
            </w:pPr>
            <w:r>
              <w:t>Australian Government</w:t>
            </w:r>
          </w:p>
        </w:tc>
      </w:tr>
      <w:tr w:rsidR="0067580A" w:rsidRPr="006F23B7" w:rsidTr="006F23B7">
        <w:trPr>
          <w:trHeight w:val="37"/>
        </w:trPr>
        <w:tc>
          <w:tcPr>
            <w:tcW w:w="2166" w:type="dxa"/>
          </w:tcPr>
          <w:p w:rsidR="0067580A" w:rsidRPr="006F23B7" w:rsidRDefault="00BA46DC" w:rsidP="00C6598B">
            <w:pPr>
              <w:pStyle w:val="Tabletextleft"/>
            </w:pPr>
            <w:r w:rsidRPr="00C6598B">
              <w:t>Matter</w:t>
            </w:r>
          </w:p>
        </w:tc>
        <w:tc>
          <w:tcPr>
            <w:tcW w:w="6498" w:type="dxa"/>
          </w:tcPr>
          <w:p w:rsidR="0067580A" w:rsidRPr="00BA46DC" w:rsidRDefault="007A6ED1" w:rsidP="007A6ED1">
            <w:pPr>
              <w:pStyle w:val="Tabletextleft"/>
            </w:pPr>
            <w:r>
              <w:t>Quality of service m</w:t>
            </w:r>
            <w:r w:rsidR="00E57064">
              <w:t>atters about which airport-operator companies</w:t>
            </w:r>
            <w:r w:rsidR="00BA46DC">
              <w:t xml:space="preserve"> are required to keep</w:t>
            </w:r>
            <w:r w:rsidR="00E57064">
              <w:t xml:space="preserve"> records</w:t>
            </w:r>
            <w:r w:rsidR="00BA46DC">
              <w:t xml:space="preserve">. </w:t>
            </w:r>
            <w:r w:rsidR="00BA46DC">
              <w:rPr>
                <w:i/>
              </w:rPr>
              <w:t xml:space="preserve">Matters </w:t>
            </w:r>
            <w:r w:rsidR="00BA46DC">
              <w:t xml:space="preserve">are specified in Schedule 2 of the </w:t>
            </w:r>
            <w:r w:rsidR="00BA46DC">
              <w:rPr>
                <w:i/>
              </w:rPr>
              <w:t>Airports Regulations 1997</w:t>
            </w:r>
            <w:r w:rsidR="00BA46DC">
              <w:t>.</w:t>
            </w:r>
          </w:p>
        </w:tc>
      </w:tr>
      <w:tr w:rsidR="00E42E36" w:rsidRPr="006F23B7" w:rsidTr="006F23B7">
        <w:trPr>
          <w:trHeight w:val="37"/>
        </w:trPr>
        <w:tc>
          <w:tcPr>
            <w:tcW w:w="2166" w:type="dxa"/>
          </w:tcPr>
          <w:p w:rsidR="00E42E36" w:rsidRPr="00C6598B" w:rsidRDefault="00E42E36" w:rsidP="00C6598B">
            <w:pPr>
              <w:pStyle w:val="Tabletextleft"/>
            </w:pPr>
            <w:r>
              <w:t>Monitored airport operators</w:t>
            </w:r>
          </w:p>
        </w:tc>
        <w:tc>
          <w:tcPr>
            <w:tcW w:w="6498" w:type="dxa"/>
          </w:tcPr>
          <w:p w:rsidR="00E42E36" w:rsidRDefault="00E42E36" w:rsidP="007A6ED1">
            <w:pPr>
              <w:pStyle w:val="Tabletextleft"/>
            </w:pPr>
            <w:r>
              <w:t>Those airports which are subject to quality of service monitoring and are specified in Part 8 of the Airports Regulations</w:t>
            </w:r>
          </w:p>
        </w:tc>
      </w:tr>
      <w:tr w:rsidR="00C6598B" w:rsidRPr="006F23B7" w:rsidTr="006F23B7">
        <w:trPr>
          <w:trHeight w:val="37"/>
        </w:trPr>
        <w:tc>
          <w:tcPr>
            <w:tcW w:w="2166" w:type="dxa"/>
          </w:tcPr>
          <w:p w:rsidR="00C6598B" w:rsidRPr="00C6598B" w:rsidRDefault="00C6598B" w:rsidP="00C6598B">
            <w:pPr>
              <w:pStyle w:val="Tabletextleft"/>
            </w:pPr>
            <w:r>
              <w:t>PC</w:t>
            </w:r>
          </w:p>
        </w:tc>
        <w:tc>
          <w:tcPr>
            <w:tcW w:w="6498" w:type="dxa"/>
          </w:tcPr>
          <w:p w:rsidR="00C6598B" w:rsidRDefault="00C6598B" w:rsidP="00C6598B">
            <w:pPr>
              <w:pStyle w:val="Tabletextleft"/>
            </w:pPr>
            <w:r>
              <w:t>Productivity Commission</w:t>
            </w:r>
          </w:p>
        </w:tc>
      </w:tr>
      <w:tr w:rsidR="0067580A" w:rsidRPr="006F23B7" w:rsidTr="004E6814">
        <w:trPr>
          <w:trHeight w:val="474"/>
        </w:trPr>
        <w:tc>
          <w:tcPr>
            <w:tcW w:w="2166" w:type="dxa"/>
          </w:tcPr>
          <w:p w:rsidR="0067580A" w:rsidRPr="006F23B7" w:rsidRDefault="00BA46DC" w:rsidP="00C6598B">
            <w:pPr>
              <w:pStyle w:val="Tabletextleft"/>
            </w:pPr>
            <w:r w:rsidRPr="00C6598B">
              <w:t>Standard</w:t>
            </w:r>
          </w:p>
        </w:tc>
        <w:tc>
          <w:tcPr>
            <w:tcW w:w="6498" w:type="dxa"/>
          </w:tcPr>
          <w:p w:rsidR="0067580A" w:rsidRPr="006F23B7" w:rsidRDefault="00BA46DC" w:rsidP="00C6598B">
            <w:pPr>
              <w:pStyle w:val="Tabletextleft"/>
            </w:pPr>
            <w:r>
              <w:t>Describes the physical condition of the services and facilities provided by an airport operator. An assessment of standard gives an indication of whether services or facilities meet the expectations of users.</w:t>
            </w:r>
          </w:p>
        </w:tc>
      </w:tr>
    </w:tbl>
    <w:p w:rsidR="00611610" w:rsidRDefault="00611610" w:rsidP="00C6598B">
      <w:pPr>
        <w:pStyle w:val="Tabletextleft"/>
        <w:sectPr w:rsidR="00611610" w:rsidSect="00292A26">
          <w:headerReference w:type="even" r:id="rId12"/>
          <w:headerReference w:type="default" r:id="rId13"/>
          <w:footerReference w:type="default" r:id="rId14"/>
          <w:headerReference w:type="first" r:id="rId15"/>
          <w:type w:val="continuous"/>
          <w:pgSz w:w="11906" w:h="16838"/>
          <w:pgMar w:top="1440" w:right="1729" w:bottom="1582" w:left="1729" w:header="709" w:footer="709" w:gutter="0"/>
          <w:pgNumType w:fmt="lowerRoman" w:start="3"/>
          <w:cols w:space="708"/>
          <w:docGrid w:linePitch="360"/>
        </w:sectPr>
      </w:pPr>
    </w:p>
    <w:tbl>
      <w:tblPr>
        <w:tblW w:w="0" w:type="auto"/>
        <w:tblLook w:val="04A0" w:firstRow="1" w:lastRow="0" w:firstColumn="1" w:lastColumn="0" w:noHBand="0" w:noVBand="1"/>
      </w:tblPr>
      <w:tblGrid>
        <w:gridCol w:w="2166"/>
        <w:gridCol w:w="6498"/>
      </w:tblGrid>
      <w:tr w:rsidR="0067580A" w:rsidRPr="006F23B7" w:rsidTr="006F23B7">
        <w:trPr>
          <w:trHeight w:val="37"/>
        </w:trPr>
        <w:tc>
          <w:tcPr>
            <w:tcW w:w="2166" w:type="dxa"/>
          </w:tcPr>
          <w:p w:rsidR="0067580A" w:rsidRPr="006F23B7" w:rsidRDefault="0067580A" w:rsidP="00C6598B">
            <w:pPr>
              <w:pStyle w:val="Tabletextleft"/>
            </w:pPr>
          </w:p>
        </w:tc>
        <w:tc>
          <w:tcPr>
            <w:tcW w:w="6498" w:type="dxa"/>
          </w:tcPr>
          <w:p w:rsidR="0067580A" w:rsidRPr="006F23B7" w:rsidRDefault="0067580A" w:rsidP="00C6598B">
            <w:pPr>
              <w:pStyle w:val="Tabletextleft"/>
            </w:pPr>
          </w:p>
        </w:tc>
      </w:tr>
    </w:tbl>
    <w:p w:rsidR="00ED14CE" w:rsidRDefault="006F23B7" w:rsidP="00611610">
      <w:pPr>
        <w:pStyle w:val="Numberedheading1"/>
      </w:pPr>
      <w:bookmarkStart w:id="6" w:name="_Toc359587363"/>
      <w:bookmarkEnd w:id="2"/>
      <w:r w:rsidRPr="00611610">
        <w:lastRenderedPageBreak/>
        <w:t>Introduction</w:t>
      </w:r>
      <w:bookmarkEnd w:id="6"/>
    </w:p>
    <w:p w:rsidR="00061064" w:rsidRDefault="00E32D07" w:rsidP="00BD039C">
      <w:r>
        <w:t>The A</w:t>
      </w:r>
      <w:r w:rsidR="00004D1A">
        <w:t>ustralian Competition and Consumer Commission (A</w:t>
      </w:r>
      <w:r>
        <w:t>CCC</w:t>
      </w:r>
      <w:r w:rsidR="00004D1A">
        <w:t>)</w:t>
      </w:r>
      <w:r>
        <w:t xml:space="preserve"> </w:t>
      </w:r>
      <w:r w:rsidR="00C6598B">
        <w:t>has a role in monitoring the price and quality of service</w:t>
      </w:r>
      <w:r w:rsidR="00D4078F">
        <w:t>s and facilities</w:t>
      </w:r>
      <w:r w:rsidR="00C6598B">
        <w:t xml:space="preserve"> at </w:t>
      </w:r>
      <w:r w:rsidR="00D51AD9">
        <w:t>Brisbane, Melbourne, Perth and Sydney</w:t>
      </w:r>
      <w:r w:rsidR="00C6598B">
        <w:t xml:space="preserve"> airports</w:t>
      </w:r>
      <w:r w:rsidR="00F564C5">
        <w:t>.</w:t>
      </w:r>
      <w:r w:rsidR="00121EA5">
        <w:t xml:space="preserve"> </w:t>
      </w:r>
      <w:r w:rsidR="00D4078F">
        <w:t>T</w:t>
      </w:r>
      <w:r w:rsidR="00C6598B">
        <w:t xml:space="preserve">his guideline sets out the ACCC’s </w:t>
      </w:r>
      <w:r>
        <w:t>approach to its quality of service monitoring role</w:t>
      </w:r>
      <w:r w:rsidR="00A47F84">
        <w:t xml:space="preserve"> and </w:t>
      </w:r>
      <w:r w:rsidR="00C27B28">
        <w:t>intends</w:t>
      </w:r>
      <w:r w:rsidR="00BD039C">
        <w:t xml:space="preserve"> to assist </w:t>
      </w:r>
      <w:r w:rsidR="00A47F84">
        <w:t xml:space="preserve">monitored airport operators </w:t>
      </w:r>
      <w:r w:rsidR="00BD039C">
        <w:t xml:space="preserve">in understanding </w:t>
      </w:r>
      <w:r w:rsidR="00A47F84">
        <w:t xml:space="preserve">their obligations under the </w:t>
      </w:r>
      <w:r w:rsidR="00A47F84">
        <w:rPr>
          <w:i/>
        </w:rPr>
        <w:t xml:space="preserve">Airports Act 1996 </w:t>
      </w:r>
      <w:r w:rsidR="00E93AE1">
        <w:t xml:space="preserve">(Airports Act) </w:t>
      </w:r>
      <w:r w:rsidR="00A47F84">
        <w:t xml:space="preserve">and the </w:t>
      </w:r>
      <w:r w:rsidR="00A47F84">
        <w:rPr>
          <w:i/>
        </w:rPr>
        <w:t>Airports Regulations 1997</w:t>
      </w:r>
      <w:r w:rsidR="00E93AE1">
        <w:rPr>
          <w:i/>
        </w:rPr>
        <w:t xml:space="preserve"> </w:t>
      </w:r>
      <w:r w:rsidR="00E93AE1">
        <w:t>(Airports Regulations)</w:t>
      </w:r>
      <w:r w:rsidR="00A47F84">
        <w:t>, in respect to quality of service monitoring</w:t>
      </w:r>
      <w:r w:rsidR="00C6598B">
        <w:t xml:space="preserve">. </w:t>
      </w:r>
    </w:p>
    <w:p w:rsidR="00655B47" w:rsidRDefault="00F564C5" w:rsidP="00E32D07">
      <w:r>
        <w:t>In particular, this guideline</w:t>
      </w:r>
      <w:r w:rsidR="00655B47">
        <w:t xml:space="preserve"> outlines the </w:t>
      </w:r>
      <w:r w:rsidR="00655B47" w:rsidRPr="00655B47">
        <w:rPr>
          <w:i/>
        </w:rPr>
        <w:t>criteria</w:t>
      </w:r>
      <w:r w:rsidR="00655B47">
        <w:t xml:space="preserve"> </w:t>
      </w:r>
      <w:r w:rsidR="00DA7993">
        <w:t xml:space="preserve">for the quality of service monitoring program. The </w:t>
      </w:r>
      <w:r w:rsidR="00DA7993" w:rsidRPr="00DA7993">
        <w:rPr>
          <w:i/>
        </w:rPr>
        <w:t>criteria</w:t>
      </w:r>
      <w:r w:rsidR="00DA7993">
        <w:t xml:space="preserve"> </w:t>
      </w:r>
      <w:r w:rsidR="00655B47">
        <w:t xml:space="preserve">describe how the ACCC </w:t>
      </w:r>
      <w:r w:rsidR="00DA7993">
        <w:t>uses</w:t>
      </w:r>
      <w:r w:rsidR="00655B47">
        <w:t xml:space="preserve"> objective and subjective data </w:t>
      </w:r>
      <w:r w:rsidR="00DA7993">
        <w:t xml:space="preserve">in </w:t>
      </w:r>
      <w:r w:rsidR="00E93AE1">
        <w:t xml:space="preserve">its </w:t>
      </w:r>
      <w:r w:rsidR="00DA7993">
        <w:t xml:space="preserve">assessment of </w:t>
      </w:r>
      <w:r w:rsidR="00803E5F">
        <w:t xml:space="preserve">the quality of </w:t>
      </w:r>
      <w:r w:rsidR="00DA7993">
        <w:t xml:space="preserve">certain </w:t>
      </w:r>
      <w:r w:rsidR="00DA7993">
        <w:rPr>
          <w:i/>
        </w:rPr>
        <w:t>aspects</w:t>
      </w:r>
      <w:r w:rsidR="00DA7993">
        <w:t xml:space="preserve"> of airport services and facilities</w:t>
      </w:r>
      <w:r>
        <w:t xml:space="preserve">. The ACCC determines these </w:t>
      </w:r>
      <w:r>
        <w:rPr>
          <w:i/>
        </w:rPr>
        <w:t>criteria</w:t>
      </w:r>
      <w:r>
        <w:t xml:space="preserve"> in consultation with the Department of Infrastructure and </w:t>
      </w:r>
      <w:r w:rsidR="00B3314F">
        <w:t>Regional Development</w:t>
      </w:r>
      <w:r>
        <w:t xml:space="preserve"> </w:t>
      </w:r>
      <w:r w:rsidR="00E13990">
        <w:t xml:space="preserve">(DoIRD) </w:t>
      </w:r>
      <w:r>
        <w:t xml:space="preserve">and the Treasury. </w:t>
      </w:r>
    </w:p>
    <w:p w:rsidR="007A6FAF" w:rsidRDefault="004E6814" w:rsidP="00213ACC">
      <w:r>
        <w:t xml:space="preserve">Quality of service monitoring is a complement to the ACCC’s price monitoring role </w:t>
      </w:r>
      <w:r w:rsidR="00213ACC">
        <w:t xml:space="preserve">under Part VIIA of the </w:t>
      </w:r>
      <w:r w:rsidR="00213ACC">
        <w:rPr>
          <w:i/>
        </w:rPr>
        <w:t xml:space="preserve">Competition and Consumer Act </w:t>
      </w:r>
      <w:r w:rsidR="00213ACC" w:rsidRPr="008958A0">
        <w:rPr>
          <w:i/>
        </w:rPr>
        <w:t>2010</w:t>
      </w:r>
      <w:r w:rsidR="00213ACC" w:rsidRPr="008958A0">
        <w:t xml:space="preserve"> (CCA</w:t>
      </w:r>
      <w:r w:rsidR="00213ACC">
        <w:t xml:space="preserve">). </w:t>
      </w:r>
      <w:r w:rsidR="003712BD">
        <w:t xml:space="preserve">Airport quality of service monitoring provides information about trends over time in the airport operators’ quality of service, which can be viewed alongside changes in prices, costs and profits. </w:t>
      </w:r>
      <w:r w:rsidR="00E314E0">
        <w:t xml:space="preserve">Results from </w:t>
      </w:r>
      <w:r w:rsidR="00E631C0">
        <w:t xml:space="preserve">the </w:t>
      </w:r>
      <w:r w:rsidR="00E314E0">
        <w:t xml:space="preserve">ACCC’s quality of service monitoring are used to compare relative changes in airport operators’ performances over time. </w:t>
      </w:r>
      <w:r w:rsidR="00213ACC">
        <w:t xml:space="preserve">Importantly, </w:t>
      </w:r>
      <w:r w:rsidR="00E314E0">
        <w:t xml:space="preserve">however, </w:t>
      </w:r>
      <w:r w:rsidR="00213ACC">
        <w:t xml:space="preserve">the ACCC’s quality of service monitoring program does not seek to set the </w:t>
      </w:r>
      <w:r w:rsidR="00BC1493">
        <w:t xml:space="preserve">minimum </w:t>
      </w:r>
      <w:r w:rsidR="00213ACC">
        <w:t>standard of services at a</w:t>
      </w:r>
      <w:r w:rsidR="00E631C0">
        <w:t>ny</w:t>
      </w:r>
      <w:r w:rsidR="00213ACC">
        <w:t xml:space="preserve"> particular airport. There are no provisions in the Airports Act or the Airports Regulations for the ACCC to set the standard of monitored services supplied by the airport operator. </w:t>
      </w:r>
    </w:p>
    <w:p w:rsidR="007A6FAF" w:rsidRDefault="004E6814" w:rsidP="004E6814">
      <w:r>
        <w:t xml:space="preserve">In addition, quality of service monitoring improves the transparency of airport operator performance with the aim of discouraging airport operators from deteriorating standards </w:t>
      </w:r>
      <w:r w:rsidR="00D4078F">
        <w:t xml:space="preserve">of </w:t>
      </w:r>
      <w:r>
        <w:t xml:space="preserve">services </w:t>
      </w:r>
      <w:r w:rsidR="00D4078F">
        <w:t>over which they have significant control</w:t>
      </w:r>
      <w:r>
        <w:t xml:space="preserve">. Quality of service monitoring provides information about the performance of the airport operators to stakeholders (such as the Australian Government and users of airport services). </w:t>
      </w:r>
    </w:p>
    <w:p w:rsidR="004E6814" w:rsidRDefault="004E6814" w:rsidP="004E6814">
      <w:r>
        <w:t xml:space="preserve">In fulfilling its price and quality of service monitoring roles, the ACCC publishes an annual Airport Monitoring Report, which presents the monitoring results and observations about the airport operators’ performance. </w:t>
      </w:r>
    </w:p>
    <w:p w:rsidR="00940B81" w:rsidRDefault="00940B81" w:rsidP="004E6814">
      <w:pPr>
        <w:pStyle w:val="Numberedheading2"/>
      </w:pPr>
      <w:bookmarkStart w:id="7" w:name="_Toc359587364"/>
      <w:r>
        <w:t>Implementation of this guideline</w:t>
      </w:r>
      <w:bookmarkEnd w:id="7"/>
    </w:p>
    <w:p w:rsidR="0075592D" w:rsidRPr="0075592D" w:rsidRDefault="0075592D" w:rsidP="0075592D">
      <w:r>
        <w:t xml:space="preserve">This document is intended to provide </w:t>
      </w:r>
      <w:r w:rsidR="00E57064">
        <w:t xml:space="preserve">guidance </w:t>
      </w:r>
      <w:r w:rsidR="00940B81" w:rsidRPr="00061064">
        <w:t>for quality of service monitoring at the monitored airports.</w:t>
      </w:r>
      <w:r>
        <w:t xml:space="preserve"> </w:t>
      </w:r>
      <w:r w:rsidRPr="0075592D">
        <w:t xml:space="preserve">The ACCC encourages </w:t>
      </w:r>
      <w:r w:rsidR="00A814D2" w:rsidRPr="0075592D">
        <w:t>all monitored airports</w:t>
      </w:r>
      <w:r w:rsidR="00A814D2">
        <w:t xml:space="preserve"> and</w:t>
      </w:r>
      <w:r w:rsidRPr="0075592D">
        <w:t xml:space="preserve"> other affected parties to follow this guideline, and to</w:t>
      </w:r>
      <w:r w:rsidR="00BA0528">
        <w:t xml:space="preserve"> also</w:t>
      </w:r>
      <w:r w:rsidRPr="0075592D">
        <w:t xml:space="preserve"> seek independent legal advice on their rights and obligations under the Airports Act and the Airports Regulations. </w:t>
      </w:r>
    </w:p>
    <w:p w:rsidR="00B3314F" w:rsidRDefault="00A814D2" w:rsidP="0029160E">
      <w:r w:rsidRPr="003B38B3">
        <w:t xml:space="preserve">This guideline replaces the ACCC’s </w:t>
      </w:r>
      <w:r w:rsidRPr="00F84D99">
        <w:rPr>
          <w:i/>
        </w:rPr>
        <w:t>Airport quality of service monitoring guideline</w:t>
      </w:r>
      <w:r w:rsidRPr="003B38B3">
        <w:t>, published in October 2008</w:t>
      </w:r>
      <w:r w:rsidR="00F25D9C">
        <w:t xml:space="preserve"> </w:t>
      </w:r>
      <w:r w:rsidR="00756605">
        <w:t>and in June 2013</w:t>
      </w:r>
      <w:r w:rsidR="000858EC" w:rsidRPr="003B38B3">
        <w:t>.</w:t>
      </w:r>
      <w:r w:rsidR="00E11785">
        <w:t xml:space="preserve"> </w:t>
      </w:r>
      <w:r w:rsidR="00C918B9">
        <w:t>T</w:t>
      </w:r>
      <w:r w:rsidR="000858EC" w:rsidRPr="003B38B3">
        <w:t xml:space="preserve">his guideline </w:t>
      </w:r>
      <w:r w:rsidR="00C918B9">
        <w:t>takes</w:t>
      </w:r>
      <w:r w:rsidR="000858EC" w:rsidRPr="003B38B3">
        <w:t xml:space="preserve"> </w:t>
      </w:r>
      <w:r w:rsidR="00D81FCF" w:rsidRPr="003B38B3">
        <w:t>e</w:t>
      </w:r>
      <w:r w:rsidRPr="003B38B3">
        <w:t>ffect for</w:t>
      </w:r>
      <w:r w:rsidR="00F84D99">
        <w:t xml:space="preserve"> data collected and reported</w:t>
      </w:r>
      <w:r w:rsidR="00A36536">
        <w:t xml:space="preserve"> on</w:t>
      </w:r>
      <w:r w:rsidR="00F84D99">
        <w:t xml:space="preserve"> as part of the </w:t>
      </w:r>
      <w:r w:rsidRPr="003B38B3">
        <w:t xml:space="preserve">2013-14 </w:t>
      </w:r>
      <w:r w:rsidR="00616BBA">
        <w:t>monitoring period</w:t>
      </w:r>
      <w:r w:rsidRPr="003B38B3">
        <w:t xml:space="preserve"> </w:t>
      </w:r>
      <w:r w:rsidR="00843C47">
        <w:t>and onwards</w:t>
      </w:r>
      <w:r w:rsidR="00E11785">
        <w:t>. As part of the process of revising this guideline</w:t>
      </w:r>
      <w:r w:rsidR="00BA0528">
        <w:t>,</w:t>
      </w:r>
      <w:r w:rsidR="00E11785">
        <w:t xml:space="preserve"> the </w:t>
      </w:r>
      <w:r w:rsidR="005A3F5D">
        <w:t>ACCC recommended</w:t>
      </w:r>
      <w:r w:rsidR="00AD5D7B">
        <w:t xml:space="preserve"> that the </w:t>
      </w:r>
      <w:r w:rsidR="00B3314F">
        <w:t>DoIRD</w:t>
      </w:r>
      <w:r w:rsidR="00E11785">
        <w:t xml:space="preserve"> consider amending </w:t>
      </w:r>
      <w:r w:rsidR="007858B5">
        <w:t xml:space="preserve">certain provisions in </w:t>
      </w:r>
      <w:r w:rsidR="00E11785">
        <w:t>the Airports Regulations</w:t>
      </w:r>
      <w:r w:rsidR="005A3F5D">
        <w:t>. The</w:t>
      </w:r>
      <w:r w:rsidR="002A6C74">
        <w:t xml:space="preserve"> recommend</w:t>
      </w:r>
      <w:r w:rsidR="00FF4D3E">
        <w:t>ed</w:t>
      </w:r>
      <w:r w:rsidR="002A6C74">
        <w:t xml:space="preserve"> </w:t>
      </w:r>
      <w:r w:rsidR="005A3F5D">
        <w:t>amendments largely relate</w:t>
      </w:r>
      <w:r w:rsidR="00B3314F">
        <w:t>d</w:t>
      </w:r>
      <w:r w:rsidR="005A3F5D">
        <w:t xml:space="preserve"> to </w:t>
      </w:r>
      <w:r w:rsidR="007858B5">
        <w:t xml:space="preserve">changes in the </w:t>
      </w:r>
      <w:r w:rsidR="005A3F5D">
        <w:t xml:space="preserve">data </w:t>
      </w:r>
      <w:r w:rsidR="007858B5">
        <w:t xml:space="preserve">that </w:t>
      </w:r>
      <w:r w:rsidR="005A3F5D">
        <w:t xml:space="preserve">the airport operators are required to keep and provide to the ACCC. </w:t>
      </w:r>
      <w:r w:rsidR="00687771">
        <w:t xml:space="preserve">The DoIRD amended the Airports Regulations on </w:t>
      </w:r>
      <w:r w:rsidR="00E13990">
        <w:t xml:space="preserve">29 May </w:t>
      </w:r>
      <w:r w:rsidR="00687771">
        <w:t>2014, which reflected the ACCC’s recommended amendments</w:t>
      </w:r>
      <w:r w:rsidR="00F77B57">
        <w:t>.</w:t>
      </w:r>
      <w:r w:rsidR="00687771">
        <w:t xml:space="preserve"> </w:t>
      </w:r>
    </w:p>
    <w:p w:rsidR="00776A66" w:rsidRDefault="00B3314F" w:rsidP="0029160E">
      <w:r>
        <w:t xml:space="preserve">This guideline is a revision of the guideline published in June 2013. The June 2013 guideline foreshadowed the amendments to the Airports Regulations resulting from the ACCC’s recommendations. This current guideline </w:t>
      </w:r>
      <w:r w:rsidR="008D42F1">
        <w:t>follows</w:t>
      </w:r>
      <w:r>
        <w:t xml:space="preserve"> </w:t>
      </w:r>
      <w:r w:rsidR="00776A66">
        <w:t xml:space="preserve">amendments </w:t>
      </w:r>
      <w:r>
        <w:t xml:space="preserve">made </w:t>
      </w:r>
      <w:r w:rsidR="00776A66">
        <w:t xml:space="preserve">to the Airports </w:t>
      </w:r>
      <w:r w:rsidR="00776A66">
        <w:lastRenderedPageBreak/>
        <w:t>Regulations</w:t>
      </w:r>
      <w:r>
        <w:t>, and</w:t>
      </w:r>
      <w:r w:rsidR="00776A66">
        <w:t xml:space="preserve"> ensure</w:t>
      </w:r>
      <w:r>
        <w:t>s</w:t>
      </w:r>
      <w:r w:rsidR="00776A66">
        <w:t xml:space="preserve"> that the reporting requirements mirror those prescribed </w:t>
      </w:r>
      <w:r w:rsidR="00F54B37">
        <w:t>by</w:t>
      </w:r>
      <w:r w:rsidR="00776A66">
        <w:t xml:space="preserve"> the Airports Regulations.</w:t>
      </w:r>
      <w:r w:rsidR="00A70E1B">
        <w:t xml:space="preserve"> </w:t>
      </w:r>
    </w:p>
    <w:p w:rsidR="0029160E" w:rsidRDefault="000858EC" w:rsidP="0029160E">
      <w:r>
        <w:t>T</w:t>
      </w:r>
      <w:r w:rsidR="00940B81" w:rsidRPr="00061064">
        <w:t xml:space="preserve">he ACCC acknowledges that </w:t>
      </w:r>
      <w:r w:rsidR="00940B81" w:rsidRPr="00061064">
        <w:rPr>
          <w:i/>
        </w:rPr>
        <w:t xml:space="preserve">criteria </w:t>
      </w:r>
      <w:r w:rsidR="00940B81" w:rsidRPr="00061064">
        <w:t>identified in this guideline may be subject to further refinement in consultation with airport operators. The ACCC may also instigate further changes</w:t>
      </w:r>
      <w:r w:rsidR="00F54B37">
        <w:t xml:space="preserve"> to this guideline</w:t>
      </w:r>
      <w:r w:rsidR="00940B81" w:rsidRPr="00061064">
        <w:t xml:space="preserve"> </w:t>
      </w:r>
      <w:r w:rsidR="00F54B37">
        <w:t>during</w:t>
      </w:r>
      <w:r w:rsidR="00F54B37" w:rsidRPr="00061064">
        <w:t xml:space="preserve"> </w:t>
      </w:r>
      <w:r w:rsidR="00940B81" w:rsidRPr="00061064">
        <w:t>the c</w:t>
      </w:r>
      <w:r w:rsidR="0029160E">
        <w:t>ourse of the monitoring program.</w:t>
      </w:r>
      <w:r w:rsidR="00AB4EFA">
        <w:t xml:space="preserve"> </w:t>
      </w:r>
    </w:p>
    <w:p w:rsidR="00E32D07" w:rsidRDefault="00D94640" w:rsidP="00E32D07">
      <w:pPr>
        <w:pStyle w:val="Numberedheading2"/>
      </w:pPr>
      <w:bookmarkStart w:id="8" w:name="_Toc359587365"/>
      <w:r>
        <w:t xml:space="preserve">Background to </w:t>
      </w:r>
      <w:r w:rsidR="00061064">
        <w:t>the</w:t>
      </w:r>
      <w:r w:rsidR="00E32D07">
        <w:t xml:space="preserve"> ACCC’s quality of service monitoring program</w:t>
      </w:r>
      <w:bookmarkEnd w:id="8"/>
    </w:p>
    <w:p w:rsidR="006F23B7" w:rsidRDefault="00625B24" w:rsidP="006F23B7">
      <w:r>
        <w:t xml:space="preserve">The </w:t>
      </w:r>
      <w:r w:rsidR="00004D1A">
        <w:t>ACCC</w:t>
      </w:r>
      <w:r>
        <w:t xml:space="preserve"> has monitored quality of service at major Australian airports since 1 July 1997. </w:t>
      </w:r>
      <w:r w:rsidR="00EF1337">
        <w:t>The Government originally introduced q</w:t>
      </w:r>
      <w:r w:rsidR="004F29D4">
        <w:t xml:space="preserve">uality of service monitoring </w:t>
      </w:r>
      <w:r w:rsidR="00EF1337">
        <w:t>as a</w:t>
      </w:r>
      <w:r w:rsidR="004F29D4">
        <w:t xml:space="preserve"> complement </w:t>
      </w:r>
      <w:r w:rsidR="00EF1337">
        <w:t xml:space="preserve">to the transitional regulatory </w:t>
      </w:r>
      <w:r w:rsidR="00FC508C">
        <w:t>framework—</w:t>
      </w:r>
      <w:r w:rsidR="00EF1337">
        <w:t>in th</w:t>
      </w:r>
      <w:r w:rsidR="00FC508C">
        <w:t>e form of price cap regulation—</w:t>
      </w:r>
      <w:r w:rsidR="00EF1337">
        <w:t xml:space="preserve">that was established </w:t>
      </w:r>
      <w:r w:rsidR="004F29D4">
        <w:t xml:space="preserve">when it privatised the major Australian airports. </w:t>
      </w:r>
      <w:r w:rsidR="00FC508C">
        <w:t>Although the move to privatisation was intended to improve efficiency, the Government was concerned that airport operators might be in a position to exercise market power in relation to the supply of aeronautical services. Price cap regulations were intended to ensure prices did not increase excessively, while quality of service monitoring was intended to ensure that airport assets were not allowed to run down at the expense of service standards.</w:t>
      </w:r>
    </w:p>
    <w:p w:rsidR="004F29D4" w:rsidRPr="002D5B3A" w:rsidRDefault="002D5B3A" w:rsidP="006F23B7">
      <w:r>
        <w:t xml:space="preserve">Following </w:t>
      </w:r>
      <w:r w:rsidR="00E420C8">
        <w:t>the</w:t>
      </w:r>
      <w:r>
        <w:t xml:space="preserve"> 2002 Productivity Commission (PC) inquiry into the </w:t>
      </w:r>
      <w:r w:rsidR="00274941">
        <w:t>p</w:t>
      </w:r>
      <w:r w:rsidRPr="00274941">
        <w:t>rice regulation of airport services,</w:t>
      </w:r>
      <w:r>
        <w:t xml:space="preserve"> the Government replaced price cap regulations with price monitoring arrangements</w:t>
      </w:r>
      <w:r w:rsidR="009F6D15">
        <w:t xml:space="preserve">.  These price monitoring arrangements </w:t>
      </w:r>
      <w:r>
        <w:t xml:space="preserve">were intended to act as a safeguard to the interests of airport users and provide information to the Government about the performance of the airports and whether there had been unjustifiable price increases. In response to the 2002 PC inquiry, the Government also decided to retain </w:t>
      </w:r>
      <w:r w:rsidR="00E420C8">
        <w:t>quality of service monitoring</w:t>
      </w:r>
      <w:r w:rsidR="009F6D15">
        <w:t>,</w:t>
      </w:r>
      <w:r w:rsidR="00E420C8">
        <w:t xml:space="preserve"> and supported a review of quality of service indicators.</w:t>
      </w:r>
      <w:r w:rsidR="00DE55F3">
        <w:rPr>
          <w:rStyle w:val="FootnoteReference"/>
        </w:rPr>
        <w:footnoteReference w:id="1"/>
      </w:r>
      <w:r w:rsidR="00E420C8">
        <w:t xml:space="preserve"> </w:t>
      </w:r>
    </w:p>
    <w:p w:rsidR="00B019A4" w:rsidRDefault="00E420C8" w:rsidP="006F23B7">
      <w:r>
        <w:t>The ACCC co</w:t>
      </w:r>
      <w:r w:rsidR="009258CE">
        <w:t>nduct</w:t>
      </w:r>
      <w:r>
        <w:t>ed a review of the quality of service monitor</w:t>
      </w:r>
      <w:r w:rsidR="009258CE">
        <w:t>ing program in 2002. This resulted in the ACCC issuing a draft guideline</w:t>
      </w:r>
      <w:r w:rsidR="009258CE">
        <w:rPr>
          <w:i/>
        </w:rPr>
        <w:t xml:space="preserve"> </w:t>
      </w:r>
      <w:r w:rsidR="009258CE">
        <w:t>to the</w:t>
      </w:r>
      <w:r w:rsidR="00940B81">
        <w:t xml:space="preserve"> then</w:t>
      </w:r>
      <w:r w:rsidR="009258CE">
        <w:t xml:space="preserve"> Department of Transport</w:t>
      </w:r>
      <w:r w:rsidR="00940B81">
        <w:t xml:space="preserve"> and Regional Services (now </w:t>
      </w:r>
      <w:r w:rsidR="009258CE">
        <w:t xml:space="preserve">the </w:t>
      </w:r>
      <w:r w:rsidR="00B3314F">
        <w:t>DoIRD</w:t>
      </w:r>
      <w:r w:rsidR="009258CE">
        <w:t>) and airport stakeholders in November 2002, seeking comments.</w:t>
      </w:r>
    </w:p>
    <w:p w:rsidR="008152BC" w:rsidRPr="008152BC" w:rsidRDefault="00B019A4" w:rsidP="00D81FCF">
      <w:r>
        <w:t>In November</w:t>
      </w:r>
      <w:r w:rsidR="008152BC">
        <w:t xml:space="preserve"> 2002, </w:t>
      </w:r>
      <w:r w:rsidR="00F5565F">
        <w:t xml:space="preserve">the then Department of Transport and Regional Services </w:t>
      </w:r>
      <w:r w:rsidR="006945EB">
        <w:t xml:space="preserve">also </w:t>
      </w:r>
      <w:r w:rsidR="00F5565F">
        <w:t xml:space="preserve">commenced </w:t>
      </w:r>
      <w:r w:rsidR="008152BC">
        <w:t xml:space="preserve">a review of the </w:t>
      </w:r>
      <w:r w:rsidR="00F5565F">
        <w:t>Airports Act. This review considered, among other things, the provisions in</w:t>
      </w:r>
      <w:r w:rsidR="00EE1D3F">
        <w:t xml:space="preserve"> Part </w:t>
      </w:r>
      <w:r w:rsidR="00F5565F">
        <w:t xml:space="preserve">8 of the Airports Act, which set out the requirements for the ACCC to monitor and evaluate the quality of certain </w:t>
      </w:r>
      <w:r w:rsidR="00F5565F" w:rsidRPr="00EE1D3F">
        <w:rPr>
          <w:i/>
        </w:rPr>
        <w:t>aspects</w:t>
      </w:r>
      <w:r w:rsidR="00F5565F">
        <w:t xml:space="preserve"> of airport services and facilities. Given the related nature of the Department’s review, the ACCC issued its revised </w:t>
      </w:r>
      <w:r w:rsidR="00F5565F">
        <w:rPr>
          <w:i/>
        </w:rPr>
        <w:t xml:space="preserve">Guidelines for quality of service monitoring at airports </w:t>
      </w:r>
      <w:r w:rsidR="00F5565F">
        <w:t xml:space="preserve">in March 2004, following the conclusion of the </w:t>
      </w:r>
      <w:r w:rsidR="0087425C">
        <w:t xml:space="preserve">review of the </w:t>
      </w:r>
      <w:r w:rsidR="00F5565F">
        <w:t xml:space="preserve">Airports Act. </w:t>
      </w:r>
      <w:r w:rsidR="00A36536">
        <w:t xml:space="preserve">The revised guideline introduced a number of new objective quality of service measures, to complement the existing (and largely subjective) surveys of airport users. </w:t>
      </w:r>
      <w:r w:rsidR="005B3AD8" w:rsidRPr="00F5565F">
        <w:t>T</w:t>
      </w:r>
      <w:r w:rsidR="00F5565F">
        <w:t xml:space="preserve">he 2004 guideline anticipated </w:t>
      </w:r>
      <w:r w:rsidR="004034CE">
        <w:t xml:space="preserve">the </w:t>
      </w:r>
      <w:r w:rsidR="00F5565F">
        <w:t xml:space="preserve">amendments to the Airports Act, </w:t>
      </w:r>
      <w:r w:rsidR="00D81FCF">
        <w:t xml:space="preserve">arising from </w:t>
      </w:r>
      <w:r w:rsidR="00F5565F">
        <w:t>the Department’s review, which took effect in April 2007.</w:t>
      </w:r>
      <w:r w:rsidR="006945EB">
        <w:t xml:space="preserve"> </w:t>
      </w:r>
    </w:p>
    <w:p w:rsidR="00223D27" w:rsidRPr="008152BC" w:rsidRDefault="005B3AD8" w:rsidP="00223D27">
      <w:r>
        <w:t>T</w:t>
      </w:r>
      <w:r w:rsidR="008152BC" w:rsidRPr="008152BC">
        <w:t xml:space="preserve">he PC conducted </w:t>
      </w:r>
      <w:r w:rsidR="008152BC">
        <w:t>a scheduled review of the</w:t>
      </w:r>
      <w:r w:rsidR="00304853">
        <w:t xml:space="preserve"> regulatory framework </w:t>
      </w:r>
      <w:r w:rsidR="008152BC">
        <w:t>for</w:t>
      </w:r>
      <w:r w:rsidR="008152BC" w:rsidRPr="008152BC">
        <w:t xml:space="preserve"> airport services</w:t>
      </w:r>
      <w:r>
        <w:t xml:space="preserve"> in 2006</w:t>
      </w:r>
      <w:r w:rsidR="008152BC" w:rsidRPr="008152BC">
        <w:t>.</w:t>
      </w:r>
      <w:r>
        <w:t xml:space="preserve"> In response to the PC’s recommendations, the Government announced that the airport price and quality of service monitoring program would continue for a further six-year period and that, following this period, an independent review of the</w:t>
      </w:r>
      <w:r w:rsidR="00304853">
        <w:t xml:space="preserve"> monitoring arrangements </w:t>
      </w:r>
      <w:r>
        <w:t xml:space="preserve">would be undertaken to ascertain the need for future regulation. The Government also asked the ACCC to consider the PC’s recommendations to examine opportunities to improve and streamline quality of service </w:t>
      </w:r>
      <w:r w:rsidRPr="00EE1D3F">
        <w:t>monitoring</w:t>
      </w:r>
      <w:r w:rsidR="00EE1D3F" w:rsidRPr="00EE1D3F">
        <w:t xml:space="preserve"> and consider the possibility of international benchmarking</w:t>
      </w:r>
      <w:r w:rsidRPr="00EE1D3F">
        <w:t>.</w:t>
      </w:r>
      <w:r w:rsidRPr="00EE1D3F">
        <w:rPr>
          <w:rStyle w:val="FootnoteReference"/>
        </w:rPr>
        <w:footnoteReference w:id="2"/>
      </w:r>
      <w:r>
        <w:t xml:space="preserve"> </w:t>
      </w:r>
    </w:p>
    <w:p w:rsidR="007A60F9" w:rsidRDefault="00612F72" w:rsidP="006F23B7">
      <w:r>
        <w:lastRenderedPageBreak/>
        <w:t>Following the 2006 PC review</w:t>
      </w:r>
      <w:r w:rsidR="005E7A52" w:rsidRPr="005E7A52">
        <w:t>, the ACCC conducted a review of the quality of servic</w:t>
      </w:r>
      <w:r w:rsidR="005E7A52">
        <w:t xml:space="preserve">e monitoring program in 2007. The 2007 review examined any potential overlap in the existing quality of service measures, the possibility of international benchmarking and the use of airport users’ surveys in the monitoring program. The 2007 review resulted in some changes to the process for surveying airport users, which </w:t>
      </w:r>
      <w:r>
        <w:t>we</w:t>
      </w:r>
      <w:r w:rsidR="005E7A52">
        <w:t xml:space="preserve">re reflected in the ACCC’s </w:t>
      </w:r>
      <w:r w:rsidR="005E7A52">
        <w:rPr>
          <w:i/>
        </w:rPr>
        <w:t>Airport quality of service monitoring guideline</w:t>
      </w:r>
      <w:r w:rsidR="005E7A52">
        <w:t>, published in October 2008.</w:t>
      </w:r>
    </w:p>
    <w:p w:rsidR="00144A11" w:rsidRDefault="00612F72" w:rsidP="006B1615">
      <w:r>
        <w:t xml:space="preserve">On 30 March 2012, in response to the </w:t>
      </w:r>
      <w:r w:rsidR="0087425C">
        <w:t xml:space="preserve">2011 </w:t>
      </w:r>
      <w:r>
        <w:t>PC inquiry</w:t>
      </w:r>
      <w:r w:rsidR="00C520AE">
        <w:t xml:space="preserve"> into the economic regulation of airport services</w:t>
      </w:r>
      <w:r>
        <w:t xml:space="preserve">, </w:t>
      </w:r>
      <w:r w:rsidR="002D1BDD">
        <w:t xml:space="preserve">the Government </w:t>
      </w:r>
      <w:r>
        <w:t>directed the ACCC to continue price and quality of service monitoring at Brisbane, Melbourne, Perth and Sydney airports, until June 2020</w:t>
      </w:r>
      <w:r w:rsidR="00654474">
        <w:rPr>
          <w:rStyle w:val="FootnoteReference"/>
        </w:rPr>
        <w:footnoteReference w:id="3"/>
      </w:r>
      <w:r>
        <w:t xml:space="preserve">. </w:t>
      </w:r>
      <w:r w:rsidR="0087425C">
        <w:t>In its 2011 review, t</w:t>
      </w:r>
      <w:r w:rsidR="006B1615">
        <w:t xml:space="preserve">he PC found that while there had been a number of positive outcomes in recent years, it found that </w:t>
      </w:r>
      <w:r w:rsidR="006C6C6E">
        <w:t xml:space="preserve">these airports still </w:t>
      </w:r>
      <w:r w:rsidR="006B1615">
        <w:t>retained</w:t>
      </w:r>
      <w:r w:rsidR="00DF4A47">
        <w:t xml:space="preserve"> sufficient market power to be of policy concern. </w:t>
      </w:r>
      <w:r w:rsidR="0087425C">
        <w:t>As part of its response to the 2011 PC review, t</w:t>
      </w:r>
      <w:r>
        <w:t>he Government</w:t>
      </w:r>
      <w:r w:rsidR="00DF4A47">
        <w:t xml:space="preserve"> </w:t>
      </w:r>
      <w:r>
        <w:t xml:space="preserve">also asked the ACCC to review and update the objective criteria used in </w:t>
      </w:r>
      <w:r w:rsidR="00B42E80">
        <w:t>its</w:t>
      </w:r>
      <w:r>
        <w:t xml:space="preserve"> quality of service monitoring program.</w:t>
      </w:r>
      <w:r>
        <w:rPr>
          <w:rStyle w:val="FootnoteReference"/>
        </w:rPr>
        <w:footnoteReference w:id="4"/>
      </w:r>
      <w:r w:rsidR="00DE14B3">
        <w:t xml:space="preserve"> </w:t>
      </w:r>
      <w:r w:rsidR="00C520AE">
        <w:t>This guideline is the result of the ACCC</w:t>
      </w:r>
      <w:r w:rsidR="00C22001">
        <w:t>’s</w:t>
      </w:r>
      <w:r w:rsidR="00C520AE">
        <w:t xml:space="preserve"> review </w:t>
      </w:r>
      <w:r w:rsidR="002D1BDD">
        <w:t xml:space="preserve">of </w:t>
      </w:r>
      <w:r w:rsidR="00C520AE">
        <w:t xml:space="preserve">its quality of services monitoring program </w:t>
      </w:r>
      <w:r w:rsidR="00144A11">
        <w:t xml:space="preserve">and has been </w:t>
      </w:r>
      <w:r w:rsidR="00C520AE">
        <w:t>informed by two rounds of public consultation</w:t>
      </w:r>
      <w:r w:rsidR="002D1BDD">
        <w:t>,</w:t>
      </w:r>
      <w:r w:rsidR="003318A0">
        <w:t xml:space="preserve"> and determined in consultation with the </w:t>
      </w:r>
      <w:r w:rsidR="00B3314F">
        <w:t>DoIRD</w:t>
      </w:r>
      <w:r w:rsidR="003318A0">
        <w:t xml:space="preserve"> and the Treasury</w:t>
      </w:r>
      <w:r w:rsidR="00C520AE">
        <w:t>.</w:t>
      </w:r>
      <w:r w:rsidR="00C22001" w:rsidDel="00C22001">
        <w:t xml:space="preserve"> </w:t>
      </w:r>
    </w:p>
    <w:p w:rsidR="00C22001" w:rsidRDefault="00FD2DC5" w:rsidP="009366AD">
      <w:r>
        <w:t xml:space="preserve">Information collected as part of the ACCC quality of service monitoring program </w:t>
      </w:r>
      <w:r w:rsidR="0016760E">
        <w:t>complement</w:t>
      </w:r>
      <w:r w:rsidR="0087425C">
        <w:t>s</w:t>
      </w:r>
      <w:r w:rsidR="0016760E">
        <w:t xml:space="preserve"> </w:t>
      </w:r>
      <w:r>
        <w:t>the ACCC</w:t>
      </w:r>
      <w:r w:rsidR="0087425C">
        <w:t>’s</w:t>
      </w:r>
      <w:r>
        <w:t xml:space="preserve"> formal </w:t>
      </w:r>
      <w:r w:rsidR="00C22001">
        <w:t xml:space="preserve">price monitoring role and assists </w:t>
      </w:r>
      <w:r w:rsidR="00DB0C3E">
        <w:t xml:space="preserve">with </w:t>
      </w:r>
      <w:r w:rsidR="00C22001">
        <w:t>the assessment of an airport operator’s performance in a price monitoring environment.</w:t>
      </w:r>
      <w:r w:rsidR="006C6C6E">
        <w:t xml:space="preserve"> </w:t>
      </w:r>
      <w:r w:rsidR="0080761C">
        <w:t>As part of the quality of service monitoring program</w:t>
      </w:r>
      <w:r w:rsidR="002D1BDD">
        <w:t>,</w:t>
      </w:r>
      <w:r w:rsidR="0080761C">
        <w:t xml:space="preserve"> the ACCC uses both objective data provided by the airport operators and subjective data gathered from users of the airports. </w:t>
      </w:r>
      <w:r w:rsidR="00C22001">
        <w:t xml:space="preserve">Objective data </w:t>
      </w:r>
      <w:r w:rsidR="008C56AB">
        <w:t>provides</w:t>
      </w:r>
      <w:r w:rsidR="00C22001">
        <w:t xml:space="preserve"> information about the number or size of facilities available, while subjective data provides </w:t>
      </w:r>
      <w:r w:rsidR="0080761C">
        <w:t>information on users’ perception</w:t>
      </w:r>
      <w:r w:rsidR="0087425C">
        <w:t>s</w:t>
      </w:r>
      <w:r w:rsidR="0080761C">
        <w:t xml:space="preserve"> of the </w:t>
      </w:r>
      <w:r w:rsidR="00C4036C">
        <w:t xml:space="preserve">availability and </w:t>
      </w:r>
      <w:r w:rsidR="0080761C">
        <w:t xml:space="preserve">quality of airport services or facilities. </w:t>
      </w:r>
      <w:r w:rsidR="00186FCE">
        <w:t xml:space="preserve">The objective data is set out in the Airports Regulations and the subjective data is described in this guideline. </w:t>
      </w:r>
    </w:p>
    <w:p w:rsidR="002C68FB" w:rsidRDefault="00134E78" w:rsidP="003B38B3">
      <w:pPr>
        <w:pStyle w:val="Numberedheading1"/>
      </w:pPr>
      <w:bookmarkStart w:id="9" w:name="_Toc359587366"/>
      <w:r>
        <w:lastRenderedPageBreak/>
        <w:t xml:space="preserve">The </w:t>
      </w:r>
      <w:r w:rsidR="002C68FB">
        <w:t>Airports Act</w:t>
      </w:r>
      <w:r>
        <w:t xml:space="preserve"> and Airports Regulations</w:t>
      </w:r>
      <w:bookmarkEnd w:id="9"/>
    </w:p>
    <w:p w:rsidR="00134E78" w:rsidRDefault="00134E78" w:rsidP="002C68FB">
      <w:r>
        <w:t xml:space="preserve">Part 8 of the Airports Act and the Airports Regulations provide for the ACCC to monitor </w:t>
      </w:r>
      <w:r w:rsidR="0032336B">
        <w:t xml:space="preserve">and evaluate </w:t>
      </w:r>
      <w:r>
        <w:t>the quality of serv</w:t>
      </w:r>
      <w:r w:rsidR="005F032F">
        <w:t xml:space="preserve">ices </w:t>
      </w:r>
      <w:r w:rsidR="00CF2DE0">
        <w:t xml:space="preserve">and facilities </w:t>
      </w:r>
      <w:r w:rsidR="005F032F">
        <w:t xml:space="preserve">at the monitored airports and </w:t>
      </w:r>
      <w:r>
        <w:t>set o</w:t>
      </w:r>
      <w:r w:rsidR="00CF2DE0">
        <w:t>ut the requirements for the ACCC’s quality of service monitoring program</w:t>
      </w:r>
      <w:r w:rsidR="005F032F">
        <w:t>. These requirements are</w:t>
      </w:r>
      <w:r>
        <w:t xml:space="preserve"> as follows:</w:t>
      </w:r>
    </w:p>
    <w:p w:rsidR="00134E78" w:rsidRDefault="00134E78" w:rsidP="00134E78">
      <w:pPr>
        <w:pStyle w:val="Listbullet1"/>
      </w:pPr>
      <w:r>
        <w:t xml:space="preserve">The ACCC monitors and </w:t>
      </w:r>
      <w:r w:rsidR="00637031">
        <w:t xml:space="preserve">evaluates the quality of </w:t>
      </w:r>
      <w:r w:rsidR="00637031">
        <w:rPr>
          <w:i/>
        </w:rPr>
        <w:t xml:space="preserve">aspects </w:t>
      </w:r>
      <w:r w:rsidR="00637031">
        <w:t xml:space="preserve">of services and facilities at certain airports. The Airports Regulations specify the </w:t>
      </w:r>
      <w:r w:rsidR="00637031">
        <w:rPr>
          <w:i/>
        </w:rPr>
        <w:t>aspects</w:t>
      </w:r>
      <w:r w:rsidR="00637031">
        <w:t xml:space="preserve"> and airports to be monitored</w:t>
      </w:r>
      <w:r w:rsidR="00477D52">
        <w:t xml:space="preserve"> and evaluated</w:t>
      </w:r>
      <w:r w:rsidR="00637031">
        <w:t xml:space="preserve">. The </w:t>
      </w:r>
      <w:r w:rsidR="00637031">
        <w:rPr>
          <w:i/>
        </w:rPr>
        <w:t>aspects</w:t>
      </w:r>
      <w:r w:rsidR="00637031">
        <w:t xml:space="preserve"> are listed in two tables: passenger-related services and facilities; and aircraft</w:t>
      </w:r>
      <w:r w:rsidR="00637031">
        <w:noBreakHyphen/>
        <w:t>related services and facilities</w:t>
      </w:r>
      <w:r w:rsidR="00083B07">
        <w:t xml:space="preserve"> (outlined </w:t>
      </w:r>
      <w:r w:rsidR="00083B07" w:rsidRPr="00FF4D3E">
        <w:t>in section 6</w:t>
      </w:r>
      <w:r w:rsidR="00477D52">
        <w:t xml:space="preserve"> of this guideline</w:t>
      </w:r>
      <w:r w:rsidR="00083B07">
        <w:t>)</w:t>
      </w:r>
      <w:r w:rsidR="00637031">
        <w:t xml:space="preserve">. There are 16 </w:t>
      </w:r>
      <w:r w:rsidR="00637031">
        <w:rPr>
          <w:i/>
        </w:rPr>
        <w:t>aspects</w:t>
      </w:r>
      <w:r w:rsidR="00637031">
        <w:t xml:space="preserve"> relating to services and facilities such as airport access, car parking, check-in, aerobridges and aircraft parking.</w:t>
      </w:r>
      <w:r w:rsidR="00004D1A">
        <w:t xml:space="preserve"> </w:t>
      </w:r>
    </w:p>
    <w:p w:rsidR="00637031" w:rsidRDefault="00711F39" w:rsidP="00134E78">
      <w:pPr>
        <w:pStyle w:val="Listbullet1"/>
      </w:pPr>
      <w:r>
        <w:t>The monitored airpor</w:t>
      </w:r>
      <w:r w:rsidR="00424839">
        <w:t>t</w:t>
      </w:r>
      <w:r w:rsidR="00803E5F">
        <w:t xml:space="preserve"> operator</w:t>
      </w:r>
      <w:r w:rsidR="00424839">
        <w:t xml:space="preserve">s are required to keep records about certain </w:t>
      </w:r>
      <w:r>
        <w:t xml:space="preserve">objective quality of service measures (termed </w:t>
      </w:r>
      <w:r>
        <w:rPr>
          <w:i/>
        </w:rPr>
        <w:t>matters</w:t>
      </w:r>
      <w:r>
        <w:t xml:space="preserve">) and provide a copy of those records to the ACCC. These </w:t>
      </w:r>
      <w:r>
        <w:rPr>
          <w:i/>
        </w:rPr>
        <w:t>matters</w:t>
      </w:r>
      <w:r>
        <w:t xml:space="preserve"> are specified in Schedule</w:t>
      </w:r>
      <w:r w:rsidR="00712023">
        <w:t xml:space="preserve"> 2 of the Airports Regulations.</w:t>
      </w:r>
    </w:p>
    <w:p w:rsidR="00637031" w:rsidRDefault="00637031" w:rsidP="00637031">
      <w:pPr>
        <w:pStyle w:val="Listbullet1"/>
      </w:pPr>
      <w:r>
        <w:t xml:space="preserve">Section 155 of the Airports Act provides that the </w:t>
      </w:r>
      <w:r w:rsidR="00711F39">
        <w:t xml:space="preserve">ACCC’s </w:t>
      </w:r>
      <w:r>
        <w:t xml:space="preserve">monitoring and evaluation of an </w:t>
      </w:r>
      <w:r>
        <w:rPr>
          <w:i/>
        </w:rPr>
        <w:t xml:space="preserve">aspect </w:t>
      </w:r>
      <w:r>
        <w:t xml:space="preserve">must be against the </w:t>
      </w:r>
      <w:r>
        <w:rPr>
          <w:i/>
        </w:rPr>
        <w:t xml:space="preserve">criteria </w:t>
      </w:r>
      <w:r w:rsidR="00245ED3">
        <w:t xml:space="preserve">that </w:t>
      </w:r>
      <w:r w:rsidR="004C7B2D">
        <w:t xml:space="preserve">have </w:t>
      </w:r>
      <w:r w:rsidR="00245ED3">
        <w:t xml:space="preserve">been </w:t>
      </w:r>
      <w:r>
        <w:t>determined in writing by the ACCC</w:t>
      </w:r>
      <w:r w:rsidR="00711F39">
        <w:t xml:space="preserve"> in consultation with the </w:t>
      </w:r>
      <w:r w:rsidR="00B3314F">
        <w:t>DoIRD</w:t>
      </w:r>
      <w:r w:rsidR="00711F39">
        <w:t xml:space="preserve"> and the Treasury</w:t>
      </w:r>
      <w:r>
        <w:t xml:space="preserve">. </w:t>
      </w:r>
      <w:r w:rsidR="00711F39">
        <w:t xml:space="preserve">The </w:t>
      </w:r>
      <w:r w:rsidR="00711F39">
        <w:rPr>
          <w:i/>
        </w:rPr>
        <w:t xml:space="preserve">criteria </w:t>
      </w:r>
      <w:r w:rsidR="00711F39">
        <w:t xml:space="preserve">incorporate both objective and subjective quality of service measures and </w:t>
      </w:r>
      <w:r>
        <w:t xml:space="preserve">are outlined in </w:t>
      </w:r>
      <w:r w:rsidR="00C4036C">
        <w:t xml:space="preserve">section 6 of </w:t>
      </w:r>
      <w:r>
        <w:t>his guideline.</w:t>
      </w:r>
      <w:r w:rsidR="00083B07">
        <w:t xml:space="preserve"> </w:t>
      </w:r>
    </w:p>
    <w:p w:rsidR="00D04DAF" w:rsidRDefault="00D04DAF" w:rsidP="00D04DAF">
      <w:pPr>
        <w:pStyle w:val="Listbullet1"/>
      </w:pPr>
      <w:r>
        <w:t>The information that the ACCC collects on subjective quality of service measures are not specified in the Airport</w:t>
      </w:r>
      <w:r w:rsidR="00CF2DE0">
        <w:t>s</w:t>
      </w:r>
      <w:r>
        <w:t xml:space="preserve"> Regulations or the Airports Act. The ACCC collects information on subjective quality of service </w:t>
      </w:r>
      <w:r>
        <w:rPr>
          <w:i/>
        </w:rPr>
        <w:t xml:space="preserve">criteria </w:t>
      </w:r>
      <w:r w:rsidRPr="00245ED3">
        <w:t xml:space="preserve">through </w:t>
      </w:r>
      <w:r w:rsidR="004D6E53">
        <w:t xml:space="preserve">its own </w:t>
      </w:r>
      <w:r w:rsidR="00424839">
        <w:t>surveys of</w:t>
      </w:r>
      <w:r w:rsidR="00B83FF2">
        <w:t>,</w:t>
      </w:r>
      <w:r w:rsidR="00424839">
        <w:t xml:space="preserve"> </w:t>
      </w:r>
      <w:r w:rsidR="00EC0B1B">
        <w:t>and consultations with</w:t>
      </w:r>
      <w:r w:rsidR="00B83FF2">
        <w:t>,</w:t>
      </w:r>
      <w:r w:rsidR="00EC0B1B">
        <w:t xml:space="preserve"> </w:t>
      </w:r>
      <w:r w:rsidR="00424839">
        <w:t>airlines</w:t>
      </w:r>
      <w:r w:rsidR="000F7476">
        <w:t xml:space="preserve"> and </w:t>
      </w:r>
      <w:r w:rsidR="00424839" w:rsidRPr="008958A0">
        <w:t>l</w:t>
      </w:r>
      <w:r w:rsidRPr="008958A0">
        <w:t>andside operators. The monitored airport</w:t>
      </w:r>
      <w:r w:rsidR="008E5B71" w:rsidRPr="008958A0">
        <w:t xml:space="preserve"> operator</w:t>
      </w:r>
      <w:r w:rsidRPr="008958A0">
        <w:t>s</w:t>
      </w:r>
      <w:r w:rsidRPr="00060D7C">
        <w:t xml:space="preserve"> also </w:t>
      </w:r>
      <w:r w:rsidR="00394D78" w:rsidRPr="00060D7C">
        <w:t xml:space="preserve">voluntarily </w:t>
      </w:r>
      <w:r w:rsidRPr="00060D7C">
        <w:t>conduct surveys of passengers</w:t>
      </w:r>
      <w:r w:rsidR="004D6E53">
        <w:t xml:space="preserve">. The Airport Regulations require that where surveys are conducted by airport operators, </w:t>
      </w:r>
      <w:r w:rsidRPr="00060D7C">
        <w:t>results</w:t>
      </w:r>
      <w:r w:rsidR="004C7B2D">
        <w:t xml:space="preserve"> of these surveys</w:t>
      </w:r>
      <w:r w:rsidR="004D6E53">
        <w:t xml:space="preserve"> must be provided to the ACCC</w:t>
      </w:r>
      <w:r w:rsidRPr="00060D7C">
        <w:t>.</w:t>
      </w:r>
      <w:r w:rsidR="00083B07">
        <w:t xml:space="preserve"> </w:t>
      </w:r>
    </w:p>
    <w:p w:rsidR="00711F39" w:rsidRDefault="00083B07" w:rsidP="00637031">
      <w:pPr>
        <w:pStyle w:val="Listbullet1"/>
      </w:pPr>
      <w:r>
        <w:t xml:space="preserve">Section 157 of the Airports Act provides </w:t>
      </w:r>
      <w:r w:rsidR="00551968">
        <w:t xml:space="preserve">for </w:t>
      </w:r>
      <w:r>
        <w:t xml:space="preserve">the ACCC </w:t>
      </w:r>
      <w:r w:rsidR="00551968">
        <w:t xml:space="preserve">to </w:t>
      </w:r>
      <w:r>
        <w:t xml:space="preserve">publish reports relating to its monitoring and evaluation of the quality of </w:t>
      </w:r>
      <w:r w:rsidRPr="00083B07">
        <w:rPr>
          <w:i/>
        </w:rPr>
        <w:t>aspects</w:t>
      </w:r>
      <w:r>
        <w:t xml:space="preserve"> of airport services and facilities. T</w:t>
      </w:r>
      <w:r w:rsidR="00711F39" w:rsidRPr="00083B07">
        <w:t>he</w:t>
      </w:r>
      <w:r w:rsidR="00711F39" w:rsidRPr="00004D1A">
        <w:t xml:space="preserve"> ACCC </w:t>
      </w:r>
      <w:r w:rsidR="00D04DAF" w:rsidRPr="00004D1A">
        <w:t>intends to publish annual reports on the findings of its</w:t>
      </w:r>
      <w:r w:rsidR="00711F39" w:rsidRPr="00004D1A">
        <w:t xml:space="preserve"> monitoring and evaluation of quality of service against the prescribed </w:t>
      </w:r>
      <w:r w:rsidR="00711F39" w:rsidRPr="00004D1A">
        <w:rPr>
          <w:i/>
        </w:rPr>
        <w:t>criteria</w:t>
      </w:r>
      <w:r>
        <w:t xml:space="preserve">. </w:t>
      </w:r>
      <w:r w:rsidRPr="008958A0">
        <w:t>Section 5</w:t>
      </w:r>
      <w:r w:rsidR="00B83FF2">
        <w:t xml:space="preserve"> of this guideline</w:t>
      </w:r>
      <w:r>
        <w:t xml:space="preserve"> outlines the ACCC’s approach to publishing reports on the results of quality of service monitoring.</w:t>
      </w:r>
    </w:p>
    <w:p w:rsidR="00AB638F" w:rsidRDefault="00AB638F" w:rsidP="00AB638F">
      <w:pPr>
        <w:pStyle w:val="Numberedheading1"/>
      </w:pPr>
      <w:bookmarkStart w:id="10" w:name="_Toc359587367"/>
      <w:r>
        <w:lastRenderedPageBreak/>
        <w:t>The ACCC</w:t>
      </w:r>
      <w:r w:rsidR="0067166F">
        <w:t>’s</w:t>
      </w:r>
      <w:r>
        <w:t xml:space="preserve"> approach to quality of service monitoring</w:t>
      </w:r>
      <w:bookmarkEnd w:id="10"/>
      <w:r>
        <w:t xml:space="preserve"> </w:t>
      </w:r>
    </w:p>
    <w:p w:rsidR="00C235A8" w:rsidRPr="00D04DAF" w:rsidRDefault="00C235A8" w:rsidP="00C235A8">
      <w:pPr>
        <w:pStyle w:val="Numberedheading2"/>
      </w:pPr>
      <w:bookmarkStart w:id="11" w:name="_Toc359587368"/>
      <w:r>
        <w:t>Objectives of quality of service monitoring</w:t>
      </w:r>
      <w:bookmarkEnd w:id="11"/>
    </w:p>
    <w:p w:rsidR="00142CF9" w:rsidRDefault="00142CF9" w:rsidP="00142CF9">
      <w:r>
        <w:t>In undertaking its price monitoring and quality of service monitoring functions, the ACCC seeks to increase the transparency of airport operators’ performance and discourage them from excessively increasing prices and</w:t>
      </w:r>
      <w:r w:rsidR="001405D4">
        <w:t>/or</w:t>
      </w:r>
      <w:r>
        <w:t xml:space="preserve"> </w:t>
      </w:r>
      <w:r w:rsidR="004C7B2D">
        <w:t>lowering</w:t>
      </w:r>
      <w:r>
        <w:t xml:space="preserve"> standard</w:t>
      </w:r>
      <w:r w:rsidR="004C7B2D">
        <w:t>s</w:t>
      </w:r>
      <w:r>
        <w:t xml:space="preserve"> of aeronautical services. Therefore, the ACCC is focused on measuring the performance of the airport operator</w:t>
      </w:r>
      <w:r w:rsidR="00DD5A5E">
        <w:t>,</w:t>
      </w:r>
      <w:r>
        <w:t xml:space="preserve"> rather than the performance of various services at the airport which could be provided by persons other than the airport operator. In particular, the quality of service monitoring program does not include domestic terminals owned and/or operated by airlines under </w:t>
      </w:r>
      <w:r w:rsidR="00E64CEF">
        <w:t>d</w:t>
      </w:r>
      <w:r>
        <w:t xml:space="preserve">omestic </w:t>
      </w:r>
      <w:r w:rsidR="00E64CEF">
        <w:t>t</w:t>
      </w:r>
      <w:r>
        <w:t xml:space="preserve">erminal </w:t>
      </w:r>
      <w:r w:rsidR="00382C0D">
        <w:t>leases as</w:t>
      </w:r>
      <w:r>
        <w:t xml:space="preserve"> the airport operators do not influence the quality of services provided in these terminals</w:t>
      </w:r>
      <w:r w:rsidR="00E36406">
        <w:t>.</w:t>
      </w:r>
      <w:r w:rsidR="006D402E">
        <w:rPr>
          <w:rStyle w:val="FootnoteReference"/>
        </w:rPr>
        <w:footnoteReference w:id="5"/>
      </w:r>
    </w:p>
    <w:p w:rsidR="00142CF9" w:rsidRDefault="00142CF9" w:rsidP="00142CF9">
      <w:r>
        <w:t xml:space="preserve">The ACCC’s quality of service monitoring program aims to gather </w:t>
      </w:r>
      <w:r w:rsidR="00DD5A5E">
        <w:t xml:space="preserve">information </w:t>
      </w:r>
      <w:r>
        <w:t xml:space="preserve">and report on </w:t>
      </w:r>
      <w:r>
        <w:rPr>
          <w:i/>
        </w:rPr>
        <w:t>criteria</w:t>
      </w:r>
      <w:r>
        <w:t xml:space="preserve"> that facilitate </w:t>
      </w:r>
      <w:r w:rsidR="00DD5A5E">
        <w:t xml:space="preserve">the </w:t>
      </w:r>
      <w:r>
        <w:t>assessment of changes in service quality over time at an airport, as this can assist in the ACCC’s assessment of the airport operator</w:t>
      </w:r>
      <w:r w:rsidR="00E36406">
        <w:t>’</w:t>
      </w:r>
      <w:r>
        <w:t xml:space="preserve">s performance </w:t>
      </w:r>
      <w:r w:rsidR="00DD5A5E">
        <w:t xml:space="preserve">when analysed </w:t>
      </w:r>
      <w:r>
        <w:t xml:space="preserve">in the context of </w:t>
      </w:r>
      <w:r w:rsidR="004C7B2D">
        <w:t>the results of its</w:t>
      </w:r>
      <w:r>
        <w:t xml:space="preserve"> price monitoring</w:t>
      </w:r>
      <w:r w:rsidR="00DD5A5E">
        <w:t xml:space="preserve"> functions</w:t>
      </w:r>
      <w:r>
        <w:t>. The ACCC considers that the objectives of quality of service monitoring, while minimising the cost of compliance for airport operators, are to:</w:t>
      </w:r>
    </w:p>
    <w:p w:rsidR="00142CF9" w:rsidRDefault="00142CF9" w:rsidP="00142CF9">
      <w:pPr>
        <w:pStyle w:val="Listbullet1"/>
      </w:pPr>
      <w:r>
        <w:t>assist the assessment of an airport operator’s performance in a price monitoring environment</w:t>
      </w:r>
    </w:p>
    <w:p w:rsidR="00142CF9" w:rsidRDefault="00142CF9" w:rsidP="00142CF9">
      <w:pPr>
        <w:pStyle w:val="Listbullet1"/>
      </w:pPr>
      <w:r>
        <w:t xml:space="preserve">improve the transparency of </w:t>
      </w:r>
      <w:r w:rsidR="007D11A0">
        <w:t xml:space="preserve">an </w:t>
      </w:r>
      <w:r>
        <w:t>airport</w:t>
      </w:r>
      <w:r w:rsidR="008E5B71">
        <w:t xml:space="preserve"> operator</w:t>
      </w:r>
      <w:r w:rsidR="007D11A0">
        <w:t>’</w:t>
      </w:r>
      <w:r w:rsidR="008E5B71">
        <w:t>s</w:t>
      </w:r>
      <w:r>
        <w:t xml:space="preserve"> performance to:</w:t>
      </w:r>
    </w:p>
    <w:p w:rsidR="00E42E36" w:rsidRDefault="00142CF9">
      <w:pPr>
        <w:pStyle w:val="ListBullet21"/>
        <w:numPr>
          <w:ilvl w:val="0"/>
          <w:numId w:val="10"/>
        </w:numPr>
      </w:pPr>
      <w:r>
        <w:t xml:space="preserve">discourage airport operators from deteriorating standards for services in those areas </w:t>
      </w:r>
      <w:r w:rsidR="004C7B2D">
        <w:t xml:space="preserve">under the control of </w:t>
      </w:r>
      <w:r>
        <w:t xml:space="preserve">the airport operator </w:t>
      </w:r>
    </w:p>
    <w:p w:rsidR="00E42E36" w:rsidRDefault="00142CF9">
      <w:pPr>
        <w:pStyle w:val="ListBullet21"/>
        <w:numPr>
          <w:ilvl w:val="0"/>
          <w:numId w:val="10"/>
        </w:numPr>
      </w:pPr>
      <w:r>
        <w:t>provide information to users of airport services and facilities as a basis for improved consultation and negotiation on pricing and investment proposals</w:t>
      </w:r>
    </w:p>
    <w:p w:rsidR="00E42E36" w:rsidRDefault="00142CF9">
      <w:pPr>
        <w:pStyle w:val="ListBullet21"/>
        <w:numPr>
          <w:ilvl w:val="0"/>
          <w:numId w:val="10"/>
        </w:numPr>
      </w:pPr>
      <w:r>
        <w:t>assist the Government in its industry analysis.</w:t>
      </w:r>
    </w:p>
    <w:p w:rsidR="0033136A" w:rsidRDefault="0033136A" w:rsidP="0033136A">
      <w:pPr>
        <w:pStyle w:val="Numberedheading2"/>
      </w:pPr>
      <w:bookmarkStart w:id="12" w:name="_Toc359587369"/>
      <w:r>
        <w:t>The ACCC</w:t>
      </w:r>
      <w:r w:rsidR="0067166F">
        <w:t>’s</w:t>
      </w:r>
      <w:r>
        <w:t xml:space="preserve"> process in quality of service monitoring</w:t>
      </w:r>
      <w:bookmarkEnd w:id="12"/>
      <w:r>
        <w:t xml:space="preserve"> </w:t>
      </w:r>
    </w:p>
    <w:p w:rsidR="00F8253C" w:rsidRDefault="00EC0511" w:rsidP="00F8253C">
      <w:r>
        <w:t xml:space="preserve">As </w:t>
      </w:r>
      <w:r w:rsidR="002D7E2B">
        <w:t xml:space="preserve">noted, </w:t>
      </w:r>
      <w:r>
        <w:t>t</w:t>
      </w:r>
      <w:r w:rsidR="00F8253C">
        <w:t xml:space="preserve">he Airports Act requires the ACCC to monitor and evaluate the quality of certain </w:t>
      </w:r>
      <w:r w:rsidR="00F8253C" w:rsidRPr="008B18FE">
        <w:rPr>
          <w:i/>
        </w:rPr>
        <w:t>aspects</w:t>
      </w:r>
      <w:r w:rsidR="00F8253C">
        <w:t xml:space="preserve"> of airport services and facilities. These </w:t>
      </w:r>
      <w:r w:rsidR="00F8253C" w:rsidRPr="008B18FE">
        <w:rPr>
          <w:i/>
        </w:rPr>
        <w:t>aspects</w:t>
      </w:r>
      <w:r w:rsidR="00F8253C">
        <w:t xml:space="preserve"> are outlined in the Airports Regulations and are listed in two categories: aircraft-related services and facilities and passenger-related services and facilities.</w:t>
      </w:r>
    </w:p>
    <w:p w:rsidR="00F8253C" w:rsidRDefault="00F8253C" w:rsidP="00F8253C">
      <w:r>
        <w:t xml:space="preserve">In monitoring and evaluating these </w:t>
      </w:r>
      <w:r w:rsidRPr="00551968">
        <w:rPr>
          <w:i/>
        </w:rPr>
        <w:t>aspects</w:t>
      </w:r>
      <w:r>
        <w:t xml:space="preserve"> the ACCC uses both objective and subjective data. The objective data (termed </w:t>
      </w:r>
      <w:r w:rsidRPr="008B18FE">
        <w:rPr>
          <w:i/>
        </w:rPr>
        <w:t>matters</w:t>
      </w:r>
      <w:r>
        <w:t>) are set out in Schedule 2 of the Airports Regulations and list the information the monitored airport operators are required keep a record of</w:t>
      </w:r>
      <w:r w:rsidR="0006580F">
        <w:t>,</w:t>
      </w:r>
      <w:r>
        <w:t xml:space="preserve"> and supply to</w:t>
      </w:r>
      <w:r w:rsidR="0006580F">
        <w:t>,</w:t>
      </w:r>
      <w:r>
        <w:t xml:space="preserve"> the ACCC</w:t>
      </w:r>
      <w:r w:rsidR="00EC0511">
        <w:t xml:space="preserve"> </w:t>
      </w:r>
      <w:r w:rsidR="00EC0511" w:rsidRPr="00EC0511">
        <w:t>(</w:t>
      </w:r>
      <w:r w:rsidR="00EC0511" w:rsidRPr="008958A0">
        <w:t xml:space="preserve">section </w:t>
      </w:r>
      <w:r w:rsidR="00262FB3" w:rsidRPr="008958A0">
        <w:t>4.</w:t>
      </w:r>
      <w:r w:rsidR="006D3AEC" w:rsidRPr="008958A0">
        <w:t>1.1</w:t>
      </w:r>
      <w:r w:rsidR="00EC0511">
        <w:t xml:space="preserve"> </w:t>
      </w:r>
      <w:r w:rsidR="00EC0511" w:rsidRPr="00EC0511">
        <w:t>discusse</w:t>
      </w:r>
      <w:r w:rsidR="0067166F">
        <w:t>s</w:t>
      </w:r>
      <w:r w:rsidR="00EC0511" w:rsidRPr="00EC0511">
        <w:t xml:space="preserve"> </w:t>
      </w:r>
      <w:r w:rsidR="00EC0511">
        <w:t>these reporting requirements in</w:t>
      </w:r>
      <w:r w:rsidR="00EC0511" w:rsidRPr="00EC0511">
        <w:t xml:space="preserve"> more detail</w:t>
      </w:r>
      <w:r w:rsidR="00EC0511">
        <w:t>)</w:t>
      </w:r>
      <w:r w:rsidR="00EC0511" w:rsidRPr="00EC0511">
        <w:t>.</w:t>
      </w:r>
      <w:r w:rsidR="000F52E4">
        <w:t xml:space="preserve"> </w:t>
      </w:r>
      <w:r>
        <w:t xml:space="preserve">The information from these </w:t>
      </w:r>
      <w:r w:rsidRPr="008B18FE">
        <w:rPr>
          <w:i/>
        </w:rPr>
        <w:t>matters</w:t>
      </w:r>
      <w:r>
        <w:t xml:space="preserve"> assists the ACCC’s monitoring and evaluation of the quality of </w:t>
      </w:r>
      <w:r w:rsidRPr="008B18FE">
        <w:rPr>
          <w:i/>
        </w:rPr>
        <w:t>aspects</w:t>
      </w:r>
      <w:r>
        <w:t xml:space="preserve"> of airport services and facilities. </w:t>
      </w:r>
    </w:p>
    <w:p w:rsidR="00F8253C" w:rsidRDefault="00F8253C" w:rsidP="00F8253C">
      <w:r>
        <w:t xml:space="preserve">The ACCC also collects subjective data as part of its assessment of particular </w:t>
      </w:r>
      <w:r w:rsidRPr="00CF2DE0">
        <w:rPr>
          <w:i/>
        </w:rPr>
        <w:t>aspects</w:t>
      </w:r>
      <w:r>
        <w:t xml:space="preserve"> of airport services and facilities. While subjective data may be more difficult to quantify than </w:t>
      </w:r>
      <w:r>
        <w:lastRenderedPageBreak/>
        <w:t>objective data, it provide</w:t>
      </w:r>
      <w:r w:rsidR="003A399B">
        <w:t>s</w:t>
      </w:r>
      <w:r>
        <w:t xml:space="preserve"> additional context for assessing an airport operator’s performance. For example, a change in an objective measure by itself may be difficult to interpret as it may not adequately reflect changes in quality or changes in users’ expectations </w:t>
      </w:r>
      <w:r w:rsidR="00DC0E50">
        <w:t xml:space="preserve">that </w:t>
      </w:r>
      <w:r>
        <w:t xml:space="preserve">would be </w:t>
      </w:r>
      <w:r w:rsidR="003A399B">
        <w:t>more aptly</w:t>
      </w:r>
      <w:r>
        <w:t xml:space="preserve"> captured by a subjective measure used in an airport users’ survey.</w:t>
      </w:r>
      <w:r w:rsidR="000F52E4">
        <w:t xml:space="preserve"> </w:t>
      </w:r>
    </w:p>
    <w:p w:rsidR="00525D13" w:rsidRDefault="000F52E4" w:rsidP="002D7E2B">
      <w:r w:rsidRPr="008958A0">
        <w:t xml:space="preserve">Unlike the objective data, the subjective data is not specified in the Airports Regulations or the Airports Act. The ACCC </w:t>
      </w:r>
      <w:r w:rsidR="003514E1" w:rsidRPr="008958A0">
        <w:t xml:space="preserve">incorporates </w:t>
      </w:r>
      <w:r w:rsidR="003A399B" w:rsidRPr="008958A0">
        <w:t xml:space="preserve">into its monitoring program </w:t>
      </w:r>
      <w:r w:rsidR="003514E1" w:rsidRPr="008958A0">
        <w:t xml:space="preserve">subjective </w:t>
      </w:r>
      <w:r w:rsidR="002D7E2B" w:rsidRPr="008958A0">
        <w:t xml:space="preserve">data gathered </w:t>
      </w:r>
      <w:r w:rsidR="003514E1" w:rsidRPr="008958A0">
        <w:t>from a range of airport users including: passengers, airlines</w:t>
      </w:r>
      <w:r w:rsidR="007D11A0">
        <w:t xml:space="preserve"> and</w:t>
      </w:r>
      <w:r w:rsidR="003514E1" w:rsidRPr="008958A0">
        <w:t xml:space="preserve"> landside operators.</w:t>
      </w:r>
      <w:r w:rsidR="002D7E2B" w:rsidRPr="008958A0">
        <w:t xml:space="preserve"> </w:t>
      </w:r>
      <w:r w:rsidR="00A80017" w:rsidRPr="008958A0">
        <w:t>T</w:t>
      </w:r>
      <w:r w:rsidR="002D7E2B" w:rsidRPr="008958A0">
        <w:t xml:space="preserve">he ACCC collects information on subjective </w:t>
      </w:r>
      <w:r w:rsidR="00A80017" w:rsidRPr="008958A0">
        <w:t>data</w:t>
      </w:r>
      <w:r w:rsidR="002D7E2B" w:rsidRPr="008958A0">
        <w:rPr>
          <w:i/>
        </w:rPr>
        <w:t xml:space="preserve"> </w:t>
      </w:r>
      <w:r w:rsidR="002D7E2B" w:rsidRPr="008958A0">
        <w:t xml:space="preserve">through surveys of airlines and through </w:t>
      </w:r>
      <w:r w:rsidR="00DC0E50">
        <w:t xml:space="preserve">surveys and </w:t>
      </w:r>
      <w:r w:rsidR="002D7E2B" w:rsidRPr="008958A0">
        <w:t xml:space="preserve">consultation with landside operators. The monitored airport operators also </w:t>
      </w:r>
      <w:r w:rsidR="00A80017" w:rsidRPr="008958A0">
        <w:t>voluntarily</w:t>
      </w:r>
      <w:r w:rsidR="007E60E3" w:rsidRPr="008958A0">
        <w:t xml:space="preserve"> conduct</w:t>
      </w:r>
      <w:r w:rsidR="00A80017" w:rsidRPr="008958A0">
        <w:t xml:space="preserve"> </w:t>
      </w:r>
      <w:r w:rsidR="002D7E2B" w:rsidRPr="008958A0">
        <w:t>surveys</w:t>
      </w:r>
      <w:r w:rsidR="00A80017" w:rsidRPr="008958A0">
        <w:t xml:space="preserve"> of passenger perception </w:t>
      </w:r>
      <w:r w:rsidR="008372F8" w:rsidRPr="008958A0">
        <w:t>of the quality of airport services and facilities</w:t>
      </w:r>
      <w:r w:rsidR="0006580F">
        <w:t>,</w:t>
      </w:r>
      <w:r w:rsidR="008372F8" w:rsidRPr="008958A0">
        <w:t xml:space="preserve"> </w:t>
      </w:r>
      <w:r w:rsidR="002D7E2B" w:rsidRPr="008958A0">
        <w:t xml:space="preserve">and provide the ACCC with the </w:t>
      </w:r>
      <w:r w:rsidR="003A399B" w:rsidRPr="008958A0">
        <w:t xml:space="preserve">survey </w:t>
      </w:r>
      <w:r w:rsidR="002D7E2B" w:rsidRPr="008958A0">
        <w:t>results</w:t>
      </w:r>
      <w:r w:rsidR="008372F8" w:rsidRPr="008958A0">
        <w:t xml:space="preserve"> as part of </w:t>
      </w:r>
      <w:r w:rsidR="00B900FC" w:rsidRPr="008958A0">
        <w:t>their</w:t>
      </w:r>
      <w:r w:rsidR="008372F8" w:rsidRPr="008958A0">
        <w:t xml:space="preserve"> </w:t>
      </w:r>
      <w:r w:rsidR="005B6CC9" w:rsidRPr="008958A0">
        <w:t>annual</w:t>
      </w:r>
      <w:r w:rsidR="008372F8" w:rsidRPr="008958A0">
        <w:t xml:space="preserve"> reporting</w:t>
      </w:r>
      <w:r w:rsidR="002D7E2B" w:rsidRPr="008958A0">
        <w:t>.</w:t>
      </w:r>
      <w:r w:rsidR="00A80017" w:rsidRPr="008958A0">
        <w:t xml:space="preserve"> </w:t>
      </w:r>
      <w:r w:rsidR="002D7E2B" w:rsidRPr="008958A0">
        <w:t xml:space="preserve">All survey participants are asked to rate the airport operators’ performance </w:t>
      </w:r>
      <w:r w:rsidR="00525D13" w:rsidRPr="008958A0">
        <w:t xml:space="preserve">for particular services or facilities </w:t>
      </w:r>
      <w:r w:rsidR="002D7E2B" w:rsidRPr="008958A0">
        <w:t>on a scale of 1</w:t>
      </w:r>
      <w:r w:rsidR="008A5704" w:rsidRPr="008958A0">
        <w:t xml:space="preserve"> </w:t>
      </w:r>
      <w:r w:rsidR="002D7E2B" w:rsidRPr="008958A0">
        <w:t>to 5</w:t>
      </w:r>
      <w:r w:rsidR="007E60E3" w:rsidRPr="008958A0">
        <w:t>,</w:t>
      </w:r>
      <w:r w:rsidR="002D7E2B" w:rsidRPr="008958A0">
        <w:t xml:space="preserve"> </w:t>
      </w:r>
      <w:r w:rsidR="007E60E3" w:rsidRPr="008958A0">
        <w:t>(as outlined in table 3.1)</w:t>
      </w:r>
      <w:r w:rsidR="0006580F">
        <w:t>.  T</w:t>
      </w:r>
      <w:r w:rsidR="002D7E2B" w:rsidRPr="008958A0">
        <w:t xml:space="preserve">he ACCC </w:t>
      </w:r>
      <w:r w:rsidR="0006580F">
        <w:t>considers</w:t>
      </w:r>
      <w:r w:rsidR="0006580F" w:rsidRPr="008958A0">
        <w:t xml:space="preserve"> </w:t>
      </w:r>
      <w:r w:rsidR="002D7E2B" w:rsidRPr="008958A0">
        <w:t xml:space="preserve">that ratings of 3 </w:t>
      </w:r>
      <w:r w:rsidR="00FB2413" w:rsidRPr="008958A0">
        <w:t xml:space="preserve">(satisfactory) </w:t>
      </w:r>
      <w:r w:rsidR="002D7E2B" w:rsidRPr="008958A0">
        <w:t>and above represent service at an efficient level.</w:t>
      </w:r>
      <w:r w:rsidR="002D7E2B">
        <w:t xml:space="preserve"> </w:t>
      </w:r>
      <w:r w:rsidR="007E60E3">
        <w:t xml:space="preserve"> </w:t>
      </w:r>
    </w:p>
    <w:p w:rsidR="00CD72AF" w:rsidRDefault="00CD72AF" w:rsidP="00CD72AF">
      <w:pPr>
        <w:pStyle w:val="Numberedtabletitle"/>
      </w:pPr>
      <w:r>
        <w:t>Rating of satisfaction for airport services and facilities</w:t>
      </w:r>
    </w:p>
    <w:tbl>
      <w:tblPr>
        <w:tblW w:w="0" w:type="auto"/>
        <w:tblBorders>
          <w:top w:val="single" w:sz="4" w:space="0" w:color="auto"/>
          <w:bottom w:val="single" w:sz="4" w:space="0" w:color="auto"/>
        </w:tblBorders>
        <w:tblLook w:val="04A0" w:firstRow="1" w:lastRow="0" w:firstColumn="1" w:lastColumn="0" w:noHBand="0" w:noVBand="1"/>
      </w:tblPr>
      <w:tblGrid>
        <w:gridCol w:w="1732"/>
        <w:gridCol w:w="1733"/>
        <w:gridCol w:w="1733"/>
        <w:gridCol w:w="1733"/>
        <w:gridCol w:w="1733"/>
      </w:tblGrid>
      <w:tr w:rsidR="00CD72AF" w:rsidTr="00CD72AF">
        <w:tc>
          <w:tcPr>
            <w:tcW w:w="1732" w:type="dxa"/>
          </w:tcPr>
          <w:p w:rsidR="00CD72AF" w:rsidRDefault="00CD72AF" w:rsidP="00CD72AF">
            <w:pPr>
              <w:pStyle w:val="Tabletextcentre"/>
            </w:pPr>
            <w:r>
              <w:t>1</w:t>
            </w:r>
          </w:p>
        </w:tc>
        <w:tc>
          <w:tcPr>
            <w:tcW w:w="1733" w:type="dxa"/>
          </w:tcPr>
          <w:p w:rsidR="00CD72AF" w:rsidRDefault="00CD72AF" w:rsidP="00CD72AF">
            <w:pPr>
              <w:pStyle w:val="Tabletextcentre"/>
            </w:pPr>
            <w:r>
              <w:t>2</w:t>
            </w:r>
          </w:p>
        </w:tc>
        <w:tc>
          <w:tcPr>
            <w:tcW w:w="1733" w:type="dxa"/>
          </w:tcPr>
          <w:p w:rsidR="00CD72AF" w:rsidRDefault="00CD72AF" w:rsidP="00CD72AF">
            <w:pPr>
              <w:pStyle w:val="Tabletextcentre"/>
            </w:pPr>
            <w:r>
              <w:t>3</w:t>
            </w:r>
          </w:p>
        </w:tc>
        <w:tc>
          <w:tcPr>
            <w:tcW w:w="1733" w:type="dxa"/>
          </w:tcPr>
          <w:p w:rsidR="00CD72AF" w:rsidRDefault="00CD72AF" w:rsidP="00CD72AF">
            <w:pPr>
              <w:pStyle w:val="Tabletextcentre"/>
            </w:pPr>
            <w:r>
              <w:t>4</w:t>
            </w:r>
          </w:p>
        </w:tc>
        <w:tc>
          <w:tcPr>
            <w:tcW w:w="1733" w:type="dxa"/>
          </w:tcPr>
          <w:p w:rsidR="00CD72AF" w:rsidRDefault="00CD72AF" w:rsidP="00CD72AF">
            <w:pPr>
              <w:pStyle w:val="Tabletextcentre"/>
            </w:pPr>
            <w:r>
              <w:t>5</w:t>
            </w:r>
          </w:p>
        </w:tc>
      </w:tr>
      <w:tr w:rsidR="00CD72AF" w:rsidTr="00CD72AF">
        <w:tc>
          <w:tcPr>
            <w:tcW w:w="1732" w:type="dxa"/>
          </w:tcPr>
          <w:p w:rsidR="00CD72AF" w:rsidRDefault="00CD72AF" w:rsidP="00CD72AF">
            <w:pPr>
              <w:pStyle w:val="Tabletextcentre"/>
            </w:pPr>
            <w:r>
              <w:t>Very poor</w:t>
            </w:r>
          </w:p>
        </w:tc>
        <w:tc>
          <w:tcPr>
            <w:tcW w:w="1733" w:type="dxa"/>
          </w:tcPr>
          <w:p w:rsidR="00CD72AF" w:rsidRDefault="00CD72AF" w:rsidP="00CD72AF">
            <w:pPr>
              <w:pStyle w:val="Tabletextcentre"/>
            </w:pPr>
            <w:r>
              <w:t>Poor</w:t>
            </w:r>
          </w:p>
        </w:tc>
        <w:tc>
          <w:tcPr>
            <w:tcW w:w="1733" w:type="dxa"/>
          </w:tcPr>
          <w:p w:rsidR="00CD72AF" w:rsidRDefault="00CD72AF" w:rsidP="00CD72AF">
            <w:pPr>
              <w:pStyle w:val="Tabletextcentre"/>
            </w:pPr>
            <w:r>
              <w:t>Satisfactory</w:t>
            </w:r>
          </w:p>
        </w:tc>
        <w:tc>
          <w:tcPr>
            <w:tcW w:w="1733" w:type="dxa"/>
          </w:tcPr>
          <w:p w:rsidR="00CD72AF" w:rsidRDefault="00CD72AF" w:rsidP="00CD72AF">
            <w:pPr>
              <w:pStyle w:val="Tabletextcentre"/>
            </w:pPr>
            <w:r>
              <w:t>Good</w:t>
            </w:r>
          </w:p>
        </w:tc>
        <w:tc>
          <w:tcPr>
            <w:tcW w:w="1733" w:type="dxa"/>
          </w:tcPr>
          <w:p w:rsidR="00CD72AF" w:rsidRDefault="00CD72AF" w:rsidP="00CD72AF">
            <w:pPr>
              <w:pStyle w:val="Tabletextcentre"/>
            </w:pPr>
            <w:r>
              <w:t>Excellent</w:t>
            </w:r>
          </w:p>
        </w:tc>
      </w:tr>
    </w:tbl>
    <w:p w:rsidR="007512CD" w:rsidRDefault="007512CD" w:rsidP="002D7E2B"/>
    <w:p w:rsidR="00AE0F2D" w:rsidRDefault="00525D13" w:rsidP="002D7E2B">
      <w:r>
        <w:t xml:space="preserve">In respect to surveys and consultations </w:t>
      </w:r>
      <w:r w:rsidR="003A399B">
        <w:t xml:space="preserve">that </w:t>
      </w:r>
      <w:r>
        <w:t>the ACCC undertakes</w:t>
      </w:r>
      <w:r w:rsidR="006B66D4">
        <w:t>,</w:t>
      </w:r>
      <w:r>
        <w:t xml:space="preserve"> participants are </w:t>
      </w:r>
      <w:r w:rsidR="007E60E3">
        <w:t>requested</w:t>
      </w:r>
      <w:r>
        <w:t xml:space="preserve"> to rate not only the quality (or standard) of services and facilities that the airport operator provides</w:t>
      </w:r>
      <w:r w:rsidR="0006580F">
        <w:t>,</w:t>
      </w:r>
      <w:r>
        <w:t xml:space="preserve"> but also the availability of these services and facilities. </w:t>
      </w:r>
      <w:r w:rsidR="006751EF">
        <w:t xml:space="preserve">Where </w:t>
      </w:r>
      <w:r w:rsidR="00ED5E6A">
        <w:t xml:space="preserve">survey </w:t>
      </w:r>
      <w:r w:rsidR="006751EF">
        <w:t>participants rate an airport ope</w:t>
      </w:r>
      <w:r w:rsidR="006B66D4">
        <w:t>rator</w:t>
      </w:r>
      <w:r w:rsidR="00AE0F2D">
        <w:t>’s</w:t>
      </w:r>
      <w:r w:rsidR="006B66D4">
        <w:t xml:space="preserve"> service or facility with a rating of 1 or 2</w:t>
      </w:r>
      <w:r w:rsidR="00B273C6">
        <w:t>,</w:t>
      </w:r>
      <w:r w:rsidR="006B66D4">
        <w:t xml:space="preserve"> the ACCC requests that </w:t>
      </w:r>
      <w:r w:rsidR="007E60E3">
        <w:t>participants</w:t>
      </w:r>
      <w:r w:rsidR="006B66D4">
        <w:t xml:space="preserve"> provide commentary explaining their ratings. </w:t>
      </w:r>
    </w:p>
    <w:p w:rsidR="00B62E56" w:rsidRDefault="00B62E56" w:rsidP="00A27808">
      <w:r>
        <w:t>To assist the airport operators in fulfilling their reporting requirements</w:t>
      </w:r>
      <w:r w:rsidR="00B273C6">
        <w:t xml:space="preserve"> </w:t>
      </w:r>
      <w:r>
        <w:t xml:space="preserve">the ACCC has </w:t>
      </w:r>
      <w:r w:rsidR="00E23E2A">
        <w:t>created</w:t>
      </w:r>
      <w:r>
        <w:t xml:space="preserve"> reporting templates for quality of service monitoring and </w:t>
      </w:r>
      <w:r w:rsidRPr="00CF3265">
        <w:t xml:space="preserve">price monitoring </w:t>
      </w:r>
      <w:r w:rsidR="00CF3265" w:rsidRPr="00CF3265">
        <w:t>(includ</w:t>
      </w:r>
      <w:r w:rsidR="00CF3265">
        <w:t>ing</w:t>
      </w:r>
      <w:r w:rsidRPr="00CF3265">
        <w:t xml:space="preserve"> financial reporting</w:t>
      </w:r>
      <w:r w:rsidR="00CF3265" w:rsidRPr="00CF3265">
        <w:t>)</w:t>
      </w:r>
      <w:r w:rsidRPr="00CF3265">
        <w:t>, which are available on the ACCC’s website. T</w:t>
      </w:r>
      <w:r>
        <w:t>he quality of service reporting templates detail the</w:t>
      </w:r>
      <w:r w:rsidR="00CF3265">
        <w:t xml:space="preserve"> </w:t>
      </w:r>
      <w:r w:rsidR="006D3AEC" w:rsidRPr="006D3AEC">
        <w:t>objective</w:t>
      </w:r>
      <w:r w:rsidR="006D3AEC">
        <w:t xml:space="preserve"> data</w:t>
      </w:r>
      <w:r w:rsidR="00A27808">
        <w:t xml:space="preserve"> (</w:t>
      </w:r>
      <w:r w:rsidR="00ED5E6A">
        <w:t xml:space="preserve">the </w:t>
      </w:r>
      <w:r w:rsidR="00A27808" w:rsidRPr="00A27808">
        <w:rPr>
          <w:i/>
        </w:rPr>
        <w:t>matters</w:t>
      </w:r>
      <w:r w:rsidR="00A27808">
        <w:t>)</w:t>
      </w:r>
      <w:r w:rsidR="006D3AEC">
        <w:t xml:space="preserve"> </w:t>
      </w:r>
      <w:r w:rsidR="00DC0E50">
        <w:t xml:space="preserve">that </w:t>
      </w:r>
      <w:r w:rsidR="00CF3265">
        <w:t xml:space="preserve">the airport operators </w:t>
      </w:r>
      <w:r w:rsidR="00A27808">
        <w:t xml:space="preserve">are required to </w:t>
      </w:r>
      <w:r w:rsidR="00ED5E6A">
        <w:t>provide</w:t>
      </w:r>
      <w:r w:rsidR="00A27808">
        <w:t xml:space="preserve"> to the ACCC as </w:t>
      </w:r>
      <w:r w:rsidR="00CF3265">
        <w:t>well as the subjective data</w:t>
      </w:r>
      <w:r w:rsidR="00B273C6">
        <w:t>,</w:t>
      </w:r>
      <w:r w:rsidR="00CF3265">
        <w:t xml:space="preserve"> which the ACCC seeks on a voluntary basis. </w:t>
      </w:r>
      <w:r w:rsidR="00E23E2A">
        <w:t>T</w:t>
      </w:r>
      <w:r>
        <w:t>he</w:t>
      </w:r>
      <w:r w:rsidR="00E23E2A">
        <w:t xml:space="preserve"> monitored </w:t>
      </w:r>
      <w:r>
        <w:t xml:space="preserve">airport operators are also encouraged to provide comments that might explain any movements in the objective or subjective data as part of their annual reporting. </w:t>
      </w:r>
    </w:p>
    <w:p w:rsidR="004F6BF0" w:rsidRDefault="004F6BF0" w:rsidP="005F1608">
      <w:r>
        <w:t xml:space="preserve">In accordance with the </w:t>
      </w:r>
      <w:r>
        <w:rPr>
          <w:i/>
        </w:rPr>
        <w:t>criteria</w:t>
      </w:r>
      <w:r>
        <w:t xml:space="preserve"> set out in this guideline</w:t>
      </w:r>
      <w:r w:rsidR="0006580F">
        <w:t>,</w:t>
      </w:r>
      <w:r>
        <w:t xml:space="preserve"> the ACCC </w:t>
      </w:r>
      <w:r w:rsidR="009A6785">
        <w:t>publishe</w:t>
      </w:r>
      <w:r w:rsidR="00B273C6">
        <w:t>s</w:t>
      </w:r>
      <w:r w:rsidR="009A6785">
        <w:t xml:space="preserve"> quality of service indicators on a service-by-service basis in the Airport Monitoring Reports.</w:t>
      </w:r>
      <w:r w:rsidR="00705F33">
        <w:t xml:space="preserve"> Wherever possible the ACCC uses a combination of both objective and subjective measures in assessing the quality of services and facilities provided by airport operator</w:t>
      </w:r>
      <w:r w:rsidR="00DC0E50">
        <w:t>s</w:t>
      </w:r>
      <w:r w:rsidR="007A6ED1">
        <w:t>,</w:t>
      </w:r>
      <w:r w:rsidR="00705F33">
        <w:t xml:space="preserve"> and</w:t>
      </w:r>
      <w:r w:rsidR="007A6ED1">
        <w:t xml:space="preserve"> the ACCC</w:t>
      </w:r>
      <w:r w:rsidR="00705F33">
        <w:t xml:space="preserve"> focus</w:t>
      </w:r>
      <w:r w:rsidR="003A399B">
        <w:t>es</w:t>
      </w:r>
      <w:r w:rsidR="00705F33">
        <w:t xml:space="preserve"> its assessments on trends in service lev</w:t>
      </w:r>
      <w:r w:rsidR="00A66308">
        <w:t>els over time.</w:t>
      </w:r>
      <w:r w:rsidR="009A6785">
        <w:t xml:space="preserve"> In addition to reporting on </w:t>
      </w:r>
      <w:r w:rsidR="00050F79">
        <w:t xml:space="preserve">objective indicators and </w:t>
      </w:r>
      <w:r w:rsidR="009A6785">
        <w:t>average ratings given by passengers, airlines and other airport users</w:t>
      </w:r>
      <w:r w:rsidR="003A399B">
        <w:t>,</w:t>
      </w:r>
      <w:r w:rsidR="009A6785">
        <w:t xml:space="preserve"> the ACCC also includes any non</w:t>
      </w:r>
      <w:r w:rsidR="00B11F21">
        <w:noBreakHyphen/>
      </w:r>
      <w:r w:rsidR="009A6785">
        <w:t>confidential comments it receiv</w:t>
      </w:r>
      <w:r w:rsidR="00050F79">
        <w:t xml:space="preserve">es from </w:t>
      </w:r>
      <w:r w:rsidR="00A27808">
        <w:t xml:space="preserve">either the airport operators or </w:t>
      </w:r>
      <w:r w:rsidR="00050F79">
        <w:t>survey respondents.</w:t>
      </w:r>
      <w:r w:rsidR="005924CD">
        <w:t xml:space="preserve"> </w:t>
      </w:r>
      <w:r w:rsidR="00A27808">
        <w:t>Prior to finalising the Airport Monitoring Report</w:t>
      </w:r>
      <w:r w:rsidR="00B11F21">
        <w:t xml:space="preserve">, </w:t>
      </w:r>
      <w:r w:rsidR="00A27808">
        <w:t xml:space="preserve">the ACCC provides the airport operators a draft version of their respective chapters for comment. The </w:t>
      </w:r>
      <w:r w:rsidR="005F1608">
        <w:t xml:space="preserve">ACCC incorporates, where appropriate, the airport operators’ comments into the finalised report, particularly where they provide possible explanations for movements in objective data over time or changes in users’ ratings. </w:t>
      </w:r>
    </w:p>
    <w:p w:rsidR="002C68FB" w:rsidRDefault="00A45FD4" w:rsidP="002C68FB">
      <w:pPr>
        <w:pStyle w:val="Numberedheading1"/>
      </w:pPr>
      <w:bookmarkStart w:id="13" w:name="_Toc359587370"/>
      <w:r>
        <w:lastRenderedPageBreak/>
        <w:t>ACCC</w:t>
      </w:r>
      <w:r w:rsidR="00B11F21">
        <w:t>’s</w:t>
      </w:r>
      <w:r>
        <w:t xml:space="preserve"> information requests</w:t>
      </w:r>
      <w:bookmarkEnd w:id="13"/>
      <w:r>
        <w:t xml:space="preserve"> </w:t>
      </w:r>
    </w:p>
    <w:p w:rsidR="0041682E" w:rsidRDefault="0041682E" w:rsidP="0041682E">
      <w:r>
        <w:t>For the purpose of its quality of service monitoring program, the ACCC has classified airport activities into four main categories:</w:t>
      </w:r>
    </w:p>
    <w:p w:rsidR="0041682E" w:rsidRDefault="0041682E" w:rsidP="0041682E">
      <w:pPr>
        <w:pStyle w:val="Listbullet1"/>
      </w:pPr>
      <w:r>
        <w:t>passenger-related services and facilities associated with, for example, check-in, gate lounges and baggage processing</w:t>
      </w:r>
    </w:p>
    <w:p w:rsidR="0041682E" w:rsidRDefault="0041682E" w:rsidP="0041682E">
      <w:pPr>
        <w:pStyle w:val="Listbullet1"/>
      </w:pPr>
      <w:r>
        <w:t>aircraft-related services and facilities associated with, for example, the runway, apron and taxiway system, gates, aircraft parking and ground service equipment and freight facilities</w:t>
      </w:r>
    </w:p>
    <w:p w:rsidR="0041682E" w:rsidRDefault="0041682E" w:rsidP="0041682E">
      <w:pPr>
        <w:pStyle w:val="Listbullet1"/>
      </w:pPr>
      <w:r>
        <w:t>landside-related services and facilities associated with, for example, kerbside pick-up and drop-off</w:t>
      </w:r>
    </w:p>
    <w:p w:rsidR="0041682E" w:rsidRDefault="0041682E" w:rsidP="0041682E">
      <w:pPr>
        <w:pStyle w:val="Listbullet1"/>
      </w:pPr>
      <w:r>
        <w:t>management performance and responsiveness</w:t>
      </w:r>
    </w:p>
    <w:p w:rsidR="000B0E4F" w:rsidRDefault="00AA6B7A" w:rsidP="00137E15">
      <w:r>
        <w:t xml:space="preserve">While the ACCC is </w:t>
      </w:r>
      <w:r w:rsidR="00ED0AAE">
        <w:t xml:space="preserve">cognisant </w:t>
      </w:r>
      <w:r>
        <w:t xml:space="preserve">of the need to minimise </w:t>
      </w:r>
      <w:r w:rsidR="007A6ED1">
        <w:t xml:space="preserve">airport operators’ </w:t>
      </w:r>
      <w:r>
        <w:t xml:space="preserve">costs of </w:t>
      </w:r>
      <w:r w:rsidR="003A399B">
        <w:t xml:space="preserve">complying with the requirements of </w:t>
      </w:r>
      <w:r>
        <w:t xml:space="preserve">the monitoring program, it is expected that firms routinely maintain comprehensive databases on many facets of their businesses. </w:t>
      </w:r>
      <w:r w:rsidR="000B0E4F">
        <w:t xml:space="preserve">In its approach to quality of service monitoring, the ACCC has sought to utilise objective </w:t>
      </w:r>
      <w:r w:rsidR="000B0E4F">
        <w:rPr>
          <w:i/>
        </w:rPr>
        <w:t>criteria</w:t>
      </w:r>
      <w:r w:rsidR="000B0E4F">
        <w:t xml:space="preserve"> ba</w:t>
      </w:r>
      <w:r w:rsidR="000B0E4F" w:rsidRPr="00ED291D">
        <w:t>sed on information that is readily available. However,</w:t>
      </w:r>
      <w:r w:rsidR="000B0E4F">
        <w:t xml:space="preserve"> subjective </w:t>
      </w:r>
      <w:r w:rsidR="000B0E4F">
        <w:rPr>
          <w:i/>
        </w:rPr>
        <w:t xml:space="preserve">criteria </w:t>
      </w:r>
      <w:r w:rsidR="000B0E4F">
        <w:t>provide additional context for assessing an airport</w:t>
      </w:r>
      <w:r w:rsidR="00AD320B">
        <w:t xml:space="preserve"> operator’s</w:t>
      </w:r>
      <w:r w:rsidR="000B0E4F">
        <w:t xml:space="preserve"> performance of a particular service or facility. </w:t>
      </w:r>
      <w:r w:rsidR="000B0E4F" w:rsidRPr="00ED291D">
        <w:t xml:space="preserve">The ACCC collects objective data and passenger survey data from airport operators on an annual basis, </w:t>
      </w:r>
      <w:r w:rsidR="000B0E4F" w:rsidRPr="008958A0">
        <w:t xml:space="preserve">as well as conducting its own annual surveys </w:t>
      </w:r>
      <w:r w:rsidR="00DC0E50">
        <w:t xml:space="preserve">and consultations </w:t>
      </w:r>
      <w:r w:rsidR="007A6ED1">
        <w:t>with</w:t>
      </w:r>
      <w:r w:rsidR="000B0E4F" w:rsidRPr="008958A0">
        <w:t xml:space="preserve"> airlines</w:t>
      </w:r>
      <w:r w:rsidR="00E36406">
        <w:t xml:space="preserve"> and </w:t>
      </w:r>
      <w:r w:rsidR="000B0E4F" w:rsidRPr="008958A0">
        <w:t>landside operators.</w:t>
      </w:r>
    </w:p>
    <w:p w:rsidR="00394D78" w:rsidRDefault="004D3FAD" w:rsidP="00394D78">
      <w:pPr>
        <w:pStyle w:val="Numberedheading2"/>
      </w:pPr>
      <w:bookmarkStart w:id="14" w:name="_Toc359587371"/>
      <w:r>
        <w:t xml:space="preserve">Objective </w:t>
      </w:r>
      <w:r w:rsidR="00980566">
        <w:t xml:space="preserve">and subjective </w:t>
      </w:r>
      <w:r>
        <w:t>data collect</w:t>
      </w:r>
      <w:r w:rsidR="00E64CEF">
        <w:t>ion</w:t>
      </w:r>
      <w:r>
        <w:t xml:space="preserve"> from airport operators</w:t>
      </w:r>
      <w:bookmarkEnd w:id="14"/>
      <w:r>
        <w:t xml:space="preserve">  </w:t>
      </w:r>
    </w:p>
    <w:p w:rsidR="00394D78" w:rsidRDefault="00394D78" w:rsidP="00394D78">
      <w:pPr>
        <w:pStyle w:val="Numberedheading3"/>
      </w:pPr>
      <w:r>
        <w:t>Objective data collection</w:t>
      </w:r>
      <w:r w:rsidR="00680D22">
        <w:t xml:space="preserve"> from airport operators</w:t>
      </w:r>
    </w:p>
    <w:p w:rsidR="00394D78" w:rsidRDefault="00394D78" w:rsidP="00394D78">
      <w:r>
        <w:t xml:space="preserve">As noted, Schedule 2 of the Airports Regulations outlines the </w:t>
      </w:r>
      <w:r>
        <w:rPr>
          <w:i/>
        </w:rPr>
        <w:t>matters</w:t>
      </w:r>
      <w:r>
        <w:t xml:space="preserve"> about which airport operators are required to keep records. Under regulation 8.02 of the Airports Regulations and s. 156(1) of the Airports Act, the airport operator must keep written records of each </w:t>
      </w:r>
      <w:r>
        <w:rPr>
          <w:i/>
        </w:rPr>
        <w:t>matter</w:t>
      </w:r>
      <w:r>
        <w:t xml:space="preserve"> for each financial year and must retain these records for five years after the end </w:t>
      </w:r>
      <w:r w:rsidR="00680D22">
        <w:t>of the relevant financial year.</w:t>
      </w:r>
    </w:p>
    <w:p w:rsidR="00680D22" w:rsidRDefault="00680D22" w:rsidP="00394D78">
      <w:r>
        <w:t xml:space="preserve">Where an airport operator is obliged to keep a record under regulation 8.02, it must give a copy of the record in writing to the ACCC </w:t>
      </w:r>
      <w:r w:rsidRPr="00680D22">
        <w:t xml:space="preserve">within </w:t>
      </w:r>
      <w:r w:rsidR="00187B4A">
        <w:t>90 days</w:t>
      </w:r>
      <w:r>
        <w:t xml:space="preserve"> after the end of the relevant financial year. </w:t>
      </w:r>
      <w:r w:rsidR="00881A2D">
        <w:t>For corporations, i</w:t>
      </w:r>
      <w:r>
        <w:t>nformation that airport operators provide to the ACCC under this regulation must be verified by statutory declaration by a director of the corporation.</w:t>
      </w:r>
    </w:p>
    <w:p w:rsidR="002C0A77" w:rsidRDefault="002C0A77" w:rsidP="002C0A77">
      <w:pPr>
        <w:pStyle w:val="Numberedheading3"/>
      </w:pPr>
      <w:r>
        <w:t>Subjective data collection from airport operators</w:t>
      </w:r>
    </w:p>
    <w:p w:rsidR="00C70BAD" w:rsidRPr="00A138BF" w:rsidRDefault="00C70BAD" w:rsidP="00C70BAD">
      <w:r w:rsidRPr="00287624">
        <w:t xml:space="preserve">Under regulation 8.03(2) of the Airports Regulations, if an airport operator carries out a survey about a quality of service </w:t>
      </w:r>
      <w:r w:rsidRPr="00ED291D">
        <w:rPr>
          <w:i/>
        </w:rPr>
        <w:t>matter</w:t>
      </w:r>
      <w:r w:rsidRPr="00287624">
        <w:t xml:space="preserve">, the airport operator must give the ACCC a document in writing setting out the results within 90 days after the end of the financial </w:t>
      </w:r>
      <w:r>
        <w:t>year</w:t>
      </w:r>
      <w:r w:rsidRPr="00287624">
        <w:t>.</w:t>
      </w:r>
      <w:r w:rsidR="00A138BF" w:rsidRPr="00A138BF">
        <w:rPr>
          <w:i/>
        </w:rPr>
        <w:t xml:space="preserve"> </w:t>
      </w:r>
      <w:r w:rsidR="00A138BF" w:rsidRPr="00A138BF">
        <w:t>While there is no obligation to conduct a survey, the Airport Regulations require that where a survey is carried out, the results of these surveys must be given to the ACCC.</w:t>
      </w:r>
    </w:p>
    <w:p w:rsidR="00D31C3F" w:rsidRDefault="00BC2D35" w:rsidP="00D31C3F">
      <w:r>
        <w:t xml:space="preserve">Typically the airport </w:t>
      </w:r>
      <w:r w:rsidR="00F63062">
        <w:t>operators conduct</w:t>
      </w:r>
      <w:r>
        <w:t xml:space="preserve"> an annual survey of </w:t>
      </w:r>
      <w:r w:rsidR="00ED0AAE">
        <w:t xml:space="preserve">their </w:t>
      </w:r>
      <w:r>
        <w:t xml:space="preserve">passengers </w:t>
      </w:r>
      <w:r w:rsidR="00F63062">
        <w:t xml:space="preserve">which is undertaken on a voluntary basis. The airport </w:t>
      </w:r>
      <w:r w:rsidR="00D31C3F">
        <w:t>operators then submit the passenger survey results to the ACCC</w:t>
      </w:r>
      <w:r w:rsidR="00463787">
        <w:t xml:space="preserve"> in addition to its</w:t>
      </w:r>
      <w:r w:rsidR="00D10BD8">
        <w:t xml:space="preserve"> other</w:t>
      </w:r>
      <w:r w:rsidR="00463787">
        <w:t xml:space="preserve"> </w:t>
      </w:r>
      <w:r w:rsidR="00F63062">
        <w:t>reporting</w:t>
      </w:r>
      <w:r>
        <w:t xml:space="preserve"> requirements. </w:t>
      </w:r>
      <w:r w:rsidR="00AC4FD6">
        <w:t>N</w:t>
      </w:r>
      <w:r w:rsidR="00D31C3F" w:rsidRPr="00D31C3F">
        <w:t>either the content of the passenger surveys nor the methodology are prescribed by the ACCC or set out in the Airports Act or Airports Regulations. This allows the airport</w:t>
      </w:r>
      <w:r w:rsidR="00B11F21">
        <w:t xml:space="preserve"> operator</w:t>
      </w:r>
      <w:r w:rsidR="00D31C3F" w:rsidRPr="00D31C3F">
        <w:t>s to choose a service provider that best suits their needs</w:t>
      </w:r>
      <w:r w:rsidR="00881A2D">
        <w:t>,</w:t>
      </w:r>
      <w:r w:rsidR="00D31C3F" w:rsidRPr="00D31C3F">
        <w:t xml:space="preserve"> and allows the airport</w:t>
      </w:r>
      <w:r w:rsidR="00B11F21">
        <w:t xml:space="preserve"> operator</w:t>
      </w:r>
      <w:r w:rsidR="00D31C3F" w:rsidRPr="00D31C3F">
        <w:t xml:space="preserve">s to tailor the survey questions to their </w:t>
      </w:r>
      <w:r w:rsidR="00D31C3F" w:rsidRPr="00D31C3F">
        <w:lastRenderedPageBreak/>
        <w:t xml:space="preserve">own </w:t>
      </w:r>
      <w:r w:rsidR="00DF1F43">
        <w:t xml:space="preserve">operational and </w:t>
      </w:r>
      <w:r w:rsidR="00D31C3F" w:rsidRPr="00D31C3F">
        <w:t xml:space="preserve">commercial purposes.  </w:t>
      </w:r>
      <w:r w:rsidR="00DF1F43">
        <w:t>Among other things, this also allows the airports to meet their reporting obligations to the ACCC without adding significantly to their compliance costs.</w:t>
      </w:r>
    </w:p>
    <w:p w:rsidR="00040B6C" w:rsidRDefault="00AD5D7B" w:rsidP="00040B6C">
      <w:r>
        <w:t>As noted</w:t>
      </w:r>
      <w:r w:rsidR="00B11F21">
        <w:t>, the ACCC provides the monitored airport operators with reporting templates for quality of service monitoring and price monitoring,</w:t>
      </w:r>
      <w:r>
        <w:t xml:space="preserve"> t</w:t>
      </w:r>
      <w:r w:rsidR="00D31C3F" w:rsidRPr="00D31C3F">
        <w:t>o assist the airport</w:t>
      </w:r>
      <w:r w:rsidR="00463787">
        <w:t xml:space="preserve"> operator</w:t>
      </w:r>
      <w:r w:rsidR="00D31C3F" w:rsidRPr="00D31C3F">
        <w:t xml:space="preserve">s in fulfilling their reporting </w:t>
      </w:r>
      <w:r w:rsidR="00D10BD8">
        <w:t>obligations</w:t>
      </w:r>
      <w:r w:rsidR="00B11F21">
        <w:t>. These reporting templates</w:t>
      </w:r>
      <w:r w:rsidR="00D31C3F" w:rsidRPr="00D31C3F">
        <w:t xml:space="preserve"> are available on the ACCC</w:t>
      </w:r>
      <w:r w:rsidR="00463787">
        <w:t>’s</w:t>
      </w:r>
      <w:r w:rsidR="00D31C3F" w:rsidRPr="00D31C3F">
        <w:t xml:space="preserve"> website. The quality of service monitoring reporting template</w:t>
      </w:r>
      <w:r w:rsidR="00463787">
        <w:t>s</w:t>
      </w:r>
      <w:r w:rsidR="00D31C3F" w:rsidRPr="00D31C3F">
        <w:t xml:space="preserve"> prompt</w:t>
      </w:r>
      <w:r w:rsidR="00463787">
        <w:t xml:space="preserve"> the airport operators</w:t>
      </w:r>
      <w:r w:rsidR="00D31C3F" w:rsidRPr="00D31C3F">
        <w:t xml:space="preserve"> to supply information on the objective</w:t>
      </w:r>
      <w:r w:rsidR="00A138BF">
        <w:t xml:space="preserve"> data (</w:t>
      </w:r>
      <w:r w:rsidR="00A138BF">
        <w:rPr>
          <w:i/>
        </w:rPr>
        <w:t>matters)</w:t>
      </w:r>
      <w:r w:rsidR="00D31C3F" w:rsidRPr="00D31C3F">
        <w:t>, which are prescribed in the Airports Regulations. As a complement to the objective</w:t>
      </w:r>
      <w:r w:rsidR="00A138BF">
        <w:t xml:space="preserve"> data (</w:t>
      </w:r>
      <w:r w:rsidR="00A138BF">
        <w:rPr>
          <w:i/>
        </w:rPr>
        <w:t>matters)</w:t>
      </w:r>
      <w:r w:rsidR="00B662BA">
        <w:t>,</w:t>
      </w:r>
      <w:r w:rsidR="00B662BA" w:rsidRPr="00D31C3F">
        <w:t xml:space="preserve"> </w:t>
      </w:r>
      <w:r w:rsidR="00D31C3F" w:rsidRPr="00D31C3F">
        <w:t>the template also includes a range of subjective measures which the airport</w:t>
      </w:r>
      <w:r w:rsidR="00463787">
        <w:t xml:space="preserve"> operators</w:t>
      </w:r>
      <w:r w:rsidR="00D31C3F" w:rsidRPr="00D31C3F">
        <w:t xml:space="preserve"> are encouraged to use and report on with information from passenger surveys. Airport</w:t>
      </w:r>
      <w:r w:rsidR="00B662BA">
        <w:t xml:space="preserve"> operator</w:t>
      </w:r>
      <w:r w:rsidR="00D31C3F" w:rsidRPr="00D31C3F">
        <w:t>s</w:t>
      </w:r>
      <w:r>
        <w:t xml:space="preserve"> have</w:t>
      </w:r>
      <w:r w:rsidR="00D31C3F" w:rsidRPr="00D31C3F">
        <w:t xml:space="preserve"> typically use</w:t>
      </w:r>
      <w:r w:rsidR="00D02482">
        <w:t>d</w:t>
      </w:r>
      <w:r w:rsidR="00D31C3F" w:rsidRPr="00D31C3F">
        <w:t xml:space="preserve"> external providers to undertake their passenger surveys in which passengers are asked to rate their level of satisfaction with the services and facilities provided </w:t>
      </w:r>
      <w:r>
        <w:t xml:space="preserve">by the </w:t>
      </w:r>
      <w:r w:rsidR="00D31C3F" w:rsidRPr="00D31C3F">
        <w:t>airport</w:t>
      </w:r>
      <w:r>
        <w:t xml:space="preserve"> operator</w:t>
      </w:r>
      <w:r w:rsidR="00D31C3F" w:rsidRPr="00D31C3F">
        <w:t xml:space="preserve"> on a scale from</w:t>
      </w:r>
      <w:r w:rsidR="00A138BF">
        <w:t> </w:t>
      </w:r>
      <w:r w:rsidR="00D31C3F" w:rsidRPr="00D31C3F">
        <w:t>1</w:t>
      </w:r>
      <w:r w:rsidR="00A138BF">
        <w:t> </w:t>
      </w:r>
      <w:r w:rsidR="00D31C3F" w:rsidRPr="00D31C3F">
        <w:t>to</w:t>
      </w:r>
      <w:r w:rsidR="00A138BF">
        <w:t> </w:t>
      </w:r>
      <w:r w:rsidR="00D31C3F" w:rsidRPr="00D31C3F">
        <w:t xml:space="preserve">5. </w:t>
      </w:r>
    </w:p>
    <w:p w:rsidR="00040B6C" w:rsidRDefault="00040B6C" w:rsidP="00040B6C">
      <w:r>
        <w:t xml:space="preserve">In reporting on </w:t>
      </w:r>
      <w:r w:rsidR="00B662BA">
        <w:t xml:space="preserve">the results of </w:t>
      </w:r>
      <w:r>
        <w:t>passenger surveys</w:t>
      </w:r>
      <w:r w:rsidR="00B662BA">
        <w:t>,</w:t>
      </w:r>
      <w:r>
        <w:t xml:space="preserve"> the ACCC </w:t>
      </w:r>
      <w:r w:rsidR="00E05CB8" w:rsidRPr="00E05CB8">
        <w:t>expects</w:t>
      </w:r>
      <w:r w:rsidR="007927F8">
        <w:t xml:space="preserve"> </w:t>
      </w:r>
      <w:r>
        <w:t xml:space="preserve">that </w:t>
      </w:r>
      <w:r w:rsidR="007927F8">
        <w:t>the</w:t>
      </w:r>
      <w:r w:rsidR="00E05CB8" w:rsidRPr="00E05CB8">
        <w:t xml:space="preserve"> airport operators provid</w:t>
      </w:r>
      <w:r w:rsidR="007927F8">
        <w:t>e</w:t>
      </w:r>
      <w:r w:rsidR="00E05CB8" w:rsidRPr="00E05CB8">
        <w:t xml:space="preserve"> a full description of </w:t>
      </w:r>
      <w:r>
        <w:t xml:space="preserve">the </w:t>
      </w:r>
      <w:r w:rsidR="00E05CB8" w:rsidRPr="00E05CB8">
        <w:t>survey methodology</w:t>
      </w:r>
      <w:r w:rsidR="007927F8">
        <w:t xml:space="preserve"> used </w:t>
      </w:r>
      <w:r>
        <w:t xml:space="preserve">in undertaking these </w:t>
      </w:r>
      <w:r w:rsidR="007927F8">
        <w:t>surveys</w:t>
      </w:r>
      <w:r w:rsidR="008A2979">
        <w:t xml:space="preserve"> and </w:t>
      </w:r>
      <w:r>
        <w:t xml:space="preserve">the </w:t>
      </w:r>
      <w:r w:rsidR="008A2979">
        <w:t xml:space="preserve">raw data </w:t>
      </w:r>
      <w:r w:rsidR="00A138BF">
        <w:t xml:space="preserve">collected. </w:t>
      </w:r>
      <w:r w:rsidR="008A2979">
        <w:t xml:space="preserve"> </w:t>
      </w:r>
    </w:p>
    <w:p w:rsidR="008A2979" w:rsidRDefault="00040B6C" w:rsidP="00040B6C">
      <w:r>
        <w:t>As noted above</w:t>
      </w:r>
      <w:r w:rsidR="00B662BA">
        <w:t>,</w:t>
      </w:r>
      <w:r>
        <w:t xml:space="preserve"> </w:t>
      </w:r>
      <w:r w:rsidR="00ED0AAE" w:rsidRPr="00D31C3F">
        <w:t xml:space="preserve">in </w:t>
      </w:r>
      <w:r w:rsidR="00ED0AAE">
        <w:t>the</w:t>
      </w:r>
      <w:r w:rsidR="00ED0AAE" w:rsidRPr="00D31C3F">
        <w:t xml:space="preserve"> Airport Monitoring Reports </w:t>
      </w:r>
      <w:r>
        <w:t xml:space="preserve">the </w:t>
      </w:r>
      <w:r w:rsidR="00D31C3F" w:rsidRPr="00D31C3F">
        <w:t>ACCC calculates and reports passengers’ average ratings for each of the services and facilities covered in the passenger surveys</w:t>
      </w:r>
      <w:r w:rsidR="0010683F">
        <w:t>,</w:t>
      </w:r>
      <w:r w:rsidR="00D31C3F" w:rsidRPr="00D31C3F">
        <w:t xml:space="preserve"> alongside the related objective</w:t>
      </w:r>
      <w:r w:rsidR="00B662BA">
        <w:t xml:space="preserve"> </w:t>
      </w:r>
      <w:r w:rsidR="00D31C3F" w:rsidRPr="00D31C3F">
        <w:t>indicators, and where applicable</w:t>
      </w:r>
      <w:r w:rsidR="00B662BA">
        <w:t xml:space="preserve">, </w:t>
      </w:r>
      <w:r w:rsidR="00D31C3F" w:rsidRPr="00D31C3F">
        <w:t>airline and other airport users’ ratings</w:t>
      </w:r>
      <w:r>
        <w:t xml:space="preserve"> and comments</w:t>
      </w:r>
      <w:r w:rsidR="00D31C3F" w:rsidRPr="00D31C3F">
        <w:t>.</w:t>
      </w:r>
      <w:r>
        <w:t xml:space="preserve"> The ACCC acknowledges that passenger perceptions of the services and facilities provided by airport operator</w:t>
      </w:r>
      <w:r w:rsidR="008039CE">
        <w:t>s</w:t>
      </w:r>
      <w:r>
        <w:t xml:space="preserve"> can</w:t>
      </w:r>
      <w:r w:rsidR="008039CE">
        <w:t>,</w:t>
      </w:r>
      <w:r>
        <w:t xml:space="preserve"> in some circumstances</w:t>
      </w:r>
      <w:r w:rsidR="008039CE">
        <w:t>,</w:t>
      </w:r>
      <w:r>
        <w:t xml:space="preserve"> be influenced by other service providers. As such</w:t>
      </w:r>
      <w:r w:rsidR="00B662BA">
        <w:t>,</w:t>
      </w:r>
      <w:r>
        <w:t xml:space="preserve"> </w:t>
      </w:r>
      <w:r w:rsidR="00841669">
        <w:t>passenger</w:t>
      </w:r>
      <w:r w:rsidR="008039CE">
        <w:t xml:space="preserve"> survey results</w:t>
      </w:r>
      <w:r>
        <w:t xml:space="preserve"> are not always a direct indicator of the airport operator</w:t>
      </w:r>
      <w:r w:rsidR="004F75EE">
        <w:t>’</w:t>
      </w:r>
      <w:r>
        <w:t>s performance</w:t>
      </w:r>
      <w:r w:rsidR="00A45C4A">
        <w:t>.</w:t>
      </w:r>
      <w:r w:rsidR="004F75EE">
        <w:t xml:space="preserve"> </w:t>
      </w:r>
      <w:r w:rsidR="00A45C4A">
        <w:t>T</w:t>
      </w:r>
      <w:r w:rsidR="004F75EE">
        <w:t xml:space="preserve">he ACCC takes this into consideration when making an assessment of an airport operator’s performance. </w:t>
      </w:r>
      <w:r>
        <w:t xml:space="preserve"> </w:t>
      </w:r>
    </w:p>
    <w:p w:rsidR="00C70BAD" w:rsidRDefault="002C0A77" w:rsidP="002C0A77">
      <w:pPr>
        <w:pStyle w:val="Numberedheading2"/>
      </w:pPr>
      <w:bookmarkStart w:id="15" w:name="_Toc359587372"/>
      <w:r>
        <w:t>Subjective data collected from airport users</w:t>
      </w:r>
      <w:bookmarkEnd w:id="15"/>
      <w:r>
        <w:t xml:space="preserve"> </w:t>
      </w:r>
    </w:p>
    <w:p w:rsidR="0060756D" w:rsidRDefault="0060756D" w:rsidP="00680D22">
      <w:pPr>
        <w:pStyle w:val="Numberedheading3"/>
      </w:pPr>
      <w:r>
        <w:t>Subjective data collection</w:t>
      </w:r>
    </w:p>
    <w:p w:rsidR="001F57DA" w:rsidRPr="00CD72AF" w:rsidRDefault="00676835" w:rsidP="001F57DA">
      <w:r>
        <w:t>In addition to the subjective data provide</w:t>
      </w:r>
      <w:r w:rsidR="00A45C4A">
        <w:t>d</w:t>
      </w:r>
      <w:r>
        <w:t xml:space="preserve"> by airport operator</w:t>
      </w:r>
      <w:r w:rsidR="00A45C4A">
        <w:t>s</w:t>
      </w:r>
      <w:r>
        <w:t xml:space="preserve"> on passenger</w:t>
      </w:r>
      <w:r w:rsidR="004F6B20">
        <w:t>s’</w:t>
      </w:r>
      <w:r>
        <w:t xml:space="preserve"> </w:t>
      </w:r>
      <w:r w:rsidR="00A138BF">
        <w:t>surveys</w:t>
      </w:r>
      <w:r w:rsidR="00A45C4A">
        <w:t>,</w:t>
      </w:r>
      <w:r w:rsidR="004F6B20">
        <w:t xml:space="preserve"> the </w:t>
      </w:r>
      <w:r w:rsidR="004F6B20" w:rsidRPr="008E1038">
        <w:t xml:space="preserve">ACCC also collects additional subjective data </w:t>
      </w:r>
      <w:r w:rsidR="0060756D" w:rsidRPr="008E1038">
        <w:t>through surveys</w:t>
      </w:r>
      <w:r w:rsidR="004F6B20" w:rsidRPr="008E1038">
        <w:t xml:space="preserve"> and consultation</w:t>
      </w:r>
      <w:r w:rsidR="00503A69" w:rsidRPr="008E1038">
        <w:t>s</w:t>
      </w:r>
      <w:r w:rsidR="004F6B20" w:rsidRPr="008E1038">
        <w:t xml:space="preserve"> with </w:t>
      </w:r>
      <w:r w:rsidR="0060756D" w:rsidRPr="008E1038">
        <w:t>airlines</w:t>
      </w:r>
      <w:r w:rsidR="00ED0AAE">
        <w:t xml:space="preserve"> and</w:t>
      </w:r>
      <w:r w:rsidR="00A45C4A" w:rsidRPr="008E1038">
        <w:t xml:space="preserve"> </w:t>
      </w:r>
      <w:r w:rsidR="0060756D" w:rsidRPr="008E1038">
        <w:t>landside operators.</w:t>
      </w:r>
      <w:r w:rsidR="0060756D">
        <w:t xml:space="preserve"> </w:t>
      </w:r>
      <w:r w:rsidR="00A444F1">
        <w:t>The ACCC undertakes</w:t>
      </w:r>
      <w:r w:rsidR="00CD72AF">
        <w:t xml:space="preserve"> this</w:t>
      </w:r>
      <w:r w:rsidR="00A444F1">
        <w:t xml:space="preserve"> consultation to understand airport users’ perception</w:t>
      </w:r>
      <w:r w:rsidR="00D02482">
        <w:t>s</w:t>
      </w:r>
      <w:r w:rsidR="00A444F1">
        <w:t xml:space="preserve"> of the quality of service and facilities provide</w:t>
      </w:r>
      <w:r w:rsidR="00A45C4A">
        <w:t>d</w:t>
      </w:r>
      <w:r w:rsidR="005B6CC9">
        <w:t xml:space="preserve"> by the monitored airport operators</w:t>
      </w:r>
      <w:r w:rsidR="004F6B20">
        <w:t>. Information gathered through these surveys and consultation</w:t>
      </w:r>
      <w:r w:rsidR="00503A69">
        <w:t>s</w:t>
      </w:r>
      <w:r w:rsidR="00704DF1">
        <w:t xml:space="preserve"> </w:t>
      </w:r>
      <w:r w:rsidR="004F6B20">
        <w:t>allows</w:t>
      </w:r>
      <w:r w:rsidR="00704DF1">
        <w:t xml:space="preserve"> the ACCC to put the objective data in </w:t>
      </w:r>
      <w:r w:rsidR="00ED0AAE">
        <w:t xml:space="preserve">a </w:t>
      </w:r>
      <w:r w:rsidR="00704DF1">
        <w:t>proper context.</w:t>
      </w:r>
      <w:r w:rsidR="001F57DA">
        <w:t xml:space="preserve"> Importantly the ACCC considers that </w:t>
      </w:r>
      <w:r w:rsidR="001F57DA" w:rsidRPr="00CD72AF">
        <w:t xml:space="preserve">airport </w:t>
      </w:r>
      <w:r w:rsidR="00A45C4A" w:rsidRPr="00CD72AF">
        <w:t>users’</w:t>
      </w:r>
      <w:r w:rsidR="00A45C4A">
        <w:t>—</w:t>
      </w:r>
      <w:r w:rsidR="001F57DA">
        <w:t>unlike most passengers</w:t>
      </w:r>
      <w:r w:rsidR="00A45C4A">
        <w:t>—</w:t>
      </w:r>
      <w:r w:rsidR="001F57DA" w:rsidRPr="00CD72AF">
        <w:t>have a</w:t>
      </w:r>
      <w:r w:rsidR="00CA3D20">
        <w:t xml:space="preserve"> </w:t>
      </w:r>
      <w:r w:rsidR="001F57DA">
        <w:t xml:space="preserve">commercial </w:t>
      </w:r>
      <w:r w:rsidR="001F57DA" w:rsidRPr="00CD72AF">
        <w:t xml:space="preserve">relationship with airport operators and are able to delineate between services provided wholly by the airport operators and those provided in conjunction with other service providers. </w:t>
      </w:r>
      <w:r w:rsidR="001F57DA">
        <w:t>Typically</w:t>
      </w:r>
      <w:r w:rsidR="00A45C4A">
        <w:t>,</w:t>
      </w:r>
      <w:r w:rsidR="001F57DA">
        <w:t xml:space="preserve"> t</w:t>
      </w:r>
      <w:r w:rsidR="001F57DA" w:rsidRPr="00CD72AF">
        <w:t xml:space="preserve">hese airport users </w:t>
      </w:r>
      <w:r w:rsidR="00CA3D20">
        <w:t>are in a position to</w:t>
      </w:r>
      <w:r w:rsidR="00CA3D20" w:rsidRPr="00CD72AF">
        <w:t xml:space="preserve"> </w:t>
      </w:r>
      <w:r w:rsidR="001F57DA" w:rsidRPr="00CD72AF">
        <w:t>provide feedback on a wide range of services and facilities offered at the airport</w:t>
      </w:r>
      <w:r w:rsidR="0010683F">
        <w:t>,</w:t>
      </w:r>
      <w:r w:rsidR="001F57DA" w:rsidRPr="00CD72AF">
        <w:t xml:space="preserve"> and their ratings</w:t>
      </w:r>
      <w:r w:rsidR="00A45C4A">
        <w:t xml:space="preserve"> can</w:t>
      </w:r>
      <w:r w:rsidR="001F57DA" w:rsidRPr="00CD72AF">
        <w:t xml:space="preserve"> provide a more direct indicator of whether airport operators are meeting the reasonable expectations of users.</w:t>
      </w:r>
    </w:p>
    <w:p w:rsidR="00DC14FF" w:rsidRDefault="00CD72AF" w:rsidP="003303E0">
      <w:r>
        <w:t>The scale used for airport user</w:t>
      </w:r>
      <w:r w:rsidR="00503A69">
        <w:t>s’</w:t>
      </w:r>
      <w:r>
        <w:t xml:space="preserve"> ratings is the same as that of passenger surveys, as shown in </w:t>
      </w:r>
      <w:r w:rsidRPr="009B74D7">
        <w:t xml:space="preserve">table </w:t>
      </w:r>
      <w:r w:rsidR="00BC2D35" w:rsidRPr="009B74D7">
        <w:t>3</w:t>
      </w:r>
      <w:r w:rsidRPr="009B74D7">
        <w:t>.1.</w:t>
      </w:r>
      <w:r>
        <w:t xml:space="preserve"> </w:t>
      </w:r>
      <w:r w:rsidR="00E4356E">
        <w:t xml:space="preserve">However, </w:t>
      </w:r>
      <w:r w:rsidR="005B6CC9">
        <w:t>unlike passenger surveys</w:t>
      </w:r>
      <w:r w:rsidR="00A45C4A">
        <w:t>,</w:t>
      </w:r>
      <w:r w:rsidR="005B6CC9">
        <w:t xml:space="preserve"> </w:t>
      </w:r>
      <w:r w:rsidR="00E4356E">
        <w:t xml:space="preserve">airport users are requested to rate the </w:t>
      </w:r>
      <w:r w:rsidR="007512CD">
        <w:t>availability and</w:t>
      </w:r>
      <w:r w:rsidR="00E4356E">
        <w:t xml:space="preserve"> standard of the airport operator’s services and facilities. The availability refers to the capacity of an airport</w:t>
      </w:r>
      <w:r w:rsidR="009B74D7">
        <w:t xml:space="preserve"> operator</w:t>
      </w:r>
      <w:r w:rsidR="00E4356E">
        <w:t xml:space="preserve">’s services or facilities and is intended to provide an indication of </w:t>
      </w:r>
      <w:r w:rsidR="00E4356E" w:rsidRPr="002F1333">
        <w:t xml:space="preserve">whether </w:t>
      </w:r>
      <w:r w:rsidR="00E4356E">
        <w:t xml:space="preserve">the airport operator is </w:t>
      </w:r>
      <w:r w:rsidR="00E4356E" w:rsidRPr="002F1333">
        <w:t>undertaking adequate investment. The standard describes the physical condition of an airport</w:t>
      </w:r>
      <w:r w:rsidR="00AD6AC6">
        <w:t xml:space="preserve"> operator</w:t>
      </w:r>
      <w:r w:rsidR="00E4356E" w:rsidRPr="002F1333">
        <w:t xml:space="preserve">’s services </w:t>
      </w:r>
      <w:r w:rsidR="00E36406">
        <w:t xml:space="preserve">and </w:t>
      </w:r>
      <w:r w:rsidR="00E4356E" w:rsidRPr="002F1333">
        <w:t>facilities and is intended to provide an indication of their ability to perform the intended function.</w:t>
      </w:r>
      <w:r w:rsidR="00E4356E">
        <w:t xml:space="preserve"> </w:t>
      </w:r>
      <w:r>
        <w:t xml:space="preserve">Ratings by airport users are averaged to give a </w:t>
      </w:r>
      <w:r w:rsidR="00ED0AAE">
        <w:t xml:space="preserve">simple </w:t>
      </w:r>
      <w:r>
        <w:t xml:space="preserve">average </w:t>
      </w:r>
      <w:r w:rsidR="00ED0AAE">
        <w:t xml:space="preserve">of the </w:t>
      </w:r>
      <w:r>
        <w:t xml:space="preserve">rating for each facility at each airport. </w:t>
      </w:r>
    </w:p>
    <w:p w:rsidR="003303E0" w:rsidRPr="007C6172" w:rsidRDefault="00CD72AF" w:rsidP="003303E0">
      <w:r w:rsidRPr="00EA4EF7">
        <w:t>When interpreting data</w:t>
      </w:r>
      <w:r w:rsidR="00CA3D20">
        <w:t xml:space="preserve"> obtained through surveys and consultations</w:t>
      </w:r>
      <w:r w:rsidRPr="00EA4EF7">
        <w:t>, the ACCC considers that ratings of 3 (satisfactory) and above would represent service provided at an efficient level.</w:t>
      </w:r>
      <w:r w:rsidR="00704DF1" w:rsidRPr="00EA4EF7">
        <w:t xml:space="preserve"> </w:t>
      </w:r>
      <w:r w:rsidR="00E4356E" w:rsidRPr="00EA4EF7">
        <w:t xml:space="preserve"> </w:t>
      </w:r>
      <w:r w:rsidR="007512CD" w:rsidRPr="00EA4EF7">
        <w:lastRenderedPageBreak/>
        <w:t xml:space="preserve">Where an airport user gives a rating of below satisfactory, </w:t>
      </w:r>
      <w:r w:rsidR="00D15E65" w:rsidRPr="00EA4EF7">
        <w:t>it is required to</w:t>
      </w:r>
      <w:r w:rsidR="007512CD" w:rsidRPr="00EA4EF7">
        <w:t xml:space="preserve"> support this </w:t>
      </w:r>
      <w:r w:rsidR="00A45C4A" w:rsidRPr="00EA4EF7">
        <w:t xml:space="preserve">rating </w:t>
      </w:r>
      <w:r w:rsidR="007512CD" w:rsidRPr="00EA4EF7">
        <w:t xml:space="preserve">with commentary detailing the complaint and steps </w:t>
      </w:r>
      <w:r w:rsidR="00D15E65" w:rsidRPr="00EA4EF7">
        <w:t>it has</w:t>
      </w:r>
      <w:r w:rsidR="007512CD" w:rsidRPr="00EA4EF7">
        <w:t xml:space="preserve"> taken to inform the airport operator of </w:t>
      </w:r>
      <w:r w:rsidR="00D15E65" w:rsidRPr="00EA4EF7">
        <w:t xml:space="preserve">its </w:t>
      </w:r>
      <w:r w:rsidR="007512CD" w:rsidRPr="00EA4EF7">
        <w:t xml:space="preserve">complaint. </w:t>
      </w:r>
      <w:r w:rsidR="003303E0" w:rsidRPr="00EA4EF7">
        <w:t xml:space="preserve">The ACCC presents average ratings and non-confidential commentary from surveys </w:t>
      </w:r>
      <w:r w:rsidR="00CA3D20">
        <w:t>and consultations with</w:t>
      </w:r>
      <w:r w:rsidR="003303E0" w:rsidRPr="00EA4EF7">
        <w:t xml:space="preserve"> airlines</w:t>
      </w:r>
      <w:r w:rsidR="00DC14FF">
        <w:t xml:space="preserve"> and</w:t>
      </w:r>
      <w:r w:rsidR="003303E0" w:rsidRPr="00EA4EF7">
        <w:t xml:space="preserve"> landside operators in its annual Airport Monitoring Report.</w:t>
      </w:r>
      <w:r w:rsidR="00AD6AC6" w:rsidRPr="00EA4EF7">
        <w:t xml:space="preserve"> </w:t>
      </w:r>
      <w:r w:rsidR="003303E0" w:rsidRPr="00EA4EF7">
        <w:t xml:space="preserve">Importantly, these reports do not disclose </w:t>
      </w:r>
      <w:r w:rsidR="00CA3D20">
        <w:t>the identity of</w:t>
      </w:r>
      <w:r w:rsidR="003303E0" w:rsidRPr="00EA4EF7">
        <w:t xml:space="preserve"> airlines</w:t>
      </w:r>
      <w:r w:rsidR="00DC14FF">
        <w:t xml:space="preserve"> and</w:t>
      </w:r>
      <w:r w:rsidR="003303E0" w:rsidRPr="00EA4EF7">
        <w:t xml:space="preserve"> landside operators </w:t>
      </w:r>
      <w:r w:rsidR="00CA3D20">
        <w:t xml:space="preserve">that </w:t>
      </w:r>
      <w:r w:rsidR="003303E0" w:rsidRPr="00EA4EF7">
        <w:t xml:space="preserve">participated in the surveys, nor does it attribute any comments to particular </w:t>
      </w:r>
      <w:r w:rsidR="00DC14FF">
        <w:t xml:space="preserve">firms and </w:t>
      </w:r>
      <w:r w:rsidR="003303E0" w:rsidRPr="00EA4EF7">
        <w:t>individuals.</w:t>
      </w:r>
      <w:r w:rsidR="003303E0">
        <w:t xml:space="preserve"> </w:t>
      </w:r>
    </w:p>
    <w:p w:rsidR="00680D22" w:rsidRDefault="00680D22" w:rsidP="0060756D">
      <w:pPr>
        <w:pStyle w:val="Non-numberedheading4"/>
      </w:pPr>
      <w:r>
        <w:t>ACCC-conducted survey data collection</w:t>
      </w:r>
    </w:p>
    <w:p w:rsidR="008039CE" w:rsidRDefault="0092128A" w:rsidP="008039CE">
      <w:pPr>
        <w:pStyle w:val="Non-numberedtabletitle"/>
      </w:pPr>
      <w:r>
        <w:t>Airline surveys</w:t>
      </w:r>
    </w:p>
    <w:p w:rsidR="008E56C8" w:rsidRDefault="00B3690E" w:rsidP="00A45C4A">
      <w:r>
        <w:t>The ACCC sends the airline surveys directly to domestic airlines. In the case of international airlines, the ACCC sends these surveys to the Board of Airline Representatives of Australia (BARA), the peak industry body representing the interest of international airlines operating in Australia, which forwards the airline survey onto its members. For international airlines that are not members of BARA, and who use the monitored airports, the ACCC sends the survey directly to these airlines.</w:t>
      </w:r>
      <w:r w:rsidR="00EA4EF7">
        <w:t xml:space="preserve"> </w:t>
      </w:r>
      <w:r w:rsidR="008039CE">
        <w:t>The ACCC requests</w:t>
      </w:r>
      <w:r w:rsidR="00E37491">
        <w:t xml:space="preserve"> surveys to be reviewed and submitted by the airlines’ head offices, rather than operational managers. The ACCC considers that this provides additional assurance that the survey results reflect airlines’ views on commercial negotiations and their willingness to pay for aeronautical infrastructure.</w:t>
      </w:r>
      <w:r w:rsidR="008E56C8">
        <w:t xml:space="preserve"> </w:t>
      </w:r>
      <w:r w:rsidR="001B1CC0">
        <w:t>The</w:t>
      </w:r>
      <w:r w:rsidR="008E56C8">
        <w:t xml:space="preserve"> ACCC </w:t>
      </w:r>
      <w:r w:rsidR="001B1CC0">
        <w:t>does not</w:t>
      </w:r>
      <w:r w:rsidR="008E56C8">
        <w:t xml:space="preserve"> disclose which airline has participated in the surveys nor do the Airport Monitoring Reports attribute any comments to any particular airline.  </w:t>
      </w:r>
    </w:p>
    <w:p w:rsidR="0092128A" w:rsidRDefault="0092128A" w:rsidP="0060756D">
      <w:pPr>
        <w:pStyle w:val="Non-numberedtabletitle"/>
      </w:pPr>
      <w:r>
        <w:t>Landside operator surveys</w:t>
      </w:r>
      <w:r w:rsidR="00CA3D20">
        <w:t xml:space="preserve"> and consultations</w:t>
      </w:r>
    </w:p>
    <w:p w:rsidR="00E13990" w:rsidRDefault="00376DF3" w:rsidP="00E13990">
      <w:r w:rsidRPr="00376DF3">
        <w:t xml:space="preserve">The ACCC </w:t>
      </w:r>
      <w:r w:rsidR="00F830E6">
        <w:t xml:space="preserve">also </w:t>
      </w:r>
      <w:r>
        <w:t>engage</w:t>
      </w:r>
      <w:r w:rsidR="00F830E6">
        <w:t>s</w:t>
      </w:r>
      <w:r>
        <w:t xml:space="preserve"> with landside operators including taxi associations, bus associations and selected off</w:t>
      </w:r>
      <w:r w:rsidR="0069689A">
        <w:t>-</w:t>
      </w:r>
      <w:r>
        <w:t>airport car park</w:t>
      </w:r>
      <w:r w:rsidR="0069689A">
        <w:t>ing operators</w:t>
      </w:r>
      <w:r>
        <w:t xml:space="preserve"> </w:t>
      </w:r>
      <w:r w:rsidR="00DC14FF">
        <w:t xml:space="preserve">through consultation involving a survey </w:t>
      </w:r>
      <w:r>
        <w:t>with a set of targeted questions</w:t>
      </w:r>
      <w:r w:rsidR="00E36406">
        <w:t xml:space="preserve"> about</w:t>
      </w:r>
      <w:r>
        <w:t xml:space="preserve"> airports</w:t>
      </w:r>
      <w:r w:rsidR="00FB5F71">
        <w:t>’</w:t>
      </w:r>
      <w:r>
        <w:t xml:space="preserve"> landside operations. </w:t>
      </w:r>
      <w:r w:rsidR="00F830E6">
        <w:t>Prior to 2014, l</w:t>
      </w:r>
      <w:r w:rsidR="0069689A">
        <w:t xml:space="preserve">andside operators </w:t>
      </w:r>
      <w:r w:rsidR="00F830E6">
        <w:t xml:space="preserve">did </w:t>
      </w:r>
      <w:r w:rsidR="0069689A">
        <w:t xml:space="preserve">not </w:t>
      </w:r>
      <w:r w:rsidR="00CA3D20">
        <w:t xml:space="preserve">formally </w:t>
      </w:r>
      <w:r w:rsidR="0069689A">
        <w:t>participated in quality of service monitoring.</w:t>
      </w:r>
      <w:r w:rsidR="00FB5F71">
        <w:t xml:space="preserve"> The ACCC </w:t>
      </w:r>
      <w:r w:rsidR="00F830E6">
        <w:t>now collects</w:t>
      </w:r>
      <w:r w:rsidR="00CA3D20">
        <w:t xml:space="preserve"> information from</w:t>
      </w:r>
      <w:r w:rsidR="00FB5F71">
        <w:t xml:space="preserve"> these organisations</w:t>
      </w:r>
      <w:r w:rsidR="00CA3D20">
        <w:t xml:space="preserve"> th</w:t>
      </w:r>
      <w:r w:rsidR="001355FC">
        <w:t>r</w:t>
      </w:r>
      <w:r w:rsidR="00CA3D20">
        <w:t>ough surveys, and where necessary</w:t>
      </w:r>
      <w:r w:rsidR="00FB5F71">
        <w:t>, through direct engagement.</w:t>
      </w:r>
      <w:r w:rsidR="009F6F05">
        <w:t xml:space="preserve"> Questions on landside operations </w:t>
      </w:r>
      <w:r w:rsidR="00F830E6">
        <w:t xml:space="preserve">are </w:t>
      </w:r>
      <w:r w:rsidR="009F6F05">
        <w:t xml:space="preserve">similar to </w:t>
      </w:r>
      <w:r w:rsidR="0069689A">
        <w:t xml:space="preserve">some </w:t>
      </w:r>
      <w:r w:rsidR="009F6F05">
        <w:t xml:space="preserve">existing </w:t>
      </w:r>
      <w:r w:rsidR="0069689A">
        <w:t xml:space="preserve">airline and passenger </w:t>
      </w:r>
      <w:r w:rsidR="009F6F05">
        <w:t>quality of service questions and the ACCC will ask</w:t>
      </w:r>
      <w:r w:rsidR="00E13990">
        <w:t>s</w:t>
      </w:r>
      <w:r w:rsidR="009F6F05">
        <w:t xml:space="preserve"> for a rating between 1 and 5 to be provided. </w:t>
      </w:r>
      <w:r w:rsidR="00E13990">
        <w:t xml:space="preserve">The ACCC does not disclose which landside operator has participated in the surveys nor do the Airport Monitoring Reports attribute any comments to any particular landside operator.  </w:t>
      </w:r>
    </w:p>
    <w:p w:rsidR="00FB5F71" w:rsidRDefault="00FB5F71" w:rsidP="0092128A"/>
    <w:p w:rsidR="00E3258B" w:rsidRPr="00E3258B" w:rsidRDefault="009924A1" w:rsidP="006000B4">
      <w:pPr>
        <w:pStyle w:val="Numberedheading1"/>
      </w:pPr>
      <w:bookmarkStart w:id="16" w:name="_Toc359587373"/>
      <w:r w:rsidRPr="006000B4">
        <w:lastRenderedPageBreak/>
        <w:t>R</w:t>
      </w:r>
      <w:r w:rsidR="00E3258B" w:rsidRPr="006000B4">
        <w:t>eporting</w:t>
      </w:r>
      <w:r w:rsidR="00E3258B">
        <w:t xml:space="preserve"> on the results of quality of service monitoring</w:t>
      </w:r>
      <w:bookmarkEnd w:id="16"/>
    </w:p>
    <w:p w:rsidR="002B56EE" w:rsidRDefault="008C1B64" w:rsidP="008C1B64">
      <w:pPr>
        <w:pStyle w:val="Numberedheading2"/>
      </w:pPr>
      <w:bookmarkStart w:id="17" w:name="_Toc359587374"/>
      <w:r>
        <w:t>Publication by the ACCC</w:t>
      </w:r>
      <w:bookmarkEnd w:id="17"/>
    </w:p>
    <w:p w:rsidR="008C1B64" w:rsidRDefault="00892880" w:rsidP="008C1B64">
      <w:r>
        <w:t>Under s. 157 of the Airports Act, the ACCC can publish results of the quality of service monitoring program.</w:t>
      </w:r>
    </w:p>
    <w:p w:rsidR="00A9572D" w:rsidRDefault="001F57DA" w:rsidP="00A9572D">
      <w:r>
        <w:t xml:space="preserve">The ACCC intends to publish the findings of its quality of service monitoring program on an annual basis in </w:t>
      </w:r>
      <w:r w:rsidR="00E64CEF">
        <w:t>its</w:t>
      </w:r>
      <w:r>
        <w:t xml:space="preserve"> Airport Monitoring Report. Since </w:t>
      </w:r>
      <w:r w:rsidR="00A9572D">
        <w:t>the 2006-07 Airport Monitoring Report</w:t>
      </w:r>
      <w:r w:rsidR="00F55997">
        <w:t>,</w:t>
      </w:r>
      <w:r w:rsidR="00A9572D">
        <w:t xml:space="preserve"> the ACCC has incorporat</w:t>
      </w:r>
      <w:r w:rsidR="00F55997">
        <w:t>ed</w:t>
      </w:r>
      <w:r w:rsidR="00A9572D">
        <w:t xml:space="preserve"> the price and quality of service monitoring results into a single report. This approach is consistent with the Government’s response to the </w:t>
      </w:r>
      <w:r w:rsidR="00F55997">
        <w:t>PC</w:t>
      </w:r>
      <w:r w:rsidR="00A9572D">
        <w:t>’</w:t>
      </w:r>
      <w:r w:rsidR="00287FEF">
        <w:t>s</w:t>
      </w:r>
      <w:r w:rsidR="00A9572D">
        <w:t xml:space="preserve"> 2006 </w:t>
      </w:r>
      <w:r w:rsidR="00A9572D" w:rsidRPr="00A9572D">
        <w:rPr>
          <w:i/>
        </w:rPr>
        <w:t>Review of price regulations of airport services</w:t>
      </w:r>
      <w:r w:rsidR="00F55997">
        <w:t>,</w:t>
      </w:r>
      <w:r w:rsidR="00A9572D">
        <w:t xml:space="preserve"> which found that publishing price and service quality outcomes in a single report will enable better analysis of the link between quality of service and the pricing and investment cycles. </w:t>
      </w:r>
    </w:p>
    <w:p w:rsidR="001F57DA" w:rsidRDefault="00A9572D" w:rsidP="001F57DA">
      <w:r>
        <w:t xml:space="preserve">The </w:t>
      </w:r>
      <w:r w:rsidR="001F57DA">
        <w:t>ACCC may also issue a draft Airport Monitoring Report at its own discretion. For example, where there is a controversial issue discussed in the report, the ACCC may consider issuing a draft report to obtain a</w:t>
      </w:r>
      <w:r w:rsidR="009D497B">
        <w:t>dditional</w:t>
      </w:r>
      <w:r w:rsidR="001F57DA">
        <w:t xml:space="preserve"> response</w:t>
      </w:r>
      <w:r w:rsidR="009D497B">
        <w:t>s</w:t>
      </w:r>
      <w:r w:rsidR="001F57DA">
        <w:t xml:space="preserve"> from an airport operator.</w:t>
      </w:r>
    </w:p>
    <w:p w:rsidR="006A455F" w:rsidRDefault="008934EF" w:rsidP="00DA0047">
      <w:r>
        <w:t>Q</w:t>
      </w:r>
      <w:r w:rsidR="00DA0047">
        <w:t xml:space="preserve">uality of service indicators are published in the </w:t>
      </w:r>
      <w:r w:rsidR="00287FEF">
        <w:t>Airport Monitoring Reports</w:t>
      </w:r>
      <w:r w:rsidR="00DA0047">
        <w:t xml:space="preserve"> on a service</w:t>
      </w:r>
      <w:r w:rsidR="00F55997">
        <w:noBreakHyphen/>
      </w:r>
      <w:r w:rsidR="00DA0047">
        <w:t>by</w:t>
      </w:r>
      <w:r w:rsidR="00F55997">
        <w:noBreakHyphen/>
      </w:r>
      <w:r w:rsidR="00DA0047">
        <w:t xml:space="preserve">service basis. Indicators include the average ratings given by </w:t>
      </w:r>
      <w:r w:rsidR="00434934">
        <w:t>airport users</w:t>
      </w:r>
      <w:r w:rsidR="00DA0047">
        <w:t xml:space="preserve"> </w:t>
      </w:r>
      <w:r w:rsidR="00F55997">
        <w:t xml:space="preserve">and </w:t>
      </w:r>
      <w:r w:rsidR="00DA0047">
        <w:t>objective data measures</w:t>
      </w:r>
      <w:r w:rsidR="00434934">
        <w:t xml:space="preserve"> </w:t>
      </w:r>
      <w:r w:rsidR="00F55997">
        <w:t>provided by airport operators. T</w:t>
      </w:r>
      <w:r w:rsidR="00434934">
        <w:t>he ACCC focus</w:t>
      </w:r>
      <w:r w:rsidR="00F55997">
        <w:t>es</w:t>
      </w:r>
      <w:r w:rsidR="00434934">
        <w:t xml:space="preserve"> its analysis on changes in </w:t>
      </w:r>
      <w:r w:rsidR="00F55997">
        <w:t xml:space="preserve">the </w:t>
      </w:r>
      <w:r w:rsidR="00434934" w:rsidRPr="00434934">
        <w:t xml:space="preserve">quality of certain </w:t>
      </w:r>
      <w:r w:rsidR="00434934" w:rsidRPr="00434934">
        <w:rPr>
          <w:i/>
        </w:rPr>
        <w:t xml:space="preserve">aspects </w:t>
      </w:r>
      <w:r w:rsidR="00434934" w:rsidRPr="00434934">
        <w:t xml:space="preserve">of </w:t>
      </w:r>
      <w:r w:rsidR="00287FEF">
        <w:t xml:space="preserve">the </w:t>
      </w:r>
      <w:r w:rsidR="00434934" w:rsidRPr="00434934">
        <w:t>airport</w:t>
      </w:r>
      <w:r w:rsidR="00287FEF">
        <w:t xml:space="preserve"> operator’s</w:t>
      </w:r>
      <w:r w:rsidR="00434934" w:rsidRPr="00434934">
        <w:t xml:space="preserve"> services and facilities over time.</w:t>
      </w:r>
      <w:r w:rsidR="00DA0047">
        <w:t xml:space="preserve"> </w:t>
      </w:r>
      <w:r w:rsidR="00434934">
        <w:t>Importantly, however</w:t>
      </w:r>
      <w:r w:rsidR="00434934" w:rsidRPr="00434934">
        <w:t xml:space="preserve">, </w:t>
      </w:r>
      <w:r w:rsidR="00434934">
        <w:t>i</w:t>
      </w:r>
      <w:r w:rsidR="00434934" w:rsidRPr="00434934">
        <w:t xml:space="preserve">n publishing its findings, the ACCC will not necessarily publish data on all specific </w:t>
      </w:r>
      <w:r w:rsidR="00434934" w:rsidRPr="00434934">
        <w:rPr>
          <w:i/>
        </w:rPr>
        <w:t>criteria</w:t>
      </w:r>
      <w:r w:rsidR="00434934" w:rsidRPr="00434934">
        <w:t xml:space="preserve"> but may summarise underlying trends.</w:t>
      </w:r>
      <w:r w:rsidR="00287FEF">
        <w:t xml:space="preserve"> In addition to the quality of service indicators</w:t>
      </w:r>
      <w:r w:rsidR="00F55997">
        <w:t>,</w:t>
      </w:r>
      <w:r w:rsidR="00287FEF">
        <w:t xml:space="preserve"> the ACCC also publishes </w:t>
      </w:r>
      <w:r w:rsidR="00F55997">
        <w:t xml:space="preserve">a range of price monitoring indicators </w:t>
      </w:r>
      <w:r w:rsidR="00287FEF">
        <w:t>in the Airport Monitoring Reports</w:t>
      </w:r>
      <w:r w:rsidR="004312FB">
        <w:t xml:space="preserve"> and include</w:t>
      </w:r>
      <w:r w:rsidR="00DA0047">
        <w:t xml:space="preserve"> average revenue per passenger (as a proxy for average prices)</w:t>
      </w:r>
      <w:r w:rsidR="00F55997">
        <w:t>,</w:t>
      </w:r>
      <w:r w:rsidR="00DA0047">
        <w:t xml:space="preserve"> as well as operating margins and rate of return measures as indicators of profitability.</w:t>
      </w:r>
      <w:r w:rsidR="002B4134">
        <w:t xml:space="preserve"> </w:t>
      </w:r>
    </w:p>
    <w:p w:rsidR="00434934" w:rsidRDefault="00BB30BD" w:rsidP="00DA0047">
      <w:r>
        <w:t xml:space="preserve">The quality of service indicators that are published in the Airport Monitoring Reports are also aggregated to derive an overall quality of service rating for each of the airport operators. </w:t>
      </w:r>
      <w:r w:rsidR="00DA0047">
        <w:t xml:space="preserve">The </w:t>
      </w:r>
      <w:r>
        <w:t xml:space="preserve">ACCC constructs overall </w:t>
      </w:r>
      <w:r w:rsidR="00DA0047">
        <w:t xml:space="preserve">ratings by compiling information </w:t>
      </w:r>
      <w:r w:rsidR="008934EF">
        <w:t xml:space="preserve">that includes data </w:t>
      </w:r>
      <w:r w:rsidR="00DA0047">
        <w:t>provided by the airport</w:t>
      </w:r>
      <w:r>
        <w:t xml:space="preserve"> operator</w:t>
      </w:r>
      <w:r w:rsidR="00DA0047">
        <w:t xml:space="preserve">s, airlines and </w:t>
      </w:r>
      <w:r w:rsidR="00434934">
        <w:t>other airport users</w:t>
      </w:r>
      <w:r w:rsidR="00DA0047">
        <w:t xml:space="preserve">. </w:t>
      </w:r>
      <w:r w:rsidR="002B4134">
        <w:t>The ACCC uses raw data obtained through the monitoring program to compile overall ratings and</w:t>
      </w:r>
      <w:r w:rsidR="00DA0047">
        <w:t xml:space="preserve"> does not include its own analysis in that process, nor </w:t>
      </w:r>
      <w:r w:rsidR="006A455F">
        <w:t xml:space="preserve">does </w:t>
      </w:r>
      <w:r w:rsidR="002B4134">
        <w:t xml:space="preserve">it </w:t>
      </w:r>
      <w:r w:rsidR="00DA0047">
        <w:t>apply weightings to the information.</w:t>
      </w:r>
      <w:r w:rsidR="00434934">
        <w:t xml:space="preserve"> </w:t>
      </w:r>
      <w:r w:rsidR="00DA0047">
        <w:t>The methodology for deriving airport</w:t>
      </w:r>
      <w:r>
        <w:t xml:space="preserve"> operator</w:t>
      </w:r>
      <w:r w:rsidR="00DA0047">
        <w:t>s’ overall ratings is applied consistently across all airports. The airport</w:t>
      </w:r>
      <w:r>
        <w:t xml:space="preserve"> operator</w:t>
      </w:r>
      <w:r w:rsidR="00DA0047">
        <w:t xml:space="preserve">s’ </w:t>
      </w:r>
      <w:r>
        <w:t>overall ratings</w:t>
      </w:r>
      <w:r w:rsidR="00DA0047">
        <w:t xml:space="preserve"> are an indication of the</w:t>
      </w:r>
      <w:r w:rsidR="002B4134">
        <w:t xml:space="preserve"> average</w:t>
      </w:r>
      <w:r w:rsidR="00DA0047">
        <w:t xml:space="preserve"> quality of service outcomes</w:t>
      </w:r>
      <w:r w:rsidR="002B4134">
        <w:t xml:space="preserve"> across all services provided at each monitored airport</w:t>
      </w:r>
      <w:r w:rsidR="00DA0047">
        <w:t xml:space="preserve">. </w:t>
      </w:r>
    </w:p>
    <w:p w:rsidR="00DA0047" w:rsidRDefault="00BB30BD" w:rsidP="00DA0047">
      <w:r>
        <w:t>T</w:t>
      </w:r>
      <w:r w:rsidR="00DA0047">
        <w:t xml:space="preserve">he overall </w:t>
      </w:r>
      <w:r>
        <w:t xml:space="preserve">quality of service </w:t>
      </w:r>
      <w:r w:rsidR="00DA0047">
        <w:t xml:space="preserve">ratings, </w:t>
      </w:r>
      <w:r>
        <w:t xml:space="preserve">together </w:t>
      </w:r>
      <w:r w:rsidR="00DA0047">
        <w:t xml:space="preserve">with the price monitoring indicators, provide the ACCC with a means to communicate </w:t>
      </w:r>
      <w:r>
        <w:t>some general observations about the airport operators’ performance</w:t>
      </w:r>
      <w:r w:rsidR="00DA0047">
        <w:t xml:space="preserve">. </w:t>
      </w:r>
    </w:p>
    <w:p w:rsidR="00892880" w:rsidRDefault="00892880" w:rsidP="008C1B64">
      <w:r>
        <w:t xml:space="preserve">The ACCC </w:t>
      </w:r>
      <w:r w:rsidR="00756FB2">
        <w:t>presents the Airport Monitoring Reports to the Government, provides a copy of the report to the monitored airport</w:t>
      </w:r>
      <w:r w:rsidR="00FA1FD4">
        <w:t xml:space="preserve"> operator</w:t>
      </w:r>
      <w:r w:rsidR="00756FB2">
        <w:t xml:space="preserve">s and makes the report </w:t>
      </w:r>
      <w:r>
        <w:t>publically a</w:t>
      </w:r>
      <w:r w:rsidR="00756FB2">
        <w:t>vailable via the ACCC’s website at</w:t>
      </w:r>
      <w:r>
        <w:t xml:space="preserve"> </w:t>
      </w:r>
      <w:hyperlink r:id="rId16" w:history="1">
        <w:r w:rsidRPr="00756FB2">
          <w:rPr>
            <w:rStyle w:val="Hyperlink"/>
          </w:rPr>
          <w:t>http://www.accc.gov.au</w:t>
        </w:r>
        <w:r w:rsidR="00756FB2" w:rsidRPr="00756FB2">
          <w:rPr>
            <w:rStyle w:val="Hyperlink"/>
          </w:rPr>
          <w:t>/aviation</w:t>
        </w:r>
      </w:hyperlink>
      <w:r>
        <w:t>.</w:t>
      </w:r>
    </w:p>
    <w:p w:rsidR="00892880" w:rsidRDefault="00892880" w:rsidP="008E1038">
      <w:pPr>
        <w:keepNext/>
      </w:pPr>
      <w:r>
        <w:lastRenderedPageBreak/>
        <w:t>Results from the quality of service monitoring program may also be published in:</w:t>
      </w:r>
    </w:p>
    <w:p w:rsidR="00892880" w:rsidRDefault="00892880" w:rsidP="008E1038">
      <w:pPr>
        <w:pStyle w:val="Listbullet1"/>
        <w:keepNext/>
      </w:pPr>
      <w:r>
        <w:t>individual reports</w:t>
      </w:r>
    </w:p>
    <w:p w:rsidR="00892880" w:rsidRPr="00892880" w:rsidRDefault="00892880" w:rsidP="008E1038">
      <w:pPr>
        <w:pStyle w:val="Listbullet1"/>
        <w:keepNext/>
      </w:pPr>
      <w:r>
        <w:t xml:space="preserve">general publications, such as ACCCount and the </w:t>
      </w:r>
      <w:r w:rsidRPr="00892880">
        <w:t>ACCC annual report.</w:t>
      </w:r>
    </w:p>
    <w:p w:rsidR="008C1B64" w:rsidRDefault="008C1B64" w:rsidP="008C1B64">
      <w:pPr>
        <w:pStyle w:val="Numberedheading2"/>
      </w:pPr>
      <w:bookmarkStart w:id="18" w:name="_Ref353353927"/>
      <w:bookmarkStart w:id="19" w:name="_Toc359587375"/>
      <w:r>
        <w:t>Confidentiality</w:t>
      </w:r>
      <w:bookmarkEnd w:id="18"/>
      <w:bookmarkEnd w:id="19"/>
    </w:p>
    <w:p w:rsidR="00C13940" w:rsidRDefault="00371AF5" w:rsidP="00C13940">
      <w:pPr>
        <w:pStyle w:val="Numberedheading3"/>
      </w:pPr>
      <w:r>
        <w:t>I</w:t>
      </w:r>
      <w:r w:rsidR="00C13940">
        <w:t>nformation</w:t>
      </w:r>
      <w:r>
        <w:t xml:space="preserve"> provided by airport operators</w:t>
      </w:r>
    </w:p>
    <w:p w:rsidR="00C13940" w:rsidRDefault="00FD1E78" w:rsidP="00C13940">
      <w:r>
        <w:t xml:space="preserve">Airport operators can </w:t>
      </w:r>
      <w:r w:rsidR="00E76CFB">
        <w:t xml:space="preserve">make a claim for confidentiality for the material that it is required to give to the ACCC under the Airports Act—that is, information relevant to a quality of service </w:t>
      </w:r>
      <w:r w:rsidR="00E76CFB" w:rsidRPr="00E76CFB">
        <w:rPr>
          <w:i/>
        </w:rPr>
        <w:t>matter</w:t>
      </w:r>
      <w:r w:rsidR="00E76CFB">
        <w:t xml:space="preserve">, where the airport operator is required to keep and retain records relevant to that quality of service </w:t>
      </w:r>
      <w:r w:rsidR="00E76CFB" w:rsidRPr="00E76CFB">
        <w:rPr>
          <w:i/>
        </w:rPr>
        <w:t>matter</w:t>
      </w:r>
      <w:r w:rsidR="00E76CFB">
        <w:t xml:space="preserve">. </w:t>
      </w:r>
      <w:r w:rsidR="006E61A6">
        <w:t xml:space="preserve">The Airports Act provides for formal protection of such information under s. 158 in conjunction with ss. 95ZN and 95ZP of the </w:t>
      </w:r>
      <w:r w:rsidR="006E61A6">
        <w:rPr>
          <w:i/>
        </w:rPr>
        <w:t xml:space="preserve">Competition and Consumer Act 2010 </w:t>
      </w:r>
      <w:r w:rsidR="006E61A6">
        <w:t>(CCA).</w:t>
      </w:r>
      <w:r w:rsidR="008711A3">
        <w:t xml:space="preserve"> The ACCC will assess whether</w:t>
      </w:r>
      <w:r w:rsidR="00DE3F30">
        <w:t xml:space="preserve"> the claim </w:t>
      </w:r>
      <w:r w:rsidR="00FF413F">
        <w:t xml:space="preserve">for confidentiality </w:t>
      </w:r>
      <w:r w:rsidR="00DE3F30">
        <w:t>is justified and whether</w:t>
      </w:r>
      <w:r w:rsidR="008711A3">
        <w:t xml:space="preserve"> disclosure of the relevant information is necessary in the public interest.</w:t>
      </w:r>
    </w:p>
    <w:p w:rsidR="004312FB" w:rsidRPr="006E61A6" w:rsidRDefault="004312FB" w:rsidP="00C13940">
      <w:r>
        <w:t xml:space="preserve">Material for which confidentiality is granted will not be publicly available, but may be taken into account by the ACCC in its assessment of quality of service. Information pertaining to the </w:t>
      </w:r>
      <w:r>
        <w:rPr>
          <w:i/>
          <w:iCs/>
        </w:rPr>
        <w:t xml:space="preserve">criteria </w:t>
      </w:r>
      <w:r>
        <w:t>and which is specified in the regulations must be submitted to the ACCC. However, if parties wish to submit additional information to the ACCC as part of the consultation process, and the ACCC does not grant confidentiality to such information, then the relevant parties will have the opportunity to withdraw the information. The ACCC will consult with airport operators before publishing results.</w:t>
      </w:r>
    </w:p>
    <w:p w:rsidR="0094703B" w:rsidRDefault="0094703B" w:rsidP="0094703B">
      <w:r>
        <w:t xml:space="preserve">In addition, the </w:t>
      </w:r>
      <w:r w:rsidRPr="00E45FD6">
        <w:rPr>
          <w:i/>
        </w:rPr>
        <w:t>ACCC/AER information policy</w:t>
      </w:r>
      <w:r>
        <w:t xml:space="preserve"> (October 2008) sets out the ACCC’s general policy on the collection, use and disclosure of information. This document is available on the ACCC’s website. In particular, the information policy outlines the certain circumstances where </w:t>
      </w:r>
      <w:r w:rsidRPr="00AB1E86">
        <w:t xml:space="preserve">the </w:t>
      </w:r>
      <w:r>
        <w:t xml:space="preserve">ACCC can be required to produce material. </w:t>
      </w:r>
    </w:p>
    <w:p w:rsidR="009924A1" w:rsidRDefault="00585801" w:rsidP="009924A1">
      <w:pPr>
        <w:pStyle w:val="Numberedheading1"/>
      </w:pPr>
      <w:bookmarkStart w:id="20" w:name="_Ref353364358"/>
      <w:bookmarkStart w:id="21" w:name="_Toc359587376"/>
      <w:r>
        <w:t>List of q</w:t>
      </w:r>
      <w:r w:rsidR="009924A1">
        <w:t xml:space="preserve">uality of service </w:t>
      </w:r>
      <w:r>
        <w:t xml:space="preserve">matters and </w:t>
      </w:r>
      <w:r w:rsidR="009924A1">
        <w:t>criteria</w:t>
      </w:r>
      <w:bookmarkEnd w:id="20"/>
      <w:bookmarkEnd w:id="21"/>
    </w:p>
    <w:p w:rsidR="00C67000" w:rsidRPr="00650B1E" w:rsidRDefault="009B3F99" w:rsidP="00C67000">
      <w:r w:rsidRPr="00650B1E">
        <w:t xml:space="preserve">In </w:t>
      </w:r>
      <w:r w:rsidR="0089615E" w:rsidRPr="0089615E">
        <w:t>tables 6.1 and 6.2</w:t>
      </w:r>
      <w:r w:rsidR="0026036F">
        <w:t xml:space="preserve">, the first column sets out the </w:t>
      </w:r>
      <w:r w:rsidR="0026036F">
        <w:rPr>
          <w:i/>
        </w:rPr>
        <w:t xml:space="preserve">aspects </w:t>
      </w:r>
      <w:r w:rsidR="0026036F">
        <w:t xml:space="preserve">for passenger-related services and facilities; and aircraft-related services and facilities respectively. Listed alongside each </w:t>
      </w:r>
      <w:r w:rsidR="0026036F">
        <w:rPr>
          <w:i/>
        </w:rPr>
        <w:t>aspect</w:t>
      </w:r>
      <w:r w:rsidR="0026036F">
        <w:t xml:space="preserve"> are the relevant </w:t>
      </w:r>
      <w:r w:rsidR="0026036F">
        <w:rPr>
          <w:i/>
        </w:rPr>
        <w:t>criteria</w:t>
      </w:r>
      <w:r w:rsidR="0026036F">
        <w:t xml:space="preserve"> used to assess the performance of that </w:t>
      </w:r>
      <w:r w:rsidR="0026036F">
        <w:rPr>
          <w:i/>
        </w:rPr>
        <w:t>aspect</w:t>
      </w:r>
      <w:r w:rsidR="0026036F">
        <w:t xml:space="preserve">, including objective </w:t>
      </w:r>
      <w:r w:rsidR="0026036F">
        <w:rPr>
          <w:i/>
        </w:rPr>
        <w:t>criteria</w:t>
      </w:r>
      <w:r w:rsidR="0026036F">
        <w:t xml:space="preserve">, passenger survey data, airline survey data and other subjective data. </w:t>
      </w:r>
    </w:p>
    <w:p w:rsidR="0007075D" w:rsidRDefault="0089615E" w:rsidP="008834CC">
      <w:pPr>
        <w:spacing w:before="240"/>
      </w:pPr>
      <w:r w:rsidRPr="0089615E">
        <w:t>Tables 6.3 and 6.4 set out the data (</w:t>
      </w:r>
      <w:r w:rsidR="0026036F">
        <w:t xml:space="preserve">relating to </w:t>
      </w:r>
      <w:r w:rsidR="0026036F">
        <w:rPr>
          <w:i/>
        </w:rPr>
        <w:t>matters</w:t>
      </w:r>
      <w:r w:rsidR="0026036F">
        <w:t xml:space="preserve">) required from airport operators to satisfy the objective </w:t>
      </w:r>
      <w:r w:rsidR="0026036F">
        <w:rPr>
          <w:i/>
        </w:rPr>
        <w:t>criteria</w:t>
      </w:r>
      <w:r w:rsidR="0026036F">
        <w:t xml:space="preserve"> listed in tables 6.1 and 6.2. </w:t>
      </w:r>
    </w:p>
    <w:p w:rsidR="00FC3BAA" w:rsidRDefault="0007075D" w:rsidP="008834CC">
      <w:pPr>
        <w:spacing w:before="240"/>
      </w:pPr>
      <w:r>
        <w:t xml:space="preserve">As noted in the </w:t>
      </w:r>
      <w:r w:rsidR="006B153F" w:rsidRPr="006B153F">
        <w:rPr>
          <w:i/>
        </w:rPr>
        <w:t>Proposed changes to the guideline for quality of service monitoring at airports</w:t>
      </w:r>
      <w:r>
        <w:t xml:space="preserve">, the ACCC did not propose any change to the definition of peak hour. However, to achieve consistency with the </w:t>
      </w:r>
      <w:r w:rsidR="00682205" w:rsidRPr="00C6598B">
        <w:rPr>
          <w:i/>
        </w:rPr>
        <w:t>Airports</w:t>
      </w:r>
      <w:r w:rsidR="00682205" w:rsidRPr="00C6598B">
        <w:t xml:space="preserve"> </w:t>
      </w:r>
      <w:r w:rsidR="00682205" w:rsidRPr="00C6598B">
        <w:rPr>
          <w:i/>
        </w:rPr>
        <w:t>Regulations</w:t>
      </w:r>
      <w:r w:rsidR="00682205" w:rsidRPr="00C6598B">
        <w:t xml:space="preserve"> </w:t>
      </w:r>
      <w:r w:rsidR="00682205" w:rsidRPr="00C6598B">
        <w:rPr>
          <w:i/>
        </w:rPr>
        <w:t>1997</w:t>
      </w:r>
      <w:r w:rsidR="006B153F" w:rsidRPr="006B153F">
        <w:t xml:space="preserve">, the </w:t>
      </w:r>
      <w:r w:rsidR="00682205">
        <w:t>A</w:t>
      </w:r>
      <w:r w:rsidRPr="00815A0B">
        <w:t>CCC considers</w:t>
      </w:r>
      <w:r w:rsidR="006C408E">
        <w:t xml:space="preserve"> that</w:t>
      </w:r>
      <w:r w:rsidRPr="00815A0B">
        <w:t xml:space="preserve"> ‘peak hour’ </w:t>
      </w:r>
      <w:r w:rsidR="006C408E">
        <w:t>is</w:t>
      </w:r>
      <w:r w:rsidRPr="00815A0B">
        <w:t xml:space="preserve"> ‘the hour that, on average for each day in the financial year, has the highest </w:t>
      </w:r>
      <w:r>
        <w:t xml:space="preserve">total </w:t>
      </w:r>
      <w:r w:rsidRPr="00815A0B">
        <w:t xml:space="preserve">number of </w:t>
      </w:r>
      <w:r>
        <w:t>passenger movements (including both arriving and departing passengers)</w:t>
      </w:r>
      <w:r w:rsidR="006C408E">
        <w:t>”</w:t>
      </w:r>
      <w:r w:rsidR="00682205">
        <w:t>.</w:t>
      </w:r>
      <w:r w:rsidR="00FC3BAA">
        <w:t xml:space="preserve"> </w:t>
      </w:r>
      <w:r w:rsidR="0062552B">
        <w:t>This definition applies to objective criteria in table</w:t>
      </w:r>
      <w:r w:rsidR="006C408E">
        <w:t>s</w:t>
      </w:r>
      <w:r w:rsidR="0062552B">
        <w:t xml:space="preserve"> </w:t>
      </w:r>
      <w:r w:rsidR="00612CBD">
        <w:t>6.1</w:t>
      </w:r>
      <w:r w:rsidR="009455CA">
        <w:t xml:space="preserve">, 6.2 and 6.3 </w:t>
      </w:r>
      <w:r w:rsidR="00612CBD">
        <w:t xml:space="preserve">that are collected during a </w:t>
      </w:r>
      <w:r w:rsidR="0062552B">
        <w:t xml:space="preserve">monitored airport’s peak hour.  </w:t>
      </w:r>
    </w:p>
    <w:p w:rsidR="00B457F0" w:rsidRDefault="001B1CC0" w:rsidP="008834CC">
      <w:pPr>
        <w:spacing w:before="240"/>
      </w:pPr>
      <w:r>
        <w:t xml:space="preserve">The definition of some criteria in the following </w:t>
      </w:r>
      <w:r w:rsidR="00E36406">
        <w:t xml:space="preserve">tables may </w:t>
      </w:r>
      <w:r>
        <w:t xml:space="preserve">differ from the definitions in the ACCC’s </w:t>
      </w:r>
      <w:r w:rsidRPr="006B153F">
        <w:rPr>
          <w:i/>
        </w:rPr>
        <w:t xml:space="preserve">Proposed </w:t>
      </w:r>
      <w:r w:rsidRPr="0062552B">
        <w:rPr>
          <w:i/>
        </w:rPr>
        <w:t>changes</w:t>
      </w:r>
      <w:r w:rsidRPr="00682205">
        <w:rPr>
          <w:i/>
        </w:rPr>
        <w:t xml:space="preserve"> to the guideline for quality of service monitoring at airports</w:t>
      </w:r>
      <w:r>
        <w:t xml:space="preserve"> document. The definitions in the tables are consistent with the definitions in the ACCC’s quality of service information request templates sent to monitored airports.</w:t>
      </w:r>
    </w:p>
    <w:p w:rsidR="00682205" w:rsidRPr="00FC3BAA" w:rsidRDefault="00682205" w:rsidP="008834CC">
      <w:pPr>
        <w:spacing w:before="240"/>
      </w:pPr>
    </w:p>
    <w:p w:rsidR="008834CC" w:rsidRPr="008834CC" w:rsidRDefault="00FC3BAA" w:rsidP="008834CC">
      <w:pPr>
        <w:spacing w:before="240"/>
      </w:pPr>
      <w:r>
        <w:t xml:space="preserve"> </w:t>
      </w:r>
    </w:p>
    <w:p w:rsidR="009B3F99" w:rsidRDefault="009B3F99" w:rsidP="00C67000"/>
    <w:p w:rsidR="0018295A" w:rsidRDefault="0018295A" w:rsidP="00C67000"/>
    <w:p w:rsidR="0018295A" w:rsidRDefault="0018295A" w:rsidP="00C67000"/>
    <w:p w:rsidR="0018295A" w:rsidRDefault="0018295A" w:rsidP="00C67000"/>
    <w:p w:rsidR="004312FB" w:rsidRDefault="004312FB" w:rsidP="00C67000">
      <w:pPr>
        <w:sectPr w:rsidR="004312FB" w:rsidSect="00292A26">
          <w:headerReference w:type="even" r:id="rId17"/>
          <w:headerReference w:type="default" r:id="rId18"/>
          <w:footerReference w:type="default" r:id="rId19"/>
          <w:headerReference w:type="first" r:id="rId20"/>
          <w:type w:val="continuous"/>
          <w:pgSz w:w="11906" w:h="16838"/>
          <w:pgMar w:top="1440" w:right="1729" w:bottom="1582" w:left="1729" w:header="709" w:footer="709" w:gutter="0"/>
          <w:pgNumType w:start="0"/>
          <w:cols w:space="708"/>
          <w:docGrid w:linePitch="360"/>
        </w:sectPr>
      </w:pPr>
    </w:p>
    <w:p w:rsidR="0018295A" w:rsidRDefault="0018295A" w:rsidP="00C67000"/>
    <w:p w:rsidR="0018295A" w:rsidRDefault="0018295A" w:rsidP="00C67000"/>
    <w:p w:rsidR="0018295A" w:rsidRDefault="0018295A" w:rsidP="00C67000"/>
    <w:p w:rsidR="0018295A" w:rsidRDefault="0018295A" w:rsidP="00C67000"/>
    <w:p w:rsidR="0018295A" w:rsidRDefault="0018295A" w:rsidP="00C67000"/>
    <w:p w:rsidR="0018295A" w:rsidRDefault="0018295A" w:rsidP="00C67000">
      <w:pPr>
        <w:sectPr w:rsidR="0018295A" w:rsidSect="00292A26">
          <w:type w:val="continuous"/>
          <w:pgSz w:w="11906" w:h="16838"/>
          <w:pgMar w:top="1440" w:right="1729" w:bottom="1582" w:left="1729" w:header="709" w:footer="709" w:gutter="0"/>
          <w:pgNumType w:start="0"/>
          <w:cols w:space="708"/>
          <w:docGrid w:linePitch="360"/>
        </w:sectPr>
      </w:pPr>
    </w:p>
    <w:p w:rsidR="009B3F99" w:rsidRPr="00717E41" w:rsidRDefault="0089615E" w:rsidP="009B3F99">
      <w:pPr>
        <w:pStyle w:val="Numberedtabletitle"/>
        <w:rPr>
          <w:color w:val="000000"/>
        </w:rPr>
      </w:pPr>
      <w:r w:rsidRPr="00717E41">
        <w:rPr>
          <w:color w:val="000000"/>
        </w:rPr>
        <w:t>Quality of service aspects and associated criteria – passenger-related services and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49"/>
        <w:gridCol w:w="2949"/>
        <w:gridCol w:w="2949"/>
        <w:gridCol w:w="2950"/>
      </w:tblGrid>
      <w:tr w:rsidR="00292A26" w:rsidRPr="00FF32F7" w:rsidTr="005F7F8F">
        <w:trPr>
          <w:tblHeader/>
        </w:trPr>
        <w:tc>
          <w:tcPr>
            <w:tcW w:w="2235" w:type="dxa"/>
            <w:tcBorders>
              <w:left w:val="nil"/>
              <w:bottom w:val="nil"/>
              <w:right w:val="nil"/>
            </w:tcBorders>
            <w:shd w:val="clear" w:color="auto" w:fill="BFBFBF"/>
          </w:tcPr>
          <w:p w:rsidR="00292A26" w:rsidRPr="00717E41" w:rsidRDefault="0089615E" w:rsidP="00A96191">
            <w:pPr>
              <w:pStyle w:val="Tabletextheadingleft"/>
              <w:rPr>
                <w:color w:val="000000"/>
              </w:rPr>
            </w:pPr>
            <w:r w:rsidRPr="00717E41">
              <w:rPr>
                <w:color w:val="000000"/>
              </w:rPr>
              <w:t>Aspect</w:t>
            </w:r>
          </w:p>
        </w:tc>
        <w:tc>
          <w:tcPr>
            <w:tcW w:w="11797" w:type="dxa"/>
            <w:gridSpan w:val="4"/>
            <w:tcBorders>
              <w:left w:val="nil"/>
              <w:bottom w:val="nil"/>
              <w:right w:val="nil"/>
            </w:tcBorders>
            <w:shd w:val="clear" w:color="auto" w:fill="BFBFBF"/>
          </w:tcPr>
          <w:p w:rsidR="00292A26" w:rsidRPr="00717E41" w:rsidRDefault="0089615E" w:rsidP="00A96191">
            <w:pPr>
              <w:pStyle w:val="Tabletextheadingcentre"/>
              <w:rPr>
                <w:color w:val="000000"/>
              </w:rPr>
            </w:pPr>
            <w:r w:rsidRPr="00717E41">
              <w:rPr>
                <w:color w:val="000000"/>
              </w:rPr>
              <w:t>Subjective Criteria</w:t>
            </w:r>
          </w:p>
        </w:tc>
      </w:tr>
      <w:tr w:rsidR="00292A26" w:rsidRPr="00FF32F7" w:rsidTr="005F7F8F">
        <w:trPr>
          <w:tblHeader/>
        </w:trPr>
        <w:tc>
          <w:tcPr>
            <w:tcW w:w="2235" w:type="dxa"/>
            <w:tcBorders>
              <w:top w:val="nil"/>
              <w:left w:val="nil"/>
              <w:bottom w:val="single" w:sz="4" w:space="0" w:color="auto"/>
              <w:right w:val="nil"/>
            </w:tcBorders>
            <w:shd w:val="clear" w:color="auto" w:fill="BFBFBF"/>
          </w:tcPr>
          <w:p w:rsidR="00292A26" w:rsidRPr="00717E41" w:rsidRDefault="00292A26" w:rsidP="00292A26">
            <w:pPr>
              <w:pStyle w:val="Tabletextleft"/>
              <w:rPr>
                <w:color w:val="000000"/>
              </w:rPr>
            </w:pPr>
          </w:p>
        </w:tc>
        <w:tc>
          <w:tcPr>
            <w:tcW w:w="2949" w:type="dxa"/>
            <w:tcBorders>
              <w:top w:val="nil"/>
              <w:left w:val="nil"/>
              <w:bottom w:val="single" w:sz="4" w:space="0" w:color="auto"/>
              <w:right w:val="nil"/>
            </w:tcBorders>
            <w:shd w:val="clear" w:color="auto" w:fill="BFBFBF"/>
          </w:tcPr>
          <w:p w:rsidR="00292A26" w:rsidRPr="00717E41" w:rsidRDefault="0089615E" w:rsidP="00A96191">
            <w:pPr>
              <w:pStyle w:val="Tabletextheadingleft"/>
              <w:rPr>
                <w:color w:val="000000"/>
              </w:rPr>
            </w:pPr>
            <w:r w:rsidRPr="00717E41">
              <w:rPr>
                <w:color w:val="000000"/>
              </w:rPr>
              <w:t>Objective criteria</w:t>
            </w:r>
          </w:p>
        </w:tc>
        <w:tc>
          <w:tcPr>
            <w:tcW w:w="2949" w:type="dxa"/>
            <w:tcBorders>
              <w:top w:val="nil"/>
              <w:left w:val="nil"/>
              <w:bottom w:val="single" w:sz="4" w:space="0" w:color="auto"/>
              <w:right w:val="nil"/>
            </w:tcBorders>
            <w:shd w:val="clear" w:color="auto" w:fill="BFBFBF"/>
          </w:tcPr>
          <w:p w:rsidR="00292A26" w:rsidRPr="00717E41" w:rsidRDefault="0089615E" w:rsidP="00A96191">
            <w:pPr>
              <w:pStyle w:val="Tabletextheadingleft"/>
              <w:rPr>
                <w:color w:val="000000"/>
              </w:rPr>
            </w:pPr>
            <w:r w:rsidRPr="00717E41">
              <w:rPr>
                <w:color w:val="000000"/>
              </w:rPr>
              <w:t>Passenger surveys</w:t>
            </w:r>
          </w:p>
        </w:tc>
        <w:tc>
          <w:tcPr>
            <w:tcW w:w="2949" w:type="dxa"/>
            <w:tcBorders>
              <w:top w:val="nil"/>
              <w:left w:val="nil"/>
              <w:bottom w:val="single" w:sz="4" w:space="0" w:color="auto"/>
              <w:right w:val="nil"/>
            </w:tcBorders>
            <w:shd w:val="clear" w:color="auto" w:fill="BFBFBF"/>
          </w:tcPr>
          <w:p w:rsidR="00292A26" w:rsidRPr="00717E41" w:rsidRDefault="0089615E" w:rsidP="00A96191">
            <w:pPr>
              <w:pStyle w:val="Tabletextheadingleft"/>
              <w:rPr>
                <w:color w:val="000000"/>
              </w:rPr>
            </w:pPr>
            <w:r w:rsidRPr="00717E41">
              <w:rPr>
                <w:color w:val="000000"/>
              </w:rPr>
              <w:t>Airline surveys</w:t>
            </w:r>
          </w:p>
        </w:tc>
        <w:tc>
          <w:tcPr>
            <w:tcW w:w="2950" w:type="dxa"/>
            <w:tcBorders>
              <w:top w:val="nil"/>
              <w:left w:val="nil"/>
              <w:bottom w:val="single" w:sz="4" w:space="0" w:color="auto"/>
              <w:right w:val="nil"/>
            </w:tcBorders>
            <w:shd w:val="clear" w:color="auto" w:fill="BFBFBF"/>
          </w:tcPr>
          <w:p w:rsidR="00292A26" w:rsidRPr="00717E41" w:rsidRDefault="0089615E" w:rsidP="00A96191">
            <w:pPr>
              <w:pStyle w:val="Tabletextheadingleft"/>
              <w:rPr>
                <w:color w:val="000000"/>
              </w:rPr>
            </w:pPr>
            <w:r w:rsidRPr="00717E41">
              <w:rPr>
                <w:color w:val="000000"/>
              </w:rPr>
              <w:t>Other surveys</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Airport access facilities (taxi facilities, kerbside space for pick-up and drop-off)</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92A26" w:rsidRPr="00717E41" w:rsidRDefault="0089615E" w:rsidP="002A5D9D">
            <w:pPr>
              <w:pStyle w:val="Tabletextlistbullet"/>
              <w:rPr>
                <w:color w:val="000000"/>
              </w:rPr>
            </w:pPr>
            <w:r w:rsidRPr="00717E41">
              <w:rPr>
                <w:color w:val="000000"/>
              </w:rPr>
              <w:t>Capacity of terminal kerbside services and facilities designated for passenger pick up and drop off provided to landside operators such as taxis, and providers of other off-airport parking services, measured in terms of the number of standard car park spaces.</w:t>
            </w:r>
            <w:r w:rsidRPr="00717E41">
              <w:rPr>
                <w:rStyle w:val="FootnoteReference"/>
                <w:color w:val="000000"/>
              </w:rPr>
              <w:footnoteReference w:id="6"/>
            </w:r>
          </w:p>
          <w:p w:rsidR="006B524D" w:rsidRPr="00717E41" w:rsidRDefault="0089615E" w:rsidP="002A5D9D">
            <w:pPr>
              <w:pStyle w:val="Tabletextlistbullet"/>
              <w:rPr>
                <w:color w:val="000000"/>
              </w:rPr>
            </w:pPr>
            <w:r w:rsidRPr="00717E41">
              <w:rPr>
                <w:color w:val="000000"/>
              </w:rPr>
              <w:t>Capacity of services and facilities designated for passenger pick-up and drop-off provided to the public at no charge measured in terms of the number of standard car park spaces.</w:t>
            </w:r>
          </w:p>
          <w:p w:rsidR="00292A26" w:rsidRPr="00717E41" w:rsidRDefault="0089615E" w:rsidP="00A96191">
            <w:pPr>
              <w:pStyle w:val="Tabletextheadingleft"/>
              <w:rPr>
                <w:color w:val="000000"/>
              </w:rPr>
            </w:pPr>
            <w:r w:rsidRPr="00717E41">
              <w:rPr>
                <w:color w:val="000000"/>
              </w:rPr>
              <w:t>Domestic services</w:t>
            </w:r>
          </w:p>
          <w:p w:rsidR="00180B36" w:rsidRPr="00717E41" w:rsidRDefault="0089615E" w:rsidP="002A5D9D">
            <w:pPr>
              <w:pStyle w:val="Tabletextlistbullet"/>
              <w:rPr>
                <w:color w:val="000000"/>
              </w:rPr>
            </w:pPr>
            <w:r w:rsidRPr="00717E41">
              <w:rPr>
                <w:color w:val="000000"/>
              </w:rPr>
              <w:t>Capacity of terminal kerbside services and facilities designated for passenger pick</w:t>
            </w:r>
            <w:r w:rsidR="00E64CEF" w:rsidRPr="00717E41">
              <w:rPr>
                <w:color w:val="000000"/>
              </w:rPr>
              <w:t>-</w:t>
            </w:r>
            <w:r w:rsidRPr="00717E41">
              <w:rPr>
                <w:color w:val="000000"/>
              </w:rPr>
              <w:t>up and drop</w:t>
            </w:r>
            <w:r w:rsidR="00E64CEF" w:rsidRPr="00717E41">
              <w:rPr>
                <w:color w:val="000000"/>
              </w:rPr>
              <w:t>-</w:t>
            </w:r>
            <w:r w:rsidRPr="00717E41">
              <w:rPr>
                <w:color w:val="000000"/>
              </w:rPr>
              <w:t>off provided to landside operators such as taxis, and providers of other off-airport parking services, measured in terms of the number of standard car park spaces.</w:t>
            </w:r>
            <w:r w:rsidRPr="00717E41">
              <w:rPr>
                <w:rStyle w:val="FootnoteReference"/>
                <w:color w:val="000000"/>
              </w:rPr>
              <w:footnoteReference w:id="7"/>
            </w:r>
          </w:p>
          <w:p w:rsidR="00292A26" w:rsidRPr="00717E41" w:rsidRDefault="0089615E" w:rsidP="002A5D9D">
            <w:pPr>
              <w:pStyle w:val="Tabletextlistbullet"/>
              <w:rPr>
                <w:color w:val="000000"/>
              </w:rPr>
            </w:pPr>
            <w:r w:rsidRPr="00717E41">
              <w:rPr>
                <w:color w:val="000000"/>
              </w:rPr>
              <w:t>Capacity of services and facilities designated for passenger pick-up and drop-off provided to the public at no charge measured in terms of the number of standard car park spaces</w:t>
            </w:r>
            <w:r w:rsidR="00C104BB">
              <w:rPr>
                <w:color w:val="000000"/>
              </w:rPr>
              <w:t>.</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92A26" w:rsidRPr="00717E41" w:rsidRDefault="0089615E" w:rsidP="002A5D9D">
            <w:pPr>
              <w:pStyle w:val="Tabletextlistbullet"/>
              <w:rPr>
                <w:color w:val="000000"/>
              </w:rPr>
            </w:pPr>
            <w:r w:rsidRPr="00717E41">
              <w:rPr>
                <w:color w:val="000000"/>
              </w:rPr>
              <w:t>Average rating of kerbside taxi pick-up and drop-off facilities</w:t>
            </w:r>
          </w:p>
          <w:p w:rsidR="00251BD3" w:rsidRPr="00717E41" w:rsidRDefault="0089615E" w:rsidP="002A5D9D">
            <w:pPr>
              <w:pStyle w:val="Tabletextlistbullet"/>
              <w:rPr>
                <w:color w:val="000000"/>
              </w:rPr>
            </w:pPr>
            <w:r w:rsidRPr="00717E41">
              <w:rPr>
                <w:color w:val="000000"/>
              </w:rPr>
              <w:t>Average rating of taxi facilities waiting time</w:t>
            </w:r>
          </w:p>
          <w:p w:rsidR="00251BD3" w:rsidRPr="00717E41" w:rsidRDefault="0089615E" w:rsidP="002A5D9D">
            <w:pPr>
              <w:pStyle w:val="Tabletextlistbullet"/>
              <w:rPr>
                <w:color w:val="000000"/>
              </w:rPr>
            </w:pPr>
            <w:r w:rsidRPr="00717E41">
              <w:rPr>
                <w:color w:val="000000"/>
              </w:rPr>
              <w:t>Average rating of kerbside space congestion</w:t>
            </w:r>
          </w:p>
          <w:p w:rsidR="00292A26" w:rsidRPr="00717E41" w:rsidRDefault="0089615E" w:rsidP="00A96191">
            <w:pPr>
              <w:pStyle w:val="Tabletextheadingleft"/>
              <w:rPr>
                <w:color w:val="000000"/>
              </w:rPr>
            </w:pPr>
            <w:r w:rsidRPr="00717E41">
              <w:rPr>
                <w:color w:val="000000"/>
              </w:rPr>
              <w:t>Domestic services</w:t>
            </w:r>
          </w:p>
          <w:p w:rsidR="0062687D" w:rsidRPr="00717E41" w:rsidRDefault="0089615E" w:rsidP="002A5D9D">
            <w:pPr>
              <w:pStyle w:val="Tabletextlistbullet"/>
              <w:rPr>
                <w:color w:val="000000"/>
              </w:rPr>
            </w:pPr>
            <w:r w:rsidRPr="00717E41">
              <w:rPr>
                <w:color w:val="000000"/>
              </w:rPr>
              <w:t>Average rating of kerbside taxi pick-up and drop-off facilities</w:t>
            </w:r>
          </w:p>
          <w:p w:rsidR="0062687D" w:rsidRPr="00717E41" w:rsidRDefault="0089615E" w:rsidP="002A5D9D">
            <w:pPr>
              <w:pStyle w:val="Tabletextlistbullet"/>
              <w:rPr>
                <w:color w:val="000000"/>
              </w:rPr>
            </w:pPr>
            <w:r w:rsidRPr="00717E41">
              <w:rPr>
                <w:color w:val="000000"/>
              </w:rPr>
              <w:t>Average rating of taxi facilities waiting time</w:t>
            </w:r>
          </w:p>
          <w:p w:rsidR="0062687D" w:rsidRPr="00717E41" w:rsidRDefault="0089615E" w:rsidP="002A5D9D">
            <w:pPr>
              <w:pStyle w:val="Tabletextlistbullet"/>
              <w:rPr>
                <w:color w:val="000000"/>
              </w:rPr>
            </w:pPr>
            <w:r w:rsidRPr="00717E41">
              <w:rPr>
                <w:color w:val="000000"/>
              </w:rPr>
              <w:t>Average rating of kerbside space congestion</w:t>
            </w:r>
          </w:p>
          <w:p w:rsidR="00292A26" w:rsidRPr="00717E41" w:rsidRDefault="00292A26" w:rsidP="002A5D9D">
            <w:pPr>
              <w:pStyle w:val="Tabletextlistbullet"/>
              <w:rPr>
                <w:color w:val="000000"/>
              </w:rPr>
            </w:pP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92A26" w:rsidRPr="00717E41" w:rsidRDefault="0089615E" w:rsidP="00251BD3">
            <w:pPr>
              <w:pStyle w:val="Tabletextleft"/>
              <w:rPr>
                <w:color w:val="000000"/>
              </w:rPr>
            </w:pPr>
            <w:r w:rsidRPr="00717E41">
              <w:rPr>
                <w:color w:val="000000"/>
              </w:rPr>
              <w:t>Nil</w:t>
            </w:r>
          </w:p>
          <w:p w:rsidR="00292A26" w:rsidRPr="00717E41" w:rsidRDefault="0089615E" w:rsidP="00A96191">
            <w:pPr>
              <w:pStyle w:val="Tabletextheadingleft"/>
              <w:rPr>
                <w:color w:val="000000"/>
              </w:rPr>
            </w:pPr>
            <w:r w:rsidRPr="00717E41">
              <w:rPr>
                <w:color w:val="000000"/>
              </w:rPr>
              <w:t>Domestic services</w:t>
            </w:r>
          </w:p>
          <w:p w:rsidR="008834CC" w:rsidRPr="00717E41" w:rsidRDefault="0089615E" w:rsidP="00251BD3">
            <w:pPr>
              <w:pStyle w:val="Tabletextleft"/>
              <w:rPr>
                <w:color w:val="000000"/>
              </w:rPr>
            </w:pPr>
            <w:r w:rsidRPr="00717E41">
              <w:rPr>
                <w:color w:val="000000"/>
              </w:rPr>
              <w:t>Nil</w:t>
            </w:r>
          </w:p>
        </w:tc>
        <w:tc>
          <w:tcPr>
            <w:tcW w:w="2950" w:type="dxa"/>
            <w:tcBorders>
              <w:right w:val="nil"/>
            </w:tcBorders>
          </w:tcPr>
          <w:p w:rsidR="00292A26" w:rsidRPr="00717E41" w:rsidRDefault="0089615E" w:rsidP="00A96191">
            <w:pPr>
              <w:pStyle w:val="Tabletextheadingleft"/>
              <w:rPr>
                <w:color w:val="000000"/>
              </w:rPr>
            </w:pPr>
            <w:r w:rsidRPr="00717E41">
              <w:rPr>
                <w:color w:val="000000"/>
              </w:rPr>
              <w:t>International services</w:t>
            </w:r>
          </w:p>
          <w:p w:rsidR="004030ED" w:rsidRPr="00717E41" w:rsidRDefault="0089615E" w:rsidP="002A5D9D">
            <w:pPr>
              <w:pStyle w:val="Tabletextlistbullet"/>
              <w:keepNext/>
              <w:keepLines/>
              <w:outlineLvl w:val="1"/>
              <w:rPr>
                <w:color w:val="000000"/>
                <w:u w:val="single"/>
              </w:rPr>
            </w:pPr>
            <w:r w:rsidRPr="00717E41">
              <w:rPr>
                <w:color w:val="000000"/>
                <w:u w:val="single"/>
              </w:rPr>
              <w:t>Landside operators:</w:t>
            </w:r>
          </w:p>
          <w:p w:rsidR="00251BD3" w:rsidRPr="00717E41" w:rsidRDefault="0089615E" w:rsidP="002A5D9D">
            <w:pPr>
              <w:pStyle w:val="Tabletextlistbullet"/>
              <w:rPr>
                <w:color w:val="000000"/>
              </w:rPr>
            </w:pPr>
            <w:r w:rsidRPr="00717E41">
              <w:rPr>
                <w:color w:val="000000"/>
              </w:rPr>
              <w:t>Average rating of the availability and standard of taxi facilities</w:t>
            </w:r>
          </w:p>
          <w:p w:rsidR="00251BD3" w:rsidRPr="00717E41" w:rsidRDefault="0089615E" w:rsidP="002A5D9D">
            <w:pPr>
              <w:pStyle w:val="Tabletextlistbullet"/>
              <w:rPr>
                <w:color w:val="000000"/>
              </w:rPr>
            </w:pPr>
            <w:r w:rsidRPr="00717E41">
              <w:rPr>
                <w:color w:val="000000"/>
              </w:rPr>
              <w:t>Average rating of the availability and standard of kerbside space for pick</w:t>
            </w:r>
            <w:r w:rsidR="00E64CEF" w:rsidRPr="00717E41">
              <w:rPr>
                <w:color w:val="000000"/>
              </w:rPr>
              <w:t>-</w:t>
            </w:r>
            <w:r w:rsidRPr="00717E41">
              <w:rPr>
                <w:color w:val="000000"/>
              </w:rPr>
              <w:t>up and drop</w:t>
            </w:r>
            <w:r w:rsidR="00E64CEF" w:rsidRPr="00717E41">
              <w:rPr>
                <w:color w:val="000000"/>
              </w:rPr>
              <w:t>-</w:t>
            </w:r>
            <w:r w:rsidRPr="00717E41">
              <w:rPr>
                <w:color w:val="000000"/>
              </w:rPr>
              <w:t>off.</w:t>
            </w:r>
          </w:p>
          <w:p w:rsidR="007C55B1" w:rsidRPr="00717E41" w:rsidRDefault="0089615E" w:rsidP="002A5D9D">
            <w:pPr>
              <w:pStyle w:val="Tabletextlistbullet"/>
              <w:rPr>
                <w:color w:val="000000"/>
              </w:rPr>
            </w:pPr>
            <w:r w:rsidRPr="00717E41">
              <w:rPr>
                <w:color w:val="000000"/>
              </w:rPr>
              <w:t xml:space="preserve">Average rating of the overall system for addressing quality of service concerns. </w:t>
            </w:r>
          </w:p>
          <w:p w:rsidR="007C55B1" w:rsidRPr="00717E41" w:rsidRDefault="0089615E" w:rsidP="002A5D9D">
            <w:pPr>
              <w:pStyle w:val="Tabletextlistbullet"/>
              <w:rPr>
                <w:color w:val="000000"/>
              </w:rPr>
            </w:pPr>
            <w:r w:rsidRPr="00717E41">
              <w:rPr>
                <w:color w:val="000000"/>
              </w:rPr>
              <w:t xml:space="preserve">Average rating of management approach to concerns. </w:t>
            </w:r>
          </w:p>
          <w:p w:rsidR="00251BD3" w:rsidRPr="00717E41" w:rsidRDefault="0089615E" w:rsidP="00A96191">
            <w:pPr>
              <w:pStyle w:val="Tabletextheadingleft"/>
              <w:rPr>
                <w:color w:val="000000"/>
              </w:rPr>
            </w:pPr>
            <w:r w:rsidRPr="00717E41">
              <w:rPr>
                <w:color w:val="000000"/>
              </w:rPr>
              <w:t>Domestic services</w:t>
            </w:r>
          </w:p>
          <w:p w:rsidR="004030ED" w:rsidRPr="00717E41" w:rsidRDefault="0089615E" w:rsidP="002A5D9D">
            <w:pPr>
              <w:pStyle w:val="Tabletextlistbullet"/>
              <w:keepNext/>
              <w:keepLines/>
              <w:outlineLvl w:val="1"/>
              <w:rPr>
                <w:color w:val="000000"/>
                <w:u w:val="single"/>
              </w:rPr>
            </w:pPr>
            <w:r w:rsidRPr="00717E41">
              <w:rPr>
                <w:color w:val="000000"/>
                <w:u w:val="single"/>
              </w:rPr>
              <w:t>Landside operators:</w:t>
            </w:r>
          </w:p>
          <w:p w:rsidR="007C55B1" w:rsidRPr="00717E41" w:rsidRDefault="0089615E" w:rsidP="002A5D9D">
            <w:pPr>
              <w:pStyle w:val="Tabletextlistbullet"/>
              <w:rPr>
                <w:color w:val="000000"/>
              </w:rPr>
            </w:pPr>
            <w:r w:rsidRPr="00717E41">
              <w:rPr>
                <w:color w:val="000000"/>
              </w:rPr>
              <w:t>Average rating of the availability and standard of taxi facilities</w:t>
            </w:r>
          </w:p>
          <w:p w:rsidR="007C55B1" w:rsidRPr="00717E41" w:rsidRDefault="0089615E" w:rsidP="002A5D9D">
            <w:pPr>
              <w:pStyle w:val="Tabletextlistbullet"/>
              <w:rPr>
                <w:color w:val="000000"/>
              </w:rPr>
            </w:pPr>
            <w:r w:rsidRPr="00717E41">
              <w:rPr>
                <w:color w:val="000000"/>
              </w:rPr>
              <w:t>Average rating of the availability and standard of kerbside space for pick</w:t>
            </w:r>
            <w:r w:rsidR="00E64CEF" w:rsidRPr="00717E41">
              <w:rPr>
                <w:color w:val="000000"/>
              </w:rPr>
              <w:t>-</w:t>
            </w:r>
            <w:r w:rsidRPr="00717E41">
              <w:rPr>
                <w:color w:val="000000"/>
              </w:rPr>
              <w:t>up and drop off.</w:t>
            </w:r>
          </w:p>
          <w:p w:rsidR="007C55B1" w:rsidRPr="00717E41" w:rsidRDefault="0089615E" w:rsidP="002A5D9D">
            <w:pPr>
              <w:pStyle w:val="Tabletextlistbullet"/>
              <w:rPr>
                <w:color w:val="000000"/>
              </w:rPr>
            </w:pPr>
            <w:r w:rsidRPr="00717E41">
              <w:rPr>
                <w:color w:val="000000"/>
              </w:rPr>
              <w:t xml:space="preserve">Average rating of the overall system for addressing quality of service concerns. </w:t>
            </w:r>
          </w:p>
          <w:p w:rsidR="007C55B1" w:rsidRPr="00717E41" w:rsidRDefault="0089615E" w:rsidP="002A5D9D">
            <w:pPr>
              <w:pStyle w:val="Tabletextlistbullet"/>
              <w:rPr>
                <w:color w:val="000000"/>
              </w:rPr>
            </w:pPr>
            <w:r w:rsidRPr="00717E41">
              <w:rPr>
                <w:color w:val="000000"/>
              </w:rPr>
              <w:t xml:space="preserve">Average rating of management approach to concerns. </w:t>
            </w:r>
          </w:p>
          <w:p w:rsidR="00251BD3" w:rsidRPr="00717E41" w:rsidRDefault="00251BD3" w:rsidP="002A5D9D">
            <w:pPr>
              <w:pStyle w:val="Tabletextlistbullet"/>
              <w:rPr>
                <w:color w:val="000000"/>
              </w:rPr>
            </w:pP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Car parking service facilities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51BD3" w:rsidRPr="00717E41" w:rsidRDefault="0089615E" w:rsidP="002A5D9D">
            <w:pPr>
              <w:pStyle w:val="Tabletextlistbullet"/>
              <w:rPr>
                <w:color w:val="000000"/>
              </w:rPr>
            </w:pPr>
            <w:r w:rsidRPr="00717E41">
              <w:rPr>
                <w:color w:val="000000"/>
              </w:rPr>
              <w:t>Average daily throughput of short-term car park</w:t>
            </w:r>
          </w:p>
          <w:p w:rsidR="00251BD3" w:rsidRPr="00717E41" w:rsidRDefault="0089615E" w:rsidP="002A5D9D">
            <w:pPr>
              <w:pStyle w:val="Tabletextlistbullet"/>
              <w:rPr>
                <w:color w:val="000000"/>
              </w:rPr>
            </w:pPr>
            <w:r w:rsidRPr="00717E41">
              <w:rPr>
                <w:color w:val="000000"/>
              </w:rPr>
              <w:t>Average daily throughput of long-term car park</w:t>
            </w:r>
          </w:p>
          <w:p w:rsidR="00230720" w:rsidRPr="00717E41" w:rsidRDefault="0089615E" w:rsidP="00A96191">
            <w:pPr>
              <w:pStyle w:val="Tabletextheadingleft"/>
              <w:rPr>
                <w:color w:val="000000"/>
              </w:rPr>
            </w:pPr>
            <w:r w:rsidRPr="00717E41">
              <w:rPr>
                <w:color w:val="000000"/>
              </w:rPr>
              <w:t>Domestic services</w:t>
            </w:r>
          </w:p>
          <w:p w:rsidR="00230720" w:rsidRPr="00717E41" w:rsidRDefault="0089615E" w:rsidP="002A5D9D">
            <w:pPr>
              <w:pStyle w:val="Tabletextlistbullet"/>
              <w:rPr>
                <w:color w:val="000000"/>
              </w:rPr>
            </w:pPr>
            <w:r w:rsidRPr="00717E41">
              <w:rPr>
                <w:color w:val="000000"/>
              </w:rPr>
              <w:t>Average daily throughput of short-term car park</w:t>
            </w:r>
          </w:p>
          <w:p w:rsidR="00230720" w:rsidRPr="00717E41" w:rsidRDefault="0089615E" w:rsidP="002A5D9D">
            <w:pPr>
              <w:pStyle w:val="Tabletextlistbullet"/>
              <w:rPr>
                <w:color w:val="000000"/>
              </w:rPr>
            </w:pPr>
            <w:r w:rsidRPr="00717E41">
              <w:rPr>
                <w:color w:val="000000"/>
              </w:rPr>
              <w:t>Average daily throughput of long-term car park</w:t>
            </w:r>
          </w:p>
          <w:p w:rsidR="00230720" w:rsidRPr="00717E41" w:rsidRDefault="00230720" w:rsidP="002A5D9D">
            <w:pPr>
              <w:pStyle w:val="Tabletextlistbullet"/>
              <w:rPr>
                <w:color w:val="000000"/>
              </w:rPr>
            </w:pP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30720" w:rsidRPr="00717E41" w:rsidRDefault="0089615E" w:rsidP="002A5D9D">
            <w:pPr>
              <w:pStyle w:val="Tabletextlistbullet"/>
              <w:rPr>
                <w:color w:val="000000"/>
              </w:rPr>
            </w:pPr>
            <w:r w:rsidRPr="00717E41">
              <w:rPr>
                <w:color w:val="000000"/>
              </w:rPr>
              <w:t>Average rating of airport car parking availability</w:t>
            </w:r>
          </w:p>
          <w:p w:rsidR="00230720" w:rsidRPr="00717E41" w:rsidRDefault="0089615E" w:rsidP="002A5D9D">
            <w:pPr>
              <w:pStyle w:val="Tabletextlistbullet"/>
              <w:rPr>
                <w:color w:val="000000"/>
              </w:rPr>
            </w:pPr>
            <w:r w:rsidRPr="00717E41">
              <w:rPr>
                <w:color w:val="000000"/>
              </w:rPr>
              <w:t>Average rating of airport car parking standard</w:t>
            </w:r>
          </w:p>
          <w:p w:rsidR="00230720" w:rsidRPr="00717E41" w:rsidRDefault="0089615E" w:rsidP="002A5D9D">
            <w:pPr>
              <w:pStyle w:val="Tabletextlistbullet"/>
              <w:rPr>
                <w:color w:val="000000"/>
              </w:rPr>
            </w:pPr>
            <w:r w:rsidRPr="00717E41">
              <w:rPr>
                <w:color w:val="000000"/>
              </w:rPr>
              <w:t>Average rating of time taken to enter airport car park</w:t>
            </w:r>
          </w:p>
          <w:p w:rsidR="00230720" w:rsidRPr="00717E41" w:rsidRDefault="0089615E" w:rsidP="00A96191">
            <w:pPr>
              <w:pStyle w:val="Tabletextheadingleft"/>
              <w:rPr>
                <w:color w:val="000000"/>
              </w:rPr>
            </w:pPr>
            <w:r w:rsidRPr="00717E41">
              <w:rPr>
                <w:color w:val="000000"/>
              </w:rPr>
              <w:t>Domestic services</w:t>
            </w:r>
          </w:p>
          <w:p w:rsidR="00230720" w:rsidRPr="00717E41" w:rsidRDefault="0089615E" w:rsidP="002A5D9D">
            <w:pPr>
              <w:pStyle w:val="Tabletextlistbullet"/>
              <w:rPr>
                <w:color w:val="000000"/>
              </w:rPr>
            </w:pPr>
            <w:r w:rsidRPr="00717E41">
              <w:rPr>
                <w:color w:val="000000"/>
              </w:rPr>
              <w:t>Average rating of airport car parking availability</w:t>
            </w:r>
          </w:p>
          <w:p w:rsidR="00230720" w:rsidRPr="00717E41" w:rsidRDefault="0089615E" w:rsidP="002A5D9D">
            <w:pPr>
              <w:pStyle w:val="Tabletextlistbullet"/>
              <w:rPr>
                <w:color w:val="000000"/>
              </w:rPr>
            </w:pPr>
            <w:r w:rsidRPr="00717E41">
              <w:rPr>
                <w:color w:val="000000"/>
              </w:rPr>
              <w:t>Average rating of airport car parking standard</w:t>
            </w:r>
          </w:p>
          <w:p w:rsidR="00230720" w:rsidRPr="00717E41" w:rsidRDefault="0089615E" w:rsidP="002A5D9D">
            <w:pPr>
              <w:pStyle w:val="Tabletextlistbullet"/>
              <w:rPr>
                <w:color w:val="000000"/>
              </w:rPr>
            </w:pPr>
            <w:r w:rsidRPr="00717E41">
              <w:rPr>
                <w:color w:val="000000"/>
              </w:rPr>
              <w:t>Average rating of time taken to enter airport car park</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30720" w:rsidRPr="00717E41" w:rsidRDefault="0089615E" w:rsidP="00230720">
            <w:pPr>
              <w:pStyle w:val="Tabletextleft"/>
              <w:rPr>
                <w:color w:val="000000"/>
              </w:rPr>
            </w:pPr>
            <w:r w:rsidRPr="00717E41">
              <w:rPr>
                <w:color w:val="000000"/>
              </w:rPr>
              <w:t>Nil</w:t>
            </w:r>
          </w:p>
          <w:p w:rsidR="00230720" w:rsidRPr="00717E41" w:rsidRDefault="0089615E" w:rsidP="00A96191">
            <w:pPr>
              <w:pStyle w:val="Tabletextheadingleft"/>
              <w:rPr>
                <w:color w:val="000000"/>
              </w:rPr>
            </w:pPr>
            <w:r w:rsidRPr="00717E41">
              <w:rPr>
                <w:color w:val="000000"/>
              </w:rPr>
              <w:t>Domestic services</w:t>
            </w:r>
          </w:p>
          <w:p w:rsidR="00230720" w:rsidRPr="00717E41" w:rsidRDefault="0089615E" w:rsidP="00230720">
            <w:pPr>
              <w:pStyle w:val="Tabletextleft"/>
              <w:rPr>
                <w:color w:val="000000"/>
              </w:rPr>
            </w:pPr>
            <w:r w:rsidRPr="00717E41">
              <w:rPr>
                <w:color w:val="000000"/>
              </w:rPr>
              <w:t>Nil</w:t>
            </w:r>
          </w:p>
        </w:tc>
        <w:tc>
          <w:tcPr>
            <w:tcW w:w="2950" w:type="dxa"/>
            <w:tcBorders>
              <w:right w:val="nil"/>
            </w:tcBorders>
          </w:tcPr>
          <w:p w:rsidR="00292A26" w:rsidRPr="00717E41" w:rsidRDefault="0089615E" w:rsidP="00A96191">
            <w:pPr>
              <w:pStyle w:val="Tabletextheadingleft"/>
              <w:rPr>
                <w:color w:val="000000"/>
              </w:rPr>
            </w:pPr>
            <w:r w:rsidRPr="00717E41">
              <w:rPr>
                <w:color w:val="000000"/>
              </w:rPr>
              <w:t>International services</w:t>
            </w:r>
          </w:p>
          <w:p w:rsidR="00230720" w:rsidRPr="00717E41" w:rsidRDefault="0089615E" w:rsidP="00230720">
            <w:pPr>
              <w:pStyle w:val="Tabletextleft"/>
              <w:rPr>
                <w:color w:val="000000"/>
              </w:rPr>
            </w:pPr>
            <w:r w:rsidRPr="00717E41">
              <w:rPr>
                <w:color w:val="000000"/>
              </w:rPr>
              <w:t>Nil</w:t>
            </w:r>
          </w:p>
          <w:p w:rsidR="00230720" w:rsidRPr="00717E41" w:rsidRDefault="0089615E" w:rsidP="00A96191">
            <w:pPr>
              <w:pStyle w:val="Tabletextheadingleft"/>
              <w:rPr>
                <w:color w:val="000000"/>
              </w:rPr>
            </w:pPr>
            <w:r w:rsidRPr="00717E41">
              <w:rPr>
                <w:color w:val="000000"/>
              </w:rPr>
              <w:t>Domestic services</w:t>
            </w:r>
          </w:p>
          <w:p w:rsidR="00230720" w:rsidRPr="00717E41" w:rsidRDefault="0089615E" w:rsidP="00230720">
            <w:pPr>
              <w:pStyle w:val="Tabletextleft"/>
              <w:rPr>
                <w:color w:val="000000"/>
              </w:rPr>
            </w:pPr>
            <w:r w:rsidRPr="00717E41">
              <w:rPr>
                <w:color w:val="000000"/>
              </w:rPr>
              <w:t>Nil</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Baggage trolleys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30720" w:rsidRPr="00717E41" w:rsidRDefault="0089615E" w:rsidP="002A5D9D">
            <w:pPr>
              <w:pStyle w:val="Tabletextlistbullet"/>
              <w:rPr>
                <w:color w:val="000000"/>
              </w:rPr>
            </w:pPr>
            <w:r w:rsidRPr="00717E41">
              <w:rPr>
                <w:color w:val="000000"/>
              </w:rPr>
              <w:t>Number of passengers per baggage trolley during peak hour</w:t>
            </w:r>
            <w:r w:rsidR="00E36406" w:rsidRPr="00717E41">
              <w:rPr>
                <w:rStyle w:val="FootnoteReference"/>
                <w:color w:val="000000"/>
              </w:rPr>
              <w:footnoteReference w:id="8"/>
            </w:r>
          </w:p>
          <w:p w:rsidR="00230720" w:rsidRPr="00717E41" w:rsidRDefault="0089615E" w:rsidP="00A96191">
            <w:pPr>
              <w:pStyle w:val="Tabletextheadingleft"/>
              <w:rPr>
                <w:color w:val="000000"/>
              </w:rPr>
            </w:pPr>
            <w:r w:rsidRPr="00717E41">
              <w:rPr>
                <w:color w:val="000000"/>
              </w:rPr>
              <w:t>Domestic services</w:t>
            </w:r>
          </w:p>
          <w:p w:rsidR="00230720" w:rsidRPr="00717E41" w:rsidRDefault="0089615E" w:rsidP="002A5D9D">
            <w:pPr>
              <w:pStyle w:val="Tabletextlistbullet"/>
              <w:rPr>
                <w:color w:val="000000"/>
              </w:rPr>
            </w:pPr>
            <w:r w:rsidRPr="00717E41">
              <w:rPr>
                <w:color w:val="000000"/>
              </w:rPr>
              <w:t>Number of passengers per baggage trolley during peak hour</w:t>
            </w:r>
            <w:r w:rsidR="00E36406" w:rsidRPr="00717E41">
              <w:rPr>
                <w:rStyle w:val="FootnoteReference"/>
                <w:color w:val="000000"/>
              </w:rPr>
              <w:footnoteReference w:id="9"/>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30720" w:rsidRPr="00717E41" w:rsidRDefault="0089615E" w:rsidP="002A5D9D">
            <w:pPr>
              <w:pStyle w:val="Tabletextlistbullet"/>
              <w:rPr>
                <w:color w:val="000000"/>
              </w:rPr>
            </w:pPr>
            <w:r w:rsidRPr="00717E41">
              <w:rPr>
                <w:color w:val="000000"/>
              </w:rPr>
              <w:t xml:space="preserve">Average rating of </w:t>
            </w:r>
            <w:r w:rsidR="00C104BB" w:rsidRPr="00717E41">
              <w:rPr>
                <w:color w:val="000000"/>
              </w:rPr>
              <w:t>find</w:t>
            </w:r>
            <w:r w:rsidR="00C104BB">
              <w:rPr>
                <w:color w:val="000000"/>
              </w:rPr>
              <w:t xml:space="preserve"> </w:t>
            </w:r>
            <w:r w:rsidR="00C104BB" w:rsidRPr="00717E41">
              <w:rPr>
                <w:color w:val="000000"/>
              </w:rPr>
              <w:t>ability</w:t>
            </w:r>
            <w:r w:rsidRPr="00717E41">
              <w:rPr>
                <w:color w:val="000000"/>
              </w:rPr>
              <w:t xml:space="preserve"> of baggage trolleys</w:t>
            </w:r>
          </w:p>
          <w:p w:rsidR="00230720" w:rsidRPr="00717E41" w:rsidRDefault="0089615E" w:rsidP="00A96191">
            <w:pPr>
              <w:pStyle w:val="Tabletextheadingleft"/>
              <w:rPr>
                <w:color w:val="000000"/>
              </w:rPr>
            </w:pPr>
            <w:r w:rsidRPr="00717E41">
              <w:rPr>
                <w:color w:val="000000"/>
              </w:rPr>
              <w:t>Domestic services</w:t>
            </w:r>
          </w:p>
          <w:p w:rsidR="00230720" w:rsidRPr="00717E41" w:rsidRDefault="0089615E" w:rsidP="002A5D9D">
            <w:pPr>
              <w:pStyle w:val="Tabletextlistbullet"/>
              <w:rPr>
                <w:color w:val="000000"/>
              </w:rPr>
            </w:pPr>
            <w:r w:rsidRPr="00717E41">
              <w:rPr>
                <w:color w:val="000000"/>
              </w:rPr>
              <w:t xml:space="preserve">Average rating of </w:t>
            </w:r>
            <w:r w:rsidR="00C104BB" w:rsidRPr="00717E41">
              <w:rPr>
                <w:color w:val="000000"/>
              </w:rPr>
              <w:t>find</w:t>
            </w:r>
            <w:r w:rsidR="00C104BB">
              <w:rPr>
                <w:color w:val="000000"/>
              </w:rPr>
              <w:t xml:space="preserve"> </w:t>
            </w:r>
            <w:r w:rsidR="00C104BB" w:rsidRPr="00717E41">
              <w:rPr>
                <w:color w:val="000000"/>
              </w:rPr>
              <w:t>ability</w:t>
            </w:r>
            <w:r w:rsidRPr="00717E41">
              <w:rPr>
                <w:color w:val="000000"/>
              </w:rPr>
              <w:t xml:space="preserve"> of baggage trolleys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230720" w:rsidRPr="00717E41" w:rsidRDefault="0089615E" w:rsidP="00230720">
            <w:pPr>
              <w:pStyle w:val="Tabletextleft"/>
              <w:rPr>
                <w:color w:val="000000"/>
              </w:rPr>
            </w:pPr>
            <w:r w:rsidRPr="00717E41">
              <w:rPr>
                <w:color w:val="000000"/>
              </w:rPr>
              <w:t>Nil</w:t>
            </w:r>
          </w:p>
          <w:p w:rsidR="00230720" w:rsidRPr="00717E41" w:rsidRDefault="0089615E" w:rsidP="00A96191">
            <w:pPr>
              <w:pStyle w:val="Tabletextheadingleft"/>
              <w:rPr>
                <w:color w:val="000000"/>
              </w:rPr>
            </w:pPr>
            <w:r w:rsidRPr="00717E41">
              <w:rPr>
                <w:color w:val="000000"/>
              </w:rPr>
              <w:t>Domestic services</w:t>
            </w:r>
          </w:p>
          <w:p w:rsidR="00230720" w:rsidRPr="00717E41" w:rsidRDefault="0089615E" w:rsidP="00230720">
            <w:pPr>
              <w:pStyle w:val="Tabletextleft"/>
              <w:rPr>
                <w:color w:val="000000"/>
              </w:rPr>
            </w:pPr>
            <w:r w:rsidRPr="00717E41">
              <w:rPr>
                <w:color w:val="000000"/>
              </w:rPr>
              <w:t>Nil</w:t>
            </w:r>
          </w:p>
        </w:tc>
        <w:tc>
          <w:tcPr>
            <w:tcW w:w="2950" w:type="dxa"/>
            <w:tcBorders>
              <w:right w:val="nil"/>
            </w:tcBorders>
          </w:tcPr>
          <w:p w:rsidR="00292A26" w:rsidRPr="00717E41" w:rsidRDefault="0089615E" w:rsidP="00A96191">
            <w:pPr>
              <w:pStyle w:val="Tabletextheadingleft"/>
              <w:rPr>
                <w:color w:val="000000"/>
              </w:rPr>
            </w:pPr>
            <w:r w:rsidRPr="00717E41">
              <w:rPr>
                <w:color w:val="000000"/>
              </w:rPr>
              <w:t>International services</w:t>
            </w:r>
          </w:p>
          <w:p w:rsidR="00230720" w:rsidRPr="00717E41" w:rsidRDefault="0089615E" w:rsidP="00230720">
            <w:pPr>
              <w:pStyle w:val="Tabletextleft"/>
              <w:rPr>
                <w:color w:val="000000"/>
              </w:rPr>
            </w:pPr>
            <w:r w:rsidRPr="00717E41">
              <w:rPr>
                <w:color w:val="000000"/>
              </w:rPr>
              <w:t>Nil</w:t>
            </w:r>
          </w:p>
          <w:p w:rsidR="00230720" w:rsidRPr="00717E41" w:rsidRDefault="0089615E" w:rsidP="00A96191">
            <w:pPr>
              <w:pStyle w:val="Tabletextheadingleft"/>
              <w:rPr>
                <w:color w:val="000000"/>
              </w:rPr>
            </w:pPr>
            <w:r w:rsidRPr="00717E41">
              <w:rPr>
                <w:color w:val="000000"/>
              </w:rPr>
              <w:t>Domestic services</w:t>
            </w:r>
          </w:p>
          <w:p w:rsidR="00230720" w:rsidRPr="00717E41" w:rsidRDefault="0089615E" w:rsidP="00230720">
            <w:pPr>
              <w:pStyle w:val="Tabletextleft"/>
              <w:rPr>
                <w:color w:val="000000"/>
              </w:rPr>
            </w:pPr>
            <w:r w:rsidRPr="00717E41">
              <w:rPr>
                <w:color w:val="000000"/>
              </w:rPr>
              <w:t>Nil</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Check-in services and facilities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33D78" w:rsidRPr="00717E41" w:rsidRDefault="0089615E" w:rsidP="002A5D9D">
            <w:pPr>
              <w:pStyle w:val="Tabletextlistbullet"/>
              <w:rPr>
                <w:color w:val="000000"/>
              </w:rPr>
            </w:pPr>
            <w:r w:rsidRPr="00717E41">
              <w:rPr>
                <w:color w:val="000000"/>
              </w:rPr>
              <w:t>The number of departing passengers</w:t>
            </w:r>
            <w:r w:rsidR="00FF32F7" w:rsidRPr="00717E41">
              <w:rPr>
                <w:color w:val="000000"/>
              </w:rPr>
              <w:t xml:space="preserve"> </w:t>
            </w:r>
            <w:r w:rsidRPr="00717E41">
              <w:rPr>
                <w:color w:val="000000"/>
              </w:rPr>
              <w:t>per: check-in desks, bag-drop facilities and spaces provided for check</w:t>
            </w:r>
            <w:r w:rsidRPr="00717E41">
              <w:rPr>
                <w:color w:val="000000"/>
              </w:rPr>
              <w:noBreakHyphen/>
              <w:t>in kiosks</w:t>
            </w:r>
            <w:r w:rsidR="00FF32F7" w:rsidRPr="00717E41">
              <w:rPr>
                <w:color w:val="000000"/>
              </w:rPr>
              <w:t xml:space="preserve"> during peak hour</w:t>
            </w:r>
            <w:r w:rsidR="00E36406" w:rsidRPr="00717E41">
              <w:rPr>
                <w:rStyle w:val="FootnoteReference"/>
                <w:color w:val="000000"/>
              </w:rPr>
              <w:footnoteReference w:id="10"/>
            </w:r>
            <w:r w:rsidR="00FF32F7" w:rsidRPr="00717E41">
              <w:rPr>
                <w:color w:val="000000"/>
              </w:rPr>
              <w:t xml:space="preserve">  </w:t>
            </w:r>
          </w:p>
          <w:p w:rsidR="00933D78" w:rsidRPr="00717E41" w:rsidRDefault="0089615E" w:rsidP="00A96191">
            <w:pPr>
              <w:pStyle w:val="Tabletextheadingleft"/>
              <w:rPr>
                <w:color w:val="000000"/>
              </w:rPr>
            </w:pPr>
            <w:r w:rsidRPr="00717E41">
              <w:rPr>
                <w:color w:val="000000"/>
              </w:rPr>
              <w:t>Domestic services</w:t>
            </w:r>
          </w:p>
          <w:p w:rsidR="00E36406" w:rsidRPr="00717E41" w:rsidRDefault="0089615E">
            <w:pPr>
              <w:pStyle w:val="Tabletextlistbullet"/>
              <w:rPr>
                <w:color w:val="000000"/>
              </w:rPr>
            </w:pPr>
            <w:r w:rsidRPr="00717E41">
              <w:rPr>
                <w:color w:val="000000"/>
              </w:rPr>
              <w:t>The number of departing passengers per: check</w:t>
            </w:r>
            <w:r w:rsidRPr="00717E41">
              <w:rPr>
                <w:color w:val="000000"/>
              </w:rPr>
              <w:noBreakHyphen/>
              <w:t>in desks, bag-drop facilities and spaces provided for check</w:t>
            </w:r>
            <w:r w:rsidRPr="00717E41">
              <w:rPr>
                <w:color w:val="000000"/>
              </w:rPr>
              <w:noBreakHyphen/>
              <w:t>in kiosks</w:t>
            </w:r>
            <w:r w:rsidR="00FF32F7" w:rsidRPr="00717E41">
              <w:rPr>
                <w:color w:val="000000"/>
              </w:rPr>
              <w:t xml:space="preserve"> during peak hour</w:t>
            </w:r>
            <w:r w:rsidR="00E36406" w:rsidRPr="00717E41">
              <w:rPr>
                <w:rStyle w:val="FootnoteReference"/>
                <w:color w:val="000000"/>
              </w:rPr>
              <w:footnoteReference w:id="11"/>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33D78" w:rsidRPr="00717E41" w:rsidRDefault="0089615E" w:rsidP="002A5D9D">
            <w:pPr>
              <w:pStyle w:val="Tabletextlistbullet"/>
              <w:rPr>
                <w:color w:val="000000"/>
              </w:rPr>
            </w:pPr>
            <w:r w:rsidRPr="00717E41">
              <w:rPr>
                <w:color w:val="000000"/>
              </w:rPr>
              <w:t>Average rating of check</w:t>
            </w:r>
            <w:r w:rsidRPr="00717E41">
              <w:rPr>
                <w:color w:val="000000"/>
              </w:rPr>
              <w:noBreakHyphen/>
              <w:t>in waiting time</w:t>
            </w:r>
          </w:p>
          <w:p w:rsidR="00933D78" w:rsidRPr="00717E41" w:rsidRDefault="0089615E" w:rsidP="00A96191">
            <w:pPr>
              <w:pStyle w:val="Tabletextheadingleft"/>
              <w:rPr>
                <w:color w:val="000000"/>
              </w:rPr>
            </w:pPr>
            <w:r w:rsidRPr="00717E41">
              <w:rPr>
                <w:color w:val="000000"/>
              </w:rPr>
              <w:t>Domestic services</w:t>
            </w:r>
          </w:p>
          <w:p w:rsidR="00933D78" w:rsidRPr="00717E41" w:rsidRDefault="0089615E" w:rsidP="002A5D9D">
            <w:pPr>
              <w:pStyle w:val="Tabletextlistbullet"/>
              <w:rPr>
                <w:color w:val="000000"/>
              </w:rPr>
            </w:pPr>
            <w:r w:rsidRPr="00717E41">
              <w:rPr>
                <w:color w:val="000000"/>
              </w:rPr>
              <w:t>Average rating of check</w:t>
            </w:r>
            <w:r w:rsidRPr="00717E41">
              <w:rPr>
                <w:color w:val="000000"/>
              </w:rPr>
              <w:noBreakHyphen/>
              <w:t>in waiting time</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33D78" w:rsidRPr="00717E41" w:rsidRDefault="0089615E" w:rsidP="002A5D9D">
            <w:pPr>
              <w:pStyle w:val="Tabletextlistbullet"/>
              <w:rPr>
                <w:color w:val="000000"/>
              </w:rPr>
            </w:pPr>
            <w:r w:rsidRPr="00717E41">
              <w:rPr>
                <w:color w:val="000000"/>
              </w:rPr>
              <w:t>Average rating of availability of check-in services and facilities</w:t>
            </w:r>
          </w:p>
          <w:p w:rsidR="00933D78" w:rsidRPr="00717E41" w:rsidRDefault="0089615E" w:rsidP="002A5D9D">
            <w:pPr>
              <w:pStyle w:val="Tabletextlistbullet"/>
              <w:rPr>
                <w:color w:val="000000"/>
              </w:rPr>
            </w:pPr>
            <w:r w:rsidRPr="00717E41">
              <w:rPr>
                <w:color w:val="000000"/>
              </w:rPr>
              <w:t>Average rating of standard of check-in services and facilities</w:t>
            </w:r>
          </w:p>
          <w:p w:rsidR="00933D78" w:rsidRPr="00717E41" w:rsidRDefault="0089615E" w:rsidP="00A96191">
            <w:pPr>
              <w:pStyle w:val="Tabletextheadingleft"/>
              <w:rPr>
                <w:color w:val="000000"/>
              </w:rPr>
            </w:pPr>
            <w:r w:rsidRPr="00717E41">
              <w:rPr>
                <w:color w:val="000000"/>
              </w:rPr>
              <w:t>Domestic services</w:t>
            </w:r>
          </w:p>
          <w:p w:rsidR="00933D78" w:rsidRPr="00717E41" w:rsidRDefault="0089615E" w:rsidP="002A5D9D">
            <w:pPr>
              <w:pStyle w:val="Tabletextlistbullet"/>
              <w:rPr>
                <w:color w:val="000000"/>
              </w:rPr>
            </w:pPr>
            <w:r w:rsidRPr="00717E41">
              <w:rPr>
                <w:color w:val="000000"/>
              </w:rPr>
              <w:t>Average rating of availability of check-in services and facilities</w:t>
            </w:r>
          </w:p>
          <w:p w:rsidR="00933D78" w:rsidRPr="00717E41" w:rsidRDefault="0089615E" w:rsidP="002A5D9D">
            <w:pPr>
              <w:pStyle w:val="Tabletextlistbullet"/>
              <w:rPr>
                <w:color w:val="000000"/>
              </w:rPr>
            </w:pPr>
            <w:r w:rsidRPr="00717E41">
              <w:rPr>
                <w:color w:val="000000"/>
              </w:rPr>
              <w:t xml:space="preserve">Average rating of standard of check-in services and facilities </w:t>
            </w:r>
          </w:p>
        </w:tc>
        <w:tc>
          <w:tcPr>
            <w:tcW w:w="2950" w:type="dxa"/>
            <w:tcBorders>
              <w:right w:val="nil"/>
            </w:tcBorders>
          </w:tcPr>
          <w:p w:rsidR="00292A26" w:rsidRPr="00717E41" w:rsidRDefault="0089615E" w:rsidP="00A96191">
            <w:pPr>
              <w:pStyle w:val="Tabletextheadingleft"/>
              <w:rPr>
                <w:color w:val="000000"/>
              </w:rPr>
            </w:pPr>
            <w:r w:rsidRPr="00717E41">
              <w:rPr>
                <w:color w:val="000000"/>
              </w:rPr>
              <w:t>International services</w:t>
            </w:r>
          </w:p>
          <w:p w:rsidR="00072037" w:rsidRPr="00717E41" w:rsidRDefault="0089615E" w:rsidP="00072037">
            <w:pPr>
              <w:pStyle w:val="Tabletextleft"/>
              <w:rPr>
                <w:color w:val="000000"/>
              </w:rPr>
            </w:pPr>
            <w:r w:rsidRPr="00717E41">
              <w:rPr>
                <w:color w:val="000000"/>
              </w:rPr>
              <w:t>Nil</w:t>
            </w:r>
          </w:p>
          <w:p w:rsidR="00072037" w:rsidRPr="00717E41" w:rsidRDefault="0089615E" w:rsidP="00A96191">
            <w:pPr>
              <w:pStyle w:val="Tabletextheadingleft"/>
              <w:rPr>
                <w:color w:val="000000"/>
              </w:rPr>
            </w:pPr>
            <w:r w:rsidRPr="00717E41">
              <w:rPr>
                <w:color w:val="000000"/>
              </w:rPr>
              <w:t>Domestic services</w:t>
            </w:r>
          </w:p>
          <w:p w:rsidR="00072037" w:rsidRPr="00717E41" w:rsidRDefault="0089615E" w:rsidP="00072037">
            <w:pPr>
              <w:pStyle w:val="Tabletextleft"/>
              <w:rPr>
                <w:color w:val="000000"/>
              </w:rPr>
            </w:pPr>
            <w:r w:rsidRPr="00717E41">
              <w:rPr>
                <w:color w:val="000000"/>
              </w:rPr>
              <w:t>Nil</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Security inspection</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072037" w:rsidRPr="00717E41" w:rsidRDefault="0089615E" w:rsidP="002A5D9D">
            <w:pPr>
              <w:pStyle w:val="Tabletextlistbullet"/>
              <w:rPr>
                <w:color w:val="000000"/>
              </w:rPr>
            </w:pPr>
            <w:r w:rsidRPr="00717E41">
              <w:rPr>
                <w:color w:val="000000"/>
              </w:rPr>
              <w:t>Number of departing passengers per security clearance system during peak hour</w:t>
            </w:r>
            <w:r w:rsidRPr="00717E41">
              <w:rPr>
                <w:rStyle w:val="FootnoteReference"/>
                <w:color w:val="000000"/>
              </w:rPr>
              <w:footnoteReference w:id="12"/>
            </w:r>
          </w:p>
          <w:p w:rsidR="00072037" w:rsidRPr="00717E41" w:rsidRDefault="0089615E" w:rsidP="00A96191">
            <w:pPr>
              <w:pStyle w:val="Tabletextheadingleft"/>
              <w:rPr>
                <w:color w:val="000000"/>
              </w:rPr>
            </w:pPr>
            <w:r w:rsidRPr="00717E41">
              <w:rPr>
                <w:color w:val="000000"/>
              </w:rPr>
              <w:t>Domestic services</w:t>
            </w:r>
          </w:p>
          <w:p w:rsidR="00072037" w:rsidRPr="00717E41" w:rsidRDefault="0089615E" w:rsidP="002A5D9D">
            <w:pPr>
              <w:pStyle w:val="Tabletextlistbullet"/>
              <w:rPr>
                <w:color w:val="000000"/>
              </w:rPr>
            </w:pPr>
            <w:r w:rsidRPr="00717E41">
              <w:rPr>
                <w:color w:val="000000"/>
              </w:rPr>
              <w:t>Number of departing passengers per security clearance system during peak hour</w:t>
            </w:r>
            <w:r w:rsidR="00E36406" w:rsidRPr="00717E41">
              <w:rPr>
                <w:rStyle w:val="FootnoteReference"/>
                <w:color w:val="000000"/>
              </w:rPr>
              <w:footnoteReference w:id="13"/>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072037" w:rsidRPr="00717E41" w:rsidRDefault="0089615E" w:rsidP="002A5D9D">
            <w:pPr>
              <w:pStyle w:val="Tabletextlistbullet"/>
              <w:rPr>
                <w:color w:val="000000"/>
              </w:rPr>
            </w:pPr>
            <w:r w:rsidRPr="00717E41">
              <w:rPr>
                <w:color w:val="000000"/>
              </w:rPr>
              <w:t>Average rating of quality of security search process</w:t>
            </w:r>
          </w:p>
          <w:p w:rsidR="00072037" w:rsidRPr="00717E41" w:rsidRDefault="0089615E" w:rsidP="00A96191">
            <w:pPr>
              <w:pStyle w:val="Tabletextheadingleft"/>
              <w:rPr>
                <w:color w:val="000000"/>
              </w:rPr>
            </w:pPr>
            <w:r w:rsidRPr="00717E41">
              <w:rPr>
                <w:color w:val="000000"/>
              </w:rPr>
              <w:t>Domestic services</w:t>
            </w:r>
          </w:p>
          <w:p w:rsidR="00072037" w:rsidRPr="00717E41" w:rsidRDefault="0089615E" w:rsidP="002A5D9D">
            <w:pPr>
              <w:pStyle w:val="Tabletextlistbullet"/>
              <w:rPr>
                <w:color w:val="000000"/>
              </w:rPr>
            </w:pPr>
            <w:r w:rsidRPr="00717E41">
              <w:rPr>
                <w:color w:val="000000"/>
              </w:rPr>
              <w:t>Average rating of quality of security search process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072037" w:rsidRPr="00717E41" w:rsidRDefault="0089615E" w:rsidP="00072037">
            <w:pPr>
              <w:pStyle w:val="Tabletextleft"/>
              <w:rPr>
                <w:color w:val="000000"/>
              </w:rPr>
            </w:pPr>
            <w:r w:rsidRPr="00717E41">
              <w:rPr>
                <w:color w:val="000000"/>
              </w:rPr>
              <w:t>Nil</w:t>
            </w:r>
          </w:p>
          <w:p w:rsidR="00072037" w:rsidRPr="00717E41" w:rsidRDefault="0089615E" w:rsidP="00A96191">
            <w:pPr>
              <w:pStyle w:val="Tabletextheadingleft"/>
              <w:rPr>
                <w:color w:val="000000"/>
              </w:rPr>
            </w:pPr>
            <w:r w:rsidRPr="00717E41">
              <w:rPr>
                <w:color w:val="000000"/>
              </w:rPr>
              <w:t>Domestic services</w:t>
            </w:r>
          </w:p>
          <w:p w:rsidR="00072037" w:rsidRPr="00717E41" w:rsidRDefault="0089615E" w:rsidP="00072037">
            <w:pPr>
              <w:pStyle w:val="Tabletextleft"/>
              <w:rPr>
                <w:color w:val="000000"/>
              </w:rPr>
            </w:pPr>
            <w:r w:rsidRPr="00717E41">
              <w:rPr>
                <w:color w:val="000000"/>
              </w:rPr>
              <w:t>Nil</w:t>
            </w:r>
          </w:p>
        </w:tc>
        <w:tc>
          <w:tcPr>
            <w:tcW w:w="2950" w:type="dxa"/>
            <w:tcBorders>
              <w:right w:val="nil"/>
            </w:tcBorders>
          </w:tcPr>
          <w:p w:rsidR="00292A26" w:rsidRPr="00717E41" w:rsidRDefault="0089615E" w:rsidP="00A96191">
            <w:pPr>
              <w:pStyle w:val="Tabletextheadingleft"/>
              <w:rPr>
                <w:color w:val="000000"/>
              </w:rPr>
            </w:pPr>
            <w:r w:rsidRPr="00717E41">
              <w:rPr>
                <w:color w:val="000000"/>
              </w:rPr>
              <w:t>International services</w:t>
            </w:r>
          </w:p>
          <w:p w:rsidR="00072037" w:rsidRPr="00717E41" w:rsidRDefault="0089615E" w:rsidP="00072037">
            <w:pPr>
              <w:pStyle w:val="Tabletextleft"/>
              <w:rPr>
                <w:color w:val="000000"/>
              </w:rPr>
            </w:pPr>
            <w:r w:rsidRPr="00717E41">
              <w:rPr>
                <w:color w:val="000000"/>
              </w:rPr>
              <w:t>Nil</w:t>
            </w:r>
          </w:p>
          <w:p w:rsidR="00072037" w:rsidRPr="00717E41" w:rsidRDefault="0089615E" w:rsidP="00A96191">
            <w:pPr>
              <w:pStyle w:val="Tabletextheadingleft"/>
              <w:rPr>
                <w:color w:val="000000"/>
              </w:rPr>
            </w:pPr>
            <w:r w:rsidRPr="00717E41">
              <w:rPr>
                <w:color w:val="000000"/>
              </w:rPr>
              <w:t>Domestic services</w:t>
            </w:r>
          </w:p>
          <w:p w:rsidR="00072037" w:rsidRPr="00717E41" w:rsidRDefault="0089615E" w:rsidP="00072037">
            <w:pPr>
              <w:pStyle w:val="Tabletextleft"/>
              <w:rPr>
                <w:color w:val="000000"/>
              </w:rPr>
            </w:pPr>
            <w:r w:rsidRPr="00717E41">
              <w:rPr>
                <w:color w:val="000000"/>
              </w:rPr>
              <w:t>Nil</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Outbound baggage system</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815A0B" w:rsidRPr="00717E41" w:rsidRDefault="0089615E" w:rsidP="002A5D9D">
            <w:pPr>
              <w:pStyle w:val="Tabletextlistbullet"/>
              <w:rPr>
                <w:color w:val="000000"/>
              </w:rPr>
            </w:pPr>
            <w:r w:rsidRPr="00717E41">
              <w:rPr>
                <w:color w:val="000000"/>
              </w:rPr>
              <w:t>Average throughput of outbound baggage system during peak hour</w:t>
            </w:r>
            <w:r w:rsidRPr="00717E41">
              <w:rPr>
                <w:rStyle w:val="FootnoteReference"/>
                <w:color w:val="000000"/>
              </w:rPr>
              <w:footnoteReference w:id="14"/>
            </w:r>
          </w:p>
          <w:p w:rsidR="00815A0B" w:rsidRPr="00717E41" w:rsidRDefault="0089615E" w:rsidP="002A5D9D">
            <w:pPr>
              <w:pStyle w:val="Tabletextlistbullet"/>
              <w:rPr>
                <w:color w:val="000000"/>
              </w:rPr>
            </w:pPr>
            <w:r w:rsidRPr="00717E41">
              <w:rPr>
                <w:color w:val="000000"/>
              </w:rPr>
              <w:t>Total time that the outbound baggage system was interrupted</w:t>
            </w:r>
          </w:p>
          <w:p w:rsidR="00815A0B" w:rsidRPr="00717E41" w:rsidRDefault="0089615E" w:rsidP="00A96191">
            <w:pPr>
              <w:pStyle w:val="Tabletextheadingleft"/>
              <w:rPr>
                <w:color w:val="000000"/>
              </w:rPr>
            </w:pPr>
            <w:r w:rsidRPr="00717E41">
              <w:rPr>
                <w:color w:val="000000"/>
              </w:rPr>
              <w:t>Domestic services</w:t>
            </w:r>
          </w:p>
          <w:p w:rsidR="00815A0B" w:rsidRPr="00717E41" w:rsidRDefault="0089615E" w:rsidP="002A5D9D">
            <w:pPr>
              <w:pStyle w:val="Tabletextlistbullet"/>
              <w:rPr>
                <w:color w:val="000000"/>
              </w:rPr>
            </w:pPr>
            <w:r w:rsidRPr="00717E41">
              <w:rPr>
                <w:color w:val="000000"/>
              </w:rPr>
              <w:t>Average throughput of outbound baggage system during peak hour</w:t>
            </w:r>
            <w:r w:rsidR="009C082E" w:rsidRPr="00717E41">
              <w:rPr>
                <w:rStyle w:val="FootnoteReference"/>
                <w:color w:val="000000"/>
              </w:rPr>
              <w:footnoteReference w:id="15"/>
            </w:r>
          </w:p>
          <w:p w:rsidR="00815A0B" w:rsidRPr="00717E41" w:rsidRDefault="0089615E" w:rsidP="002A5D9D">
            <w:pPr>
              <w:pStyle w:val="Tabletextlistbullet"/>
              <w:rPr>
                <w:color w:val="000000"/>
              </w:rPr>
            </w:pPr>
            <w:r w:rsidRPr="00717E41">
              <w:rPr>
                <w:color w:val="000000"/>
              </w:rPr>
              <w:t>Total time that the outbound baggage system was interrupted</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815A0B" w:rsidRPr="00717E41" w:rsidRDefault="0089615E" w:rsidP="00815A0B">
            <w:pPr>
              <w:pStyle w:val="Tabletextleft"/>
              <w:rPr>
                <w:color w:val="000000"/>
              </w:rPr>
            </w:pPr>
            <w:r w:rsidRPr="00717E41">
              <w:rPr>
                <w:color w:val="000000"/>
              </w:rPr>
              <w:t>Nil</w:t>
            </w:r>
          </w:p>
          <w:p w:rsidR="00815A0B" w:rsidRPr="00717E41" w:rsidRDefault="0089615E" w:rsidP="00A96191">
            <w:pPr>
              <w:pStyle w:val="Tabletextheadingleft"/>
              <w:rPr>
                <w:color w:val="000000"/>
              </w:rPr>
            </w:pPr>
            <w:r w:rsidRPr="00717E41">
              <w:rPr>
                <w:color w:val="000000"/>
              </w:rPr>
              <w:t>Domestic services</w:t>
            </w:r>
          </w:p>
          <w:p w:rsidR="00815A0B" w:rsidRPr="00717E41" w:rsidRDefault="0089615E" w:rsidP="00815A0B">
            <w:pPr>
              <w:pStyle w:val="Tabletextleft"/>
              <w:rPr>
                <w:color w:val="000000"/>
              </w:rPr>
            </w:pPr>
            <w:r w:rsidRPr="00717E41">
              <w:rPr>
                <w:color w:val="000000"/>
              </w:rPr>
              <w:t>Nil</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815A0B" w:rsidRPr="00717E41" w:rsidRDefault="0089615E" w:rsidP="002A5D9D">
            <w:pPr>
              <w:pStyle w:val="Tabletextlistbullet"/>
              <w:rPr>
                <w:color w:val="000000"/>
              </w:rPr>
            </w:pPr>
            <w:r w:rsidRPr="00717E41">
              <w:rPr>
                <w:color w:val="000000"/>
              </w:rPr>
              <w:t>Average rating of the availability of baggage processing facilities</w:t>
            </w:r>
          </w:p>
          <w:p w:rsidR="00815A0B" w:rsidRPr="00717E41" w:rsidRDefault="0089615E" w:rsidP="002A5D9D">
            <w:pPr>
              <w:pStyle w:val="Tabletextlistbullet"/>
              <w:rPr>
                <w:color w:val="000000"/>
              </w:rPr>
            </w:pPr>
            <w:r w:rsidRPr="00717E41">
              <w:rPr>
                <w:color w:val="000000"/>
              </w:rPr>
              <w:t>Average rating of the standard of baggage processing facilities</w:t>
            </w:r>
          </w:p>
          <w:p w:rsidR="00815A0B" w:rsidRPr="00717E41" w:rsidRDefault="0089615E" w:rsidP="00A96191">
            <w:pPr>
              <w:pStyle w:val="Tabletextheadingleft"/>
              <w:rPr>
                <w:color w:val="000000"/>
              </w:rPr>
            </w:pPr>
            <w:r w:rsidRPr="00717E41">
              <w:rPr>
                <w:color w:val="000000"/>
              </w:rPr>
              <w:t>Domestic services</w:t>
            </w:r>
          </w:p>
          <w:p w:rsidR="00815A0B" w:rsidRPr="00717E41" w:rsidRDefault="0089615E" w:rsidP="002A5D9D">
            <w:pPr>
              <w:pStyle w:val="Tabletextlistbullet"/>
              <w:rPr>
                <w:color w:val="000000"/>
              </w:rPr>
            </w:pPr>
            <w:r w:rsidRPr="00717E41">
              <w:rPr>
                <w:color w:val="000000"/>
              </w:rPr>
              <w:t>Average rating of the availability of baggage processing facilities</w:t>
            </w:r>
          </w:p>
          <w:p w:rsidR="00815A0B" w:rsidRPr="00717E41" w:rsidRDefault="0089615E" w:rsidP="002A5D9D">
            <w:pPr>
              <w:pStyle w:val="Tabletextlistbullet"/>
              <w:rPr>
                <w:color w:val="000000"/>
              </w:rPr>
            </w:pPr>
            <w:r w:rsidRPr="00717E41">
              <w:rPr>
                <w:color w:val="000000"/>
              </w:rPr>
              <w:t>Average rating of the standard of baggage processing facilities</w:t>
            </w:r>
          </w:p>
        </w:tc>
        <w:tc>
          <w:tcPr>
            <w:tcW w:w="2950" w:type="dxa"/>
            <w:tcBorders>
              <w:right w:val="nil"/>
            </w:tcBorders>
          </w:tcPr>
          <w:p w:rsidR="00292A26" w:rsidRPr="00717E41" w:rsidRDefault="0089615E" w:rsidP="00A96191">
            <w:pPr>
              <w:pStyle w:val="Tabletextheadingleft"/>
              <w:rPr>
                <w:color w:val="000000"/>
              </w:rPr>
            </w:pPr>
            <w:r w:rsidRPr="00717E41">
              <w:rPr>
                <w:color w:val="000000"/>
              </w:rPr>
              <w:t>International services</w:t>
            </w:r>
          </w:p>
          <w:p w:rsidR="00815A0B" w:rsidRPr="00717E41" w:rsidRDefault="0089615E" w:rsidP="00815A0B">
            <w:pPr>
              <w:pStyle w:val="Tabletextleft"/>
              <w:rPr>
                <w:color w:val="000000"/>
              </w:rPr>
            </w:pPr>
            <w:r w:rsidRPr="00717E41">
              <w:rPr>
                <w:color w:val="000000"/>
              </w:rPr>
              <w:t>Nil</w:t>
            </w:r>
          </w:p>
          <w:p w:rsidR="00815A0B" w:rsidRPr="00717E41" w:rsidRDefault="0089615E" w:rsidP="00A96191">
            <w:pPr>
              <w:pStyle w:val="Tabletextheadingleft"/>
              <w:rPr>
                <w:color w:val="000000"/>
              </w:rPr>
            </w:pPr>
            <w:r w:rsidRPr="00717E41">
              <w:rPr>
                <w:color w:val="000000"/>
              </w:rPr>
              <w:t>Domestic services</w:t>
            </w:r>
          </w:p>
          <w:p w:rsidR="00815A0B" w:rsidRPr="00717E41" w:rsidRDefault="0089615E" w:rsidP="006B524D">
            <w:pPr>
              <w:pStyle w:val="Tabletextleft"/>
              <w:rPr>
                <w:color w:val="000000"/>
              </w:rPr>
            </w:pPr>
            <w:r w:rsidRPr="00717E41">
              <w:rPr>
                <w:color w:val="000000"/>
              </w:rPr>
              <w:t>Nil</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Baggage make-up, handling and reclaiming services and facilities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815A0B" w:rsidRPr="00717E41" w:rsidRDefault="0089615E" w:rsidP="002A5D9D">
            <w:pPr>
              <w:pStyle w:val="Tabletextlistbullet"/>
              <w:rPr>
                <w:color w:val="000000"/>
              </w:rPr>
            </w:pPr>
            <w:r w:rsidRPr="00717E41">
              <w:rPr>
                <w:color w:val="000000"/>
              </w:rPr>
              <w:t>Average throughput of inbound baggage system during peak hour</w:t>
            </w:r>
            <w:r w:rsidRPr="00717E41">
              <w:rPr>
                <w:rStyle w:val="FootnoteReference"/>
                <w:color w:val="000000"/>
              </w:rPr>
              <w:footnoteReference w:id="16"/>
            </w:r>
          </w:p>
          <w:p w:rsidR="00815A0B" w:rsidRPr="00717E41" w:rsidRDefault="0089615E" w:rsidP="002A5D9D">
            <w:pPr>
              <w:pStyle w:val="Tabletextlistbullet"/>
              <w:rPr>
                <w:color w:val="000000"/>
              </w:rPr>
            </w:pPr>
            <w:r w:rsidRPr="00717E41">
              <w:rPr>
                <w:color w:val="000000"/>
              </w:rPr>
              <w:t>Total area (in square metres) provided by the airport operator for baggage reclaim</w:t>
            </w:r>
          </w:p>
          <w:p w:rsidR="00815A0B" w:rsidRPr="00717E41" w:rsidRDefault="0089615E" w:rsidP="002A5D9D">
            <w:pPr>
              <w:pStyle w:val="Tabletextlistbullet"/>
              <w:rPr>
                <w:color w:val="000000"/>
              </w:rPr>
            </w:pPr>
            <w:r w:rsidRPr="00717E41">
              <w:rPr>
                <w:color w:val="000000"/>
              </w:rPr>
              <w:t>Total time the inbound baggage system was interrupted</w:t>
            </w:r>
          </w:p>
          <w:p w:rsidR="00815A0B" w:rsidRPr="00717E41" w:rsidRDefault="0089615E" w:rsidP="00A96191">
            <w:pPr>
              <w:pStyle w:val="Tabletextheadingleft"/>
              <w:rPr>
                <w:color w:val="000000"/>
              </w:rPr>
            </w:pPr>
            <w:r w:rsidRPr="00717E41">
              <w:rPr>
                <w:color w:val="000000"/>
              </w:rPr>
              <w:t>Domestic services</w:t>
            </w:r>
          </w:p>
          <w:p w:rsidR="00815A0B" w:rsidRPr="00717E41" w:rsidRDefault="0089615E" w:rsidP="002A5D9D">
            <w:pPr>
              <w:pStyle w:val="Tabletextlistbullet"/>
              <w:rPr>
                <w:color w:val="000000"/>
              </w:rPr>
            </w:pPr>
            <w:r w:rsidRPr="00717E41">
              <w:rPr>
                <w:color w:val="000000"/>
              </w:rPr>
              <w:t>Average throughput of inbound baggage system during peak hour</w:t>
            </w:r>
            <w:r w:rsidR="005A7009" w:rsidRPr="00717E41">
              <w:rPr>
                <w:rStyle w:val="FootnoteReference"/>
                <w:color w:val="000000"/>
              </w:rPr>
              <w:footnoteReference w:id="17"/>
            </w:r>
          </w:p>
          <w:p w:rsidR="00815A0B" w:rsidRPr="00717E41" w:rsidRDefault="0089615E" w:rsidP="002A5D9D">
            <w:pPr>
              <w:pStyle w:val="Tabletextlistbullet"/>
              <w:rPr>
                <w:color w:val="000000"/>
              </w:rPr>
            </w:pPr>
            <w:r w:rsidRPr="00717E41">
              <w:rPr>
                <w:color w:val="000000"/>
              </w:rPr>
              <w:t>Total area (in square metres) provided by the airport operator for baggage reclaim</w:t>
            </w:r>
            <w:r w:rsidRPr="00717E41">
              <w:rPr>
                <w:rStyle w:val="FootnoteReference"/>
                <w:color w:val="000000"/>
              </w:rPr>
              <w:footnoteReference w:id="18"/>
            </w:r>
          </w:p>
          <w:p w:rsidR="00815A0B" w:rsidRPr="00717E41" w:rsidRDefault="0089615E" w:rsidP="002A5D9D">
            <w:pPr>
              <w:pStyle w:val="Tabletextlistbullet"/>
              <w:rPr>
                <w:color w:val="000000"/>
              </w:rPr>
            </w:pPr>
            <w:r w:rsidRPr="00717E41">
              <w:rPr>
                <w:color w:val="000000"/>
              </w:rPr>
              <w:t>Total time the inbound baggage system was interrupted</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815A0B" w:rsidRPr="00717E41" w:rsidRDefault="0089615E" w:rsidP="002A5D9D">
            <w:pPr>
              <w:pStyle w:val="Tabletextlistbullet"/>
              <w:rPr>
                <w:color w:val="000000"/>
              </w:rPr>
            </w:pPr>
            <w:r w:rsidRPr="00717E41">
              <w:rPr>
                <w:color w:val="000000"/>
              </w:rPr>
              <w:t>Average rating of information display for inbound baggage reclaim</w:t>
            </w:r>
          </w:p>
          <w:p w:rsidR="009E4CE0" w:rsidRPr="00717E41" w:rsidRDefault="0089615E" w:rsidP="002A5D9D">
            <w:pPr>
              <w:pStyle w:val="Tabletextlistbullet"/>
              <w:rPr>
                <w:color w:val="000000"/>
              </w:rPr>
            </w:pPr>
            <w:r w:rsidRPr="00717E41">
              <w:rPr>
                <w:color w:val="000000"/>
              </w:rPr>
              <w:t>Average rating of circulation space for inbound baggage reclaim</w:t>
            </w:r>
          </w:p>
          <w:p w:rsidR="009E4CE0" w:rsidRPr="00717E41" w:rsidRDefault="0089615E" w:rsidP="00A96191">
            <w:pPr>
              <w:pStyle w:val="Tabletextheadingleft"/>
              <w:rPr>
                <w:color w:val="000000"/>
              </w:rPr>
            </w:pPr>
            <w:r w:rsidRPr="00717E41">
              <w:rPr>
                <w:color w:val="000000"/>
              </w:rPr>
              <w:t>Domestic services</w:t>
            </w:r>
          </w:p>
          <w:p w:rsidR="009E4CE0" w:rsidRPr="00717E41" w:rsidRDefault="0089615E" w:rsidP="002A5D9D">
            <w:pPr>
              <w:pStyle w:val="Tabletextlistbullet"/>
              <w:rPr>
                <w:color w:val="000000"/>
              </w:rPr>
            </w:pPr>
            <w:r w:rsidRPr="00717E41">
              <w:rPr>
                <w:color w:val="000000"/>
              </w:rPr>
              <w:t>Average rating of information display for inbound baggage reclaim</w:t>
            </w:r>
          </w:p>
          <w:p w:rsidR="009E4CE0" w:rsidRPr="00717E41" w:rsidRDefault="0089615E" w:rsidP="002A5D9D">
            <w:pPr>
              <w:pStyle w:val="Tabletextlistbullet"/>
              <w:rPr>
                <w:color w:val="000000"/>
              </w:rPr>
            </w:pPr>
            <w:r w:rsidRPr="00717E41">
              <w:rPr>
                <w:color w:val="000000"/>
              </w:rPr>
              <w:t>Average rating of circulation space for inbound baggage reclaim</w:t>
            </w:r>
          </w:p>
        </w:tc>
        <w:tc>
          <w:tcPr>
            <w:tcW w:w="2949" w:type="dxa"/>
          </w:tcPr>
          <w:p w:rsidR="009E4CE0" w:rsidRPr="00717E41" w:rsidRDefault="0089615E" w:rsidP="00A96191">
            <w:pPr>
              <w:pStyle w:val="Tabletextheadingleft"/>
              <w:rPr>
                <w:color w:val="000000"/>
              </w:rPr>
            </w:pPr>
            <w:r w:rsidRPr="00717E41">
              <w:rPr>
                <w:color w:val="000000"/>
              </w:rPr>
              <w:t>International services</w:t>
            </w:r>
          </w:p>
          <w:p w:rsidR="009E4CE0" w:rsidRPr="00717E41" w:rsidRDefault="0089615E" w:rsidP="002A5D9D">
            <w:pPr>
              <w:pStyle w:val="Tabletextlistbullet"/>
              <w:rPr>
                <w:color w:val="000000"/>
              </w:rPr>
            </w:pPr>
            <w:r w:rsidRPr="00717E41">
              <w:rPr>
                <w:color w:val="000000"/>
              </w:rPr>
              <w:t>Average rating of the availability of baggage processing facilities</w:t>
            </w:r>
          </w:p>
          <w:p w:rsidR="009E4CE0" w:rsidRPr="00717E41" w:rsidRDefault="0089615E" w:rsidP="002A5D9D">
            <w:pPr>
              <w:pStyle w:val="Tabletextlistbullet"/>
              <w:rPr>
                <w:color w:val="000000"/>
              </w:rPr>
            </w:pPr>
            <w:r w:rsidRPr="00717E41">
              <w:rPr>
                <w:color w:val="000000"/>
              </w:rPr>
              <w:t>Average rating of the standard of baggage processing facilities</w:t>
            </w:r>
          </w:p>
          <w:p w:rsidR="009E4CE0" w:rsidRPr="00717E41" w:rsidRDefault="0089615E" w:rsidP="00A96191">
            <w:pPr>
              <w:pStyle w:val="Tabletextheadingleft"/>
              <w:rPr>
                <w:color w:val="000000"/>
              </w:rPr>
            </w:pPr>
            <w:r w:rsidRPr="00717E41">
              <w:rPr>
                <w:color w:val="000000"/>
              </w:rPr>
              <w:t>Domestic services</w:t>
            </w:r>
          </w:p>
          <w:p w:rsidR="009E4CE0" w:rsidRPr="00717E41" w:rsidRDefault="0089615E" w:rsidP="002A5D9D">
            <w:pPr>
              <w:pStyle w:val="Tabletextlistbullet"/>
              <w:rPr>
                <w:color w:val="000000"/>
              </w:rPr>
            </w:pPr>
            <w:r w:rsidRPr="00717E41">
              <w:rPr>
                <w:color w:val="000000"/>
              </w:rPr>
              <w:t>Average rating of the availability of baggage processing facilities</w:t>
            </w:r>
          </w:p>
          <w:p w:rsidR="00292A26" w:rsidRPr="00717E41" w:rsidRDefault="0089615E" w:rsidP="002A5D9D">
            <w:pPr>
              <w:pStyle w:val="Tabletextlistbullet"/>
              <w:rPr>
                <w:color w:val="000000"/>
              </w:rPr>
            </w:pPr>
            <w:r w:rsidRPr="00717E41">
              <w:rPr>
                <w:color w:val="000000"/>
              </w:rPr>
              <w:t>Average rating of the standard of baggage processing facilities</w:t>
            </w:r>
          </w:p>
        </w:tc>
        <w:tc>
          <w:tcPr>
            <w:tcW w:w="2950" w:type="dxa"/>
            <w:tcBorders>
              <w:right w:val="nil"/>
            </w:tcBorders>
          </w:tcPr>
          <w:p w:rsidR="009E4CE0" w:rsidRPr="00717E41" w:rsidRDefault="0089615E" w:rsidP="00A96191">
            <w:pPr>
              <w:pStyle w:val="Tabletextheadingleft"/>
              <w:rPr>
                <w:color w:val="000000"/>
              </w:rPr>
            </w:pPr>
            <w:r w:rsidRPr="00717E41">
              <w:rPr>
                <w:color w:val="000000"/>
              </w:rPr>
              <w:t>International services</w:t>
            </w:r>
          </w:p>
          <w:p w:rsidR="009E4CE0" w:rsidRPr="00717E41" w:rsidRDefault="0089615E" w:rsidP="009E4CE0">
            <w:pPr>
              <w:pStyle w:val="Tabletextleft"/>
              <w:rPr>
                <w:color w:val="000000"/>
              </w:rPr>
            </w:pPr>
            <w:r w:rsidRPr="00717E41">
              <w:rPr>
                <w:color w:val="000000"/>
              </w:rPr>
              <w:t>Nil</w:t>
            </w:r>
          </w:p>
          <w:p w:rsidR="009E4CE0" w:rsidRPr="00717E41" w:rsidRDefault="0089615E" w:rsidP="00A96191">
            <w:pPr>
              <w:pStyle w:val="Tabletextheadingleft"/>
              <w:rPr>
                <w:color w:val="000000"/>
              </w:rPr>
            </w:pPr>
            <w:r w:rsidRPr="00717E41">
              <w:rPr>
                <w:color w:val="000000"/>
              </w:rPr>
              <w:t>Domestic services</w:t>
            </w:r>
          </w:p>
          <w:p w:rsidR="00292A26" w:rsidRPr="00717E41" w:rsidRDefault="0089615E" w:rsidP="006B524D">
            <w:pPr>
              <w:pStyle w:val="Tabletextleft"/>
              <w:rPr>
                <w:color w:val="000000"/>
              </w:rPr>
            </w:pPr>
            <w:r w:rsidRPr="00717E41">
              <w:rPr>
                <w:color w:val="000000"/>
              </w:rPr>
              <w:t>Nil</w:t>
            </w:r>
          </w:p>
        </w:tc>
      </w:tr>
      <w:tr w:rsidR="00292A26" w:rsidRPr="00FF32F7" w:rsidTr="00292A26">
        <w:tc>
          <w:tcPr>
            <w:tcW w:w="2235" w:type="dxa"/>
            <w:tcBorders>
              <w:left w:val="nil"/>
            </w:tcBorders>
          </w:tcPr>
          <w:p w:rsidR="00292A26" w:rsidRPr="00717E41" w:rsidRDefault="0089615E" w:rsidP="00F830E6">
            <w:pPr>
              <w:pStyle w:val="Tabletextleft"/>
              <w:rPr>
                <w:color w:val="000000"/>
              </w:rPr>
            </w:pPr>
            <w:r w:rsidRPr="00717E41">
              <w:rPr>
                <w:color w:val="000000"/>
              </w:rPr>
              <w:t>Facilities to enable the processing of passengers through customs, immigration and quarantine</w:t>
            </w:r>
          </w:p>
        </w:tc>
        <w:tc>
          <w:tcPr>
            <w:tcW w:w="2949" w:type="dxa"/>
          </w:tcPr>
          <w:p w:rsidR="00A96191" w:rsidRPr="00717E41" w:rsidRDefault="0089615E" w:rsidP="00A96191">
            <w:pPr>
              <w:pStyle w:val="Tabletextheadingleft"/>
              <w:rPr>
                <w:color w:val="000000"/>
              </w:rPr>
            </w:pPr>
            <w:r w:rsidRPr="00717E41">
              <w:rPr>
                <w:color w:val="000000"/>
              </w:rPr>
              <w:t>International services</w:t>
            </w:r>
          </w:p>
          <w:p w:rsidR="009C3B8B" w:rsidRPr="00717E41" w:rsidRDefault="0089615E" w:rsidP="00A96191">
            <w:pPr>
              <w:pStyle w:val="Tabletextheadingleft"/>
              <w:keepNext/>
              <w:keepLines/>
              <w:outlineLvl w:val="1"/>
              <w:rPr>
                <w:b w:val="0"/>
                <w:color w:val="000000"/>
              </w:rPr>
            </w:pPr>
            <w:r w:rsidRPr="00717E41">
              <w:rPr>
                <w:b w:val="0"/>
                <w:color w:val="000000"/>
              </w:rPr>
              <w:t xml:space="preserve">Number of inbound Immigration desks on 30 June in the financial year </w:t>
            </w:r>
          </w:p>
          <w:p w:rsidR="009C3B8B" w:rsidRPr="00717E41" w:rsidRDefault="0089615E" w:rsidP="00A96191">
            <w:pPr>
              <w:pStyle w:val="Tabletextheadingleft"/>
              <w:keepNext/>
              <w:keepLines/>
              <w:outlineLvl w:val="1"/>
              <w:rPr>
                <w:b w:val="0"/>
                <w:color w:val="000000"/>
              </w:rPr>
            </w:pPr>
            <w:r w:rsidRPr="00717E41">
              <w:rPr>
                <w:b w:val="0"/>
                <w:color w:val="000000"/>
              </w:rPr>
              <w:t>Number of baggage inspection desks on 30 June in the financial year</w:t>
            </w:r>
          </w:p>
          <w:p w:rsidR="00292A26" w:rsidRPr="00717E41" w:rsidRDefault="0089615E" w:rsidP="00A96191">
            <w:pPr>
              <w:pStyle w:val="Tabletextheadingleft"/>
              <w:rPr>
                <w:color w:val="000000"/>
              </w:rPr>
            </w:pPr>
            <w:r w:rsidRPr="00717E41">
              <w:rPr>
                <w:b w:val="0"/>
                <w:color w:val="000000"/>
              </w:rPr>
              <w:t>Number of outbound Immigration desks on 30 June in the financial year</w:t>
            </w:r>
          </w:p>
        </w:tc>
        <w:tc>
          <w:tcPr>
            <w:tcW w:w="2949" w:type="dxa"/>
          </w:tcPr>
          <w:p w:rsidR="00A96191" w:rsidRPr="00717E41" w:rsidRDefault="0089615E" w:rsidP="00A96191">
            <w:pPr>
              <w:pStyle w:val="Tabletextheadingleft"/>
              <w:rPr>
                <w:color w:val="000000"/>
              </w:rPr>
            </w:pPr>
            <w:r w:rsidRPr="00717E41">
              <w:rPr>
                <w:color w:val="000000"/>
              </w:rPr>
              <w:t>International services</w:t>
            </w:r>
          </w:p>
          <w:p w:rsidR="00A96191" w:rsidRPr="00717E41" w:rsidRDefault="0089615E" w:rsidP="00A96191">
            <w:pPr>
              <w:pStyle w:val="Tabletextheadingleft"/>
              <w:keepNext/>
              <w:keepLines/>
              <w:outlineLvl w:val="1"/>
              <w:rPr>
                <w:b w:val="0"/>
                <w:color w:val="000000"/>
              </w:rPr>
            </w:pPr>
            <w:r w:rsidRPr="00717E41">
              <w:rPr>
                <w:b w:val="0"/>
                <w:color w:val="000000"/>
              </w:rPr>
              <w:t>Nil</w:t>
            </w:r>
          </w:p>
          <w:p w:rsidR="00292A26" w:rsidRPr="00717E41" w:rsidRDefault="00292A26" w:rsidP="00A96191">
            <w:pPr>
              <w:pStyle w:val="Tabletextheadingleft"/>
              <w:rPr>
                <w:color w:val="000000"/>
              </w:rPr>
            </w:pPr>
          </w:p>
        </w:tc>
        <w:tc>
          <w:tcPr>
            <w:tcW w:w="2949" w:type="dxa"/>
          </w:tcPr>
          <w:p w:rsidR="00A96191" w:rsidRPr="00717E41" w:rsidRDefault="0089615E" w:rsidP="00A96191">
            <w:pPr>
              <w:pStyle w:val="Tabletextheadingleft"/>
              <w:rPr>
                <w:color w:val="000000"/>
              </w:rPr>
            </w:pPr>
            <w:r w:rsidRPr="00717E41">
              <w:rPr>
                <w:color w:val="000000"/>
              </w:rPr>
              <w:t>International services</w:t>
            </w:r>
          </w:p>
          <w:p w:rsidR="00292A26" w:rsidRPr="00717E41" w:rsidRDefault="0089615E" w:rsidP="00A96191">
            <w:pPr>
              <w:pStyle w:val="Tabletextheadingleft"/>
              <w:keepNext/>
              <w:keepLines/>
              <w:outlineLvl w:val="1"/>
              <w:rPr>
                <w:b w:val="0"/>
                <w:color w:val="000000"/>
              </w:rPr>
            </w:pPr>
            <w:r w:rsidRPr="00717E41">
              <w:rPr>
                <w:b w:val="0"/>
                <w:color w:val="000000"/>
              </w:rPr>
              <w:t>Nil</w:t>
            </w:r>
          </w:p>
        </w:tc>
        <w:tc>
          <w:tcPr>
            <w:tcW w:w="2950" w:type="dxa"/>
            <w:tcBorders>
              <w:right w:val="nil"/>
            </w:tcBorders>
          </w:tcPr>
          <w:p w:rsidR="00A96191" w:rsidRPr="00717E41" w:rsidRDefault="0089615E" w:rsidP="00A96191">
            <w:pPr>
              <w:pStyle w:val="Tabletextheadingleft"/>
              <w:rPr>
                <w:color w:val="000000"/>
              </w:rPr>
            </w:pPr>
            <w:r w:rsidRPr="00717E41">
              <w:rPr>
                <w:color w:val="000000"/>
              </w:rPr>
              <w:t>International services</w:t>
            </w:r>
          </w:p>
          <w:p w:rsidR="00292A26" w:rsidRPr="00717E41" w:rsidRDefault="0089615E" w:rsidP="00A96191">
            <w:pPr>
              <w:pStyle w:val="Tabletextheadingleft"/>
              <w:keepNext/>
              <w:keepLines/>
              <w:outlineLvl w:val="1"/>
              <w:rPr>
                <w:b w:val="0"/>
                <w:color w:val="000000"/>
              </w:rPr>
            </w:pPr>
            <w:r w:rsidRPr="00717E41">
              <w:rPr>
                <w:b w:val="0"/>
                <w:color w:val="000000"/>
              </w:rPr>
              <w:t>Nil</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Flight information, general signage and public-address systems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E4CE0" w:rsidRPr="00717E41" w:rsidRDefault="0089615E" w:rsidP="002A5D9D">
            <w:pPr>
              <w:pStyle w:val="Tabletextlistbullet"/>
              <w:rPr>
                <w:color w:val="000000"/>
              </w:rPr>
            </w:pPr>
            <w:r w:rsidRPr="00717E41">
              <w:rPr>
                <w:color w:val="000000"/>
              </w:rPr>
              <w:t>Number of passengers per flight information display screen during peak hour</w:t>
            </w:r>
            <w:r w:rsidRPr="00717E41">
              <w:rPr>
                <w:rStyle w:val="FootnoteReference"/>
                <w:color w:val="000000"/>
              </w:rPr>
              <w:footnoteReference w:id="19"/>
            </w:r>
          </w:p>
          <w:p w:rsidR="009E4CE0" w:rsidRPr="00717E41" w:rsidRDefault="0089615E" w:rsidP="002A5D9D">
            <w:pPr>
              <w:pStyle w:val="Tabletextlistbullet"/>
              <w:rPr>
                <w:color w:val="000000"/>
              </w:rPr>
            </w:pPr>
            <w:r w:rsidRPr="00717E41">
              <w:rPr>
                <w:color w:val="000000"/>
              </w:rPr>
              <w:t>Number of passengers per information point during peak hour</w:t>
            </w:r>
            <w:r w:rsidR="005A7009" w:rsidRPr="00717E41">
              <w:rPr>
                <w:rStyle w:val="FootnoteReference"/>
                <w:color w:val="000000"/>
              </w:rPr>
              <w:footnoteReference w:id="20"/>
            </w:r>
          </w:p>
          <w:p w:rsidR="009E4CE0" w:rsidRPr="00717E41" w:rsidRDefault="0089615E" w:rsidP="00A96191">
            <w:pPr>
              <w:pStyle w:val="Tabletextheadingleft"/>
              <w:rPr>
                <w:color w:val="000000"/>
              </w:rPr>
            </w:pPr>
            <w:r w:rsidRPr="00717E41">
              <w:rPr>
                <w:color w:val="000000"/>
              </w:rPr>
              <w:t>Domestic services</w:t>
            </w:r>
          </w:p>
          <w:p w:rsidR="009E4CE0" w:rsidRPr="00717E41" w:rsidRDefault="0089615E" w:rsidP="002A5D9D">
            <w:pPr>
              <w:pStyle w:val="Tabletextlistbullet"/>
              <w:rPr>
                <w:color w:val="000000"/>
              </w:rPr>
            </w:pPr>
            <w:r w:rsidRPr="00717E41">
              <w:rPr>
                <w:color w:val="000000"/>
              </w:rPr>
              <w:t>Number of passengers per flight information display screen during peak hour</w:t>
            </w:r>
            <w:r w:rsidR="005A7009" w:rsidRPr="00717E41">
              <w:rPr>
                <w:rStyle w:val="FootnoteReference"/>
                <w:color w:val="000000"/>
              </w:rPr>
              <w:footnoteReference w:id="21"/>
            </w:r>
          </w:p>
          <w:p w:rsidR="009E4CE0" w:rsidRPr="00717E41" w:rsidRDefault="0089615E" w:rsidP="002A5D9D">
            <w:pPr>
              <w:pStyle w:val="Tabletextlistbullet"/>
              <w:rPr>
                <w:color w:val="000000"/>
              </w:rPr>
            </w:pPr>
            <w:r w:rsidRPr="00717E41">
              <w:rPr>
                <w:color w:val="000000"/>
              </w:rPr>
              <w:t>Number of passengers per information point during peak hour</w:t>
            </w:r>
            <w:r w:rsidR="005A7009" w:rsidRPr="00717E41">
              <w:rPr>
                <w:rStyle w:val="FootnoteReference"/>
                <w:color w:val="000000"/>
              </w:rPr>
              <w:footnoteReference w:id="22"/>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E4CE0" w:rsidRPr="00717E41" w:rsidRDefault="0089615E" w:rsidP="002A5D9D">
            <w:pPr>
              <w:pStyle w:val="Tabletextlistbullet"/>
              <w:rPr>
                <w:color w:val="000000"/>
              </w:rPr>
            </w:pPr>
            <w:r w:rsidRPr="00717E41">
              <w:rPr>
                <w:color w:val="000000"/>
              </w:rPr>
              <w:t>Average rating of flight information display screens</w:t>
            </w:r>
          </w:p>
          <w:p w:rsidR="009E4CE0" w:rsidRPr="00717E41" w:rsidRDefault="0089615E" w:rsidP="002A5D9D">
            <w:pPr>
              <w:pStyle w:val="Tabletextlistbullet"/>
              <w:rPr>
                <w:color w:val="000000"/>
              </w:rPr>
            </w:pPr>
            <w:r w:rsidRPr="00717E41">
              <w:rPr>
                <w:color w:val="000000"/>
              </w:rPr>
              <w:t>Average rating of signage and wayfinding</w:t>
            </w:r>
          </w:p>
          <w:p w:rsidR="009E4CE0" w:rsidRPr="00717E41" w:rsidRDefault="0089615E" w:rsidP="00A96191">
            <w:pPr>
              <w:pStyle w:val="Tabletextheadingleft"/>
              <w:rPr>
                <w:color w:val="000000"/>
              </w:rPr>
            </w:pPr>
            <w:r w:rsidRPr="00717E41">
              <w:rPr>
                <w:color w:val="000000"/>
              </w:rPr>
              <w:t>Domestic services</w:t>
            </w:r>
          </w:p>
          <w:p w:rsidR="009E4CE0" w:rsidRPr="00717E41" w:rsidRDefault="0089615E" w:rsidP="002A5D9D">
            <w:pPr>
              <w:pStyle w:val="Tabletextlistbullet"/>
              <w:rPr>
                <w:color w:val="000000"/>
              </w:rPr>
            </w:pPr>
            <w:r w:rsidRPr="00717E41">
              <w:rPr>
                <w:color w:val="000000"/>
              </w:rPr>
              <w:t>Average rating of flight information display screens</w:t>
            </w:r>
          </w:p>
          <w:p w:rsidR="009E4CE0" w:rsidRPr="00717E41" w:rsidRDefault="0089615E" w:rsidP="002A5D9D">
            <w:pPr>
              <w:pStyle w:val="Tabletextlistbullet"/>
              <w:rPr>
                <w:color w:val="000000"/>
              </w:rPr>
            </w:pPr>
            <w:r w:rsidRPr="00717E41">
              <w:rPr>
                <w:color w:val="000000"/>
              </w:rPr>
              <w:t>Average rating of signage and wayfinding</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E4CE0" w:rsidRPr="00717E41" w:rsidRDefault="0089615E" w:rsidP="009E4CE0">
            <w:pPr>
              <w:pStyle w:val="Tabletextleft"/>
              <w:rPr>
                <w:color w:val="000000"/>
              </w:rPr>
            </w:pPr>
            <w:r w:rsidRPr="00717E41">
              <w:rPr>
                <w:color w:val="000000"/>
              </w:rPr>
              <w:t>Nil</w:t>
            </w:r>
          </w:p>
          <w:p w:rsidR="009E4CE0" w:rsidRPr="00717E41" w:rsidRDefault="00687771" w:rsidP="00A96191">
            <w:pPr>
              <w:pStyle w:val="Tabletextheadingleft"/>
              <w:rPr>
                <w:color w:val="000000"/>
              </w:rPr>
            </w:pPr>
            <w:r>
              <w:rPr>
                <w:color w:val="000000"/>
              </w:rPr>
              <w:br/>
            </w:r>
            <w:r w:rsidR="0089615E" w:rsidRPr="00717E41">
              <w:rPr>
                <w:color w:val="000000"/>
              </w:rPr>
              <w:t>Domestic services</w:t>
            </w:r>
          </w:p>
          <w:p w:rsidR="009E4CE0" w:rsidRPr="00717E41" w:rsidRDefault="0089615E" w:rsidP="009E4CE0">
            <w:pPr>
              <w:pStyle w:val="Tabletextleft"/>
              <w:rPr>
                <w:color w:val="000000"/>
              </w:rPr>
            </w:pPr>
            <w:r w:rsidRPr="00717E41">
              <w:rPr>
                <w:color w:val="000000"/>
              </w:rPr>
              <w:t>Nil</w:t>
            </w:r>
          </w:p>
        </w:tc>
        <w:tc>
          <w:tcPr>
            <w:tcW w:w="2950" w:type="dxa"/>
            <w:tcBorders>
              <w:right w:val="nil"/>
            </w:tcBorders>
          </w:tcPr>
          <w:p w:rsidR="00292A26" w:rsidRPr="00717E41" w:rsidRDefault="0089615E" w:rsidP="00A96191">
            <w:pPr>
              <w:pStyle w:val="Tabletextheadingleft"/>
              <w:rPr>
                <w:color w:val="000000"/>
              </w:rPr>
            </w:pPr>
            <w:r w:rsidRPr="00717E41">
              <w:rPr>
                <w:color w:val="000000"/>
              </w:rPr>
              <w:t>International services</w:t>
            </w:r>
          </w:p>
          <w:p w:rsidR="009E4CE0" w:rsidRPr="00717E41" w:rsidRDefault="0089615E" w:rsidP="009E4CE0">
            <w:pPr>
              <w:pStyle w:val="Tabletextleft"/>
              <w:rPr>
                <w:color w:val="000000"/>
              </w:rPr>
            </w:pPr>
            <w:r w:rsidRPr="00717E41">
              <w:rPr>
                <w:color w:val="000000"/>
              </w:rPr>
              <w:t>Nil</w:t>
            </w:r>
          </w:p>
          <w:p w:rsidR="009E4CE0" w:rsidRPr="00717E41" w:rsidRDefault="00687771" w:rsidP="00A96191">
            <w:pPr>
              <w:pStyle w:val="Tabletextheadingleft"/>
              <w:rPr>
                <w:color w:val="000000"/>
              </w:rPr>
            </w:pPr>
            <w:r>
              <w:rPr>
                <w:color w:val="000000"/>
              </w:rPr>
              <w:br/>
            </w:r>
            <w:r w:rsidR="0089615E" w:rsidRPr="00717E41">
              <w:rPr>
                <w:color w:val="000000"/>
              </w:rPr>
              <w:t>Domestic services</w:t>
            </w:r>
          </w:p>
          <w:p w:rsidR="009E4CE0" w:rsidRPr="00717E41" w:rsidRDefault="0089615E" w:rsidP="009E4CE0">
            <w:pPr>
              <w:pStyle w:val="Tabletextleft"/>
              <w:rPr>
                <w:color w:val="000000"/>
              </w:rPr>
            </w:pPr>
            <w:r w:rsidRPr="00717E41">
              <w:rPr>
                <w:color w:val="000000"/>
              </w:rPr>
              <w:t>Nil</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Public areas in terminals and public amenities (washrooms and garbage bins), lifts, escalators and moving walkways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E4CE0" w:rsidRPr="00717E41" w:rsidRDefault="0089615E" w:rsidP="002A5D9D">
            <w:pPr>
              <w:pStyle w:val="Tabletextlistbullet"/>
              <w:rPr>
                <w:color w:val="000000"/>
              </w:rPr>
            </w:pPr>
            <w:r w:rsidRPr="00717E41">
              <w:rPr>
                <w:color w:val="000000"/>
              </w:rPr>
              <w:t>Number of passengers per washroom during peak hour</w:t>
            </w:r>
            <w:r w:rsidRPr="00717E41">
              <w:rPr>
                <w:rStyle w:val="FootnoteReference"/>
                <w:color w:val="000000"/>
              </w:rPr>
              <w:footnoteReference w:id="23"/>
            </w:r>
          </w:p>
          <w:p w:rsidR="009E4CE0" w:rsidRPr="00717E41" w:rsidRDefault="0089615E" w:rsidP="00A96191">
            <w:pPr>
              <w:pStyle w:val="Tabletextheadingleft"/>
              <w:rPr>
                <w:color w:val="000000"/>
              </w:rPr>
            </w:pPr>
            <w:r w:rsidRPr="00717E41">
              <w:rPr>
                <w:color w:val="000000"/>
              </w:rPr>
              <w:t>Domestic services</w:t>
            </w:r>
          </w:p>
          <w:p w:rsidR="009E4CE0" w:rsidRPr="00717E41" w:rsidRDefault="0089615E" w:rsidP="00BA1392">
            <w:pPr>
              <w:pStyle w:val="Tabletextlistbullet"/>
              <w:rPr>
                <w:color w:val="000000"/>
              </w:rPr>
            </w:pPr>
            <w:r w:rsidRPr="00717E41">
              <w:rPr>
                <w:color w:val="000000"/>
              </w:rPr>
              <w:t>Number of passengers per washroom during peak hour</w:t>
            </w:r>
            <w:r w:rsidRPr="00717E41">
              <w:rPr>
                <w:rStyle w:val="FootnoteReference"/>
                <w:color w:val="000000"/>
              </w:rPr>
              <w:footnoteReference w:id="24"/>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E4CE0" w:rsidRPr="00717E41" w:rsidRDefault="0089615E" w:rsidP="002A5D9D">
            <w:pPr>
              <w:pStyle w:val="Tabletextlistbullet"/>
              <w:rPr>
                <w:color w:val="000000"/>
              </w:rPr>
            </w:pPr>
            <w:r w:rsidRPr="00717E41">
              <w:rPr>
                <w:color w:val="000000"/>
              </w:rPr>
              <w:t>Average rating of the standard of washrooms</w:t>
            </w:r>
          </w:p>
          <w:p w:rsidR="009E4CE0" w:rsidRPr="00717E41" w:rsidRDefault="0089615E" w:rsidP="00A96191">
            <w:pPr>
              <w:pStyle w:val="Tabletextheadingleft"/>
              <w:rPr>
                <w:color w:val="000000"/>
              </w:rPr>
            </w:pPr>
            <w:r w:rsidRPr="00717E41">
              <w:rPr>
                <w:color w:val="000000"/>
              </w:rPr>
              <w:t>Domestic services</w:t>
            </w:r>
          </w:p>
          <w:p w:rsidR="009E4CE0" w:rsidRPr="00717E41" w:rsidRDefault="0089615E" w:rsidP="002A5D9D">
            <w:pPr>
              <w:pStyle w:val="Tabletextlistbullet"/>
              <w:rPr>
                <w:color w:val="000000"/>
              </w:rPr>
            </w:pPr>
            <w:r w:rsidRPr="00717E41">
              <w:rPr>
                <w:color w:val="000000"/>
              </w:rPr>
              <w:t>Average rating of the standard of washrooms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9E4CE0" w:rsidRPr="00717E41" w:rsidRDefault="0089615E" w:rsidP="009E4CE0">
            <w:pPr>
              <w:pStyle w:val="Tabletextleft"/>
              <w:rPr>
                <w:color w:val="000000"/>
              </w:rPr>
            </w:pPr>
            <w:r w:rsidRPr="00717E41">
              <w:rPr>
                <w:color w:val="000000"/>
              </w:rPr>
              <w:t>Nil</w:t>
            </w:r>
          </w:p>
          <w:p w:rsidR="009E4CE0" w:rsidRPr="00717E41" w:rsidRDefault="0089615E" w:rsidP="00A96191">
            <w:pPr>
              <w:pStyle w:val="Tabletextheadingleft"/>
              <w:rPr>
                <w:color w:val="000000"/>
              </w:rPr>
            </w:pPr>
            <w:r w:rsidRPr="00717E41">
              <w:rPr>
                <w:color w:val="000000"/>
              </w:rPr>
              <w:t>Domestic services</w:t>
            </w:r>
          </w:p>
          <w:p w:rsidR="009E4CE0" w:rsidRPr="00717E41" w:rsidRDefault="0089615E" w:rsidP="009E4CE0">
            <w:pPr>
              <w:pStyle w:val="Tabletextleft"/>
              <w:rPr>
                <w:color w:val="000000"/>
              </w:rPr>
            </w:pPr>
            <w:r w:rsidRPr="00717E41">
              <w:rPr>
                <w:color w:val="000000"/>
              </w:rPr>
              <w:t>Nil</w:t>
            </w:r>
          </w:p>
        </w:tc>
        <w:tc>
          <w:tcPr>
            <w:tcW w:w="2950" w:type="dxa"/>
            <w:tcBorders>
              <w:right w:val="nil"/>
            </w:tcBorders>
          </w:tcPr>
          <w:p w:rsidR="009E4CE0" w:rsidRPr="00717E41" w:rsidRDefault="0089615E" w:rsidP="00A96191">
            <w:pPr>
              <w:pStyle w:val="Tabletextheadingleft"/>
              <w:rPr>
                <w:color w:val="000000"/>
              </w:rPr>
            </w:pPr>
            <w:r w:rsidRPr="00717E41">
              <w:rPr>
                <w:color w:val="000000"/>
              </w:rPr>
              <w:t>International services</w:t>
            </w:r>
          </w:p>
          <w:p w:rsidR="009E4CE0" w:rsidRPr="00717E41" w:rsidRDefault="0089615E" w:rsidP="009E4CE0">
            <w:pPr>
              <w:pStyle w:val="Tabletextleft"/>
              <w:rPr>
                <w:color w:val="000000"/>
              </w:rPr>
            </w:pPr>
            <w:r w:rsidRPr="00717E41">
              <w:rPr>
                <w:color w:val="000000"/>
              </w:rPr>
              <w:t>Nil</w:t>
            </w:r>
          </w:p>
          <w:p w:rsidR="009E4CE0" w:rsidRPr="00717E41" w:rsidRDefault="0089615E" w:rsidP="00A96191">
            <w:pPr>
              <w:pStyle w:val="Tabletextheadingleft"/>
              <w:rPr>
                <w:color w:val="000000"/>
              </w:rPr>
            </w:pPr>
            <w:r w:rsidRPr="00717E41">
              <w:rPr>
                <w:color w:val="000000"/>
              </w:rPr>
              <w:t>Domestic services</w:t>
            </w:r>
          </w:p>
          <w:p w:rsidR="00292A26" w:rsidRPr="00717E41" w:rsidRDefault="0089615E" w:rsidP="009E4CE0">
            <w:pPr>
              <w:pStyle w:val="Tabletextleft"/>
              <w:rPr>
                <w:color w:val="000000"/>
              </w:rPr>
            </w:pPr>
            <w:r w:rsidRPr="00717E41">
              <w:rPr>
                <w:color w:val="000000"/>
              </w:rPr>
              <w:t>Nil</w:t>
            </w:r>
          </w:p>
        </w:tc>
      </w:tr>
      <w:tr w:rsidR="00292A26" w:rsidRPr="00FF32F7" w:rsidTr="00292A26">
        <w:tc>
          <w:tcPr>
            <w:tcW w:w="2235" w:type="dxa"/>
            <w:tcBorders>
              <w:left w:val="nil"/>
            </w:tcBorders>
          </w:tcPr>
          <w:p w:rsidR="00292A26" w:rsidRPr="00717E41" w:rsidRDefault="0089615E" w:rsidP="00292A26">
            <w:pPr>
              <w:pStyle w:val="Tabletextleft"/>
              <w:rPr>
                <w:color w:val="000000"/>
              </w:rPr>
            </w:pPr>
            <w:r w:rsidRPr="00717E41">
              <w:rPr>
                <w:color w:val="000000"/>
              </w:rPr>
              <w:t>Gate lounges and seating other than in gate lounges</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045F74" w:rsidRPr="00717E41" w:rsidRDefault="0089615E" w:rsidP="002A5D9D">
            <w:pPr>
              <w:pStyle w:val="Tabletextlistbullet"/>
              <w:rPr>
                <w:color w:val="000000"/>
              </w:rPr>
            </w:pPr>
            <w:r w:rsidRPr="00717E41">
              <w:rPr>
                <w:color w:val="000000"/>
              </w:rPr>
              <w:t>Number of departing passengers per seat in gate lounges during peak hour</w:t>
            </w:r>
            <w:r w:rsidRPr="00717E41">
              <w:rPr>
                <w:rStyle w:val="FootnoteReference"/>
                <w:color w:val="000000"/>
              </w:rPr>
              <w:footnoteReference w:id="25"/>
            </w:r>
          </w:p>
          <w:p w:rsidR="00045F74" w:rsidRPr="00717E41" w:rsidRDefault="0089615E" w:rsidP="002A5D9D">
            <w:pPr>
              <w:pStyle w:val="Tabletextlistbullet"/>
              <w:rPr>
                <w:color w:val="000000"/>
              </w:rPr>
            </w:pPr>
            <w:r w:rsidRPr="00717E41">
              <w:rPr>
                <w:color w:val="000000"/>
              </w:rPr>
              <w:t>Number of departing passengers per square metre of gate lounge area during peak hour</w:t>
            </w:r>
            <w:r w:rsidR="00ED249A" w:rsidRPr="00717E41">
              <w:rPr>
                <w:rStyle w:val="FootnoteReference"/>
                <w:color w:val="000000"/>
              </w:rPr>
              <w:footnoteReference w:id="26"/>
            </w:r>
          </w:p>
          <w:p w:rsidR="00045F74" w:rsidRPr="00717E41" w:rsidRDefault="0089615E" w:rsidP="00A96191">
            <w:pPr>
              <w:pStyle w:val="Tabletextheadingleft"/>
              <w:rPr>
                <w:color w:val="000000"/>
              </w:rPr>
            </w:pPr>
            <w:r w:rsidRPr="00717E41">
              <w:rPr>
                <w:color w:val="000000"/>
              </w:rPr>
              <w:t>Domestic services</w:t>
            </w:r>
          </w:p>
          <w:p w:rsidR="00045F74" w:rsidRPr="00717E41" w:rsidRDefault="0089615E" w:rsidP="002A5D9D">
            <w:pPr>
              <w:pStyle w:val="Tabletextlistbullet"/>
              <w:rPr>
                <w:color w:val="000000"/>
              </w:rPr>
            </w:pPr>
            <w:r w:rsidRPr="00717E41">
              <w:rPr>
                <w:color w:val="000000"/>
              </w:rPr>
              <w:t>Number of departing passengers per seat in gate lounges during peak hour</w:t>
            </w:r>
            <w:r w:rsidR="00ED249A" w:rsidRPr="00717E41">
              <w:rPr>
                <w:rStyle w:val="FootnoteReference"/>
                <w:color w:val="000000"/>
              </w:rPr>
              <w:footnoteReference w:id="27"/>
            </w:r>
          </w:p>
          <w:p w:rsidR="00045F74" w:rsidRPr="00717E41" w:rsidRDefault="0089615E" w:rsidP="002A5D9D">
            <w:pPr>
              <w:pStyle w:val="Tabletextlistbullet"/>
              <w:rPr>
                <w:color w:val="000000"/>
              </w:rPr>
            </w:pPr>
            <w:r w:rsidRPr="00717E41">
              <w:rPr>
                <w:color w:val="000000"/>
              </w:rPr>
              <w:t>Number of departing passengers per square metre of gate lounge area during peak hour</w:t>
            </w:r>
            <w:r w:rsidR="00ED249A" w:rsidRPr="00717E41">
              <w:rPr>
                <w:rStyle w:val="FootnoteReference"/>
                <w:color w:val="000000"/>
              </w:rPr>
              <w:footnoteReference w:id="28"/>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045F74" w:rsidRPr="00717E41" w:rsidRDefault="0089615E" w:rsidP="002A5D9D">
            <w:pPr>
              <w:pStyle w:val="Tabletextlistbullet"/>
              <w:rPr>
                <w:color w:val="000000"/>
              </w:rPr>
            </w:pPr>
            <w:r w:rsidRPr="00717E41">
              <w:rPr>
                <w:color w:val="000000"/>
              </w:rPr>
              <w:t>Average rating of quality and availability of seating in lounge area</w:t>
            </w:r>
          </w:p>
          <w:p w:rsidR="00045F74" w:rsidRPr="00717E41" w:rsidRDefault="0089615E" w:rsidP="002A5D9D">
            <w:pPr>
              <w:pStyle w:val="Tabletextlistbullet"/>
              <w:rPr>
                <w:color w:val="000000"/>
              </w:rPr>
            </w:pPr>
            <w:r w:rsidRPr="00717E41">
              <w:rPr>
                <w:color w:val="000000"/>
              </w:rPr>
              <w:t>Average rating of crowding in lounge area</w:t>
            </w:r>
          </w:p>
          <w:p w:rsidR="00045F74" w:rsidRPr="00717E41" w:rsidRDefault="0089615E" w:rsidP="00A96191">
            <w:pPr>
              <w:pStyle w:val="Tabletextheadingleft"/>
              <w:rPr>
                <w:color w:val="000000"/>
              </w:rPr>
            </w:pPr>
            <w:r w:rsidRPr="00717E41">
              <w:rPr>
                <w:color w:val="000000"/>
              </w:rPr>
              <w:t>Domestic services</w:t>
            </w:r>
          </w:p>
          <w:p w:rsidR="00045F74" w:rsidRPr="00717E41" w:rsidRDefault="0089615E" w:rsidP="002A5D9D">
            <w:pPr>
              <w:pStyle w:val="Tabletextlistbullet"/>
              <w:rPr>
                <w:color w:val="000000"/>
              </w:rPr>
            </w:pPr>
            <w:r w:rsidRPr="00717E41">
              <w:rPr>
                <w:color w:val="000000"/>
              </w:rPr>
              <w:t>Average rating of quality and availability of seating in lounge area</w:t>
            </w:r>
          </w:p>
          <w:p w:rsidR="00045F74" w:rsidRPr="00717E41" w:rsidRDefault="0089615E" w:rsidP="002A5D9D">
            <w:pPr>
              <w:pStyle w:val="Tabletextlistbullet"/>
              <w:rPr>
                <w:color w:val="000000"/>
              </w:rPr>
            </w:pPr>
            <w:r w:rsidRPr="00717E41">
              <w:rPr>
                <w:color w:val="000000"/>
              </w:rPr>
              <w:t>Average rating of crowding in lounge area</w:t>
            </w:r>
          </w:p>
        </w:tc>
        <w:tc>
          <w:tcPr>
            <w:tcW w:w="2949" w:type="dxa"/>
          </w:tcPr>
          <w:p w:rsidR="00292A26" w:rsidRPr="00717E41" w:rsidRDefault="0089615E" w:rsidP="00A96191">
            <w:pPr>
              <w:pStyle w:val="Tabletextheadingleft"/>
              <w:rPr>
                <w:color w:val="000000"/>
              </w:rPr>
            </w:pPr>
            <w:r w:rsidRPr="00717E41">
              <w:rPr>
                <w:color w:val="000000"/>
              </w:rPr>
              <w:t>International services</w:t>
            </w:r>
          </w:p>
          <w:p w:rsidR="00045F74" w:rsidRPr="00717E41" w:rsidRDefault="0089615E" w:rsidP="00045F74">
            <w:pPr>
              <w:pStyle w:val="Tabletextleft"/>
              <w:rPr>
                <w:color w:val="000000"/>
              </w:rPr>
            </w:pPr>
            <w:r w:rsidRPr="00717E41">
              <w:rPr>
                <w:color w:val="000000"/>
              </w:rPr>
              <w:t>Nil</w:t>
            </w:r>
          </w:p>
          <w:p w:rsidR="00045F74" w:rsidRPr="00717E41" w:rsidRDefault="00687771" w:rsidP="00A96191">
            <w:pPr>
              <w:pStyle w:val="Tabletextheadingleft"/>
              <w:rPr>
                <w:color w:val="000000"/>
              </w:rPr>
            </w:pPr>
            <w:r>
              <w:rPr>
                <w:color w:val="000000"/>
              </w:rPr>
              <w:br/>
            </w:r>
            <w:r w:rsidR="0089615E" w:rsidRPr="00717E41">
              <w:rPr>
                <w:color w:val="000000"/>
              </w:rPr>
              <w:t>Domestic services</w:t>
            </w:r>
          </w:p>
          <w:p w:rsidR="00045F74" w:rsidRPr="00717E41" w:rsidRDefault="0089615E" w:rsidP="00045F74">
            <w:pPr>
              <w:pStyle w:val="Tabletextleft"/>
              <w:rPr>
                <w:color w:val="000000"/>
              </w:rPr>
            </w:pPr>
            <w:r w:rsidRPr="00717E41">
              <w:rPr>
                <w:color w:val="000000"/>
              </w:rPr>
              <w:t>Nil</w:t>
            </w:r>
          </w:p>
        </w:tc>
        <w:tc>
          <w:tcPr>
            <w:tcW w:w="2950" w:type="dxa"/>
            <w:tcBorders>
              <w:right w:val="nil"/>
            </w:tcBorders>
          </w:tcPr>
          <w:p w:rsidR="00045F74" w:rsidRPr="00717E41" w:rsidRDefault="0089615E" w:rsidP="00A96191">
            <w:pPr>
              <w:pStyle w:val="Tabletextheadingleft"/>
              <w:rPr>
                <w:color w:val="000000"/>
              </w:rPr>
            </w:pPr>
            <w:r w:rsidRPr="00717E41">
              <w:rPr>
                <w:color w:val="000000"/>
              </w:rPr>
              <w:t>International services</w:t>
            </w:r>
          </w:p>
          <w:p w:rsidR="00045F74" w:rsidRPr="00717E41" w:rsidRDefault="0089615E" w:rsidP="00045F74">
            <w:pPr>
              <w:pStyle w:val="Tabletextleft"/>
              <w:rPr>
                <w:color w:val="000000"/>
              </w:rPr>
            </w:pPr>
            <w:r w:rsidRPr="00717E41">
              <w:rPr>
                <w:color w:val="000000"/>
              </w:rPr>
              <w:t>Nil</w:t>
            </w:r>
          </w:p>
          <w:p w:rsidR="00045F74" w:rsidRPr="00717E41" w:rsidRDefault="00687771" w:rsidP="00A96191">
            <w:pPr>
              <w:pStyle w:val="Tabletextheadingleft"/>
              <w:rPr>
                <w:color w:val="000000"/>
              </w:rPr>
            </w:pPr>
            <w:r>
              <w:rPr>
                <w:color w:val="000000"/>
              </w:rPr>
              <w:br/>
            </w:r>
            <w:r w:rsidR="0089615E" w:rsidRPr="00717E41">
              <w:rPr>
                <w:color w:val="000000"/>
              </w:rPr>
              <w:t>Domestic services</w:t>
            </w:r>
          </w:p>
          <w:p w:rsidR="00292A26" w:rsidRPr="00717E41" w:rsidRDefault="0089615E" w:rsidP="00045F74">
            <w:pPr>
              <w:pStyle w:val="Tabletextleft"/>
              <w:rPr>
                <w:color w:val="000000"/>
              </w:rPr>
            </w:pPr>
            <w:r w:rsidRPr="00717E41">
              <w:rPr>
                <w:color w:val="000000"/>
              </w:rPr>
              <w:t>Nil</w:t>
            </w:r>
          </w:p>
        </w:tc>
      </w:tr>
      <w:tr w:rsidR="00A86205" w:rsidRPr="00FF32F7" w:rsidTr="00292A26">
        <w:tc>
          <w:tcPr>
            <w:tcW w:w="2235" w:type="dxa"/>
            <w:tcBorders>
              <w:left w:val="nil"/>
            </w:tcBorders>
          </w:tcPr>
          <w:p w:rsidR="00A86205" w:rsidRPr="00717E41" w:rsidRDefault="0089615E" w:rsidP="00292A26">
            <w:pPr>
              <w:pStyle w:val="Tabletextleft"/>
              <w:rPr>
                <w:color w:val="000000"/>
              </w:rPr>
            </w:pPr>
            <w:r w:rsidRPr="00717E41">
              <w:rPr>
                <w:color w:val="000000"/>
              </w:rPr>
              <w:t>Airport management responsiveness</w:t>
            </w:r>
          </w:p>
        </w:tc>
        <w:tc>
          <w:tcPr>
            <w:tcW w:w="2949" w:type="dxa"/>
          </w:tcPr>
          <w:p w:rsidR="00A86205" w:rsidRPr="00717E41" w:rsidRDefault="0089615E" w:rsidP="00045F74">
            <w:pPr>
              <w:pStyle w:val="Tabletextleft"/>
              <w:rPr>
                <w:color w:val="000000"/>
              </w:rPr>
            </w:pPr>
            <w:r w:rsidRPr="00717E41">
              <w:rPr>
                <w:color w:val="000000"/>
              </w:rPr>
              <w:t>Nil</w:t>
            </w:r>
          </w:p>
        </w:tc>
        <w:tc>
          <w:tcPr>
            <w:tcW w:w="2949" w:type="dxa"/>
          </w:tcPr>
          <w:p w:rsidR="00A86205" w:rsidRPr="00717E41" w:rsidRDefault="0089615E" w:rsidP="00045F74">
            <w:pPr>
              <w:pStyle w:val="Tabletextleft"/>
              <w:rPr>
                <w:color w:val="000000"/>
              </w:rPr>
            </w:pPr>
            <w:r w:rsidRPr="00717E41">
              <w:rPr>
                <w:color w:val="000000"/>
              </w:rPr>
              <w:t>Nil</w:t>
            </w:r>
          </w:p>
        </w:tc>
        <w:tc>
          <w:tcPr>
            <w:tcW w:w="2949" w:type="dxa"/>
          </w:tcPr>
          <w:p w:rsidR="00A86205" w:rsidRPr="00717E41" w:rsidRDefault="0089615E" w:rsidP="002A5D9D">
            <w:pPr>
              <w:pStyle w:val="Tabletextlistbullet"/>
              <w:rPr>
                <w:color w:val="000000"/>
              </w:rPr>
            </w:pPr>
            <w:r w:rsidRPr="00717E41">
              <w:rPr>
                <w:color w:val="000000"/>
              </w:rPr>
              <w:t>Average rating of overall responsiveness or approach to addressing quality of service problems or concerns</w:t>
            </w:r>
          </w:p>
        </w:tc>
        <w:tc>
          <w:tcPr>
            <w:tcW w:w="2950" w:type="dxa"/>
            <w:tcBorders>
              <w:right w:val="nil"/>
            </w:tcBorders>
          </w:tcPr>
          <w:p w:rsidR="00045F74" w:rsidRPr="00717E41" w:rsidRDefault="0089615E" w:rsidP="002A5D9D">
            <w:pPr>
              <w:pStyle w:val="Tabletextlistbullet"/>
              <w:rPr>
                <w:color w:val="000000"/>
              </w:rPr>
            </w:pPr>
            <w:r w:rsidRPr="00717E41">
              <w:rPr>
                <w:color w:val="000000"/>
                <w:u w:val="single"/>
              </w:rPr>
              <w:t xml:space="preserve">Landside: </w:t>
            </w:r>
            <w:r w:rsidRPr="00717E41">
              <w:rPr>
                <w:color w:val="000000"/>
              </w:rPr>
              <w:br/>
              <w:t xml:space="preserve">Average rating of management approach to concerns. </w:t>
            </w:r>
          </w:p>
        </w:tc>
      </w:tr>
    </w:tbl>
    <w:p w:rsidR="009B3F99" w:rsidRDefault="009B3F99" w:rsidP="009B3F99">
      <w:pPr>
        <w:rPr>
          <w:color w:val="000000"/>
          <w:highlight w:val="yellow"/>
        </w:rPr>
      </w:pPr>
    </w:p>
    <w:p w:rsidR="0058350D" w:rsidRDefault="0058350D" w:rsidP="009B3F99">
      <w:pPr>
        <w:rPr>
          <w:color w:val="000000"/>
          <w:highlight w:val="yellow"/>
        </w:rPr>
      </w:pPr>
    </w:p>
    <w:p w:rsidR="0058350D" w:rsidRDefault="0058350D" w:rsidP="009B3F99">
      <w:pPr>
        <w:rPr>
          <w:color w:val="000000"/>
          <w:highlight w:val="yellow"/>
        </w:rPr>
      </w:pPr>
    </w:p>
    <w:p w:rsidR="0058350D" w:rsidRDefault="0058350D" w:rsidP="009B3F99">
      <w:pPr>
        <w:rPr>
          <w:color w:val="000000"/>
          <w:highlight w:val="yellow"/>
        </w:rPr>
      </w:pPr>
    </w:p>
    <w:p w:rsidR="00F830E6" w:rsidRDefault="00F830E6" w:rsidP="009B3F99">
      <w:pPr>
        <w:rPr>
          <w:color w:val="000000"/>
          <w:highlight w:val="yellow"/>
        </w:rPr>
      </w:pPr>
    </w:p>
    <w:p w:rsidR="00E13990" w:rsidRDefault="00E13990" w:rsidP="009B3F99">
      <w:pPr>
        <w:rPr>
          <w:color w:val="000000"/>
          <w:highlight w:val="yellow"/>
        </w:rPr>
      </w:pPr>
    </w:p>
    <w:p w:rsidR="00E13990" w:rsidRDefault="00E13990" w:rsidP="009B3F99">
      <w:pPr>
        <w:rPr>
          <w:color w:val="000000"/>
          <w:highlight w:val="yellow"/>
        </w:rPr>
      </w:pPr>
    </w:p>
    <w:p w:rsidR="00F830E6" w:rsidRDefault="00F830E6" w:rsidP="009B3F99">
      <w:pPr>
        <w:rPr>
          <w:color w:val="000000"/>
          <w:highlight w:val="yellow"/>
        </w:rPr>
      </w:pPr>
    </w:p>
    <w:p w:rsidR="0058350D" w:rsidRPr="00717E41" w:rsidRDefault="0058350D" w:rsidP="009B3F99">
      <w:pPr>
        <w:rPr>
          <w:color w:val="000000"/>
          <w:highlight w:val="yellow"/>
        </w:rPr>
      </w:pPr>
    </w:p>
    <w:p w:rsidR="005F7F8F" w:rsidRPr="00717E41" w:rsidRDefault="0089615E" w:rsidP="005F7F8F">
      <w:pPr>
        <w:pStyle w:val="Numberedtabletitle"/>
        <w:rPr>
          <w:color w:val="000000"/>
        </w:rPr>
      </w:pPr>
      <w:r w:rsidRPr="00717E41">
        <w:rPr>
          <w:color w:val="000000"/>
        </w:rPr>
        <w:t>Quality of service aspects and associated criteria – aircraft-related services and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49"/>
        <w:gridCol w:w="2949"/>
        <w:gridCol w:w="2949"/>
        <w:gridCol w:w="2950"/>
      </w:tblGrid>
      <w:tr w:rsidR="005F7F8F" w:rsidRPr="00FF32F7" w:rsidTr="005F7F8F">
        <w:trPr>
          <w:tblHeader/>
        </w:trPr>
        <w:tc>
          <w:tcPr>
            <w:tcW w:w="2235" w:type="dxa"/>
            <w:tcBorders>
              <w:left w:val="nil"/>
              <w:bottom w:val="nil"/>
              <w:right w:val="nil"/>
            </w:tcBorders>
            <w:shd w:val="clear" w:color="auto" w:fill="BFBFBF"/>
          </w:tcPr>
          <w:p w:rsidR="005F7F8F" w:rsidRPr="00717E41" w:rsidRDefault="0089615E" w:rsidP="00A96191">
            <w:pPr>
              <w:pStyle w:val="Tabletextheadingleft"/>
              <w:rPr>
                <w:color w:val="000000"/>
              </w:rPr>
            </w:pPr>
            <w:r w:rsidRPr="00717E41">
              <w:rPr>
                <w:color w:val="000000"/>
              </w:rPr>
              <w:t>Aspect</w:t>
            </w:r>
          </w:p>
        </w:tc>
        <w:tc>
          <w:tcPr>
            <w:tcW w:w="11797" w:type="dxa"/>
            <w:gridSpan w:val="4"/>
            <w:tcBorders>
              <w:left w:val="nil"/>
              <w:bottom w:val="nil"/>
              <w:right w:val="nil"/>
            </w:tcBorders>
            <w:shd w:val="clear" w:color="auto" w:fill="BFBFBF"/>
          </w:tcPr>
          <w:p w:rsidR="005F7F8F" w:rsidRPr="00717E41" w:rsidRDefault="0089615E" w:rsidP="00A96191">
            <w:pPr>
              <w:pStyle w:val="Tabletextheadingcentre"/>
              <w:rPr>
                <w:color w:val="000000"/>
              </w:rPr>
            </w:pPr>
            <w:r w:rsidRPr="00717E41">
              <w:rPr>
                <w:color w:val="000000"/>
              </w:rPr>
              <w:t>Subjective Criteria</w:t>
            </w:r>
          </w:p>
        </w:tc>
      </w:tr>
      <w:tr w:rsidR="005F7F8F" w:rsidRPr="00FF32F7" w:rsidTr="005F7F8F">
        <w:trPr>
          <w:tblHeader/>
        </w:trPr>
        <w:tc>
          <w:tcPr>
            <w:tcW w:w="2235" w:type="dxa"/>
            <w:tcBorders>
              <w:top w:val="nil"/>
              <w:left w:val="nil"/>
              <w:bottom w:val="single" w:sz="4" w:space="0" w:color="auto"/>
              <w:right w:val="nil"/>
            </w:tcBorders>
            <w:shd w:val="clear" w:color="auto" w:fill="BFBFBF"/>
          </w:tcPr>
          <w:p w:rsidR="005F7F8F" w:rsidRPr="00717E41" w:rsidRDefault="005F7F8F" w:rsidP="005F7F8F">
            <w:pPr>
              <w:pStyle w:val="Tabletextleft"/>
              <w:rPr>
                <w:color w:val="000000"/>
              </w:rPr>
            </w:pPr>
          </w:p>
        </w:tc>
        <w:tc>
          <w:tcPr>
            <w:tcW w:w="2949" w:type="dxa"/>
            <w:tcBorders>
              <w:top w:val="nil"/>
              <w:left w:val="nil"/>
              <w:bottom w:val="single" w:sz="4" w:space="0" w:color="auto"/>
              <w:right w:val="nil"/>
            </w:tcBorders>
            <w:shd w:val="clear" w:color="auto" w:fill="BFBFBF"/>
          </w:tcPr>
          <w:p w:rsidR="005F7F8F" w:rsidRPr="00717E41" w:rsidRDefault="0089615E" w:rsidP="00A96191">
            <w:pPr>
              <w:pStyle w:val="Tabletextheadingleft"/>
              <w:rPr>
                <w:color w:val="000000"/>
              </w:rPr>
            </w:pPr>
            <w:r w:rsidRPr="00717E41">
              <w:rPr>
                <w:color w:val="000000"/>
              </w:rPr>
              <w:t>Objective criteria</w:t>
            </w:r>
          </w:p>
        </w:tc>
        <w:tc>
          <w:tcPr>
            <w:tcW w:w="2949" w:type="dxa"/>
            <w:tcBorders>
              <w:top w:val="nil"/>
              <w:left w:val="nil"/>
              <w:bottom w:val="single" w:sz="4" w:space="0" w:color="auto"/>
              <w:right w:val="nil"/>
            </w:tcBorders>
            <w:shd w:val="clear" w:color="auto" w:fill="BFBFBF"/>
          </w:tcPr>
          <w:p w:rsidR="005F7F8F" w:rsidRPr="00717E41" w:rsidRDefault="0089615E" w:rsidP="00A96191">
            <w:pPr>
              <w:pStyle w:val="Tabletextheadingleft"/>
              <w:rPr>
                <w:color w:val="000000"/>
              </w:rPr>
            </w:pPr>
            <w:r w:rsidRPr="00717E41">
              <w:rPr>
                <w:color w:val="000000"/>
              </w:rPr>
              <w:t>Passenger surveys</w:t>
            </w:r>
          </w:p>
        </w:tc>
        <w:tc>
          <w:tcPr>
            <w:tcW w:w="2949" w:type="dxa"/>
            <w:tcBorders>
              <w:top w:val="nil"/>
              <w:left w:val="nil"/>
              <w:bottom w:val="single" w:sz="4" w:space="0" w:color="auto"/>
              <w:right w:val="nil"/>
            </w:tcBorders>
            <w:shd w:val="clear" w:color="auto" w:fill="BFBFBF"/>
          </w:tcPr>
          <w:p w:rsidR="005F7F8F" w:rsidRPr="00717E41" w:rsidRDefault="0089615E" w:rsidP="00A96191">
            <w:pPr>
              <w:pStyle w:val="Tabletextheadingleft"/>
              <w:rPr>
                <w:color w:val="000000"/>
              </w:rPr>
            </w:pPr>
            <w:r w:rsidRPr="00717E41">
              <w:rPr>
                <w:color w:val="000000"/>
              </w:rPr>
              <w:t>Airline surveys</w:t>
            </w:r>
          </w:p>
        </w:tc>
        <w:tc>
          <w:tcPr>
            <w:tcW w:w="2950" w:type="dxa"/>
            <w:tcBorders>
              <w:top w:val="nil"/>
              <w:left w:val="nil"/>
              <w:bottom w:val="single" w:sz="4" w:space="0" w:color="auto"/>
              <w:right w:val="nil"/>
            </w:tcBorders>
            <w:shd w:val="clear" w:color="auto" w:fill="BFBFBF"/>
          </w:tcPr>
          <w:p w:rsidR="005F7F8F" w:rsidRPr="00717E41" w:rsidRDefault="0089615E" w:rsidP="00A96191">
            <w:pPr>
              <w:pStyle w:val="Tabletextheadingleft"/>
              <w:rPr>
                <w:color w:val="000000"/>
              </w:rPr>
            </w:pPr>
            <w:r w:rsidRPr="00717E41">
              <w:rPr>
                <w:color w:val="000000"/>
              </w:rPr>
              <w:t>Other surveys</w:t>
            </w:r>
          </w:p>
        </w:tc>
      </w:tr>
      <w:tr w:rsidR="005F7F8F" w:rsidRPr="00FF32F7" w:rsidTr="005F7F8F">
        <w:tc>
          <w:tcPr>
            <w:tcW w:w="2235" w:type="dxa"/>
            <w:tcBorders>
              <w:left w:val="nil"/>
            </w:tcBorders>
          </w:tcPr>
          <w:p w:rsidR="005F7F8F" w:rsidRPr="00717E41" w:rsidRDefault="0089615E" w:rsidP="005F7F8F">
            <w:pPr>
              <w:pStyle w:val="Tabletextleft"/>
              <w:rPr>
                <w:color w:val="000000"/>
              </w:rPr>
            </w:pPr>
            <w:r w:rsidRPr="00717E41">
              <w:rPr>
                <w:color w:val="000000"/>
              </w:rPr>
              <w:t>Ground handling services and facilities</w:t>
            </w:r>
          </w:p>
        </w:tc>
        <w:tc>
          <w:tcPr>
            <w:tcW w:w="2949" w:type="dxa"/>
          </w:tcPr>
          <w:p w:rsidR="005F7F8F" w:rsidRPr="00717E41" w:rsidRDefault="0089615E" w:rsidP="00BA7E08">
            <w:pPr>
              <w:pStyle w:val="Tabletextleft"/>
              <w:rPr>
                <w:color w:val="000000"/>
              </w:rPr>
            </w:pPr>
            <w:r w:rsidRPr="00717E41">
              <w:rPr>
                <w:color w:val="000000"/>
              </w:rPr>
              <w:t>Nil</w:t>
            </w:r>
          </w:p>
          <w:p w:rsidR="005F7F8F" w:rsidRPr="00717E41" w:rsidRDefault="005F7F8F" w:rsidP="00BA7E08">
            <w:pPr>
              <w:pStyle w:val="Tabletextleft"/>
              <w:rPr>
                <w:color w:val="000000"/>
              </w:rPr>
            </w:pPr>
          </w:p>
        </w:tc>
        <w:tc>
          <w:tcPr>
            <w:tcW w:w="2949" w:type="dxa"/>
          </w:tcPr>
          <w:p w:rsidR="005F7F8F" w:rsidRPr="00717E41" w:rsidRDefault="0089615E" w:rsidP="00BA7E08">
            <w:pPr>
              <w:pStyle w:val="Tabletextleft"/>
              <w:rPr>
                <w:color w:val="000000"/>
              </w:rPr>
            </w:pPr>
            <w:r w:rsidRPr="00717E41">
              <w:rPr>
                <w:color w:val="000000"/>
              </w:rPr>
              <w:t>Nil</w:t>
            </w:r>
          </w:p>
          <w:p w:rsidR="005F7F8F" w:rsidRPr="00717E41" w:rsidRDefault="005F7F8F" w:rsidP="00BA7E08">
            <w:pPr>
              <w:pStyle w:val="Tabletextleft"/>
              <w:rPr>
                <w:color w:val="000000"/>
              </w:rPr>
            </w:pPr>
          </w:p>
        </w:tc>
        <w:tc>
          <w:tcPr>
            <w:tcW w:w="2949" w:type="dxa"/>
          </w:tcPr>
          <w:p w:rsidR="005F7F8F" w:rsidRPr="00717E41" w:rsidRDefault="0089615E" w:rsidP="002A5D9D">
            <w:pPr>
              <w:pStyle w:val="Tabletextlistbullet"/>
              <w:rPr>
                <w:color w:val="000000"/>
              </w:rPr>
            </w:pPr>
            <w:r w:rsidRPr="00717E41">
              <w:rPr>
                <w:color w:val="000000"/>
              </w:rPr>
              <w:t>Average rating of the availability of ground handling services and facilities</w:t>
            </w:r>
          </w:p>
          <w:p w:rsidR="00BA7E08" w:rsidRPr="00717E41" w:rsidRDefault="0089615E" w:rsidP="002A5D9D">
            <w:pPr>
              <w:pStyle w:val="Tabletextlistbullet"/>
              <w:rPr>
                <w:color w:val="000000"/>
              </w:rPr>
            </w:pPr>
            <w:r w:rsidRPr="00717E41">
              <w:rPr>
                <w:color w:val="000000"/>
              </w:rPr>
              <w:t>Average rating of the standard of ground handling services and facilities</w:t>
            </w:r>
          </w:p>
          <w:p w:rsidR="008834CC" w:rsidRPr="00717E41" w:rsidRDefault="008834CC" w:rsidP="00A96191">
            <w:pPr>
              <w:pStyle w:val="Tabletextheadingleft"/>
              <w:rPr>
                <w:color w:val="000000"/>
              </w:rPr>
            </w:pPr>
          </w:p>
        </w:tc>
        <w:tc>
          <w:tcPr>
            <w:tcW w:w="2950" w:type="dxa"/>
            <w:tcBorders>
              <w:right w:val="nil"/>
            </w:tcBorders>
          </w:tcPr>
          <w:p w:rsidR="00045F74" w:rsidRPr="00717E41" w:rsidRDefault="0089615E" w:rsidP="002A5D9D">
            <w:pPr>
              <w:pStyle w:val="Tabletextlistbullet"/>
              <w:rPr>
                <w:color w:val="000000"/>
              </w:rPr>
            </w:pPr>
            <w:r w:rsidRPr="00717E41">
              <w:rPr>
                <w:color w:val="000000"/>
              </w:rPr>
              <w:t>Nil</w:t>
            </w:r>
          </w:p>
        </w:tc>
      </w:tr>
      <w:tr w:rsidR="005F7F8F" w:rsidRPr="00FF32F7" w:rsidTr="005F7F8F">
        <w:tc>
          <w:tcPr>
            <w:tcW w:w="2235" w:type="dxa"/>
            <w:tcBorders>
              <w:left w:val="nil"/>
            </w:tcBorders>
          </w:tcPr>
          <w:p w:rsidR="005F7F8F" w:rsidRPr="00717E41" w:rsidRDefault="0089615E" w:rsidP="005F7F8F">
            <w:pPr>
              <w:pStyle w:val="Tabletextleft"/>
              <w:rPr>
                <w:color w:val="000000"/>
              </w:rPr>
            </w:pPr>
            <w:r w:rsidRPr="00717E41">
              <w:rPr>
                <w:color w:val="000000"/>
              </w:rPr>
              <w:t>Aerobridge usage</w:t>
            </w:r>
          </w:p>
        </w:tc>
        <w:tc>
          <w:tcPr>
            <w:tcW w:w="2949" w:type="dxa"/>
          </w:tcPr>
          <w:p w:rsidR="005F7F8F" w:rsidRPr="00717E41" w:rsidRDefault="0089615E" w:rsidP="00A96191">
            <w:pPr>
              <w:pStyle w:val="Tabletextheadingleft"/>
              <w:rPr>
                <w:color w:val="000000"/>
              </w:rPr>
            </w:pPr>
            <w:r w:rsidRPr="00717E41">
              <w:rPr>
                <w:color w:val="000000"/>
              </w:rPr>
              <w:t>International services</w:t>
            </w:r>
          </w:p>
          <w:p w:rsidR="004F2E00" w:rsidRPr="00717E41" w:rsidRDefault="0089615E" w:rsidP="002A5D9D">
            <w:pPr>
              <w:pStyle w:val="Tabletextlistbullet"/>
              <w:rPr>
                <w:color w:val="000000"/>
              </w:rPr>
            </w:pPr>
            <w:r w:rsidRPr="00717E41">
              <w:rPr>
                <w:color w:val="000000"/>
              </w:rPr>
              <w:t>Percentage of international passengers arriving using an aerobridge</w:t>
            </w:r>
          </w:p>
          <w:p w:rsidR="004F2E00" w:rsidRPr="00717E41" w:rsidRDefault="0089615E" w:rsidP="002A5D9D">
            <w:pPr>
              <w:pStyle w:val="Tabletextlistbullet"/>
              <w:rPr>
                <w:color w:val="000000"/>
              </w:rPr>
            </w:pPr>
            <w:r w:rsidRPr="00717E41">
              <w:rPr>
                <w:color w:val="000000"/>
              </w:rPr>
              <w:t>Percentage of international passengers departing using an aerobridge</w:t>
            </w:r>
          </w:p>
          <w:p w:rsidR="004F2E00" w:rsidRPr="00717E41" w:rsidRDefault="0089615E" w:rsidP="00A96191">
            <w:pPr>
              <w:pStyle w:val="Tabletextheadingleft"/>
              <w:rPr>
                <w:color w:val="000000"/>
              </w:rPr>
            </w:pPr>
            <w:r w:rsidRPr="00717E41">
              <w:rPr>
                <w:color w:val="000000"/>
              </w:rPr>
              <w:t>Domestic services</w:t>
            </w:r>
          </w:p>
          <w:p w:rsidR="004F2E00" w:rsidRPr="00717E41" w:rsidRDefault="0089615E" w:rsidP="002A5D9D">
            <w:pPr>
              <w:pStyle w:val="Tabletextlistbullet"/>
              <w:rPr>
                <w:color w:val="000000"/>
              </w:rPr>
            </w:pPr>
            <w:r w:rsidRPr="00717E41">
              <w:rPr>
                <w:color w:val="000000"/>
              </w:rPr>
              <w:t>Percentage of domestic passengers arriving using an aerobridge</w:t>
            </w:r>
          </w:p>
          <w:p w:rsidR="004F2E00" w:rsidRPr="00717E41" w:rsidRDefault="0089615E" w:rsidP="002A5D9D">
            <w:pPr>
              <w:pStyle w:val="Tabletextlistbullet"/>
              <w:rPr>
                <w:color w:val="000000"/>
              </w:rPr>
            </w:pPr>
            <w:r w:rsidRPr="00717E41">
              <w:rPr>
                <w:color w:val="000000"/>
              </w:rPr>
              <w:t>Percentage of domestic passengers departing using an aerobridge</w:t>
            </w:r>
          </w:p>
        </w:tc>
        <w:tc>
          <w:tcPr>
            <w:tcW w:w="2949" w:type="dxa"/>
          </w:tcPr>
          <w:p w:rsidR="00BA7E08" w:rsidRPr="00717E41" w:rsidRDefault="0089615E" w:rsidP="00A96191">
            <w:pPr>
              <w:pStyle w:val="Tabletextheadingleft"/>
              <w:rPr>
                <w:color w:val="000000"/>
              </w:rPr>
            </w:pPr>
            <w:r w:rsidRPr="00717E41">
              <w:rPr>
                <w:color w:val="000000"/>
              </w:rPr>
              <w:t>International services</w:t>
            </w:r>
          </w:p>
          <w:p w:rsidR="00BA7E08" w:rsidRPr="00717E41" w:rsidRDefault="0089615E" w:rsidP="00BA7E08">
            <w:pPr>
              <w:pStyle w:val="Tabletextleft"/>
              <w:rPr>
                <w:color w:val="000000"/>
              </w:rPr>
            </w:pPr>
            <w:r w:rsidRPr="00717E41">
              <w:rPr>
                <w:color w:val="000000"/>
              </w:rPr>
              <w:t>Nil</w:t>
            </w:r>
          </w:p>
          <w:p w:rsidR="00BA7E08" w:rsidRPr="00717E41" w:rsidRDefault="0089615E" w:rsidP="00A96191">
            <w:pPr>
              <w:pStyle w:val="Tabletextheadingleft"/>
              <w:rPr>
                <w:color w:val="000000"/>
              </w:rPr>
            </w:pPr>
            <w:r w:rsidRPr="00717E41">
              <w:rPr>
                <w:color w:val="000000"/>
              </w:rPr>
              <w:t>Domestic services</w:t>
            </w:r>
          </w:p>
          <w:p w:rsidR="005F7F8F" w:rsidRPr="00717E41" w:rsidRDefault="0089615E" w:rsidP="00BA7E08">
            <w:pPr>
              <w:pStyle w:val="Tabletextleft"/>
              <w:rPr>
                <w:color w:val="000000"/>
              </w:rPr>
            </w:pPr>
            <w:r w:rsidRPr="00717E41">
              <w:rPr>
                <w:color w:val="000000"/>
              </w:rPr>
              <w:t>Nil</w:t>
            </w:r>
          </w:p>
        </w:tc>
        <w:tc>
          <w:tcPr>
            <w:tcW w:w="2949" w:type="dxa"/>
          </w:tcPr>
          <w:p w:rsidR="005F7F8F" w:rsidRPr="00717E41" w:rsidRDefault="0089615E" w:rsidP="00A96191">
            <w:pPr>
              <w:pStyle w:val="Tabletextheadingleft"/>
              <w:rPr>
                <w:color w:val="000000"/>
              </w:rPr>
            </w:pPr>
            <w:r w:rsidRPr="00717E41">
              <w:rPr>
                <w:color w:val="000000"/>
              </w:rPr>
              <w:t>International services</w:t>
            </w:r>
          </w:p>
          <w:p w:rsidR="004F2E00" w:rsidRPr="00717E41" w:rsidRDefault="0089615E" w:rsidP="002A5D9D">
            <w:pPr>
              <w:pStyle w:val="Tabletextlistbullet"/>
              <w:rPr>
                <w:color w:val="000000"/>
              </w:rPr>
            </w:pPr>
            <w:r w:rsidRPr="00717E41">
              <w:rPr>
                <w:color w:val="000000"/>
              </w:rPr>
              <w:t>Average rating of the availability of aerobridges</w:t>
            </w:r>
          </w:p>
          <w:p w:rsidR="004F2E00" w:rsidRPr="00717E41" w:rsidRDefault="0089615E" w:rsidP="002A5D9D">
            <w:pPr>
              <w:pStyle w:val="Tabletextlistbullet"/>
              <w:rPr>
                <w:color w:val="000000"/>
              </w:rPr>
            </w:pPr>
            <w:r w:rsidRPr="00717E41">
              <w:rPr>
                <w:color w:val="000000"/>
              </w:rPr>
              <w:t>Average rating of the standard of aerobridges</w:t>
            </w:r>
          </w:p>
          <w:p w:rsidR="004F2E00" w:rsidRPr="00717E41" w:rsidRDefault="0089615E" w:rsidP="00A96191">
            <w:pPr>
              <w:pStyle w:val="Tabletextheadingleft"/>
              <w:rPr>
                <w:color w:val="000000"/>
              </w:rPr>
            </w:pPr>
            <w:r w:rsidRPr="00717E41">
              <w:rPr>
                <w:color w:val="000000"/>
              </w:rPr>
              <w:t>Domestic services</w:t>
            </w:r>
          </w:p>
          <w:p w:rsidR="004F2E00" w:rsidRPr="00717E41" w:rsidRDefault="0089615E" w:rsidP="002A5D9D">
            <w:pPr>
              <w:pStyle w:val="Tabletextlistbullet"/>
              <w:rPr>
                <w:color w:val="000000"/>
              </w:rPr>
            </w:pPr>
            <w:r w:rsidRPr="00717E41">
              <w:rPr>
                <w:color w:val="000000"/>
              </w:rPr>
              <w:t>Average rating of the availability of aerobridges</w:t>
            </w:r>
          </w:p>
          <w:p w:rsidR="004F2E00" w:rsidRPr="00717E41" w:rsidRDefault="0089615E" w:rsidP="002A5D9D">
            <w:pPr>
              <w:pStyle w:val="Tabletextlistbullet"/>
              <w:rPr>
                <w:color w:val="000000"/>
              </w:rPr>
            </w:pPr>
            <w:r w:rsidRPr="00717E41">
              <w:rPr>
                <w:color w:val="000000"/>
              </w:rPr>
              <w:t>Average rating of the standard of aerobridges</w:t>
            </w:r>
          </w:p>
        </w:tc>
        <w:tc>
          <w:tcPr>
            <w:tcW w:w="2950" w:type="dxa"/>
            <w:tcBorders>
              <w:right w:val="nil"/>
            </w:tcBorders>
          </w:tcPr>
          <w:p w:rsidR="005F7F8F" w:rsidRPr="00717E41" w:rsidRDefault="0089615E" w:rsidP="00A96191">
            <w:pPr>
              <w:pStyle w:val="Tabletextheadingleft"/>
              <w:rPr>
                <w:color w:val="000000"/>
              </w:rPr>
            </w:pPr>
            <w:r w:rsidRPr="00717E41">
              <w:rPr>
                <w:color w:val="000000"/>
              </w:rPr>
              <w:t>International services</w:t>
            </w:r>
          </w:p>
          <w:p w:rsidR="004F2E00" w:rsidRPr="00717E41" w:rsidRDefault="0089615E" w:rsidP="004F2E00">
            <w:pPr>
              <w:pStyle w:val="Tabletextleft"/>
              <w:rPr>
                <w:color w:val="000000"/>
              </w:rPr>
            </w:pPr>
            <w:r w:rsidRPr="00717E41">
              <w:rPr>
                <w:color w:val="000000"/>
              </w:rPr>
              <w:t>Nil</w:t>
            </w:r>
          </w:p>
          <w:p w:rsidR="004F2E00" w:rsidRPr="00717E41" w:rsidRDefault="0089615E" w:rsidP="00A96191">
            <w:pPr>
              <w:pStyle w:val="Tabletextheadingleft"/>
              <w:rPr>
                <w:color w:val="000000"/>
              </w:rPr>
            </w:pPr>
            <w:r w:rsidRPr="00717E41">
              <w:rPr>
                <w:color w:val="000000"/>
              </w:rPr>
              <w:t>Domestic services</w:t>
            </w:r>
          </w:p>
          <w:p w:rsidR="004F2E00" w:rsidRPr="00717E41" w:rsidRDefault="0089615E" w:rsidP="004F2E00">
            <w:pPr>
              <w:pStyle w:val="Tabletextleft"/>
              <w:rPr>
                <w:color w:val="000000"/>
              </w:rPr>
            </w:pPr>
            <w:r w:rsidRPr="00717E41">
              <w:rPr>
                <w:color w:val="000000"/>
              </w:rPr>
              <w:t>Nil</w:t>
            </w:r>
          </w:p>
        </w:tc>
      </w:tr>
      <w:tr w:rsidR="005F7F8F" w:rsidRPr="00FF32F7" w:rsidTr="005F7F8F">
        <w:tc>
          <w:tcPr>
            <w:tcW w:w="2235" w:type="dxa"/>
            <w:tcBorders>
              <w:left w:val="nil"/>
            </w:tcBorders>
          </w:tcPr>
          <w:p w:rsidR="005F7F8F" w:rsidRPr="00717E41" w:rsidRDefault="0089615E" w:rsidP="005F7F8F">
            <w:pPr>
              <w:pStyle w:val="Tabletextleft"/>
              <w:rPr>
                <w:color w:val="000000"/>
              </w:rPr>
            </w:pPr>
            <w:r w:rsidRPr="00717E41">
              <w:rPr>
                <w:color w:val="000000"/>
              </w:rPr>
              <w:t>Runways, taxiways and aprons</w:t>
            </w:r>
          </w:p>
        </w:tc>
        <w:tc>
          <w:tcPr>
            <w:tcW w:w="2949" w:type="dxa"/>
          </w:tcPr>
          <w:p w:rsidR="004030ED" w:rsidRPr="00717E41" w:rsidRDefault="0089615E" w:rsidP="002A5D9D">
            <w:pPr>
              <w:pStyle w:val="Tabletextlistbullet"/>
              <w:rPr>
                <w:color w:val="000000"/>
              </w:rPr>
            </w:pPr>
            <w:r w:rsidRPr="00717E41">
              <w:rPr>
                <w:color w:val="000000"/>
              </w:rPr>
              <w:t>Total annual aircraft movements per square metre of aprons available at 30 June in the financial year</w:t>
            </w:r>
          </w:p>
          <w:p w:rsidR="00FF32F7" w:rsidRPr="00717E41" w:rsidRDefault="0058350D" w:rsidP="00687771">
            <w:pPr>
              <w:pStyle w:val="Tabletextlistbullet"/>
              <w:rPr>
                <w:color w:val="000000"/>
                <w:szCs w:val="22"/>
              </w:rPr>
            </w:pPr>
            <w:r>
              <w:rPr>
                <w:color w:val="000000"/>
              </w:rPr>
              <w:br/>
            </w:r>
            <w:r>
              <w:rPr>
                <w:color w:val="000000"/>
              </w:rPr>
              <w:br/>
            </w:r>
            <w:r w:rsidR="0089615E" w:rsidRPr="00717E41">
              <w:rPr>
                <w:color w:val="000000"/>
              </w:rPr>
              <w:t>Total annual aircraft movements per square met</w:t>
            </w:r>
            <w:r w:rsidR="00E64CEF" w:rsidRPr="00717E41">
              <w:rPr>
                <w:color w:val="000000"/>
              </w:rPr>
              <w:t>re</w:t>
            </w:r>
            <w:r w:rsidR="0089615E" w:rsidRPr="00717E41">
              <w:rPr>
                <w:color w:val="000000"/>
              </w:rPr>
              <w:t xml:space="preserve"> of runways at 30 June in the financial year</w:t>
            </w:r>
          </w:p>
        </w:tc>
        <w:tc>
          <w:tcPr>
            <w:tcW w:w="2949" w:type="dxa"/>
          </w:tcPr>
          <w:p w:rsidR="005F7F8F" w:rsidRPr="00717E41" w:rsidRDefault="0089615E" w:rsidP="00BA7E08">
            <w:pPr>
              <w:pStyle w:val="Tabletextleft"/>
              <w:rPr>
                <w:color w:val="000000"/>
              </w:rPr>
            </w:pPr>
            <w:r w:rsidRPr="00717E41">
              <w:rPr>
                <w:color w:val="000000"/>
              </w:rPr>
              <w:t>Nil</w:t>
            </w:r>
          </w:p>
        </w:tc>
        <w:tc>
          <w:tcPr>
            <w:tcW w:w="2949" w:type="dxa"/>
          </w:tcPr>
          <w:p w:rsidR="005F7F8F" w:rsidRPr="00717E41" w:rsidRDefault="0089615E" w:rsidP="002A5D9D">
            <w:pPr>
              <w:pStyle w:val="Tabletextlistbullet"/>
              <w:rPr>
                <w:color w:val="000000"/>
              </w:rPr>
            </w:pPr>
            <w:r w:rsidRPr="00717E41">
              <w:rPr>
                <w:color w:val="000000"/>
              </w:rPr>
              <w:t>Average rating of the availability of runways</w:t>
            </w:r>
          </w:p>
          <w:p w:rsidR="004F2E00" w:rsidRPr="00717E41" w:rsidRDefault="0089615E" w:rsidP="002A5D9D">
            <w:pPr>
              <w:pStyle w:val="Tabletextlistbullet"/>
              <w:rPr>
                <w:color w:val="000000"/>
              </w:rPr>
            </w:pPr>
            <w:r w:rsidRPr="00717E41">
              <w:rPr>
                <w:color w:val="000000"/>
              </w:rPr>
              <w:t>Average rating of the standard of runways</w:t>
            </w:r>
          </w:p>
          <w:p w:rsidR="004F2E00" w:rsidRPr="00717E41" w:rsidRDefault="0058350D" w:rsidP="002A5D9D">
            <w:pPr>
              <w:pStyle w:val="Tabletextlistbullet"/>
              <w:rPr>
                <w:color w:val="000000"/>
              </w:rPr>
            </w:pPr>
            <w:r>
              <w:rPr>
                <w:color w:val="000000"/>
              </w:rPr>
              <w:br/>
            </w:r>
            <w:r w:rsidR="0089615E" w:rsidRPr="00717E41">
              <w:rPr>
                <w:color w:val="000000"/>
              </w:rPr>
              <w:t>Average rating of the availability of taxiways</w:t>
            </w:r>
          </w:p>
          <w:p w:rsidR="004F2E00" w:rsidRPr="00717E41" w:rsidRDefault="0089615E" w:rsidP="002A5D9D">
            <w:pPr>
              <w:pStyle w:val="Tabletextlistbullet"/>
              <w:rPr>
                <w:color w:val="000000"/>
              </w:rPr>
            </w:pPr>
            <w:r w:rsidRPr="00717E41">
              <w:rPr>
                <w:color w:val="000000"/>
              </w:rPr>
              <w:t>Average rating of the standard of taxiways</w:t>
            </w:r>
          </w:p>
          <w:p w:rsidR="004F2E00" w:rsidRPr="00717E41" w:rsidRDefault="0089615E" w:rsidP="002A5D9D">
            <w:pPr>
              <w:pStyle w:val="Tabletextlistbullet"/>
              <w:rPr>
                <w:color w:val="000000"/>
              </w:rPr>
            </w:pPr>
            <w:r w:rsidRPr="00717E41">
              <w:rPr>
                <w:color w:val="000000"/>
              </w:rPr>
              <w:t>Average rating of the availability of aprons</w:t>
            </w:r>
          </w:p>
          <w:p w:rsidR="004F2E00" w:rsidRPr="00717E41" w:rsidRDefault="0089615E" w:rsidP="002A5D9D">
            <w:pPr>
              <w:pStyle w:val="Tabletextlistbullet"/>
              <w:rPr>
                <w:color w:val="000000"/>
              </w:rPr>
            </w:pPr>
            <w:r w:rsidRPr="00717E41">
              <w:rPr>
                <w:color w:val="000000"/>
              </w:rPr>
              <w:t>Average rating of the standard of aprons</w:t>
            </w:r>
          </w:p>
        </w:tc>
        <w:tc>
          <w:tcPr>
            <w:tcW w:w="2950" w:type="dxa"/>
            <w:tcBorders>
              <w:right w:val="nil"/>
            </w:tcBorders>
          </w:tcPr>
          <w:p w:rsidR="005F7F8F" w:rsidRPr="00717E41" w:rsidRDefault="0089615E" w:rsidP="004F2E00">
            <w:pPr>
              <w:pStyle w:val="Tabletextleft"/>
              <w:rPr>
                <w:color w:val="000000"/>
              </w:rPr>
            </w:pPr>
            <w:r w:rsidRPr="00717E41">
              <w:rPr>
                <w:color w:val="000000"/>
              </w:rPr>
              <w:t>Nil</w:t>
            </w:r>
          </w:p>
        </w:tc>
      </w:tr>
      <w:tr w:rsidR="005F7F8F" w:rsidRPr="00FF32F7" w:rsidTr="005F7F8F">
        <w:tc>
          <w:tcPr>
            <w:tcW w:w="2235" w:type="dxa"/>
            <w:tcBorders>
              <w:left w:val="nil"/>
            </w:tcBorders>
          </w:tcPr>
          <w:p w:rsidR="005F7F8F" w:rsidRPr="00717E41" w:rsidRDefault="0089615E" w:rsidP="005F7F8F">
            <w:pPr>
              <w:pStyle w:val="Tabletextleft"/>
              <w:rPr>
                <w:color w:val="000000"/>
              </w:rPr>
            </w:pPr>
            <w:r w:rsidRPr="00717E41">
              <w:rPr>
                <w:color w:val="000000"/>
              </w:rPr>
              <w:t>Aircraft parking facilities and bays</w:t>
            </w:r>
          </w:p>
        </w:tc>
        <w:tc>
          <w:tcPr>
            <w:tcW w:w="2949" w:type="dxa"/>
          </w:tcPr>
          <w:p w:rsidR="004030ED" w:rsidRPr="00717E41" w:rsidRDefault="0089615E" w:rsidP="002A5D9D">
            <w:pPr>
              <w:pStyle w:val="Tabletextlistbullet"/>
              <w:rPr>
                <w:color w:val="000000"/>
              </w:rPr>
            </w:pPr>
            <w:r w:rsidRPr="00717E41">
              <w:rPr>
                <w:color w:val="000000"/>
              </w:rPr>
              <w:t>Total annual aircraft movements per square metre for aircraft parking bays on 30 June in the financial year</w:t>
            </w:r>
          </w:p>
          <w:p w:rsidR="005F7F8F" w:rsidRPr="00717E41" w:rsidRDefault="005F7F8F" w:rsidP="002A5D9D">
            <w:pPr>
              <w:pStyle w:val="Tabletextlistbullet"/>
              <w:rPr>
                <w:color w:val="000000"/>
              </w:rPr>
            </w:pPr>
          </w:p>
        </w:tc>
        <w:tc>
          <w:tcPr>
            <w:tcW w:w="2949" w:type="dxa"/>
          </w:tcPr>
          <w:p w:rsidR="005F7F8F" w:rsidRPr="00717E41" w:rsidRDefault="0089615E" w:rsidP="00BA7E08">
            <w:pPr>
              <w:pStyle w:val="Tabletextleft"/>
              <w:rPr>
                <w:color w:val="000000"/>
              </w:rPr>
            </w:pPr>
            <w:r w:rsidRPr="00717E41">
              <w:rPr>
                <w:color w:val="000000"/>
              </w:rPr>
              <w:t>Nil</w:t>
            </w:r>
          </w:p>
        </w:tc>
        <w:tc>
          <w:tcPr>
            <w:tcW w:w="2949" w:type="dxa"/>
          </w:tcPr>
          <w:p w:rsidR="005F7F8F" w:rsidRPr="00717E41" w:rsidRDefault="0089615E" w:rsidP="002A5D9D">
            <w:pPr>
              <w:pStyle w:val="Tabletextlistbullet"/>
              <w:rPr>
                <w:color w:val="000000"/>
              </w:rPr>
            </w:pPr>
            <w:r w:rsidRPr="00717E41">
              <w:rPr>
                <w:color w:val="000000"/>
              </w:rPr>
              <w:t>Average rating of the availability of aircraft parking facilities and bays</w:t>
            </w:r>
          </w:p>
          <w:p w:rsidR="004F2E00" w:rsidRPr="00717E41" w:rsidRDefault="0089615E" w:rsidP="002A5D9D">
            <w:pPr>
              <w:pStyle w:val="Tabletextlistbullet"/>
              <w:rPr>
                <w:color w:val="000000"/>
              </w:rPr>
            </w:pPr>
            <w:r w:rsidRPr="00717E41">
              <w:rPr>
                <w:color w:val="000000"/>
              </w:rPr>
              <w:t>Average rating of the standard of aircraft parking facilities and bays</w:t>
            </w:r>
          </w:p>
        </w:tc>
        <w:tc>
          <w:tcPr>
            <w:tcW w:w="2950" w:type="dxa"/>
            <w:tcBorders>
              <w:right w:val="nil"/>
            </w:tcBorders>
          </w:tcPr>
          <w:p w:rsidR="005F7F8F" w:rsidRPr="00717E41" w:rsidRDefault="0089615E" w:rsidP="004F2E00">
            <w:pPr>
              <w:pStyle w:val="Tabletextleft"/>
              <w:rPr>
                <w:color w:val="000000"/>
              </w:rPr>
            </w:pPr>
            <w:r w:rsidRPr="00717E41">
              <w:rPr>
                <w:color w:val="000000"/>
              </w:rPr>
              <w:t>Nil</w:t>
            </w:r>
          </w:p>
        </w:tc>
      </w:tr>
      <w:tr w:rsidR="005F7F8F" w:rsidRPr="00FF32F7" w:rsidTr="005F7F8F">
        <w:tc>
          <w:tcPr>
            <w:tcW w:w="2235" w:type="dxa"/>
            <w:tcBorders>
              <w:left w:val="nil"/>
            </w:tcBorders>
          </w:tcPr>
          <w:p w:rsidR="005F7F8F" w:rsidRPr="00717E41" w:rsidRDefault="0089615E" w:rsidP="005F7F8F">
            <w:pPr>
              <w:pStyle w:val="Tabletextleft"/>
              <w:rPr>
                <w:color w:val="000000"/>
              </w:rPr>
            </w:pPr>
            <w:r w:rsidRPr="00717E41">
              <w:rPr>
                <w:color w:val="000000"/>
              </w:rPr>
              <w:t>Airside freight handling, storage areas and cargo facilities</w:t>
            </w:r>
          </w:p>
        </w:tc>
        <w:tc>
          <w:tcPr>
            <w:tcW w:w="2949" w:type="dxa"/>
          </w:tcPr>
          <w:p w:rsidR="005F7F8F" w:rsidRPr="00717E41" w:rsidRDefault="0089615E" w:rsidP="004F2E00">
            <w:pPr>
              <w:pStyle w:val="Tabletextleft"/>
              <w:rPr>
                <w:color w:val="000000"/>
              </w:rPr>
            </w:pPr>
            <w:r w:rsidRPr="00717E41">
              <w:rPr>
                <w:color w:val="000000"/>
              </w:rPr>
              <w:t>Nil</w:t>
            </w:r>
          </w:p>
        </w:tc>
        <w:tc>
          <w:tcPr>
            <w:tcW w:w="2949" w:type="dxa"/>
          </w:tcPr>
          <w:p w:rsidR="005F7F8F" w:rsidRPr="00717E41" w:rsidRDefault="0089615E" w:rsidP="00BA7E08">
            <w:pPr>
              <w:pStyle w:val="Tabletextleft"/>
              <w:rPr>
                <w:color w:val="000000"/>
              </w:rPr>
            </w:pPr>
            <w:r w:rsidRPr="00717E41">
              <w:rPr>
                <w:color w:val="000000"/>
              </w:rPr>
              <w:t>Nil</w:t>
            </w:r>
          </w:p>
        </w:tc>
        <w:tc>
          <w:tcPr>
            <w:tcW w:w="2949" w:type="dxa"/>
          </w:tcPr>
          <w:p w:rsidR="005F7F8F" w:rsidRPr="00717E41" w:rsidRDefault="0089615E" w:rsidP="002A5D9D">
            <w:pPr>
              <w:pStyle w:val="Tabletextlistbullet"/>
              <w:rPr>
                <w:color w:val="000000"/>
              </w:rPr>
            </w:pPr>
            <w:r w:rsidRPr="00717E41">
              <w:rPr>
                <w:color w:val="000000"/>
              </w:rPr>
              <w:t>Average rating of the availability of airside freight handling, storage areas and cargo facilities</w:t>
            </w:r>
          </w:p>
          <w:p w:rsidR="004F2E00" w:rsidRPr="00717E41" w:rsidRDefault="0089615E" w:rsidP="002A5D9D">
            <w:pPr>
              <w:pStyle w:val="Tabletextlistbullet"/>
              <w:rPr>
                <w:color w:val="000000"/>
              </w:rPr>
            </w:pPr>
            <w:r w:rsidRPr="00717E41">
              <w:rPr>
                <w:color w:val="000000"/>
              </w:rPr>
              <w:t>Average rating of the standard of airside freight handling, storage areas and cargo facilities</w:t>
            </w:r>
          </w:p>
        </w:tc>
        <w:tc>
          <w:tcPr>
            <w:tcW w:w="2950" w:type="dxa"/>
            <w:tcBorders>
              <w:right w:val="nil"/>
            </w:tcBorders>
          </w:tcPr>
          <w:p w:rsidR="005F7F8F" w:rsidRPr="00717E41" w:rsidRDefault="0089615E" w:rsidP="004F2E00">
            <w:pPr>
              <w:pStyle w:val="Tabletextleft"/>
              <w:rPr>
                <w:color w:val="000000"/>
              </w:rPr>
            </w:pPr>
            <w:r w:rsidRPr="00717E41">
              <w:rPr>
                <w:color w:val="000000"/>
              </w:rPr>
              <w:t>Nil</w:t>
            </w:r>
          </w:p>
        </w:tc>
      </w:tr>
    </w:tbl>
    <w:p w:rsidR="004F2E00" w:rsidRPr="00717E41" w:rsidRDefault="004F2E00" w:rsidP="005F7F8F">
      <w:pPr>
        <w:rPr>
          <w:color w:val="000000"/>
        </w:rPr>
        <w:sectPr w:rsidR="004F2E00" w:rsidRPr="00717E41" w:rsidSect="00E64CEF">
          <w:pgSz w:w="16838" w:h="11906" w:orient="landscape"/>
          <w:pgMar w:top="1729" w:right="1440" w:bottom="1729" w:left="1582" w:header="709" w:footer="709" w:gutter="0"/>
          <w:pgNumType w:start="13"/>
          <w:cols w:space="708"/>
          <w:docGrid w:linePitch="360"/>
        </w:sectPr>
      </w:pPr>
    </w:p>
    <w:p w:rsidR="005F7F8F" w:rsidRPr="00717E41" w:rsidRDefault="0089615E" w:rsidP="005F7F8F">
      <w:pPr>
        <w:pStyle w:val="Numberedtabletitle"/>
        <w:rPr>
          <w:color w:val="000000"/>
        </w:rPr>
      </w:pPr>
      <w:r w:rsidRPr="00717E41">
        <w:rPr>
          <w:color w:val="000000"/>
        </w:rPr>
        <w:t>Objective data requirements (matters) of airport operators – passenger-related services and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797"/>
      </w:tblGrid>
      <w:tr w:rsidR="005F7F8F" w:rsidRPr="00FF32F7" w:rsidTr="004A3FC6">
        <w:trPr>
          <w:tblHeader/>
        </w:trPr>
        <w:tc>
          <w:tcPr>
            <w:tcW w:w="2235" w:type="dxa"/>
            <w:tcBorders>
              <w:left w:val="nil"/>
              <w:bottom w:val="single" w:sz="4" w:space="0" w:color="auto"/>
              <w:right w:val="nil"/>
            </w:tcBorders>
            <w:shd w:val="clear" w:color="auto" w:fill="BFBFBF"/>
          </w:tcPr>
          <w:p w:rsidR="005F7F8F" w:rsidRPr="00717E41" w:rsidRDefault="0089615E" w:rsidP="00A96191">
            <w:pPr>
              <w:pStyle w:val="Tabletextheadingleft"/>
              <w:rPr>
                <w:color w:val="000000"/>
              </w:rPr>
            </w:pPr>
            <w:r w:rsidRPr="00717E41">
              <w:rPr>
                <w:color w:val="000000"/>
              </w:rPr>
              <w:t>Aspect</w:t>
            </w:r>
          </w:p>
        </w:tc>
        <w:tc>
          <w:tcPr>
            <w:tcW w:w="11797" w:type="dxa"/>
            <w:tcBorders>
              <w:left w:val="nil"/>
              <w:bottom w:val="single" w:sz="4" w:space="0" w:color="auto"/>
              <w:right w:val="nil"/>
            </w:tcBorders>
            <w:shd w:val="clear" w:color="auto" w:fill="BFBFBF"/>
          </w:tcPr>
          <w:p w:rsidR="005F7F8F" w:rsidRPr="00717E41" w:rsidRDefault="0089615E" w:rsidP="00A96191">
            <w:pPr>
              <w:pStyle w:val="Tabletextheadingcentre"/>
              <w:rPr>
                <w:color w:val="000000"/>
              </w:rPr>
            </w:pPr>
            <w:r w:rsidRPr="00717E41">
              <w:rPr>
                <w:color w:val="000000"/>
              </w:rPr>
              <w:t>Objective data required from airport operators (matters)</w:t>
            </w:r>
          </w:p>
        </w:tc>
      </w:tr>
      <w:tr w:rsidR="005F7F8F" w:rsidRPr="00FF32F7" w:rsidTr="004A3FC6">
        <w:tc>
          <w:tcPr>
            <w:tcW w:w="2235" w:type="dxa"/>
            <w:tcBorders>
              <w:left w:val="nil"/>
            </w:tcBorders>
          </w:tcPr>
          <w:p w:rsidR="005F7F8F" w:rsidRPr="00717E41" w:rsidRDefault="0089615E" w:rsidP="00687771">
            <w:pPr>
              <w:pStyle w:val="Tabletextleft"/>
              <w:rPr>
                <w:color w:val="000000"/>
              </w:rPr>
            </w:pPr>
            <w:r w:rsidRPr="00717E41">
              <w:rPr>
                <w:color w:val="000000"/>
              </w:rPr>
              <w:t>Airport access facilities (taxi facilities, kerbside space for pick-up and drop-off)</w:t>
            </w:r>
          </w:p>
        </w:tc>
        <w:tc>
          <w:tcPr>
            <w:tcW w:w="11797" w:type="dxa"/>
            <w:tcBorders>
              <w:right w:val="nil"/>
            </w:tcBorders>
          </w:tcPr>
          <w:p w:rsidR="00180B36" w:rsidRPr="00717E41" w:rsidRDefault="0089615E" w:rsidP="00A96191">
            <w:pPr>
              <w:pStyle w:val="Tabletextheadingleft"/>
              <w:rPr>
                <w:color w:val="000000"/>
              </w:rPr>
            </w:pPr>
            <w:r w:rsidRPr="00717E41">
              <w:rPr>
                <w:color w:val="000000"/>
              </w:rPr>
              <w:t>International services</w:t>
            </w:r>
          </w:p>
          <w:p w:rsidR="00180B36" w:rsidRPr="00717E41" w:rsidRDefault="0089615E" w:rsidP="002A5D9D">
            <w:pPr>
              <w:pStyle w:val="Tabletextlistbullet"/>
              <w:rPr>
                <w:color w:val="000000"/>
              </w:rPr>
            </w:pPr>
            <w:r w:rsidRPr="00717E41">
              <w:rPr>
                <w:color w:val="000000"/>
              </w:rPr>
              <w:t>Capacity of terminal kerbside services and facilities designated for passenger pick up and drop off provided to landside operators such as taxis, and providers of other off-airport parking services, measured in terms of the number of standard car park spaces.</w:t>
            </w:r>
            <w:r w:rsidRPr="00717E41">
              <w:rPr>
                <w:rStyle w:val="FootnoteReference"/>
                <w:color w:val="000000"/>
              </w:rPr>
              <w:footnoteReference w:id="29"/>
            </w:r>
          </w:p>
          <w:p w:rsidR="00180B36" w:rsidRPr="00717E41" w:rsidRDefault="0089615E" w:rsidP="002A5D9D">
            <w:pPr>
              <w:pStyle w:val="Tabletextlistbullet"/>
              <w:rPr>
                <w:color w:val="000000"/>
              </w:rPr>
            </w:pPr>
            <w:r w:rsidRPr="00717E41">
              <w:rPr>
                <w:color w:val="000000"/>
              </w:rPr>
              <w:t>Capacity of services and facilities designated for passenger pick-up and drop-off provided to the public at no charge measured in terms of the number of standard car park spaces.</w:t>
            </w:r>
          </w:p>
          <w:p w:rsidR="00180B36" w:rsidRPr="00717E41" w:rsidRDefault="00180B36" w:rsidP="002A5D9D">
            <w:pPr>
              <w:pStyle w:val="Tabletextlistbullet"/>
              <w:rPr>
                <w:color w:val="000000"/>
                <w:highlight w:val="yellow"/>
              </w:rPr>
            </w:pPr>
          </w:p>
          <w:p w:rsidR="00180B36" w:rsidRPr="00717E41" w:rsidRDefault="0089615E" w:rsidP="00A96191">
            <w:pPr>
              <w:pStyle w:val="Tabletextheadingleft"/>
              <w:rPr>
                <w:color w:val="000000"/>
              </w:rPr>
            </w:pPr>
            <w:r w:rsidRPr="00717E41">
              <w:rPr>
                <w:color w:val="000000"/>
              </w:rPr>
              <w:t>Domestic services</w:t>
            </w:r>
          </w:p>
          <w:p w:rsidR="00180B36" w:rsidRPr="00717E41" w:rsidRDefault="0089615E" w:rsidP="002A5D9D">
            <w:pPr>
              <w:pStyle w:val="Tabletextlistbullet"/>
              <w:rPr>
                <w:color w:val="000000"/>
              </w:rPr>
            </w:pPr>
            <w:r w:rsidRPr="00717E41">
              <w:rPr>
                <w:color w:val="000000"/>
              </w:rPr>
              <w:t>Capacity of terminal kerbside services and facilities designated for passenger pick up and drop off provided to landside operators such as taxis, and providers of other off-airport parking services, measured in terms of the number of standard car park spaces.</w:t>
            </w:r>
            <w:r w:rsidR="00687771" w:rsidRPr="00717E41" w:rsidDel="00687771">
              <w:rPr>
                <w:rStyle w:val="FootnoteReference"/>
                <w:color w:val="000000"/>
              </w:rPr>
              <w:t xml:space="preserve"> </w:t>
            </w:r>
          </w:p>
          <w:p w:rsidR="005F7F8F" w:rsidRPr="00717E41" w:rsidRDefault="0089615E" w:rsidP="00687771">
            <w:pPr>
              <w:pStyle w:val="Tabletextlistbullet"/>
              <w:rPr>
                <w:color w:val="000000"/>
              </w:rPr>
            </w:pPr>
            <w:r w:rsidRPr="00717E41">
              <w:rPr>
                <w:color w:val="000000"/>
              </w:rPr>
              <w:t>Capacity of services and facilities designated for passenger pick-up and drop-off provided to the public at no charge measured in terms of the number of standard car park spaces.</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Car parking service facilities</w:t>
            </w:r>
          </w:p>
        </w:tc>
        <w:tc>
          <w:tcPr>
            <w:tcW w:w="11797" w:type="dxa"/>
            <w:tcBorders>
              <w:right w:val="nil"/>
            </w:tcBorders>
          </w:tcPr>
          <w:p w:rsidR="005F7F8F" w:rsidRPr="00717E41" w:rsidRDefault="0089615E" w:rsidP="00A96191">
            <w:pPr>
              <w:pStyle w:val="Tabletextheadingleft"/>
              <w:rPr>
                <w:color w:val="000000"/>
              </w:rPr>
            </w:pPr>
            <w:r w:rsidRPr="00717E41">
              <w:rPr>
                <w:color w:val="000000"/>
              </w:rPr>
              <w:t>For each car park</w:t>
            </w:r>
          </w:p>
          <w:p w:rsidR="00230720" w:rsidRPr="00717E41" w:rsidRDefault="0089615E" w:rsidP="002A5D9D">
            <w:pPr>
              <w:pStyle w:val="Tabletextlistbullet"/>
              <w:rPr>
                <w:color w:val="000000"/>
              </w:rPr>
            </w:pPr>
            <w:r w:rsidRPr="00717E41">
              <w:rPr>
                <w:color w:val="000000"/>
              </w:rPr>
              <w:t>Number of car parking spaces available to the public in the vicinity of the airport (including disabled parking) on 30 June in the financial year</w:t>
            </w:r>
          </w:p>
          <w:p w:rsidR="00230720" w:rsidRPr="00717E41" w:rsidRDefault="0089615E" w:rsidP="002A5D9D">
            <w:pPr>
              <w:pStyle w:val="Tabletextlistbullet"/>
              <w:rPr>
                <w:color w:val="000000"/>
              </w:rPr>
            </w:pPr>
            <w:r w:rsidRPr="00717E41">
              <w:rPr>
                <w:color w:val="000000"/>
              </w:rPr>
              <w:t>Number of car parking spaces available for staff of airport clients on 30 June in the financial year</w:t>
            </w:r>
          </w:p>
          <w:p w:rsidR="005A64E4" w:rsidRPr="00717E41" w:rsidRDefault="0089615E" w:rsidP="002A5D9D">
            <w:pPr>
              <w:pStyle w:val="Tabletextlistbullet"/>
              <w:rPr>
                <w:color w:val="000000"/>
              </w:rPr>
            </w:pPr>
            <w:r w:rsidRPr="00717E41">
              <w:rPr>
                <w:color w:val="000000"/>
              </w:rPr>
              <w:t>Number of days the car park was open during the financial year</w:t>
            </w:r>
          </w:p>
          <w:p w:rsidR="005A64E4" w:rsidRPr="00717E41" w:rsidRDefault="0089615E" w:rsidP="002A5D9D">
            <w:pPr>
              <w:pStyle w:val="Tabletextlistbullet"/>
              <w:rPr>
                <w:color w:val="000000"/>
              </w:rPr>
            </w:pPr>
            <w:r w:rsidRPr="00717E41">
              <w:rPr>
                <w:color w:val="000000"/>
              </w:rPr>
              <w:t>Number of vehicles that used the car park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Baggage trolleys</w:t>
            </w:r>
          </w:p>
        </w:tc>
        <w:tc>
          <w:tcPr>
            <w:tcW w:w="11797" w:type="dxa"/>
            <w:tcBorders>
              <w:right w:val="nil"/>
            </w:tcBorders>
          </w:tcPr>
          <w:p w:rsidR="005F7F8F" w:rsidRPr="00717E41" w:rsidRDefault="0089615E" w:rsidP="00A96191">
            <w:pPr>
              <w:pStyle w:val="Tabletextheadingleft"/>
              <w:rPr>
                <w:color w:val="000000"/>
              </w:rPr>
            </w:pPr>
            <w:r w:rsidRPr="00717E41">
              <w:rPr>
                <w:color w:val="000000"/>
              </w:rPr>
              <w:t>International services</w:t>
            </w:r>
          </w:p>
          <w:p w:rsidR="005A64E4" w:rsidRPr="00717E41" w:rsidRDefault="0089615E" w:rsidP="002A5D9D">
            <w:pPr>
              <w:pStyle w:val="Tabletextlistbullet"/>
              <w:rPr>
                <w:color w:val="000000"/>
              </w:rPr>
            </w:pPr>
            <w:r w:rsidRPr="00717E41">
              <w:rPr>
                <w:color w:val="000000"/>
              </w:rPr>
              <w:t>Average number of passengers for each baggage trolley during peak hour in the financial year</w:t>
            </w:r>
          </w:p>
          <w:p w:rsidR="005A64E4" w:rsidRPr="00717E41" w:rsidRDefault="0089615E" w:rsidP="002A5D9D">
            <w:pPr>
              <w:pStyle w:val="Tabletextlistbullet"/>
              <w:rPr>
                <w:color w:val="000000"/>
              </w:rPr>
            </w:pPr>
            <w:r w:rsidRPr="00717E41">
              <w:rPr>
                <w:color w:val="000000"/>
              </w:rPr>
              <w:t>Number of baggage trolleys on 30 June in the financial year</w:t>
            </w:r>
          </w:p>
          <w:p w:rsidR="005A64E4" w:rsidRPr="00717E41" w:rsidRDefault="0089615E" w:rsidP="00A96191">
            <w:pPr>
              <w:pStyle w:val="Tabletextheadingleft"/>
              <w:rPr>
                <w:color w:val="000000"/>
              </w:rPr>
            </w:pPr>
            <w:r w:rsidRPr="00717E41">
              <w:rPr>
                <w:color w:val="000000"/>
              </w:rPr>
              <w:t>Domestic services</w:t>
            </w:r>
          </w:p>
          <w:p w:rsidR="005A64E4" w:rsidRPr="00717E41" w:rsidRDefault="0089615E" w:rsidP="002A5D9D">
            <w:pPr>
              <w:pStyle w:val="Tabletextlistbullet"/>
              <w:rPr>
                <w:color w:val="000000"/>
              </w:rPr>
            </w:pPr>
            <w:r w:rsidRPr="00717E41">
              <w:rPr>
                <w:color w:val="000000"/>
              </w:rPr>
              <w:t>Average number of passengers for each baggage trolley during peak hour in the financial year</w:t>
            </w:r>
          </w:p>
          <w:p w:rsidR="005A64E4" w:rsidRPr="00717E41" w:rsidRDefault="0089615E" w:rsidP="002A5D9D">
            <w:pPr>
              <w:pStyle w:val="Tabletextlistbullet"/>
              <w:rPr>
                <w:color w:val="000000"/>
              </w:rPr>
            </w:pPr>
            <w:r w:rsidRPr="00717E41">
              <w:rPr>
                <w:color w:val="000000"/>
              </w:rPr>
              <w:t>Number of baggage trolleys on 30 June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Check-in services and facilities</w:t>
            </w:r>
          </w:p>
        </w:tc>
        <w:tc>
          <w:tcPr>
            <w:tcW w:w="11797" w:type="dxa"/>
            <w:tcBorders>
              <w:right w:val="nil"/>
            </w:tcBorders>
          </w:tcPr>
          <w:p w:rsidR="005F7F8F" w:rsidRPr="00717E41" w:rsidRDefault="0089615E" w:rsidP="00A96191">
            <w:pPr>
              <w:pStyle w:val="Tabletextheadingleft"/>
              <w:rPr>
                <w:color w:val="000000"/>
              </w:rPr>
            </w:pPr>
            <w:r w:rsidRPr="00717E41">
              <w:rPr>
                <w:color w:val="000000"/>
              </w:rPr>
              <w:t>International services</w:t>
            </w:r>
          </w:p>
          <w:p w:rsidR="00D04562" w:rsidRPr="00717E41" w:rsidRDefault="0089615E" w:rsidP="002A5D9D">
            <w:pPr>
              <w:pStyle w:val="Tabletextlistbullet"/>
              <w:rPr>
                <w:color w:val="000000"/>
              </w:rPr>
            </w:pPr>
            <w:r w:rsidRPr="00717E41">
              <w:rPr>
                <w:color w:val="000000"/>
              </w:rPr>
              <w:t>Number of check-in desks on 30 June in the financial year</w:t>
            </w:r>
          </w:p>
          <w:p w:rsidR="00D04562" w:rsidRPr="00717E41" w:rsidRDefault="0089615E" w:rsidP="002A5D9D">
            <w:pPr>
              <w:pStyle w:val="Tabletextlistbullet"/>
              <w:rPr>
                <w:color w:val="000000"/>
              </w:rPr>
            </w:pPr>
            <w:r w:rsidRPr="00717E41">
              <w:rPr>
                <w:color w:val="000000"/>
              </w:rPr>
              <w:t xml:space="preserve">Number of bag-drop facilities on 30 June in the financial year </w:t>
            </w:r>
          </w:p>
          <w:p w:rsidR="00D04562" w:rsidRPr="00717E41" w:rsidRDefault="0089615E" w:rsidP="002A5D9D">
            <w:pPr>
              <w:pStyle w:val="Tabletextlistbullet"/>
              <w:rPr>
                <w:color w:val="000000"/>
              </w:rPr>
            </w:pPr>
            <w:r w:rsidRPr="00717E41">
              <w:rPr>
                <w:color w:val="000000"/>
              </w:rPr>
              <w:t>Number of spaces provided for check-in kiosks facilities on 30 June in the financial year</w:t>
            </w:r>
          </w:p>
          <w:p w:rsidR="00D04562" w:rsidRPr="00717E41" w:rsidRDefault="0089615E" w:rsidP="00A96191">
            <w:pPr>
              <w:pStyle w:val="Tabletextheadingleft"/>
              <w:rPr>
                <w:color w:val="000000"/>
              </w:rPr>
            </w:pPr>
            <w:r w:rsidRPr="00717E41">
              <w:rPr>
                <w:color w:val="000000"/>
              </w:rPr>
              <w:t>Domestic services</w:t>
            </w:r>
          </w:p>
          <w:p w:rsidR="006B27C1" w:rsidRPr="00717E41" w:rsidRDefault="0089615E" w:rsidP="002A5D9D">
            <w:pPr>
              <w:pStyle w:val="Tabletextlistbullet"/>
              <w:rPr>
                <w:color w:val="000000"/>
              </w:rPr>
            </w:pPr>
            <w:r w:rsidRPr="00717E41">
              <w:rPr>
                <w:color w:val="000000"/>
              </w:rPr>
              <w:t>Number of check-in desks on 30 June in the financial year</w:t>
            </w:r>
          </w:p>
          <w:p w:rsidR="006B27C1" w:rsidRPr="00717E41" w:rsidRDefault="0089615E" w:rsidP="002A5D9D">
            <w:pPr>
              <w:pStyle w:val="Tabletextlistbullet"/>
              <w:rPr>
                <w:color w:val="000000"/>
              </w:rPr>
            </w:pPr>
            <w:r w:rsidRPr="00717E41">
              <w:rPr>
                <w:color w:val="000000"/>
              </w:rPr>
              <w:t xml:space="preserve">Number of bag-drop facilities on 30 June in the financial year </w:t>
            </w:r>
          </w:p>
          <w:p w:rsidR="006B27C1" w:rsidRPr="00717E41" w:rsidRDefault="0089615E" w:rsidP="00687771">
            <w:pPr>
              <w:pStyle w:val="Tabletextlistbullet"/>
              <w:rPr>
                <w:color w:val="000000"/>
              </w:rPr>
            </w:pPr>
            <w:r w:rsidRPr="00717E41">
              <w:rPr>
                <w:color w:val="000000"/>
              </w:rPr>
              <w:t>Number of spaces provided for check-in kiosks facilities on 30 June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Security inspection</w:t>
            </w:r>
          </w:p>
        </w:tc>
        <w:tc>
          <w:tcPr>
            <w:tcW w:w="11797" w:type="dxa"/>
            <w:tcBorders>
              <w:right w:val="nil"/>
            </w:tcBorders>
          </w:tcPr>
          <w:p w:rsidR="005F7F8F" w:rsidRPr="00717E41" w:rsidRDefault="0089615E" w:rsidP="00A96191">
            <w:pPr>
              <w:pStyle w:val="Tabletextheadingleft"/>
              <w:rPr>
                <w:color w:val="000000"/>
              </w:rPr>
            </w:pPr>
            <w:r w:rsidRPr="00717E41">
              <w:rPr>
                <w:color w:val="000000"/>
              </w:rPr>
              <w:t>International services</w:t>
            </w:r>
          </w:p>
          <w:p w:rsidR="006B27C1" w:rsidRPr="00717E41" w:rsidRDefault="0089615E" w:rsidP="002A5D9D">
            <w:pPr>
              <w:pStyle w:val="Tabletextlistbullet"/>
              <w:rPr>
                <w:color w:val="000000"/>
              </w:rPr>
            </w:pPr>
            <w:r w:rsidRPr="00717E41">
              <w:rPr>
                <w:color w:val="000000"/>
              </w:rPr>
              <w:t>Number of security clearance systems, including equipment required to process passengers and baggage, in use on 30 June in the financial year</w:t>
            </w:r>
          </w:p>
          <w:p w:rsidR="007A16D5" w:rsidRPr="00717E41" w:rsidRDefault="0089615E" w:rsidP="002A5D9D">
            <w:pPr>
              <w:pStyle w:val="Tabletextlistbullet"/>
              <w:rPr>
                <w:color w:val="000000"/>
              </w:rPr>
            </w:pPr>
            <w:r w:rsidRPr="00717E41">
              <w:rPr>
                <w:color w:val="000000"/>
              </w:rPr>
              <w:t>Number of departing passengers for each security clearance system during peak hour</w:t>
            </w:r>
            <w:r w:rsidRPr="00717E41">
              <w:rPr>
                <w:rStyle w:val="FootnoteReference"/>
                <w:color w:val="000000"/>
              </w:rPr>
              <w:footnoteReference w:id="30"/>
            </w:r>
            <w:r w:rsidRPr="00717E41">
              <w:rPr>
                <w:color w:val="000000"/>
              </w:rPr>
              <w:t xml:space="preserve"> in the financial year</w:t>
            </w:r>
          </w:p>
          <w:p w:rsidR="006B27C1" w:rsidRPr="00717E41" w:rsidRDefault="0089615E" w:rsidP="00A96191">
            <w:pPr>
              <w:pStyle w:val="Tabletextheadingleft"/>
              <w:rPr>
                <w:color w:val="000000"/>
              </w:rPr>
            </w:pPr>
            <w:r w:rsidRPr="00717E41">
              <w:rPr>
                <w:color w:val="000000"/>
              </w:rPr>
              <w:t>Domestic services</w:t>
            </w:r>
          </w:p>
          <w:p w:rsidR="006B27C1" w:rsidRPr="00717E41" w:rsidRDefault="0089615E" w:rsidP="002A5D9D">
            <w:pPr>
              <w:pStyle w:val="Tabletextlistbullet"/>
              <w:rPr>
                <w:color w:val="000000"/>
              </w:rPr>
            </w:pPr>
            <w:r w:rsidRPr="00717E41">
              <w:rPr>
                <w:color w:val="000000"/>
              </w:rPr>
              <w:t>Number of security clearance systems, including equipment required to process passengers and baggage, in use on 30 June in the financial year</w:t>
            </w:r>
          </w:p>
          <w:p w:rsidR="007A16D5" w:rsidRPr="00717E41" w:rsidRDefault="0089615E" w:rsidP="002A5D9D">
            <w:pPr>
              <w:pStyle w:val="Tabletextlistbullet"/>
              <w:rPr>
                <w:color w:val="000000"/>
              </w:rPr>
            </w:pPr>
            <w:r w:rsidRPr="00717E41">
              <w:rPr>
                <w:color w:val="000000"/>
              </w:rPr>
              <w:t>Number of departing passengers for each security clearance system during peak</w:t>
            </w:r>
            <w:r w:rsidR="00ED249A" w:rsidRPr="00717E41">
              <w:rPr>
                <w:rStyle w:val="FootnoteReference"/>
                <w:color w:val="000000"/>
              </w:rPr>
              <w:footnoteReference w:id="31"/>
            </w:r>
            <w:r w:rsidRPr="00717E41">
              <w:rPr>
                <w:color w:val="000000"/>
              </w:rPr>
              <w:t xml:space="preserve"> hour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Outbound baggage system</w:t>
            </w:r>
          </w:p>
        </w:tc>
        <w:tc>
          <w:tcPr>
            <w:tcW w:w="11797" w:type="dxa"/>
            <w:tcBorders>
              <w:right w:val="nil"/>
            </w:tcBorders>
          </w:tcPr>
          <w:p w:rsidR="006B27C1" w:rsidRPr="00717E41" w:rsidRDefault="0089615E" w:rsidP="00A96191">
            <w:pPr>
              <w:pStyle w:val="Tabletextheadingleft"/>
              <w:rPr>
                <w:color w:val="000000"/>
              </w:rPr>
            </w:pPr>
            <w:r w:rsidRPr="00717E41">
              <w:rPr>
                <w:color w:val="000000"/>
              </w:rPr>
              <w:t>International services</w:t>
            </w:r>
          </w:p>
          <w:p w:rsidR="006B27C1" w:rsidRPr="00717E41" w:rsidRDefault="0089615E" w:rsidP="002A5D9D">
            <w:pPr>
              <w:pStyle w:val="Tabletextlistbullet"/>
              <w:rPr>
                <w:color w:val="000000"/>
              </w:rPr>
            </w:pPr>
            <w:r w:rsidRPr="00717E41">
              <w:rPr>
                <w:color w:val="000000"/>
              </w:rPr>
              <w:t>Average number of bags handled by the outbound baggage system during peak hour</w:t>
            </w:r>
            <w:r w:rsidRPr="00717E41">
              <w:rPr>
                <w:rStyle w:val="FootnoteReference"/>
                <w:color w:val="000000"/>
              </w:rPr>
              <w:footnoteReference w:id="32"/>
            </w:r>
            <w:r w:rsidRPr="00717E41">
              <w:rPr>
                <w:color w:val="000000"/>
              </w:rPr>
              <w:t xml:space="preserve"> in the financial year</w:t>
            </w:r>
          </w:p>
          <w:p w:rsidR="007A16D5" w:rsidRPr="00717E41" w:rsidRDefault="0089615E" w:rsidP="002A5D9D">
            <w:pPr>
              <w:pStyle w:val="Tabletextlistbullet"/>
              <w:rPr>
                <w:color w:val="000000"/>
              </w:rPr>
            </w:pPr>
            <w:r w:rsidRPr="00717E41">
              <w:rPr>
                <w:color w:val="000000"/>
              </w:rPr>
              <w:t>Total number of bags handled by baggage handling equipment in the financial year</w:t>
            </w:r>
          </w:p>
          <w:p w:rsidR="007A16D5" w:rsidRPr="00717E41" w:rsidRDefault="0089615E" w:rsidP="002A5D9D">
            <w:pPr>
              <w:pStyle w:val="Tabletextlistbullet"/>
              <w:rPr>
                <w:color w:val="000000"/>
              </w:rPr>
            </w:pPr>
            <w:r w:rsidRPr="00717E41">
              <w:rPr>
                <w:color w:val="000000"/>
              </w:rPr>
              <w:t>Total number of hours during the financial year for which baggage handling equipment was in use</w:t>
            </w:r>
          </w:p>
          <w:p w:rsidR="007A16D5" w:rsidRPr="00717E41" w:rsidRDefault="0089615E" w:rsidP="002A5D9D">
            <w:pPr>
              <w:pStyle w:val="Tabletextlistbullet"/>
              <w:rPr>
                <w:color w:val="000000"/>
              </w:rPr>
            </w:pPr>
            <w:r w:rsidRPr="00717E41">
              <w:rPr>
                <w:color w:val="000000"/>
              </w:rPr>
              <w:t>Capacity of baggage handling equipment (in bags per hour) on 30 June in the financial year</w:t>
            </w:r>
          </w:p>
          <w:p w:rsidR="006B27C1" w:rsidRPr="00717E41" w:rsidRDefault="0089615E" w:rsidP="00A96191">
            <w:pPr>
              <w:pStyle w:val="Tabletextheadingleft"/>
              <w:rPr>
                <w:color w:val="000000"/>
              </w:rPr>
            </w:pPr>
            <w:r w:rsidRPr="00717E41">
              <w:rPr>
                <w:color w:val="000000"/>
              </w:rPr>
              <w:t>Domestic services</w:t>
            </w:r>
          </w:p>
          <w:p w:rsidR="007A16D5" w:rsidRPr="00717E41" w:rsidRDefault="0089615E" w:rsidP="002A5D9D">
            <w:pPr>
              <w:pStyle w:val="Tabletextlistbullet"/>
              <w:rPr>
                <w:color w:val="000000"/>
              </w:rPr>
            </w:pPr>
            <w:r w:rsidRPr="00717E41">
              <w:rPr>
                <w:color w:val="000000"/>
              </w:rPr>
              <w:t>Average number of bags handled by the outbound baggage system during peak hour</w:t>
            </w:r>
            <w:r w:rsidR="00ED249A" w:rsidRPr="00717E41">
              <w:rPr>
                <w:rStyle w:val="FootnoteReference"/>
                <w:color w:val="000000"/>
              </w:rPr>
              <w:footnoteReference w:id="33"/>
            </w:r>
            <w:r w:rsidRPr="00717E41">
              <w:rPr>
                <w:color w:val="000000"/>
              </w:rPr>
              <w:t xml:space="preserve"> in the financial year</w:t>
            </w:r>
          </w:p>
          <w:p w:rsidR="007A16D5" w:rsidRPr="00717E41" w:rsidRDefault="0089615E" w:rsidP="002A5D9D">
            <w:pPr>
              <w:pStyle w:val="Tabletextlistbullet"/>
              <w:rPr>
                <w:color w:val="000000"/>
              </w:rPr>
            </w:pPr>
            <w:r w:rsidRPr="00717E41">
              <w:rPr>
                <w:color w:val="000000"/>
              </w:rPr>
              <w:t>Total number of bags handled by baggage handling equipment in the financial year</w:t>
            </w:r>
          </w:p>
          <w:p w:rsidR="007A16D5" w:rsidRPr="00717E41" w:rsidRDefault="0089615E" w:rsidP="002A5D9D">
            <w:pPr>
              <w:pStyle w:val="Tabletextlistbullet"/>
              <w:rPr>
                <w:color w:val="000000"/>
              </w:rPr>
            </w:pPr>
            <w:r w:rsidRPr="00717E41">
              <w:rPr>
                <w:color w:val="000000"/>
              </w:rPr>
              <w:t>Total number of hours during the financial year for which baggage handling equipment was in use</w:t>
            </w:r>
          </w:p>
          <w:p w:rsidR="005F7F8F" w:rsidRPr="00717E41" w:rsidRDefault="0089615E" w:rsidP="002A5D9D">
            <w:pPr>
              <w:pStyle w:val="Tabletextlistbullet"/>
              <w:rPr>
                <w:color w:val="000000"/>
              </w:rPr>
            </w:pPr>
            <w:r w:rsidRPr="00717E41">
              <w:rPr>
                <w:color w:val="000000"/>
              </w:rPr>
              <w:t>Capacity of baggage handling equipment (in bags per hour) on 30 June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Baggage make-up, handling and reclaiming services and facilities</w:t>
            </w:r>
          </w:p>
        </w:tc>
        <w:tc>
          <w:tcPr>
            <w:tcW w:w="11797" w:type="dxa"/>
            <w:tcBorders>
              <w:right w:val="nil"/>
            </w:tcBorders>
          </w:tcPr>
          <w:p w:rsidR="006B27C1" w:rsidRPr="00717E41" w:rsidRDefault="0089615E" w:rsidP="00A96191">
            <w:pPr>
              <w:pStyle w:val="Tabletextheadingleft"/>
              <w:rPr>
                <w:color w:val="000000"/>
              </w:rPr>
            </w:pPr>
            <w:r w:rsidRPr="00717E41">
              <w:rPr>
                <w:color w:val="000000"/>
              </w:rPr>
              <w:t>International services</w:t>
            </w:r>
          </w:p>
          <w:p w:rsidR="006B27C1" w:rsidRPr="00717E41" w:rsidRDefault="0089615E" w:rsidP="002A5D9D">
            <w:pPr>
              <w:pStyle w:val="Tabletextlistbullet"/>
              <w:rPr>
                <w:color w:val="000000"/>
              </w:rPr>
            </w:pPr>
            <w:r w:rsidRPr="00717E41">
              <w:rPr>
                <w:color w:val="000000"/>
              </w:rPr>
              <w:t>Total number of bags handled by baggage handling equipment in the financial year</w:t>
            </w:r>
          </w:p>
          <w:p w:rsidR="007A16D5" w:rsidRPr="00717E41" w:rsidRDefault="0089615E" w:rsidP="002A5D9D">
            <w:pPr>
              <w:pStyle w:val="Tabletextlistbullet"/>
              <w:rPr>
                <w:color w:val="000000"/>
              </w:rPr>
            </w:pPr>
            <w:r w:rsidRPr="00717E41">
              <w:rPr>
                <w:color w:val="000000"/>
              </w:rPr>
              <w:t>Total number of hours during the financial year for which baggage handling equipment was in use</w:t>
            </w:r>
          </w:p>
          <w:p w:rsidR="007A16D5" w:rsidRPr="00717E41" w:rsidRDefault="0089615E" w:rsidP="002A5D9D">
            <w:pPr>
              <w:pStyle w:val="Tabletextlistbullet"/>
              <w:rPr>
                <w:color w:val="000000"/>
              </w:rPr>
            </w:pPr>
            <w:r w:rsidRPr="00717E41">
              <w:rPr>
                <w:color w:val="000000"/>
              </w:rPr>
              <w:t>Capacity of the baggage handling equipment (in bags per hour) on 30 June in the financial year</w:t>
            </w:r>
          </w:p>
          <w:p w:rsidR="007A16D5" w:rsidRPr="00717E41" w:rsidRDefault="0089615E" w:rsidP="002A5D9D">
            <w:pPr>
              <w:pStyle w:val="Tabletextlistbullet"/>
              <w:rPr>
                <w:color w:val="000000"/>
              </w:rPr>
            </w:pPr>
            <w:r w:rsidRPr="00717E41">
              <w:rPr>
                <w:color w:val="000000"/>
              </w:rPr>
              <w:t>Capacity of the baggage reclaim system on 30 June in the financial year</w:t>
            </w:r>
          </w:p>
          <w:p w:rsidR="007A16D5" w:rsidRPr="00717E41" w:rsidRDefault="0089615E" w:rsidP="002A5D9D">
            <w:pPr>
              <w:pStyle w:val="Tabletextlistbullet"/>
              <w:rPr>
                <w:color w:val="000000"/>
              </w:rPr>
            </w:pPr>
            <w:r w:rsidRPr="00717E41">
              <w:rPr>
                <w:color w:val="000000"/>
              </w:rPr>
              <w:t>Average number of bags handled by the inbound baggage system during peak hour</w:t>
            </w:r>
            <w:r w:rsidRPr="00717E41">
              <w:rPr>
                <w:rStyle w:val="FootnoteReference"/>
                <w:color w:val="000000"/>
              </w:rPr>
              <w:footnoteReference w:id="34"/>
            </w:r>
            <w:r w:rsidRPr="00717E41">
              <w:rPr>
                <w:color w:val="000000"/>
              </w:rPr>
              <w:t xml:space="preserve"> in the financial year</w:t>
            </w:r>
          </w:p>
          <w:p w:rsidR="007A16D5" w:rsidRPr="00717E41" w:rsidRDefault="0089615E" w:rsidP="002A5D9D">
            <w:pPr>
              <w:pStyle w:val="Tabletextlistbullet"/>
              <w:rPr>
                <w:color w:val="000000"/>
              </w:rPr>
            </w:pPr>
            <w:r w:rsidRPr="00717E41">
              <w:rPr>
                <w:color w:val="000000"/>
              </w:rPr>
              <w:t>Total number of planned interruptions to inbound baggage system in the financial year</w:t>
            </w:r>
          </w:p>
          <w:p w:rsidR="00A40CE0" w:rsidRPr="00717E41" w:rsidRDefault="0089615E" w:rsidP="002A5D9D">
            <w:pPr>
              <w:pStyle w:val="Tabletextlistbullet"/>
              <w:rPr>
                <w:color w:val="000000"/>
              </w:rPr>
            </w:pPr>
            <w:r w:rsidRPr="00717E41">
              <w:rPr>
                <w:color w:val="000000"/>
              </w:rPr>
              <w:t>Total number of hours of planned interruptions to inbound baggage system in the financial year</w:t>
            </w:r>
          </w:p>
          <w:p w:rsidR="00A40CE0" w:rsidRPr="00717E41" w:rsidRDefault="0089615E" w:rsidP="002A5D9D">
            <w:pPr>
              <w:pStyle w:val="Tabletextlistbullet"/>
              <w:rPr>
                <w:color w:val="000000"/>
              </w:rPr>
            </w:pPr>
            <w:r w:rsidRPr="00717E41">
              <w:rPr>
                <w:color w:val="000000"/>
              </w:rPr>
              <w:t>Total number of unplanned interruptions to inbound baggage system in the financial year</w:t>
            </w:r>
          </w:p>
          <w:p w:rsidR="00A40CE0" w:rsidRPr="00717E41" w:rsidRDefault="0089615E" w:rsidP="002A5D9D">
            <w:pPr>
              <w:pStyle w:val="Tabletextlistbullet"/>
              <w:rPr>
                <w:color w:val="000000"/>
              </w:rPr>
            </w:pPr>
            <w:r w:rsidRPr="00717E41">
              <w:rPr>
                <w:color w:val="000000"/>
              </w:rPr>
              <w:t>Total number of hours of unplanned interruptions to inbound baggage system in the financial year</w:t>
            </w:r>
          </w:p>
          <w:p w:rsidR="00A40CE0" w:rsidRPr="00717E41" w:rsidRDefault="0089615E" w:rsidP="002A5D9D">
            <w:pPr>
              <w:pStyle w:val="Tabletextlistbullet"/>
              <w:rPr>
                <w:color w:val="000000"/>
              </w:rPr>
            </w:pPr>
            <w:r w:rsidRPr="00717E41">
              <w:rPr>
                <w:color w:val="000000"/>
              </w:rPr>
              <w:t>Total area (in square metres) provided by the airport operator for baggage reclaim on 30 June in the financial year</w:t>
            </w:r>
          </w:p>
          <w:p w:rsidR="006B27C1" w:rsidRPr="00717E41" w:rsidRDefault="0089615E" w:rsidP="00A96191">
            <w:pPr>
              <w:pStyle w:val="Tabletextheadingleft"/>
              <w:rPr>
                <w:color w:val="000000"/>
              </w:rPr>
            </w:pPr>
            <w:r w:rsidRPr="00717E41">
              <w:rPr>
                <w:color w:val="000000"/>
              </w:rPr>
              <w:t>Domestic services</w:t>
            </w:r>
          </w:p>
          <w:p w:rsidR="00A40CE0" w:rsidRPr="00717E41" w:rsidRDefault="0089615E" w:rsidP="002A5D9D">
            <w:pPr>
              <w:pStyle w:val="Tabletextlistbullet"/>
              <w:rPr>
                <w:color w:val="000000"/>
              </w:rPr>
            </w:pPr>
            <w:r w:rsidRPr="00717E41">
              <w:rPr>
                <w:color w:val="000000"/>
              </w:rPr>
              <w:t>Total number of bags handled by baggage handling equipment in the financial year</w:t>
            </w:r>
          </w:p>
          <w:p w:rsidR="00A40CE0" w:rsidRPr="00717E41" w:rsidRDefault="0089615E" w:rsidP="002A5D9D">
            <w:pPr>
              <w:pStyle w:val="Tabletextlistbullet"/>
              <w:rPr>
                <w:color w:val="000000"/>
              </w:rPr>
            </w:pPr>
            <w:r w:rsidRPr="00717E41">
              <w:rPr>
                <w:color w:val="000000"/>
              </w:rPr>
              <w:t>Total number of hours during the financial year for which baggage handling equipment was in use</w:t>
            </w:r>
          </w:p>
          <w:p w:rsidR="00A40CE0" w:rsidRPr="00717E41" w:rsidRDefault="0089615E" w:rsidP="002A5D9D">
            <w:pPr>
              <w:pStyle w:val="Tabletextlistbullet"/>
              <w:rPr>
                <w:color w:val="000000"/>
              </w:rPr>
            </w:pPr>
            <w:r w:rsidRPr="00717E41">
              <w:rPr>
                <w:color w:val="000000"/>
              </w:rPr>
              <w:t>Capacity of the baggage handling equipment (in bags per hour) on 30 June in the financial year</w:t>
            </w:r>
          </w:p>
          <w:p w:rsidR="00A40CE0" w:rsidRPr="00717E41" w:rsidRDefault="0089615E" w:rsidP="002A5D9D">
            <w:pPr>
              <w:pStyle w:val="Tabletextlistbullet"/>
              <w:rPr>
                <w:color w:val="000000"/>
              </w:rPr>
            </w:pPr>
            <w:r w:rsidRPr="00717E41">
              <w:rPr>
                <w:color w:val="000000"/>
              </w:rPr>
              <w:t>Capacity of the baggage reclaim system on 30 June in the financial year</w:t>
            </w:r>
          </w:p>
          <w:p w:rsidR="00A40CE0" w:rsidRPr="00717E41" w:rsidRDefault="0089615E" w:rsidP="002A5D9D">
            <w:pPr>
              <w:pStyle w:val="Tabletextlistbullet"/>
              <w:rPr>
                <w:color w:val="000000"/>
              </w:rPr>
            </w:pPr>
            <w:r w:rsidRPr="00717E41">
              <w:rPr>
                <w:color w:val="000000"/>
              </w:rPr>
              <w:t>Average number of bags handled by the inbound baggage system during peak</w:t>
            </w:r>
            <w:r w:rsidR="00ED249A" w:rsidRPr="00717E41">
              <w:rPr>
                <w:rStyle w:val="FootnoteReference"/>
                <w:color w:val="000000"/>
              </w:rPr>
              <w:footnoteReference w:id="35"/>
            </w:r>
            <w:r w:rsidRPr="00717E41">
              <w:rPr>
                <w:color w:val="000000"/>
              </w:rPr>
              <w:t xml:space="preserve"> hour in the financial year</w:t>
            </w:r>
          </w:p>
          <w:p w:rsidR="00A40CE0" w:rsidRPr="00717E41" w:rsidRDefault="0089615E" w:rsidP="002A5D9D">
            <w:pPr>
              <w:pStyle w:val="Tabletextlistbullet"/>
              <w:rPr>
                <w:color w:val="000000"/>
              </w:rPr>
            </w:pPr>
            <w:r w:rsidRPr="00717E41">
              <w:rPr>
                <w:color w:val="000000"/>
              </w:rPr>
              <w:t>Total number of planned interruptions to inbound baggage system in the financial year</w:t>
            </w:r>
          </w:p>
          <w:p w:rsidR="00A40CE0" w:rsidRPr="00717E41" w:rsidRDefault="0089615E" w:rsidP="002A5D9D">
            <w:pPr>
              <w:pStyle w:val="Tabletextlistbullet"/>
              <w:rPr>
                <w:color w:val="000000"/>
              </w:rPr>
            </w:pPr>
            <w:r w:rsidRPr="00717E41">
              <w:rPr>
                <w:color w:val="000000"/>
              </w:rPr>
              <w:t>Total number of hours of planned interruptions to inbound baggage system in the financial year</w:t>
            </w:r>
          </w:p>
          <w:p w:rsidR="00A40CE0" w:rsidRPr="00717E41" w:rsidRDefault="0089615E" w:rsidP="002A5D9D">
            <w:pPr>
              <w:pStyle w:val="Tabletextlistbullet"/>
              <w:rPr>
                <w:color w:val="000000"/>
              </w:rPr>
            </w:pPr>
            <w:r w:rsidRPr="00717E41">
              <w:rPr>
                <w:color w:val="000000"/>
              </w:rPr>
              <w:t>Total number of unplanned interruptions to inbound baggage system in the financial year</w:t>
            </w:r>
          </w:p>
          <w:p w:rsidR="00A40CE0" w:rsidRPr="00717E41" w:rsidRDefault="0089615E" w:rsidP="002A5D9D">
            <w:pPr>
              <w:pStyle w:val="Tabletextlistbullet"/>
              <w:rPr>
                <w:color w:val="000000"/>
              </w:rPr>
            </w:pPr>
            <w:r w:rsidRPr="00717E41">
              <w:rPr>
                <w:color w:val="000000"/>
              </w:rPr>
              <w:t>Total number of hours of unplanned interruptions to inbound baggage system in the financial year</w:t>
            </w:r>
          </w:p>
          <w:p w:rsidR="005F7F8F" w:rsidRPr="00717E41" w:rsidRDefault="0089615E" w:rsidP="002A5D9D">
            <w:pPr>
              <w:pStyle w:val="Tabletextlistbullet"/>
              <w:rPr>
                <w:color w:val="000000"/>
              </w:rPr>
            </w:pPr>
            <w:r w:rsidRPr="00717E41">
              <w:rPr>
                <w:color w:val="000000"/>
              </w:rPr>
              <w:t>Total area (in square metres) provided by the airport operator for baggage reclaim on 30 June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Facilities to enable the processing of passengers through customs, immigration and quarantine</w:t>
            </w:r>
          </w:p>
        </w:tc>
        <w:tc>
          <w:tcPr>
            <w:tcW w:w="11797" w:type="dxa"/>
            <w:tcBorders>
              <w:right w:val="nil"/>
            </w:tcBorders>
          </w:tcPr>
          <w:p w:rsidR="006B27C1" w:rsidRPr="00717E41" w:rsidRDefault="0089615E" w:rsidP="00A96191">
            <w:pPr>
              <w:pStyle w:val="Tabletextheadingleft"/>
              <w:rPr>
                <w:color w:val="000000"/>
              </w:rPr>
            </w:pPr>
            <w:r w:rsidRPr="00717E41">
              <w:rPr>
                <w:color w:val="000000"/>
              </w:rPr>
              <w:t>International services</w:t>
            </w:r>
          </w:p>
          <w:p w:rsidR="003A18D6" w:rsidRPr="00717E41" w:rsidRDefault="0089615E" w:rsidP="00A96191">
            <w:pPr>
              <w:pStyle w:val="Tabletextheadingleft"/>
              <w:rPr>
                <w:b w:val="0"/>
                <w:color w:val="000000"/>
              </w:rPr>
            </w:pPr>
            <w:r w:rsidRPr="00717E41">
              <w:rPr>
                <w:b w:val="0"/>
                <w:color w:val="000000"/>
              </w:rPr>
              <w:t xml:space="preserve">Number of inbound Immigration desks on 30 June in the financial year </w:t>
            </w:r>
          </w:p>
          <w:p w:rsidR="003A18D6" w:rsidRPr="00717E41" w:rsidRDefault="0089615E" w:rsidP="00A96191">
            <w:pPr>
              <w:pStyle w:val="Tabletextheadingleft"/>
              <w:rPr>
                <w:b w:val="0"/>
                <w:color w:val="000000"/>
              </w:rPr>
            </w:pPr>
            <w:r w:rsidRPr="00717E41">
              <w:rPr>
                <w:b w:val="0"/>
                <w:color w:val="000000"/>
              </w:rPr>
              <w:t>Number of baggage inspection desks on 30 June in the financial year</w:t>
            </w:r>
          </w:p>
          <w:p w:rsidR="005F7F8F" w:rsidRPr="00717E41" w:rsidRDefault="0089615E" w:rsidP="002A5D9D">
            <w:pPr>
              <w:pStyle w:val="Tabletextlistbullet"/>
              <w:rPr>
                <w:color w:val="000000"/>
              </w:rPr>
            </w:pPr>
            <w:r w:rsidRPr="00717E41">
              <w:rPr>
                <w:color w:val="000000"/>
              </w:rPr>
              <w:t xml:space="preserve">Number of outbound Immigration desks on 30 June in the financial year </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Flight information, general signage and public-address systems</w:t>
            </w:r>
          </w:p>
        </w:tc>
        <w:tc>
          <w:tcPr>
            <w:tcW w:w="11797" w:type="dxa"/>
            <w:tcBorders>
              <w:right w:val="nil"/>
            </w:tcBorders>
          </w:tcPr>
          <w:p w:rsidR="006B27C1" w:rsidRPr="00717E41" w:rsidRDefault="0089615E" w:rsidP="00A96191">
            <w:pPr>
              <w:pStyle w:val="Tabletextheadingleft"/>
              <w:rPr>
                <w:color w:val="000000"/>
              </w:rPr>
            </w:pPr>
            <w:r w:rsidRPr="00717E41">
              <w:rPr>
                <w:color w:val="000000"/>
              </w:rPr>
              <w:t>International services</w:t>
            </w:r>
          </w:p>
          <w:p w:rsidR="006B27C1" w:rsidRPr="00717E41" w:rsidRDefault="0089615E" w:rsidP="002A5D9D">
            <w:pPr>
              <w:pStyle w:val="Tabletextlistbullet"/>
              <w:rPr>
                <w:color w:val="000000"/>
              </w:rPr>
            </w:pPr>
            <w:r w:rsidRPr="00717E41">
              <w:rPr>
                <w:color w:val="000000"/>
              </w:rPr>
              <w:t>Average number of passengers (whether arriving or departing passengers) during peak hour</w:t>
            </w:r>
            <w:r w:rsidRPr="00717E41">
              <w:rPr>
                <w:rStyle w:val="FootnoteReference"/>
                <w:color w:val="000000"/>
              </w:rPr>
              <w:footnoteReference w:id="36"/>
            </w:r>
            <w:r w:rsidRPr="00717E41">
              <w:rPr>
                <w:color w:val="000000"/>
              </w:rPr>
              <w:t xml:space="preserve"> in the financial year</w:t>
            </w:r>
          </w:p>
          <w:p w:rsidR="00E153FE" w:rsidRPr="00717E41" w:rsidRDefault="0089615E" w:rsidP="002A5D9D">
            <w:pPr>
              <w:pStyle w:val="Tabletextlistbullet"/>
              <w:rPr>
                <w:color w:val="000000"/>
              </w:rPr>
            </w:pPr>
            <w:r w:rsidRPr="00717E41">
              <w:rPr>
                <w:color w:val="000000"/>
              </w:rPr>
              <w:t>Number of flight information display screens on 30 June in the financial year</w:t>
            </w:r>
          </w:p>
          <w:p w:rsidR="00E153FE" w:rsidRPr="00717E41" w:rsidRDefault="0089615E" w:rsidP="002A5D9D">
            <w:pPr>
              <w:pStyle w:val="Tabletextlistbullet"/>
              <w:rPr>
                <w:color w:val="000000"/>
              </w:rPr>
            </w:pPr>
            <w:r w:rsidRPr="00717E41">
              <w:rPr>
                <w:color w:val="000000"/>
              </w:rPr>
              <w:t>Number of information points on 30 June in the financial year</w:t>
            </w:r>
          </w:p>
          <w:p w:rsidR="006B27C1" w:rsidRPr="00717E41" w:rsidRDefault="0089615E" w:rsidP="00A96191">
            <w:pPr>
              <w:pStyle w:val="Tabletextheadingleft"/>
              <w:rPr>
                <w:color w:val="000000"/>
              </w:rPr>
            </w:pPr>
            <w:r w:rsidRPr="00717E41">
              <w:rPr>
                <w:color w:val="000000"/>
              </w:rPr>
              <w:t>Domestic services</w:t>
            </w:r>
          </w:p>
          <w:p w:rsidR="00A63C30" w:rsidRPr="00717E41" w:rsidRDefault="0089615E" w:rsidP="002A5D9D">
            <w:pPr>
              <w:pStyle w:val="Tabletextlistbullet"/>
              <w:rPr>
                <w:color w:val="000000"/>
              </w:rPr>
            </w:pPr>
            <w:r w:rsidRPr="00717E41">
              <w:rPr>
                <w:color w:val="000000"/>
              </w:rPr>
              <w:t>Average number of passengers (whether arriving or departing passengers)</w:t>
            </w:r>
            <w:r w:rsidR="00ED249A" w:rsidRPr="00717E41">
              <w:rPr>
                <w:rStyle w:val="FootnoteReference"/>
                <w:color w:val="000000"/>
              </w:rPr>
              <w:footnoteReference w:id="37"/>
            </w:r>
            <w:r w:rsidRPr="00717E41">
              <w:rPr>
                <w:color w:val="000000"/>
              </w:rPr>
              <w:t xml:space="preserve"> during peak hour in the financial year</w:t>
            </w:r>
          </w:p>
          <w:p w:rsidR="00A63C30" w:rsidRPr="00717E41" w:rsidRDefault="0089615E" w:rsidP="002A5D9D">
            <w:pPr>
              <w:pStyle w:val="Tabletextlistbullet"/>
              <w:rPr>
                <w:color w:val="000000"/>
              </w:rPr>
            </w:pPr>
            <w:r w:rsidRPr="00717E41">
              <w:rPr>
                <w:color w:val="000000"/>
              </w:rPr>
              <w:t>Number of flight information display screens on 30 June in the financial year</w:t>
            </w:r>
          </w:p>
          <w:p w:rsidR="005F7F8F" w:rsidRPr="00717E41" w:rsidRDefault="0089615E" w:rsidP="002A5D9D">
            <w:pPr>
              <w:pStyle w:val="Tabletextlistbullet"/>
              <w:rPr>
                <w:color w:val="000000"/>
              </w:rPr>
            </w:pPr>
            <w:r w:rsidRPr="00717E41">
              <w:rPr>
                <w:color w:val="000000"/>
              </w:rPr>
              <w:t>Number of information points on 30 June in the financial year</w:t>
            </w:r>
            <w:r w:rsidR="0058350D">
              <w:rPr>
                <w:color w:val="000000"/>
              </w:rPr>
              <w:br/>
            </w:r>
          </w:p>
        </w:tc>
      </w:tr>
      <w:tr w:rsidR="005F7F8F" w:rsidRPr="00FF32F7" w:rsidTr="004A3FC6">
        <w:tc>
          <w:tcPr>
            <w:tcW w:w="2235" w:type="dxa"/>
            <w:tcBorders>
              <w:left w:val="nil"/>
            </w:tcBorders>
          </w:tcPr>
          <w:p w:rsidR="005F7F8F" w:rsidRPr="00717E41" w:rsidRDefault="0089615E" w:rsidP="00687771">
            <w:pPr>
              <w:pStyle w:val="Tabletextleft"/>
              <w:rPr>
                <w:color w:val="000000"/>
              </w:rPr>
            </w:pPr>
            <w:r w:rsidRPr="00717E41">
              <w:rPr>
                <w:color w:val="000000"/>
              </w:rPr>
              <w:t>Public areas in terminals and public amenities (washrooms and garbage bins), lifts, escalators and moving walkways</w:t>
            </w:r>
          </w:p>
        </w:tc>
        <w:tc>
          <w:tcPr>
            <w:tcW w:w="11797" w:type="dxa"/>
            <w:tcBorders>
              <w:right w:val="nil"/>
            </w:tcBorders>
          </w:tcPr>
          <w:p w:rsidR="006B27C1" w:rsidRPr="00717E41" w:rsidRDefault="0089615E" w:rsidP="00A96191">
            <w:pPr>
              <w:pStyle w:val="Tabletextheadingleft"/>
              <w:rPr>
                <w:color w:val="000000"/>
              </w:rPr>
            </w:pPr>
            <w:r w:rsidRPr="00717E41">
              <w:rPr>
                <w:color w:val="000000"/>
              </w:rPr>
              <w:t>International services</w:t>
            </w:r>
          </w:p>
          <w:p w:rsidR="006B27C1" w:rsidRPr="00717E41" w:rsidRDefault="0089615E" w:rsidP="002A5D9D">
            <w:pPr>
              <w:pStyle w:val="Tabletextlistbullet"/>
              <w:rPr>
                <w:color w:val="000000"/>
              </w:rPr>
            </w:pPr>
            <w:r w:rsidRPr="00717E41">
              <w:rPr>
                <w:color w:val="000000"/>
              </w:rPr>
              <w:t>Number of washrooms on 30 June in the financial year</w:t>
            </w:r>
          </w:p>
          <w:p w:rsidR="006B27C1" w:rsidRPr="00717E41" w:rsidRDefault="0089615E" w:rsidP="00A96191">
            <w:pPr>
              <w:pStyle w:val="Tabletextheadingleft"/>
              <w:rPr>
                <w:color w:val="000000"/>
              </w:rPr>
            </w:pPr>
            <w:r w:rsidRPr="00717E41">
              <w:rPr>
                <w:color w:val="000000"/>
              </w:rPr>
              <w:t>Domestic services</w:t>
            </w:r>
          </w:p>
          <w:p w:rsidR="005F7F8F" w:rsidRPr="00717E41" w:rsidRDefault="0089615E" w:rsidP="00F830E6">
            <w:pPr>
              <w:pStyle w:val="Tabletextlistbullet"/>
              <w:rPr>
                <w:color w:val="000000"/>
              </w:rPr>
            </w:pPr>
            <w:r w:rsidRPr="00717E41">
              <w:rPr>
                <w:color w:val="000000"/>
              </w:rPr>
              <w:t>Number of washrooms on 30 June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Gate lounges and seating other than in gate lounges</w:t>
            </w:r>
          </w:p>
        </w:tc>
        <w:tc>
          <w:tcPr>
            <w:tcW w:w="11797" w:type="dxa"/>
            <w:tcBorders>
              <w:right w:val="nil"/>
            </w:tcBorders>
          </w:tcPr>
          <w:p w:rsidR="006B27C1" w:rsidRPr="00717E41" w:rsidRDefault="0089615E" w:rsidP="00A96191">
            <w:pPr>
              <w:pStyle w:val="Tabletextheadingleft"/>
              <w:rPr>
                <w:color w:val="000000"/>
              </w:rPr>
            </w:pPr>
            <w:r w:rsidRPr="00717E41">
              <w:rPr>
                <w:color w:val="000000"/>
              </w:rPr>
              <w:t>International services</w:t>
            </w:r>
          </w:p>
          <w:p w:rsidR="006B27C1" w:rsidRPr="00717E41" w:rsidRDefault="0089615E" w:rsidP="002A5D9D">
            <w:pPr>
              <w:pStyle w:val="Tabletextlistbullet"/>
              <w:rPr>
                <w:color w:val="000000"/>
              </w:rPr>
            </w:pPr>
            <w:r w:rsidRPr="00717E41">
              <w:rPr>
                <w:color w:val="000000"/>
              </w:rPr>
              <w:t>Average number of departing passengers during peak hour</w:t>
            </w:r>
            <w:r w:rsidRPr="00717E41">
              <w:rPr>
                <w:rStyle w:val="FootnoteReference"/>
                <w:color w:val="000000"/>
              </w:rPr>
              <w:footnoteReference w:id="38"/>
            </w:r>
            <w:r w:rsidRPr="00717E41">
              <w:rPr>
                <w:color w:val="000000"/>
              </w:rPr>
              <w:t xml:space="preserve"> in the financial year</w:t>
            </w:r>
          </w:p>
          <w:p w:rsidR="00D72B39" w:rsidRPr="00717E41" w:rsidRDefault="0089615E" w:rsidP="002A5D9D">
            <w:pPr>
              <w:pStyle w:val="Tabletextlistbullet"/>
              <w:rPr>
                <w:color w:val="000000"/>
              </w:rPr>
            </w:pPr>
            <w:r w:rsidRPr="00717E41">
              <w:rPr>
                <w:color w:val="000000"/>
              </w:rPr>
              <w:t>Number of gate lounges on 30 June in the financial year</w:t>
            </w:r>
          </w:p>
          <w:p w:rsidR="00D72B39" w:rsidRPr="00717E41" w:rsidRDefault="0089615E" w:rsidP="002A5D9D">
            <w:pPr>
              <w:pStyle w:val="Tabletextlistbullet"/>
              <w:rPr>
                <w:color w:val="000000"/>
              </w:rPr>
            </w:pPr>
            <w:r w:rsidRPr="00717E41">
              <w:rPr>
                <w:color w:val="000000"/>
              </w:rPr>
              <w:t>Number of seats in gate lounges on 30 June in the financial year</w:t>
            </w:r>
          </w:p>
          <w:p w:rsidR="00D72B39" w:rsidRPr="00717E41" w:rsidRDefault="0089615E" w:rsidP="002A5D9D">
            <w:pPr>
              <w:pStyle w:val="Tabletextlistbullet"/>
              <w:rPr>
                <w:color w:val="000000"/>
              </w:rPr>
            </w:pPr>
            <w:r w:rsidRPr="00717E41">
              <w:rPr>
                <w:color w:val="000000"/>
              </w:rPr>
              <w:t>Total gate lounge area (in square metres) on 30 June in the financial year</w:t>
            </w:r>
          </w:p>
          <w:p w:rsidR="006B27C1" w:rsidRPr="00717E41" w:rsidRDefault="0089615E" w:rsidP="00A96191">
            <w:pPr>
              <w:pStyle w:val="Tabletextheadingleft"/>
              <w:rPr>
                <w:color w:val="000000"/>
              </w:rPr>
            </w:pPr>
            <w:r w:rsidRPr="00717E41">
              <w:rPr>
                <w:color w:val="000000"/>
              </w:rPr>
              <w:t>Domestic services</w:t>
            </w:r>
          </w:p>
          <w:p w:rsidR="00D72B39" w:rsidRPr="00717E41" w:rsidRDefault="0089615E" w:rsidP="002A5D9D">
            <w:pPr>
              <w:pStyle w:val="Tabletextlistbullet"/>
              <w:rPr>
                <w:color w:val="000000"/>
              </w:rPr>
            </w:pPr>
            <w:r w:rsidRPr="00717E41">
              <w:rPr>
                <w:color w:val="000000"/>
              </w:rPr>
              <w:t>Average number of departing passengers during peak hour</w:t>
            </w:r>
            <w:r w:rsidRPr="00717E41">
              <w:rPr>
                <w:rStyle w:val="FootnoteReference"/>
                <w:color w:val="000000"/>
              </w:rPr>
              <w:footnoteReference w:id="39"/>
            </w:r>
            <w:r w:rsidRPr="00717E41">
              <w:rPr>
                <w:color w:val="000000"/>
              </w:rPr>
              <w:t xml:space="preserve"> in the financial year</w:t>
            </w:r>
          </w:p>
          <w:p w:rsidR="00D72B39" w:rsidRPr="00717E41" w:rsidRDefault="0089615E" w:rsidP="002A5D9D">
            <w:pPr>
              <w:pStyle w:val="Tabletextlistbullet"/>
              <w:rPr>
                <w:color w:val="000000"/>
              </w:rPr>
            </w:pPr>
            <w:r w:rsidRPr="00717E41">
              <w:rPr>
                <w:color w:val="000000"/>
              </w:rPr>
              <w:t>Number of gate lounges on 30 June in the financial year</w:t>
            </w:r>
          </w:p>
          <w:p w:rsidR="00D72B39" w:rsidRPr="00717E41" w:rsidRDefault="0089615E" w:rsidP="002A5D9D">
            <w:pPr>
              <w:pStyle w:val="Tabletextlistbullet"/>
              <w:rPr>
                <w:color w:val="000000"/>
              </w:rPr>
            </w:pPr>
            <w:r w:rsidRPr="00717E41">
              <w:rPr>
                <w:color w:val="000000"/>
              </w:rPr>
              <w:t>Number of seats in gate lounges on 30 June in the financial year</w:t>
            </w:r>
          </w:p>
          <w:p w:rsidR="005F7F8F" w:rsidRPr="00717E41" w:rsidRDefault="0089615E" w:rsidP="002A5D9D">
            <w:pPr>
              <w:pStyle w:val="Tabletextlistbullet"/>
              <w:rPr>
                <w:color w:val="000000"/>
              </w:rPr>
            </w:pPr>
            <w:r w:rsidRPr="00717E41">
              <w:rPr>
                <w:color w:val="000000"/>
              </w:rPr>
              <w:t>Total gate lounge area (in square metres) on 30 June in the financial year</w:t>
            </w:r>
          </w:p>
        </w:tc>
      </w:tr>
    </w:tbl>
    <w:p w:rsidR="005F7F8F" w:rsidRPr="00717E41" w:rsidRDefault="005F7F8F" w:rsidP="005F7F8F">
      <w:pPr>
        <w:rPr>
          <w:color w:val="000000"/>
          <w:highlight w:val="yellow"/>
        </w:rPr>
      </w:pPr>
    </w:p>
    <w:p w:rsidR="0038706F" w:rsidRPr="00717E41" w:rsidRDefault="0038706F" w:rsidP="005F7F8F">
      <w:pPr>
        <w:rPr>
          <w:color w:val="000000"/>
          <w:highlight w:val="yellow"/>
        </w:rPr>
      </w:pPr>
    </w:p>
    <w:p w:rsidR="0038706F" w:rsidRPr="00717E41" w:rsidRDefault="0038706F" w:rsidP="005F7F8F">
      <w:pPr>
        <w:rPr>
          <w:color w:val="000000"/>
          <w:highlight w:val="yellow"/>
        </w:rPr>
      </w:pPr>
    </w:p>
    <w:p w:rsidR="0038706F" w:rsidRPr="00717E41" w:rsidRDefault="0038706F" w:rsidP="005F7F8F">
      <w:pPr>
        <w:rPr>
          <w:color w:val="000000"/>
          <w:highlight w:val="yellow"/>
        </w:rPr>
      </w:pPr>
    </w:p>
    <w:p w:rsidR="0038706F" w:rsidRPr="00717E41" w:rsidRDefault="0038706F" w:rsidP="005F7F8F">
      <w:pPr>
        <w:rPr>
          <w:color w:val="000000"/>
          <w:highlight w:val="yellow"/>
        </w:rPr>
      </w:pPr>
    </w:p>
    <w:p w:rsidR="005F7F8F" w:rsidRPr="00717E41" w:rsidRDefault="0089615E" w:rsidP="005F7F8F">
      <w:pPr>
        <w:pStyle w:val="Numberedtabletitle"/>
        <w:rPr>
          <w:color w:val="000000"/>
        </w:rPr>
      </w:pPr>
      <w:r w:rsidRPr="00717E41">
        <w:rPr>
          <w:color w:val="000000"/>
        </w:rPr>
        <w:t>Objective data requirements (matters) of airport operators – aircraft-related services and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797"/>
      </w:tblGrid>
      <w:tr w:rsidR="005F7F8F" w:rsidRPr="00FF32F7" w:rsidTr="004A3FC6">
        <w:trPr>
          <w:tblHeader/>
        </w:trPr>
        <w:tc>
          <w:tcPr>
            <w:tcW w:w="2235" w:type="dxa"/>
            <w:tcBorders>
              <w:left w:val="nil"/>
              <w:bottom w:val="single" w:sz="4" w:space="0" w:color="auto"/>
              <w:right w:val="nil"/>
            </w:tcBorders>
            <w:shd w:val="clear" w:color="auto" w:fill="BFBFBF"/>
          </w:tcPr>
          <w:p w:rsidR="005F7F8F" w:rsidRPr="00717E41" w:rsidRDefault="0089615E" w:rsidP="00A96191">
            <w:pPr>
              <w:pStyle w:val="Tabletextheadingleft"/>
              <w:rPr>
                <w:color w:val="000000"/>
              </w:rPr>
            </w:pPr>
            <w:r w:rsidRPr="00717E41">
              <w:rPr>
                <w:color w:val="000000"/>
              </w:rPr>
              <w:t>Aspect</w:t>
            </w:r>
          </w:p>
        </w:tc>
        <w:tc>
          <w:tcPr>
            <w:tcW w:w="11797" w:type="dxa"/>
            <w:tcBorders>
              <w:left w:val="nil"/>
              <w:bottom w:val="single" w:sz="4" w:space="0" w:color="auto"/>
              <w:right w:val="nil"/>
            </w:tcBorders>
            <w:shd w:val="clear" w:color="auto" w:fill="BFBFBF"/>
          </w:tcPr>
          <w:p w:rsidR="005F7F8F" w:rsidRPr="00717E41" w:rsidRDefault="0089615E" w:rsidP="00A96191">
            <w:pPr>
              <w:pStyle w:val="Tabletextheadingcentre"/>
              <w:rPr>
                <w:color w:val="000000"/>
              </w:rPr>
            </w:pPr>
            <w:r w:rsidRPr="00717E41">
              <w:rPr>
                <w:color w:val="000000"/>
              </w:rPr>
              <w:t>Objective data required from airport operators (matters)</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Ground handling services and facilities</w:t>
            </w:r>
          </w:p>
        </w:tc>
        <w:tc>
          <w:tcPr>
            <w:tcW w:w="11797" w:type="dxa"/>
            <w:tcBorders>
              <w:right w:val="nil"/>
            </w:tcBorders>
          </w:tcPr>
          <w:p w:rsidR="005F7F8F" w:rsidRPr="00717E41" w:rsidRDefault="0089615E" w:rsidP="005F7F8F">
            <w:pPr>
              <w:pStyle w:val="Tabletextleft"/>
              <w:rPr>
                <w:color w:val="000000"/>
              </w:rPr>
            </w:pPr>
            <w:r w:rsidRPr="00717E41">
              <w:rPr>
                <w:color w:val="000000"/>
              </w:rPr>
              <w:t>Nil</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Aerobridge usage</w:t>
            </w:r>
          </w:p>
        </w:tc>
        <w:tc>
          <w:tcPr>
            <w:tcW w:w="11797" w:type="dxa"/>
            <w:tcBorders>
              <w:right w:val="nil"/>
            </w:tcBorders>
          </w:tcPr>
          <w:p w:rsidR="005F7F8F" w:rsidRPr="00717E41" w:rsidRDefault="0089615E" w:rsidP="00A96191">
            <w:pPr>
              <w:pStyle w:val="Tabletextheadingleft"/>
              <w:rPr>
                <w:color w:val="000000"/>
              </w:rPr>
            </w:pPr>
            <w:r w:rsidRPr="00717E41">
              <w:rPr>
                <w:color w:val="000000"/>
              </w:rPr>
              <w:t>International services</w:t>
            </w:r>
          </w:p>
          <w:p w:rsidR="00C06AAE" w:rsidRPr="00717E41" w:rsidRDefault="0089615E" w:rsidP="002A5D9D">
            <w:pPr>
              <w:pStyle w:val="Tabletextlistbullet"/>
              <w:rPr>
                <w:color w:val="000000"/>
              </w:rPr>
            </w:pPr>
            <w:r w:rsidRPr="00717E41">
              <w:rPr>
                <w:color w:val="000000"/>
              </w:rPr>
              <w:t>Number of passengers who used aerobridges for embarkation in the financial year</w:t>
            </w:r>
          </w:p>
          <w:p w:rsidR="000C7236" w:rsidRPr="00717E41" w:rsidRDefault="0089615E" w:rsidP="002A5D9D">
            <w:pPr>
              <w:pStyle w:val="Tabletextlistbullet"/>
              <w:rPr>
                <w:color w:val="000000"/>
              </w:rPr>
            </w:pPr>
            <w:r w:rsidRPr="00717E41">
              <w:rPr>
                <w:color w:val="000000"/>
              </w:rPr>
              <w:t>Number of passengers who embarked in the financial year</w:t>
            </w:r>
          </w:p>
          <w:p w:rsidR="00C06AAE" w:rsidRPr="00717E41" w:rsidRDefault="0089615E" w:rsidP="002A5D9D">
            <w:pPr>
              <w:pStyle w:val="Tabletextlistbullet"/>
              <w:rPr>
                <w:color w:val="000000"/>
              </w:rPr>
            </w:pPr>
            <w:r w:rsidRPr="00717E41">
              <w:rPr>
                <w:color w:val="000000"/>
              </w:rPr>
              <w:t>Number of passengers who used aerobridges for disembarkation in the financial year</w:t>
            </w:r>
          </w:p>
          <w:p w:rsidR="00C06AAE" w:rsidRPr="00717E41" w:rsidRDefault="0089615E" w:rsidP="002A5D9D">
            <w:pPr>
              <w:pStyle w:val="Tabletextlistbullet"/>
              <w:rPr>
                <w:color w:val="000000"/>
              </w:rPr>
            </w:pPr>
            <w:r w:rsidRPr="00717E41">
              <w:rPr>
                <w:color w:val="000000"/>
              </w:rPr>
              <w:t>Number of passengers who disembarked in the financial year</w:t>
            </w:r>
          </w:p>
          <w:p w:rsidR="00C06AAE" w:rsidRPr="00717E41" w:rsidRDefault="0089615E" w:rsidP="002A5D9D">
            <w:pPr>
              <w:pStyle w:val="Tabletextlistbullet"/>
              <w:rPr>
                <w:color w:val="000000"/>
              </w:rPr>
            </w:pPr>
            <w:r w:rsidRPr="00717E41">
              <w:rPr>
                <w:color w:val="000000"/>
              </w:rPr>
              <w:t>Number of aerobridges on 30 June in the financial year</w:t>
            </w:r>
          </w:p>
          <w:p w:rsidR="00C06AAE" w:rsidRPr="00717E41" w:rsidRDefault="0089615E" w:rsidP="00A96191">
            <w:pPr>
              <w:pStyle w:val="Tabletextheadingleft"/>
              <w:rPr>
                <w:color w:val="000000"/>
              </w:rPr>
            </w:pPr>
            <w:r w:rsidRPr="00717E41">
              <w:rPr>
                <w:color w:val="000000"/>
              </w:rPr>
              <w:t>Domestic services</w:t>
            </w:r>
          </w:p>
          <w:p w:rsidR="00C06AAE" w:rsidRPr="00717E41" w:rsidRDefault="0089615E" w:rsidP="002A5D9D">
            <w:pPr>
              <w:pStyle w:val="Tabletextlistbullet"/>
              <w:rPr>
                <w:color w:val="000000"/>
              </w:rPr>
            </w:pPr>
            <w:r w:rsidRPr="00717E41">
              <w:rPr>
                <w:color w:val="000000"/>
              </w:rPr>
              <w:t>Number of passengers who used aerobridges for embarkation in the financial year</w:t>
            </w:r>
          </w:p>
          <w:p w:rsidR="00C06AAE" w:rsidRPr="00717E41" w:rsidRDefault="0089615E" w:rsidP="002A5D9D">
            <w:pPr>
              <w:pStyle w:val="Tabletextlistbullet"/>
              <w:rPr>
                <w:color w:val="000000"/>
              </w:rPr>
            </w:pPr>
            <w:r w:rsidRPr="00717E41">
              <w:rPr>
                <w:color w:val="000000"/>
              </w:rPr>
              <w:t>Number of passengers who embarked in the financial year</w:t>
            </w:r>
          </w:p>
          <w:p w:rsidR="00C06AAE" w:rsidRPr="00717E41" w:rsidRDefault="0089615E" w:rsidP="002A5D9D">
            <w:pPr>
              <w:pStyle w:val="Tabletextlistbullet"/>
              <w:rPr>
                <w:color w:val="000000"/>
              </w:rPr>
            </w:pPr>
            <w:r w:rsidRPr="00717E41">
              <w:rPr>
                <w:color w:val="000000"/>
              </w:rPr>
              <w:t>Number of passengers who used aerobridges for disembarkation in the financial year</w:t>
            </w:r>
          </w:p>
          <w:p w:rsidR="00C06AAE" w:rsidRPr="00717E41" w:rsidRDefault="0089615E" w:rsidP="002A5D9D">
            <w:pPr>
              <w:pStyle w:val="Tabletextlistbullet"/>
              <w:rPr>
                <w:color w:val="000000"/>
              </w:rPr>
            </w:pPr>
            <w:r w:rsidRPr="00717E41">
              <w:rPr>
                <w:color w:val="000000"/>
              </w:rPr>
              <w:t>Number of passengers who disembarked in the financial year</w:t>
            </w:r>
          </w:p>
          <w:p w:rsidR="00C06AAE" w:rsidRPr="00717E41" w:rsidRDefault="0089615E" w:rsidP="002A5D9D">
            <w:pPr>
              <w:pStyle w:val="Tabletextlistbullet"/>
              <w:rPr>
                <w:color w:val="000000"/>
              </w:rPr>
            </w:pPr>
            <w:r w:rsidRPr="00717E41">
              <w:rPr>
                <w:color w:val="000000"/>
              </w:rPr>
              <w:t>Number of aerobridges on 30 June in the financial year</w:t>
            </w:r>
          </w:p>
        </w:tc>
      </w:tr>
      <w:tr w:rsidR="005F7F8F" w:rsidRPr="00FF32F7" w:rsidTr="004A3FC6">
        <w:tc>
          <w:tcPr>
            <w:tcW w:w="2235" w:type="dxa"/>
            <w:tcBorders>
              <w:left w:val="nil"/>
            </w:tcBorders>
          </w:tcPr>
          <w:p w:rsidR="005F7F8F" w:rsidRPr="00717E41" w:rsidRDefault="0089615E" w:rsidP="00687771">
            <w:pPr>
              <w:pStyle w:val="Tabletextleft"/>
              <w:rPr>
                <w:color w:val="000000"/>
              </w:rPr>
            </w:pPr>
            <w:r w:rsidRPr="00717E41">
              <w:rPr>
                <w:color w:val="000000"/>
              </w:rPr>
              <w:t>Runways, taxiways and aprons</w:t>
            </w:r>
          </w:p>
        </w:tc>
        <w:tc>
          <w:tcPr>
            <w:tcW w:w="11797" w:type="dxa"/>
            <w:tcBorders>
              <w:right w:val="nil"/>
            </w:tcBorders>
          </w:tcPr>
          <w:p w:rsidR="005F7F8F" w:rsidRPr="00717E41" w:rsidRDefault="0089615E" w:rsidP="002A5D9D">
            <w:pPr>
              <w:pStyle w:val="Tabletextlistbullet"/>
              <w:rPr>
                <w:color w:val="000000"/>
              </w:rPr>
            </w:pPr>
            <w:r w:rsidRPr="00717E41">
              <w:rPr>
                <w:color w:val="000000"/>
              </w:rPr>
              <w:t>Total area of aprons available (in square metres) on 30 June in the financial year</w:t>
            </w:r>
          </w:p>
          <w:p w:rsidR="00FF32F7" w:rsidRPr="00717E41" w:rsidRDefault="0089615E" w:rsidP="00687771">
            <w:pPr>
              <w:pStyle w:val="Tabletextlistbullet"/>
              <w:rPr>
                <w:color w:val="000000"/>
                <w:szCs w:val="22"/>
              </w:rPr>
            </w:pPr>
            <w:r w:rsidRPr="00717E41">
              <w:rPr>
                <w:color w:val="000000"/>
              </w:rPr>
              <w:t>Total area of runways (in square meters) on 30 June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Aircraft parking facilities and bays</w:t>
            </w:r>
          </w:p>
        </w:tc>
        <w:tc>
          <w:tcPr>
            <w:tcW w:w="11797" w:type="dxa"/>
            <w:tcBorders>
              <w:right w:val="nil"/>
            </w:tcBorders>
          </w:tcPr>
          <w:p w:rsidR="005F7F8F" w:rsidRPr="00717E41" w:rsidRDefault="0089615E" w:rsidP="002A5D9D">
            <w:pPr>
              <w:pStyle w:val="Tabletextlistbullet"/>
              <w:rPr>
                <w:color w:val="000000"/>
              </w:rPr>
            </w:pPr>
            <w:r w:rsidRPr="00717E41">
              <w:rPr>
                <w:color w:val="000000"/>
              </w:rPr>
              <w:t>Number of aircraft parking bays on 30 June in the financial year</w:t>
            </w:r>
          </w:p>
          <w:p w:rsidR="00C06AAE" w:rsidRPr="00717E41" w:rsidRDefault="0089615E" w:rsidP="002A5D9D">
            <w:pPr>
              <w:pStyle w:val="Tabletextlistbullet"/>
              <w:rPr>
                <w:color w:val="000000"/>
              </w:rPr>
            </w:pPr>
            <w:r w:rsidRPr="00717E41">
              <w:rPr>
                <w:color w:val="000000"/>
              </w:rPr>
              <w:t>Total area (in square metres) of designated bay area on 30 June in the financial year</w:t>
            </w:r>
          </w:p>
        </w:tc>
      </w:tr>
      <w:tr w:rsidR="005F7F8F" w:rsidRPr="00FF32F7" w:rsidTr="004A3FC6">
        <w:tc>
          <w:tcPr>
            <w:tcW w:w="2235" w:type="dxa"/>
            <w:tcBorders>
              <w:left w:val="nil"/>
            </w:tcBorders>
          </w:tcPr>
          <w:p w:rsidR="005F7F8F" w:rsidRPr="00717E41" w:rsidRDefault="0089615E" w:rsidP="005F7F8F">
            <w:pPr>
              <w:pStyle w:val="Tabletextleft"/>
              <w:rPr>
                <w:color w:val="000000"/>
              </w:rPr>
            </w:pPr>
            <w:r w:rsidRPr="00717E41">
              <w:rPr>
                <w:color w:val="000000"/>
              </w:rPr>
              <w:t>Airside freight handling, storage areas and cargo facilities</w:t>
            </w:r>
          </w:p>
        </w:tc>
        <w:tc>
          <w:tcPr>
            <w:tcW w:w="11797" w:type="dxa"/>
            <w:tcBorders>
              <w:right w:val="nil"/>
            </w:tcBorders>
          </w:tcPr>
          <w:p w:rsidR="005F7F8F" w:rsidRPr="00717E41" w:rsidRDefault="0089615E" w:rsidP="005F7F8F">
            <w:pPr>
              <w:pStyle w:val="Tabletextleft"/>
              <w:rPr>
                <w:color w:val="000000"/>
              </w:rPr>
            </w:pPr>
            <w:r w:rsidRPr="00717E41">
              <w:rPr>
                <w:color w:val="000000"/>
              </w:rPr>
              <w:t>Nil</w:t>
            </w:r>
          </w:p>
        </w:tc>
      </w:tr>
    </w:tbl>
    <w:p w:rsidR="00CB0358" w:rsidRPr="00717E41" w:rsidRDefault="00CB0358" w:rsidP="00BE20A8">
      <w:pPr>
        <w:rPr>
          <w:color w:val="000000"/>
          <w:sz w:val="17"/>
          <w:szCs w:val="17"/>
          <w:highlight w:val="yellow"/>
        </w:rPr>
      </w:pPr>
    </w:p>
    <w:sectPr w:rsidR="00CB0358" w:rsidRPr="00717E41" w:rsidSect="00292A26">
      <w:pgSz w:w="16838" w:h="11906" w:orient="landscape"/>
      <w:pgMar w:top="1729" w:right="1440" w:bottom="1729" w:left="158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6F" w:rsidRDefault="00F1156F" w:rsidP="00F01F5A">
      <w:pPr>
        <w:spacing w:after="0"/>
      </w:pPr>
      <w:r>
        <w:separator/>
      </w:r>
    </w:p>
  </w:endnote>
  <w:endnote w:type="continuationSeparator" w:id="0">
    <w:p w:rsidR="00F1156F" w:rsidRDefault="00F1156F" w:rsidP="00F01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Footer"/>
      <w:jc w:val="right"/>
    </w:pPr>
  </w:p>
  <w:p w:rsidR="00F1156F" w:rsidRDefault="00F11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Footer"/>
      <w:jc w:val="right"/>
    </w:pPr>
    <w:r>
      <w:fldChar w:fldCharType="begin"/>
    </w:r>
    <w:r>
      <w:instrText xml:space="preserve"> PAGE   \* MERGEFORMAT </w:instrText>
    </w:r>
    <w:r>
      <w:fldChar w:fldCharType="separate"/>
    </w:r>
    <w:r w:rsidR="00DD5607">
      <w:rPr>
        <w:noProof/>
      </w:rPr>
      <w:t>iv</w:t>
    </w:r>
    <w:r>
      <w:rPr>
        <w:noProof/>
      </w:rPr>
      <w:fldChar w:fldCharType="end"/>
    </w:r>
  </w:p>
  <w:p w:rsidR="00F1156F" w:rsidRDefault="00F11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Footer"/>
      <w:jc w:val="right"/>
    </w:pPr>
    <w:r>
      <w:fldChar w:fldCharType="begin"/>
    </w:r>
    <w:r>
      <w:instrText xml:space="preserve"> PAGE   \* MERGEFORMAT </w:instrText>
    </w:r>
    <w:r>
      <w:fldChar w:fldCharType="separate"/>
    </w:r>
    <w:r w:rsidR="00DD5607">
      <w:rPr>
        <w:noProof/>
      </w:rPr>
      <w:t>10</w:t>
    </w:r>
    <w:r>
      <w:rPr>
        <w:noProof/>
      </w:rPr>
      <w:fldChar w:fldCharType="end"/>
    </w:r>
  </w:p>
  <w:p w:rsidR="00F1156F" w:rsidRDefault="00F11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6F" w:rsidRDefault="00F1156F" w:rsidP="00F01F5A">
      <w:pPr>
        <w:spacing w:after="0"/>
      </w:pPr>
      <w:r>
        <w:separator/>
      </w:r>
    </w:p>
  </w:footnote>
  <w:footnote w:type="continuationSeparator" w:id="0">
    <w:p w:rsidR="00F1156F" w:rsidRDefault="00F1156F" w:rsidP="00F01F5A">
      <w:pPr>
        <w:spacing w:after="0"/>
      </w:pPr>
      <w:r>
        <w:continuationSeparator/>
      </w:r>
    </w:p>
  </w:footnote>
  <w:footnote w:id="1">
    <w:p w:rsidR="00F1156F" w:rsidRPr="00DE55F3" w:rsidRDefault="00F1156F" w:rsidP="00EC652C">
      <w:pPr>
        <w:pStyle w:val="Footnote"/>
      </w:pPr>
      <w:r>
        <w:rPr>
          <w:rStyle w:val="FootnoteReference"/>
        </w:rPr>
        <w:footnoteRef/>
      </w:r>
      <w:r>
        <w:t xml:space="preserve"> </w:t>
      </w:r>
      <w:r>
        <w:tab/>
        <w:t xml:space="preserve">Costello, P (then Treasurer), </w:t>
      </w:r>
      <w:r>
        <w:rPr>
          <w:i/>
        </w:rPr>
        <w:t xml:space="preserve">Productivity Commission report on airport price regulation, </w:t>
      </w:r>
      <w:r>
        <w:t>media release no.24, Canberra, May 2002.</w:t>
      </w:r>
    </w:p>
  </w:footnote>
  <w:footnote w:id="2">
    <w:p w:rsidR="00F1156F" w:rsidRPr="005B3AD8" w:rsidRDefault="00F1156F" w:rsidP="00EC652C">
      <w:pPr>
        <w:pStyle w:val="Footnote"/>
      </w:pPr>
      <w:r>
        <w:rPr>
          <w:rStyle w:val="FootnoteReference"/>
        </w:rPr>
        <w:footnoteRef/>
      </w:r>
      <w:r>
        <w:t xml:space="preserve"> </w:t>
      </w:r>
      <w:r>
        <w:tab/>
        <w:t>Costello, P (then Treasurer), Productivity Commission report – review of price regulation of airport services, media release no. 32, Canberra, April 2007.</w:t>
      </w:r>
    </w:p>
  </w:footnote>
  <w:footnote w:id="3">
    <w:p w:rsidR="00F1156F" w:rsidRPr="00612F72" w:rsidRDefault="00F1156F" w:rsidP="00EC652C">
      <w:pPr>
        <w:pStyle w:val="Footnote"/>
      </w:pPr>
      <w:r>
        <w:rPr>
          <w:rStyle w:val="FootnoteReference"/>
        </w:rPr>
        <w:footnoteRef/>
      </w:r>
      <w:r>
        <w:t xml:space="preserve"> </w:t>
      </w:r>
      <w:r>
        <w:tab/>
        <w:t xml:space="preserve">Bradbury, D (Assistant Treasurer) and Albanese, A (Minister for Infrastructure and Transport), </w:t>
      </w:r>
      <w:r>
        <w:rPr>
          <w:i/>
        </w:rPr>
        <w:t>Australian Government response to the Productivity Commission inquiry into the economic regulation of airport services</w:t>
      </w:r>
      <w:r>
        <w:t>, media release, Canberra, March 2012.</w:t>
      </w:r>
    </w:p>
  </w:footnote>
  <w:footnote w:id="4">
    <w:p w:rsidR="00F1156F" w:rsidRPr="00612F72" w:rsidRDefault="00F1156F" w:rsidP="00EC652C">
      <w:pPr>
        <w:pStyle w:val="Footnote"/>
      </w:pPr>
      <w:r>
        <w:rPr>
          <w:rStyle w:val="FootnoteReference"/>
        </w:rPr>
        <w:footnoteRef/>
      </w:r>
      <w:r>
        <w:t xml:space="preserve"> </w:t>
      </w:r>
      <w:r>
        <w:tab/>
        <w:t xml:space="preserve">Bradbury, D (Assistant Treasurer) and Albanese, A (Minister for Infrastructure and Transport), </w:t>
      </w:r>
      <w:r>
        <w:rPr>
          <w:i/>
        </w:rPr>
        <w:t>Australian Government response to the Productivity Commission inquiry into the economic regulation of airport services</w:t>
      </w:r>
      <w:r>
        <w:t>, media release, Canberra, March 2012.</w:t>
      </w:r>
    </w:p>
  </w:footnote>
  <w:footnote w:id="5">
    <w:p w:rsidR="00F1156F" w:rsidRDefault="00F1156F">
      <w:pPr>
        <w:pStyle w:val="FootnoteText"/>
      </w:pPr>
      <w:r>
        <w:rPr>
          <w:rStyle w:val="FootnoteReference"/>
        </w:rPr>
        <w:footnoteRef/>
      </w:r>
      <w:r>
        <w:t xml:space="preserve"> See ACCC, </w:t>
      </w:r>
      <w:r w:rsidRPr="006B153F">
        <w:rPr>
          <w:i/>
        </w:rPr>
        <w:t>Airport monitoring report</w:t>
      </w:r>
      <w:r>
        <w:t xml:space="preserve"> 2011-12, April 2013, box 1.2.1, page 4.</w:t>
      </w:r>
    </w:p>
  </w:footnote>
  <w:footnote w:id="6">
    <w:p w:rsidR="00F1156F" w:rsidRDefault="00F1156F">
      <w:pPr>
        <w:pStyle w:val="FootnoteText"/>
      </w:pPr>
      <w:r>
        <w:rPr>
          <w:rStyle w:val="FootnoteReference"/>
        </w:rPr>
        <w:footnoteRef/>
      </w:r>
      <w:r>
        <w:t xml:space="preserve">      A standard car park space measures 5.4 metres, Australian / New Zealand Standard (2004), </w:t>
      </w:r>
      <w:r w:rsidRPr="006B153F">
        <w:rPr>
          <w:i/>
        </w:rPr>
        <w:t>Parking facilities Part 1: Off-street car parking,</w:t>
      </w:r>
      <w:r>
        <w:t xml:space="preserve"> page 12, Standards Australia International Ltd.</w:t>
      </w:r>
    </w:p>
  </w:footnote>
  <w:footnote w:id="7">
    <w:p w:rsidR="00F1156F" w:rsidRDefault="00F1156F" w:rsidP="00180B36">
      <w:pPr>
        <w:pStyle w:val="FootnoteText"/>
      </w:pPr>
      <w:r>
        <w:rPr>
          <w:rStyle w:val="FootnoteReference"/>
        </w:rPr>
        <w:footnoteRef/>
      </w:r>
      <w:r>
        <w:t xml:space="preserve">    ibid.</w:t>
      </w:r>
    </w:p>
  </w:footnote>
  <w:footnote w:id="8">
    <w:p w:rsidR="00F1156F" w:rsidRDefault="00F1156F">
      <w:pPr>
        <w:pStyle w:val="FootnoteText"/>
      </w:pPr>
      <w:r>
        <w:rPr>
          <w:rStyle w:val="FootnoteReference"/>
        </w:rPr>
        <w:footnoteRef/>
      </w:r>
      <w:r>
        <w:t xml:space="preserve">    </w:t>
      </w:r>
      <w:r w:rsidRPr="00815A0B">
        <w:t xml:space="preserve">For this </w:t>
      </w:r>
      <w:r w:rsidRPr="009E4CE0">
        <w:rPr>
          <w:i/>
        </w:rPr>
        <w:t>aspect</w:t>
      </w:r>
      <w:r w:rsidRPr="00815A0B">
        <w:t xml:space="preserve">, the ACCC considers ‘peak hour’ to be defined as ‘the hour that, on average for each day in the financial year, has the highest </w:t>
      </w:r>
      <w:r>
        <w:t xml:space="preserve">total </w:t>
      </w:r>
      <w:r w:rsidRPr="00815A0B">
        <w:t xml:space="preserve">number of </w:t>
      </w:r>
      <w:r>
        <w:t>passenger movements (including both arriving and departing passengers)</w:t>
      </w:r>
      <w:r w:rsidRPr="00815A0B">
        <w:t>’</w:t>
      </w:r>
      <w:r>
        <w:t>.</w:t>
      </w:r>
    </w:p>
  </w:footnote>
  <w:footnote w:id="9">
    <w:p w:rsidR="00F1156F" w:rsidRDefault="00F1156F">
      <w:pPr>
        <w:pStyle w:val="FootnoteText"/>
      </w:pPr>
      <w:r>
        <w:rPr>
          <w:rStyle w:val="FootnoteReference"/>
        </w:rPr>
        <w:footnoteRef/>
      </w:r>
      <w:r>
        <w:t xml:space="preserve">    Ibid</w:t>
      </w:r>
    </w:p>
  </w:footnote>
  <w:footnote w:id="10">
    <w:p w:rsidR="00F1156F" w:rsidRPr="00EC652C" w:rsidRDefault="00F1156F" w:rsidP="00EC652C">
      <w:pPr>
        <w:pStyle w:val="Footnote"/>
      </w:pPr>
      <w:r w:rsidRPr="00110945">
        <w:rPr>
          <w:rStyle w:val="FootnoteReference"/>
          <w:sz w:val="12"/>
          <w:szCs w:val="12"/>
          <w:vertAlign w:val="baseline"/>
        </w:rPr>
        <w:footnoteRef/>
      </w:r>
      <w:r w:rsidRPr="00110945">
        <w:rPr>
          <w:sz w:val="12"/>
          <w:szCs w:val="12"/>
        </w:rPr>
        <w:t xml:space="preserve">  </w:t>
      </w:r>
      <w:r w:rsidRPr="00EC652C">
        <w:t xml:space="preserve">  </w:t>
      </w:r>
      <w:r>
        <w:t xml:space="preserve"> ibid.</w:t>
      </w:r>
    </w:p>
  </w:footnote>
  <w:footnote w:id="11">
    <w:p w:rsidR="00F1156F" w:rsidRDefault="00F1156F">
      <w:pPr>
        <w:pStyle w:val="FootnoteText"/>
      </w:pPr>
      <w:r>
        <w:rPr>
          <w:rStyle w:val="FootnoteReference"/>
        </w:rPr>
        <w:footnoteRef/>
      </w:r>
      <w:r>
        <w:t xml:space="preserve">    Ibid</w:t>
      </w:r>
    </w:p>
  </w:footnote>
  <w:footnote w:id="12">
    <w:p w:rsidR="00F1156F" w:rsidRDefault="00F1156F" w:rsidP="00EC652C">
      <w:pPr>
        <w:pStyle w:val="Footnote"/>
      </w:pPr>
      <w:r>
        <w:rPr>
          <w:rStyle w:val="FootnoteReference"/>
        </w:rPr>
        <w:footnoteRef/>
      </w:r>
      <w:r>
        <w:t xml:space="preserve"> </w:t>
      </w:r>
      <w:r>
        <w:tab/>
        <w:t>ibid.</w:t>
      </w:r>
    </w:p>
  </w:footnote>
  <w:footnote w:id="13">
    <w:p w:rsidR="00F1156F" w:rsidRDefault="00F1156F">
      <w:pPr>
        <w:pStyle w:val="FootnoteText"/>
      </w:pPr>
      <w:r>
        <w:rPr>
          <w:rStyle w:val="FootnoteReference"/>
        </w:rPr>
        <w:footnoteRef/>
      </w:r>
      <w:r>
        <w:t xml:space="preserve">    Ibid</w:t>
      </w:r>
    </w:p>
  </w:footnote>
  <w:footnote w:id="14">
    <w:p w:rsidR="00F1156F" w:rsidRDefault="00F1156F" w:rsidP="00EC652C">
      <w:pPr>
        <w:pStyle w:val="Footnote"/>
      </w:pPr>
      <w:r>
        <w:rPr>
          <w:rStyle w:val="FootnoteReference"/>
        </w:rPr>
        <w:footnoteRef/>
      </w:r>
      <w:r>
        <w:t xml:space="preserve"> </w:t>
      </w:r>
      <w:r>
        <w:tab/>
        <w:t>ibid</w:t>
      </w:r>
      <w:r w:rsidRPr="00815A0B">
        <w:t>.</w:t>
      </w:r>
    </w:p>
  </w:footnote>
  <w:footnote w:id="15">
    <w:p w:rsidR="00F1156F" w:rsidRDefault="00F1156F">
      <w:pPr>
        <w:pStyle w:val="FootnoteText"/>
      </w:pPr>
      <w:r>
        <w:rPr>
          <w:rStyle w:val="FootnoteReference"/>
        </w:rPr>
        <w:footnoteRef/>
      </w:r>
      <w:r>
        <w:t xml:space="preserve">    ibid</w:t>
      </w:r>
    </w:p>
  </w:footnote>
  <w:footnote w:id="16">
    <w:p w:rsidR="00F1156F" w:rsidRDefault="00F1156F" w:rsidP="00EC652C">
      <w:pPr>
        <w:pStyle w:val="Footnote"/>
      </w:pPr>
      <w:r>
        <w:rPr>
          <w:rStyle w:val="FootnoteReference"/>
        </w:rPr>
        <w:footnoteRef/>
      </w:r>
      <w:r>
        <w:t xml:space="preserve"> </w:t>
      </w:r>
      <w:r>
        <w:tab/>
        <w:t>ibid.</w:t>
      </w:r>
    </w:p>
  </w:footnote>
  <w:footnote w:id="17">
    <w:p w:rsidR="00F1156F" w:rsidRDefault="00F1156F">
      <w:pPr>
        <w:pStyle w:val="FootnoteText"/>
      </w:pPr>
      <w:r>
        <w:rPr>
          <w:rStyle w:val="FootnoteReference"/>
        </w:rPr>
        <w:footnoteRef/>
      </w:r>
      <w:r>
        <w:t xml:space="preserve"> </w:t>
      </w:r>
      <w:r>
        <w:tab/>
        <w:t>ibid.</w:t>
      </w:r>
    </w:p>
  </w:footnote>
  <w:footnote w:id="18">
    <w:p w:rsidR="00F1156F" w:rsidRDefault="00F1156F">
      <w:pPr>
        <w:pStyle w:val="FootnoteText"/>
      </w:pPr>
      <w:r>
        <w:rPr>
          <w:rStyle w:val="FootnoteReference"/>
        </w:rPr>
        <w:footnoteRef/>
      </w:r>
      <w:r>
        <w:t xml:space="preserve">    ibid</w:t>
      </w:r>
    </w:p>
  </w:footnote>
  <w:footnote w:id="19">
    <w:p w:rsidR="00F1156F" w:rsidRDefault="00F1156F" w:rsidP="00EC652C">
      <w:pPr>
        <w:pStyle w:val="Footnote"/>
      </w:pPr>
      <w:r>
        <w:rPr>
          <w:rStyle w:val="FootnoteReference"/>
        </w:rPr>
        <w:footnoteRef/>
      </w:r>
      <w:r>
        <w:t xml:space="preserve"> </w:t>
      </w:r>
      <w:r>
        <w:tab/>
        <w:t>ibid</w:t>
      </w:r>
      <w:r w:rsidRPr="00815A0B">
        <w:t>.</w:t>
      </w:r>
    </w:p>
  </w:footnote>
  <w:footnote w:id="20">
    <w:p w:rsidR="00F1156F" w:rsidRDefault="00F1156F">
      <w:pPr>
        <w:pStyle w:val="FootnoteText"/>
      </w:pPr>
      <w:r>
        <w:rPr>
          <w:rStyle w:val="FootnoteReference"/>
        </w:rPr>
        <w:footnoteRef/>
      </w:r>
      <w:r>
        <w:t xml:space="preserve">    ibid</w:t>
      </w:r>
    </w:p>
  </w:footnote>
  <w:footnote w:id="21">
    <w:p w:rsidR="00F1156F" w:rsidRDefault="00F1156F">
      <w:pPr>
        <w:pStyle w:val="FootnoteText"/>
      </w:pPr>
      <w:r>
        <w:rPr>
          <w:rStyle w:val="FootnoteReference"/>
        </w:rPr>
        <w:footnoteRef/>
      </w:r>
      <w:r>
        <w:t xml:space="preserve">    ibid</w:t>
      </w:r>
    </w:p>
  </w:footnote>
  <w:footnote w:id="22">
    <w:p w:rsidR="00F1156F" w:rsidRDefault="00F1156F">
      <w:pPr>
        <w:pStyle w:val="FootnoteText"/>
      </w:pPr>
      <w:r>
        <w:rPr>
          <w:rStyle w:val="FootnoteReference"/>
        </w:rPr>
        <w:footnoteRef/>
      </w:r>
      <w:r>
        <w:t xml:space="preserve">    ibid</w:t>
      </w:r>
    </w:p>
  </w:footnote>
  <w:footnote w:id="23">
    <w:p w:rsidR="00F1156F" w:rsidRDefault="00F1156F" w:rsidP="00EC652C">
      <w:pPr>
        <w:pStyle w:val="Footnote"/>
      </w:pPr>
      <w:r>
        <w:rPr>
          <w:rStyle w:val="FootnoteReference"/>
        </w:rPr>
        <w:footnoteRef/>
      </w:r>
      <w:r>
        <w:t xml:space="preserve"> </w:t>
      </w:r>
      <w:r>
        <w:tab/>
        <w:t>ibid</w:t>
      </w:r>
      <w:r w:rsidRPr="00815A0B">
        <w:t>.</w:t>
      </w:r>
    </w:p>
  </w:footnote>
  <w:footnote w:id="24">
    <w:p w:rsidR="00F1156F" w:rsidRDefault="00F1156F" w:rsidP="00EC652C">
      <w:pPr>
        <w:pStyle w:val="Footnote"/>
      </w:pPr>
      <w:r>
        <w:rPr>
          <w:rStyle w:val="FootnoteReference"/>
        </w:rPr>
        <w:footnoteRef/>
      </w:r>
      <w:r>
        <w:t xml:space="preserve">    ibid</w:t>
      </w:r>
      <w:r w:rsidRPr="00815A0B">
        <w:t>.</w:t>
      </w:r>
    </w:p>
  </w:footnote>
  <w:footnote w:id="25">
    <w:p w:rsidR="00F1156F" w:rsidRDefault="00F1156F" w:rsidP="00EC652C">
      <w:pPr>
        <w:pStyle w:val="Footnote"/>
      </w:pPr>
      <w:r>
        <w:rPr>
          <w:rStyle w:val="FootnoteReference"/>
        </w:rPr>
        <w:footnoteRef/>
      </w:r>
      <w:r>
        <w:t xml:space="preserve"> </w:t>
      </w:r>
      <w:r>
        <w:tab/>
        <w:t>ibid.</w:t>
      </w:r>
    </w:p>
  </w:footnote>
  <w:footnote w:id="26">
    <w:p w:rsidR="00F1156F" w:rsidRDefault="00F1156F">
      <w:pPr>
        <w:pStyle w:val="FootnoteText"/>
      </w:pPr>
      <w:r>
        <w:rPr>
          <w:rStyle w:val="FootnoteReference"/>
        </w:rPr>
        <w:footnoteRef/>
      </w:r>
      <w:r>
        <w:t xml:space="preserve">    Ibid</w:t>
      </w:r>
    </w:p>
  </w:footnote>
  <w:footnote w:id="27">
    <w:p w:rsidR="00F1156F" w:rsidRDefault="00F1156F">
      <w:pPr>
        <w:pStyle w:val="FootnoteText"/>
      </w:pPr>
      <w:r>
        <w:rPr>
          <w:rStyle w:val="FootnoteReference"/>
        </w:rPr>
        <w:footnoteRef/>
      </w:r>
      <w:r>
        <w:t xml:space="preserve">    Ibid</w:t>
      </w:r>
    </w:p>
  </w:footnote>
  <w:footnote w:id="28">
    <w:p w:rsidR="00F1156F" w:rsidRDefault="00F1156F">
      <w:pPr>
        <w:pStyle w:val="FootnoteText"/>
      </w:pPr>
      <w:r>
        <w:rPr>
          <w:rStyle w:val="FootnoteReference"/>
        </w:rPr>
        <w:footnoteRef/>
      </w:r>
      <w:r>
        <w:t xml:space="preserve">    Ibid</w:t>
      </w:r>
    </w:p>
  </w:footnote>
  <w:footnote w:id="29">
    <w:p w:rsidR="00F1156F" w:rsidRDefault="00F1156F" w:rsidP="00180B36">
      <w:pPr>
        <w:pStyle w:val="FootnoteText"/>
      </w:pPr>
      <w:r>
        <w:rPr>
          <w:rStyle w:val="FootnoteReference"/>
        </w:rPr>
        <w:footnoteRef/>
      </w:r>
      <w:r>
        <w:t xml:space="preserve">     A standard car park space measures 5.4 metres, Australian / New Zealand Standard (2004), </w:t>
      </w:r>
      <w:r w:rsidRPr="001C6732">
        <w:rPr>
          <w:i/>
        </w:rPr>
        <w:t>Parking facilities Part 1: Off-street car parking,</w:t>
      </w:r>
      <w:r>
        <w:t xml:space="preserve"> page 12, Standards Australia International Ltd.</w:t>
      </w:r>
    </w:p>
  </w:footnote>
  <w:footnote w:id="30">
    <w:p w:rsidR="00F1156F" w:rsidRDefault="00F1156F" w:rsidP="00EC652C">
      <w:pPr>
        <w:pStyle w:val="Footnote"/>
      </w:pPr>
      <w:r>
        <w:rPr>
          <w:rStyle w:val="FootnoteReference"/>
        </w:rPr>
        <w:footnoteRef/>
      </w:r>
      <w:r>
        <w:t xml:space="preserve"> </w:t>
      </w:r>
      <w:r>
        <w:tab/>
      </w:r>
      <w:r w:rsidRPr="00815A0B">
        <w:t xml:space="preserve">For this </w:t>
      </w:r>
      <w:r w:rsidRPr="009E4CE0">
        <w:rPr>
          <w:i/>
        </w:rPr>
        <w:t>aspect</w:t>
      </w:r>
      <w:r w:rsidRPr="00815A0B">
        <w:t>, the ACCC considers ‘peak hour’ to be defined as ‘the hour that, on average for each day in the financial year, has the highest number of departing passengers’</w:t>
      </w:r>
      <w:r>
        <w:t>.</w:t>
      </w:r>
    </w:p>
  </w:footnote>
  <w:footnote w:id="31">
    <w:p w:rsidR="00F1156F" w:rsidRDefault="00F1156F">
      <w:pPr>
        <w:pStyle w:val="FootnoteText"/>
      </w:pPr>
      <w:r>
        <w:rPr>
          <w:rStyle w:val="FootnoteReference"/>
        </w:rPr>
        <w:footnoteRef/>
      </w:r>
      <w:r>
        <w:t xml:space="preserve">    ibid</w:t>
      </w:r>
    </w:p>
  </w:footnote>
  <w:footnote w:id="32">
    <w:p w:rsidR="00F1156F" w:rsidRDefault="00F1156F">
      <w:pPr>
        <w:pStyle w:val="FootnoteText"/>
      </w:pPr>
      <w:r>
        <w:rPr>
          <w:rStyle w:val="FootnoteReference"/>
        </w:rPr>
        <w:footnoteRef/>
      </w:r>
      <w:r>
        <w:t xml:space="preserve"> </w:t>
      </w:r>
      <w:r>
        <w:tab/>
        <w:t>ibid.</w:t>
      </w:r>
    </w:p>
  </w:footnote>
  <w:footnote w:id="33">
    <w:p w:rsidR="00F1156F" w:rsidRDefault="00F1156F">
      <w:pPr>
        <w:pStyle w:val="FootnoteText"/>
      </w:pPr>
      <w:r>
        <w:rPr>
          <w:rStyle w:val="FootnoteReference"/>
        </w:rPr>
        <w:footnoteRef/>
      </w:r>
      <w:r>
        <w:t xml:space="preserve">    ibid</w:t>
      </w:r>
    </w:p>
  </w:footnote>
  <w:footnote w:id="34">
    <w:p w:rsidR="00F1156F" w:rsidRDefault="00F1156F" w:rsidP="00EC652C">
      <w:pPr>
        <w:pStyle w:val="Footnote"/>
      </w:pPr>
      <w:r>
        <w:rPr>
          <w:rStyle w:val="FootnoteReference"/>
        </w:rPr>
        <w:footnoteRef/>
      </w:r>
      <w:r>
        <w:t xml:space="preserve"> </w:t>
      </w:r>
      <w:r>
        <w:tab/>
        <w:t>ibid.</w:t>
      </w:r>
    </w:p>
  </w:footnote>
  <w:footnote w:id="35">
    <w:p w:rsidR="00F1156F" w:rsidRDefault="00F1156F">
      <w:pPr>
        <w:pStyle w:val="FootnoteText"/>
      </w:pPr>
      <w:r>
        <w:rPr>
          <w:rStyle w:val="FootnoteReference"/>
        </w:rPr>
        <w:footnoteRef/>
      </w:r>
      <w:r>
        <w:t xml:space="preserve">    ibid</w:t>
      </w:r>
    </w:p>
  </w:footnote>
  <w:footnote w:id="36">
    <w:p w:rsidR="00F1156F" w:rsidRDefault="00F1156F" w:rsidP="00EC652C">
      <w:pPr>
        <w:pStyle w:val="Footnote"/>
      </w:pPr>
      <w:r>
        <w:rPr>
          <w:rStyle w:val="FootnoteReference"/>
        </w:rPr>
        <w:footnoteRef/>
      </w:r>
      <w:r>
        <w:t xml:space="preserve"> </w:t>
      </w:r>
      <w:r>
        <w:tab/>
        <w:t>ibid.</w:t>
      </w:r>
    </w:p>
  </w:footnote>
  <w:footnote w:id="37">
    <w:p w:rsidR="00F1156F" w:rsidRDefault="00F1156F">
      <w:pPr>
        <w:pStyle w:val="FootnoteText"/>
      </w:pPr>
      <w:r>
        <w:rPr>
          <w:rStyle w:val="FootnoteReference"/>
        </w:rPr>
        <w:footnoteRef/>
      </w:r>
      <w:r>
        <w:t xml:space="preserve">    ibid</w:t>
      </w:r>
    </w:p>
  </w:footnote>
  <w:footnote w:id="38">
    <w:p w:rsidR="00F1156F" w:rsidRDefault="00F1156F" w:rsidP="00EC652C">
      <w:pPr>
        <w:pStyle w:val="Footnote"/>
      </w:pPr>
      <w:r>
        <w:rPr>
          <w:rStyle w:val="FootnoteReference"/>
        </w:rPr>
        <w:footnoteRef/>
      </w:r>
      <w:r>
        <w:t xml:space="preserve"> </w:t>
      </w:r>
      <w:r>
        <w:tab/>
        <w:t>ibid.</w:t>
      </w:r>
    </w:p>
  </w:footnote>
  <w:footnote w:id="39">
    <w:p w:rsidR="00F1156F" w:rsidRDefault="00F1156F" w:rsidP="00EC652C">
      <w:pPr>
        <w:pStyle w:val="Footnote"/>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F" w:rsidRDefault="00F11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523"/>
    <w:multiLevelType w:val="hybridMultilevel"/>
    <w:tmpl w:val="961A0CAC"/>
    <w:lvl w:ilvl="0" w:tplc="749E3A5A">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8D6DF9"/>
    <w:multiLevelType w:val="multilevel"/>
    <w:tmpl w:val="F0ACBA50"/>
    <w:lvl w:ilvl="0">
      <w:start w:val="1"/>
      <w:numFmt w:val="upperLetter"/>
      <w:pStyle w:val="Appendixheading1"/>
      <w:lvlText w:val="%1"/>
      <w:lvlJc w:val="left"/>
      <w:pPr>
        <w:tabs>
          <w:tab w:val="num" w:pos="958"/>
        </w:tabs>
        <w:ind w:left="958" w:hanging="958"/>
      </w:pPr>
      <w:rPr>
        <w:rFonts w:hint="default"/>
      </w:rPr>
    </w:lvl>
    <w:lvl w:ilvl="1">
      <w:start w:val="1"/>
      <w:numFmt w:val="decimal"/>
      <w:pStyle w:val="Appendixheading2"/>
      <w:lvlText w:val="%1.%2"/>
      <w:lvlJc w:val="left"/>
      <w:pPr>
        <w:tabs>
          <w:tab w:val="num" w:pos="958"/>
        </w:tabs>
        <w:ind w:left="958" w:hanging="958"/>
      </w:pPr>
      <w:rPr>
        <w:rFonts w:hint="default"/>
      </w:rPr>
    </w:lvl>
    <w:lvl w:ilvl="2">
      <w:start w:val="1"/>
      <w:numFmt w:val="decimal"/>
      <w:pStyle w:val="Appendixheading3"/>
      <w:lvlText w:val="%1.%2.%3"/>
      <w:lvlJc w:val="left"/>
      <w:pPr>
        <w:tabs>
          <w:tab w:val="num" w:pos="958"/>
        </w:tabs>
        <w:ind w:left="958" w:hanging="958"/>
      </w:pPr>
      <w:rPr>
        <w:rFonts w:hint="default"/>
      </w:rPr>
    </w:lvl>
    <w:lvl w:ilvl="3">
      <w:start w:val="1"/>
      <w:numFmt w:val="decimal"/>
      <w:pStyle w:val="Appendixheading4"/>
      <w:lvlText w:val="%1.%2.%3.%4"/>
      <w:lvlJc w:val="left"/>
      <w:pPr>
        <w:tabs>
          <w:tab w:val="num" w:pos="958"/>
        </w:tabs>
        <w:ind w:left="958" w:hanging="958"/>
      </w:pPr>
      <w:rPr>
        <w:rFonts w:hint="default"/>
      </w:rPr>
    </w:lvl>
    <w:lvl w:ilvl="4">
      <w:start w:val="1"/>
      <w:numFmt w:val="decimal"/>
      <w:lvlRestart w:val="1"/>
      <w:pStyle w:val="Appendixtabletitle"/>
      <w:lvlText w:val="Table %1.%5:"/>
      <w:lvlJc w:val="left"/>
      <w:pPr>
        <w:tabs>
          <w:tab w:val="num" w:pos="958"/>
        </w:tabs>
        <w:ind w:left="0" w:firstLine="0"/>
      </w:pPr>
      <w:rPr>
        <w:rFonts w:ascii="Lucida Fax" w:hAnsi="Lucida Fax" w:hint="default"/>
        <w:b/>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B333CB"/>
    <w:multiLevelType w:val="hybridMultilevel"/>
    <w:tmpl w:val="057832E0"/>
    <w:lvl w:ilvl="0" w:tplc="14C2BD64">
      <w:start w:val="1"/>
      <w:numFmt w:val="bullet"/>
      <w:pStyle w:val="Listbullet1"/>
      <w:lvlText w:val=""/>
      <w:lvlJc w:val="left"/>
      <w:pPr>
        <w:ind w:left="360" w:hanging="360"/>
      </w:pPr>
      <w:rPr>
        <w:rFonts w:ascii="Symbol" w:hAnsi="Symbol" w:hint="default"/>
        <w:color w:val="auto"/>
        <w:sz w:val="24"/>
      </w:rPr>
    </w:lvl>
    <w:lvl w:ilvl="1" w:tplc="16E24C40">
      <w:start w:val="1"/>
      <w:numFmt w:val="bullet"/>
      <w:lvlText w:val="o"/>
      <w:lvlJc w:val="left"/>
      <w:pPr>
        <w:ind w:left="1440" w:hanging="360"/>
      </w:pPr>
      <w:rPr>
        <w:rFonts w:ascii="Courier New" w:hAnsi="Courier New" w:cs="Courier New" w:hint="default"/>
      </w:rPr>
    </w:lvl>
    <w:lvl w:ilvl="2" w:tplc="97F86E82">
      <w:start w:val="1"/>
      <w:numFmt w:val="bullet"/>
      <w:lvlText w:val=""/>
      <w:lvlJc w:val="left"/>
      <w:pPr>
        <w:ind w:left="2160" w:hanging="360"/>
      </w:pPr>
      <w:rPr>
        <w:rFonts w:ascii="Wingdings" w:hAnsi="Wingdings" w:hint="default"/>
      </w:rPr>
    </w:lvl>
    <w:lvl w:ilvl="3" w:tplc="0C8CD990" w:tentative="1">
      <w:start w:val="1"/>
      <w:numFmt w:val="bullet"/>
      <w:lvlText w:val=""/>
      <w:lvlJc w:val="left"/>
      <w:pPr>
        <w:ind w:left="2880" w:hanging="360"/>
      </w:pPr>
      <w:rPr>
        <w:rFonts w:ascii="Symbol" w:hAnsi="Symbol" w:hint="default"/>
      </w:rPr>
    </w:lvl>
    <w:lvl w:ilvl="4" w:tplc="13F86290" w:tentative="1">
      <w:start w:val="1"/>
      <w:numFmt w:val="bullet"/>
      <w:lvlText w:val="o"/>
      <w:lvlJc w:val="left"/>
      <w:pPr>
        <w:ind w:left="3600" w:hanging="360"/>
      </w:pPr>
      <w:rPr>
        <w:rFonts w:ascii="Courier New" w:hAnsi="Courier New" w:cs="Courier New" w:hint="default"/>
      </w:rPr>
    </w:lvl>
    <w:lvl w:ilvl="5" w:tplc="C428A5CE" w:tentative="1">
      <w:start w:val="1"/>
      <w:numFmt w:val="bullet"/>
      <w:lvlText w:val=""/>
      <w:lvlJc w:val="left"/>
      <w:pPr>
        <w:ind w:left="4320" w:hanging="360"/>
      </w:pPr>
      <w:rPr>
        <w:rFonts w:ascii="Wingdings" w:hAnsi="Wingdings" w:hint="default"/>
      </w:rPr>
    </w:lvl>
    <w:lvl w:ilvl="6" w:tplc="68D4171C" w:tentative="1">
      <w:start w:val="1"/>
      <w:numFmt w:val="bullet"/>
      <w:lvlText w:val=""/>
      <w:lvlJc w:val="left"/>
      <w:pPr>
        <w:ind w:left="5040" w:hanging="360"/>
      </w:pPr>
      <w:rPr>
        <w:rFonts w:ascii="Symbol" w:hAnsi="Symbol" w:hint="default"/>
      </w:rPr>
    </w:lvl>
    <w:lvl w:ilvl="7" w:tplc="0C209AF8" w:tentative="1">
      <w:start w:val="1"/>
      <w:numFmt w:val="bullet"/>
      <w:lvlText w:val="o"/>
      <w:lvlJc w:val="left"/>
      <w:pPr>
        <w:ind w:left="5760" w:hanging="360"/>
      </w:pPr>
      <w:rPr>
        <w:rFonts w:ascii="Courier New" w:hAnsi="Courier New" w:cs="Courier New" w:hint="default"/>
      </w:rPr>
    </w:lvl>
    <w:lvl w:ilvl="8" w:tplc="9B5ECC4E" w:tentative="1">
      <w:start w:val="1"/>
      <w:numFmt w:val="bullet"/>
      <w:lvlText w:val=""/>
      <w:lvlJc w:val="left"/>
      <w:pPr>
        <w:ind w:left="6480" w:hanging="360"/>
      </w:pPr>
      <w:rPr>
        <w:rFonts w:ascii="Wingdings" w:hAnsi="Wingdings" w:hint="default"/>
      </w:rPr>
    </w:lvl>
  </w:abstractNum>
  <w:abstractNum w:abstractNumId="3">
    <w:nsid w:val="294A2568"/>
    <w:multiLevelType w:val="hybridMultilevel"/>
    <w:tmpl w:val="8B8C1450"/>
    <w:lvl w:ilvl="0" w:tplc="5B0C49DA">
      <w:start w:val="1"/>
      <w:numFmt w:val="decimal"/>
      <w:lvlText w:val="Table %1."/>
      <w:lvlJc w:val="left"/>
      <w:pPr>
        <w:ind w:left="720" w:hanging="360"/>
      </w:pPr>
      <w:rPr>
        <w:rFonts w:ascii="Lucida Fax" w:hAnsi="Lucida Fax" w:hint="default"/>
        <w:sz w:val="20"/>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
    <w:nsid w:val="2A621FEE"/>
    <w:multiLevelType w:val="multilevel"/>
    <w:tmpl w:val="6E70285C"/>
    <w:lvl w:ilvl="0">
      <w:start w:val="1"/>
      <w:numFmt w:val="decimal"/>
      <w:lvlText w:val="%1."/>
      <w:lvlJc w:val="left"/>
      <w:pPr>
        <w:ind w:left="360" w:hanging="360"/>
      </w:pPr>
      <w:rPr>
        <w:rFonts w:hint="default"/>
      </w:rPr>
    </w:lvl>
    <w:lvl w:ilvl="1">
      <w:start w:val="1"/>
      <w:numFmt w:val="decimal"/>
      <w:lvlText w:val="Table %1.%2:"/>
      <w:lvlJc w:val="left"/>
      <w:pPr>
        <w:ind w:left="792" w:hanging="432"/>
      </w:pPr>
      <w:rPr>
        <w:rFonts w:ascii="Lucida Fax" w:hAnsi="Lucida Fax"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010807"/>
    <w:multiLevelType w:val="hybridMultilevel"/>
    <w:tmpl w:val="62ACE8FE"/>
    <w:lvl w:ilvl="0" w:tplc="0C090003">
      <w:start w:val="1"/>
      <w:numFmt w:val="bullet"/>
      <w:lvlText w:val="o"/>
      <w:lvlJc w:val="left"/>
      <w:pPr>
        <w:ind w:left="1080" w:hanging="360"/>
      </w:pPr>
      <w:rPr>
        <w:rFonts w:ascii="Courier New" w:hAnsi="Courier New" w:cs="Courier New" w:hint="default"/>
        <w:color w:val="auto"/>
        <w:sz w:val="24"/>
      </w:rPr>
    </w:lvl>
    <w:lvl w:ilvl="1" w:tplc="16E24C40">
      <w:start w:val="1"/>
      <w:numFmt w:val="bullet"/>
      <w:lvlText w:val="o"/>
      <w:lvlJc w:val="left"/>
      <w:pPr>
        <w:ind w:left="2160" w:hanging="360"/>
      </w:pPr>
      <w:rPr>
        <w:rFonts w:ascii="Courier New" w:hAnsi="Courier New" w:cs="Courier New" w:hint="default"/>
      </w:rPr>
    </w:lvl>
    <w:lvl w:ilvl="2" w:tplc="97F86E82">
      <w:start w:val="1"/>
      <w:numFmt w:val="bullet"/>
      <w:lvlText w:val=""/>
      <w:lvlJc w:val="left"/>
      <w:pPr>
        <w:ind w:left="2880" w:hanging="360"/>
      </w:pPr>
      <w:rPr>
        <w:rFonts w:ascii="Wingdings" w:hAnsi="Wingdings" w:hint="default"/>
      </w:rPr>
    </w:lvl>
    <w:lvl w:ilvl="3" w:tplc="0C8CD990" w:tentative="1">
      <w:start w:val="1"/>
      <w:numFmt w:val="bullet"/>
      <w:lvlText w:val=""/>
      <w:lvlJc w:val="left"/>
      <w:pPr>
        <w:ind w:left="3600" w:hanging="360"/>
      </w:pPr>
      <w:rPr>
        <w:rFonts w:ascii="Symbol" w:hAnsi="Symbol" w:hint="default"/>
      </w:rPr>
    </w:lvl>
    <w:lvl w:ilvl="4" w:tplc="13F86290" w:tentative="1">
      <w:start w:val="1"/>
      <w:numFmt w:val="bullet"/>
      <w:lvlText w:val="o"/>
      <w:lvlJc w:val="left"/>
      <w:pPr>
        <w:ind w:left="4320" w:hanging="360"/>
      </w:pPr>
      <w:rPr>
        <w:rFonts w:ascii="Courier New" w:hAnsi="Courier New" w:cs="Courier New" w:hint="default"/>
      </w:rPr>
    </w:lvl>
    <w:lvl w:ilvl="5" w:tplc="C428A5CE" w:tentative="1">
      <w:start w:val="1"/>
      <w:numFmt w:val="bullet"/>
      <w:lvlText w:val=""/>
      <w:lvlJc w:val="left"/>
      <w:pPr>
        <w:ind w:left="5040" w:hanging="360"/>
      </w:pPr>
      <w:rPr>
        <w:rFonts w:ascii="Wingdings" w:hAnsi="Wingdings" w:hint="default"/>
      </w:rPr>
    </w:lvl>
    <w:lvl w:ilvl="6" w:tplc="68D4171C" w:tentative="1">
      <w:start w:val="1"/>
      <w:numFmt w:val="bullet"/>
      <w:lvlText w:val=""/>
      <w:lvlJc w:val="left"/>
      <w:pPr>
        <w:ind w:left="5760" w:hanging="360"/>
      </w:pPr>
      <w:rPr>
        <w:rFonts w:ascii="Symbol" w:hAnsi="Symbol" w:hint="default"/>
      </w:rPr>
    </w:lvl>
    <w:lvl w:ilvl="7" w:tplc="0C209AF8" w:tentative="1">
      <w:start w:val="1"/>
      <w:numFmt w:val="bullet"/>
      <w:lvlText w:val="o"/>
      <w:lvlJc w:val="left"/>
      <w:pPr>
        <w:ind w:left="6480" w:hanging="360"/>
      </w:pPr>
      <w:rPr>
        <w:rFonts w:ascii="Courier New" w:hAnsi="Courier New" w:cs="Courier New" w:hint="default"/>
      </w:rPr>
    </w:lvl>
    <w:lvl w:ilvl="8" w:tplc="9B5ECC4E" w:tentative="1">
      <w:start w:val="1"/>
      <w:numFmt w:val="bullet"/>
      <w:lvlText w:val=""/>
      <w:lvlJc w:val="left"/>
      <w:pPr>
        <w:ind w:left="7200" w:hanging="360"/>
      </w:pPr>
      <w:rPr>
        <w:rFonts w:ascii="Wingdings" w:hAnsi="Wingdings" w:hint="default"/>
      </w:rPr>
    </w:lvl>
  </w:abstractNum>
  <w:abstractNum w:abstractNumId="6">
    <w:nsid w:val="42B4284E"/>
    <w:multiLevelType w:val="hybridMultilevel"/>
    <w:tmpl w:val="017E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42710D"/>
    <w:multiLevelType w:val="multilevel"/>
    <w:tmpl w:val="B8B0BE8C"/>
    <w:lvl w:ilvl="0">
      <w:start w:val="1"/>
      <w:numFmt w:val="decimal"/>
      <w:pStyle w:val="Numberedheading1"/>
      <w:lvlText w:val="%1"/>
      <w:lvlJc w:val="left"/>
      <w:pPr>
        <w:tabs>
          <w:tab w:val="num" w:pos="958"/>
        </w:tabs>
        <w:ind w:left="958" w:hanging="958"/>
      </w:pPr>
      <w:rPr>
        <w:rFonts w:hint="default"/>
      </w:rPr>
    </w:lvl>
    <w:lvl w:ilvl="1">
      <w:start w:val="1"/>
      <w:numFmt w:val="decimal"/>
      <w:pStyle w:val="Numberedheading2"/>
      <w:lvlText w:val="%1.%2"/>
      <w:lvlJc w:val="left"/>
      <w:pPr>
        <w:tabs>
          <w:tab w:val="num" w:pos="958"/>
        </w:tabs>
        <w:ind w:left="958" w:hanging="958"/>
      </w:pPr>
      <w:rPr>
        <w:rFonts w:hint="default"/>
      </w:rPr>
    </w:lvl>
    <w:lvl w:ilvl="2">
      <w:start w:val="1"/>
      <w:numFmt w:val="decimal"/>
      <w:pStyle w:val="Numberedheading3"/>
      <w:lvlText w:val="%1.%2.%3"/>
      <w:lvlJc w:val="left"/>
      <w:pPr>
        <w:tabs>
          <w:tab w:val="num" w:pos="958"/>
        </w:tabs>
        <w:ind w:left="958" w:hanging="958"/>
      </w:pPr>
      <w:rPr>
        <w:rFonts w:hint="default"/>
      </w:rPr>
    </w:lvl>
    <w:lvl w:ilvl="3">
      <w:start w:val="1"/>
      <w:numFmt w:val="decimal"/>
      <w:pStyle w:val="Numberedheading4"/>
      <w:lvlText w:val="%1.%2.%3.%4"/>
      <w:lvlJc w:val="left"/>
      <w:pPr>
        <w:tabs>
          <w:tab w:val="num" w:pos="958"/>
        </w:tabs>
        <w:ind w:left="958" w:hanging="958"/>
      </w:pPr>
      <w:rPr>
        <w:rFonts w:hint="default"/>
      </w:rPr>
    </w:lvl>
    <w:lvl w:ilvl="4">
      <w:start w:val="1"/>
      <w:numFmt w:val="decimal"/>
      <w:lvlRestart w:val="1"/>
      <w:pStyle w:val="Numberedtabletitle"/>
      <w:lvlText w:val="Table %1.%5:"/>
      <w:lvlJc w:val="left"/>
      <w:pPr>
        <w:tabs>
          <w:tab w:val="num" w:pos="958"/>
        </w:tabs>
        <w:ind w:left="0" w:firstLine="1440"/>
      </w:pPr>
      <w:rPr>
        <w:rFonts w:ascii="Lucida Fax" w:hAnsi="Lucida Fax" w:hint="default"/>
        <w:b/>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F417BD8"/>
    <w:multiLevelType w:val="multilevel"/>
    <w:tmpl w:val="207827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2BE5C7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0"/>
  </w:num>
  <w:num w:numId="4">
    <w:abstractNumId w:val="3"/>
  </w:num>
  <w:num w:numId="5">
    <w:abstractNumId w:val="8"/>
  </w:num>
  <w:num w:numId="6">
    <w:abstractNumId w:val="1"/>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tps://www.accc.gov.au/system/files/Guideline for quality of service monitoring at airports - 2015.DOCX"/>
  </w:docVars>
  <w:rsids>
    <w:rsidRoot w:val="00EA5F9E"/>
    <w:rsid w:val="000013EF"/>
    <w:rsid w:val="00003446"/>
    <w:rsid w:val="00004D1A"/>
    <w:rsid w:val="00004E67"/>
    <w:rsid w:val="00006141"/>
    <w:rsid w:val="00007557"/>
    <w:rsid w:val="0001027F"/>
    <w:rsid w:val="0001243A"/>
    <w:rsid w:val="00013415"/>
    <w:rsid w:val="00013497"/>
    <w:rsid w:val="00013D9C"/>
    <w:rsid w:val="000151E9"/>
    <w:rsid w:val="000152E4"/>
    <w:rsid w:val="0002099F"/>
    <w:rsid w:val="00023CF6"/>
    <w:rsid w:val="00026F3E"/>
    <w:rsid w:val="00031270"/>
    <w:rsid w:val="00040B6C"/>
    <w:rsid w:val="00042E0A"/>
    <w:rsid w:val="00043C97"/>
    <w:rsid w:val="00044707"/>
    <w:rsid w:val="000452A7"/>
    <w:rsid w:val="00045957"/>
    <w:rsid w:val="00045F74"/>
    <w:rsid w:val="00050F79"/>
    <w:rsid w:val="00052049"/>
    <w:rsid w:val="00053958"/>
    <w:rsid w:val="0005481F"/>
    <w:rsid w:val="00055045"/>
    <w:rsid w:val="0005592B"/>
    <w:rsid w:val="00055D53"/>
    <w:rsid w:val="00060D7C"/>
    <w:rsid w:val="00061064"/>
    <w:rsid w:val="000614C8"/>
    <w:rsid w:val="00063A52"/>
    <w:rsid w:val="0006549C"/>
    <w:rsid w:val="0006580F"/>
    <w:rsid w:val="00070623"/>
    <w:rsid w:val="0007075D"/>
    <w:rsid w:val="00072037"/>
    <w:rsid w:val="000736DA"/>
    <w:rsid w:val="00074BB8"/>
    <w:rsid w:val="00074D2A"/>
    <w:rsid w:val="00076BB2"/>
    <w:rsid w:val="00081280"/>
    <w:rsid w:val="0008204C"/>
    <w:rsid w:val="00082A2C"/>
    <w:rsid w:val="0008331F"/>
    <w:rsid w:val="00083B07"/>
    <w:rsid w:val="00084805"/>
    <w:rsid w:val="000858EC"/>
    <w:rsid w:val="00085A72"/>
    <w:rsid w:val="00086032"/>
    <w:rsid w:val="00086847"/>
    <w:rsid w:val="00086AC4"/>
    <w:rsid w:val="00086FCA"/>
    <w:rsid w:val="000903E6"/>
    <w:rsid w:val="00091600"/>
    <w:rsid w:val="000932BD"/>
    <w:rsid w:val="000941D6"/>
    <w:rsid w:val="00094AEE"/>
    <w:rsid w:val="00094B8C"/>
    <w:rsid w:val="000964F6"/>
    <w:rsid w:val="00097351"/>
    <w:rsid w:val="00097951"/>
    <w:rsid w:val="000A0008"/>
    <w:rsid w:val="000A0848"/>
    <w:rsid w:val="000A0D2C"/>
    <w:rsid w:val="000A29A2"/>
    <w:rsid w:val="000A3C76"/>
    <w:rsid w:val="000A49A0"/>
    <w:rsid w:val="000A57F4"/>
    <w:rsid w:val="000A5B4D"/>
    <w:rsid w:val="000A7C8C"/>
    <w:rsid w:val="000B05BF"/>
    <w:rsid w:val="000B0E4F"/>
    <w:rsid w:val="000B2568"/>
    <w:rsid w:val="000B3766"/>
    <w:rsid w:val="000B4C22"/>
    <w:rsid w:val="000B4E2F"/>
    <w:rsid w:val="000B5052"/>
    <w:rsid w:val="000B5376"/>
    <w:rsid w:val="000B580D"/>
    <w:rsid w:val="000B6DD4"/>
    <w:rsid w:val="000C7236"/>
    <w:rsid w:val="000D00FF"/>
    <w:rsid w:val="000D0C51"/>
    <w:rsid w:val="000D1832"/>
    <w:rsid w:val="000D42BA"/>
    <w:rsid w:val="000D42FB"/>
    <w:rsid w:val="000D5D03"/>
    <w:rsid w:val="000D66F2"/>
    <w:rsid w:val="000E0231"/>
    <w:rsid w:val="000E053B"/>
    <w:rsid w:val="000E4707"/>
    <w:rsid w:val="000E56A9"/>
    <w:rsid w:val="000E6030"/>
    <w:rsid w:val="000E74D5"/>
    <w:rsid w:val="000E7CE0"/>
    <w:rsid w:val="000F09F9"/>
    <w:rsid w:val="000F1B5A"/>
    <w:rsid w:val="000F3088"/>
    <w:rsid w:val="000F3447"/>
    <w:rsid w:val="000F3B9D"/>
    <w:rsid w:val="000F42CC"/>
    <w:rsid w:val="000F435A"/>
    <w:rsid w:val="000F52E4"/>
    <w:rsid w:val="000F5A5E"/>
    <w:rsid w:val="000F6273"/>
    <w:rsid w:val="000F6A94"/>
    <w:rsid w:val="000F7476"/>
    <w:rsid w:val="000F7557"/>
    <w:rsid w:val="000F78EA"/>
    <w:rsid w:val="001023D1"/>
    <w:rsid w:val="00102681"/>
    <w:rsid w:val="001058F9"/>
    <w:rsid w:val="0010683F"/>
    <w:rsid w:val="001069E3"/>
    <w:rsid w:val="00106BB8"/>
    <w:rsid w:val="00107019"/>
    <w:rsid w:val="00107AB0"/>
    <w:rsid w:val="00107EB2"/>
    <w:rsid w:val="00110945"/>
    <w:rsid w:val="00111065"/>
    <w:rsid w:val="00111922"/>
    <w:rsid w:val="00112902"/>
    <w:rsid w:val="00112941"/>
    <w:rsid w:val="00113A3F"/>
    <w:rsid w:val="00113C70"/>
    <w:rsid w:val="00114005"/>
    <w:rsid w:val="0011792E"/>
    <w:rsid w:val="00117BC8"/>
    <w:rsid w:val="001209CE"/>
    <w:rsid w:val="0012128F"/>
    <w:rsid w:val="00121E08"/>
    <w:rsid w:val="00121EA5"/>
    <w:rsid w:val="00124025"/>
    <w:rsid w:val="0012516F"/>
    <w:rsid w:val="00125873"/>
    <w:rsid w:val="00126B31"/>
    <w:rsid w:val="00133612"/>
    <w:rsid w:val="00134E78"/>
    <w:rsid w:val="001355FC"/>
    <w:rsid w:val="00136020"/>
    <w:rsid w:val="00136CA1"/>
    <w:rsid w:val="001372C5"/>
    <w:rsid w:val="00137E15"/>
    <w:rsid w:val="001400BA"/>
    <w:rsid w:val="001405D4"/>
    <w:rsid w:val="00141C82"/>
    <w:rsid w:val="00142CF9"/>
    <w:rsid w:val="00144A11"/>
    <w:rsid w:val="00144E1A"/>
    <w:rsid w:val="001465E4"/>
    <w:rsid w:val="00147056"/>
    <w:rsid w:val="00147B38"/>
    <w:rsid w:val="00150500"/>
    <w:rsid w:val="00150A1E"/>
    <w:rsid w:val="00151F43"/>
    <w:rsid w:val="00153FB0"/>
    <w:rsid w:val="00154DDC"/>
    <w:rsid w:val="00155265"/>
    <w:rsid w:val="00155557"/>
    <w:rsid w:val="00155F87"/>
    <w:rsid w:val="001563CE"/>
    <w:rsid w:val="001571B3"/>
    <w:rsid w:val="00157A13"/>
    <w:rsid w:val="00160A23"/>
    <w:rsid w:val="001628C3"/>
    <w:rsid w:val="00165EFB"/>
    <w:rsid w:val="00166E3E"/>
    <w:rsid w:val="0016760E"/>
    <w:rsid w:val="001712A5"/>
    <w:rsid w:val="001717B2"/>
    <w:rsid w:val="001717E8"/>
    <w:rsid w:val="001731D7"/>
    <w:rsid w:val="00174A88"/>
    <w:rsid w:val="00177310"/>
    <w:rsid w:val="0017787C"/>
    <w:rsid w:val="00177EAA"/>
    <w:rsid w:val="00180B36"/>
    <w:rsid w:val="001811BD"/>
    <w:rsid w:val="0018295A"/>
    <w:rsid w:val="00183A61"/>
    <w:rsid w:val="00184748"/>
    <w:rsid w:val="001848B1"/>
    <w:rsid w:val="00186FCE"/>
    <w:rsid w:val="00187B4A"/>
    <w:rsid w:val="0019020F"/>
    <w:rsid w:val="00193210"/>
    <w:rsid w:val="00193BBF"/>
    <w:rsid w:val="00196D01"/>
    <w:rsid w:val="001A00E8"/>
    <w:rsid w:val="001A048C"/>
    <w:rsid w:val="001A0D94"/>
    <w:rsid w:val="001A0E87"/>
    <w:rsid w:val="001A522C"/>
    <w:rsid w:val="001A5E9E"/>
    <w:rsid w:val="001A6984"/>
    <w:rsid w:val="001B1CC0"/>
    <w:rsid w:val="001B3195"/>
    <w:rsid w:val="001B41EB"/>
    <w:rsid w:val="001B4500"/>
    <w:rsid w:val="001B5E68"/>
    <w:rsid w:val="001B7967"/>
    <w:rsid w:val="001C0F49"/>
    <w:rsid w:val="001C1BCB"/>
    <w:rsid w:val="001C3C1C"/>
    <w:rsid w:val="001C46F8"/>
    <w:rsid w:val="001C6732"/>
    <w:rsid w:val="001D587E"/>
    <w:rsid w:val="001D680E"/>
    <w:rsid w:val="001D7188"/>
    <w:rsid w:val="001D77AF"/>
    <w:rsid w:val="001E29AA"/>
    <w:rsid w:val="001E4C58"/>
    <w:rsid w:val="001E7404"/>
    <w:rsid w:val="001E7AED"/>
    <w:rsid w:val="001F0317"/>
    <w:rsid w:val="001F0E6B"/>
    <w:rsid w:val="001F1A17"/>
    <w:rsid w:val="001F4338"/>
    <w:rsid w:val="001F4AC5"/>
    <w:rsid w:val="001F4C4D"/>
    <w:rsid w:val="001F57DA"/>
    <w:rsid w:val="001F743A"/>
    <w:rsid w:val="001F7458"/>
    <w:rsid w:val="001F77AF"/>
    <w:rsid w:val="00200833"/>
    <w:rsid w:val="00206231"/>
    <w:rsid w:val="002064A5"/>
    <w:rsid w:val="00207065"/>
    <w:rsid w:val="002134F6"/>
    <w:rsid w:val="00213936"/>
    <w:rsid w:val="00213ACC"/>
    <w:rsid w:val="00213F1B"/>
    <w:rsid w:val="00215516"/>
    <w:rsid w:val="002179B1"/>
    <w:rsid w:val="002203B2"/>
    <w:rsid w:val="00220A98"/>
    <w:rsid w:val="00223A8F"/>
    <w:rsid w:val="00223B6A"/>
    <w:rsid w:val="00223D27"/>
    <w:rsid w:val="002240CB"/>
    <w:rsid w:val="002250AA"/>
    <w:rsid w:val="00227781"/>
    <w:rsid w:val="00230720"/>
    <w:rsid w:val="00231945"/>
    <w:rsid w:val="002323A8"/>
    <w:rsid w:val="00232757"/>
    <w:rsid w:val="00233D17"/>
    <w:rsid w:val="00234B92"/>
    <w:rsid w:val="00235A2C"/>
    <w:rsid w:val="00235CF5"/>
    <w:rsid w:val="00240016"/>
    <w:rsid w:val="0024244D"/>
    <w:rsid w:val="00242E2E"/>
    <w:rsid w:val="00242E4F"/>
    <w:rsid w:val="0024418D"/>
    <w:rsid w:val="00245204"/>
    <w:rsid w:val="00245ED3"/>
    <w:rsid w:val="0024615A"/>
    <w:rsid w:val="00246367"/>
    <w:rsid w:val="002514FA"/>
    <w:rsid w:val="0025152F"/>
    <w:rsid w:val="00251BD3"/>
    <w:rsid w:val="00252CAB"/>
    <w:rsid w:val="00253256"/>
    <w:rsid w:val="00254BF7"/>
    <w:rsid w:val="002555BB"/>
    <w:rsid w:val="0026036F"/>
    <w:rsid w:val="00262FB3"/>
    <w:rsid w:val="00265138"/>
    <w:rsid w:val="002651EE"/>
    <w:rsid w:val="002676B0"/>
    <w:rsid w:val="00267C6D"/>
    <w:rsid w:val="00271A24"/>
    <w:rsid w:val="00272FB6"/>
    <w:rsid w:val="00274941"/>
    <w:rsid w:val="00276E6E"/>
    <w:rsid w:val="00280E94"/>
    <w:rsid w:val="002821A5"/>
    <w:rsid w:val="00282B57"/>
    <w:rsid w:val="00282D26"/>
    <w:rsid w:val="0028565A"/>
    <w:rsid w:val="00285BAA"/>
    <w:rsid w:val="00286BA8"/>
    <w:rsid w:val="00287624"/>
    <w:rsid w:val="00287FEF"/>
    <w:rsid w:val="00290F49"/>
    <w:rsid w:val="0029160E"/>
    <w:rsid w:val="00292A26"/>
    <w:rsid w:val="0029484F"/>
    <w:rsid w:val="00295F18"/>
    <w:rsid w:val="002962CC"/>
    <w:rsid w:val="0029636C"/>
    <w:rsid w:val="002A306D"/>
    <w:rsid w:val="002A49D3"/>
    <w:rsid w:val="002A4B7A"/>
    <w:rsid w:val="002A5D9D"/>
    <w:rsid w:val="002A6C74"/>
    <w:rsid w:val="002B01AF"/>
    <w:rsid w:val="002B120E"/>
    <w:rsid w:val="002B4134"/>
    <w:rsid w:val="002B56EE"/>
    <w:rsid w:val="002B5F4B"/>
    <w:rsid w:val="002B6245"/>
    <w:rsid w:val="002B7389"/>
    <w:rsid w:val="002C0A77"/>
    <w:rsid w:val="002C0F27"/>
    <w:rsid w:val="002C1795"/>
    <w:rsid w:val="002C2433"/>
    <w:rsid w:val="002C68FB"/>
    <w:rsid w:val="002C7718"/>
    <w:rsid w:val="002D1BDD"/>
    <w:rsid w:val="002D4448"/>
    <w:rsid w:val="002D58FD"/>
    <w:rsid w:val="002D5B3A"/>
    <w:rsid w:val="002D5F06"/>
    <w:rsid w:val="002D6F2D"/>
    <w:rsid w:val="002D75B9"/>
    <w:rsid w:val="002D7BE5"/>
    <w:rsid w:val="002D7E2B"/>
    <w:rsid w:val="002E0AEF"/>
    <w:rsid w:val="002E18EA"/>
    <w:rsid w:val="002E1B78"/>
    <w:rsid w:val="002E2457"/>
    <w:rsid w:val="002E2CCF"/>
    <w:rsid w:val="002E4DB4"/>
    <w:rsid w:val="002E6761"/>
    <w:rsid w:val="002F3AD2"/>
    <w:rsid w:val="002F6284"/>
    <w:rsid w:val="002F7BDE"/>
    <w:rsid w:val="00303B13"/>
    <w:rsid w:val="00304853"/>
    <w:rsid w:val="003048FF"/>
    <w:rsid w:val="00306179"/>
    <w:rsid w:val="00306DBD"/>
    <w:rsid w:val="00307674"/>
    <w:rsid w:val="00307AAC"/>
    <w:rsid w:val="00312A53"/>
    <w:rsid w:val="0031306B"/>
    <w:rsid w:val="00315687"/>
    <w:rsid w:val="0031788A"/>
    <w:rsid w:val="0032245D"/>
    <w:rsid w:val="00322E41"/>
    <w:rsid w:val="00322E6F"/>
    <w:rsid w:val="0032336B"/>
    <w:rsid w:val="003250E1"/>
    <w:rsid w:val="0032607D"/>
    <w:rsid w:val="003273B5"/>
    <w:rsid w:val="003303E0"/>
    <w:rsid w:val="0033117A"/>
    <w:rsid w:val="0033136A"/>
    <w:rsid w:val="0033179E"/>
    <w:rsid w:val="003318A0"/>
    <w:rsid w:val="00332520"/>
    <w:rsid w:val="00333E65"/>
    <w:rsid w:val="003358B9"/>
    <w:rsid w:val="00335E01"/>
    <w:rsid w:val="0033619F"/>
    <w:rsid w:val="00336FAC"/>
    <w:rsid w:val="0033710F"/>
    <w:rsid w:val="003406F8"/>
    <w:rsid w:val="0034195B"/>
    <w:rsid w:val="00342F81"/>
    <w:rsid w:val="003514E1"/>
    <w:rsid w:val="00355A98"/>
    <w:rsid w:val="00356620"/>
    <w:rsid w:val="003603EF"/>
    <w:rsid w:val="00360A41"/>
    <w:rsid w:val="00360FBE"/>
    <w:rsid w:val="0036184A"/>
    <w:rsid w:val="003618B3"/>
    <w:rsid w:val="00361F14"/>
    <w:rsid w:val="00362163"/>
    <w:rsid w:val="003636E0"/>
    <w:rsid w:val="00364A86"/>
    <w:rsid w:val="003712BD"/>
    <w:rsid w:val="003714F7"/>
    <w:rsid w:val="00371AF5"/>
    <w:rsid w:val="00372D5E"/>
    <w:rsid w:val="003736D4"/>
    <w:rsid w:val="0037468F"/>
    <w:rsid w:val="00376DF3"/>
    <w:rsid w:val="00376FCA"/>
    <w:rsid w:val="003774BA"/>
    <w:rsid w:val="003777ED"/>
    <w:rsid w:val="00382C0D"/>
    <w:rsid w:val="00383E4B"/>
    <w:rsid w:val="00384F83"/>
    <w:rsid w:val="00385F1A"/>
    <w:rsid w:val="0038706F"/>
    <w:rsid w:val="0039028D"/>
    <w:rsid w:val="00392B22"/>
    <w:rsid w:val="00393D24"/>
    <w:rsid w:val="00394D78"/>
    <w:rsid w:val="00396784"/>
    <w:rsid w:val="00396D07"/>
    <w:rsid w:val="00397AD4"/>
    <w:rsid w:val="003A0D86"/>
    <w:rsid w:val="003A18D6"/>
    <w:rsid w:val="003A2045"/>
    <w:rsid w:val="003A25C3"/>
    <w:rsid w:val="003A399B"/>
    <w:rsid w:val="003A4832"/>
    <w:rsid w:val="003A4EEA"/>
    <w:rsid w:val="003A695A"/>
    <w:rsid w:val="003A74FD"/>
    <w:rsid w:val="003A7A7B"/>
    <w:rsid w:val="003B10F9"/>
    <w:rsid w:val="003B1301"/>
    <w:rsid w:val="003B294B"/>
    <w:rsid w:val="003B297A"/>
    <w:rsid w:val="003B38B3"/>
    <w:rsid w:val="003B3E17"/>
    <w:rsid w:val="003B3E2B"/>
    <w:rsid w:val="003B6E53"/>
    <w:rsid w:val="003B74F8"/>
    <w:rsid w:val="003C078E"/>
    <w:rsid w:val="003C2F39"/>
    <w:rsid w:val="003C42D8"/>
    <w:rsid w:val="003C51B3"/>
    <w:rsid w:val="003C5DC3"/>
    <w:rsid w:val="003C6609"/>
    <w:rsid w:val="003C71AA"/>
    <w:rsid w:val="003D044F"/>
    <w:rsid w:val="003D1B19"/>
    <w:rsid w:val="003D40F4"/>
    <w:rsid w:val="003D6D52"/>
    <w:rsid w:val="003E05A9"/>
    <w:rsid w:val="003E0864"/>
    <w:rsid w:val="003E56C6"/>
    <w:rsid w:val="003E5D3D"/>
    <w:rsid w:val="003E72F6"/>
    <w:rsid w:val="003E7502"/>
    <w:rsid w:val="003F05C0"/>
    <w:rsid w:val="003F10E3"/>
    <w:rsid w:val="003F366C"/>
    <w:rsid w:val="003F3B18"/>
    <w:rsid w:val="003F4866"/>
    <w:rsid w:val="003F4C09"/>
    <w:rsid w:val="003F62E7"/>
    <w:rsid w:val="003F6E7B"/>
    <w:rsid w:val="003F7F00"/>
    <w:rsid w:val="004030ED"/>
    <w:rsid w:val="004034CE"/>
    <w:rsid w:val="00407D7D"/>
    <w:rsid w:val="004138B1"/>
    <w:rsid w:val="004163C3"/>
    <w:rsid w:val="0041682E"/>
    <w:rsid w:val="004172AE"/>
    <w:rsid w:val="004205D8"/>
    <w:rsid w:val="004209E1"/>
    <w:rsid w:val="0042298B"/>
    <w:rsid w:val="00424839"/>
    <w:rsid w:val="004257DD"/>
    <w:rsid w:val="00426D4F"/>
    <w:rsid w:val="004312FB"/>
    <w:rsid w:val="00432104"/>
    <w:rsid w:val="00432325"/>
    <w:rsid w:val="0043487A"/>
    <w:rsid w:val="00434934"/>
    <w:rsid w:val="00435463"/>
    <w:rsid w:val="004355FD"/>
    <w:rsid w:val="00435BDD"/>
    <w:rsid w:val="00436531"/>
    <w:rsid w:val="0044006E"/>
    <w:rsid w:val="004400CA"/>
    <w:rsid w:val="00443D2F"/>
    <w:rsid w:val="0044468C"/>
    <w:rsid w:val="00445F34"/>
    <w:rsid w:val="00445F59"/>
    <w:rsid w:val="00453E4D"/>
    <w:rsid w:val="004544B0"/>
    <w:rsid w:val="00454FEE"/>
    <w:rsid w:val="004558C1"/>
    <w:rsid w:val="00455EF3"/>
    <w:rsid w:val="00461C50"/>
    <w:rsid w:val="0046351B"/>
    <w:rsid w:val="00463787"/>
    <w:rsid w:val="00464284"/>
    <w:rsid w:val="00465B1A"/>
    <w:rsid w:val="00466950"/>
    <w:rsid w:val="00470903"/>
    <w:rsid w:val="00470C98"/>
    <w:rsid w:val="00470E25"/>
    <w:rsid w:val="004711D4"/>
    <w:rsid w:val="00472282"/>
    <w:rsid w:val="00474608"/>
    <w:rsid w:val="00475B4E"/>
    <w:rsid w:val="00475FEA"/>
    <w:rsid w:val="0047613D"/>
    <w:rsid w:val="004763FB"/>
    <w:rsid w:val="00477D52"/>
    <w:rsid w:val="00480789"/>
    <w:rsid w:val="004810DD"/>
    <w:rsid w:val="0048184D"/>
    <w:rsid w:val="004819E8"/>
    <w:rsid w:val="00483A39"/>
    <w:rsid w:val="00483A49"/>
    <w:rsid w:val="00484DA8"/>
    <w:rsid w:val="00487EA9"/>
    <w:rsid w:val="0049030A"/>
    <w:rsid w:val="004911B0"/>
    <w:rsid w:val="0049167C"/>
    <w:rsid w:val="00491C67"/>
    <w:rsid w:val="0049232C"/>
    <w:rsid w:val="0049274C"/>
    <w:rsid w:val="00493573"/>
    <w:rsid w:val="00493589"/>
    <w:rsid w:val="00494E89"/>
    <w:rsid w:val="004A1EB4"/>
    <w:rsid w:val="004A203B"/>
    <w:rsid w:val="004A3FC6"/>
    <w:rsid w:val="004A4600"/>
    <w:rsid w:val="004A4AF4"/>
    <w:rsid w:val="004A4F62"/>
    <w:rsid w:val="004A4FF2"/>
    <w:rsid w:val="004B2E8D"/>
    <w:rsid w:val="004B3370"/>
    <w:rsid w:val="004B4A33"/>
    <w:rsid w:val="004B4CC6"/>
    <w:rsid w:val="004B4D2B"/>
    <w:rsid w:val="004B7DF1"/>
    <w:rsid w:val="004B7F92"/>
    <w:rsid w:val="004C07D5"/>
    <w:rsid w:val="004C0AAA"/>
    <w:rsid w:val="004C0E38"/>
    <w:rsid w:val="004C2695"/>
    <w:rsid w:val="004C35A2"/>
    <w:rsid w:val="004C492F"/>
    <w:rsid w:val="004C524A"/>
    <w:rsid w:val="004C6DE0"/>
    <w:rsid w:val="004C7B2D"/>
    <w:rsid w:val="004D0471"/>
    <w:rsid w:val="004D2235"/>
    <w:rsid w:val="004D296B"/>
    <w:rsid w:val="004D3FAD"/>
    <w:rsid w:val="004D42AA"/>
    <w:rsid w:val="004D42D1"/>
    <w:rsid w:val="004D43C9"/>
    <w:rsid w:val="004D4F70"/>
    <w:rsid w:val="004D6E53"/>
    <w:rsid w:val="004D733B"/>
    <w:rsid w:val="004D76D9"/>
    <w:rsid w:val="004D79D8"/>
    <w:rsid w:val="004E0133"/>
    <w:rsid w:val="004E0CDC"/>
    <w:rsid w:val="004E0E49"/>
    <w:rsid w:val="004E209B"/>
    <w:rsid w:val="004E22AA"/>
    <w:rsid w:val="004E421E"/>
    <w:rsid w:val="004E50E9"/>
    <w:rsid w:val="004E5513"/>
    <w:rsid w:val="004E5E50"/>
    <w:rsid w:val="004E6814"/>
    <w:rsid w:val="004E7884"/>
    <w:rsid w:val="004E7E32"/>
    <w:rsid w:val="004F29D4"/>
    <w:rsid w:val="004F2E00"/>
    <w:rsid w:val="004F3244"/>
    <w:rsid w:val="004F6AFE"/>
    <w:rsid w:val="004F6B20"/>
    <w:rsid w:val="004F6BF0"/>
    <w:rsid w:val="004F75EE"/>
    <w:rsid w:val="00500775"/>
    <w:rsid w:val="005011F8"/>
    <w:rsid w:val="00501436"/>
    <w:rsid w:val="00503A69"/>
    <w:rsid w:val="00510735"/>
    <w:rsid w:val="00513631"/>
    <w:rsid w:val="0052197E"/>
    <w:rsid w:val="00522A7D"/>
    <w:rsid w:val="00524210"/>
    <w:rsid w:val="005242D7"/>
    <w:rsid w:val="005249B4"/>
    <w:rsid w:val="005252A2"/>
    <w:rsid w:val="00525D13"/>
    <w:rsid w:val="00525E5A"/>
    <w:rsid w:val="00526A0E"/>
    <w:rsid w:val="00530530"/>
    <w:rsid w:val="0053345D"/>
    <w:rsid w:val="005334D1"/>
    <w:rsid w:val="0053526A"/>
    <w:rsid w:val="00542ACF"/>
    <w:rsid w:val="00544053"/>
    <w:rsid w:val="00547A08"/>
    <w:rsid w:val="00551023"/>
    <w:rsid w:val="00551968"/>
    <w:rsid w:val="0055230D"/>
    <w:rsid w:val="00554304"/>
    <w:rsid w:val="00554306"/>
    <w:rsid w:val="00554B3F"/>
    <w:rsid w:val="00554BED"/>
    <w:rsid w:val="005560EA"/>
    <w:rsid w:val="00556455"/>
    <w:rsid w:val="00564247"/>
    <w:rsid w:val="00564487"/>
    <w:rsid w:val="005648A5"/>
    <w:rsid w:val="00564935"/>
    <w:rsid w:val="00566144"/>
    <w:rsid w:val="00570CC4"/>
    <w:rsid w:val="00571B32"/>
    <w:rsid w:val="00572ED2"/>
    <w:rsid w:val="0057491D"/>
    <w:rsid w:val="005768BA"/>
    <w:rsid w:val="00577F04"/>
    <w:rsid w:val="00580202"/>
    <w:rsid w:val="00582B24"/>
    <w:rsid w:val="0058350D"/>
    <w:rsid w:val="00585801"/>
    <w:rsid w:val="00586293"/>
    <w:rsid w:val="00587780"/>
    <w:rsid w:val="00590A8C"/>
    <w:rsid w:val="005924CD"/>
    <w:rsid w:val="0059394D"/>
    <w:rsid w:val="0059400B"/>
    <w:rsid w:val="005951F0"/>
    <w:rsid w:val="00596090"/>
    <w:rsid w:val="005979E2"/>
    <w:rsid w:val="005A0887"/>
    <w:rsid w:val="005A1154"/>
    <w:rsid w:val="005A1BE9"/>
    <w:rsid w:val="005A3F5D"/>
    <w:rsid w:val="005A54B9"/>
    <w:rsid w:val="005A62E7"/>
    <w:rsid w:val="005A64E4"/>
    <w:rsid w:val="005A7009"/>
    <w:rsid w:val="005B1471"/>
    <w:rsid w:val="005B1604"/>
    <w:rsid w:val="005B3AD8"/>
    <w:rsid w:val="005B59C9"/>
    <w:rsid w:val="005B631F"/>
    <w:rsid w:val="005B6CC9"/>
    <w:rsid w:val="005B6D6B"/>
    <w:rsid w:val="005C3196"/>
    <w:rsid w:val="005C42B3"/>
    <w:rsid w:val="005C4C28"/>
    <w:rsid w:val="005C6B0B"/>
    <w:rsid w:val="005C6C8A"/>
    <w:rsid w:val="005C6C9E"/>
    <w:rsid w:val="005C7EBD"/>
    <w:rsid w:val="005D0778"/>
    <w:rsid w:val="005D28DA"/>
    <w:rsid w:val="005D4040"/>
    <w:rsid w:val="005D540C"/>
    <w:rsid w:val="005D54D4"/>
    <w:rsid w:val="005D5B04"/>
    <w:rsid w:val="005D6D13"/>
    <w:rsid w:val="005E0322"/>
    <w:rsid w:val="005E09B3"/>
    <w:rsid w:val="005E0CEE"/>
    <w:rsid w:val="005E28AC"/>
    <w:rsid w:val="005E2989"/>
    <w:rsid w:val="005E5E17"/>
    <w:rsid w:val="005E7A52"/>
    <w:rsid w:val="005F032F"/>
    <w:rsid w:val="005F1608"/>
    <w:rsid w:val="005F27E2"/>
    <w:rsid w:val="005F2B25"/>
    <w:rsid w:val="005F3007"/>
    <w:rsid w:val="005F366A"/>
    <w:rsid w:val="005F3968"/>
    <w:rsid w:val="005F5A19"/>
    <w:rsid w:val="005F7F8F"/>
    <w:rsid w:val="006000B4"/>
    <w:rsid w:val="00600340"/>
    <w:rsid w:val="006011F6"/>
    <w:rsid w:val="00601ACA"/>
    <w:rsid w:val="00603FDC"/>
    <w:rsid w:val="00604AEF"/>
    <w:rsid w:val="00604FD2"/>
    <w:rsid w:val="006057B0"/>
    <w:rsid w:val="00607116"/>
    <w:rsid w:val="0060756D"/>
    <w:rsid w:val="006101AB"/>
    <w:rsid w:val="00611610"/>
    <w:rsid w:val="00612CBD"/>
    <w:rsid w:val="00612E25"/>
    <w:rsid w:val="00612F72"/>
    <w:rsid w:val="00615123"/>
    <w:rsid w:val="00616BBA"/>
    <w:rsid w:val="0061791A"/>
    <w:rsid w:val="00617D2C"/>
    <w:rsid w:val="00620B8C"/>
    <w:rsid w:val="006226B7"/>
    <w:rsid w:val="00624307"/>
    <w:rsid w:val="0062552B"/>
    <w:rsid w:val="0062588A"/>
    <w:rsid w:val="00625B24"/>
    <w:rsid w:val="00625CD5"/>
    <w:rsid w:val="00626180"/>
    <w:rsid w:val="0062687D"/>
    <w:rsid w:val="00626A9A"/>
    <w:rsid w:val="00630593"/>
    <w:rsid w:val="00631C90"/>
    <w:rsid w:val="00632DC8"/>
    <w:rsid w:val="00634FF9"/>
    <w:rsid w:val="00635B90"/>
    <w:rsid w:val="006364BF"/>
    <w:rsid w:val="00637031"/>
    <w:rsid w:val="00641019"/>
    <w:rsid w:val="00641A82"/>
    <w:rsid w:val="006428AB"/>
    <w:rsid w:val="00643711"/>
    <w:rsid w:val="00643722"/>
    <w:rsid w:val="0064381E"/>
    <w:rsid w:val="00645FF8"/>
    <w:rsid w:val="00650B1E"/>
    <w:rsid w:val="00651051"/>
    <w:rsid w:val="0065342B"/>
    <w:rsid w:val="00654474"/>
    <w:rsid w:val="00654897"/>
    <w:rsid w:val="00654D79"/>
    <w:rsid w:val="00655B47"/>
    <w:rsid w:val="006566C1"/>
    <w:rsid w:val="00657480"/>
    <w:rsid w:val="00657FF9"/>
    <w:rsid w:val="00660E68"/>
    <w:rsid w:val="0066145E"/>
    <w:rsid w:val="006616A1"/>
    <w:rsid w:val="00663720"/>
    <w:rsid w:val="00664A41"/>
    <w:rsid w:val="006662D2"/>
    <w:rsid w:val="006708D4"/>
    <w:rsid w:val="006713FD"/>
    <w:rsid w:val="0067166F"/>
    <w:rsid w:val="00672488"/>
    <w:rsid w:val="00673553"/>
    <w:rsid w:val="00674559"/>
    <w:rsid w:val="006751EF"/>
    <w:rsid w:val="0067580A"/>
    <w:rsid w:val="006758C5"/>
    <w:rsid w:val="0067610D"/>
    <w:rsid w:val="00676801"/>
    <w:rsid w:val="00676835"/>
    <w:rsid w:val="00680D22"/>
    <w:rsid w:val="00680EF0"/>
    <w:rsid w:val="00682205"/>
    <w:rsid w:val="00687771"/>
    <w:rsid w:val="00690A59"/>
    <w:rsid w:val="00690FB1"/>
    <w:rsid w:val="006920BC"/>
    <w:rsid w:val="00692141"/>
    <w:rsid w:val="00692947"/>
    <w:rsid w:val="006945EB"/>
    <w:rsid w:val="00695034"/>
    <w:rsid w:val="0069689A"/>
    <w:rsid w:val="00696C40"/>
    <w:rsid w:val="0069761C"/>
    <w:rsid w:val="006A0FF7"/>
    <w:rsid w:val="006A2965"/>
    <w:rsid w:val="006A2C95"/>
    <w:rsid w:val="006A455F"/>
    <w:rsid w:val="006A4A52"/>
    <w:rsid w:val="006A4ADA"/>
    <w:rsid w:val="006B06CD"/>
    <w:rsid w:val="006B07AD"/>
    <w:rsid w:val="006B10C7"/>
    <w:rsid w:val="006B153F"/>
    <w:rsid w:val="006B1615"/>
    <w:rsid w:val="006B27C1"/>
    <w:rsid w:val="006B30D9"/>
    <w:rsid w:val="006B31AC"/>
    <w:rsid w:val="006B3A19"/>
    <w:rsid w:val="006B4F4B"/>
    <w:rsid w:val="006B524D"/>
    <w:rsid w:val="006B563B"/>
    <w:rsid w:val="006B5D80"/>
    <w:rsid w:val="006B66D4"/>
    <w:rsid w:val="006B6D0D"/>
    <w:rsid w:val="006B7259"/>
    <w:rsid w:val="006C03E7"/>
    <w:rsid w:val="006C125D"/>
    <w:rsid w:val="006C408E"/>
    <w:rsid w:val="006C5BDD"/>
    <w:rsid w:val="006C6007"/>
    <w:rsid w:val="006C65CA"/>
    <w:rsid w:val="006C689F"/>
    <w:rsid w:val="006C6C6E"/>
    <w:rsid w:val="006D1B00"/>
    <w:rsid w:val="006D22DD"/>
    <w:rsid w:val="006D33D5"/>
    <w:rsid w:val="006D3AEC"/>
    <w:rsid w:val="006D402E"/>
    <w:rsid w:val="006E1047"/>
    <w:rsid w:val="006E122C"/>
    <w:rsid w:val="006E2382"/>
    <w:rsid w:val="006E2984"/>
    <w:rsid w:val="006E61A6"/>
    <w:rsid w:val="006F1103"/>
    <w:rsid w:val="006F15BD"/>
    <w:rsid w:val="006F23B7"/>
    <w:rsid w:val="006F52E1"/>
    <w:rsid w:val="006F66D0"/>
    <w:rsid w:val="006F7270"/>
    <w:rsid w:val="006F760C"/>
    <w:rsid w:val="00703136"/>
    <w:rsid w:val="00704583"/>
    <w:rsid w:val="00704DF1"/>
    <w:rsid w:val="00705233"/>
    <w:rsid w:val="00705963"/>
    <w:rsid w:val="00705DF1"/>
    <w:rsid w:val="00705F33"/>
    <w:rsid w:val="0070634F"/>
    <w:rsid w:val="00710984"/>
    <w:rsid w:val="00711F39"/>
    <w:rsid w:val="00712023"/>
    <w:rsid w:val="007120FA"/>
    <w:rsid w:val="0071251B"/>
    <w:rsid w:val="007125A5"/>
    <w:rsid w:val="00713B3F"/>
    <w:rsid w:val="0071558D"/>
    <w:rsid w:val="0071615D"/>
    <w:rsid w:val="007164EE"/>
    <w:rsid w:val="00716676"/>
    <w:rsid w:val="00717238"/>
    <w:rsid w:val="00717E41"/>
    <w:rsid w:val="007204DC"/>
    <w:rsid w:val="0072173C"/>
    <w:rsid w:val="0072190F"/>
    <w:rsid w:val="00721A1E"/>
    <w:rsid w:val="007242D4"/>
    <w:rsid w:val="007244D2"/>
    <w:rsid w:val="0072450B"/>
    <w:rsid w:val="007250A5"/>
    <w:rsid w:val="00726DAC"/>
    <w:rsid w:val="00726F8D"/>
    <w:rsid w:val="00733AB6"/>
    <w:rsid w:val="00734FEE"/>
    <w:rsid w:val="00735FDB"/>
    <w:rsid w:val="00736425"/>
    <w:rsid w:val="00736602"/>
    <w:rsid w:val="0073731E"/>
    <w:rsid w:val="00742FC8"/>
    <w:rsid w:val="00743FE7"/>
    <w:rsid w:val="00744937"/>
    <w:rsid w:val="00747399"/>
    <w:rsid w:val="007477D1"/>
    <w:rsid w:val="007512CD"/>
    <w:rsid w:val="007513DF"/>
    <w:rsid w:val="0075418B"/>
    <w:rsid w:val="00754716"/>
    <w:rsid w:val="0075592D"/>
    <w:rsid w:val="00756605"/>
    <w:rsid w:val="00756CDB"/>
    <w:rsid w:val="00756FB2"/>
    <w:rsid w:val="007626B4"/>
    <w:rsid w:val="007638EA"/>
    <w:rsid w:val="0076560D"/>
    <w:rsid w:val="00765AFB"/>
    <w:rsid w:val="007766C1"/>
    <w:rsid w:val="00776A66"/>
    <w:rsid w:val="007858B5"/>
    <w:rsid w:val="00791181"/>
    <w:rsid w:val="00791873"/>
    <w:rsid w:val="007927F8"/>
    <w:rsid w:val="0079286B"/>
    <w:rsid w:val="00792887"/>
    <w:rsid w:val="00792F2A"/>
    <w:rsid w:val="0079345E"/>
    <w:rsid w:val="00795903"/>
    <w:rsid w:val="00795B2E"/>
    <w:rsid w:val="00795E1A"/>
    <w:rsid w:val="00796014"/>
    <w:rsid w:val="00796A75"/>
    <w:rsid w:val="007A036A"/>
    <w:rsid w:val="007A13DB"/>
    <w:rsid w:val="007A16D5"/>
    <w:rsid w:val="007A1728"/>
    <w:rsid w:val="007A3AE2"/>
    <w:rsid w:val="007A3F64"/>
    <w:rsid w:val="007A5108"/>
    <w:rsid w:val="007A60F9"/>
    <w:rsid w:val="007A61DB"/>
    <w:rsid w:val="007A6ED1"/>
    <w:rsid w:val="007A6FAF"/>
    <w:rsid w:val="007A7145"/>
    <w:rsid w:val="007B28A8"/>
    <w:rsid w:val="007B28D8"/>
    <w:rsid w:val="007B3503"/>
    <w:rsid w:val="007B3943"/>
    <w:rsid w:val="007B4648"/>
    <w:rsid w:val="007B47AE"/>
    <w:rsid w:val="007B50FD"/>
    <w:rsid w:val="007B64B4"/>
    <w:rsid w:val="007B6C99"/>
    <w:rsid w:val="007B7101"/>
    <w:rsid w:val="007C043F"/>
    <w:rsid w:val="007C20BA"/>
    <w:rsid w:val="007C289C"/>
    <w:rsid w:val="007C3194"/>
    <w:rsid w:val="007C3F97"/>
    <w:rsid w:val="007C55B1"/>
    <w:rsid w:val="007C6172"/>
    <w:rsid w:val="007C65D8"/>
    <w:rsid w:val="007C72BB"/>
    <w:rsid w:val="007C7791"/>
    <w:rsid w:val="007D01FD"/>
    <w:rsid w:val="007D0D0A"/>
    <w:rsid w:val="007D11A0"/>
    <w:rsid w:val="007D30E2"/>
    <w:rsid w:val="007D3369"/>
    <w:rsid w:val="007D36C9"/>
    <w:rsid w:val="007D3DBE"/>
    <w:rsid w:val="007D4C58"/>
    <w:rsid w:val="007E1336"/>
    <w:rsid w:val="007E2927"/>
    <w:rsid w:val="007E2E37"/>
    <w:rsid w:val="007E435E"/>
    <w:rsid w:val="007E60E3"/>
    <w:rsid w:val="007E61A7"/>
    <w:rsid w:val="007F0099"/>
    <w:rsid w:val="007F1A3C"/>
    <w:rsid w:val="007F21F2"/>
    <w:rsid w:val="007F24B6"/>
    <w:rsid w:val="007F2AC1"/>
    <w:rsid w:val="007F35C9"/>
    <w:rsid w:val="007F4B49"/>
    <w:rsid w:val="007F6A18"/>
    <w:rsid w:val="007F7922"/>
    <w:rsid w:val="008007F4"/>
    <w:rsid w:val="00800FC6"/>
    <w:rsid w:val="00801638"/>
    <w:rsid w:val="0080200B"/>
    <w:rsid w:val="008039CE"/>
    <w:rsid w:val="00803C90"/>
    <w:rsid w:val="00803E5F"/>
    <w:rsid w:val="0080686E"/>
    <w:rsid w:val="00806BA2"/>
    <w:rsid w:val="00806EA2"/>
    <w:rsid w:val="0080761C"/>
    <w:rsid w:val="00811CDB"/>
    <w:rsid w:val="00812275"/>
    <w:rsid w:val="0081256A"/>
    <w:rsid w:val="00812BB5"/>
    <w:rsid w:val="00813D26"/>
    <w:rsid w:val="00814408"/>
    <w:rsid w:val="008152BC"/>
    <w:rsid w:val="00815A0B"/>
    <w:rsid w:val="00815C42"/>
    <w:rsid w:val="00820775"/>
    <w:rsid w:val="008209AA"/>
    <w:rsid w:val="00820E82"/>
    <w:rsid w:val="008228FC"/>
    <w:rsid w:val="00824642"/>
    <w:rsid w:val="00825BB7"/>
    <w:rsid w:val="00826146"/>
    <w:rsid w:val="008263B4"/>
    <w:rsid w:val="00826D01"/>
    <w:rsid w:val="00827F27"/>
    <w:rsid w:val="00831F19"/>
    <w:rsid w:val="00832338"/>
    <w:rsid w:val="00833616"/>
    <w:rsid w:val="00833D0C"/>
    <w:rsid w:val="00836B8E"/>
    <w:rsid w:val="008372F8"/>
    <w:rsid w:val="00837A98"/>
    <w:rsid w:val="00841669"/>
    <w:rsid w:val="00843C47"/>
    <w:rsid w:val="00844645"/>
    <w:rsid w:val="00844951"/>
    <w:rsid w:val="00845736"/>
    <w:rsid w:val="0084754B"/>
    <w:rsid w:val="008524D1"/>
    <w:rsid w:val="00854526"/>
    <w:rsid w:val="008551FC"/>
    <w:rsid w:val="008560C0"/>
    <w:rsid w:val="00856BB0"/>
    <w:rsid w:val="0085786F"/>
    <w:rsid w:val="00857A59"/>
    <w:rsid w:val="008601C2"/>
    <w:rsid w:val="008623BD"/>
    <w:rsid w:val="00862EA5"/>
    <w:rsid w:val="00862FE5"/>
    <w:rsid w:val="00864BBC"/>
    <w:rsid w:val="00865BE2"/>
    <w:rsid w:val="00866D2F"/>
    <w:rsid w:val="008711A3"/>
    <w:rsid w:val="00871BE4"/>
    <w:rsid w:val="0087425C"/>
    <w:rsid w:val="0087490D"/>
    <w:rsid w:val="0087609D"/>
    <w:rsid w:val="00877DA3"/>
    <w:rsid w:val="00880209"/>
    <w:rsid w:val="00881A2D"/>
    <w:rsid w:val="008834CC"/>
    <w:rsid w:val="008870B4"/>
    <w:rsid w:val="0088764C"/>
    <w:rsid w:val="00887A15"/>
    <w:rsid w:val="00887C03"/>
    <w:rsid w:val="00887E94"/>
    <w:rsid w:val="00891C12"/>
    <w:rsid w:val="00892880"/>
    <w:rsid w:val="008934EF"/>
    <w:rsid w:val="00895053"/>
    <w:rsid w:val="00895195"/>
    <w:rsid w:val="008958A0"/>
    <w:rsid w:val="0089615E"/>
    <w:rsid w:val="00896A61"/>
    <w:rsid w:val="00896C8A"/>
    <w:rsid w:val="008A0764"/>
    <w:rsid w:val="008A0854"/>
    <w:rsid w:val="008A104D"/>
    <w:rsid w:val="008A2979"/>
    <w:rsid w:val="008A3A72"/>
    <w:rsid w:val="008A50DF"/>
    <w:rsid w:val="008A5704"/>
    <w:rsid w:val="008B18FE"/>
    <w:rsid w:val="008B19DA"/>
    <w:rsid w:val="008B41A6"/>
    <w:rsid w:val="008B6E46"/>
    <w:rsid w:val="008C0801"/>
    <w:rsid w:val="008C1B64"/>
    <w:rsid w:val="008C56AB"/>
    <w:rsid w:val="008D059A"/>
    <w:rsid w:val="008D07A8"/>
    <w:rsid w:val="008D1BE0"/>
    <w:rsid w:val="008D2701"/>
    <w:rsid w:val="008D2E1A"/>
    <w:rsid w:val="008D318A"/>
    <w:rsid w:val="008D3247"/>
    <w:rsid w:val="008D42F1"/>
    <w:rsid w:val="008D4368"/>
    <w:rsid w:val="008E0F1A"/>
    <w:rsid w:val="008E1038"/>
    <w:rsid w:val="008E4025"/>
    <w:rsid w:val="008E56C8"/>
    <w:rsid w:val="008E5B71"/>
    <w:rsid w:val="008E60EF"/>
    <w:rsid w:val="008E6C5D"/>
    <w:rsid w:val="008E6C76"/>
    <w:rsid w:val="008E73C1"/>
    <w:rsid w:val="008E7DBC"/>
    <w:rsid w:val="008E7E7A"/>
    <w:rsid w:val="008F2140"/>
    <w:rsid w:val="008F2610"/>
    <w:rsid w:val="008F32C0"/>
    <w:rsid w:val="008F5C6F"/>
    <w:rsid w:val="008F75AE"/>
    <w:rsid w:val="008F7D91"/>
    <w:rsid w:val="008F7F5D"/>
    <w:rsid w:val="00900D27"/>
    <w:rsid w:val="00900DC6"/>
    <w:rsid w:val="00902C87"/>
    <w:rsid w:val="009031CA"/>
    <w:rsid w:val="00903C78"/>
    <w:rsid w:val="0090594E"/>
    <w:rsid w:val="00905E7A"/>
    <w:rsid w:val="00912694"/>
    <w:rsid w:val="00912FC3"/>
    <w:rsid w:val="00913014"/>
    <w:rsid w:val="00914AF1"/>
    <w:rsid w:val="00915DBF"/>
    <w:rsid w:val="009164C3"/>
    <w:rsid w:val="00916A67"/>
    <w:rsid w:val="00916D93"/>
    <w:rsid w:val="00917C10"/>
    <w:rsid w:val="0092128A"/>
    <w:rsid w:val="00922ABF"/>
    <w:rsid w:val="00924D0A"/>
    <w:rsid w:val="009258CE"/>
    <w:rsid w:val="00926A8B"/>
    <w:rsid w:val="00927F64"/>
    <w:rsid w:val="00931C34"/>
    <w:rsid w:val="009325EE"/>
    <w:rsid w:val="0093379C"/>
    <w:rsid w:val="00933D78"/>
    <w:rsid w:val="009366AD"/>
    <w:rsid w:val="00937314"/>
    <w:rsid w:val="00940B7E"/>
    <w:rsid w:val="00940B81"/>
    <w:rsid w:val="0094202B"/>
    <w:rsid w:val="009455CA"/>
    <w:rsid w:val="00946381"/>
    <w:rsid w:val="00946FF8"/>
    <w:rsid w:val="0094703B"/>
    <w:rsid w:val="00951F64"/>
    <w:rsid w:val="00952B93"/>
    <w:rsid w:val="00953013"/>
    <w:rsid w:val="00953D4C"/>
    <w:rsid w:val="0095532D"/>
    <w:rsid w:val="00956262"/>
    <w:rsid w:val="009606DC"/>
    <w:rsid w:val="0096386D"/>
    <w:rsid w:val="00964A8D"/>
    <w:rsid w:val="00964E50"/>
    <w:rsid w:val="00965137"/>
    <w:rsid w:val="00965F97"/>
    <w:rsid w:val="0097235E"/>
    <w:rsid w:val="00974382"/>
    <w:rsid w:val="00980566"/>
    <w:rsid w:val="00981E23"/>
    <w:rsid w:val="00982F09"/>
    <w:rsid w:val="00983FE2"/>
    <w:rsid w:val="009850CE"/>
    <w:rsid w:val="00985385"/>
    <w:rsid w:val="00985A4C"/>
    <w:rsid w:val="00985D46"/>
    <w:rsid w:val="0099088C"/>
    <w:rsid w:val="009924A1"/>
    <w:rsid w:val="00994D72"/>
    <w:rsid w:val="009957C2"/>
    <w:rsid w:val="00995B8B"/>
    <w:rsid w:val="00997B29"/>
    <w:rsid w:val="009A0727"/>
    <w:rsid w:val="009A2335"/>
    <w:rsid w:val="009A24D0"/>
    <w:rsid w:val="009A308E"/>
    <w:rsid w:val="009A4929"/>
    <w:rsid w:val="009A6785"/>
    <w:rsid w:val="009A6E9A"/>
    <w:rsid w:val="009A73DE"/>
    <w:rsid w:val="009A7BDB"/>
    <w:rsid w:val="009B0B38"/>
    <w:rsid w:val="009B0F6E"/>
    <w:rsid w:val="009B14EE"/>
    <w:rsid w:val="009B1540"/>
    <w:rsid w:val="009B3116"/>
    <w:rsid w:val="009B3F99"/>
    <w:rsid w:val="009B5AE6"/>
    <w:rsid w:val="009B74D7"/>
    <w:rsid w:val="009C082E"/>
    <w:rsid w:val="009C1659"/>
    <w:rsid w:val="009C1820"/>
    <w:rsid w:val="009C1C13"/>
    <w:rsid w:val="009C1DF8"/>
    <w:rsid w:val="009C29A5"/>
    <w:rsid w:val="009C3B8B"/>
    <w:rsid w:val="009C41B8"/>
    <w:rsid w:val="009C4C6D"/>
    <w:rsid w:val="009C50E4"/>
    <w:rsid w:val="009C51EC"/>
    <w:rsid w:val="009C64D9"/>
    <w:rsid w:val="009C7D14"/>
    <w:rsid w:val="009D1B8C"/>
    <w:rsid w:val="009D2948"/>
    <w:rsid w:val="009D497B"/>
    <w:rsid w:val="009D584F"/>
    <w:rsid w:val="009D6D7F"/>
    <w:rsid w:val="009E430C"/>
    <w:rsid w:val="009E4400"/>
    <w:rsid w:val="009E4CE0"/>
    <w:rsid w:val="009E56B5"/>
    <w:rsid w:val="009E6183"/>
    <w:rsid w:val="009E7831"/>
    <w:rsid w:val="009F2548"/>
    <w:rsid w:val="009F52EC"/>
    <w:rsid w:val="009F6AEF"/>
    <w:rsid w:val="009F6C92"/>
    <w:rsid w:val="009F6D15"/>
    <w:rsid w:val="009F6F05"/>
    <w:rsid w:val="009F7F26"/>
    <w:rsid w:val="00A006A9"/>
    <w:rsid w:val="00A0283E"/>
    <w:rsid w:val="00A02EC9"/>
    <w:rsid w:val="00A0535C"/>
    <w:rsid w:val="00A07AFD"/>
    <w:rsid w:val="00A11031"/>
    <w:rsid w:val="00A110C4"/>
    <w:rsid w:val="00A11A12"/>
    <w:rsid w:val="00A1265F"/>
    <w:rsid w:val="00A12C08"/>
    <w:rsid w:val="00A138BF"/>
    <w:rsid w:val="00A1521B"/>
    <w:rsid w:val="00A20E5A"/>
    <w:rsid w:val="00A22DB6"/>
    <w:rsid w:val="00A2345C"/>
    <w:rsid w:val="00A23A49"/>
    <w:rsid w:val="00A25FFB"/>
    <w:rsid w:val="00A27808"/>
    <w:rsid w:val="00A312F2"/>
    <w:rsid w:val="00A313BD"/>
    <w:rsid w:val="00A343AC"/>
    <w:rsid w:val="00A34A79"/>
    <w:rsid w:val="00A34EE9"/>
    <w:rsid w:val="00A36536"/>
    <w:rsid w:val="00A375D8"/>
    <w:rsid w:val="00A40CE0"/>
    <w:rsid w:val="00A444F1"/>
    <w:rsid w:val="00A447F7"/>
    <w:rsid w:val="00A44A54"/>
    <w:rsid w:val="00A45C4A"/>
    <w:rsid w:val="00A45FD4"/>
    <w:rsid w:val="00A46855"/>
    <w:rsid w:val="00A46856"/>
    <w:rsid w:val="00A47F84"/>
    <w:rsid w:val="00A51018"/>
    <w:rsid w:val="00A51131"/>
    <w:rsid w:val="00A52340"/>
    <w:rsid w:val="00A52A7D"/>
    <w:rsid w:val="00A53045"/>
    <w:rsid w:val="00A5313A"/>
    <w:rsid w:val="00A5390D"/>
    <w:rsid w:val="00A53F57"/>
    <w:rsid w:val="00A5498A"/>
    <w:rsid w:val="00A55C83"/>
    <w:rsid w:val="00A56E26"/>
    <w:rsid w:val="00A57AAD"/>
    <w:rsid w:val="00A63C30"/>
    <w:rsid w:val="00A65AC9"/>
    <w:rsid w:val="00A66308"/>
    <w:rsid w:val="00A70A39"/>
    <w:rsid w:val="00A70E1B"/>
    <w:rsid w:val="00A7119B"/>
    <w:rsid w:val="00A73172"/>
    <w:rsid w:val="00A743AB"/>
    <w:rsid w:val="00A746D1"/>
    <w:rsid w:val="00A74A49"/>
    <w:rsid w:val="00A75576"/>
    <w:rsid w:val="00A75BC2"/>
    <w:rsid w:val="00A75FD0"/>
    <w:rsid w:val="00A80017"/>
    <w:rsid w:val="00A8048C"/>
    <w:rsid w:val="00A80797"/>
    <w:rsid w:val="00A8084C"/>
    <w:rsid w:val="00A814D2"/>
    <w:rsid w:val="00A81BF5"/>
    <w:rsid w:val="00A8452B"/>
    <w:rsid w:val="00A85C34"/>
    <w:rsid w:val="00A85CF8"/>
    <w:rsid w:val="00A86205"/>
    <w:rsid w:val="00A86D5C"/>
    <w:rsid w:val="00A86FCA"/>
    <w:rsid w:val="00A87AB5"/>
    <w:rsid w:val="00A87C48"/>
    <w:rsid w:val="00A904E6"/>
    <w:rsid w:val="00A91864"/>
    <w:rsid w:val="00A92B1F"/>
    <w:rsid w:val="00A93F30"/>
    <w:rsid w:val="00A9572D"/>
    <w:rsid w:val="00A96191"/>
    <w:rsid w:val="00A96518"/>
    <w:rsid w:val="00A96C14"/>
    <w:rsid w:val="00A96F2F"/>
    <w:rsid w:val="00A979D6"/>
    <w:rsid w:val="00AA090C"/>
    <w:rsid w:val="00AA35A7"/>
    <w:rsid w:val="00AA3F24"/>
    <w:rsid w:val="00AA4666"/>
    <w:rsid w:val="00AA4EAB"/>
    <w:rsid w:val="00AA59F3"/>
    <w:rsid w:val="00AA6B7A"/>
    <w:rsid w:val="00AA6E71"/>
    <w:rsid w:val="00AB1E86"/>
    <w:rsid w:val="00AB4EFA"/>
    <w:rsid w:val="00AB6372"/>
    <w:rsid w:val="00AB638F"/>
    <w:rsid w:val="00AB6615"/>
    <w:rsid w:val="00AB6E75"/>
    <w:rsid w:val="00AC03CF"/>
    <w:rsid w:val="00AC0C78"/>
    <w:rsid w:val="00AC2C23"/>
    <w:rsid w:val="00AC30F3"/>
    <w:rsid w:val="00AC4632"/>
    <w:rsid w:val="00AC4FD6"/>
    <w:rsid w:val="00AC5855"/>
    <w:rsid w:val="00AD0BB2"/>
    <w:rsid w:val="00AD320B"/>
    <w:rsid w:val="00AD500F"/>
    <w:rsid w:val="00AD5D7B"/>
    <w:rsid w:val="00AD5DEE"/>
    <w:rsid w:val="00AD6AC6"/>
    <w:rsid w:val="00AD7657"/>
    <w:rsid w:val="00AD7E69"/>
    <w:rsid w:val="00AD7FEB"/>
    <w:rsid w:val="00AE0F2D"/>
    <w:rsid w:val="00AE1A63"/>
    <w:rsid w:val="00AE3531"/>
    <w:rsid w:val="00AE401C"/>
    <w:rsid w:val="00AE5998"/>
    <w:rsid w:val="00AE60B6"/>
    <w:rsid w:val="00AE75DC"/>
    <w:rsid w:val="00AE7CDB"/>
    <w:rsid w:val="00AF2FE2"/>
    <w:rsid w:val="00AF4D3F"/>
    <w:rsid w:val="00AF74FA"/>
    <w:rsid w:val="00B014F7"/>
    <w:rsid w:val="00B019A4"/>
    <w:rsid w:val="00B03292"/>
    <w:rsid w:val="00B036FC"/>
    <w:rsid w:val="00B045AB"/>
    <w:rsid w:val="00B04A74"/>
    <w:rsid w:val="00B0569E"/>
    <w:rsid w:val="00B0677E"/>
    <w:rsid w:val="00B074DB"/>
    <w:rsid w:val="00B10B47"/>
    <w:rsid w:val="00B11F21"/>
    <w:rsid w:val="00B12E1F"/>
    <w:rsid w:val="00B15294"/>
    <w:rsid w:val="00B167AD"/>
    <w:rsid w:val="00B16A8D"/>
    <w:rsid w:val="00B20D30"/>
    <w:rsid w:val="00B221C2"/>
    <w:rsid w:val="00B22D27"/>
    <w:rsid w:val="00B2448E"/>
    <w:rsid w:val="00B2455D"/>
    <w:rsid w:val="00B24B33"/>
    <w:rsid w:val="00B24F19"/>
    <w:rsid w:val="00B26C34"/>
    <w:rsid w:val="00B270AD"/>
    <w:rsid w:val="00B273C6"/>
    <w:rsid w:val="00B32435"/>
    <w:rsid w:val="00B3314F"/>
    <w:rsid w:val="00B34215"/>
    <w:rsid w:val="00B3690E"/>
    <w:rsid w:val="00B37C8B"/>
    <w:rsid w:val="00B40143"/>
    <w:rsid w:val="00B404FC"/>
    <w:rsid w:val="00B42826"/>
    <w:rsid w:val="00B42E80"/>
    <w:rsid w:val="00B437BA"/>
    <w:rsid w:val="00B43B36"/>
    <w:rsid w:val="00B44C60"/>
    <w:rsid w:val="00B4518D"/>
    <w:rsid w:val="00B457F0"/>
    <w:rsid w:val="00B513D7"/>
    <w:rsid w:val="00B51EF3"/>
    <w:rsid w:val="00B53A7D"/>
    <w:rsid w:val="00B53F79"/>
    <w:rsid w:val="00B544E6"/>
    <w:rsid w:val="00B5473D"/>
    <w:rsid w:val="00B5634C"/>
    <w:rsid w:val="00B61B81"/>
    <w:rsid w:val="00B626DC"/>
    <w:rsid w:val="00B62E56"/>
    <w:rsid w:val="00B62E93"/>
    <w:rsid w:val="00B6310F"/>
    <w:rsid w:val="00B648C3"/>
    <w:rsid w:val="00B662BA"/>
    <w:rsid w:val="00B66C0E"/>
    <w:rsid w:val="00B672CF"/>
    <w:rsid w:val="00B7239C"/>
    <w:rsid w:val="00B72D26"/>
    <w:rsid w:val="00B73A71"/>
    <w:rsid w:val="00B74A39"/>
    <w:rsid w:val="00B74C09"/>
    <w:rsid w:val="00B7543A"/>
    <w:rsid w:val="00B75C6A"/>
    <w:rsid w:val="00B80F47"/>
    <w:rsid w:val="00B8171C"/>
    <w:rsid w:val="00B83FF2"/>
    <w:rsid w:val="00B853D2"/>
    <w:rsid w:val="00B870CC"/>
    <w:rsid w:val="00B900FC"/>
    <w:rsid w:val="00B9343A"/>
    <w:rsid w:val="00B95045"/>
    <w:rsid w:val="00B95BC9"/>
    <w:rsid w:val="00BA0528"/>
    <w:rsid w:val="00BA1392"/>
    <w:rsid w:val="00BA1D02"/>
    <w:rsid w:val="00BA3851"/>
    <w:rsid w:val="00BA46DC"/>
    <w:rsid w:val="00BA745B"/>
    <w:rsid w:val="00BA7D92"/>
    <w:rsid w:val="00BA7E08"/>
    <w:rsid w:val="00BA7F79"/>
    <w:rsid w:val="00BB036F"/>
    <w:rsid w:val="00BB08A5"/>
    <w:rsid w:val="00BB0FC3"/>
    <w:rsid w:val="00BB2451"/>
    <w:rsid w:val="00BB30BD"/>
    <w:rsid w:val="00BB4F3A"/>
    <w:rsid w:val="00BB5B2E"/>
    <w:rsid w:val="00BB5F13"/>
    <w:rsid w:val="00BB63A6"/>
    <w:rsid w:val="00BC1148"/>
    <w:rsid w:val="00BC1493"/>
    <w:rsid w:val="00BC1C04"/>
    <w:rsid w:val="00BC271C"/>
    <w:rsid w:val="00BC2D35"/>
    <w:rsid w:val="00BC394C"/>
    <w:rsid w:val="00BC4A52"/>
    <w:rsid w:val="00BC5259"/>
    <w:rsid w:val="00BC5CBF"/>
    <w:rsid w:val="00BC5EC0"/>
    <w:rsid w:val="00BC7DEF"/>
    <w:rsid w:val="00BD039C"/>
    <w:rsid w:val="00BD1FE5"/>
    <w:rsid w:val="00BD29A2"/>
    <w:rsid w:val="00BD2E28"/>
    <w:rsid w:val="00BD4213"/>
    <w:rsid w:val="00BD6B4E"/>
    <w:rsid w:val="00BD6DF3"/>
    <w:rsid w:val="00BD742E"/>
    <w:rsid w:val="00BE144D"/>
    <w:rsid w:val="00BE20A8"/>
    <w:rsid w:val="00BF1355"/>
    <w:rsid w:val="00BF1F85"/>
    <w:rsid w:val="00BF379C"/>
    <w:rsid w:val="00BF48F9"/>
    <w:rsid w:val="00BF4CFF"/>
    <w:rsid w:val="00C00DCB"/>
    <w:rsid w:val="00C02979"/>
    <w:rsid w:val="00C03149"/>
    <w:rsid w:val="00C03445"/>
    <w:rsid w:val="00C03B60"/>
    <w:rsid w:val="00C0438B"/>
    <w:rsid w:val="00C04B4D"/>
    <w:rsid w:val="00C058D2"/>
    <w:rsid w:val="00C06AAE"/>
    <w:rsid w:val="00C10343"/>
    <w:rsid w:val="00C104BB"/>
    <w:rsid w:val="00C10E44"/>
    <w:rsid w:val="00C13940"/>
    <w:rsid w:val="00C142CC"/>
    <w:rsid w:val="00C14F36"/>
    <w:rsid w:val="00C15043"/>
    <w:rsid w:val="00C175E4"/>
    <w:rsid w:val="00C213D7"/>
    <w:rsid w:val="00C21FD2"/>
    <w:rsid w:val="00C22001"/>
    <w:rsid w:val="00C235A8"/>
    <w:rsid w:val="00C2417E"/>
    <w:rsid w:val="00C2432F"/>
    <w:rsid w:val="00C24808"/>
    <w:rsid w:val="00C259D8"/>
    <w:rsid w:val="00C266E4"/>
    <w:rsid w:val="00C26B26"/>
    <w:rsid w:val="00C26D92"/>
    <w:rsid w:val="00C278D5"/>
    <w:rsid w:val="00C27B28"/>
    <w:rsid w:val="00C30BB3"/>
    <w:rsid w:val="00C30FEE"/>
    <w:rsid w:val="00C31AED"/>
    <w:rsid w:val="00C32261"/>
    <w:rsid w:val="00C33787"/>
    <w:rsid w:val="00C34C71"/>
    <w:rsid w:val="00C40073"/>
    <w:rsid w:val="00C4036C"/>
    <w:rsid w:val="00C413CC"/>
    <w:rsid w:val="00C42C84"/>
    <w:rsid w:val="00C4388F"/>
    <w:rsid w:val="00C43906"/>
    <w:rsid w:val="00C44F37"/>
    <w:rsid w:val="00C4529A"/>
    <w:rsid w:val="00C50A19"/>
    <w:rsid w:val="00C520AE"/>
    <w:rsid w:val="00C5262A"/>
    <w:rsid w:val="00C541D5"/>
    <w:rsid w:val="00C55919"/>
    <w:rsid w:val="00C56E4D"/>
    <w:rsid w:val="00C56FFD"/>
    <w:rsid w:val="00C625ED"/>
    <w:rsid w:val="00C6598B"/>
    <w:rsid w:val="00C67000"/>
    <w:rsid w:val="00C6719A"/>
    <w:rsid w:val="00C6724A"/>
    <w:rsid w:val="00C70BAD"/>
    <w:rsid w:val="00C75496"/>
    <w:rsid w:val="00C7561C"/>
    <w:rsid w:val="00C77014"/>
    <w:rsid w:val="00C80BC6"/>
    <w:rsid w:val="00C80F66"/>
    <w:rsid w:val="00C8272F"/>
    <w:rsid w:val="00C828E5"/>
    <w:rsid w:val="00C83D28"/>
    <w:rsid w:val="00C847F7"/>
    <w:rsid w:val="00C86FDC"/>
    <w:rsid w:val="00C870F0"/>
    <w:rsid w:val="00C87A98"/>
    <w:rsid w:val="00C90458"/>
    <w:rsid w:val="00C90758"/>
    <w:rsid w:val="00C9149D"/>
    <w:rsid w:val="00C918B9"/>
    <w:rsid w:val="00C918C7"/>
    <w:rsid w:val="00C9243B"/>
    <w:rsid w:val="00C93B5F"/>
    <w:rsid w:val="00C93C37"/>
    <w:rsid w:val="00C94866"/>
    <w:rsid w:val="00C96F10"/>
    <w:rsid w:val="00C970A8"/>
    <w:rsid w:val="00CA0A56"/>
    <w:rsid w:val="00CA3AF5"/>
    <w:rsid w:val="00CA3D20"/>
    <w:rsid w:val="00CA4B4A"/>
    <w:rsid w:val="00CA5BAF"/>
    <w:rsid w:val="00CA7D9B"/>
    <w:rsid w:val="00CB0358"/>
    <w:rsid w:val="00CB1806"/>
    <w:rsid w:val="00CB51D9"/>
    <w:rsid w:val="00CB6563"/>
    <w:rsid w:val="00CC0646"/>
    <w:rsid w:val="00CC0E04"/>
    <w:rsid w:val="00CC10C2"/>
    <w:rsid w:val="00CC1B15"/>
    <w:rsid w:val="00CC4A5A"/>
    <w:rsid w:val="00CC5FC7"/>
    <w:rsid w:val="00CC71DC"/>
    <w:rsid w:val="00CD0133"/>
    <w:rsid w:val="00CD019D"/>
    <w:rsid w:val="00CD1CD3"/>
    <w:rsid w:val="00CD22CD"/>
    <w:rsid w:val="00CD3C2E"/>
    <w:rsid w:val="00CD4613"/>
    <w:rsid w:val="00CD4E1D"/>
    <w:rsid w:val="00CD6439"/>
    <w:rsid w:val="00CD703E"/>
    <w:rsid w:val="00CD72AF"/>
    <w:rsid w:val="00CD7EE8"/>
    <w:rsid w:val="00CE3E9B"/>
    <w:rsid w:val="00CE4549"/>
    <w:rsid w:val="00CE5494"/>
    <w:rsid w:val="00CF20A3"/>
    <w:rsid w:val="00CF2208"/>
    <w:rsid w:val="00CF2DE0"/>
    <w:rsid w:val="00CF2FA5"/>
    <w:rsid w:val="00CF3265"/>
    <w:rsid w:val="00CF3AF6"/>
    <w:rsid w:val="00CF636A"/>
    <w:rsid w:val="00CF6468"/>
    <w:rsid w:val="00CF7DB7"/>
    <w:rsid w:val="00D007BB"/>
    <w:rsid w:val="00D01D81"/>
    <w:rsid w:val="00D02482"/>
    <w:rsid w:val="00D02815"/>
    <w:rsid w:val="00D02C77"/>
    <w:rsid w:val="00D0414C"/>
    <w:rsid w:val="00D04562"/>
    <w:rsid w:val="00D0458F"/>
    <w:rsid w:val="00D04DAF"/>
    <w:rsid w:val="00D064A5"/>
    <w:rsid w:val="00D06BDC"/>
    <w:rsid w:val="00D1025A"/>
    <w:rsid w:val="00D1054F"/>
    <w:rsid w:val="00D10BD8"/>
    <w:rsid w:val="00D111F5"/>
    <w:rsid w:val="00D12435"/>
    <w:rsid w:val="00D130B7"/>
    <w:rsid w:val="00D13D6C"/>
    <w:rsid w:val="00D157BE"/>
    <w:rsid w:val="00D15E3D"/>
    <w:rsid w:val="00D15E65"/>
    <w:rsid w:val="00D16E0C"/>
    <w:rsid w:val="00D17870"/>
    <w:rsid w:val="00D202C9"/>
    <w:rsid w:val="00D21421"/>
    <w:rsid w:val="00D22D7B"/>
    <w:rsid w:val="00D272BF"/>
    <w:rsid w:val="00D279D7"/>
    <w:rsid w:val="00D319F5"/>
    <w:rsid w:val="00D31C3F"/>
    <w:rsid w:val="00D32471"/>
    <w:rsid w:val="00D334A6"/>
    <w:rsid w:val="00D34BD3"/>
    <w:rsid w:val="00D352CF"/>
    <w:rsid w:val="00D372F9"/>
    <w:rsid w:val="00D37F16"/>
    <w:rsid w:val="00D400DA"/>
    <w:rsid w:val="00D4078F"/>
    <w:rsid w:val="00D4158D"/>
    <w:rsid w:val="00D50A3B"/>
    <w:rsid w:val="00D516D4"/>
    <w:rsid w:val="00D51AD9"/>
    <w:rsid w:val="00D51DA9"/>
    <w:rsid w:val="00D54578"/>
    <w:rsid w:val="00D55930"/>
    <w:rsid w:val="00D56432"/>
    <w:rsid w:val="00D61AFE"/>
    <w:rsid w:val="00D61EC1"/>
    <w:rsid w:val="00D658FB"/>
    <w:rsid w:val="00D66624"/>
    <w:rsid w:val="00D7037C"/>
    <w:rsid w:val="00D72B39"/>
    <w:rsid w:val="00D72EA6"/>
    <w:rsid w:val="00D752CF"/>
    <w:rsid w:val="00D77AC7"/>
    <w:rsid w:val="00D80BF4"/>
    <w:rsid w:val="00D81FCF"/>
    <w:rsid w:val="00D82433"/>
    <w:rsid w:val="00D8769B"/>
    <w:rsid w:val="00D87CA2"/>
    <w:rsid w:val="00D90754"/>
    <w:rsid w:val="00D90A5C"/>
    <w:rsid w:val="00D912CA"/>
    <w:rsid w:val="00D93359"/>
    <w:rsid w:val="00D94640"/>
    <w:rsid w:val="00D946E0"/>
    <w:rsid w:val="00D9488F"/>
    <w:rsid w:val="00D94CAC"/>
    <w:rsid w:val="00D94DE0"/>
    <w:rsid w:val="00D95511"/>
    <w:rsid w:val="00D96D8F"/>
    <w:rsid w:val="00DA0047"/>
    <w:rsid w:val="00DA01F0"/>
    <w:rsid w:val="00DA19DB"/>
    <w:rsid w:val="00DA291C"/>
    <w:rsid w:val="00DA30AF"/>
    <w:rsid w:val="00DA32EF"/>
    <w:rsid w:val="00DA5688"/>
    <w:rsid w:val="00DA71C6"/>
    <w:rsid w:val="00DA7993"/>
    <w:rsid w:val="00DB0C3E"/>
    <w:rsid w:val="00DB3B10"/>
    <w:rsid w:val="00DB420B"/>
    <w:rsid w:val="00DB4E73"/>
    <w:rsid w:val="00DB5696"/>
    <w:rsid w:val="00DB6160"/>
    <w:rsid w:val="00DB674E"/>
    <w:rsid w:val="00DB68F6"/>
    <w:rsid w:val="00DB707B"/>
    <w:rsid w:val="00DC0E50"/>
    <w:rsid w:val="00DC0E92"/>
    <w:rsid w:val="00DC14FF"/>
    <w:rsid w:val="00DC1BAD"/>
    <w:rsid w:val="00DC21C6"/>
    <w:rsid w:val="00DC36A9"/>
    <w:rsid w:val="00DC36F2"/>
    <w:rsid w:val="00DC47AA"/>
    <w:rsid w:val="00DC4A1D"/>
    <w:rsid w:val="00DC59DD"/>
    <w:rsid w:val="00DC5A20"/>
    <w:rsid w:val="00DC5FB4"/>
    <w:rsid w:val="00DD0AA4"/>
    <w:rsid w:val="00DD18E8"/>
    <w:rsid w:val="00DD3E5D"/>
    <w:rsid w:val="00DD5607"/>
    <w:rsid w:val="00DD5A5E"/>
    <w:rsid w:val="00DD79E0"/>
    <w:rsid w:val="00DE14B3"/>
    <w:rsid w:val="00DE167E"/>
    <w:rsid w:val="00DE1EFE"/>
    <w:rsid w:val="00DE3A6A"/>
    <w:rsid w:val="00DE3F30"/>
    <w:rsid w:val="00DE4468"/>
    <w:rsid w:val="00DE478E"/>
    <w:rsid w:val="00DE55F3"/>
    <w:rsid w:val="00DE6594"/>
    <w:rsid w:val="00DE68A9"/>
    <w:rsid w:val="00DE7C27"/>
    <w:rsid w:val="00DF1F43"/>
    <w:rsid w:val="00DF2447"/>
    <w:rsid w:val="00DF4A47"/>
    <w:rsid w:val="00DF52A7"/>
    <w:rsid w:val="00DF5E8F"/>
    <w:rsid w:val="00DF615D"/>
    <w:rsid w:val="00E008A9"/>
    <w:rsid w:val="00E00A18"/>
    <w:rsid w:val="00E01F33"/>
    <w:rsid w:val="00E05CB8"/>
    <w:rsid w:val="00E05EB4"/>
    <w:rsid w:val="00E11355"/>
    <w:rsid w:val="00E11785"/>
    <w:rsid w:val="00E13990"/>
    <w:rsid w:val="00E153FE"/>
    <w:rsid w:val="00E210F6"/>
    <w:rsid w:val="00E21956"/>
    <w:rsid w:val="00E2229E"/>
    <w:rsid w:val="00E23E2A"/>
    <w:rsid w:val="00E249D6"/>
    <w:rsid w:val="00E26A90"/>
    <w:rsid w:val="00E314E0"/>
    <w:rsid w:val="00E3258B"/>
    <w:rsid w:val="00E32D07"/>
    <w:rsid w:val="00E36406"/>
    <w:rsid w:val="00E3708E"/>
    <w:rsid w:val="00E37491"/>
    <w:rsid w:val="00E3751A"/>
    <w:rsid w:val="00E40224"/>
    <w:rsid w:val="00E40667"/>
    <w:rsid w:val="00E40C46"/>
    <w:rsid w:val="00E40EC7"/>
    <w:rsid w:val="00E420C8"/>
    <w:rsid w:val="00E42E36"/>
    <w:rsid w:val="00E43135"/>
    <w:rsid w:val="00E4356E"/>
    <w:rsid w:val="00E436B2"/>
    <w:rsid w:val="00E43A2A"/>
    <w:rsid w:val="00E43D28"/>
    <w:rsid w:val="00E44A6C"/>
    <w:rsid w:val="00E44F01"/>
    <w:rsid w:val="00E45FD6"/>
    <w:rsid w:val="00E46104"/>
    <w:rsid w:val="00E522F4"/>
    <w:rsid w:val="00E533E8"/>
    <w:rsid w:val="00E541E7"/>
    <w:rsid w:val="00E56225"/>
    <w:rsid w:val="00E5637E"/>
    <w:rsid w:val="00E56BCA"/>
    <w:rsid w:val="00E57064"/>
    <w:rsid w:val="00E57959"/>
    <w:rsid w:val="00E57A74"/>
    <w:rsid w:val="00E605C6"/>
    <w:rsid w:val="00E61406"/>
    <w:rsid w:val="00E62816"/>
    <w:rsid w:val="00E631C0"/>
    <w:rsid w:val="00E64CEF"/>
    <w:rsid w:val="00E6659F"/>
    <w:rsid w:val="00E67540"/>
    <w:rsid w:val="00E6788A"/>
    <w:rsid w:val="00E70389"/>
    <w:rsid w:val="00E70948"/>
    <w:rsid w:val="00E70D82"/>
    <w:rsid w:val="00E71C5F"/>
    <w:rsid w:val="00E733AD"/>
    <w:rsid w:val="00E73777"/>
    <w:rsid w:val="00E73F17"/>
    <w:rsid w:val="00E73FC7"/>
    <w:rsid w:val="00E741E2"/>
    <w:rsid w:val="00E74229"/>
    <w:rsid w:val="00E744D4"/>
    <w:rsid w:val="00E76CFB"/>
    <w:rsid w:val="00E80990"/>
    <w:rsid w:val="00E81081"/>
    <w:rsid w:val="00E82122"/>
    <w:rsid w:val="00E8241F"/>
    <w:rsid w:val="00E83CCA"/>
    <w:rsid w:val="00E8499A"/>
    <w:rsid w:val="00E84EC5"/>
    <w:rsid w:val="00E86398"/>
    <w:rsid w:val="00E90D89"/>
    <w:rsid w:val="00E9222C"/>
    <w:rsid w:val="00E92CB8"/>
    <w:rsid w:val="00E9358C"/>
    <w:rsid w:val="00E93AE1"/>
    <w:rsid w:val="00E93CA1"/>
    <w:rsid w:val="00E96036"/>
    <w:rsid w:val="00E97339"/>
    <w:rsid w:val="00EA07E8"/>
    <w:rsid w:val="00EA1067"/>
    <w:rsid w:val="00EA218E"/>
    <w:rsid w:val="00EA41FC"/>
    <w:rsid w:val="00EA45C1"/>
    <w:rsid w:val="00EA4EF7"/>
    <w:rsid w:val="00EA5F9E"/>
    <w:rsid w:val="00EA662B"/>
    <w:rsid w:val="00EA774F"/>
    <w:rsid w:val="00EA7AD7"/>
    <w:rsid w:val="00EB0013"/>
    <w:rsid w:val="00EB07D9"/>
    <w:rsid w:val="00EB0ADA"/>
    <w:rsid w:val="00EB20EA"/>
    <w:rsid w:val="00EB2BD3"/>
    <w:rsid w:val="00EB5347"/>
    <w:rsid w:val="00EB547B"/>
    <w:rsid w:val="00EB59E7"/>
    <w:rsid w:val="00EB5C25"/>
    <w:rsid w:val="00EC0511"/>
    <w:rsid w:val="00EC0B1B"/>
    <w:rsid w:val="00EC0B82"/>
    <w:rsid w:val="00EC13D3"/>
    <w:rsid w:val="00EC1B99"/>
    <w:rsid w:val="00EC2806"/>
    <w:rsid w:val="00EC3259"/>
    <w:rsid w:val="00EC652C"/>
    <w:rsid w:val="00EC6C1F"/>
    <w:rsid w:val="00EC6CE3"/>
    <w:rsid w:val="00ED00EA"/>
    <w:rsid w:val="00ED0763"/>
    <w:rsid w:val="00ED0AAE"/>
    <w:rsid w:val="00ED14CE"/>
    <w:rsid w:val="00ED249A"/>
    <w:rsid w:val="00ED291D"/>
    <w:rsid w:val="00ED2971"/>
    <w:rsid w:val="00ED337F"/>
    <w:rsid w:val="00ED4276"/>
    <w:rsid w:val="00ED4385"/>
    <w:rsid w:val="00ED4C7C"/>
    <w:rsid w:val="00ED5670"/>
    <w:rsid w:val="00ED5B76"/>
    <w:rsid w:val="00ED5E6A"/>
    <w:rsid w:val="00ED6B67"/>
    <w:rsid w:val="00ED729A"/>
    <w:rsid w:val="00ED7DAB"/>
    <w:rsid w:val="00ED7E06"/>
    <w:rsid w:val="00EE0FB0"/>
    <w:rsid w:val="00EE1D3F"/>
    <w:rsid w:val="00EE1DFF"/>
    <w:rsid w:val="00EE28D0"/>
    <w:rsid w:val="00EE33D2"/>
    <w:rsid w:val="00EE389D"/>
    <w:rsid w:val="00EE3CBE"/>
    <w:rsid w:val="00EE5713"/>
    <w:rsid w:val="00EE5714"/>
    <w:rsid w:val="00EE5DAE"/>
    <w:rsid w:val="00EE5EA8"/>
    <w:rsid w:val="00EE6043"/>
    <w:rsid w:val="00EF1337"/>
    <w:rsid w:val="00EF3FBB"/>
    <w:rsid w:val="00EF47B8"/>
    <w:rsid w:val="00EF4FD1"/>
    <w:rsid w:val="00EF7C3B"/>
    <w:rsid w:val="00F01F5A"/>
    <w:rsid w:val="00F0327A"/>
    <w:rsid w:val="00F03EAF"/>
    <w:rsid w:val="00F05234"/>
    <w:rsid w:val="00F05A4E"/>
    <w:rsid w:val="00F05EFC"/>
    <w:rsid w:val="00F06E54"/>
    <w:rsid w:val="00F078BF"/>
    <w:rsid w:val="00F10215"/>
    <w:rsid w:val="00F10514"/>
    <w:rsid w:val="00F1156F"/>
    <w:rsid w:val="00F12A3C"/>
    <w:rsid w:val="00F14300"/>
    <w:rsid w:val="00F155FE"/>
    <w:rsid w:val="00F1755B"/>
    <w:rsid w:val="00F21153"/>
    <w:rsid w:val="00F22868"/>
    <w:rsid w:val="00F22A5D"/>
    <w:rsid w:val="00F24108"/>
    <w:rsid w:val="00F24CE4"/>
    <w:rsid w:val="00F25D9C"/>
    <w:rsid w:val="00F26007"/>
    <w:rsid w:val="00F265C4"/>
    <w:rsid w:val="00F2797E"/>
    <w:rsid w:val="00F30CC5"/>
    <w:rsid w:val="00F31EB5"/>
    <w:rsid w:val="00F3264A"/>
    <w:rsid w:val="00F3272A"/>
    <w:rsid w:val="00F329F0"/>
    <w:rsid w:val="00F32DA8"/>
    <w:rsid w:val="00F34AD5"/>
    <w:rsid w:val="00F377F8"/>
    <w:rsid w:val="00F379FB"/>
    <w:rsid w:val="00F37EB7"/>
    <w:rsid w:val="00F4221B"/>
    <w:rsid w:val="00F42C97"/>
    <w:rsid w:val="00F46EBC"/>
    <w:rsid w:val="00F47535"/>
    <w:rsid w:val="00F478A8"/>
    <w:rsid w:val="00F47B3D"/>
    <w:rsid w:val="00F50689"/>
    <w:rsid w:val="00F50AB3"/>
    <w:rsid w:val="00F54B37"/>
    <w:rsid w:val="00F5565F"/>
    <w:rsid w:val="00F55997"/>
    <w:rsid w:val="00F564C5"/>
    <w:rsid w:val="00F57203"/>
    <w:rsid w:val="00F613A5"/>
    <w:rsid w:val="00F63062"/>
    <w:rsid w:val="00F64E21"/>
    <w:rsid w:val="00F6751E"/>
    <w:rsid w:val="00F67974"/>
    <w:rsid w:val="00F71334"/>
    <w:rsid w:val="00F71E07"/>
    <w:rsid w:val="00F71FB5"/>
    <w:rsid w:val="00F7372B"/>
    <w:rsid w:val="00F74371"/>
    <w:rsid w:val="00F746CE"/>
    <w:rsid w:val="00F748C6"/>
    <w:rsid w:val="00F755E7"/>
    <w:rsid w:val="00F76DE2"/>
    <w:rsid w:val="00F76DEE"/>
    <w:rsid w:val="00F771B8"/>
    <w:rsid w:val="00F77B57"/>
    <w:rsid w:val="00F8253C"/>
    <w:rsid w:val="00F830E6"/>
    <w:rsid w:val="00F84BA1"/>
    <w:rsid w:val="00F84D99"/>
    <w:rsid w:val="00F86A88"/>
    <w:rsid w:val="00F90641"/>
    <w:rsid w:val="00FA0FDD"/>
    <w:rsid w:val="00FA1832"/>
    <w:rsid w:val="00FA1E85"/>
    <w:rsid w:val="00FA1FD4"/>
    <w:rsid w:val="00FA41A0"/>
    <w:rsid w:val="00FA56DD"/>
    <w:rsid w:val="00FA59BE"/>
    <w:rsid w:val="00FA69E9"/>
    <w:rsid w:val="00FA7137"/>
    <w:rsid w:val="00FB01E8"/>
    <w:rsid w:val="00FB2413"/>
    <w:rsid w:val="00FB4B1A"/>
    <w:rsid w:val="00FB58DE"/>
    <w:rsid w:val="00FB5F71"/>
    <w:rsid w:val="00FC0ABE"/>
    <w:rsid w:val="00FC0BA0"/>
    <w:rsid w:val="00FC1DD9"/>
    <w:rsid w:val="00FC2471"/>
    <w:rsid w:val="00FC2A3D"/>
    <w:rsid w:val="00FC3BAA"/>
    <w:rsid w:val="00FC508C"/>
    <w:rsid w:val="00FC5730"/>
    <w:rsid w:val="00FC5844"/>
    <w:rsid w:val="00FC5DBA"/>
    <w:rsid w:val="00FC6043"/>
    <w:rsid w:val="00FC6138"/>
    <w:rsid w:val="00FC64B3"/>
    <w:rsid w:val="00FC6637"/>
    <w:rsid w:val="00FD1E78"/>
    <w:rsid w:val="00FD2390"/>
    <w:rsid w:val="00FD2DC5"/>
    <w:rsid w:val="00FD30F6"/>
    <w:rsid w:val="00FD39FD"/>
    <w:rsid w:val="00FD5DC9"/>
    <w:rsid w:val="00FD61A7"/>
    <w:rsid w:val="00FD702D"/>
    <w:rsid w:val="00FD76F7"/>
    <w:rsid w:val="00FE228D"/>
    <w:rsid w:val="00FE351D"/>
    <w:rsid w:val="00FE4DFB"/>
    <w:rsid w:val="00FF0834"/>
    <w:rsid w:val="00FF113C"/>
    <w:rsid w:val="00FF1AE3"/>
    <w:rsid w:val="00FF32F7"/>
    <w:rsid w:val="00FF3EAF"/>
    <w:rsid w:val="00FF413F"/>
    <w:rsid w:val="00FF49F0"/>
    <w:rsid w:val="00FF4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98"/>
    <w:pPr>
      <w:spacing w:after="240"/>
    </w:pPr>
    <w:rPr>
      <w:rFonts w:ascii="Arial" w:hAnsi="Arial"/>
      <w:szCs w:val="22"/>
      <w:lang w:eastAsia="en-US"/>
    </w:rPr>
  </w:style>
  <w:style w:type="paragraph" w:styleId="Heading1">
    <w:name w:val="heading 1"/>
    <w:basedOn w:val="Normal"/>
    <w:next w:val="Normal"/>
    <w:link w:val="Heading1Char"/>
    <w:uiPriority w:val="9"/>
    <w:rsid w:val="00A20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A20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20E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Creporttitle1">
    <w:name w:val="ACCC report title 1"/>
    <w:autoRedefine/>
    <w:qFormat/>
    <w:rsid w:val="00E40C46"/>
    <w:pPr>
      <w:spacing w:before="4200" w:after="240"/>
      <w:contextualSpacing/>
      <w:jc w:val="center"/>
    </w:pPr>
    <w:rPr>
      <w:rFonts w:ascii="Lucida Fax" w:eastAsia="Times New Roman" w:hAnsi="Lucida Fax"/>
      <w:b/>
      <w:bCs/>
      <w:sz w:val="44"/>
    </w:rPr>
  </w:style>
  <w:style w:type="paragraph" w:customStyle="1" w:styleId="ACCCreportdate">
    <w:name w:val="ACCC report date"/>
    <w:basedOn w:val="ACCCreporttitle1"/>
    <w:autoRedefine/>
    <w:qFormat/>
    <w:rsid w:val="00E40C46"/>
    <w:rPr>
      <w:b w:val="0"/>
      <w:sz w:val="30"/>
    </w:rPr>
  </w:style>
  <w:style w:type="paragraph" w:customStyle="1" w:styleId="ACCCreporttitle2">
    <w:name w:val="ACCC report title 2"/>
    <w:basedOn w:val="ACCCreporttitle1"/>
    <w:autoRedefine/>
    <w:qFormat/>
    <w:rsid w:val="00E40C46"/>
    <w:pPr>
      <w:spacing w:before="720"/>
    </w:pPr>
    <w:rPr>
      <w:b w:val="0"/>
    </w:rPr>
  </w:style>
  <w:style w:type="paragraph" w:customStyle="1" w:styleId="ACCCcopyrighttext">
    <w:name w:val="ACCC copyright text"/>
    <w:basedOn w:val="Normal"/>
    <w:autoRedefine/>
    <w:qFormat/>
    <w:rsid w:val="00E40C46"/>
    <w:pPr>
      <w:spacing w:after="0"/>
    </w:pPr>
  </w:style>
  <w:style w:type="paragraph" w:styleId="BalloonText">
    <w:name w:val="Balloon Text"/>
    <w:basedOn w:val="Normal"/>
    <w:link w:val="BalloonTextChar"/>
    <w:uiPriority w:val="99"/>
    <w:semiHidden/>
    <w:unhideWhenUsed/>
    <w:rsid w:val="00E40C46"/>
    <w:pPr>
      <w:spacing w:after="0"/>
    </w:pPr>
    <w:rPr>
      <w:rFonts w:ascii="Tahoma" w:hAnsi="Tahoma" w:cs="Tahoma"/>
      <w:sz w:val="16"/>
      <w:szCs w:val="16"/>
    </w:rPr>
  </w:style>
  <w:style w:type="character" w:customStyle="1" w:styleId="BalloonTextChar">
    <w:name w:val="Balloon Text Char"/>
    <w:link w:val="BalloonText"/>
    <w:uiPriority w:val="99"/>
    <w:semiHidden/>
    <w:rsid w:val="00E40C46"/>
    <w:rPr>
      <w:rFonts w:ascii="Tahoma" w:hAnsi="Tahoma" w:cs="Tahoma"/>
      <w:sz w:val="16"/>
      <w:szCs w:val="16"/>
    </w:rPr>
  </w:style>
  <w:style w:type="paragraph" w:customStyle="1" w:styleId="Numberedheading1">
    <w:name w:val="Numbered heading 1"/>
    <w:next w:val="Normal"/>
    <w:autoRedefine/>
    <w:qFormat/>
    <w:rsid w:val="006000B4"/>
    <w:pPr>
      <w:pageBreakBefore/>
      <w:numPr>
        <w:numId w:val="1"/>
      </w:numPr>
      <w:spacing w:before="360" w:after="360"/>
      <w:outlineLvl w:val="0"/>
    </w:pPr>
    <w:rPr>
      <w:rFonts w:ascii="Lucida Fax" w:eastAsia="Times New Roman" w:hAnsi="Lucida Fax"/>
      <w:b/>
      <w:bCs/>
      <w:sz w:val="36"/>
      <w:szCs w:val="28"/>
      <w:lang w:eastAsia="en-US"/>
    </w:rPr>
  </w:style>
  <w:style w:type="paragraph" w:customStyle="1" w:styleId="Numberedheading2">
    <w:name w:val="Numbered heading 2"/>
    <w:next w:val="Normal"/>
    <w:autoRedefine/>
    <w:qFormat/>
    <w:rsid w:val="00ED14CE"/>
    <w:pPr>
      <w:keepNext/>
      <w:numPr>
        <w:ilvl w:val="1"/>
        <w:numId w:val="1"/>
      </w:numPr>
      <w:spacing w:before="240" w:after="240"/>
    </w:pPr>
    <w:rPr>
      <w:rFonts w:ascii="Lucida Fax" w:eastAsia="Times New Roman" w:hAnsi="Lucida Fax"/>
      <w:b/>
      <w:bCs/>
      <w:sz w:val="32"/>
      <w:szCs w:val="28"/>
      <w:lang w:eastAsia="en-US"/>
    </w:rPr>
  </w:style>
  <w:style w:type="paragraph" w:customStyle="1" w:styleId="Numberedheading3">
    <w:name w:val="Numbered heading 3"/>
    <w:next w:val="Normal"/>
    <w:autoRedefine/>
    <w:qFormat/>
    <w:rsid w:val="000B05BF"/>
    <w:pPr>
      <w:keepNext/>
      <w:numPr>
        <w:ilvl w:val="2"/>
        <w:numId w:val="1"/>
      </w:numPr>
      <w:spacing w:before="120" w:after="120"/>
    </w:pPr>
    <w:rPr>
      <w:rFonts w:ascii="Lucida Fax" w:eastAsia="Times New Roman" w:hAnsi="Lucida Fax"/>
      <w:b/>
      <w:bCs/>
      <w:sz w:val="24"/>
      <w:szCs w:val="28"/>
      <w:lang w:eastAsia="en-US"/>
    </w:rPr>
  </w:style>
  <w:style w:type="paragraph" w:customStyle="1" w:styleId="Numberedheading4">
    <w:name w:val="Numbered heading 4"/>
    <w:next w:val="Normal"/>
    <w:autoRedefine/>
    <w:qFormat/>
    <w:rsid w:val="008A50DF"/>
    <w:pPr>
      <w:keepNext/>
      <w:numPr>
        <w:ilvl w:val="3"/>
        <w:numId w:val="1"/>
      </w:numPr>
      <w:spacing w:before="120" w:after="120"/>
    </w:pPr>
    <w:rPr>
      <w:rFonts w:ascii="Lucida Fax" w:eastAsia="Times New Roman" w:hAnsi="Lucida Fax"/>
      <w:bCs/>
      <w:sz w:val="24"/>
      <w:szCs w:val="28"/>
      <w:lang w:eastAsia="en-US"/>
    </w:rPr>
  </w:style>
  <w:style w:type="paragraph" w:customStyle="1" w:styleId="Listbullet1">
    <w:name w:val="List bullet 1"/>
    <w:basedOn w:val="Normal"/>
    <w:autoRedefine/>
    <w:qFormat/>
    <w:rsid w:val="008A50DF"/>
    <w:pPr>
      <w:numPr>
        <w:numId w:val="2"/>
      </w:numPr>
      <w:spacing w:before="120"/>
    </w:pPr>
  </w:style>
  <w:style w:type="paragraph" w:customStyle="1" w:styleId="ListBullet21">
    <w:name w:val="List Bullet 21"/>
    <w:basedOn w:val="Listbullet1"/>
    <w:autoRedefine/>
    <w:qFormat/>
    <w:rsid w:val="0067580A"/>
    <w:pPr>
      <w:ind w:left="714" w:hanging="357"/>
    </w:pPr>
  </w:style>
  <w:style w:type="table" w:styleId="TableGrid">
    <w:name w:val="Table Grid"/>
    <w:basedOn w:val="TableNormal"/>
    <w:uiPriority w:val="59"/>
    <w:rsid w:val="008A5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headingleft">
    <w:name w:val="Table text heading left"/>
    <w:autoRedefine/>
    <w:qFormat/>
    <w:rsid w:val="00A96191"/>
    <w:pPr>
      <w:spacing w:before="120" w:after="120"/>
    </w:pPr>
    <w:rPr>
      <w:rFonts w:ascii="Arial" w:hAnsi="Arial"/>
      <w:b/>
      <w:sz w:val="18"/>
      <w:szCs w:val="22"/>
      <w:lang w:eastAsia="en-US"/>
    </w:rPr>
  </w:style>
  <w:style w:type="paragraph" w:customStyle="1" w:styleId="Tabletextheadingcentre">
    <w:name w:val="Table text heading centre"/>
    <w:basedOn w:val="Tabletextheadingleft"/>
    <w:autoRedefine/>
    <w:qFormat/>
    <w:rsid w:val="008A50DF"/>
    <w:pPr>
      <w:jc w:val="center"/>
    </w:pPr>
  </w:style>
  <w:style w:type="paragraph" w:customStyle="1" w:styleId="Tabletextheadingright">
    <w:name w:val="Table text heading right"/>
    <w:basedOn w:val="Tabletextheadingleft"/>
    <w:autoRedefine/>
    <w:qFormat/>
    <w:rsid w:val="008A50DF"/>
    <w:pPr>
      <w:jc w:val="right"/>
    </w:pPr>
  </w:style>
  <w:style w:type="paragraph" w:customStyle="1" w:styleId="Tabletextleft">
    <w:name w:val="Table text left"/>
    <w:autoRedefine/>
    <w:qFormat/>
    <w:rsid w:val="00251BD3"/>
    <w:pPr>
      <w:spacing w:before="120" w:after="120"/>
    </w:pPr>
    <w:rPr>
      <w:rFonts w:ascii="Arial" w:hAnsi="Arial"/>
      <w:sz w:val="18"/>
      <w:lang w:eastAsia="en-US"/>
    </w:rPr>
  </w:style>
  <w:style w:type="paragraph" w:customStyle="1" w:styleId="Tabletextcentre">
    <w:name w:val="Table text centre"/>
    <w:basedOn w:val="Tabletextleft"/>
    <w:autoRedefine/>
    <w:qFormat/>
    <w:rsid w:val="008A50DF"/>
    <w:pPr>
      <w:jc w:val="center"/>
    </w:pPr>
  </w:style>
  <w:style w:type="paragraph" w:customStyle="1" w:styleId="Tabletextright">
    <w:name w:val="Table text right"/>
    <w:basedOn w:val="Tabletextleft"/>
    <w:autoRedefine/>
    <w:qFormat/>
    <w:rsid w:val="008A50DF"/>
    <w:pPr>
      <w:jc w:val="right"/>
    </w:pPr>
  </w:style>
  <w:style w:type="paragraph" w:customStyle="1" w:styleId="Tabletextlistbullet">
    <w:name w:val="Table text list bullet"/>
    <w:basedOn w:val="Tabletextleft"/>
    <w:autoRedefine/>
    <w:qFormat/>
    <w:rsid w:val="002A5D9D"/>
  </w:style>
  <w:style w:type="paragraph" w:styleId="Quote">
    <w:name w:val="Quote"/>
    <w:basedOn w:val="Normal"/>
    <w:next w:val="Normal"/>
    <w:link w:val="QuoteChar"/>
    <w:autoRedefine/>
    <w:uiPriority w:val="29"/>
    <w:qFormat/>
    <w:rsid w:val="00880209"/>
    <w:pPr>
      <w:ind w:left="720"/>
    </w:pPr>
    <w:rPr>
      <w:iCs/>
      <w:color w:val="000000"/>
      <w:sz w:val="17"/>
    </w:rPr>
  </w:style>
  <w:style w:type="character" w:customStyle="1" w:styleId="QuoteChar">
    <w:name w:val="Quote Char"/>
    <w:link w:val="Quote"/>
    <w:uiPriority w:val="29"/>
    <w:rsid w:val="00880209"/>
    <w:rPr>
      <w:rFonts w:ascii="Arial" w:hAnsi="Arial"/>
      <w:iCs/>
      <w:color w:val="000000"/>
      <w:sz w:val="17"/>
    </w:rPr>
  </w:style>
  <w:style w:type="paragraph" w:styleId="FootnoteText">
    <w:name w:val="footnote text"/>
    <w:basedOn w:val="Normal"/>
    <w:link w:val="FootnoteTextChar"/>
    <w:uiPriority w:val="99"/>
    <w:semiHidden/>
    <w:unhideWhenUsed/>
    <w:rsid w:val="00F01F5A"/>
    <w:pPr>
      <w:spacing w:after="0"/>
      <w:ind w:left="357" w:hanging="357"/>
    </w:pPr>
    <w:rPr>
      <w:sz w:val="17"/>
      <w:szCs w:val="20"/>
    </w:rPr>
  </w:style>
  <w:style w:type="character" w:customStyle="1" w:styleId="FootnoteTextChar">
    <w:name w:val="Footnote Text Char"/>
    <w:link w:val="FootnoteText"/>
    <w:uiPriority w:val="99"/>
    <w:semiHidden/>
    <w:rsid w:val="00F01F5A"/>
    <w:rPr>
      <w:rFonts w:ascii="Arial" w:hAnsi="Arial"/>
      <w:sz w:val="17"/>
      <w:szCs w:val="20"/>
    </w:rPr>
  </w:style>
  <w:style w:type="character" w:styleId="FootnoteReference">
    <w:name w:val="footnote reference"/>
    <w:uiPriority w:val="99"/>
    <w:semiHidden/>
    <w:unhideWhenUsed/>
    <w:rsid w:val="00F01F5A"/>
    <w:rPr>
      <w:sz w:val="20"/>
      <w:vertAlign w:val="superscript"/>
    </w:rPr>
  </w:style>
  <w:style w:type="paragraph" w:customStyle="1" w:styleId="Footnote">
    <w:name w:val="Footnote"/>
    <w:basedOn w:val="FootnoteText"/>
    <w:qFormat/>
    <w:rsid w:val="00EC652C"/>
  </w:style>
  <w:style w:type="paragraph" w:customStyle="1" w:styleId="Non-numberedheading1">
    <w:name w:val="Non-numbered heading 1"/>
    <w:basedOn w:val="Numberedheading1"/>
    <w:next w:val="Normal"/>
    <w:autoRedefine/>
    <w:qFormat/>
    <w:rsid w:val="00FC2471"/>
    <w:pPr>
      <w:numPr>
        <w:numId w:val="0"/>
      </w:numPr>
    </w:pPr>
  </w:style>
  <w:style w:type="paragraph" w:customStyle="1" w:styleId="Non-numberedheading2">
    <w:name w:val="Non-numbered heading 2"/>
    <w:basedOn w:val="Numberedheading2"/>
    <w:next w:val="Normal"/>
    <w:autoRedefine/>
    <w:qFormat/>
    <w:rsid w:val="00FC2471"/>
    <w:pPr>
      <w:numPr>
        <w:ilvl w:val="0"/>
        <w:numId w:val="0"/>
      </w:numPr>
    </w:pPr>
  </w:style>
  <w:style w:type="paragraph" w:customStyle="1" w:styleId="Non-numberedheading3">
    <w:name w:val="Non-numbered heading 3"/>
    <w:basedOn w:val="Numberedheading3"/>
    <w:next w:val="Normal"/>
    <w:autoRedefine/>
    <w:qFormat/>
    <w:rsid w:val="00FC2471"/>
    <w:pPr>
      <w:numPr>
        <w:ilvl w:val="0"/>
        <w:numId w:val="0"/>
      </w:numPr>
    </w:pPr>
  </w:style>
  <w:style w:type="paragraph" w:customStyle="1" w:styleId="Non-numberedheading4">
    <w:name w:val="Non-numbered heading 4"/>
    <w:basedOn w:val="Numberedheading4"/>
    <w:next w:val="Normal"/>
    <w:autoRedefine/>
    <w:qFormat/>
    <w:rsid w:val="00FC2471"/>
    <w:pPr>
      <w:numPr>
        <w:ilvl w:val="0"/>
        <w:numId w:val="0"/>
      </w:numPr>
    </w:pPr>
  </w:style>
  <w:style w:type="paragraph" w:customStyle="1" w:styleId="Contentsheading">
    <w:name w:val="Contents heading"/>
    <w:basedOn w:val="Non-numberedheading1"/>
    <w:next w:val="Normal"/>
    <w:autoRedefine/>
    <w:qFormat/>
    <w:rsid w:val="00A70A39"/>
  </w:style>
  <w:style w:type="paragraph" w:customStyle="1" w:styleId="Glossaryheading">
    <w:name w:val="Glossary heading"/>
    <w:basedOn w:val="Non-numberedheading1"/>
    <w:next w:val="Normal"/>
    <w:autoRedefine/>
    <w:qFormat/>
    <w:rsid w:val="00A70A39"/>
  </w:style>
  <w:style w:type="paragraph" w:customStyle="1" w:styleId="Summaryheading">
    <w:name w:val="Summary heading"/>
    <w:basedOn w:val="Non-numberedheading1"/>
    <w:next w:val="Normal"/>
    <w:autoRedefine/>
    <w:qFormat/>
    <w:rsid w:val="00A70A39"/>
  </w:style>
  <w:style w:type="paragraph" w:customStyle="1" w:styleId="Appendixheading1">
    <w:name w:val="Appendix heading 1"/>
    <w:basedOn w:val="Numberedheading1"/>
    <w:next w:val="Normal"/>
    <w:autoRedefine/>
    <w:qFormat/>
    <w:rsid w:val="001C1BCB"/>
    <w:pPr>
      <w:numPr>
        <w:numId w:val="6"/>
      </w:numPr>
    </w:pPr>
  </w:style>
  <w:style w:type="paragraph" w:customStyle="1" w:styleId="Appendixheading2">
    <w:name w:val="Appendix heading 2"/>
    <w:basedOn w:val="Non-numberedheading2"/>
    <w:next w:val="Normal"/>
    <w:autoRedefine/>
    <w:qFormat/>
    <w:rsid w:val="0067580A"/>
    <w:pPr>
      <w:keepNext w:val="0"/>
      <w:numPr>
        <w:ilvl w:val="1"/>
        <w:numId w:val="6"/>
      </w:numPr>
    </w:pPr>
  </w:style>
  <w:style w:type="paragraph" w:customStyle="1" w:styleId="Appendixheading3">
    <w:name w:val="Appendix heading 3"/>
    <w:basedOn w:val="Non-numberedheading3"/>
    <w:next w:val="Normal"/>
    <w:autoRedefine/>
    <w:qFormat/>
    <w:rsid w:val="0067580A"/>
    <w:pPr>
      <w:numPr>
        <w:ilvl w:val="2"/>
        <w:numId w:val="6"/>
      </w:numPr>
    </w:pPr>
  </w:style>
  <w:style w:type="paragraph" w:customStyle="1" w:styleId="Appendixheading4">
    <w:name w:val="Appendix heading 4"/>
    <w:basedOn w:val="Non-numberedheading4"/>
    <w:next w:val="Normal"/>
    <w:autoRedefine/>
    <w:qFormat/>
    <w:rsid w:val="0067580A"/>
    <w:pPr>
      <w:numPr>
        <w:ilvl w:val="3"/>
        <w:numId w:val="6"/>
      </w:numPr>
    </w:pPr>
  </w:style>
  <w:style w:type="character" w:customStyle="1" w:styleId="Heading1Char">
    <w:name w:val="Heading 1 Char"/>
    <w:link w:val="Heading1"/>
    <w:uiPriority w:val="9"/>
    <w:rsid w:val="00A20E5A"/>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A20E5A"/>
    <w:pPr>
      <w:tabs>
        <w:tab w:val="left" w:pos="426"/>
        <w:tab w:val="right" w:leader="dot" w:pos="8438"/>
      </w:tabs>
      <w:spacing w:before="240"/>
    </w:pPr>
    <w:rPr>
      <w:b/>
      <w:noProof/>
    </w:rPr>
  </w:style>
  <w:style w:type="character" w:customStyle="1" w:styleId="Heading2Char">
    <w:name w:val="Heading 2 Char"/>
    <w:link w:val="Heading2"/>
    <w:uiPriority w:val="9"/>
    <w:semiHidden/>
    <w:rsid w:val="00A20E5A"/>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A20E5A"/>
    <w:pPr>
      <w:tabs>
        <w:tab w:val="left" w:pos="880"/>
        <w:tab w:val="right" w:leader="dot" w:pos="8438"/>
      </w:tabs>
      <w:spacing w:after="100"/>
      <w:ind w:left="426"/>
    </w:pPr>
    <w:rPr>
      <w:noProof/>
    </w:rPr>
  </w:style>
  <w:style w:type="character" w:styleId="Hyperlink">
    <w:name w:val="Hyperlink"/>
    <w:uiPriority w:val="99"/>
    <w:unhideWhenUsed/>
    <w:rsid w:val="00A20E5A"/>
    <w:rPr>
      <w:color w:val="0000FF"/>
      <w:u w:val="single"/>
    </w:rPr>
  </w:style>
  <w:style w:type="character" w:customStyle="1" w:styleId="Heading3Char">
    <w:name w:val="Heading 3 Char"/>
    <w:link w:val="Heading3"/>
    <w:uiPriority w:val="9"/>
    <w:semiHidden/>
    <w:rsid w:val="00A20E5A"/>
    <w:rPr>
      <w:rFonts w:ascii="Cambria" w:eastAsia="Times New Roman" w:hAnsi="Cambria" w:cs="Times New Roman"/>
      <w:b/>
      <w:bCs/>
      <w:color w:val="4F81BD"/>
      <w:sz w:val="20"/>
    </w:rPr>
  </w:style>
  <w:style w:type="paragraph" w:styleId="ListParagraph">
    <w:name w:val="List Paragraph"/>
    <w:basedOn w:val="Normal"/>
    <w:uiPriority w:val="34"/>
    <w:qFormat/>
    <w:rsid w:val="00FC6637"/>
    <w:pPr>
      <w:ind w:left="720"/>
      <w:contextualSpacing/>
    </w:pPr>
  </w:style>
  <w:style w:type="paragraph" w:customStyle="1" w:styleId="Numberedtabletitle">
    <w:name w:val="Numbered table title"/>
    <w:basedOn w:val="Numberedheading4"/>
    <w:next w:val="Normal"/>
    <w:autoRedefine/>
    <w:qFormat/>
    <w:rsid w:val="00837A98"/>
    <w:pPr>
      <w:numPr>
        <w:ilvl w:val="4"/>
      </w:numPr>
      <w:spacing w:after="60"/>
      <w:ind w:left="958" w:hanging="958"/>
    </w:pPr>
    <w:rPr>
      <w:b/>
      <w:sz w:val="20"/>
    </w:rPr>
  </w:style>
  <w:style w:type="paragraph" w:customStyle="1" w:styleId="Non-numberedtabletitle">
    <w:name w:val="Non-numbered table title"/>
    <w:basedOn w:val="Numberedtabletitle"/>
    <w:next w:val="Normal"/>
    <w:qFormat/>
    <w:rsid w:val="00FC6637"/>
    <w:pPr>
      <w:numPr>
        <w:ilvl w:val="0"/>
        <w:numId w:val="0"/>
      </w:numPr>
    </w:pPr>
  </w:style>
  <w:style w:type="paragraph" w:customStyle="1" w:styleId="Appendixtabletitle">
    <w:name w:val="Appendix table title"/>
    <w:basedOn w:val="Numberedtabletitle"/>
    <w:next w:val="Normal"/>
    <w:qFormat/>
    <w:rsid w:val="001C1BCB"/>
    <w:pPr>
      <w:numPr>
        <w:numId w:val="6"/>
      </w:numPr>
      <w:ind w:left="958" w:hanging="958"/>
    </w:pPr>
  </w:style>
  <w:style w:type="paragraph" w:styleId="Header">
    <w:name w:val="header"/>
    <w:basedOn w:val="Normal"/>
    <w:link w:val="HeaderChar"/>
    <w:uiPriority w:val="99"/>
    <w:unhideWhenUsed/>
    <w:rsid w:val="00BA46DC"/>
    <w:pPr>
      <w:tabs>
        <w:tab w:val="center" w:pos="4513"/>
        <w:tab w:val="right" w:pos="9026"/>
      </w:tabs>
    </w:pPr>
  </w:style>
  <w:style w:type="character" w:customStyle="1" w:styleId="HeaderChar">
    <w:name w:val="Header Char"/>
    <w:link w:val="Header"/>
    <w:uiPriority w:val="99"/>
    <w:rsid w:val="00BA46DC"/>
    <w:rPr>
      <w:rFonts w:ascii="Arial" w:hAnsi="Arial"/>
      <w:szCs w:val="22"/>
      <w:lang w:eastAsia="en-US"/>
    </w:rPr>
  </w:style>
  <w:style w:type="paragraph" w:styleId="Footer">
    <w:name w:val="footer"/>
    <w:basedOn w:val="Normal"/>
    <w:link w:val="FooterChar"/>
    <w:uiPriority w:val="99"/>
    <w:unhideWhenUsed/>
    <w:rsid w:val="00BA46DC"/>
    <w:pPr>
      <w:tabs>
        <w:tab w:val="center" w:pos="4513"/>
        <w:tab w:val="right" w:pos="9026"/>
      </w:tabs>
    </w:pPr>
  </w:style>
  <w:style w:type="character" w:customStyle="1" w:styleId="FooterChar">
    <w:name w:val="Footer Char"/>
    <w:link w:val="Footer"/>
    <w:uiPriority w:val="99"/>
    <w:rsid w:val="00BA46DC"/>
    <w:rPr>
      <w:rFonts w:ascii="Arial" w:hAnsi="Arial"/>
      <w:szCs w:val="22"/>
      <w:lang w:eastAsia="en-US"/>
    </w:rPr>
  </w:style>
  <w:style w:type="character" w:styleId="CommentReference">
    <w:name w:val="annotation reference"/>
    <w:uiPriority w:val="99"/>
    <w:unhideWhenUsed/>
    <w:rsid w:val="00B42E80"/>
    <w:rPr>
      <w:sz w:val="16"/>
      <w:szCs w:val="16"/>
    </w:rPr>
  </w:style>
  <w:style w:type="paragraph" w:styleId="CommentText">
    <w:name w:val="annotation text"/>
    <w:basedOn w:val="Normal"/>
    <w:link w:val="CommentTextChar"/>
    <w:uiPriority w:val="99"/>
    <w:unhideWhenUsed/>
    <w:rsid w:val="00B42E80"/>
    <w:rPr>
      <w:szCs w:val="20"/>
    </w:rPr>
  </w:style>
  <w:style w:type="character" w:customStyle="1" w:styleId="CommentTextChar">
    <w:name w:val="Comment Text Char"/>
    <w:link w:val="CommentText"/>
    <w:uiPriority w:val="99"/>
    <w:rsid w:val="00B42E8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42E80"/>
    <w:rPr>
      <w:b/>
      <w:bCs/>
    </w:rPr>
  </w:style>
  <w:style w:type="character" w:customStyle="1" w:styleId="CommentSubjectChar">
    <w:name w:val="Comment Subject Char"/>
    <w:link w:val="CommentSubject"/>
    <w:uiPriority w:val="99"/>
    <w:semiHidden/>
    <w:rsid w:val="00B42E80"/>
    <w:rPr>
      <w:rFonts w:ascii="Arial" w:hAnsi="Arial"/>
      <w:b/>
      <w:bCs/>
      <w:lang w:eastAsia="en-US"/>
    </w:rPr>
  </w:style>
  <w:style w:type="paragraph" w:styleId="Revision">
    <w:name w:val="Revision"/>
    <w:hidden/>
    <w:uiPriority w:val="99"/>
    <w:semiHidden/>
    <w:rsid w:val="003D044F"/>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ccc.gov.au/aviatio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iam\Local%20Settings\Temporary%20Internet%20Files\Content.Outlook\E0859RRO\ACCC%20Report%20Template%20(Renee%20Coles%20version%20-%20April%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490CC-974D-4038-94B6-C916A0E9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 (Renee Coles version - April 2013).dotx</Template>
  <TotalTime>1</TotalTime>
  <Pages>15</Pages>
  <Words>8785</Words>
  <Characters>50078</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58746</CharactersWithSpaces>
  <SharedDoc>false</SharedDoc>
  <HLinks>
    <vt:vector size="102" baseType="variant">
      <vt:variant>
        <vt:i4>2097265</vt:i4>
      </vt:variant>
      <vt:variant>
        <vt:i4>99</vt:i4>
      </vt:variant>
      <vt:variant>
        <vt:i4>0</vt:i4>
      </vt:variant>
      <vt:variant>
        <vt:i4>5</vt:i4>
      </vt:variant>
      <vt:variant>
        <vt:lpwstr>http://www.accc.gov.au/aviation</vt:lpwstr>
      </vt:variant>
      <vt:variant>
        <vt:lpwstr/>
      </vt:variant>
      <vt:variant>
        <vt:i4>1507377</vt:i4>
      </vt:variant>
      <vt:variant>
        <vt:i4>92</vt:i4>
      </vt:variant>
      <vt:variant>
        <vt:i4>0</vt:i4>
      </vt:variant>
      <vt:variant>
        <vt:i4>5</vt:i4>
      </vt:variant>
      <vt:variant>
        <vt:lpwstr/>
      </vt:variant>
      <vt:variant>
        <vt:lpwstr>_Toc359587376</vt:lpwstr>
      </vt:variant>
      <vt:variant>
        <vt:i4>1507377</vt:i4>
      </vt:variant>
      <vt:variant>
        <vt:i4>86</vt:i4>
      </vt:variant>
      <vt:variant>
        <vt:i4>0</vt:i4>
      </vt:variant>
      <vt:variant>
        <vt:i4>5</vt:i4>
      </vt:variant>
      <vt:variant>
        <vt:lpwstr/>
      </vt:variant>
      <vt:variant>
        <vt:lpwstr>_Toc359587375</vt:lpwstr>
      </vt:variant>
      <vt:variant>
        <vt:i4>1507377</vt:i4>
      </vt:variant>
      <vt:variant>
        <vt:i4>80</vt:i4>
      </vt:variant>
      <vt:variant>
        <vt:i4>0</vt:i4>
      </vt:variant>
      <vt:variant>
        <vt:i4>5</vt:i4>
      </vt:variant>
      <vt:variant>
        <vt:lpwstr/>
      </vt:variant>
      <vt:variant>
        <vt:lpwstr>_Toc359587374</vt:lpwstr>
      </vt:variant>
      <vt:variant>
        <vt:i4>1507377</vt:i4>
      </vt:variant>
      <vt:variant>
        <vt:i4>74</vt:i4>
      </vt:variant>
      <vt:variant>
        <vt:i4>0</vt:i4>
      </vt:variant>
      <vt:variant>
        <vt:i4>5</vt:i4>
      </vt:variant>
      <vt:variant>
        <vt:lpwstr/>
      </vt:variant>
      <vt:variant>
        <vt:lpwstr>_Toc359587373</vt:lpwstr>
      </vt:variant>
      <vt:variant>
        <vt:i4>1507377</vt:i4>
      </vt:variant>
      <vt:variant>
        <vt:i4>68</vt:i4>
      </vt:variant>
      <vt:variant>
        <vt:i4>0</vt:i4>
      </vt:variant>
      <vt:variant>
        <vt:i4>5</vt:i4>
      </vt:variant>
      <vt:variant>
        <vt:lpwstr/>
      </vt:variant>
      <vt:variant>
        <vt:lpwstr>_Toc359587372</vt:lpwstr>
      </vt:variant>
      <vt:variant>
        <vt:i4>1507377</vt:i4>
      </vt:variant>
      <vt:variant>
        <vt:i4>62</vt:i4>
      </vt:variant>
      <vt:variant>
        <vt:i4>0</vt:i4>
      </vt:variant>
      <vt:variant>
        <vt:i4>5</vt:i4>
      </vt:variant>
      <vt:variant>
        <vt:lpwstr/>
      </vt:variant>
      <vt:variant>
        <vt:lpwstr>_Toc359587371</vt:lpwstr>
      </vt:variant>
      <vt:variant>
        <vt:i4>1507377</vt:i4>
      </vt:variant>
      <vt:variant>
        <vt:i4>56</vt:i4>
      </vt:variant>
      <vt:variant>
        <vt:i4>0</vt:i4>
      </vt:variant>
      <vt:variant>
        <vt:i4>5</vt:i4>
      </vt:variant>
      <vt:variant>
        <vt:lpwstr/>
      </vt:variant>
      <vt:variant>
        <vt:lpwstr>_Toc359587370</vt:lpwstr>
      </vt:variant>
      <vt:variant>
        <vt:i4>1441841</vt:i4>
      </vt:variant>
      <vt:variant>
        <vt:i4>50</vt:i4>
      </vt:variant>
      <vt:variant>
        <vt:i4>0</vt:i4>
      </vt:variant>
      <vt:variant>
        <vt:i4>5</vt:i4>
      </vt:variant>
      <vt:variant>
        <vt:lpwstr/>
      </vt:variant>
      <vt:variant>
        <vt:lpwstr>_Toc359587369</vt:lpwstr>
      </vt:variant>
      <vt:variant>
        <vt:i4>1441841</vt:i4>
      </vt:variant>
      <vt:variant>
        <vt:i4>44</vt:i4>
      </vt:variant>
      <vt:variant>
        <vt:i4>0</vt:i4>
      </vt:variant>
      <vt:variant>
        <vt:i4>5</vt:i4>
      </vt:variant>
      <vt:variant>
        <vt:lpwstr/>
      </vt:variant>
      <vt:variant>
        <vt:lpwstr>_Toc359587368</vt:lpwstr>
      </vt:variant>
      <vt:variant>
        <vt:i4>1441841</vt:i4>
      </vt:variant>
      <vt:variant>
        <vt:i4>38</vt:i4>
      </vt:variant>
      <vt:variant>
        <vt:i4>0</vt:i4>
      </vt:variant>
      <vt:variant>
        <vt:i4>5</vt:i4>
      </vt:variant>
      <vt:variant>
        <vt:lpwstr/>
      </vt:variant>
      <vt:variant>
        <vt:lpwstr>_Toc359587367</vt:lpwstr>
      </vt:variant>
      <vt:variant>
        <vt:i4>1441841</vt:i4>
      </vt:variant>
      <vt:variant>
        <vt:i4>32</vt:i4>
      </vt:variant>
      <vt:variant>
        <vt:i4>0</vt:i4>
      </vt:variant>
      <vt:variant>
        <vt:i4>5</vt:i4>
      </vt:variant>
      <vt:variant>
        <vt:lpwstr/>
      </vt:variant>
      <vt:variant>
        <vt:lpwstr>_Toc359587366</vt:lpwstr>
      </vt:variant>
      <vt:variant>
        <vt:i4>1441841</vt:i4>
      </vt:variant>
      <vt:variant>
        <vt:i4>26</vt:i4>
      </vt:variant>
      <vt:variant>
        <vt:i4>0</vt:i4>
      </vt:variant>
      <vt:variant>
        <vt:i4>5</vt:i4>
      </vt:variant>
      <vt:variant>
        <vt:lpwstr/>
      </vt:variant>
      <vt:variant>
        <vt:lpwstr>_Toc359587365</vt:lpwstr>
      </vt:variant>
      <vt:variant>
        <vt:i4>1441841</vt:i4>
      </vt:variant>
      <vt:variant>
        <vt:i4>20</vt:i4>
      </vt:variant>
      <vt:variant>
        <vt:i4>0</vt:i4>
      </vt:variant>
      <vt:variant>
        <vt:i4>5</vt:i4>
      </vt:variant>
      <vt:variant>
        <vt:lpwstr/>
      </vt:variant>
      <vt:variant>
        <vt:lpwstr>_Toc359587364</vt:lpwstr>
      </vt:variant>
      <vt:variant>
        <vt:i4>1441841</vt:i4>
      </vt:variant>
      <vt:variant>
        <vt:i4>14</vt:i4>
      </vt:variant>
      <vt:variant>
        <vt:i4>0</vt:i4>
      </vt:variant>
      <vt:variant>
        <vt:i4>5</vt:i4>
      </vt:variant>
      <vt:variant>
        <vt:lpwstr/>
      </vt:variant>
      <vt:variant>
        <vt:lpwstr>_Toc359587363</vt:lpwstr>
      </vt:variant>
      <vt:variant>
        <vt:i4>1441841</vt:i4>
      </vt:variant>
      <vt:variant>
        <vt:i4>8</vt:i4>
      </vt:variant>
      <vt:variant>
        <vt:i4>0</vt:i4>
      </vt:variant>
      <vt:variant>
        <vt:i4>5</vt:i4>
      </vt:variant>
      <vt:variant>
        <vt:lpwstr/>
      </vt:variant>
      <vt:variant>
        <vt:lpwstr>_Toc359587362</vt:lpwstr>
      </vt:variant>
      <vt:variant>
        <vt:i4>1441841</vt:i4>
      </vt:variant>
      <vt:variant>
        <vt:i4>2</vt:i4>
      </vt:variant>
      <vt:variant>
        <vt:i4>0</vt:i4>
      </vt:variant>
      <vt:variant>
        <vt:i4>5</vt:i4>
      </vt:variant>
      <vt:variant>
        <vt:lpwstr/>
      </vt:variant>
      <vt:variant>
        <vt:lpwstr>_Toc359587361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tcarr</dc:creator>
  <cp:lastModifiedBy>Ovidi, Teresa</cp:lastModifiedBy>
  <cp:revision>2</cp:revision>
  <cp:lastPrinted>2014-06-11T02:04:00Z</cp:lastPrinted>
  <dcterms:created xsi:type="dcterms:W3CDTF">2017-02-06T22:04:00Z</dcterms:created>
  <dcterms:modified xsi:type="dcterms:W3CDTF">2017-02-06T22:04:00Z</dcterms:modified>
</cp:coreProperties>
</file>