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20" w:rsidRDefault="00A70920" w:rsidP="00A70920">
      <w:r>
        <w:rPr>
          <w:noProof/>
          <w:lang w:eastAsia="en-AU"/>
        </w:rPr>
        <w:drawing>
          <wp:inline distT="0" distB="0" distL="0" distR="0" wp14:anchorId="41FE61D5" wp14:editId="56FC0D4E">
            <wp:extent cx="3362325" cy="1038225"/>
            <wp:effectExtent l="0" t="0" r="9525" b="9525"/>
            <wp:docPr id="3" name="Picture 3"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rsidR="00D226F4" w:rsidRDefault="00D226F4" w:rsidP="00D226F4"/>
    <w:p w:rsidR="00D226F4" w:rsidRDefault="00D226F4" w:rsidP="00D226F4"/>
    <w:p w:rsidR="00D226F4" w:rsidRDefault="00D226F4" w:rsidP="00D226F4"/>
    <w:p w:rsidR="00D226F4" w:rsidRPr="00C947DB" w:rsidRDefault="00C947DB" w:rsidP="00C947DB">
      <w:pPr>
        <w:pStyle w:val="Reporttitle"/>
        <w:rPr>
          <w:b w:val="0"/>
          <w:sz w:val="40"/>
          <w:szCs w:val="44"/>
        </w:rPr>
      </w:pPr>
      <w:r w:rsidRPr="00C947DB">
        <w:rPr>
          <w:b w:val="0"/>
          <w:sz w:val="40"/>
          <w:szCs w:val="44"/>
        </w:rPr>
        <w:t xml:space="preserve">Compliance with the </w:t>
      </w:r>
      <w:r w:rsidR="00877B82" w:rsidRPr="00C947DB">
        <w:rPr>
          <w:b w:val="0"/>
          <w:sz w:val="40"/>
          <w:szCs w:val="44"/>
        </w:rPr>
        <w:t>Port Terminal Access (Bulk Wheat) Code of Conduct</w:t>
      </w:r>
      <w:r>
        <w:rPr>
          <w:b w:val="0"/>
          <w:sz w:val="40"/>
          <w:szCs w:val="44"/>
        </w:rPr>
        <w:t>: information for industry</w:t>
      </w:r>
      <w:r w:rsidR="00877B82" w:rsidRPr="00C947DB">
        <w:rPr>
          <w:b w:val="0"/>
          <w:sz w:val="40"/>
          <w:szCs w:val="44"/>
        </w:rPr>
        <w:t xml:space="preserve"> </w:t>
      </w:r>
      <w:r w:rsidR="009F129A">
        <w:rPr>
          <w:b w:val="0"/>
          <w:sz w:val="40"/>
          <w:szCs w:val="44"/>
        </w:rPr>
        <w:t>participants</w:t>
      </w:r>
    </w:p>
    <w:p w:rsidR="00A70920" w:rsidRDefault="002259AC" w:rsidP="005C525F">
      <w:pPr>
        <w:pStyle w:val="Reporttitle"/>
      </w:pPr>
      <w:bookmarkStart w:id="0" w:name="_GoBack"/>
      <w:r>
        <w:t>Guideline</w:t>
      </w:r>
      <w:r w:rsidR="00C947DB">
        <w:t xml:space="preserve">s on </w:t>
      </w:r>
      <w:r>
        <w:t xml:space="preserve">the </w:t>
      </w:r>
      <w:r w:rsidR="007B2921">
        <w:t>ACCC</w:t>
      </w:r>
      <w:r>
        <w:t>’s</w:t>
      </w:r>
      <w:r w:rsidR="007B2921">
        <w:t xml:space="preserve"> </w:t>
      </w:r>
      <w:r w:rsidR="00877B9C">
        <w:t xml:space="preserve">process for making and revoking </w:t>
      </w:r>
      <w:r w:rsidR="005C525F">
        <w:t>exemption</w:t>
      </w:r>
      <w:r w:rsidR="00877B9C">
        <w:t xml:space="preserve"> determination</w:t>
      </w:r>
      <w:r w:rsidR="005C525F">
        <w:t xml:space="preserve">s </w:t>
      </w:r>
    </w:p>
    <w:bookmarkEnd w:id="0"/>
    <w:p w:rsidR="00D226F4" w:rsidRDefault="00D226F4" w:rsidP="00D226F4"/>
    <w:p w:rsidR="00D226F4" w:rsidRDefault="00D226F4" w:rsidP="00D226F4"/>
    <w:p w:rsidR="00B92E0D" w:rsidRDefault="00B92E0D" w:rsidP="00D226F4"/>
    <w:p w:rsidR="00D226F4" w:rsidRDefault="00D226F4" w:rsidP="00D226F4"/>
    <w:p w:rsidR="00331264" w:rsidRPr="009F129A" w:rsidRDefault="004B2E58" w:rsidP="00A37F53">
      <w:pPr>
        <w:pStyle w:val="Reporttitle"/>
        <w:rPr>
          <w:b w:val="0"/>
          <w:sz w:val="36"/>
        </w:rPr>
      </w:pPr>
      <w:r w:rsidRPr="009F129A">
        <w:rPr>
          <w:b w:val="0"/>
          <w:sz w:val="36"/>
        </w:rPr>
        <w:t>October</w:t>
      </w:r>
      <w:r w:rsidR="005C525F" w:rsidRPr="009F129A">
        <w:rPr>
          <w:b w:val="0"/>
          <w:sz w:val="36"/>
        </w:rPr>
        <w:t xml:space="preserve"> 2014 </w:t>
      </w:r>
    </w:p>
    <w:p w:rsidR="00A70920" w:rsidRDefault="00A70920" w:rsidP="00A70920"/>
    <w:p w:rsidR="00A37F53" w:rsidRDefault="00A37F53">
      <w:pPr>
        <w:spacing w:before="0" w:after="200" w:line="276" w:lineRule="auto"/>
        <w:rPr>
          <w:sz w:val="16"/>
          <w:szCs w:val="16"/>
        </w:rPr>
      </w:pPr>
      <w:r>
        <w:br w:type="page"/>
      </w: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70920" w:rsidRDefault="00A70920" w:rsidP="00A70920">
      <w:pPr>
        <w:pStyle w:val="Copyrighttext"/>
      </w:pPr>
      <w:r>
        <w:t>Australian Competition and Consumer Commission</w:t>
      </w:r>
    </w:p>
    <w:p w:rsidR="00A70920" w:rsidRDefault="00A70920" w:rsidP="00A70920">
      <w:pPr>
        <w:pStyle w:val="Copyrighttext"/>
      </w:pPr>
      <w:r>
        <w:t>23 Marcus Clarke Street, Canberra, Australian Capital Territory, 2601</w:t>
      </w:r>
    </w:p>
    <w:p w:rsidR="00A70920" w:rsidRDefault="00A70920" w:rsidP="00A70920">
      <w:pPr>
        <w:pStyle w:val="Copyrighttext"/>
      </w:pPr>
      <w:r>
        <w:t xml:space="preserve">First published by the ACCC 2014 </w:t>
      </w:r>
    </w:p>
    <w:p w:rsidR="00A70920" w:rsidRDefault="00A70920" w:rsidP="00A70920">
      <w:pPr>
        <w:pStyle w:val="Copyrighttext"/>
      </w:pPr>
      <w:r>
        <w:t xml:space="preserve">10 9 8 7 6 5 4 3 2 1 </w:t>
      </w:r>
    </w:p>
    <w:p w:rsidR="00A70920" w:rsidRDefault="00A70920" w:rsidP="00A70920">
      <w:pPr>
        <w:pStyle w:val="Copyrighttext"/>
      </w:pPr>
    </w:p>
    <w:p w:rsidR="00A70920" w:rsidRDefault="00A70920" w:rsidP="00A70920">
      <w:pPr>
        <w:pStyle w:val="Copyrighttext"/>
      </w:pPr>
      <w:r>
        <w:t>© Commonwealth of Australia 2014</w:t>
      </w:r>
    </w:p>
    <w:p w:rsidR="00A70920" w:rsidRDefault="00A70920" w:rsidP="00A70920">
      <w:pPr>
        <w:pStyle w:val="Copyrighttext"/>
      </w:pPr>
    </w:p>
    <w:p w:rsidR="00A70920" w:rsidRDefault="00A70920" w:rsidP="00A70920">
      <w:pPr>
        <w:pStyle w:val="Copyrighttext"/>
      </w:pPr>
      <w:r>
        <w:t>This work is copyright. In addition to any use permitted under the Copyright Act 1968, all material contained within this work is provided under a Creative Commons Attribution 3.0 Australia license, with the exception of the Commonwealth Coat of Arms and the ACCC logos.</w:t>
      </w:r>
    </w:p>
    <w:p w:rsidR="00A70920" w:rsidRDefault="00A70920" w:rsidP="00A70920">
      <w:pPr>
        <w:pStyle w:val="Copyrighttext"/>
      </w:pPr>
    </w:p>
    <w:p w:rsidR="00A70920" w:rsidRDefault="00A70920" w:rsidP="00A70920">
      <w:pPr>
        <w:pStyle w:val="Copyrighttext"/>
      </w:pPr>
      <w:r>
        <w:t xml:space="preserve">The details of the relevant license conditions are available on the Creative Commons website, as is the full legal code for the CC BY 3.0 AU license. </w:t>
      </w:r>
    </w:p>
    <w:p w:rsidR="00A70920" w:rsidRDefault="00A70920" w:rsidP="00A70920">
      <w:pPr>
        <w:pStyle w:val="Copyrighttext"/>
      </w:pPr>
    </w:p>
    <w:p w:rsidR="00A70920" w:rsidRDefault="00A70920" w:rsidP="00A70920">
      <w:pPr>
        <w:pStyle w:val="Copyrighttext"/>
      </w:pPr>
      <w:r>
        <w:t>Requests and inquiries concerning reproduction and rights should be addressed to the Director Publishing, ACCC, GPO Box 3131, Canberra ACT 2601, or publishing.unit@accc.gov.au.</w:t>
      </w:r>
    </w:p>
    <w:p w:rsidR="00A70920" w:rsidRDefault="00A70920" w:rsidP="00A70920">
      <w:pPr>
        <w:pStyle w:val="Copyrighttext"/>
      </w:pPr>
      <w:r>
        <w:t xml:space="preserve">Important notice </w:t>
      </w:r>
    </w:p>
    <w:p w:rsidR="00A70920" w:rsidRDefault="00A70920" w:rsidP="00A70920">
      <w:pPr>
        <w:pStyle w:val="Copyrighttext"/>
      </w:pPr>
    </w:p>
    <w:p w:rsidR="00A70920" w:rsidRDefault="00A70920" w:rsidP="00A70920">
      <w:pPr>
        <w:pStyle w:val="Copyrighttext"/>
      </w:pPr>
      <w:r>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A70920" w:rsidRDefault="00A70920" w:rsidP="00A70920">
      <w:pPr>
        <w:pStyle w:val="Copyrighttext"/>
      </w:pPr>
    </w:p>
    <w:p w:rsidR="00A70920" w:rsidRDefault="00A70920" w:rsidP="00A70920">
      <w:pPr>
        <w:pStyle w:val="Copyrighttext"/>
      </w:pPr>
      <w:r>
        <w:t xml:space="preserve">The ACCC has made every reasonable effort to provide current and accurate information, but it does not make any guarantees regarding the accuracy, currency or completeness of that information. </w:t>
      </w:r>
    </w:p>
    <w:p w:rsidR="00A37F53" w:rsidRDefault="00A37F53" w:rsidP="00A70920">
      <w:pPr>
        <w:pStyle w:val="Copyrighttext"/>
      </w:pPr>
    </w:p>
    <w:p w:rsidR="00A70920" w:rsidRDefault="00A70920" w:rsidP="00A70920">
      <w:pPr>
        <w:pStyle w:val="Copyrighttext"/>
      </w:pPr>
      <w:r>
        <w:t>Parties who wish to re-publish or otherwise use the information in this publication must check this information for currency and accuracy with the ACCC prior to publication. This should be done prior to each publication edition, as ACCC guidance and relevant transitional legislation frequently change. Such queries should be addressed to the Director Publishing, ACCC, GPO Box 3131, Canberra ACT 2601, or publishing.unit@accc.gov.au.</w:t>
      </w:r>
    </w:p>
    <w:p w:rsidR="00A70920" w:rsidRDefault="00404B79" w:rsidP="00A70920">
      <w:pPr>
        <w:pStyle w:val="Copyrighttext"/>
      </w:pPr>
      <w:hyperlink r:id="rId10" w:history="1">
        <w:r w:rsidR="00D226F4" w:rsidRPr="0088620B">
          <w:rPr>
            <w:rStyle w:val="Hyperlink"/>
            <w:sz w:val="16"/>
          </w:rPr>
          <w:t>www.accc.gov.au</w:t>
        </w:r>
      </w:hyperlink>
      <w:r w:rsidR="00D226F4">
        <w:t xml:space="preserve"> </w:t>
      </w:r>
    </w:p>
    <w:p w:rsidR="00A70920" w:rsidRDefault="00A70920" w:rsidP="00A70920"/>
    <w:p w:rsidR="00A70920" w:rsidRPr="00A37F53" w:rsidRDefault="00A70920" w:rsidP="00A37F53">
      <w:pPr>
        <w:pStyle w:val="Copyrighttext"/>
        <w:rPr>
          <w:b/>
        </w:rPr>
      </w:pPr>
      <w:r w:rsidRPr="00A37F53">
        <w:rPr>
          <w:b/>
        </w:rPr>
        <w:t>Important notice</w:t>
      </w:r>
    </w:p>
    <w:p w:rsidR="00A37F53" w:rsidRDefault="00A37F53" w:rsidP="00A37F53">
      <w:pPr>
        <w:pStyle w:val="Copyrighttext"/>
      </w:pPr>
    </w:p>
    <w:p w:rsidR="00A70920" w:rsidRDefault="00A70920" w:rsidP="00A37F53">
      <w:pPr>
        <w:pStyle w:val="Copyrighttext"/>
      </w:pPr>
      <w:r>
        <w:t>This guide is designed to give you basic information; it does not cover the</w:t>
      </w:r>
      <w:r w:rsidR="00A37F53">
        <w:t xml:space="preserve"> </w:t>
      </w:r>
      <w:r>
        <w:t xml:space="preserve">whole of the </w:t>
      </w:r>
      <w:r w:rsidR="00A37F53">
        <w:t>mandatory Code of Conduct</w:t>
      </w:r>
      <w:r>
        <w:t xml:space="preserve"> and is not a substitute for professional advice.</w:t>
      </w:r>
      <w:r w:rsidR="00A37F53">
        <w:t xml:space="preserve"> </w:t>
      </w:r>
      <w:r>
        <w:t>Moreover, because it avoids legal language wherever possible there may be</w:t>
      </w:r>
      <w:r w:rsidR="00A37F53">
        <w:t xml:space="preserve"> </w:t>
      </w:r>
      <w:r>
        <w:t xml:space="preserve">generalisations about the application of the </w:t>
      </w:r>
      <w:r w:rsidR="00A37F53">
        <w:t>Code of Conduct</w:t>
      </w:r>
      <w:r>
        <w:t xml:space="preserve">. </w:t>
      </w:r>
    </w:p>
    <w:p w:rsidR="007F1879" w:rsidRDefault="004101C0" w:rsidP="001E080B">
      <w:pPr>
        <w:pStyle w:val="Heading10"/>
        <w:rPr>
          <w:noProof/>
        </w:rPr>
      </w:pPr>
      <w:bookmarkStart w:id="1" w:name="_Toc398538212"/>
      <w:bookmarkStart w:id="2" w:name="_Toc398544689"/>
      <w:bookmarkStart w:id="3" w:name="_Toc401155109"/>
      <w:r>
        <w:lastRenderedPageBreak/>
        <w:t>Contents</w:t>
      </w:r>
      <w:bookmarkEnd w:id="1"/>
      <w:bookmarkEnd w:id="2"/>
      <w:bookmarkEnd w:id="3"/>
      <w:r>
        <w:fldChar w:fldCharType="begin"/>
      </w:r>
      <w:r>
        <w:instrText xml:space="preserve"> TOC \o "1-3" \h \z \t "Heading 1.,1,Heading 3.,3" </w:instrText>
      </w:r>
      <w:r>
        <w:fldChar w:fldCharType="separate"/>
      </w:r>
    </w:p>
    <w:p w:rsidR="007F1879" w:rsidRDefault="00404B79">
      <w:pPr>
        <w:pStyle w:val="TOC1"/>
        <w:tabs>
          <w:tab w:val="right" w:leader="dot" w:pos="9016"/>
        </w:tabs>
        <w:rPr>
          <w:rFonts w:asciiTheme="minorHAnsi" w:eastAsiaTheme="minorEastAsia" w:hAnsiTheme="minorHAnsi"/>
          <w:noProof/>
          <w:lang w:eastAsia="en-AU"/>
        </w:rPr>
      </w:pPr>
      <w:hyperlink w:anchor="_Toc401155110" w:history="1">
        <w:r w:rsidR="007F1879" w:rsidRPr="00034C28">
          <w:rPr>
            <w:rStyle w:val="Hyperlink"/>
            <w:noProof/>
          </w:rPr>
          <w:t>Introduction</w:t>
        </w:r>
        <w:r w:rsidR="007F1879">
          <w:rPr>
            <w:noProof/>
            <w:webHidden/>
          </w:rPr>
          <w:tab/>
        </w:r>
        <w:r w:rsidR="007F1879">
          <w:rPr>
            <w:noProof/>
            <w:webHidden/>
          </w:rPr>
          <w:fldChar w:fldCharType="begin"/>
        </w:r>
        <w:r w:rsidR="007F1879">
          <w:rPr>
            <w:noProof/>
            <w:webHidden/>
          </w:rPr>
          <w:instrText xml:space="preserve"> PAGEREF _Toc401155110 \h </w:instrText>
        </w:r>
        <w:r w:rsidR="007F1879">
          <w:rPr>
            <w:noProof/>
            <w:webHidden/>
          </w:rPr>
        </w:r>
        <w:r w:rsidR="007F1879">
          <w:rPr>
            <w:noProof/>
            <w:webHidden/>
          </w:rPr>
          <w:fldChar w:fldCharType="separate"/>
        </w:r>
        <w:r>
          <w:rPr>
            <w:noProof/>
            <w:webHidden/>
          </w:rPr>
          <w:t>4</w:t>
        </w:r>
        <w:r w:rsidR="007F1879">
          <w:rPr>
            <w:noProof/>
            <w:webHidden/>
          </w:rPr>
          <w:fldChar w:fldCharType="end"/>
        </w:r>
      </w:hyperlink>
    </w:p>
    <w:p w:rsidR="007F1879" w:rsidRDefault="00404B79">
      <w:pPr>
        <w:pStyle w:val="TOC1"/>
        <w:tabs>
          <w:tab w:val="right" w:leader="dot" w:pos="9016"/>
        </w:tabs>
        <w:rPr>
          <w:rFonts w:asciiTheme="minorHAnsi" w:eastAsiaTheme="minorEastAsia" w:hAnsiTheme="minorHAnsi"/>
          <w:noProof/>
          <w:lang w:eastAsia="en-AU"/>
        </w:rPr>
      </w:pPr>
      <w:hyperlink w:anchor="_Toc401155111" w:history="1">
        <w:r w:rsidR="007F1879" w:rsidRPr="00034C28">
          <w:rPr>
            <w:rStyle w:val="Hyperlink"/>
            <w:noProof/>
          </w:rPr>
          <w:t>Making an exemption determination</w:t>
        </w:r>
        <w:r w:rsidR="007F1879">
          <w:rPr>
            <w:noProof/>
            <w:webHidden/>
          </w:rPr>
          <w:tab/>
        </w:r>
        <w:r w:rsidR="007F1879">
          <w:rPr>
            <w:noProof/>
            <w:webHidden/>
          </w:rPr>
          <w:fldChar w:fldCharType="begin"/>
        </w:r>
        <w:r w:rsidR="007F1879">
          <w:rPr>
            <w:noProof/>
            <w:webHidden/>
          </w:rPr>
          <w:instrText xml:space="preserve"> PAGEREF _Toc401155111 \h </w:instrText>
        </w:r>
        <w:r w:rsidR="007F1879">
          <w:rPr>
            <w:noProof/>
            <w:webHidden/>
          </w:rPr>
        </w:r>
        <w:r w:rsidR="007F1879">
          <w:rPr>
            <w:noProof/>
            <w:webHidden/>
          </w:rPr>
          <w:fldChar w:fldCharType="separate"/>
        </w:r>
        <w:r>
          <w:rPr>
            <w:noProof/>
            <w:webHidden/>
          </w:rPr>
          <w:t>5</w:t>
        </w:r>
        <w:r w:rsidR="007F1879">
          <w:rPr>
            <w:noProof/>
            <w:webHidden/>
          </w:rPr>
          <w:fldChar w:fldCharType="end"/>
        </w:r>
      </w:hyperlink>
    </w:p>
    <w:p w:rsidR="007F1879" w:rsidRDefault="00404B79">
      <w:pPr>
        <w:pStyle w:val="TOC2"/>
        <w:tabs>
          <w:tab w:val="right" w:leader="dot" w:pos="9016"/>
        </w:tabs>
        <w:rPr>
          <w:rFonts w:asciiTheme="minorHAnsi" w:eastAsiaTheme="minorEastAsia" w:hAnsiTheme="minorHAnsi"/>
          <w:noProof/>
          <w:lang w:eastAsia="en-AU"/>
        </w:rPr>
      </w:pPr>
      <w:hyperlink w:anchor="_Toc401155112" w:history="1">
        <w:r w:rsidR="007F1879" w:rsidRPr="00034C28">
          <w:rPr>
            <w:rStyle w:val="Hyperlink"/>
            <w:noProof/>
          </w:rPr>
          <w:t>A port terminal service provider or the ACCC may initiate an exemption assessment</w:t>
        </w:r>
        <w:r w:rsidR="007F1879">
          <w:rPr>
            <w:noProof/>
            <w:webHidden/>
          </w:rPr>
          <w:tab/>
        </w:r>
        <w:r w:rsidR="007F1879">
          <w:rPr>
            <w:noProof/>
            <w:webHidden/>
          </w:rPr>
          <w:fldChar w:fldCharType="begin"/>
        </w:r>
        <w:r w:rsidR="007F1879">
          <w:rPr>
            <w:noProof/>
            <w:webHidden/>
          </w:rPr>
          <w:instrText xml:space="preserve"> PAGEREF _Toc401155112 \h </w:instrText>
        </w:r>
        <w:r w:rsidR="007F1879">
          <w:rPr>
            <w:noProof/>
            <w:webHidden/>
          </w:rPr>
        </w:r>
        <w:r w:rsidR="007F1879">
          <w:rPr>
            <w:noProof/>
            <w:webHidden/>
          </w:rPr>
          <w:fldChar w:fldCharType="separate"/>
        </w:r>
        <w:r>
          <w:rPr>
            <w:noProof/>
            <w:webHidden/>
          </w:rPr>
          <w:t>7</w:t>
        </w:r>
        <w:r w:rsidR="007F1879">
          <w:rPr>
            <w:noProof/>
            <w:webHidden/>
          </w:rPr>
          <w:fldChar w:fldCharType="end"/>
        </w:r>
      </w:hyperlink>
    </w:p>
    <w:p w:rsidR="007F1879" w:rsidRDefault="00404B79">
      <w:pPr>
        <w:pStyle w:val="TOC2"/>
        <w:tabs>
          <w:tab w:val="right" w:leader="dot" w:pos="9016"/>
        </w:tabs>
        <w:rPr>
          <w:rFonts w:asciiTheme="minorHAnsi" w:eastAsiaTheme="minorEastAsia" w:hAnsiTheme="minorHAnsi"/>
          <w:noProof/>
          <w:lang w:eastAsia="en-AU"/>
        </w:rPr>
      </w:pPr>
      <w:hyperlink w:anchor="_Toc401155113" w:history="1">
        <w:r w:rsidR="007F1879" w:rsidRPr="00034C28">
          <w:rPr>
            <w:rStyle w:val="Hyperlink"/>
            <w:noProof/>
          </w:rPr>
          <w:t>ACCC may request further information</w:t>
        </w:r>
        <w:r w:rsidR="007F1879">
          <w:rPr>
            <w:noProof/>
            <w:webHidden/>
          </w:rPr>
          <w:tab/>
        </w:r>
        <w:r w:rsidR="007F1879">
          <w:rPr>
            <w:noProof/>
            <w:webHidden/>
          </w:rPr>
          <w:fldChar w:fldCharType="begin"/>
        </w:r>
        <w:r w:rsidR="007F1879">
          <w:rPr>
            <w:noProof/>
            <w:webHidden/>
          </w:rPr>
          <w:instrText xml:space="preserve"> PAGEREF _Toc401155113 \h </w:instrText>
        </w:r>
        <w:r w:rsidR="007F1879">
          <w:rPr>
            <w:noProof/>
            <w:webHidden/>
          </w:rPr>
        </w:r>
        <w:r w:rsidR="007F1879">
          <w:rPr>
            <w:noProof/>
            <w:webHidden/>
          </w:rPr>
          <w:fldChar w:fldCharType="separate"/>
        </w:r>
        <w:r>
          <w:rPr>
            <w:noProof/>
            <w:webHidden/>
          </w:rPr>
          <w:t>7</w:t>
        </w:r>
        <w:r w:rsidR="007F1879">
          <w:rPr>
            <w:noProof/>
            <w:webHidden/>
          </w:rPr>
          <w:fldChar w:fldCharType="end"/>
        </w:r>
      </w:hyperlink>
    </w:p>
    <w:p w:rsidR="007F1879" w:rsidRDefault="00404B79">
      <w:pPr>
        <w:pStyle w:val="TOC2"/>
        <w:tabs>
          <w:tab w:val="right" w:leader="dot" w:pos="9016"/>
        </w:tabs>
        <w:rPr>
          <w:rFonts w:asciiTheme="minorHAnsi" w:eastAsiaTheme="minorEastAsia" w:hAnsiTheme="minorHAnsi"/>
          <w:noProof/>
          <w:lang w:eastAsia="en-AU"/>
        </w:rPr>
      </w:pPr>
      <w:hyperlink w:anchor="_Toc401155114" w:history="1">
        <w:r w:rsidR="007F1879" w:rsidRPr="00034C28">
          <w:rPr>
            <w:rStyle w:val="Hyperlink"/>
            <w:noProof/>
          </w:rPr>
          <w:t>ACCC may consult with interested parties</w:t>
        </w:r>
        <w:r w:rsidR="007F1879">
          <w:rPr>
            <w:noProof/>
            <w:webHidden/>
          </w:rPr>
          <w:tab/>
        </w:r>
        <w:r w:rsidR="007F1879">
          <w:rPr>
            <w:noProof/>
            <w:webHidden/>
          </w:rPr>
          <w:fldChar w:fldCharType="begin"/>
        </w:r>
        <w:r w:rsidR="007F1879">
          <w:rPr>
            <w:noProof/>
            <w:webHidden/>
          </w:rPr>
          <w:instrText xml:space="preserve"> PAGEREF _Toc401155114 \h </w:instrText>
        </w:r>
        <w:r w:rsidR="007F1879">
          <w:rPr>
            <w:noProof/>
            <w:webHidden/>
          </w:rPr>
        </w:r>
        <w:r w:rsidR="007F1879">
          <w:rPr>
            <w:noProof/>
            <w:webHidden/>
          </w:rPr>
          <w:fldChar w:fldCharType="separate"/>
        </w:r>
        <w:r>
          <w:rPr>
            <w:noProof/>
            <w:webHidden/>
          </w:rPr>
          <w:t>7</w:t>
        </w:r>
        <w:r w:rsidR="007F1879">
          <w:rPr>
            <w:noProof/>
            <w:webHidden/>
          </w:rPr>
          <w:fldChar w:fldCharType="end"/>
        </w:r>
      </w:hyperlink>
    </w:p>
    <w:p w:rsidR="007F1879" w:rsidRDefault="00404B79">
      <w:pPr>
        <w:pStyle w:val="TOC2"/>
        <w:tabs>
          <w:tab w:val="right" w:leader="dot" w:pos="9016"/>
        </w:tabs>
        <w:rPr>
          <w:rFonts w:asciiTheme="minorHAnsi" w:eastAsiaTheme="minorEastAsia" w:hAnsiTheme="minorHAnsi"/>
          <w:noProof/>
          <w:lang w:eastAsia="en-AU"/>
        </w:rPr>
      </w:pPr>
      <w:hyperlink w:anchor="_Toc401155115" w:history="1">
        <w:r w:rsidR="007F1879" w:rsidRPr="00034C28">
          <w:rPr>
            <w:rStyle w:val="Hyperlink"/>
            <w:noProof/>
          </w:rPr>
          <w:t>ACCC may issue a draft determination</w:t>
        </w:r>
        <w:r w:rsidR="007F1879">
          <w:rPr>
            <w:noProof/>
            <w:webHidden/>
          </w:rPr>
          <w:tab/>
        </w:r>
        <w:r w:rsidR="007F1879">
          <w:rPr>
            <w:noProof/>
            <w:webHidden/>
          </w:rPr>
          <w:fldChar w:fldCharType="begin"/>
        </w:r>
        <w:r w:rsidR="007F1879">
          <w:rPr>
            <w:noProof/>
            <w:webHidden/>
          </w:rPr>
          <w:instrText xml:space="preserve"> PAGEREF _Toc401155115 \h </w:instrText>
        </w:r>
        <w:r w:rsidR="007F1879">
          <w:rPr>
            <w:noProof/>
            <w:webHidden/>
          </w:rPr>
        </w:r>
        <w:r w:rsidR="007F1879">
          <w:rPr>
            <w:noProof/>
            <w:webHidden/>
          </w:rPr>
          <w:fldChar w:fldCharType="separate"/>
        </w:r>
        <w:r>
          <w:rPr>
            <w:noProof/>
            <w:webHidden/>
          </w:rPr>
          <w:t>7</w:t>
        </w:r>
        <w:r w:rsidR="007F1879">
          <w:rPr>
            <w:noProof/>
            <w:webHidden/>
          </w:rPr>
          <w:fldChar w:fldCharType="end"/>
        </w:r>
      </w:hyperlink>
    </w:p>
    <w:p w:rsidR="007F1879" w:rsidRDefault="00404B79">
      <w:pPr>
        <w:pStyle w:val="TOC2"/>
        <w:tabs>
          <w:tab w:val="right" w:leader="dot" w:pos="9016"/>
        </w:tabs>
        <w:rPr>
          <w:rFonts w:asciiTheme="minorHAnsi" w:eastAsiaTheme="minorEastAsia" w:hAnsiTheme="minorHAnsi"/>
          <w:noProof/>
          <w:lang w:eastAsia="en-AU"/>
        </w:rPr>
      </w:pPr>
      <w:hyperlink w:anchor="_Toc401155116" w:history="1">
        <w:r w:rsidR="007F1879" w:rsidRPr="00034C28">
          <w:rPr>
            <w:rStyle w:val="Hyperlink"/>
            <w:noProof/>
          </w:rPr>
          <w:t>ACCC may issue an exemption determination</w:t>
        </w:r>
        <w:r w:rsidR="007F1879">
          <w:rPr>
            <w:noProof/>
            <w:webHidden/>
          </w:rPr>
          <w:tab/>
        </w:r>
        <w:r w:rsidR="007F1879">
          <w:rPr>
            <w:noProof/>
            <w:webHidden/>
          </w:rPr>
          <w:fldChar w:fldCharType="begin"/>
        </w:r>
        <w:r w:rsidR="007F1879">
          <w:rPr>
            <w:noProof/>
            <w:webHidden/>
          </w:rPr>
          <w:instrText xml:space="preserve"> PAGEREF _Toc401155116 \h </w:instrText>
        </w:r>
        <w:r w:rsidR="007F1879">
          <w:rPr>
            <w:noProof/>
            <w:webHidden/>
          </w:rPr>
        </w:r>
        <w:r w:rsidR="007F1879">
          <w:rPr>
            <w:noProof/>
            <w:webHidden/>
          </w:rPr>
          <w:fldChar w:fldCharType="separate"/>
        </w:r>
        <w:r>
          <w:rPr>
            <w:noProof/>
            <w:webHidden/>
          </w:rPr>
          <w:t>8</w:t>
        </w:r>
        <w:r w:rsidR="007F1879">
          <w:rPr>
            <w:noProof/>
            <w:webHidden/>
          </w:rPr>
          <w:fldChar w:fldCharType="end"/>
        </w:r>
      </w:hyperlink>
    </w:p>
    <w:p w:rsidR="007F1879" w:rsidRDefault="00404B79">
      <w:pPr>
        <w:pStyle w:val="TOC2"/>
        <w:tabs>
          <w:tab w:val="right" w:leader="dot" w:pos="9016"/>
        </w:tabs>
        <w:rPr>
          <w:rFonts w:asciiTheme="minorHAnsi" w:eastAsiaTheme="minorEastAsia" w:hAnsiTheme="minorHAnsi"/>
          <w:noProof/>
          <w:lang w:eastAsia="en-AU"/>
        </w:rPr>
      </w:pPr>
      <w:hyperlink w:anchor="_Toc401155117" w:history="1">
        <w:r w:rsidR="007F1879" w:rsidRPr="00034C28">
          <w:rPr>
            <w:rStyle w:val="Hyperlink"/>
            <w:noProof/>
          </w:rPr>
          <w:t>Timeframe for exemption assessments</w:t>
        </w:r>
        <w:r w:rsidR="007F1879">
          <w:rPr>
            <w:noProof/>
            <w:webHidden/>
          </w:rPr>
          <w:tab/>
        </w:r>
        <w:r w:rsidR="007F1879">
          <w:rPr>
            <w:noProof/>
            <w:webHidden/>
          </w:rPr>
          <w:fldChar w:fldCharType="begin"/>
        </w:r>
        <w:r w:rsidR="007F1879">
          <w:rPr>
            <w:noProof/>
            <w:webHidden/>
          </w:rPr>
          <w:instrText xml:space="preserve"> PAGEREF _Toc401155117 \h </w:instrText>
        </w:r>
        <w:r w:rsidR="007F1879">
          <w:rPr>
            <w:noProof/>
            <w:webHidden/>
          </w:rPr>
        </w:r>
        <w:r w:rsidR="007F1879">
          <w:rPr>
            <w:noProof/>
            <w:webHidden/>
          </w:rPr>
          <w:fldChar w:fldCharType="separate"/>
        </w:r>
        <w:r>
          <w:rPr>
            <w:noProof/>
            <w:webHidden/>
          </w:rPr>
          <w:t>8</w:t>
        </w:r>
        <w:r w:rsidR="007F1879">
          <w:rPr>
            <w:noProof/>
            <w:webHidden/>
          </w:rPr>
          <w:fldChar w:fldCharType="end"/>
        </w:r>
      </w:hyperlink>
    </w:p>
    <w:p w:rsidR="007F1879" w:rsidRDefault="00404B79">
      <w:pPr>
        <w:pStyle w:val="TOC1"/>
        <w:tabs>
          <w:tab w:val="right" w:leader="dot" w:pos="9016"/>
        </w:tabs>
        <w:rPr>
          <w:rFonts w:asciiTheme="minorHAnsi" w:eastAsiaTheme="minorEastAsia" w:hAnsiTheme="minorHAnsi"/>
          <w:noProof/>
          <w:lang w:eastAsia="en-AU"/>
        </w:rPr>
      </w:pPr>
      <w:hyperlink w:anchor="_Toc401155118" w:history="1">
        <w:r w:rsidR="007F1879" w:rsidRPr="00034C28">
          <w:rPr>
            <w:rStyle w:val="Hyperlink"/>
            <w:noProof/>
          </w:rPr>
          <w:t>Reviewing and revoking an exemption determination</w:t>
        </w:r>
        <w:r w:rsidR="007F1879">
          <w:rPr>
            <w:noProof/>
            <w:webHidden/>
          </w:rPr>
          <w:tab/>
        </w:r>
        <w:r w:rsidR="007F1879">
          <w:rPr>
            <w:noProof/>
            <w:webHidden/>
          </w:rPr>
          <w:fldChar w:fldCharType="begin"/>
        </w:r>
        <w:r w:rsidR="007F1879">
          <w:rPr>
            <w:noProof/>
            <w:webHidden/>
          </w:rPr>
          <w:instrText xml:space="preserve"> PAGEREF _Toc401155118 \h </w:instrText>
        </w:r>
        <w:r w:rsidR="007F1879">
          <w:rPr>
            <w:noProof/>
            <w:webHidden/>
          </w:rPr>
        </w:r>
        <w:r w:rsidR="007F1879">
          <w:rPr>
            <w:noProof/>
            <w:webHidden/>
          </w:rPr>
          <w:fldChar w:fldCharType="separate"/>
        </w:r>
        <w:r>
          <w:rPr>
            <w:noProof/>
            <w:webHidden/>
          </w:rPr>
          <w:t>9</w:t>
        </w:r>
        <w:r w:rsidR="007F1879">
          <w:rPr>
            <w:noProof/>
            <w:webHidden/>
          </w:rPr>
          <w:fldChar w:fldCharType="end"/>
        </w:r>
      </w:hyperlink>
    </w:p>
    <w:p w:rsidR="007F1879" w:rsidRDefault="00404B79">
      <w:pPr>
        <w:pStyle w:val="TOC1"/>
        <w:tabs>
          <w:tab w:val="right" w:leader="dot" w:pos="9016"/>
        </w:tabs>
        <w:rPr>
          <w:rFonts w:asciiTheme="minorHAnsi" w:eastAsiaTheme="minorEastAsia" w:hAnsiTheme="minorHAnsi"/>
          <w:noProof/>
          <w:lang w:eastAsia="en-AU"/>
        </w:rPr>
      </w:pPr>
      <w:hyperlink w:anchor="_Toc401155119" w:history="1">
        <w:r w:rsidR="007F1879" w:rsidRPr="00034C28">
          <w:rPr>
            <w:rStyle w:val="Hyperlink"/>
            <w:noProof/>
          </w:rPr>
          <w:t>How to submit an exemption application</w:t>
        </w:r>
        <w:r w:rsidR="007F1879">
          <w:rPr>
            <w:noProof/>
            <w:webHidden/>
          </w:rPr>
          <w:tab/>
        </w:r>
        <w:r w:rsidR="007F1879">
          <w:rPr>
            <w:noProof/>
            <w:webHidden/>
          </w:rPr>
          <w:fldChar w:fldCharType="begin"/>
        </w:r>
        <w:r w:rsidR="007F1879">
          <w:rPr>
            <w:noProof/>
            <w:webHidden/>
          </w:rPr>
          <w:instrText xml:space="preserve"> PAGEREF _Toc401155119 \h </w:instrText>
        </w:r>
        <w:r w:rsidR="007F1879">
          <w:rPr>
            <w:noProof/>
            <w:webHidden/>
          </w:rPr>
        </w:r>
        <w:r w:rsidR="007F1879">
          <w:rPr>
            <w:noProof/>
            <w:webHidden/>
          </w:rPr>
          <w:fldChar w:fldCharType="separate"/>
        </w:r>
        <w:r>
          <w:rPr>
            <w:noProof/>
            <w:webHidden/>
          </w:rPr>
          <w:t>9</w:t>
        </w:r>
        <w:r w:rsidR="007F1879">
          <w:rPr>
            <w:noProof/>
            <w:webHidden/>
          </w:rPr>
          <w:fldChar w:fldCharType="end"/>
        </w:r>
      </w:hyperlink>
    </w:p>
    <w:p w:rsidR="007F1879" w:rsidRDefault="00404B79">
      <w:pPr>
        <w:pStyle w:val="TOC1"/>
        <w:tabs>
          <w:tab w:val="right" w:leader="dot" w:pos="9016"/>
        </w:tabs>
        <w:rPr>
          <w:rFonts w:asciiTheme="minorHAnsi" w:eastAsiaTheme="minorEastAsia" w:hAnsiTheme="minorHAnsi"/>
          <w:noProof/>
          <w:lang w:eastAsia="en-AU"/>
        </w:rPr>
      </w:pPr>
      <w:hyperlink w:anchor="_Toc401155120" w:history="1">
        <w:r w:rsidR="007F1879" w:rsidRPr="00034C28">
          <w:rPr>
            <w:rStyle w:val="Hyperlink"/>
            <w:noProof/>
          </w:rPr>
          <w:t>Confidentiality</w:t>
        </w:r>
        <w:r w:rsidR="007F1879">
          <w:rPr>
            <w:noProof/>
            <w:webHidden/>
          </w:rPr>
          <w:tab/>
        </w:r>
        <w:r w:rsidR="007F1879">
          <w:rPr>
            <w:noProof/>
            <w:webHidden/>
          </w:rPr>
          <w:fldChar w:fldCharType="begin"/>
        </w:r>
        <w:r w:rsidR="007F1879">
          <w:rPr>
            <w:noProof/>
            <w:webHidden/>
          </w:rPr>
          <w:instrText xml:space="preserve"> PAGEREF _Toc401155120 \h </w:instrText>
        </w:r>
        <w:r w:rsidR="007F1879">
          <w:rPr>
            <w:noProof/>
            <w:webHidden/>
          </w:rPr>
        </w:r>
        <w:r w:rsidR="007F1879">
          <w:rPr>
            <w:noProof/>
            <w:webHidden/>
          </w:rPr>
          <w:fldChar w:fldCharType="separate"/>
        </w:r>
        <w:r>
          <w:rPr>
            <w:noProof/>
            <w:webHidden/>
          </w:rPr>
          <w:t>10</w:t>
        </w:r>
        <w:r w:rsidR="007F1879">
          <w:rPr>
            <w:noProof/>
            <w:webHidden/>
          </w:rPr>
          <w:fldChar w:fldCharType="end"/>
        </w:r>
      </w:hyperlink>
    </w:p>
    <w:p w:rsidR="007F1879" w:rsidRDefault="00404B79">
      <w:pPr>
        <w:pStyle w:val="TOC1"/>
        <w:tabs>
          <w:tab w:val="right" w:leader="dot" w:pos="9016"/>
        </w:tabs>
        <w:rPr>
          <w:rFonts w:asciiTheme="minorHAnsi" w:eastAsiaTheme="minorEastAsia" w:hAnsiTheme="minorHAnsi"/>
          <w:noProof/>
          <w:lang w:eastAsia="en-AU"/>
        </w:rPr>
      </w:pPr>
      <w:hyperlink w:anchor="_Toc401155121" w:history="1">
        <w:r w:rsidR="007F1879" w:rsidRPr="00034C28">
          <w:rPr>
            <w:rStyle w:val="Hyperlink"/>
            <w:noProof/>
          </w:rPr>
          <w:t>Further information</w:t>
        </w:r>
        <w:r w:rsidR="007F1879">
          <w:rPr>
            <w:noProof/>
            <w:webHidden/>
          </w:rPr>
          <w:tab/>
        </w:r>
        <w:r w:rsidR="007F1879">
          <w:rPr>
            <w:noProof/>
            <w:webHidden/>
          </w:rPr>
          <w:fldChar w:fldCharType="begin"/>
        </w:r>
        <w:r w:rsidR="007F1879">
          <w:rPr>
            <w:noProof/>
            <w:webHidden/>
          </w:rPr>
          <w:instrText xml:space="preserve"> PAGEREF _Toc401155121 \h </w:instrText>
        </w:r>
        <w:r w:rsidR="007F1879">
          <w:rPr>
            <w:noProof/>
            <w:webHidden/>
          </w:rPr>
        </w:r>
        <w:r w:rsidR="007F1879">
          <w:rPr>
            <w:noProof/>
            <w:webHidden/>
          </w:rPr>
          <w:fldChar w:fldCharType="separate"/>
        </w:r>
        <w:r>
          <w:rPr>
            <w:noProof/>
            <w:webHidden/>
          </w:rPr>
          <w:t>11</w:t>
        </w:r>
        <w:r w:rsidR="007F1879">
          <w:rPr>
            <w:noProof/>
            <w:webHidden/>
          </w:rPr>
          <w:fldChar w:fldCharType="end"/>
        </w:r>
      </w:hyperlink>
    </w:p>
    <w:p w:rsidR="004101C0" w:rsidRDefault="004101C0" w:rsidP="004101C0">
      <w:pPr>
        <w:pStyle w:val="Heading10"/>
      </w:pPr>
      <w:r>
        <w:fldChar w:fldCharType="end"/>
      </w:r>
      <w:r>
        <w:br w:type="page"/>
      </w:r>
    </w:p>
    <w:p w:rsidR="00A70920" w:rsidRDefault="00040720" w:rsidP="00040720">
      <w:pPr>
        <w:pStyle w:val="Heading10"/>
      </w:pPr>
      <w:bookmarkStart w:id="4" w:name="_Toc401155110"/>
      <w:r>
        <w:lastRenderedPageBreak/>
        <w:t>Introduction</w:t>
      </w:r>
      <w:bookmarkEnd w:id="4"/>
    </w:p>
    <w:p w:rsidR="00D05736" w:rsidRDefault="004667C7" w:rsidP="004667C7">
      <w:r>
        <w:t xml:space="preserve">The </w:t>
      </w:r>
      <w:r w:rsidRPr="00E67E22">
        <w:rPr>
          <w:i/>
        </w:rPr>
        <w:t>Port Terminal Access (Bulk Wheat)</w:t>
      </w:r>
      <w:r w:rsidR="0054705C">
        <w:rPr>
          <w:i/>
        </w:rPr>
        <w:t xml:space="preserve"> Code of Conduct</w:t>
      </w:r>
      <w:r>
        <w:t xml:space="preserve"> </w:t>
      </w:r>
      <w:r w:rsidR="00D05736">
        <w:t xml:space="preserve">that </w:t>
      </w:r>
      <w:r>
        <w:t>commenc</w:t>
      </w:r>
      <w:r w:rsidR="00D05736">
        <w:t>ed</w:t>
      </w:r>
      <w:r>
        <w:t xml:space="preserve"> </w:t>
      </w:r>
      <w:r w:rsidR="00FF4C31">
        <w:t xml:space="preserve">on </w:t>
      </w:r>
      <w:r>
        <w:t xml:space="preserve">30 September 2014 (the Code) </w:t>
      </w:r>
      <w:r w:rsidR="00FF7156">
        <w:t xml:space="preserve">provides for </w:t>
      </w:r>
      <w:r w:rsidR="00D05736">
        <w:t>an exemption process</w:t>
      </w:r>
      <w:r w:rsidR="0054705C">
        <w:t xml:space="preserve"> whereby a </w:t>
      </w:r>
      <w:r w:rsidR="00D05736">
        <w:t>port terminal service provider may be exempted from certain provisions of the Code in relation to a specified port terminal facility. These guidelines set out the ACCC’s process for considering whether to make an exemption determination.</w:t>
      </w:r>
    </w:p>
    <w:p w:rsidR="00CF2C89" w:rsidRDefault="00645FD3" w:rsidP="004667C7">
      <w:r>
        <w:t xml:space="preserve">An exempt port terminal service provider is not required to comply with </w:t>
      </w:r>
      <w:r w:rsidR="004101C0">
        <w:t>the</w:t>
      </w:r>
      <w:r>
        <w:t xml:space="preserve"> obligations</w:t>
      </w:r>
      <w:r w:rsidR="004101C0">
        <w:t xml:space="preserve"> in Parts 3 to 6 of</w:t>
      </w:r>
      <w:r>
        <w:t xml:space="preserve"> the Code for the specified port terminal facility. </w:t>
      </w:r>
      <w:r w:rsidR="004101C0">
        <w:t xml:space="preserve">These obligations include a non-discrimination requirement, dispute resolution for negotiations with access seekers regarding the terms of access, and ACCC approval of capacity allocation systems. </w:t>
      </w:r>
    </w:p>
    <w:p w:rsidR="00AE0824" w:rsidRDefault="00D943FB" w:rsidP="00AE0824">
      <w:r>
        <w:t>T</w:t>
      </w:r>
      <w:r w:rsidR="00CF2C89">
        <w:t xml:space="preserve">he ACCC may </w:t>
      </w:r>
      <w:r w:rsidR="00645FD3">
        <w:t>make a determination</w:t>
      </w:r>
      <w:r w:rsidR="00CF2C89">
        <w:t xml:space="preserve"> that a </w:t>
      </w:r>
      <w:r w:rsidR="00D56AA3">
        <w:t>port terminal</w:t>
      </w:r>
      <w:r w:rsidR="00CF2C89">
        <w:t xml:space="preserve"> service </w:t>
      </w:r>
      <w:r w:rsidR="00FF7156">
        <w:t>provider is an exempt service provider</w:t>
      </w:r>
      <w:r w:rsidR="00EF5BD5">
        <w:t>,</w:t>
      </w:r>
      <w:r w:rsidRPr="00D943FB">
        <w:t xml:space="preserve"> </w:t>
      </w:r>
      <w:r>
        <w:t>as provided by subclause 5(2) of the Code</w:t>
      </w:r>
      <w:r w:rsidR="00FF7156">
        <w:t xml:space="preserve">. </w:t>
      </w:r>
      <w:r w:rsidR="00040853">
        <w:t xml:space="preserve">In doing so, </w:t>
      </w:r>
      <w:r w:rsidR="001E1D3C">
        <w:t xml:space="preserve">the ACCC </w:t>
      </w:r>
      <w:r w:rsidR="00645FD3">
        <w:t xml:space="preserve">must have </w:t>
      </w:r>
      <w:r w:rsidR="005538DF">
        <w:t xml:space="preserve">regard to matters listed at subclause </w:t>
      </w:r>
      <w:r w:rsidR="009E37D6" w:rsidRPr="004B2E58">
        <w:t>5(</w:t>
      </w:r>
      <w:r w:rsidR="00645FD3" w:rsidRPr="004B2E58">
        <w:t>3</w:t>
      </w:r>
      <w:r w:rsidR="009E37D6" w:rsidRPr="004B2E58">
        <w:t>)</w:t>
      </w:r>
      <w:r w:rsidR="005538DF">
        <w:t xml:space="preserve"> of the Code</w:t>
      </w:r>
      <w:r w:rsidR="00F53B40">
        <w:t xml:space="preserve"> (see box 1)</w:t>
      </w:r>
      <w:r w:rsidR="005538DF">
        <w:t xml:space="preserve">. </w:t>
      </w:r>
      <w:r>
        <w:t>T</w:t>
      </w:r>
      <w:r w:rsidR="00AE0824">
        <w:t>he ACCC may revoke a</w:t>
      </w:r>
      <w:r w:rsidR="003C4A95">
        <w:t>n exemption</w:t>
      </w:r>
      <w:r w:rsidR="00AE0824">
        <w:t xml:space="preserve"> determination </w:t>
      </w:r>
      <w:r>
        <w:t xml:space="preserve">in accordance with subclause 5(6) of the Code </w:t>
      </w:r>
      <w:r w:rsidR="00AE0824">
        <w:t xml:space="preserve">if, after having regard to the matters </w:t>
      </w:r>
      <w:r w:rsidR="00EF5BD5">
        <w:t>in</w:t>
      </w:r>
      <w:r w:rsidR="00AE0824">
        <w:t xml:space="preserve"> subclause 5(3), the ACCC is satisfied that the reasons for granting the exemption no longer apply. </w:t>
      </w:r>
    </w:p>
    <w:p w:rsidR="00D943FB" w:rsidRDefault="00D943FB" w:rsidP="00AE0824">
      <w:r>
        <w:t xml:space="preserve">A port terminal service provider may also be determined to be an exempt service provider if the Minister for Agriculture is satisfied the port terminal service provider is a cooperative that meets certain criteria at subclause 5(1) of the Code. This determination is made by the Minister. The ACCC does not have any role in these exemptions under subclause 5(1).  </w:t>
      </w:r>
    </w:p>
    <w:tbl>
      <w:tblPr>
        <w:tblStyle w:val="TableGrid"/>
        <w:tblW w:w="474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8883"/>
      </w:tblGrid>
      <w:tr w:rsidR="005B77DC" w:rsidTr="00047BD6">
        <w:trPr>
          <w:jc w:val="center"/>
        </w:trPr>
        <w:tc>
          <w:tcPr>
            <w:tcW w:w="8883" w:type="dxa"/>
            <w:shd w:val="clear" w:color="auto" w:fill="D9D9D9" w:themeFill="background1" w:themeFillShade="D9"/>
          </w:tcPr>
          <w:p w:rsidR="005B77DC" w:rsidRPr="005B77DC" w:rsidRDefault="00F53B40" w:rsidP="00047BD6">
            <w:pPr>
              <w:spacing w:after="120"/>
              <w:rPr>
                <w:b/>
                <w:sz w:val="20"/>
                <w:szCs w:val="20"/>
              </w:rPr>
            </w:pPr>
            <w:r>
              <w:rPr>
                <w:b/>
                <w:sz w:val="20"/>
                <w:szCs w:val="20"/>
              </w:rPr>
              <w:t xml:space="preserve">Box 1: </w:t>
            </w:r>
            <w:r w:rsidR="005B77DC">
              <w:rPr>
                <w:b/>
                <w:sz w:val="20"/>
                <w:szCs w:val="20"/>
              </w:rPr>
              <w:t>Subclause 5(3) of the Code</w:t>
            </w:r>
            <w:r w:rsidR="005B77DC" w:rsidRPr="005B77DC">
              <w:rPr>
                <w:b/>
                <w:sz w:val="20"/>
                <w:szCs w:val="20"/>
              </w:rPr>
              <w:t xml:space="preserve"> </w:t>
            </w:r>
          </w:p>
          <w:p w:rsidR="005B77DC" w:rsidRPr="005B77DC" w:rsidRDefault="005B77DC" w:rsidP="00F53B40">
            <w:pPr>
              <w:pStyle w:val="subsection"/>
              <w:spacing w:before="0" w:after="240"/>
              <w:ind w:left="0" w:firstLine="0"/>
              <w:rPr>
                <w:rFonts w:ascii="Arial" w:hAnsi="Arial" w:cs="Arial"/>
              </w:rPr>
            </w:pPr>
            <w:r w:rsidRPr="005B77DC">
              <w:rPr>
                <w:rFonts w:ascii="Arial" w:hAnsi="Arial" w:cs="Arial"/>
              </w:rPr>
              <w:tab/>
              <w:t>In making a determination under subclause (2), the ACCC mu</w:t>
            </w:r>
            <w:r>
              <w:rPr>
                <w:rFonts w:ascii="Arial" w:hAnsi="Arial" w:cs="Arial"/>
              </w:rPr>
              <w:t xml:space="preserve">st have regard to the </w:t>
            </w:r>
            <w:r w:rsidRPr="005B77DC">
              <w:rPr>
                <w:rFonts w:ascii="Arial" w:hAnsi="Arial" w:cs="Arial"/>
              </w:rPr>
              <w:t>following matters:</w:t>
            </w:r>
          </w:p>
          <w:p w:rsidR="005B77DC" w:rsidRDefault="005B77DC" w:rsidP="00F53B40">
            <w:pPr>
              <w:pStyle w:val="paragraph"/>
              <w:numPr>
                <w:ilvl w:val="0"/>
                <w:numId w:val="30"/>
              </w:numPr>
              <w:spacing w:before="0" w:after="240"/>
              <w:rPr>
                <w:rFonts w:ascii="Arial" w:hAnsi="Arial" w:cs="Arial"/>
              </w:rPr>
            </w:pPr>
            <w:r w:rsidRPr="005B77DC">
              <w:rPr>
                <w:rFonts w:ascii="Arial" w:hAnsi="Arial" w:cs="Arial"/>
              </w:rPr>
              <w:t>the legitimate business interests of the port terminal service provider;</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t>the public interest, including the public interest in having competition in markets;</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t>the interests of exporters who may require access to port terminal services;</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t>the likelihood that exporters of bulk wheat will have fair and transparent access to port terminal services;</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t>the promotion of the economically efficient operation and use of the port terminal facility;</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t>the promotion of efficient investment in port terminal facilities;</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t>the promotion of competition in upstream and downstream markets;</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t>whether the port terminal service provider is an exporter or an associated entity of an exporter;</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t>whether there is already an exempt service provider within the grain catchment area for the port concerned;</w:t>
            </w:r>
          </w:p>
          <w:p w:rsidR="005B77DC" w:rsidRPr="005B77DC" w:rsidRDefault="005B77DC" w:rsidP="00F53B40">
            <w:pPr>
              <w:pStyle w:val="paragraph"/>
              <w:numPr>
                <w:ilvl w:val="0"/>
                <w:numId w:val="30"/>
              </w:numPr>
              <w:spacing w:before="0" w:after="240"/>
              <w:rPr>
                <w:rFonts w:ascii="Arial" w:hAnsi="Arial" w:cs="Arial"/>
              </w:rPr>
            </w:pPr>
            <w:r w:rsidRPr="005B77DC">
              <w:rPr>
                <w:rFonts w:ascii="Arial" w:hAnsi="Arial" w:cs="Arial"/>
              </w:rPr>
              <w:tab/>
            </w:r>
            <w:proofErr w:type="gramStart"/>
            <w:r w:rsidRPr="005B77DC">
              <w:rPr>
                <w:rFonts w:ascii="Arial" w:hAnsi="Arial" w:cs="Arial"/>
              </w:rPr>
              <w:t>any</w:t>
            </w:r>
            <w:proofErr w:type="gramEnd"/>
            <w:r w:rsidRPr="005B77DC">
              <w:rPr>
                <w:rFonts w:ascii="Arial" w:hAnsi="Arial" w:cs="Arial"/>
              </w:rPr>
              <w:t xml:space="preserve"> other matters the ACCC considers relevant.</w:t>
            </w:r>
          </w:p>
        </w:tc>
      </w:tr>
    </w:tbl>
    <w:p w:rsidR="00FF4C31" w:rsidRDefault="003A44D6" w:rsidP="005538DF">
      <w:r>
        <w:lastRenderedPageBreak/>
        <w:t xml:space="preserve">These guidelines are published in accordance with subclause 5(9) of the Code and </w:t>
      </w:r>
      <w:r w:rsidR="00645FD3">
        <w:t>set out the ACCC’s process for making or revoking a</w:t>
      </w:r>
      <w:r w:rsidR="003C4A95">
        <w:t xml:space="preserve">n exemption </w:t>
      </w:r>
      <w:r w:rsidR="00645FD3">
        <w:t xml:space="preserve">determination. </w:t>
      </w:r>
      <w:r>
        <w:t xml:space="preserve">Unless the context requires otherwise, if a term is defined in the Code it has the same meaning in these guidelines as given to it in the Code. </w:t>
      </w:r>
    </w:p>
    <w:p w:rsidR="005538DF" w:rsidRDefault="005538DF" w:rsidP="005538DF">
      <w:r>
        <w:t xml:space="preserve">The ACCC may vary </w:t>
      </w:r>
      <w:r w:rsidR="003A44D6">
        <w:t>these guidelines</w:t>
      </w:r>
      <w:r>
        <w:t xml:space="preserve"> from time to time, and will </w:t>
      </w:r>
      <w:r w:rsidR="00D943FB">
        <w:t xml:space="preserve">consult with parties subject to the Code on </w:t>
      </w:r>
      <w:r w:rsidR="00EF5BD5">
        <w:t xml:space="preserve">any substantive </w:t>
      </w:r>
      <w:r w:rsidR="00D943FB">
        <w:t xml:space="preserve">proposed changes. The ACCC will </w:t>
      </w:r>
      <w:r>
        <w:t xml:space="preserve">notify </w:t>
      </w:r>
      <w:r w:rsidR="00D943FB">
        <w:t xml:space="preserve">these </w:t>
      </w:r>
      <w:r>
        <w:t xml:space="preserve">parties of any changes as well as publishing the </w:t>
      </w:r>
      <w:r w:rsidR="00D943FB">
        <w:t xml:space="preserve">revised guidelines </w:t>
      </w:r>
      <w:r>
        <w:t xml:space="preserve">on the ACCC’s website at </w:t>
      </w:r>
      <w:hyperlink r:id="rId11" w:history="1">
        <w:r w:rsidRPr="00383D22">
          <w:rPr>
            <w:rStyle w:val="Hyperlink"/>
          </w:rPr>
          <w:t>www.accc.gov.au/wheat</w:t>
        </w:r>
      </w:hyperlink>
      <w:r>
        <w:t xml:space="preserve">. </w:t>
      </w:r>
    </w:p>
    <w:p w:rsidR="005538DF" w:rsidRDefault="00F10721" w:rsidP="005538DF">
      <w:pPr>
        <w:pStyle w:val="Heading10"/>
      </w:pPr>
      <w:bookmarkStart w:id="5" w:name="_Toc401155111"/>
      <w:r>
        <w:t>Making an exemption determination</w:t>
      </w:r>
      <w:bookmarkEnd w:id="5"/>
      <w:r>
        <w:t xml:space="preserve"> </w:t>
      </w:r>
    </w:p>
    <w:p w:rsidR="005538DF" w:rsidRDefault="00F10721" w:rsidP="005538DF">
      <w:r>
        <w:t xml:space="preserve">Prior to making a determination under subclause 5(2) of the Code, the ACCC will undertake an </w:t>
      </w:r>
      <w:r w:rsidR="003C4A95" w:rsidRPr="007F1879">
        <w:t xml:space="preserve">exemption </w:t>
      </w:r>
      <w:r w:rsidRPr="007F1879">
        <w:t>assessment</w:t>
      </w:r>
      <w:r>
        <w:t xml:space="preserve"> </w:t>
      </w:r>
      <w:r w:rsidR="00D943FB">
        <w:t xml:space="preserve">process </w:t>
      </w:r>
      <w:r w:rsidR="004B2E58">
        <w:t xml:space="preserve">in which it will </w:t>
      </w:r>
      <w:r w:rsidR="005B549A">
        <w:t xml:space="preserve">consider whether to make a determination </w:t>
      </w:r>
      <w:r w:rsidR="004B2E58">
        <w:t>hav</w:t>
      </w:r>
      <w:r w:rsidR="005B549A">
        <w:t>ing</w:t>
      </w:r>
      <w:r>
        <w:t xml:space="preserve"> regard to the matters listed at subclause 5(3) of the Code. </w:t>
      </w:r>
      <w:r w:rsidR="005538DF">
        <w:t xml:space="preserve">Each </w:t>
      </w:r>
      <w:r>
        <w:t xml:space="preserve">exemption </w:t>
      </w:r>
      <w:r w:rsidR="005538DF">
        <w:t>assessment process is likely to be different and may include requests for information</w:t>
      </w:r>
      <w:r w:rsidR="000B0B1B">
        <w:t xml:space="preserve">, </w:t>
      </w:r>
      <w:r w:rsidR="005538DF">
        <w:t>consultation with interested parties</w:t>
      </w:r>
      <w:r w:rsidR="00040853">
        <w:t>,</w:t>
      </w:r>
      <w:r w:rsidR="005538DF">
        <w:t xml:space="preserve"> and </w:t>
      </w:r>
      <w:r w:rsidR="000B0B1B">
        <w:t>a draft determination</w:t>
      </w:r>
      <w:r w:rsidR="005538DF">
        <w:t xml:space="preserve"> before the ACCC makes its final determination. </w:t>
      </w:r>
    </w:p>
    <w:p w:rsidR="00515F52" w:rsidRDefault="004B2E58" w:rsidP="000B0B1B">
      <w:r>
        <w:t>T</w:t>
      </w:r>
      <w:r w:rsidR="000B0B1B">
        <w:t xml:space="preserve">he following sections </w:t>
      </w:r>
      <w:r w:rsidR="00515F52">
        <w:t>provide further detail about the potential</w:t>
      </w:r>
      <w:r w:rsidR="000B0B1B">
        <w:t xml:space="preserve"> stages in the ACCC’s </w:t>
      </w:r>
      <w:r>
        <w:t xml:space="preserve">exemption assessment </w:t>
      </w:r>
      <w:r w:rsidR="000B0B1B">
        <w:t>process.</w:t>
      </w:r>
      <w:r w:rsidR="00515F52">
        <w:t xml:space="preserve"> A diagram showing how each of the stages may typically interact is at Figure 1</w:t>
      </w:r>
      <w:r w:rsidR="00A431B5">
        <w:t xml:space="preserve"> below</w:t>
      </w:r>
      <w:r w:rsidR="00515F52">
        <w:t xml:space="preserve">. </w:t>
      </w:r>
    </w:p>
    <w:p w:rsidR="002E42F5" w:rsidRDefault="002E42F5" w:rsidP="000B0B1B"/>
    <w:p w:rsidR="002E42F5" w:rsidRDefault="002E42F5" w:rsidP="000B0B1B"/>
    <w:p w:rsidR="00515F52" w:rsidRDefault="00281079" w:rsidP="000B0B1B">
      <w:r>
        <w:rPr>
          <w:noProof/>
          <w:lang w:eastAsia="en-AU"/>
        </w:rPr>
        <w:lastRenderedPageBreak/>
        <mc:AlternateContent>
          <mc:Choice Requires="wps">
            <w:drawing>
              <wp:anchor distT="0" distB="0" distL="114300" distR="114300" simplePos="0" relativeHeight="251650047" behindDoc="0" locked="0" layoutInCell="1" allowOverlap="1" wp14:anchorId="075934C3" wp14:editId="0449C5C1">
                <wp:simplePos x="0" y="0"/>
                <wp:positionH relativeFrom="column">
                  <wp:posOffset>2221865</wp:posOffset>
                </wp:positionH>
                <wp:positionV relativeFrom="paragraph">
                  <wp:posOffset>6273165</wp:posOffset>
                </wp:positionV>
                <wp:extent cx="1109980" cy="12700"/>
                <wp:effectExtent l="0" t="19050" r="13970" b="25400"/>
                <wp:wrapNone/>
                <wp:docPr id="79" name="Elbow Connector 79"/>
                <wp:cNvGraphicFramePr/>
                <a:graphic xmlns:a="http://schemas.openxmlformats.org/drawingml/2006/main">
                  <a:graphicData uri="http://schemas.microsoft.com/office/word/2010/wordprocessingShape">
                    <wps:wsp>
                      <wps:cNvCnPr/>
                      <wps:spPr>
                        <a:xfrm rot="10800000">
                          <a:off x="0" y="0"/>
                          <a:ext cx="1109980" cy="12700"/>
                        </a:xfrm>
                        <a:prstGeom prst="bentConnector3">
                          <a:avLst>
                            <a:gd name="adj1" fmla="val 50000"/>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26" type="#_x0000_t34" style="position:absolute;margin-left:174.95pt;margin-top:493.95pt;width:87.4pt;height:1pt;rotation:180;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" strokecolor="#365f91 [2404]" strokeweight="3pt">
                <v:stroke dashstyle="1 1"/>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D343756" wp14:editId="773B96E3">
                <wp:simplePos x="0" y="0"/>
                <wp:positionH relativeFrom="column">
                  <wp:posOffset>3263900</wp:posOffset>
                </wp:positionH>
                <wp:positionV relativeFrom="paragraph">
                  <wp:posOffset>5868670</wp:posOffset>
                </wp:positionV>
                <wp:extent cx="2030730" cy="803275"/>
                <wp:effectExtent l="0" t="0" r="26670" b="15875"/>
                <wp:wrapNone/>
                <wp:docPr id="68" name="Flowchart: Process 68"/>
                <wp:cNvGraphicFramePr/>
                <a:graphic xmlns:a="http://schemas.openxmlformats.org/drawingml/2006/main">
                  <a:graphicData uri="http://schemas.microsoft.com/office/word/2010/wordprocessingShape">
                    <wps:wsp>
                      <wps:cNvSpPr/>
                      <wps:spPr>
                        <a:xfrm>
                          <a:off x="0" y="0"/>
                          <a:ext cx="2030730" cy="8032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09F" w:rsidRPr="000824D5" w:rsidRDefault="0056409F" w:rsidP="0056409F">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ACCC may issue notice setting out reasons why it has not made an exemption determination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68" o:spid="_x0000_s1026" type="#_x0000_t109" style="position:absolute;margin-left:257pt;margin-top:462.1pt;width:159.9pt;height:6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" fillcolor="#4f81bd [3204]" strokecolor="#243f60 [1604]" strokeweight="2pt">
                <v:textbox>
                  <w:txbxContent>
                    <w:p w:rsidR="0056409F" w:rsidRPr="000824D5" w:rsidRDefault="0056409F" w:rsidP="0056409F">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ACCC may issue notice setting out reasons why it has not made an exemption determination</w:t>
                      </w:r>
                    </w:p>
                  </w:txbxContent>
                </v:textbox>
              </v:shape>
            </w:pict>
          </mc:Fallback>
        </mc:AlternateContent>
      </w:r>
      <w:r>
        <w:rPr>
          <w:noProof/>
          <w:lang w:eastAsia="en-AU"/>
        </w:rPr>
        <mc:AlternateContent>
          <mc:Choice Requires="wps">
            <w:drawing>
              <wp:anchor distT="0" distB="0" distL="114300" distR="114300" simplePos="0" relativeHeight="251670528" behindDoc="0" locked="0" layoutInCell="1" allowOverlap="1" wp14:anchorId="44186898" wp14:editId="777158DF">
                <wp:simplePos x="0" y="0"/>
                <wp:positionH relativeFrom="column">
                  <wp:posOffset>2593975</wp:posOffset>
                </wp:positionH>
                <wp:positionV relativeFrom="paragraph">
                  <wp:posOffset>6134735</wp:posOffset>
                </wp:positionV>
                <wp:extent cx="505460" cy="260985"/>
                <wp:effectExtent l="0" t="0" r="27940" b="24765"/>
                <wp:wrapNone/>
                <wp:docPr id="70" name="Rectangle 70"/>
                <wp:cNvGraphicFramePr/>
                <a:graphic xmlns:a="http://schemas.openxmlformats.org/drawingml/2006/main">
                  <a:graphicData uri="http://schemas.microsoft.com/office/word/2010/wordprocessingShape">
                    <wps:wsp>
                      <wps:cNvSpPr/>
                      <wps:spPr>
                        <a:xfrm>
                          <a:off x="0" y="0"/>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09F" w:rsidRPr="00AF0752" w:rsidRDefault="0056409F" w:rsidP="0056409F">
                            <w:pPr>
                              <w:spacing w:before="0" w:after="0"/>
                              <w:jc w:val="center"/>
                            </w:pPr>
                            <w:r>
                              <w:t>O</w:t>
                            </w:r>
                            <w:r w:rsidR="00AE5577">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7" style="position:absolute;margin-left:204.25pt;margin-top:483.05pt;width:39.8pt;height:20.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" fillcolor="#4f81bd [3204]" strokecolor="#243f60 [1604]" strokeweight="2pt">
                <v:textbox>
                  <w:txbxContent>
                    <w:p w:rsidR="0056409F" w:rsidRPr="00AF0752" w:rsidRDefault="0056409F" w:rsidP="0056409F">
                      <w:pPr>
                        <w:spacing w:before="0" w:after="0"/>
                        <w:jc w:val="center"/>
                      </w:pPr>
                      <w:r>
                        <w:t>O</w:t>
                      </w:r>
                      <w:r w:rsidR="00AE5577">
                        <w:t>R</w:t>
                      </w:r>
                    </w:p>
                  </w:txbxContent>
                </v:textbox>
              </v:rect>
            </w:pict>
          </mc:Fallback>
        </mc:AlternateContent>
      </w:r>
      <w:r>
        <w:rPr>
          <w:noProof/>
          <w:lang w:eastAsia="en-AU"/>
        </w:rPr>
        <mc:AlternateContent>
          <mc:Choice Requires="wpg">
            <w:drawing>
              <wp:anchor distT="0" distB="0" distL="114300" distR="114300" simplePos="0" relativeHeight="251653120" behindDoc="0" locked="0" layoutInCell="1" allowOverlap="1" wp14:anchorId="526B520E" wp14:editId="7A37C444">
                <wp:simplePos x="0" y="0"/>
                <wp:positionH relativeFrom="column">
                  <wp:posOffset>169545</wp:posOffset>
                </wp:positionH>
                <wp:positionV relativeFrom="paragraph">
                  <wp:posOffset>254635</wp:posOffset>
                </wp:positionV>
                <wp:extent cx="5353050" cy="6416040"/>
                <wp:effectExtent l="0" t="0" r="19050" b="22860"/>
                <wp:wrapTopAndBottom/>
                <wp:docPr id="18" name="Group 18"/>
                <wp:cNvGraphicFramePr/>
                <a:graphic xmlns:a="http://schemas.openxmlformats.org/drawingml/2006/main">
                  <a:graphicData uri="http://schemas.microsoft.com/office/word/2010/wordprocessingGroup">
                    <wpg:wgp>
                      <wpg:cNvGrpSpPr/>
                      <wpg:grpSpPr>
                        <a:xfrm>
                          <a:off x="0" y="0"/>
                          <a:ext cx="5353050" cy="6416040"/>
                          <a:chOff x="-1" y="171672"/>
                          <a:chExt cx="5032185" cy="6551208"/>
                        </a:xfrm>
                      </wpg:grpSpPr>
                      <wpg:grpSp>
                        <wpg:cNvPr id="19" name="Group 1"/>
                        <wpg:cNvGrpSpPr/>
                        <wpg:grpSpPr>
                          <a:xfrm>
                            <a:off x="-1" y="171672"/>
                            <a:ext cx="5032185" cy="6551208"/>
                            <a:chOff x="20830" y="516987"/>
                            <a:chExt cx="4096950" cy="6554386"/>
                          </a:xfrm>
                        </wpg:grpSpPr>
                        <wps:wsp>
                          <wps:cNvPr id="20" name="Flowchart: Process 20"/>
                          <wps:cNvSpPr/>
                          <wps:spPr>
                            <a:xfrm>
                              <a:off x="2450504" y="3099818"/>
                              <a:ext cx="1666726" cy="7920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0824D5" w:rsidRDefault="00515F52" w:rsidP="00515F52">
                                <w:pPr>
                                  <w:pStyle w:val="NormalWeb"/>
                                  <w:spacing w:before="0" w:beforeAutospacing="0" w:after="0" w:afterAutospacing="0"/>
                                  <w:jc w:val="center"/>
                                  <w:rPr>
                                    <w:sz w:val="20"/>
                                  </w:rPr>
                                </w:pPr>
                                <w:r w:rsidRPr="000824D5">
                                  <w:rPr>
                                    <w:rFonts w:asciiTheme="minorHAnsi" w:hAnsi="Calibri" w:cstheme="minorBidi"/>
                                    <w:color w:val="FFFFFF" w:themeColor="light1"/>
                                    <w:kern w:val="24"/>
                                    <w:sz w:val="22"/>
                                    <w:szCs w:val="28"/>
                                  </w:rPr>
                                  <w:t xml:space="preserve">ACCC </w:t>
                                </w:r>
                                <w:r w:rsidR="00D943FB">
                                  <w:rPr>
                                    <w:rFonts w:asciiTheme="minorHAnsi" w:hAnsi="Calibri" w:cstheme="minorBidi"/>
                                    <w:color w:val="FFFFFF" w:themeColor="light1"/>
                                    <w:kern w:val="24"/>
                                    <w:sz w:val="22"/>
                                    <w:szCs w:val="28"/>
                                  </w:rPr>
                                  <w:t>can</w:t>
                                </w:r>
                                <w:r w:rsidR="00D943FB" w:rsidRPr="000824D5">
                                  <w:rPr>
                                    <w:rFonts w:asciiTheme="minorHAnsi" w:hAnsi="Calibri" w:cstheme="minorBidi"/>
                                    <w:color w:val="FFFFFF" w:themeColor="light1"/>
                                    <w:kern w:val="24"/>
                                    <w:sz w:val="22"/>
                                    <w:szCs w:val="28"/>
                                  </w:rPr>
                                  <w:t xml:space="preserve"> </w:t>
                                </w:r>
                                <w:r w:rsidRPr="000824D5">
                                  <w:rPr>
                                    <w:rFonts w:asciiTheme="minorHAnsi" w:hAnsi="Calibri" w:cstheme="minorBidi"/>
                                    <w:color w:val="FFFFFF" w:themeColor="light1"/>
                                    <w:kern w:val="24"/>
                                    <w:sz w:val="22"/>
                                    <w:szCs w:val="28"/>
                                  </w:rPr>
                                  <w:t>consult with interested parties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2451054" y="1734333"/>
                              <a:ext cx="1666726" cy="7920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0824D5" w:rsidRDefault="00515F52" w:rsidP="00515F52">
                                <w:pPr>
                                  <w:pStyle w:val="NormalWeb"/>
                                  <w:spacing w:before="0" w:beforeAutospacing="0" w:after="0" w:afterAutospacing="0"/>
                                  <w:jc w:val="center"/>
                                  <w:rPr>
                                    <w:sz w:val="20"/>
                                  </w:rPr>
                                </w:pPr>
                                <w:r w:rsidRPr="000824D5">
                                  <w:rPr>
                                    <w:rFonts w:asciiTheme="minorHAnsi" w:hAnsi="Calibri" w:cstheme="minorBidi"/>
                                    <w:color w:val="FFFFFF" w:themeColor="light1"/>
                                    <w:kern w:val="24"/>
                                    <w:sz w:val="22"/>
                                    <w:szCs w:val="28"/>
                                  </w:rPr>
                                  <w:t xml:space="preserve">ACCC </w:t>
                                </w:r>
                                <w:r w:rsidR="00D943FB">
                                  <w:rPr>
                                    <w:rFonts w:asciiTheme="minorHAnsi" w:hAnsi="Calibri" w:cstheme="minorBidi"/>
                                    <w:color w:val="FFFFFF" w:themeColor="light1"/>
                                    <w:kern w:val="24"/>
                                    <w:sz w:val="22"/>
                                    <w:szCs w:val="28"/>
                                  </w:rPr>
                                  <w:t>can</w:t>
                                </w:r>
                                <w:r w:rsidR="00D943FB" w:rsidRPr="000824D5">
                                  <w:rPr>
                                    <w:rFonts w:asciiTheme="minorHAnsi" w:hAnsi="Calibri" w:cstheme="minorBidi"/>
                                    <w:color w:val="FFFFFF" w:themeColor="light1"/>
                                    <w:kern w:val="24"/>
                                    <w:sz w:val="22"/>
                                    <w:szCs w:val="28"/>
                                  </w:rPr>
                                  <w:t xml:space="preserve"> </w:t>
                                </w:r>
                                <w:r w:rsidRPr="000824D5">
                                  <w:rPr>
                                    <w:rFonts w:asciiTheme="minorHAnsi" w:hAnsi="Calibri" w:cstheme="minorBidi"/>
                                    <w:color w:val="FFFFFF" w:themeColor="light1"/>
                                    <w:kern w:val="24"/>
                                    <w:sz w:val="22"/>
                                    <w:szCs w:val="28"/>
                                  </w:rPr>
                                  <w:t xml:space="preserve">request further information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219465" y="6250768"/>
                              <a:ext cx="1542247" cy="8206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0824D5" w:rsidRDefault="00515F52" w:rsidP="00515F5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w:t>
                                </w:r>
                                <w:r w:rsidR="005B549A">
                                  <w:rPr>
                                    <w:rFonts w:asciiTheme="minorHAnsi" w:hAnsi="Calibri" w:cstheme="minorBidi"/>
                                    <w:color w:val="FFFFFF" w:themeColor="light1"/>
                                    <w:kern w:val="24"/>
                                    <w:sz w:val="22"/>
                                    <w:szCs w:val="28"/>
                                  </w:rPr>
                                  <w:t>may make an exemption determination in relation to one or more port terminal facilities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20830" y="516987"/>
                              <a:ext cx="1931835" cy="88999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56409F" w:rsidRDefault="00515F52" w:rsidP="00515F52">
                                <w:pPr>
                                  <w:pStyle w:val="NormalWeb"/>
                                  <w:spacing w:before="0" w:beforeAutospacing="0" w:after="0" w:afterAutospacing="0"/>
                                  <w:jc w:val="center"/>
                                  <w:rPr>
                                    <w:rFonts w:asciiTheme="minorHAnsi" w:hAnsiTheme="minorHAnsi" w:cstheme="minorHAnsi"/>
                                    <w:color w:val="FFFFFF" w:themeColor="light1"/>
                                    <w:kern w:val="24"/>
                                    <w:sz w:val="22"/>
                                    <w:szCs w:val="22"/>
                                  </w:rPr>
                                </w:pPr>
                                <w:r w:rsidRPr="0056409F">
                                  <w:rPr>
                                    <w:rFonts w:asciiTheme="minorHAnsi" w:hAnsiTheme="minorHAnsi" w:cstheme="minorHAnsi"/>
                                    <w:color w:val="FFFFFF" w:themeColor="light1"/>
                                    <w:kern w:val="24"/>
                                    <w:sz w:val="22"/>
                                    <w:szCs w:val="22"/>
                                  </w:rPr>
                                  <w:t xml:space="preserve">Tier one service provider </w:t>
                                </w:r>
                                <w:r w:rsidR="005B549A" w:rsidRPr="0056409F">
                                  <w:rPr>
                                    <w:rFonts w:asciiTheme="minorHAnsi" w:hAnsiTheme="minorHAnsi" w:cstheme="minorHAnsi"/>
                                    <w:color w:val="FFFFFF" w:themeColor="light1"/>
                                    <w:kern w:val="24"/>
                                    <w:sz w:val="22"/>
                                    <w:szCs w:val="22"/>
                                  </w:rPr>
                                  <w:t>submits an exemption application</w:t>
                                </w:r>
                                <w:r w:rsidR="0056409F" w:rsidRPr="0056409F">
                                  <w:rPr>
                                    <w:rFonts w:asciiTheme="minorHAnsi" w:hAnsiTheme="minorHAnsi" w:cstheme="minorHAnsi"/>
                                    <w:color w:val="FFFFFF" w:themeColor="light1"/>
                                    <w:kern w:val="24"/>
                                    <w:sz w:val="22"/>
                                    <w:szCs w:val="22"/>
                                  </w:rPr>
                                  <w:t xml:space="preserve"> </w:t>
                                </w:r>
                              </w:p>
                              <w:p w:rsidR="0056409F" w:rsidRPr="0056409F" w:rsidRDefault="00281079" w:rsidP="00515F52">
                                <w:pPr>
                                  <w:pStyle w:val="NormalWeb"/>
                                  <w:spacing w:before="0" w:beforeAutospacing="0" w:after="0" w:afterAutospacing="0"/>
                                  <w:jc w:val="center"/>
                                  <w:rPr>
                                    <w:rFonts w:asciiTheme="minorHAnsi" w:hAnsiTheme="minorHAnsi" w:cstheme="minorHAnsi"/>
                                    <w:color w:val="FFFFFF" w:themeColor="light1"/>
                                    <w:kern w:val="24"/>
                                    <w:sz w:val="22"/>
                                    <w:szCs w:val="22"/>
                                  </w:rPr>
                                </w:pPr>
                                <w:r>
                                  <w:rPr>
                                    <w:rFonts w:asciiTheme="minorHAnsi" w:hAnsiTheme="minorHAnsi" w:cstheme="minorHAnsi"/>
                                    <w:color w:val="FFFFFF" w:themeColor="light1"/>
                                    <w:kern w:val="24"/>
                                    <w:sz w:val="22"/>
                                    <w:szCs w:val="22"/>
                                  </w:rPr>
                                  <w:t>OR</w:t>
                                </w:r>
                              </w:p>
                              <w:p w:rsidR="0056409F" w:rsidRPr="0056409F" w:rsidRDefault="0056409F" w:rsidP="00515F52">
                                <w:pPr>
                                  <w:pStyle w:val="NormalWeb"/>
                                  <w:spacing w:before="0" w:beforeAutospacing="0" w:after="0" w:afterAutospacing="0"/>
                                  <w:jc w:val="center"/>
                                  <w:rPr>
                                    <w:rFonts w:asciiTheme="minorHAnsi" w:hAnsiTheme="minorHAnsi" w:cstheme="minorHAnsi"/>
                                    <w:sz w:val="22"/>
                                    <w:szCs w:val="22"/>
                                  </w:rPr>
                                </w:pPr>
                                <w:r w:rsidRPr="0056409F">
                                  <w:rPr>
                                    <w:rFonts w:asciiTheme="minorHAnsi" w:hAnsiTheme="minorHAnsi" w:cstheme="minorHAnsi"/>
                                    <w:sz w:val="22"/>
                                    <w:szCs w:val="22"/>
                                  </w:rPr>
                                  <w:t>ACCC commences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245904" y="3174012"/>
                              <a:ext cx="1440160" cy="616002"/>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515F52" w:rsidRDefault="00515F52" w:rsidP="00515F52">
                                <w:pPr>
                                  <w:pStyle w:val="NormalWeb"/>
                                  <w:spacing w:before="0" w:beforeAutospacing="0" w:after="0" w:afterAutospacing="0"/>
                                  <w:jc w:val="center"/>
                                </w:pPr>
                                <w:r>
                                  <w:rPr>
                                    <w:rFonts w:asciiTheme="minorHAnsi" w:hAnsi="Calibri" w:cstheme="minorBidi"/>
                                    <w:color w:val="000000" w:themeColor="dark1"/>
                                    <w:kern w:val="24"/>
                                    <w:sz w:val="22"/>
                                    <w:szCs w:val="22"/>
                                  </w:rPr>
                                  <w:t xml:space="preserve"> Is the impact on interested parties clear?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242900" y="1734332"/>
                              <a:ext cx="1440160" cy="720080"/>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515F52" w:rsidRDefault="00515F52" w:rsidP="00515F52">
                                <w:pPr>
                                  <w:pStyle w:val="NormalWeb"/>
                                  <w:spacing w:before="0" w:beforeAutospacing="0" w:after="0" w:afterAutospacing="0"/>
                                  <w:jc w:val="center"/>
                                </w:pPr>
                                <w:r>
                                  <w:rPr>
                                    <w:rFonts w:asciiTheme="minorHAnsi" w:hAnsi="Calibri" w:cstheme="minorBidi"/>
                                    <w:color w:val="000000" w:themeColor="dark1"/>
                                    <w:kern w:val="24"/>
                                    <w:sz w:val="22"/>
                                    <w:szCs w:val="22"/>
                                  </w:rPr>
                                  <w:t>Does the application contain sufficient information?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6" name="Flowchart: Process 26"/>
                        <wps:cNvSpPr/>
                        <wps:spPr>
                          <a:xfrm>
                            <a:off x="2984309" y="4202158"/>
                            <a:ext cx="2047875" cy="80895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0824D5" w:rsidRDefault="00515F52" w:rsidP="00515F5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w:t>
                              </w:r>
                              <w:r w:rsidR="00D943FB">
                                <w:rPr>
                                  <w:rFonts w:asciiTheme="minorHAnsi" w:hAnsi="Calibri" w:cstheme="minorBidi"/>
                                  <w:color w:val="FFFFFF" w:themeColor="light1"/>
                                  <w:kern w:val="24"/>
                                  <w:sz w:val="22"/>
                                  <w:szCs w:val="28"/>
                                </w:rPr>
                                <w:t xml:space="preserve">can </w:t>
                              </w:r>
                              <w:r w:rsidR="005B549A">
                                <w:rPr>
                                  <w:rFonts w:asciiTheme="minorHAnsi" w:hAnsi="Calibri" w:cstheme="minorBidi"/>
                                  <w:color w:val="FFFFFF" w:themeColor="light1"/>
                                  <w:kern w:val="24"/>
                                  <w:sz w:val="22"/>
                                  <w:szCs w:val="28"/>
                                </w:rPr>
                                <w:t xml:space="preserve">issue a draft determination and conduct further consultation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269906" y="4194226"/>
                            <a:ext cx="1769140" cy="740675"/>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515F52" w:rsidRDefault="005B549A" w:rsidP="00515F52">
                              <w:pPr>
                                <w:pStyle w:val="NormalWeb"/>
                                <w:spacing w:before="0" w:beforeAutospacing="0" w:after="0" w:afterAutospacing="0"/>
                                <w:jc w:val="center"/>
                              </w:pPr>
                              <w:r>
                                <w:rPr>
                                  <w:rFonts w:asciiTheme="minorHAnsi" w:hAnsi="Calibri" w:cstheme="minorBidi"/>
                                  <w:color w:val="000000" w:themeColor="dark1"/>
                                  <w:kern w:val="24"/>
                                  <w:sz w:val="22"/>
                                  <w:szCs w:val="22"/>
                                </w:rPr>
                                <w:t>Are there outstanding issues on which the ACCC seeks parties’ views?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28" style="position:absolute;margin-left:13.35pt;margin-top:20.05pt;width:421.5pt;height:505.2pt;z-index:251653120" coordorigin=",1716" coordsize="50321,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">
                <v:group id="Group 1" o:spid="_x0000_s1029" style="position:absolute;top:1716;width:50321;height:65512" coordorigin="208,5169" coordsize="40969,6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lowchart: Process 20" o:spid="_x0000_s1030" type="#_x0000_t109" style="position:absolute;left:24505;top:30998;width:16667;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s3LoA&#10;AADbAAAADwAAAGRycy9kb3ducmV2LnhtbERPy6rCMBDdC/5DGMGNaHpdSKlGEUG4W2vdj83YFJtJ&#10;SaLWvzcLweXhvDe7wXbiST60jhX8LTIQxLXTLTcKqvNxnoMIEVlj55gUvCnAbjsebbDQ7sUnepax&#10;ESmEQ4EKTIx9IWWoDVkMC9cTJ+7mvMWYoG+k9vhK4baTyyxbSYstpwaDPR0M1ffyYRXM5IVNGSvK&#10;y+bmc8ezQ3V9KDWdDPs1iEhD/Im/7n+tYJnWpy/pB8jt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pns3LoAAADbAAAADwAAAAAAAAAAAAAAAACYAgAAZHJzL2Rvd25yZXYueG1s&#10;UEsFBgAAAAAEAAQA9QAAAH8DAAAAAA==&#10;" fillcolor="#4f81bd [3204]" strokecolor="#243f60 [1604]" strokeweight="2pt">
                    <v:textbox>
                      <w:txbxContent>
                        <w:p w:rsidR="00515F52" w:rsidRPr="000824D5" w:rsidRDefault="00515F52" w:rsidP="00515F52">
                          <w:pPr>
                            <w:pStyle w:val="NormalWeb"/>
                            <w:spacing w:before="0" w:beforeAutospacing="0" w:after="0" w:afterAutospacing="0"/>
                            <w:jc w:val="center"/>
                            <w:rPr>
                              <w:sz w:val="20"/>
                            </w:rPr>
                          </w:pPr>
                          <w:r w:rsidRPr="000824D5">
                            <w:rPr>
                              <w:rFonts w:asciiTheme="minorHAnsi" w:hAnsi="Calibri" w:cstheme="minorBidi"/>
                              <w:color w:val="FFFFFF" w:themeColor="light1"/>
                              <w:kern w:val="24"/>
                              <w:sz w:val="22"/>
                              <w:szCs w:val="28"/>
                            </w:rPr>
                            <w:t xml:space="preserve">ACCC </w:t>
                          </w:r>
                          <w:r w:rsidR="00D943FB">
                            <w:rPr>
                              <w:rFonts w:asciiTheme="minorHAnsi" w:hAnsi="Calibri" w:cstheme="minorBidi"/>
                              <w:color w:val="FFFFFF" w:themeColor="light1"/>
                              <w:kern w:val="24"/>
                              <w:sz w:val="22"/>
                              <w:szCs w:val="28"/>
                            </w:rPr>
                            <w:t>can</w:t>
                          </w:r>
                          <w:r w:rsidR="00D943FB" w:rsidRPr="000824D5">
                            <w:rPr>
                              <w:rFonts w:asciiTheme="minorHAnsi" w:hAnsi="Calibri" w:cstheme="minorBidi"/>
                              <w:color w:val="FFFFFF" w:themeColor="light1"/>
                              <w:kern w:val="24"/>
                              <w:sz w:val="22"/>
                              <w:szCs w:val="28"/>
                            </w:rPr>
                            <w:t xml:space="preserve"> </w:t>
                          </w:r>
                          <w:r w:rsidRPr="000824D5">
                            <w:rPr>
                              <w:rFonts w:asciiTheme="minorHAnsi" w:hAnsi="Calibri" w:cstheme="minorBidi"/>
                              <w:color w:val="FFFFFF" w:themeColor="light1"/>
                              <w:kern w:val="24"/>
                              <w:sz w:val="22"/>
                              <w:szCs w:val="28"/>
                            </w:rPr>
                            <w:t>consult with interested parties</w:t>
                          </w:r>
                        </w:p>
                      </w:txbxContent>
                    </v:textbox>
                  </v:shape>
                  <v:shape id="Flowchart: Process 21" o:spid="_x0000_s1031" type="#_x0000_t109" style="position:absolute;left:24510;top:17343;width:16667;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JR8AA&#10;AADbAAAADwAAAGRycy9kb3ducmV2LnhtbESPwWrDMBBE74X8g9hCL6GWk0MxrmVTDIFe47r3rbWx&#10;TK2VkeTE/fuoUOhxmJk3TNVsdhZX8mFyrOCQ5SCIB6cnHhX0H6fnAkSIyBpnx6TghwI09e6hwlK7&#10;G5/p2sVRJAiHEhWYGJdSyjAYshgytxAn7+K8xZikH6X2eEtwO8tjnr9IixOnBYMLtYaG7261Cvby&#10;k00Xeyq68eILx/u2/1qVenrc3l5BRNrif/iv/a4VHA/w+yX9AFn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VJR8AAAADbAAAADwAAAAAAAAAAAAAAAACYAgAAZHJzL2Rvd25y&#10;ZXYueG1sUEsFBgAAAAAEAAQA9QAAAIUDAAAAAA==&#10;" fillcolor="#4f81bd [3204]" strokecolor="#243f60 [1604]" strokeweight="2pt">
                    <v:textbox>
                      <w:txbxContent>
                        <w:p w:rsidR="00515F52" w:rsidRPr="000824D5" w:rsidRDefault="00515F52" w:rsidP="00515F52">
                          <w:pPr>
                            <w:pStyle w:val="NormalWeb"/>
                            <w:spacing w:before="0" w:beforeAutospacing="0" w:after="0" w:afterAutospacing="0"/>
                            <w:jc w:val="center"/>
                            <w:rPr>
                              <w:sz w:val="20"/>
                            </w:rPr>
                          </w:pPr>
                          <w:r w:rsidRPr="000824D5">
                            <w:rPr>
                              <w:rFonts w:asciiTheme="minorHAnsi" w:hAnsi="Calibri" w:cstheme="minorBidi"/>
                              <w:color w:val="FFFFFF" w:themeColor="light1"/>
                              <w:kern w:val="24"/>
                              <w:sz w:val="22"/>
                              <w:szCs w:val="28"/>
                            </w:rPr>
                            <w:t xml:space="preserve">ACCC </w:t>
                          </w:r>
                          <w:r w:rsidR="00D943FB">
                            <w:rPr>
                              <w:rFonts w:asciiTheme="minorHAnsi" w:hAnsi="Calibri" w:cstheme="minorBidi"/>
                              <w:color w:val="FFFFFF" w:themeColor="light1"/>
                              <w:kern w:val="24"/>
                              <w:sz w:val="22"/>
                              <w:szCs w:val="28"/>
                            </w:rPr>
                            <w:t>can</w:t>
                          </w:r>
                          <w:r w:rsidR="00D943FB" w:rsidRPr="000824D5">
                            <w:rPr>
                              <w:rFonts w:asciiTheme="minorHAnsi" w:hAnsi="Calibri" w:cstheme="minorBidi"/>
                              <w:color w:val="FFFFFF" w:themeColor="light1"/>
                              <w:kern w:val="24"/>
                              <w:sz w:val="22"/>
                              <w:szCs w:val="28"/>
                            </w:rPr>
                            <w:t xml:space="preserve"> </w:t>
                          </w:r>
                          <w:r w:rsidRPr="000824D5">
                            <w:rPr>
                              <w:rFonts w:asciiTheme="minorHAnsi" w:hAnsi="Calibri" w:cstheme="minorBidi"/>
                              <w:color w:val="FFFFFF" w:themeColor="light1"/>
                              <w:kern w:val="24"/>
                              <w:sz w:val="22"/>
                              <w:szCs w:val="28"/>
                            </w:rPr>
                            <w:t xml:space="preserve">request further information </w:t>
                          </w:r>
                        </w:p>
                      </w:txbxContent>
                    </v:textbox>
                  </v:shape>
                  <v:shape id="Flowchart: Process 22" o:spid="_x0000_s1032" type="#_x0000_t109" style="position:absolute;left:2194;top:62507;width:15423;height:8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XML4A&#10;AADbAAAADwAAAGRycy9kb3ducmV2LnhtbESPQYvCMBSE7wv+h/CEvYim9rCUahQRBK/W7v3ZPJti&#10;81KSqPXfmwVhj8PMfMOst6PtxYN86BwrWC4yEMSN0x23CurzYV6ACBFZY++YFLwowHYz+Vpjqd2T&#10;T/SoYisShEOJCkyMQyllaAxZDAs3ECfv6rzFmKRvpfb4THDbyzzLfqTFjtOCwYH2hppbdbcKZvKX&#10;TRVrKqr26gvHs319uSv1PR13KxCRxvgf/rSPWkGew9+X9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H1zC+AAAA2wAAAA8AAAAAAAAAAAAAAAAAmAIAAGRycy9kb3ducmV2&#10;LnhtbFBLBQYAAAAABAAEAPUAAACDAwAAAAA=&#10;" fillcolor="#4f81bd [3204]" strokecolor="#243f60 [1604]" strokeweight="2pt">
                    <v:textbox>
                      <w:txbxContent>
                        <w:p w:rsidR="00515F52" w:rsidRPr="000824D5" w:rsidRDefault="00515F52" w:rsidP="00515F5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w:t>
                          </w:r>
                          <w:r w:rsidR="005B549A">
                            <w:rPr>
                              <w:rFonts w:asciiTheme="minorHAnsi" w:hAnsi="Calibri" w:cstheme="minorBidi"/>
                              <w:color w:val="FFFFFF" w:themeColor="light1"/>
                              <w:kern w:val="24"/>
                              <w:sz w:val="22"/>
                              <w:szCs w:val="28"/>
                            </w:rPr>
                            <w:t>may make an exemption determination in relation to one or more port terminal facilities</w:t>
                          </w:r>
                        </w:p>
                      </w:txbxContent>
                    </v:textbox>
                  </v:shape>
                  <v:shape id="Flowchart: Process 23" o:spid="_x0000_s1033" type="#_x0000_t109" style="position:absolute;left:208;top:5169;width:19318;height:8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yq74A&#10;AADbAAAADwAAAGRycy9kb3ducmV2LnhtbESPQYvCMBSE74L/IbwFL6LpKkipRlkEYa/Wen82z6bY&#10;vJQkavffbwTB4zAz3zCb3WA78SAfWscKvucZCOLa6ZYbBdXpMMtBhIissXNMCv4owG47Hm2w0O7J&#10;R3qUsREJwqFABSbGvpAy1IYshrnriZN3dd5iTNI3Unt8Jrjt5CLLVtJiy2nBYE97Q/WtvFsFU3lm&#10;U8aK8rK5+tzxdF9d7kpNvoafNYhIQ/yE3+1frWCxhNe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Lcqu+AAAA2wAAAA8AAAAAAAAAAAAAAAAAmAIAAGRycy9kb3ducmV2&#10;LnhtbFBLBQYAAAAABAAEAPUAAACDAwAAAAA=&#10;" fillcolor="#4f81bd [3204]" strokecolor="#243f60 [1604]" strokeweight="2pt">
                    <v:textbox>
                      <w:txbxContent>
                        <w:p w:rsidR="00515F52" w:rsidRPr="0056409F" w:rsidRDefault="00515F52" w:rsidP="00515F52">
                          <w:pPr>
                            <w:pStyle w:val="NormalWeb"/>
                            <w:spacing w:before="0" w:beforeAutospacing="0" w:after="0" w:afterAutospacing="0"/>
                            <w:jc w:val="center"/>
                            <w:rPr>
                              <w:rFonts w:asciiTheme="minorHAnsi" w:hAnsiTheme="minorHAnsi" w:cstheme="minorHAnsi"/>
                              <w:color w:val="FFFFFF" w:themeColor="light1"/>
                              <w:kern w:val="24"/>
                              <w:sz w:val="22"/>
                              <w:szCs w:val="22"/>
                            </w:rPr>
                          </w:pPr>
                          <w:r w:rsidRPr="0056409F">
                            <w:rPr>
                              <w:rFonts w:asciiTheme="minorHAnsi" w:hAnsiTheme="minorHAnsi" w:cstheme="minorHAnsi"/>
                              <w:color w:val="FFFFFF" w:themeColor="light1"/>
                              <w:kern w:val="24"/>
                              <w:sz w:val="22"/>
                              <w:szCs w:val="22"/>
                            </w:rPr>
                            <w:t xml:space="preserve">Tier one service provider </w:t>
                          </w:r>
                          <w:r w:rsidR="005B549A" w:rsidRPr="0056409F">
                            <w:rPr>
                              <w:rFonts w:asciiTheme="minorHAnsi" w:hAnsiTheme="minorHAnsi" w:cstheme="minorHAnsi"/>
                              <w:color w:val="FFFFFF" w:themeColor="light1"/>
                              <w:kern w:val="24"/>
                              <w:sz w:val="22"/>
                              <w:szCs w:val="22"/>
                            </w:rPr>
                            <w:t>submits an exemption application</w:t>
                          </w:r>
                          <w:r w:rsidR="0056409F" w:rsidRPr="0056409F">
                            <w:rPr>
                              <w:rFonts w:asciiTheme="minorHAnsi" w:hAnsiTheme="minorHAnsi" w:cstheme="minorHAnsi"/>
                              <w:color w:val="FFFFFF" w:themeColor="light1"/>
                              <w:kern w:val="24"/>
                              <w:sz w:val="22"/>
                              <w:szCs w:val="22"/>
                            </w:rPr>
                            <w:t xml:space="preserve"> </w:t>
                          </w:r>
                        </w:p>
                        <w:p w:rsidR="0056409F" w:rsidRPr="0056409F" w:rsidRDefault="00281079" w:rsidP="00515F52">
                          <w:pPr>
                            <w:pStyle w:val="NormalWeb"/>
                            <w:spacing w:before="0" w:beforeAutospacing="0" w:after="0" w:afterAutospacing="0"/>
                            <w:jc w:val="center"/>
                            <w:rPr>
                              <w:rFonts w:asciiTheme="minorHAnsi" w:hAnsiTheme="minorHAnsi" w:cstheme="minorHAnsi"/>
                              <w:color w:val="FFFFFF" w:themeColor="light1"/>
                              <w:kern w:val="24"/>
                              <w:sz w:val="22"/>
                              <w:szCs w:val="22"/>
                            </w:rPr>
                          </w:pPr>
                          <w:r>
                            <w:rPr>
                              <w:rFonts w:asciiTheme="minorHAnsi" w:hAnsiTheme="minorHAnsi" w:cstheme="minorHAnsi"/>
                              <w:color w:val="FFFFFF" w:themeColor="light1"/>
                              <w:kern w:val="24"/>
                              <w:sz w:val="22"/>
                              <w:szCs w:val="22"/>
                            </w:rPr>
                            <w:t>OR</w:t>
                          </w:r>
                        </w:p>
                        <w:p w:rsidR="0056409F" w:rsidRPr="0056409F" w:rsidRDefault="0056409F" w:rsidP="00515F52">
                          <w:pPr>
                            <w:pStyle w:val="NormalWeb"/>
                            <w:spacing w:before="0" w:beforeAutospacing="0" w:after="0" w:afterAutospacing="0"/>
                            <w:jc w:val="center"/>
                            <w:rPr>
                              <w:rFonts w:asciiTheme="minorHAnsi" w:hAnsiTheme="minorHAnsi" w:cstheme="minorHAnsi"/>
                              <w:sz w:val="22"/>
                              <w:szCs w:val="22"/>
                            </w:rPr>
                          </w:pPr>
                          <w:r w:rsidRPr="0056409F">
                            <w:rPr>
                              <w:rFonts w:asciiTheme="minorHAnsi" w:hAnsiTheme="minorHAnsi" w:cstheme="minorHAnsi"/>
                              <w:sz w:val="22"/>
                              <w:szCs w:val="22"/>
                            </w:rPr>
                            <w:t>ACCC commences assessment</w:t>
                          </w:r>
                        </w:p>
                      </w:txbxContent>
                    </v:textbox>
                  </v:shape>
                  <v:roundrect id="Rounded Rectangle 24" o:spid="_x0000_s1034" style="position:absolute;left:2459;top:31740;width:14401;height:6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nT8IA&#10;AADbAAAADwAAAGRycy9kb3ducmV2LnhtbESP3WoCMRCF7wu+QxihdzXrD0VWoxSxUApeqPsAw2bc&#10;hG4m6yZq6tM3gtDLw/n5OMt1cq24Uh+sZwXjUQGCuPbacqOgOn6+zUGEiKyx9UwKfinAejV4WWKp&#10;/Y33dD3ERuQRDiUqMDF2pZShNuQwjHxHnL2T7x3GLPtG6h5vedy1clIU79Kh5Uww2NHGUP1zuLjM&#10;TWd92pp0mdqdraZyd6++9V2p12H6WICIlOJ/+Nn+0gomM3h8y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dPwgAAANsAAAAPAAAAAAAAAAAAAAAAAJgCAABkcnMvZG93&#10;bnJldi54bWxQSwUGAAAAAAQABAD1AAAAhwMAAAAA&#10;" fillcolor="white [3201]" strokecolor="#243f60 [1604]" strokeweight="2pt">
                    <v:textbox>
                      <w:txbxContent>
                        <w:p w:rsidR="00515F52" w:rsidRDefault="00515F52" w:rsidP="00515F52">
                          <w:pPr>
                            <w:pStyle w:val="NormalWeb"/>
                            <w:spacing w:before="0" w:beforeAutospacing="0" w:after="0" w:afterAutospacing="0"/>
                            <w:jc w:val="center"/>
                          </w:pPr>
                          <w:r>
                            <w:rPr>
                              <w:rFonts w:asciiTheme="minorHAnsi" w:hAnsi="Calibri" w:cstheme="minorBidi"/>
                              <w:color w:val="000000" w:themeColor="dark1"/>
                              <w:kern w:val="24"/>
                              <w:sz w:val="22"/>
                              <w:szCs w:val="22"/>
                            </w:rPr>
                            <w:t xml:space="preserve"> Is the impact on interested parties clear? </w:t>
                          </w:r>
                        </w:p>
                      </w:txbxContent>
                    </v:textbox>
                  </v:roundrect>
                  <v:roundrect id="Rounded Rectangle 25" o:spid="_x0000_s1035" style="position:absolute;left:2429;top:17343;width:14401;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C1MIA&#10;AADbAAAADwAAAGRycy9kb3ducmV2LnhtbESP3WoCMRCF7wu+QxihdzWrYpHVKEUslIIX6j7AsBk3&#10;oZvJuoma+vSNIPTycH4+znKdXCuu1AfrWcF4VIAgrr223Ciojp9vcxAhImtsPZOCXwqwXg1ellhq&#10;f+M9XQ+xEXmEQ4kKTIxdKWWoDTkMI98RZ+/ke4cxy76RusdbHnetnBTFu3RoORMMdrQxVP8cLi5z&#10;01mftiZdpnZnq6nc3atvfVfqdZg+FiAipfgffra/tILJDB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ULUwgAAANsAAAAPAAAAAAAAAAAAAAAAAJgCAABkcnMvZG93&#10;bnJldi54bWxQSwUGAAAAAAQABAD1AAAAhwMAAAAA&#10;" fillcolor="white [3201]" strokecolor="#243f60 [1604]" strokeweight="2pt">
                    <v:textbox>
                      <w:txbxContent>
                        <w:p w:rsidR="00515F52" w:rsidRDefault="00515F52" w:rsidP="00515F52">
                          <w:pPr>
                            <w:pStyle w:val="NormalWeb"/>
                            <w:spacing w:before="0" w:beforeAutospacing="0" w:after="0" w:afterAutospacing="0"/>
                            <w:jc w:val="center"/>
                          </w:pPr>
                          <w:r>
                            <w:rPr>
                              <w:rFonts w:asciiTheme="minorHAnsi" w:hAnsi="Calibri" w:cstheme="minorBidi"/>
                              <w:color w:val="000000" w:themeColor="dark1"/>
                              <w:kern w:val="24"/>
                              <w:sz w:val="22"/>
                              <w:szCs w:val="22"/>
                            </w:rPr>
                            <w:t>Does the application contain sufficient information?</w:t>
                          </w:r>
                        </w:p>
                      </w:txbxContent>
                    </v:textbox>
                  </v:roundrect>
                </v:group>
                <v:shape id="Flowchart: Process 26" o:spid="_x0000_s1036" type="#_x0000_t109" style="position:absolute;left:29843;top:42021;width:20478;height:8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RM8AA&#10;AADbAAAADwAAAGRycy9kb3ducmV2LnhtbESPwWrDMBBE74X8g9hCLiaR64MxbpRQAoFe67r3rbWx&#10;TKyVkZTY/fsoEOhxmJk3zO6w2FHcyIfBsYK3bQ6CuHN64F5B+33aVCBCRNY4OiYFfxTgsF+97LDW&#10;buYvujWxFwnCoUYFJsapljJ0hiyGrZuIk3d23mJM0vdSe5wT3I6yyPNSWhw4LRic6GiouzRXqyCT&#10;P2ya2FLV9GdfOc6O7e9VqfXr8vEOItIS/8PP9qdWUJTw+JJ+gN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zRM8AAAADbAAAADwAAAAAAAAAAAAAAAACYAgAAZHJzL2Rvd25y&#10;ZXYueG1sUEsFBgAAAAAEAAQA9QAAAIUDAAAAAA==&#10;" fillcolor="#4f81bd [3204]" strokecolor="#243f60 [1604]" strokeweight="2pt">
                  <v:textbox>
                    <w:txbxContent>
                      <w:p w:rsidR="00515F52" w:rsidRPr="000824D5" w:rsidRDefault="00515F52" w:rsidP="00515F5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w:t>
                        </w:r>
                        <w:r w:rsidR="00D943FB">
                          <w:rPr>
                            <w:rFonts w:asciiTheme="minorHAnsi" w:hAnsi="Calibri" w:cstheme="minorBidi"/>
                            <w:color w:val="FFFFFF" w:themeColor="light1"/>
                            <w:kern w:val="24"/>
                            <w:sz w:val="22"/>
                            <w:szCs w:val="28"/>
                          </w:rPr>
                          <w:t xml:space="preserve">can </w:t>
                        </w:r>
                        <w:r w:rsidR="005B549A">
                          <w:rPr>
                            <w:rFonts w:asciiTheme="minorHAnsi" w:hAnsi="Calibri" w:cstheme="minorBidi"/>
                            <w:color w:val="FFFFFF" w:themeColor="light1"/>
                            <w:kern w:val="24"/>
                            <w:sz w:val="22"/>
                            <w:szCs w:val="28"/>
                          </w:rPr>
                          <w:t xml:space="preserve">issue a draft determination and conduct further consultation </w:t>
                        </w:r>
                      </w:p>
                    </w:txbxContent>
                  </v:textbox>
                </v:shape>
                <v:roundrect id="Rounded Rectangle 27" o:spid="_x0000_s1037" style="position:absolute;left:2699;top:41942;width:17691;height:74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5OMIA&#10;AADbAAAADwAAAGRycy9kb3ducmV2LnhtbESP3WoCMRCF7wu+QxihdzWrgpXVKEUslIIX6j7AsBk3&#10;oZvJuoma+vSNIPTycH4+znKdXCuu1AfrWcF4VIAgrr223Ciojp9vcxAhImtsPZOCXwqwXg1ellhq&#10;f+M9XQ+xEXmEQ4kKTIxdKWWoDTkMI98RZ+/ke4cxy76RusdbHnetnBTFTDq0nAkGO9oYqn8OF5e5&#10;6axPW5MuU7uz1VTu7tW3viv1OkwfCxCRUvwPP9tfWsHkHR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3k4wgAAANsAAAAPAAAAAAAAAAAAAAAAAJgCAABkcnMvZG93&#10;bnJldi54bWxQSwUGAAAAAAQABAD1AAAAhwMAAAAA&#10;" fillcolor="white [3201]" strokecolor="#243f60 [1604]" strokeweight="2pt">
                  <v:textbox>
                    <w:txbxContent>
                      <w:p w:rsidR="00515F52" w:rsidRDefault="005B549A" w:rsidP="00515F52">
                        <w:pPr>
                          <w:pStyle w:val="NormalWeb"/>
                          <w:spacing w:before="0" w:beforeAutospacing="0" w:after="0" w:afterAutospacing="0"/>
                          <w:jc w:val="center"/>
                        </w:pPr>
                        <w:r>
                          <w:rPr>
                            <w:rFonts w:asciiTheme="minorHAnsi" w:hAnsi="Calibri" w:cstheme="minorBidi"/>
                            <w:color w:val="000000" w:themeColor="dark1"/>
                            <w:kern w:val="24"/>
                            <w:sz w:val="22"/>
                            <w:szCs w:val="22"/>
                          </w:rPr>
                          <w:t>Are there outstanding issues on which the ACCC seeks parties’ views?</w:t>
                        </w:r>
                      </w:p>
                    </w:txbxContent>
                  </v:textbox>
                </v:roundrect>
                <w10:wrap type="topAndBottom"/>
              </v:group>
            </w:pict>
          </mc:Fallback>
        </mc:AlternateContent>
      </w:r>
      <w:r>
        <w:rPr>
          <w:noProof/>
          <w:lang w:eastAsia="en-AU"/>
        </w:rPr>
        <mc:AlternateContent>
          <mc:Choice Requires="wps">
            <w:drawing>
              <wp:anchor distT="0" distB="0" distL="114300" distR="114300" simplePos="0" relativeHeight="251654144" behindDoc="0" locked="0" layoutInCell="1" allowOverlap="1" wp14:anchorId="48715518" wp14:editId="3EDA653E">
                <wp:simplePos x="0" y="0"/>
                <wp:positionH relativeFrom="column">
                  <wp:posOffset>1193711</wp:posOffset>
                </wp:positionH>
                <wp:positionV relativeFrom="paragraph">
                  <wp:posOffset>2158366</wp:posOffset>
                </wp:positionV>
                <wp:extent cx="506052" cy="261248"/>
                <wp:effectExtent l="0" t="0" r="27940" b="24765"/>
                <wp:wrapTopAndBottom/>
                <wp:docPr id="28" name="Rectangle 28"/>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AF0752" w:rsidRDefault="00515F52" w:rsidP="00515F52">
                            <w:pPr>
                              <w:spacing w:before="0" w:after="0"/>
                              <w:jc w:val="center"/>
                            </w:pPr>
                            <w:r w:rsidRPr="00AF075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38" style="position:absolute;margin-left:94pt;margin-top:169.95pt;width:39.85pt;height:20.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" fillcolor="#4f81bd [3204]" strokecolor="#243f60 [1604]" strokeweight="2pt">
                <v:textbox>
                  <w:txbxContent>
                    <w:p w:rsidR="00515F52" w:rsidRPr="00AF0752" w:rsidRDefault="00515F52" w:rsidP="00515F52">
                      <w:pPr>
                        <w:spacing w:before="0" w:after="0"/>
                        <w:jc w:val="center"/>
                      </w:pPr>
                      <w:r w:rsidRPr="00AF0752">
                        <w:t>Yes</w:t>
                      </w:r>
                    </w:p>
                  </w:txbxContent>
                </v:textbox>
                <w10:wrap type="topAndBottom"/>
              </v:rect>
            </w:pict>
          </mc:Fallback>
        </mc:AlternateContent>
      </w:r>
      <w:r>
        <w:rPr>
          <w:noProof/>
          <w:lang w:eastAsia="en-AU"/>
        </w:rPr>
        <mc:AlternateContent>
          <mc:Choice Requires="wps">
            <w:drawing>
              <wp:anchor distT="0" distB="0" distL="114300" distR="114300" simplePos="0" relativeHeight="251655168" behindDoc="0" locked="0" layoutInCell="1" allowOverlap="1" wp14:anchorId="5B6AC819" wp14:editId="2A8B5959">
                <wp:simplePos x="0" y="0"/>
                <wp:positionH relativeFrom="column">
                  <wp:posOffset>2349050</wp:posOffset>
                </wp:positionH>
                <wp:positionV relativeFrom="paragraph">
                  <wp:posOffset>4518930</wp:posOffset>
                </wp:positionV>
                <wp:extent cx="506052" cy="261248"/>
                <wp:effectExtent l="0" t="0" r="27940" b="24765"/>
                <wp:wrapTopAndBottom/>
                <wp:docPr id="29" name="Rectangle 29"/>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AF0752" w:rsidRDefault="00515F52" w:rsidP="00515F52">
                            <w:pPr>
                              <w:spacing w:before="0" w:after="0"/>
                              <w:jc w:val="center"/>
                            </w:pPr>
                            <w:r w:rsidRPr="00AF075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39" style="position:absolute;margin-left:184.95pt;margin-top:355.8pt;width:39.85pt;height:20.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" fillcolor="#4f81bd [3204]" strokecolor="#243f60 [1604]" strokeweight="2pt">
                <v:textbox>
                  <w:txbxContent>
                    <w:p w:rsidR="00515F52" w:rsidRPr="00AF0752" w:rsidRDefault="00515F52" w:rsidP="00515F52">
                      <w:pPr>
                        <w:spacing w:before="0" w:after="0"/>
                        <w:jc w:val="center"/>
                      </w:pPr>
                      <w:r w:rsidRPr="00AF0752">
                        <w:t>Yes</w:t>
                      </w:r>
                    </w:p>
                  </w:txbxContent>
                </v:textbox>
                <w10:wrap type="topAndBottom"/>
              </v:rect>
            </w:pict>
          </mc:Fallback>
        </mc:AlternateContent>
      </w:r>
      <w:r>
        <w:rPr>
          <w:noProof/>
          <w:lang w:eastAsia="en-AU"/>
        </w:rPr>
        <mc:AlternateContent>
          <mc:Choice Requires="wps">
            <w:drawing>
              <wp:anchor distT="0" distB="0" distL="114300" distR="114300" simplePos="0" relativeHeight="251656192" behindDoc="0" locked="0" layoutInCell="1" allowOverlap="1" wp14:anchorId="3EEF853F" wp14:editId="05D79A88">
                <wp:simplePos x="0" y="0"/>
                <wp:positionH relativeFrom="column">
                  <wp:posOffset>1193711</wp:posOffset>
                </wp:positionH>
                <wp:positionV relativeFrom="paragraph">
                  <wp:posOffset>3473937</wp:posOffset>
                </wp:positionV>
                <wp:extent cx="506052" cy="261248"/>
                <wp:effectExtent l="0" t="0" r="27940" b="24765"/>
                <wp:wrapTopAndBottom/>
                <wp:docPr id="30" name="Rectangle 30"/>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AF0752" w:rsidRDefault="00515F52" w:rsidP="00515F52">
                            <w:pPr>
                              <w:spacing w:before="0" w:after="0"/>
                              <w:jc w:val="center"/>
                            </w:pPr>
                            <w:r w:rsidRPr="00AF075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40" style="position:absolute;margin-left:94pt;margin-top:273.55pt;width:39.85pt;height:20.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" fillcolor="#4f81bd [3204]" strokecolor="#243f60 [1604]" strokeweight="2pt">
                <v:textbox>
                  <w:txbxContent>
                    <w:p w:rsidR="00515F52" w:rsidRPr="00AF0752" w:rsidRDefault="00515F52" w:rsidP="00515F52">
                      <w:pPr>
                        <w:spacing w:before="0" w:after="0"/>
                        <w:jc w:val="center"/>
                      </w:pPr>
                      <w:r w:rsidRPr="00AF0752">
                        <w:t>Yes</w:t>
                      </w:r>
                    </w:p>
                  </w:txbxContent>
                </v:textbox>
                <w10:wrap type="topAndBottom"/>
              </v:rect>
            </w:pict>
          </mc:Fallback>
        </mc:AlternateContent>
      </w:r>
      <w:r>
        <w:rPr>
          <w:noProof/>
          <w:lang w:eastAsia="en-AU"/>
        </w:rPr>
        <mc:AlternateContent>
          <mc:Choice Requires="wps">
            <w:drawing>
              <wp:anchor distT="0" distB="0" distL="114300" distR="114300" simplePos="0" relativeHeight="251657216" behindDoc="0" locked="0" layoutInCell="1" allowOverlap="1" wp14:anchorId="3B500250" wp14:editId="077585AB">
                <wp:simplePos x="0" y="0"/>
                <wp:positionH relativeFrom="column">
                  <wp:posOffset>2359184</wp:posOffset>
                </wp:positionH>
                <wp:positionV relativeFrom="paragraph">
                  <wp:posOffset>1701182</wp:posOffset>
                </wp:positionV>
                <wp:extent cx="506052" cy="261248"/>
                <wp:effectExtent l="0" t="0" r="27940" b="24765"/>
                <wp:wrapTopAndBottom/>
                <wp:docPr id="31" name="Rectangle 31"/>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AF0752" w:rsidRDefault="00515F52" w:rsidP="00515F52">
                            <w:pPr>
                              <w:spacing w:before="0" w:after="0"/>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41" style="position:absolute;margin-left:185.75pt;margin-top:133.95pt;width:39.85pt;height:20.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" fillcolor="#4f81bd [3204]" strokecolor="#243f60 [1604]" strokeweight="2pt">
                <v:textbox>
                  <w:txbxContent>
                    <w:p w:rsidR="00515F52" w:rsidRPr="00AF0752" w:rsidRDefault="00515F52" w:rsidP="00515F52">
                      <w:pPr>
                        <w:spacing w:before="0" w:after="0"/>
                        <w:jc w:val="center"/>
                      </w:pPr>
                      <w:r>
                        <w:t>No</w:t>
                      </w:r>
                    </w:p>
                  </w:txbxContent>
                </v:textbox>
                <w10:wrap type="topAndBottom"/>
              </v:rect>
            </w:pict>
          </mc:Fallback>
        </mc:AlternateContent>
      </w:r>
      <w:r>
        <w:rPr>
          <w:noProof/>
          <w:lang w:eastAsia="en-AU"/>
        </w:rPr>
        <mc:AlternateContent>
          <mc:Choice Requires="wps">
            <w:drawing>
              <wp:anchor distT="0" distB="0" distL="114300" distR="114300" simplePos="0" relativeHeight="251658240" behindDoc="0" locked="0" layoutInCell="1" allowOverlap="1" wp14:anchorId="429592FD" wp14:editId="7F34D1A4">
                <wp:simplePos x="0" y="0"/>
                <wp:positionH relativeFrom="column">
                  <wp:posOffset>1193711</wp:posOffset>
                </wp:positionH>
                <wp:positionV relativeFrom="paragraph">
                  <wp:posOffset>4929462</wp:posOffset>
                </wp:positionV>
                <wp:extent cx="506052" cy="261248"/>
                <wp:effectExtent l="0" t="0" r="27940" b="24765"/>
                <wp:wrapTopAndBottom/>
                <wp:docPr id="64" name="Rectangle 64"/>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AF0752" w:rsidRDefault="00515F52" w:rsidP="00515F52">
                            <w:pPr>
                              <w:spacing w:before="0" w:after="0"/>
                              <w:jc w:val="center"/>
                            </w:pPr>
                            <w:r>
                              <w:t>No</w:t>
                            </w:r>
                            <w:r>
                              <w:rPr>
                                <w:noProof/>
                                <w:lang w:eastAsia="en-AU"/>
                              </w:rPr>
                              <w:drawing>
                                <wp:inline distT="0" distB="0" distL="0" distR="0" wp14:anchorId="08A81138" wp14:editId="32A943D9">
                                  <wp:extent cx="267335" cy="1563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35" cy="156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42" style="position:absolute;margin-left:94pt;margin-top:388.15pt;width:39.85pt;height:20.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" fillcolor="#4f81bd [3204]" strokecolor="#243f60 [1604]" strokeweight="2pt">
                <v:textbox>
                  <w:txbxContent>
                    <w:p w:rsidR="00515F52" w:rsidRPr="00AF0752" w:rsidRDefault="00515F52" w:rsidP="00515F52">
                      <w:pPr>
                        <w:spacing w:before="0" w:after="0"/>
                        <w:jc w:val="center"/>
                      </w:pPr>
                      <w:r>
                        <w:t>No</w:t>
                      </w:r>
                      <w:r>
                        <w:rPr>
                          <w:noProof/>
                          <w:lang w:eastAsia="en-AU"/>
                        </w:rPr>
                        <w:drawing>
                          <wp:inline distT="0" distB="0" distL="0" distR="0" wp14:anchorId="08A81138" wp14:editId="32A943D9">
                            <wp:extent cx="267335" cy="1563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35" cy="156366"/>
                                    </a:xfrm>
                                    <a:prstGeom prst="rect">
                                      <a:avLst/>
                                    </a:prstGeom>
                                    <a:noFill/>
                                    <a:ln>
                                      <a:noFill/>
                                    </a:ln>
                                  </pic:spPr>
                                </pic:pic>
                              </a:graphicData>
                            </a:graphic>
                          </wp:inline>
                        </w:drawing>
                      </w:r>
                    </w:p>
                  </w:txbxContent>
                </v:textbox>
                <w10:wrap type="topAndBottom"/>
              </v:rect>
            </w:pict>
          </mc:Fallback>
        </mc:AlternateContent>
      </w:r>
      <w:r>
        <w:rPr>
          <w:noProof/>
          <w:lang w:eastAsia="en-AU"/>
        </w:rPr>
        <mc:AlternateContent>
          <mc:Choice Requires="wps">
            <w:drawing>
              <wp:anchor distT="0" distB="0" distL="114300" distR="114300" simplePos="0" relativeHeight="251659264" behindDoc="0" locked="0" layoutInCell="1" allowOverlap="1" wp14:anchorId="285B89B3" wp14:editId="5ABE5AF0">
                <wp:simplePos x="0" y="0"/>
                <wp:positionH relativeFrom="column">
                  <wp:posOffset>2359184</wp:posOffset>
                </wp:positionH>
                <wp:positionV relativeFrom="paragraph">
                  <wp:posOffset>3054074</wp:posOffset>
                </wp:positionV>
                <wp:extent cx="506052" cy="261248"/>
                <wp:effectExtent l="0" t="0" r="27940" b="24765"/>
                <wp:wrapTopAndBottom/>
                <wp:docPr id="65" name="Rectangle 65"/>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5F52" w:rsidRPr="00AF0752" w:rsidRDefault="00515F52" w:rsidP="00515F52">
                            <w:pPr>
                              <w:spacing w:before="0" w:after="0"/>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43" style="position:absolute;margin-left:185.75pt;margin-top:240.5pt;width:39.8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" fillcolor="#4f81bd [3204]" strokecolor="#243f60 [1604]" strokeweight="2pt">
                <v:textbox>
                  <w:txbxContent>
                    <w:p w:rsidR="00515F52" w:rsidRPr="00AF0752" w:rsidRDefault="00515F52" w:rsidP="00515F52">
                      <w:pPr>
                        <w:spacing w:before="0" w:after="0"/>
                        <w:jc w:val="center"/>
                      </w:pPr>
                      <w:r>
                        <w:t>No</w:t>
                      </w:r>
                    </w:p>
                  </w:txbxContent>
                </v:textbox>
                <w10:wrap type="topAndBottom"/>
              </v:rect>
            </w:pict>
          </mc:Fallback>
        </mc:AlternateContent>
      </w:r>
      <w:r>
        <w:rPr>
          <w:noProof/>
          <w:lang w:eastAsia="en-AU"/>
        </w:rPr>
        <mc:AlternateContent>
          <mc:Choice Requires="wpg">
            <w:drawing>
              <wp:anchor distT="0" distB="0" distL="114300" distR="114300" simplePos="0" relativeHeight="251652096" behindDoc="0" locked="0" layoutInCell="1" allowOverlap="1" wp14:anchorId="53B38AE5" wp14:editId="29E447A3">
                <wp:simplePos x="0" y="0"/>
                <wp:positionH relativeFrom="column">
                  <wp:posOffset>1426306</wp:posOffset>
                </wp:positionH>
                <wp:positionV relativeFrom="paragraph">
                  <wp:posOffset>1066722</wp:posOffset>
                </wp:positionV>
                <wp:extent cx="3081579" cy="4801215"/>
                <wp:effectExtent l="133350" t="0" r="43180" b="38100"/>
                <wp:wrapTopAndBottom/>
                <wp:docPr id="7" name="Group 7"/>
                <wp:cNvGraphicFramePr/>
                <a:graphic xmlns:a="http://schemas.openxmlformats.org/drawingml/2006/main">
                  <a:graphicData uri="http://schemas.microsoft.com/office/word/2010/wordprocessingGroup">
                    <wpg:wgp>
                      <wpg:cNvGrpSpPr/>
                      <wpg:grpSpPr>
                        <a:xfrm>
                          <a:off x="0" y="0"/>
                          <a:ext cx="3081579" cy="4801215"/>
                          <a:chOff x="-1" y="0"/>
                          <a:chExt cx="2896236" cy="4901408"/>
                        </a:xfrm>
                      </wpg:grpSpPr>
                      <wps:wsp>
                        <wps:cNvPr id="8" name="Elbow Connector 8"/>
                        <wps:cNvCnPr/>
                        <wps:spPr>
                          <a:xfrm rot="10800000" flipV="1">
                            <a:off x="9525" y="1104900"/>
                            <a:ext cx="2877185" cy="463992"/>
                          </a:xfrm>
                          <a:prstGeom prst="bentConnector3">
                            <a:avLst>
                              <a:gd name="adj1" fmla="val -320"/>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Elbow Connector 9"/>
                        <wps:cNvCnPr/>
                        <wps:spPr>
                          <a:xfrm rot="10800000" flipV="1">
                            <a:off x="9525" y="2457450"/>
                            <a:ext cx="2886710" cy="438150"/>
                          </a:xfrm>
                          <a:prstGeom prst="bentConnector3">
                            <a:avLst>
                              <a:gd name="adj1" fmla="val 176"/>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Elbow Connector 10"/>
                        <wps:cNvCnPr/>
                        <wps:spPr>
                          <a:xfrm rot="10800000" flipV="1">
                            <a:off x="-1" y="3943349"/>
                            <a:ext cx="2886711" cy="438151"/>
                          </a:xfrm>
                          <a:prstGeom prst="bentConnector3">
                            <a:avLst>
                              <a:gd name="adj1" fmla="val 176"/>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857250" y="809625"/>
                            <a:ext cx="942340"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0" y="2457450"/>
                            <a:ext cx="0" cy="73533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0" y="1123950"/>
                            <a:ext cx="0" cy="70231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857250" y="3676650"/>
                            <a:ext cx="935355"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9525" y="4191000"/>
                            <a:ext cx="1" cy="710408"/>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0" y="0"/>
                            <a:ext cx="1" cy="388042"/>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112.3pt;margin-top:84pt;width:242.65pt;height:378.05pt;z-index:251652096" coordorigin="" coordsize="28962,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">
                <v:shape id="Elbow Connector 8" o:spid="_x0000_s1027" type="#_x0000_t34" style="position:absolute;left:95;top:11049;width:28772;height:463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1T8AAAADaAAAADwAAAGRycy9kb3ducmV2LnhtbERPy4rCMBTdD/gP4QruxlQXotUogyg+&#10;EMTHZnaX5E5bprkpTbTVrzcLweXhvGeL1pbiTrUvHCsY9BMQxNqZgjMF18v6ewzCB2SDpWNS8CAP&#10;i3nna4apcQ2f6H4OmYgh7FNUkIdQpVJ6nZNF33cVceT+XG0xRFhn0tTYxHBbymGSjKTFgmNDjhUt&#10;c9L/55tV0Njd3q/W1+ck/G5Ge307aH8cK9Xrtj9TEIHa8BG/3VujIG6NV+IN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htU/AAAAA2gAAAA8AAAAAAAAAAAAAAAAA&#10;oQIAAGRycy9kb3ducmV2LnhtbFBLBQYAAAAABAAEAPkAAACOAwAAAAA=&#10;" adj="-69" strokecolor="#365f91 [2404]" strokeweight="3pt">
                  <v:stroke dashstyle="1 1"/>
                </v:shape>
                <v:shape id="Elbow Connector 9" o:spid="_x0000_s1028" type="#_x0000_t34" style="position:absolute;left:95;top:24574;width:28867;height:4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AV8AAAADaAAAADwAAAGRycy9kb3ducmV2LnhtbESPQYvCMBSE7wv+h/AEL4umyiJajSKC&#10;4MUFq94fzbOtNi+liW3990YQPA4z8w2zXHemFA3VrrCsYDyKQBCnVhecKTifdsMZCOeRNZaWScGT&#10;HKxXvZ8lxtq2fKQm8ZkIEHYxKsi9r2IpXZqTQTeyFXHwrrY26IOsM6lrbAPclHISRVNpsOCwkGNF&#10;25zSe/IwCmZJ49vLaf7/Z2+H42+nt1VqE6UG/W6zAOGp89/wp73XCubwvhJu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2gFfAAAAA2gAAAA8AAAAAAAAAAAAAAAAA&#10;oQIAAGRycy9kb3ducmV2LnhtbFBLBQYAAAAABAAEAPkAAACOAwAAAAA=&#10;" adj="38" strokecolor="#365f91 [2404]" strokeweight="3pt">
                  <v:stroke dashstyle="1 1"/>
                </v:shape>
                <v:shape id="Elbow Connector 10" o:spid="_x0000_s1029" type="#_x0000_t34" style="position:absolute;top:39433;width:28867;height:4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bcQAAADbAAAADwAAAGRycy9kb3ducmV2LnhtbESPQWvDMAyF74X9B6PBLqV1Osbo0jhl&#10;FAa7rNCku4tYTdLFcojdJPv31WGwm8R7eu9Ttp9dp0YaQuvZwGadgCKuvG25NnAuP1ZbUCEiW+w8&#10;k4FfCrDPHxYZptZPfKKxiLWSEA4pGmhi7FOtQ9WQw7D2PbFoFz84jLIOtbYDThLuOv2cJK/aYcvS&#10;0GBPh4aqn+LmDGyLMU7f5dvxxV+/TsvZHvrKF8Y8Pc7vO1CR5vhv/rv+tIIv9PKLDK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L9txAAAANsAAAAPAAAAAAAAAAAA&#10;AAAAAKECAABkcnMvZG93bnJldi54bWxQSwUGAAAAAAQABAD5AAAAkgMAAAAA&#10;" adj="38" strokecolor="#365f91 [2404]" strokeweight="3pt">
                  <v:stroke dashstyle="1 1"/>
                </v:shape>
                <v:shapetype id="_x0000_t32" coordsize="21600,21600" o:spt="32" o:oned="t" path="m,l21600,21600e" filled="f">
                  <v:path arrowok="t" fillok="f" o:connecttype="none"/>
                  <o:lock v:ext="edit" shapetype="t"/>
                </v:shapetype>
                <v:shape id="Straight Arrow Connector 11" o:spid="_x0000_s1030" type="#_x0000_t32" style="position:absolute;left:8572;top:8096;width:94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3hsEAAADbAAAADwAAAGRycy9kb3ducmV2LnhtbERPTWvCQBC9F/oflhG81Yk9lDR1lWIt&#10;CBaL2oPHITtmQ7OzMbvV9N+7guBtHu9zJrPeNerEXai9aBiPMlAspTe1VBp+dp9POagQSQw1XljD&#10;PweYTR8fJlQYf5YNn7axUilEQkEabIxtgRhKy47CyLcsiTv4zlFMsKvQdHRO4a7B5yx7QUe1pAZL&#10;Lc8tl7/bP6cBv17b7xzNctX7Zv9xRJuvF1br4aB/fwMVuY938c29NGn+GK6/pANw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zeGwQAAANsAAAAPAAAAAAAAAAAAAAAA&#10;AKECAABkcnMvZG93bnJldi54bWxQSwUGAAAAAAQABAD5AAAAjwMAAAAA&#10;" strokecolor="#365f91 [2404]" strokeweight="3pt">
                  <v:stroke dashstyle="1 1" endarrow="open"/>
                </v:shape>
                <v:shape id="Straight Arrow Connector 12" o:spid="_x0000_s1031" type="#_x0000_t32" style="position:absolute;top:24574;width:0;height:7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2p8cEAAADbAAAADwAAAGRycy9kb3ducmV2LnhtbERPTWvCQBC9C/0PyxS86UQPJaauUqyC&#10;YKmoPXgcsmM2NDubZrea/vtuoeBtHu9z5sveNerKXai9aJiMM1AspTe1VBo+TptRDipEEkONF9bw&#10;wwGWi4fBnArjb3Lg6zFWKoVIKEiDjbEtEENp2VEY+5YlcRffOYoJdhWajm4p3DU4zbIndFRLarDU&#10;8spy+Xn8dhrwbdbuczTbXe+b8+sX2vx9bbUePvYvz6Ai9/Eu/ndvTZo/hb9f0gG4+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HanxwQAAANsAAAAPAAAAAAAAAAAAAAAA&#10;AKECAABkcnMvZG93bnJldi54bWxQSwUGAAAAAAQABAD5AAAAjwMAAAAA&#10;" strokecolor="#365f91 [2404]" strokeweight="3pt">
                  <v:stroke dashstyle="1 1" endarrow="open"/>
                </v:shape>
                <v:shape id="Straight Arrow Connector 13" o:spid="_x0000_s1032" type="#_x0000_t32" style="position:absolute;top:11239;width:0;height:7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pb8IAAADbAAAADwAAAGRycy9kb3ducmV2LnhtbERPTWvCQBC9F/wPywi9NRutiKSuIkrR&#10;U9Eopb0N2TEbzM6G7Nak/94VBG/zeJ8zX/a2FldqfeVYwShJQRAXTldcKjgdP99mIHxA1lg7JgX/&#10;5GG5GLzMMdOu4wNd81CKGMI+QwUmhCaT0heGLPrENcSRO7vWYoiwLaVusYvhtpbjNJ1KixXHBoMN&#10;rQ0Vl/zPKsh/tpswOe9/vydf+/Gqw53ZHpxSr8N+9QEiUB+e4od7p+P8d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Dpb8IAAADbAAAADwAAAAAAAAAAAAAA&#10;AAChAgAAZHJzL2Rvd25yZXYueG1sUEsFBgAAAAAEAAQA+QAAAJADAAAAAA==&#10;" strokecolor="#365f91 [2404]" strokeweight="3pt">
                  <v:stroke dashstyle="1 1" endarrow="open"/>
                </v:shape>
                <v:shape id="Straight Arrow Connector 14" o:spid="_x0000_s1033" type="#_x0000_t32" style="position:absolute;left:8572;top:36766;width:9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UHsIAAADbAAAADwAAAGRycy9kb3ducmV2LnhtbERPS2vCQBC+F/wPywi91UlLKTG6SmkV&#10;hErFx8HjkB2zwexsmt1q+u/dQqG3+fieM533rlEX7kLtRcPjKAPFUnpTS6XhsF8+5KBCJDHUeGEN&#10;PxxgPhvcTakw/ipbvuxipVKIhII02BjbAjGUlh2FkW9ZEnfynaOYYFeh6eiawl2DT1n2go5qSQ2W&#10;Wn6zXJ53304DrsftJkez+uh9c3z/Qpt/LqzW98P+dQIqch//xX/ulUnzn+H3l3Q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UHsIAAADbAAAADwAAAAAAAAAAAAAA&#10;AAChAgAAZHJzL2Rvd25yZXYueG1sUEsFBgAAAAAEAAQA+QAAAJADAAAAAA==&#10;" strokecolor="#365f91 [2404]" strokeweight="3pt">
                  <v:stroke dashstyle="1 1" endarrow="open"/>
                </v:shape>
                <v:shape id="Straight Arrow Connector 15" o:spid="_x0000_s1034" type="#_x0000_t32" style="position:absolute;left:95;top:41910;width:0;height:7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XUgMIAAADbAAAADwAAAGRycy9kb3ducmV2LnhtbERPTWvCQBC9C/6HZQRvZlOxRaKriFL0&#10;VDQV0duQHbOh2dmQ3Zr477uFQm/zeJ+zXPe2Fg9qfeVYwUuSgiAunK64VHD+fJ/MQfiArLF2TAqe&#10;5GG9Gg6WmGnX8YkeeShFDGGfoQITQpNJ6QtDFn3iGuLI3V1rMUTYllK32MVwW8tpmr5JixXHBoMN&#10;bQ0VX/m3VZBf97swux9vl9nHcbrp8GD2J6fUeNRvFiAC9eFf/Oc+6Dj/FX5/iQ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XUgMIAAADbAAAADwAAAAAAAAAAAAAA&#10;AAChAgAAZHJzL2Rvd25yZXYueG1sUEsFBgAAAAAEAAQA+QAAAJADAAAAAA==&#10;" strokecolor="#365f91 [2404]" strokeweight="3pt">
                  <v:stroke dashstyle="1 1" endarrow="open"/>
                </v:shape>
                <v:shape id="Straight Arrow Connector 16" o:spid="_x0000_s1035" type="#_x0000_t32" style="position:absolute;width:0;height:3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K98AAAADbAAAADwAAAGRycy9kb3ducmV2LnhtbERPTYvCMBC9C/6HMMLeNFVEpGsUURY9&#10;LVpF3NvQjE2xmZQma+u/NwsL3ubxPmex6mwlHtT40rGC8SgBQZw7XXKh4Hz6Gs5B+ICssXJMCp7k&#10;YbXs9xaYatfykR5ZKEQMYZ+iAhNCnUrpc0MW/cjVxJG7ucZiiLAppG6wjeG2kpMkmUmLJccGgzVt&#10;DOX37NcqyK67bZjeDj+X6fdhsm5xb3ZHp9THoFt/ggjUhbf4373Xcf4M/n6J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3SvfAAAAA2wAAAA8AAAAAAAAAAAAAAAAA&#10;oQIAAGRycy9kb3ducmV2LnhtbFBLBQYAAAAABAAEAPkAAACOAwAAAAA=&#10;" strokecolor="#365f91 [2404]" strokeweight="3pt">
                  <v:stroke dashstyle="1 1" endarrow="open"/>
                </v:shape>
                <w10:wrap type="topAndBottom"/>
              </v:group>
            </w:pict>
          </mc:Fallback>
        </mc:AlternateContent>
      </w:r>
      <w:r>
        <w:rPr>
          <w:noProof/>
          <w:lang w:eastAsia="en-AU"/>
        </w:rPr>
        <mc:AlternateContent>
          <mc:Choice Requires="wps">
            <w:drawing>
              <wp:anchor distT="0" distB="0" distL="114300" distR="114300" simplePos="0" relativeHeight="251651072" behindDoc="0" locked="0" layoutInCell="1" allowOverlap="1" wp14:anchorId="359D06E4" wp14:editId="641E2807">
                <wp:simplePos x="0" y="0"/>
                <wp:positionH relativeFrom="column">
                  <wp:posOffset>2409359</wp:posOffset>
                </wp:positionH>
                <wp:positionV relativeFrom="paragraph">
                  <wp:posOffset>3222020</wp:posOffset>
                </wp:positionV>
                <wp:extent cx="924271" cy="0"/>
                <wp:effectExtent l="0" t="133350" r="0" b="133350"/>
                <wp:wrapTopAndBottom/>
                <wp:docPr id="5" name="Straight Arrow Connector 5"/>
                <wp:cNvGraphicFramePr/>
                <a:graphic xmlns:a="http://schemas.openxmlformats.org/drawingml/2006/main">
                  <a:graphicData uri="http://schemas.microsoft.com/office/word/2010/wordprocessingShape">
                    <wps:wsp>
                      <wps:cNvCnPr/>
                      <wps:spPr>
                        <a:xfrm>
                          <a:off x="0" y="0"/>
                          <a:ext cx="924271"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89.7pt;margin-top:253.7pt;width:72.8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" strokecolor="#365f91 [2404]" strokeweight="3pt">
                <v:stroke dashstyle="1 1" endarrow="open"/>
                <w10:wrap type="topAndBottom"/>
              </v:shape>
            </w:pict>
          </mc:Fallback>
        </mc:AlternateContent>
      </w:r>
      <w:r w:rsidR="00515F52">
        <w:rPr>
          <w:noProof/>
          <w:lang w:eastAsia="en-AU"/>
        </w:rPr>
        <mc:AlternateContent>
          <mc:Choice Requires="wps">
            <w:drawing>
              <wp:anchor distT="0" distB="0" distL="114300" distR="114300" simplePos="0" relativeHeight="251661312" behindDoc="0" locked="0" layoutInCell="1" allowOverlap="1" wp14:anchorId="73F26E28" wp14:editId="3678D7AA">
                <wp:simplePos x="0" y="0"/>
                <wp:positionH relativeFrom="column">
                  <wp:posOffset>161925</wp:posOffset>
                </wp:positionH>
                <wp:positionV relativeFrom="paragraph">
                  <wp:posOffset>47625</wp:posOffset>
                </wp:positionV>
                <wp:extent cx="535305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3050" cy="209550"/>
                        </a:xfrm>
                        <a:prstGeom prst="rect">
                          <a:avLst/>
                        </a:prstGeom>
                        <a:solidFill>
                          <a:prstClr val="white"/>
                        </a:solidFill>
                        <a:ln>
                          <a:noFill/>
                        </a:ln>
                        <a:effectLst/>
                      </wps:spPr>
                      <wps:txbx>
                        <w:txbxContent>
                          <w:p w:rsidR="00515F52" w:rsidRPr="009F129A" w:rsidRDefault="00515F52" w:rsidP="004B2E58">
                            <w:pPr>
                              <w:pStyle w:val="Caption"/>
                              <w:rPr>
                                <w:noProof/>
                                <w:color w:val="auto"/>
                                <w:sz w:val="20"/>
                              </w:rPr>
                            </w:pPr>
                            <w:r w:rsidRPr="009F129A">
                              <w:rPr>
                                <w:color w:val="auto"/>
                                <w:sz w:val="20"/>
                              </w:rPr>
                              <w:t xml:space="preserve">Figure </w:t>
                            </w:r>
                            <w:r w:rsidRPr="009F129A">
                              <w:rPr>
                                <w:color w:val="auto"/>
                                <w:sz w:val="20"/>
                              </w:rPr>
                              <w:fldChar w:fldCharType="begin"/>
                            </w:r>
                            <w:r w:rsidRPr="009F129A">
                              <w:rPr>
                                <w:color w:val="auto"/>
                                <w:sz w:val="20"/>
                              </w:rPr>
                              <w:instrText xml:space="preserve"> SEQ Figure \* ARABIC </w:instrText>
                            </w:r>
                            <w:r w:rsidRPr="009F129A">
                              <w:rPr>
                                <w:color w:val="auto"/>
                                <w:sz w:val="20"/>
                              </w:rPr>
                              <w:fldChar w:fldCharType="separate"/>
                            </w:r>
                            <w:r w:rsidR="00404B79">
                              <w:rPr>
                                <w:noProof/>
                                <w:color w:val="auto"/>
                                <w:sz w:val="20"/>
                              </w:rPr>
                              <w:t>1</w:t>
                            </w:r>
                            <w:r w:rsidRPr="009F129A">
                              <w:rPr>
                                <w:color w:val="auto"/>
                                <w:sz w:val="20"/>
                              </w:rPr>
                              <w:fldChar w:fldCharType="end"/>
                            </w:r>
                            <w:r w:rsidRPr="009F129A">
                              <w:rPr>
                                <w:color w:val="auto"/>
                                <w:sz w:val="20"/>
                              </w:rPr>
                              <w:t xml:space="preserve">: </w:t>
                            </w:r>
                            <w:r w:rsidR="00A431B5" w:rsidRPr="009F129A">
                              <w:rPr>
                                <w:color w:val="auto"/>
                                <w:sz w:val="20"/>
                              </w:rPr>
                              <w:t>Potential stages of an ACCC exemption assessment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12.75pt;margin-top:3.75pt;width:421.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" stroked="f">
                <v:textbox inset="0,0,0,0">
                  <w:txbxContent>
                    <w:p w:rsidR="00515F52" w:rsidRPr="009F129A" w:rsidRDefault="00515F52" w:rsidP="004B2E58">
                      <w:pPr>
                        <w:pStyle w:val="Caption"/>
                        <w:rPr>
                          <w:noProof/>
                          <w:color w:val="auto"/>
                          <w:sz w:val="20"/>
                        </w:rPr>
                      </w:pPr>
                      <w:r w:rsidRPr="009F129A">
                        <w:rPr>
                          <w:color w:val="auto"/>
                          <w:sz w:val="20"/>
                        </w:rPr>
                        <w:t xml:space="preserve">Figure </w:t>
                      </w:r>
                      <w:r w:rsidRPr="009F129A">
                        <w:rPr>
                          <w:color w:val="auto"/>
                          <w:sz w:val="20"/>
                        </w:rPr>
                        <w:fldChar w:fldCharType="begin"/>
                      </w:r>
                      <w:r w:rsidRPr="009F129A">
                        <w:rPr>
                          <w:color w:val="auto"/>
                          <w:sz w:val="20"/>
                        </w:rPr>
                        <w:instrText xml:space="preserve"> SEQ Figure \* ARABIC </w:instrText>
                      </w:r>
                      <w:r w:rsidRPr="009F129A">
                        <w:rPr>
                          <w:color w:val="auto"/>
                          <w:sz w:val="20"/>
                        </w:rPr>
                        <w:fldChar w:fldCharType="separate"/>
                      </w:r>
                      <w:r w:rsidR="00404B79">
                        <w:rPr>
                          <w:noProof/>
                          <w:color w:val="auto"/>
                          <w:sz w:val="20"/>
                        </w:rPr>
                        <w:t>1</w:t>
                      </w:r>
                      <w:r w:rsidRPr="009F129A">
                        <w:rPr>
                          <w:color w:val="auto"/>
                          <w:sz w:val="20"/>
                        </w:rPr>
                        <w:fldChar w:fldCharType="end"/>
                      </w:r>
                      <w:r w:rsidRPr="009F129A">
                        <w:rPr>
                          <w:color w:val="auto"/>
                          <w:sz w:val="20"/>
                        </w:rPr>
                        <w:t xml:space="preserve">: </w:t>
                      </w:r>
                      <w:r w:rsidR="00A431B5" w:rsidRPr="009F129A">
                        <w:rPr>
                          <w:color w:val="auto"/>
                          <w:sz w:val="20"/>
                        </w:rPr>
                        <w:t>Potential stages of an ACCC exemption assessment</w:t>
                      </w:r>
                    </w:p>
                  </w:txbxContent>
                </v:textbox>
              </v:shape>
            </w:pict>
          </mc:Fallback>
        </mc:AlternateContent>
      </w:r>
    </w:p>
    <w:p w:rsidR="00DA3422" w:rsidRPr="00E74013" w:rsidRDefault="00DA3422" w:rsidP="007F1879">
      <w:pPr>
        <w:pStyle w:val="Heading20"/>
        <w:pageBreakBefore/>
      </w:pPr>
      <w:bookmarkStart w:id="6" w:name="_Toc401155112"/>
      <w:r>
        <w:lastRenderedPageBreak/>
        <w:t>A port terminal service provider or the ACCC may initiate an exemption assessment</w:t>
      </w:r>
      <w:bookmarkEnd w:id="6"/>
      <w:r>
        <w:t xml:space="preserve"> </w:t>
      </w:r>
    </w:p>
    <w:p w:rsidR="00DA3422" w:rsidRDefault="00DA3422" w:rsidP="00DA3422">
      <w:r>
        <w:t xml:space="preserve">To commence an exemption assessment, a port terminal service provider may submit an application to be an exempt service provider (an </w:t>
      </w:r>
      <w:r w:rsidRPr="005B549A">
        <w:rPr>
          <w:b/>
        </w:rPr>
        <w:t>exemption application</w:t>
      </w:r>
      <w:r>
        <w:t>).</w:t>
      </w:r>
      <w:r w:rsidRPr="000B0B1B">
        <w:t xml:space="preserve"> </w:t>
      </w:r>
      <w:r>
        <w:t xml:space="preserve">This exemption application should include supporting documentation relevant to the ACCC’s assessment. Further information on how to submit an exemption application, including what information is required, is on page </w:t>
      </w:r>
      <w:r w:rsidRPr="00506ACE">
        <w:t>9</w:t>
      </w:r>
      <w:r>
        <w:t xml:space="preserve"> below. </w:t>
      </w:r>
    </w:p>
    <w:p w:rsidR="00DA3422" w:rsidRDefault="00DA3422" w:rsidP="00DA3422">
      <w:r>
        <w:t xml:space="preserve">Alternatively, the ACCC may decide to commence an exemption assessment without receiving an exemption application. In this case the ACCC will notify the port terminal service provider it has commenced an exemption assessment, and may invite the port terminal service provider to provide information relevant to the ACCC’s assessment.  </w:t>
      </w:r>
    </w:p>
    <w:p w:rsidR="00DA3422" w:rsidRDefault="00DA3422" w:rsidP="00DA3422">
      <w:r w:rsidRPr="004B2E58">
        <w:t xml:space="preserve">Where a port terminal service provider has submitted </w:t>
      </w:r>
      <w:r>
        <w:t xml:space="preserve">an </w:t>
      </w:r>
      <w:r w:rsidRPr="004B2E58">
        <w:t xml:space="preserve">exemption application in relation to more than one of its port terminal facilities, the ACCC will have regard to the matters listed at subclause 5(3) </w:t>
      </w:r>
      <w:r>
        <w:t xml:space="preserve">of the Code </w:t>
      </w:r>
      <w:r w:rsidRPr="004B2E58">
        <w:t>for each facility</w:t>
      </w:r>
      <w:r>
        <w:t xml:space="preserve"> separately</w:t>
      </w:r>
      <w:r w:rsidRPr="004B2E58">
        <w:t>.</w:t>
      </w:r>
      <w:r>
        <w:t xml:space="preserve"> </w:t>
      </w:r>
    </w:p>
    <w:p w:rsidR="00DA3422" w:rsidRDefault="00DA3422" w:rsidP="00DA3422">
      <w:r>
        <w:t xml:space="preserve">Some of these matters are similar to the matters listed at subsection 44ZZA(3) of the </w:t>
      </w:r>
      <w:r w:rsidRPr="004B2E58">
        <w:rPr>
          <w:i/>
        </w:rPr>
        <w:t>Competition and Consumer Act 2010</w:t>
      </w:r>
      <w:r>
        <w:t xml:space="preserve"> (</w:t>
      </w:r>
      <w:proofErr w:type="spellStart"/>
      <w:r>
        <w:t>Cth</w:t>
      </w:r>
      <w:proofErr w:type="spellEnd"/>
      <w:r>
        <w:t xml:space="preserve">) which the ACCC must have regard to in assessing access undertaking applications under Part IIIA. The ACCC’s previous decisions in relation to Part IIIA access undertaking applications, including those in relation to access to wheat ports, are available on the ACCC’s website at </w:t>
      </w:r>
      <w:hyperlink r:id="rId14" w:history="1">
        <w:r w:rsidRPr="0088620B">
          <w:rPr>
            <w:rStyle w:val="Hyperlink"/>
          </w:rPr>
          <w:t>www.accc.gov.au/wheat</w:t>
        </w:r>
      </w:hyperlink>
      <w:r>
        <w:t xml:space="preserve">. </w:t>
      </w:r>
    </w:p>
    <w:p w:rsidR="00DA3422" w:rsidRDefault="00DA3422" w:rsidP="00DA3422">
      <w:pPr>
        <w:pStyle w:val="Heading20"/>
      </w:pPr>
      <w:bookmarkStart w:id="7" w:name="_Toc401155113"/>
      <w:r>
        <w:t>ACCC may re</w:t>
      </w:r>
      <w:r w:rsidRPr="00E74013">
        <w:t>quest further information</w:t>
      </w:r>
      <w:bookmarkEnd w:id="7"/>
      <w:r>
        <w:t xml:space="preserve"> </w:t>
      </w:r>
      <w:r w:rsidRPr="00E74013">
        <w:t xml:space="preserve"> </w:t>
      </w:r>
    </w:p>
    <w:p w:rsidR="00DA3422" w:rsidRDefault="00DA3422" w:rsidP="00DA3422">
      <w:r>
        <w:t>If the ACCC considers that it requires additional information from the port terminal service provider in order to properly assess whether the provider should be an exempt service provider, the ACCC may issue a written notice requesting that information. This notice, and the port terminal service provider’s response, will be published on the ACCC’s website (subject to the redaction of any confidential information in accordance with the ACCC’s general confidentiality policy</w:t>
      </w:r>
      <w:r w:rsidRPr="00E74013">
        <w:t>).</w:t>
      </w:r>
      <w:r>
        <w:t xml:space="preserve"> </w:t>
      </w:r>
    </w:p>
    <w:p w:rsidR="00FC20A8" w:rsidRPr="00E74013" w:rsidRDefault="00FC20A8" w:rsidP="00FC20A8">
      <w:pPr>
        <w:pStyle w:val="Heading20"/>
      </w:pPr>
      <w:bookmarkStart w:id="8" w:name="_Toc401155114"/>
      <w:r>
        <w:t>ACCC may consult with interested parties</w:t>
      </w:r>
      <w:bookmarkEnd w:id="8"/>
    </w:p>
    <w:p w:rsidR="007F1879" w:rsidRDefault="00FC20A8" w:rsidP="007F1879">
      <w:r>
        <w:t xml:space="preserve">The ACCC may also consult with persons it considers reasonable and appropriate for the purposes of assessing the potential effects of the determination. This consultation may be in the form of a public </w:t>
      </w:r>
      <w:r w:rsidR="00604F19">
        <w:t xml:space="preserve">consultation notice </w:t>
      </w:r>
      <w:r>
        <w:t xml:space="preserve">document calling for written submissions, stakeholder forums, meetings with interested parties, or a combination of these. </w:t>
      </w:r>
      <w:r w:rsidR="00604F19">
        <w:t xml:space="preserve">The length of the consultation period will vary depending on the complexity of the issues, previous consultation with users on the proposal and the time of the year, for example. </w:t>
      </w:r>
    </w:p>
    <w:p w:rsidR="00B85239" w:rsidRPr="005546AF" w:rsidRDefault="00B85239" w:rsidP="00B85239">
      <w:pPr>
        <w:pStyle w:val="Heading20"/>
      </w:pPr>
      <w:bookmarkStart w:id="9" w:name="_Toc401155115"/>
      <w:r>
        <w:t>ACCC may issue a draft determination</w:t>
      </w:r>
      <w:bookmarkEnd w:id="9"/>
    </w:p>
    <w:p w:rsidR="00B85239" w:rsidRDefault="00B85239" w:rsidP="00B85239">
      <w:r>
        <w:t xml:space="preserve">The ACCC may form a preliminary view regarding whether the port terminal service provider </w:t>
      </w:r>
      <w:r w:rsidR="00985309">
        <w:t xml:space="preserve">should </w:t>
      </w:r>
      <w:r>
        <w:t xml:space="preserve">be an exempt service provider at the specified port terminal facilities. If the port terminal service provider has applied for an exemption in relation to multiple port terminal facilities, the ACCC may form a preliminary view in relation to each of the facilities. </w:t>
      </w:r>
    </w:p>
    <w:p w:rsidR="00B85239" w:rsidRDefault="00B85239" w:rsidP="00B85239">
      <w:r>
        <w:t>Situations in which the ACCC may issue a draft determination include where there is contention about the likely impact of allowing a port terminal facility to be exempt</w:t>
      </w:r>
      <w:r w:rsidR="009E37D6">
        <w:t xml:space="preserve"> from the relevant obligations </w:t>
      </w:r>
      <w:r>
        <w:t xml:space="preserve">or where there are other outstanding issues </w:t>
      </w:r>
      <w:r w:rsidR="00F56C9A">
        <w:t xml:space="preserve">that the ACCC considers may benefit from </w:t>
      </w:r>
      <w:r>
        <w:t xml:space="preserve">further comment by industry.  </w:t>
      </w:r>
    </w:p>
    <w:p w:rsidR="00B85239" w:rsidRDefault="00B85239" w:rsidP="00B85239">
      <w:r>
        <w:lastRenderedPageBreak/>
        <w:t xml:space="preserve">Where the ACCC issues a draft determination it will provide an opportunity for parties to comment on the draft determination and the reasons underpinning the ACCC’s preliminary view. The ACCC will </w:t>
      </w:r>
      <w:r w:rsidR="003A44D6">
        <w:t>then make a final decision</w:t>
      </w:r>
      <w:r>
        <w:t xml:space="preserve"> on whether the port terminal service provider should be an exempt service provider for the specified port terminal facilities. </w:t>
      </w:r>
    </w:p>
    <w:p w:rsidR="00F56C9A" w:rsidRDefault="00F56C9A" w:rsidP="00B85239">
      <w:r>
        <w:t xml:space="preserve">The length of the consultation period on a draft </w:t>
      </w:r>
      <w:r w:rsidR="00194EC9">
        <w:t xml:space="preserve">determination </w:t>
      </w:r>
      <w:r>
        <w:t xml:space="preserve">will extend the ACCC’s timeframe for assessing an application for exemption.  </w:t>
      </w:r>
    </w:p>
    <w:p w:rsidR="00B85239" w:rsidRPr="005546AF" w:rsidDel="007938E9" w:rsidRDefault="00B85239" w:rsidP="00B85239">
      <w:pPr>
        <w:pStyle w:val="Heading20"/>
      </w:pPr>
      <w:bookmarkStart w:id="10" w:name="_Toc401155116"/>
      <w:r w:rsidRPr="005546AF" w:rsidDel="007938E9">
        <w:t xml:space="preserve">ACCC </w:t>
      </w:r>
      <w:r w:rsidR="003C4A95">
        <w:t xml:space="preserve">may </w:t>
      </w:r>
      <w:r>
        <w:t>issue a</w:t>
      </w:r>
      <w:r w:rsidR="003C4A95">
        <w:t>n exemption</w:t>
      </w:r>
      <w:r>
        <w:t xml:space="preserve"> determination</w:t>
      </w:r>
      <w:bookmarkEnd w:id="10"/>
      <w:r>
        <w:t xml:space="preserve"> </w:t>
      </w:r>
    </w:p>
    <w:p w:rsidR="00B85239" w:rsidRDefault="00865CFF" w:rsidP="00B85239">
      <w:r>
        <w:t>Following an exemption assessment, the</w:t>
      </w:r>
      <w:r w:rsidR="00B85239">
        <w:t xml:space="preserve"> ACCC </w:t>
      </w:r>
      <w:r>
        <w:t>may make a determination in writing that</w:t>
      </w:r>
      <w:r w:rsidR="00B85239">
        <w:t xml:space="preserve"> </w:t>
      </w:r>
      <w:r w:rsidR="00B716F9">
        <w:t xml:space="preserve">a </w:t>
      </w:r>
      <w:r w:rsidR="00B85239">
        <w:t xml:space="preserve">port terminal service provider </w:t>
      </w:r>
      <w:r>
        <w:t>is an</w:t>
      </w:r>
      <w:r w:rsidR="00B85239">
        <w:t xml:space="preserve"> exempt service provider at </w:t>
      </w:r>
      <w:r w:rsidR="00CE5A3B">
        <w:t xml:space="preserve">a </w:t>
      </w:r>
      <w:r w:rsidR="00B85239">
        <w:t xml:space="preserve">specified port terminal facility. </w:t>
      </w:r>
    </w:p>
    <w:p w:rsidR="00B85239" w:rsidRDefault="00B85239" w:rsidP="00B85239">
      <w:r w:rsidRPr="00984968">
        <w:t>If the assessment relates to multiple port terminal facilities, the ACCC</w:t>
      </w:r>
      <w:r w:rsidR="00CE5A3B" w:rsidRPr="00984968">
        <w:t xml:space="preserve">’s </w:t>
      </w:r>
      <w:r w:rsidR="00865CFF" w:rsidRPr="00984968">
        <w:t xml:space="preserve">exemption </w:t>
      </w:r>
      <w:r w:rsidRPr="00984968">
        <w:t xml:space="preserve">determination </w:t>
      </w:r>
      <w:r w:rsidR="00CE5A3B" w:rsidRPr="00984968">
        <w:t>may relate to</w:t>
      </w:r>
      <w:r w:rsidR="00984968" w:rsidRPr="00984968">
        <w:t xml:space="preserve"> only some of</w:t>
      </w:r>
      <w:r w:rsidRPr="00984968">
        <w:t xml:space="preserve"> </w:t>
      </w:r>
      <w:r w:rsidR="003C4A95" w:rsidRPr="00984968">
        <w:t xml:space="preserve">those </w:t>
      </w:r>
      <w:r w:rsidRPr="00984968">
        <w:t xml:space="preserve">facilities. For example, a port terminal service provider may apply for an exemption in relation to two of its port terminal facilities, ‘Port A’ and ‘Port B’, where Port A is subject to significant competition from nearby facilities and Port B is not. The ACCC may determine that an exemption will be granted at Port A but not at Port B. The ACCC’s </w:t>
      </w:r>
      <w:r w:rsidR="00865CFF" w:rsidRPr="00984968">
        <w:t xml:space="preserve">exemption </w:t>
      </w:r>
      <w:r w:rsidRPr="00984968">
        <w:t xml:space="preserve">assessment will have regard to each of the matters at </w:t>
      </w:r>
      <w:r w:rsidRPr="00984968" w:rsidDel="007938E9">
        <w:t>s</w:t>
      </w:r>
      <w:r w:rsidRPr="00984968">
        <w:t xml:space="preserve">ubclause </w:t>
      </w:r>
      <w:r w:rsidR="009E37D6" w:rsidRPr="00984968">
        <w:t>5(3)</w:t>
      </w:r>
      <w:r w:rsidRPr="00984968" w:rsidDel="007938E9">
        <w:t xml:space="preserve"> of the Code</w:t>
      </w:r>
      <w:r w:rsidRPr="00984968">
        <w:t xml:space="preserve"> for each facility.</w:t>
      </w:r>
      <w:r>
        <w:t xml:space="preserve">  </w:t>
      </w:r>
    </w:p>
    <w:p w:rsidR="00CE5A3B" w:rsidRDefault="00B85239" w:rsidP="00CE5A3B">
      <w:r>
        <w:t>The ACCC’s</w:t>
      </w:r>
      <w:r w:rsidR="00865CFF">
        <w:t xml:space="preserve"> </w:t>
      </w:r>
      <w:r w:rsidR="00CE5A3B">
        <w:t xml:space="preserve">exemption </w:t>
      </w:r>
      <w:r>
        <w:t xml:space="preserve">determination will </w:t>
      </w:r>
      <w:r w:rsidR="003A44D6">
        <w:t>be accompanied by</w:t>
      </w:r>
      <w:r w:rsidDel="007938E9">
        <w:t xml:space="preserve"> the reasons why it </w:t>
      </w:r>
      <w:r>
        <w:t xml:space="preserve">has determined that </w:t>
      </w:r>
      <w:r w:rsidR="00865CFF">
        <w:t xml:space="preserve">an </w:t>
      </w:r>
      <w:r>
        <w:t xml:space="preserve">exemption should be granted for each of the </w:t>
      </w:r>
      <w:r w:rsidR="00CE5A3B">
        <w:t xml:space="preserve">specified </w:t>
      </w:r>
      <w:r>
        <w:t>port terminal facilities.</w:t>
      </w:r>
      <w:r w:rsidR="00CE5A3B">
        <w:t xml:space="preserve"> </w:t>
      </w:r>
    </w:p>
    <w:p w:rsidR="00CE5A3B" w:rsidRDefault="00CE5A3B" w:rsidP="00CE5A3B">
      <w:r w:rsidRPr="00984968">
        <w:t>Subc</w:t>
      </w:r>
      <w:r w:rsidRPr="00984968" w:rsidDel="007938E9">
        <w:t xml:space="preserve">lause </w:t>
      </w:r>
      <w:r w:rsidRPr="00984968">
        <w:t xml:space="preserve">5(8) </w:t>
      </w:r>
      <w:r w:rsidRPr="00984968" w:rsidDel="007938E9">
        <w:t xml:space="preserve">of the Code requires that the </w:t>
      </w:r>
      <w:r w:rsidRPr="00984968">
        <w:t>port terminal</w:t>
      </w:r>
      <w:r w:rsidRPr="00984968" w:rsidDel="007938E9">
        <w:t xml:space="preserve"> service provider </w:t>
      </w:r>
      <w:r w:rsidRPr="00984968">
        <w:t>advise the public of</w:t>
      </w:r>
      <w:r w:rsidRPr="00984968" w:rsidDel="007938E9">
        <w:t xml:space="preserve"> </w:t>
      </w:r>
      <w:r w:rsidRPr="00984968">
        <w:t>a</w:t>
      </w:r>
      <w:r w:rsidRPr="00984968" w:rsidDel="007938E9">
        <w:t xml:space="preserve"> </w:t>
      </w:r>
      <w:r w:rsidRPr="00984968">
        <w:t xml:space="preserve">determination </w:t>
      </w:r>
      <w:r w:rsidRPr="00984968" w:rsidDel="007938E9">
        <w:t>on its website</w:t>
      </w:r>
      <w:r w:rsidRPr="00984968">
        <w:t xml:space="preserve"> within 10 business days</w:t>
      </w:r>
      <w:r w:rsidRPr="00984968" w:rsidDel="007938E9">
        <w:t>.</w:t>
      </w:r>
      <w:r w:rsidDel="007938E9">
        <w:t xml:space="preserve"> </w:t>
      </w:r>
    </w:p>
    <w:p w:rsidR="00865CFF" w:rsidRDefault="00865CFF" w:rsidP="00B85239">
      <w:r w:rsidRPr="00984968">
        <w:t xml:space="preserve">If a port terminal service provider </w:t>
      </w:r>
      <w:r w:rsidR="00CE5A3B" w:rsidRPr="00984968">
        <w:t>has submitted an exemption application</w:t>
      </w:r>
      <w:r w:rsidRPr="00984968">
        <w:t xml:space="preserve"> </w:t>
      </w:r>
      <w:r w:rsidR="00CE5A3B" w:rsidRPr="00984968">
        <w:t>and the ACCC decides not to make a determination granting an exemption</w:t>
      </w:r>
      <w:r w:rsidRPr="00984968">
        <w:t xml:space="preserve">, </w:t>
      </w:r>
      <w:r w:rsidR="003C4A95" w:rsidRPr="00984968">
        <w:t>the ACCC</w:t>
      </w:r>
      <w:r w:rsidRPr="00984968">
        <w:t xml:space="preserve"> will provide the port terminal service provider with a notice </w:t>
      </w:r>
      <w:r w:rsidR="00CE5A3B" w:rsidRPr="00984968">
        <w:t xml:space="preserve">setting out its reasons for that decision. This notice does not prevent the port terminal service provider from submitting </w:t>
      </w:r>
      <w:r w:rsidR="003C4A95" w:rsidRPr="00984968">
        <w:t>future</w:t>
      </w:r>
      <w:r w:rsidR="00CE5A3B" w:rsidRPr="00984968">
        <w:t xml:space="preserve"> exemption application</w:t>
      </w:r>
      <w:r w:rsidR="003C4A95" w:rsidRPr="00984968">
        <w:t>s</w:t>
      </w:r>
      <w:r w:rsidR="00CE5A3B" w:rsidRPr="00984968">
        <w:t xml:space="preserve"> in relation to that facility.</w:t>
      </w:r>
      <w:r w:rsidR="00CE5A3B">
        <w:t xml:space="preserve"> </w:t>
      </w:r>
    </w:p>
    <w:p w:rsidR="00F10721" w:rsidRDefault="00F10721" w:rsidP="00F10721">
      <w:pPr>
        <w:pStyle w:val="Heading20"/>
      </w:pPr>
      <w:bookmarkStart w:id="11" w:name="_Toc401155117"/>
      <w:r>
        <w:t>Timeframe for exemption assessments</w:t>
      </w:r>
      <w:bookmarkEnd w:id="11"/>
    </w:p>
    <w:p w:rsidR="00F10721" w:rsidRDefault="00F10721" w:rsidP="00F10721">
      <w:r>
        <w:t xml:space="preserve">Where a </w:t>
      </w:r>
      <w:r w:rsidR="00457E92">
        <w:t>port terminal service provider</w:t>
      </w:r>
      <w:r>
        <w:t xml:space="preserve"> </w:t>
      </w:r>
      <w:r w:rsidR="00457E92">
        <w:t>submits an exemption application</w:t>
      </w:r>
      <w:r>
        <w:t xml:space="preserve">, the ACCC will seek to </w:t>
      </w:r>
      <w:r w:rsidR="00C72325">
        <w:t xml:space="preserve">conduct </w:t>
      </w:r>
      <w:r w:rsidR="00457E92">
        <w:t>its</w:t>
      </w:r>
      <w:r w:rsidR="00C72325">
        <w:t xml:space="preserve"> exemption assessment and decide whether to make an exemption determination </w:t>
      </w:r>
      <w:r>
        <w:t xml:space="preserve">within </w:t>
      </w:r>
      <w:r w:rsidRPr="00984968">
        <w:t>12</w:t>
      </w:r>
      <w:r w:rsidR="00457E92">
        <w:t xml:space="preserve"> </w:t>
      </w:r>
      <w:r w:rsidRPr="00984968">
        <w:t>weeks</w:t>
      </w:r>
      <w:r>
        <w:t>. This timeframe may be extended where the ACCC:</w:t>
      </w:r>
    </w:p>
    <w:p w:rsidR="00F10721" w:rsidRDefault="00F10721" w:rsidP="00F10721">
      <w:pPr>
        <w:pStyle w:val="ListParagraph"/>
        <w:numPr>
          <w:ilvl w:val="0"/>
          <w:numId w:val="29"/>
        </w:numPr>
      </w:pPr>
      <w:r>
        <w:t>consults on the</w:t>
      </w:r>
      <w:r w:rsidR="00CE5A3B">
        <w:t xml:space="preserve"> exemption</w:t>
      </w:r>
      <w:r>
        <w:t xml:space="preserve"> application</w:t>
      </w:r>
      <w:r w:rsidR="003C4A95">
        <w:t>, and/or</w:t>
      </w:r>
      <w:r>
        <w:t xml:space="preserve"> </w:t>
      </w:r>
    </w:p>
    <w:p w:rsidR="00F10721" w:rsidRDefault="00F10721" w:rsidP="00F10721">
      <w:pPr>
        <w:pStyle w:val="ListParagraph"/>
        <w:ind w:left="780"/>
      </w:pPr>
    </w:p>
    <w:p w:rsidR="00F10721" w:rsidRDefault="00F10721" w:rsidP="00F10721">
      <w:pPr>
        <w:pStyle w:val="ListParagraph"/>
        <w:numPr>
          <w:ilvl w:val="0"/>
          <w:numId w:val="29"/>
        </w:numPr>
      </w:pPr>
      <w:proofErr w:type="gramStart"/>
      <w:r>
        <w:t>requests</w:t>
      </w:r>
      <w:proofErr w:type="gramEnd"/>
      <w:r>
        <w:t xml:space="preserve"> information from the port terminal service provider.</w:t>
      </w:r>
    </w:p>
    <w:p w:rsidR="00D943FB" w:rsidRDefault="00D943FB" w:rsidP="00D943FB">
      <w:r>
        <w:t xml:space="preserve">In general, where a port terminal service provider submits an exemption application the ACCC will notify the port terminal service provider within two weeks of receiving the application whether it intends to issue a consultation notice, and the length of the consultation period. The length of any consultation period(s) will extend the ACCC’s timeframe for the exemption assessment. </w:t>
      </w:r>
    </w:p>
    <w:p w:rsidR="00F10721" w:rsidRDefault="00F10721" w:rsidP="00B85239">
      <w:r>
        <w:t xml:space="preserve">The total time taken by the ACCC will depend on whether the port terminal service provider responds to requests for information by the ACCC in a timely manner. It will also likely depend on the complexity of the relevant markets and other issues relevant to consideration </w:t>
      </w:r>
      <w:r>
        <w:lastRenderedPageBreak/>
        <w:t xml:space="preserve">of whether an exemption is appropriate, including issues raised by other industry </w:t>
      </w:r>
      <w:r w:rsidR="0019214B">
        <w:t>participants</w:t>
      </w:r>
      <w:r>
        <w:t xml:space="preserve">. </w:t>
      </w:r>
    </w:p>
    <w:p w:rsidR="00DA193E" w:rsidRDefault="00B40A38" w:rsidP="00457E92">
      <w:pPr>
        <w:pStyle w:val="Heading10"/>
      </w:pPr>
      <w:bookmarkStart w:id="12" w:name="_Toc401155118"/>
      <w:r>
        <w:t>Reviewing and r</w:t>
      </w:r>
      <w:r w:rsidR="00DA193E">
        <w:t>evo</w:t>
      </w:r>
      <w:r>
        <w:t>king</w:t>
      </w:r>
      <w:r w:rsidR="00DA193E">
        <w:t xml:space="preserve"> an exemption</w:t>
      </w:r>
      <w:r>
        <w:t xml:space="preserve"> determination</w:t>
      </w:r>
      <w:bookmarkEnd w:id="12"/>
      <w:r w:rsidR="00DA193E">
        <w:t xml:space="preserve"> </w:t>
      </w:r>
    </w:p>
    <w:p w:rsidR="00DA193E" w:rsidRDefault="00B40A38" w:rsidP="00B85239">
      <w:r>
        <w:t>The ACCC may review an exemption determination with a view to revo</w:t>
      </w:r>
      <w:r w:rsidR="00A431B5">
        <w:t>king it</w:t>
      </w:r>
      <w:r w:rsidR="00AE5577">
        <w:t xml:space="preserve"> as provided by subclause 5(6)</w:t>
      </w:r>
      <w:r w:rsidR="00A431B5">
        <w:t xml:space="preserve"> in certain circumstances. </w:t>
      </w:r>
      <w:r>
        <w:t xml:space="preserve">The ACCC’s process </w:t>
      </w:r>
      <w:r w:rsidR="00F10721">
        <w:t>for reviewing and revoking</w:t>
      </w:r>
      <w:r>
        <w:t xml:space="preserve"> an exemption determination will be similar in many respects to </w:t>
      </w:r>
      <w:r w:rsidR="00F10721">
        <w:t>its</w:t>
      </w:r>
      <w:r>
        <w:t xml:space="preserve"> process for </w:t>
      </w:r>
      <w:r w:rsidR="00A431B5">
        <w:t xml:space="preserve">conducting an exemption assessment and </w:t>
      </w:r>
      <w:r>
        <w:t>ma</w:t>
      </w:r>
      <w:r w:rsidR="00A431B5">
        <w:t xml:space="preserve">king a </w:t>
      </w:r>
      <w:r w:rsidR="00F10721">
        <w:t>determination</w:t>
      </w:r>
      <w:r w:rsidR="00A431B5">
        <w:t xml:space="preserve"> as outlined above</w:t>
      </w:r>
      <w:r w:rsidR="00F10721">
        <w:t xml:space="preserve">.  </w:t>
      </w:r>
    </w:p>
    <w:p w:rsidR="00B40A38" w:rsidRDefault="00B40A38" w:rsidP="00B40A38">
      <w:r>
        <w:t>Where the ACCC decides to review an exemption determination, the ACCC will notify the port terminal service provider that it has commenced a review, and may invite the port terminal service provider</w:t>
      </w:r>
      <w:r w:rsidR="003A44D6">
        <w:t xml:space="preserve"> and other interested parties</w:t>
      </w:r>
      <w:r>
        <w:t xml:space="preserve"> to provide information relevant to the ACCC’s review. </w:t>
      </w:r>
    </w:p>
    <w:p w:rsidR="00B40A38" w:rsidRDefault="00457E92">
      <w:r>
        <w:t>I</w:t>
      </w:r>
      <w:r w:rsidR="00B40A38">
        <w:t xml:space="preserve">f the ACCC forms a preliminary view that an exemption determination should be revoked, it will </w:t>
      </w:r>
      <w:r>
        <w:t xml:space="preserve">generally </w:t>
      </w:r>
      <w:r w:rsidR="00B40A38">
        <w:t>issue a draft revocation notice.</w:t>
      </w:r>
      <w:r w:rsidR="00CC5A81">
        <w:t xml:space="preserve"> This notice will set out the ACCC’s consideration of the matters listed at subclause 5(3) of the Code and why the ACCC considers the reasons for granting the exemption may no longer apply. </w:t>
      </w:r>
    </w:p>
    <w:p w:rsidR="00B40A38" w:rsidRDefault="00365235" w:rsidP="00B40A38">
      <w:r>
        <w:t>The ACCC</w:t>
      </w:r>
      <w:r w:rsidR="00B40A38">
        <w:t xml:space="preserve"> will provide an opportunity for </w:t>
      </w:r>
      <w:r w:rsidR="00CC5A81">
        <w:t>parties to commen</w:t>
      </w:r>
      <w:r>
        <w:t xml:space="preserve">t on </w:t>
      </w:r>
      <w:r w:rsidR="00B716F9">
        <w:t xml:space="preserve">a </w:t>
      </w:r>
      <w:r>
        <w:t>draft revocation notice</w:t>
      </w:r>
      <w:r w:rsidR="00CC5A81">
        <w:t xml:space="preserve">. </w:t>
      </w:r>
      <w:r w:rsidR="00B40A38">
        <w:t xml:space="preserve">The ACCC will </w:t>
      </w:r>
      <w:r w:rsidR="003A44D6">
        <w:t>then make a final decision</w:t>
      </w:r>
      <w:r w:rsidR="00B40A38">
        <w:t xml:space="preserve"> on whether the port terminal service provider</w:t>
      </w:r>
      <w:r w:rsidR="00CC5A81">
        <w:t xml:space="preserve">’s status as an exempt service </w:t>
      </w:r>
      <w:r w:rsidR="00B40A38">
        <w:t>for the specified port terminal facilities</w:t>
      </w:r>
      <w:r w:rsidR="00CC5A81">
        <w:t xml:space="preserve"> should be revoked</w:t>
      </w:r>
      <w:r w:rsidR="00B40A38">
        <w:t xml:space="preserve">. </w:t>
      </w:r>
    </w:p>
    <w:p w:rsidR="00B40A38" w:rsidRDefault="00365235" w:rsidP="00B85239">
      <w:r>
        <w:t>If</w:t>
      </w:r>
      <w:r w:rsidR="00CC5A81">
        <w:t xml:space="preserve"> the port terminal service provider is an exempt port terminal service provider in relation to multiple port terminal facilities, the ACCC will separately consider whether the exemption determination should be revoked at each of the port terminal facilities. </w:t>
      </w:r>
    </w:p>
    <w:p w:rsidR="00CC5A81" w:rsidRDefault="00CC5A81" w:rsidP="00CC5A81">
      <w:r>
        <w:t xml:space="preserve">Where the ACCC decides to revoke an exemption determination in accordance with subclause 5(6) of the Code, it will provide the port terminal service provider with a written </w:t>
      </w:r>
      <w:r w:rsidRPr="00281079">
        <w:rPr>
          <w:b/>
        </w:rPr>
        <w:t>revocation notice</w:t>
      </w:r>
      <w:r>
        <w:t xml:space="preserve">. This notice will state that the determination is revoked with effect from the end of the period of 3 months beginning on the date of the notice, as required by subclause 5(7). The notice will also </w:t>
      </w:r>
      <w:r w:rsidR="003A44D6">
        <w:t>be accompanied by</w:t>
      </w:r>
      <w:r>
        <w:t xml:space="preserve"> the reasons why the ACCC </w:t>
      </w:r>
      <w:r w:rsidR="00457E92">
        <w:t>considers</w:t>
      </w:r>
      <w:r>
        <w:t xml:space="preserve"> that the reasons for granting the exemption no longer apply having regard to the matters at subclause 5(3) of the Code. The ACCC will publish this written revocation notice on its website. </w:t>
      </w:r>
    </w:p>
    <w:p w:rsidR="00CC5A81" w:rsidRDefault="00CC5A81" w:rsidP="00B85239">
      <w:r w:rsidRPr="00457E92">
        <w:t>Subc</w:t>
      </w:r>
      <w:r w:rsidRPr="00457E92" w:rsidDel="007938E9">
        <w:t xml:space="preserve">lause </w:t>
      </w:r>
      <w:r w:rsidRPr="00457E92">
        <w:t xml:space="preserve">5(8) </w:t>
      </w:r>
      <w:r w:rsidRPr="00457E92" w:rsidDel="007938E9">
        <w:t xml:space="preserve">of the Code requires that the </w:t>
      </w:r>
      <w:r w:rsidRPr="00457E92">
        <w:t>port terminal</w:t>
      </w:r>
      <w:r w:rsidRPr="00457E92" w:rsidDel="007938E9">
        <w:t xml:space="preserve"> service provider </w:t>
      </w:r>
      <w:r w:rsidRPr="00457E92">
        <w:t>advise the public of</w:t>
      </w:r>
      <w:r w:rsidRPr="00457E92" w:rsidDel="007938E9">
        <w:t xml:space="preserve"> the ACCC’s </w:t>
      </w:r>
      <w:r w:rsidRPr="00457E92">
        <w:t xml:space="preserve">revocation notice </w:t>
      </w:r>
      <w:r w:rsidRPr="00457E92" w:rsidDel="007938E9">
        <w:t>on its website</w:t>
      </w:r>
      <w:r w:rsidRPr="00457E92">
        <w:t xml:space="preserve"> within 10</w:t>
      </w:r>
      <w:r w:rsidR="00F10721" w:rsidRPr="00457E92">
        <w:t xml:space="preserve"> business days of being given the notice</w:t>
      </w:r>
      <w:r w:rsidRPr="00457E92" w:rsidDel="007938E9">
        <w:t>.</w:t>
      </w:r>
      <w:r w:rsidDel="007938E9">
        <w:t xml:space="preserve"> </w:t>
      </w:r>
    </w:p>
    <w:p w:rsidR="00AE5577" w:rsidRDefault="00AE5577" w:rsidP="00B85239">
      <w:r>
        <w:t>As noted above, the Minister for Agriculture may also determine that a port terminal service provider is an exempt service provider where it is a cooperative that meets certain criteria</w:t>
      </w:r>
      <w:r w:rsidR="00E95745">
        <w:t xml:space="preserve"> set out at subclause 5(1)</w:t>
      </w:r>
      <w:r w:rsidR="00281079">
        <w:t xml:space="preserve"> of the Code</w:t>
      </w:r>
      <w:r w:rsidR="00E95745">
        <w:t>.</w:t>
      </w:r>
      <w:r>
        <w:t xml:space="preserve"> The ACCC cannot revoke a determination made by the Minister under subclause 5(1). </w:t>
      </w:r>
    </w:p>
    <w:p w:rsidR="00407C9F" w:rsidRDefault="00407C9F" w:rsidP="00407C9F">
      <w:pPr>
        <w:pStyle w:val="Heading10"/>
      </w:pPr>
      <w:bookmarkStart w:id="13" w:name="_Toc401155119"/>
      <w:r>
        <w:t>How to submit an exemption application</w:t>
      </w:r>
      <w:bookmarkEnd w:id="13"/>
    </w:p>
    <w:p w:rsidR="00407C9F" w:rsidRDefault="00407C9F" w:rsidP="00407C9F">
      <w:r>
        <w:t xml:space="preserve">A port terminal service provider may submit an exemption application in writing to the ACCC. Exemption applications should be addressed to: </w:t>
      </w:r>
    </w:p>
    <w:p w:rsidR="00407C9F" w:rsidRDefault="00407C9F" w:rsidP="00407C9F">
      <w:pPr>
        <w:ind w:left="720"/>
      </w:pPr>
      <w:r>
        <w:t>The General Manager</w:t>
      </w:r>
      <w:r>
        <w:br/>
        <w:t>Infrastructure &amp; Transport – Access &amp; Pricing</w:t>
      </w:r>
      <w:r>
        <w:br/>
        <w:t>Infrastructure Regulation Division</w:t>
      </w:r>
    </w:p>
    <w:p w:rsidR="00407C9F" w:rsidRDefault="00407C9F" w:rsidP="00407C9F">
      <w:pPr>
        <w:ind w:left="720"/>
      </w:pPr>
      <w:r>
        <w:lastRenderedPageBreak/>
        <w:t xml:space="preserve">Email: </w:t>
      </w:r>
      <w:hyperlink r:id="rId15" w:history="1">
        <w:r w:rsidRPr="00C85C77">
          <w:rPr>
            <w:rStyle w:val="Hyperlink"/>
          </w:rPr>
          <w:t>transport@accc.gov.au</w:t>
        </w:r>
      </w:hyperlink>
      <w:r>
        <w:t xml:space="preserve"> </w:t>
      </w:r>
    </w:p>
    <w:p w:rsidR="00407C9F" w:rsidRDefault="00407C9F" w:rsidP="00407C9F">
      <w:r>
        <w:t>The ACCC prefers that exemption applications be sent via email in Microsoft Word format (although other text readable document formats will be accepted).</w:t>
      </w:r>
    </w:p>
    <w:p w:rsidR="00407C9F" w:rsidRPr="00B97C9D" w:rsidRDefault="00407C9F" w:rsidP="00407C9F">
      <w:pPr>
        <w:pStyle w:val="Heading40"/>
      </w:pPr>
      <w:r w:rsidRPr="00B97C9D">
        <w:t xml:space="preserve">What should be included in an </w:t>
      </w:r>
      <w:r>
        <w:t xml:space="preserve">exemption </w:t>
      </w:r>
      <w:r w:rsidRPr="00B97C9D">
        <w:t>application?</w:t>
      </w:r>
    </w:p>
    <w:p w:rsidR="00407C9F" w:rsidRPr="005D2AE7" w:rsidRDefault="00407C9F" w:rsidP="00407C9F">
      <w:pPr>
        <w:keepNext/>
      </w:pPr>
      <w:r>
        <w:t xml:space="preserve">In order to ensure a timely assessment of an exemption application, the ACCC recommends that the port terminal service provider include in its initial application: </w:t>
      </w:r>
    </w:p>
    <w:p w:rsidR="00407C9F" w:rsidRDefault="00407C9F" w:rsidP="00407C9F">
      <w:pPr>
        <w:pStyle w:val="Bulletpoint"/>
        <w:ind w:left="357" w:hanging="357"/>
      </w:pPr>
      <w:r>
        <w:t xml:space="preserve">a description of the port terminal facility, including: </w:t>
      </w:r>
    </w:p>
    <w:p w:rsidR="00407C9F" w:rsidRDefault="00407C9F" w:rsidP="00407C9F">
      <w:pPr>
        <w:pStyle w:val="Bulletpoint2"/>
      </w:pPr>
      <w:r>
        <w:t xml:space="preserve">the name of the facility </w:t>
      </w:r>
    </w:p>
    <w:p w:rsidR="00407C9F" w:rsidRDefault="00407C9F" w:rsidP="00407C9F">
      <w:pPr>
        <w:pStyle w:val="Bulletpoint2"/>
      </w:pPr>
      <w:r>
        <w:t>map(s) showing the location of the facility</w:t>
      </w:r>
    </w:p>
    <w:p w:rsidR="00407C9F" w:rsidRDefault="003A44D6" w:rsidP="00407C9F">
      <w:pPr>
        <w:pStyle w:val="Bulletpoint2"/>
      </w:pPr>
      <w:r>
        <w:t>whether the port terminal service provider is an</w:t>
      </w:r>
      <w:r w:rsidR="00407C9F">
        <w:t xml:space="preserve"> exporter </w:t>
      </w:r>
      <w:r>
        <w:t xml:space="preserve">or whether it </w:t>
      </w:r>
      <w:r w:rsidR="00407C9F">
        <w:t xml:space="preserve">is an associated entity of an </w:t>
      </w:r>
      <w:r>
        <w:t>exporter, and in the latter case, identification of the exporter</w:t>
      </w:r>
      <w:r w:rsidR="00407C9F">
        <w:t xml:space="preserve">   </w:t>
      </w:r>
    </w:p>
    <w:p w:rsidR="00407C9F" w:rsidRDefault="00407C9F" w:rsidP="00407C9F">
      <w:pPr>
        <w:pStyle w:val="Bulletpoint"/>
        <w:ind w:left="357" w:hanging="357"/>
      </w:pPr>
      <w:r>
        <w:t xml:space="preserve">supporting documentation, which may include information and submissions regarding: </w:t>
      </w:r>
    </w:p>
    <w:p w:rsidR="00407C9F" w:rsidRDefault="00407C9F" w:rsidP="00407C9F">
      <w:pPr>
        <w:pStyle w:val="Bulletpoint2"/>
        <w:ind w:left="714" w:hanging="357"/>
      </w:pPr>
      <w:r>
        <w:t xml:space="preserve">the annual capacity of the port terminal facility disaggregated by shipping window </w:t>
      </w:r>
    </w:p>
    <w:p w:rsidR="00407C9F" w:rsidRDefault="00407C9F" w:rsidP="00407C9F">
      <w:pPr>
        <w:pStyle w:val="Bulletpoint2"/>
      </w:pPr>
      <w:r>
        <w:t xml:space="preserve">current and prospective users of the port terminal facility </w:t>
      </w:r>
    </w:p>
    <w:p w:rsidR="00407C9F" w:rsidRDefault="00407C9F" w:rsidP="00407C9F">
      <w:pPr>
        <w:pStyle w:val="Bulletpoint2"/>
      </w:pPr>
      <w:r>
        <w:t xml:space="preserve">demand for capacity at the port terminal facility </w:t>
      </w:r>
    </w:p>
    <w:p w:rsidR="00407C9F" w:rsidRDefault="00407C9F" w:rsidP="00407C9F">
      <w:pPr>
        <w:pStyle w:val="Bulletpoint2"/>
        <w:tabs>
          <w:tab w:val="num" w:pos="717"/>
        </w:tabs>
      </w:pPr>
      <w:r>
        <w:t xml:space="preserve">any port terminal facilities owned or operated by other parties which the port terminal service provider considers provide a competitive constraint on the port terminal facility, and information about the nature of that constraint </w:t>
      </w:r>
    </w:p>
    <w:p w:rsidR="00407C9F" w:rsidRDefault="00407C9F" w:rsidP="00407C9F">
      <w:pPr>
        <w:pStyle w:val="Bulletpoint2"/>
        <w:tabs>
          <w:tab w:val="num" w:pos="717"/>
        </w:tabs>
      </w:pPr>
      <w:r>
        <w:t>any other potential sources of competitive constraint</w:t>
      </w:r>
    </w:p>
    <w:p w:rsidR="00407C9F" w:rsidRDefault="00407C9F" w:rsidP="00407C9F">
      <w:pPr>
        <w:pStyle w:val="Bulletpoint2"/>
        <w:tabs>
          <w:tab w:val="num" w:pos="717"/>
        </w:tabs>
      </w:pPr>
      <w:proofErr w:type="gramStart"/>
      <w:r>
        <w:t>the</w:t>
      </w:r>
      <w:proofErr w:type="gramEnd"/>
      <w:r>
        <w:t xml:space="preserve"> matters listed at </w:t>
      </w:r>
      <w:r w:rsidRPr="005B549A">
        <w:t>subclause 5(3) of the Code</w:t>
      </w:r>
      <w:r>
        <w:t xml:space="preserve">.  </w:t>
      </w:r>
    </w:p>
    <w:p w:rsidR="00407C9F" w:rsidRDefault="00407C9F" w:rsidP="00B85239">
      <w:r>
        <w:t xml:space="preserve">The ACCC will publish the application and supporting documentation on its public website subject to confidentiality claims (see below). </w:t>
      </w:r>
    </w:p>
    <w:p w:rsidR="00B85239" w:rsidRDefault="00B85239" w:rsidP="00B85239">
      <w:pPr>
        <w:pStyle w:val="Heading10"/>
      </w:pPr>
      <w:bookmarkStart w:id="14" w:name="_Toc401155120"/>
      <w:r>
        <w:t>Confidentiality</w:t>
      </w:r>
      <w:bookmarkEnd w:id="14"/>
    </w:p>
    <w:p w:rsidR="00B85239" w:rsidRDefault="00B85239" w:rsidP="00B85239">
      <w:r>
        <w:t xml:space="preserve">Sections of documents submitted to the ACCC </w:t>
      </w:r>
      <w:r w:rsidR="00D943FB">
        <w:t xml:space="preserve">by an exemption applicant or other interested parties </w:t>
      </w:r>
      <w:r>
        <w:t xml:space="preserve">that are claimed to be confidential should be clearly identified. The ACCC will consider each claim of confidentiality on a case by case basis. </w:t>
      </w:r>
    </w:p>
    <w:p w:rsidR="00B85239" w:rsidRDefault="00B85239" w:rsidP="00B85239">
      <w:r>
        <w:t xml:space="preserve">For information about the collection, use and disclosure of information provided to the ACCC, please refer to the ACCC publication </w:t>
      </w:r>
      <w:r w:rsidRPr="00E007F6">
        <w:rPr>
          <w:i/>
        </w:rPr>
        <w:t>Australian Competition and Consumer Commission / Australian Energy Regulator Information Policy – the collection, use and disclosure of information</w:t>
      </w:r>
      <w:r>
        <w:t>, available on the ACCC website.</w:t>
      </w:r>
      <w:r>
        <w:rPr>
          <w:rStyle w:val="FootnoteReference"/>
        </w:rPr>
        <w:footnoteReference w:id="1"/>
      </w:r>
    </w:p>
    <w:p w:rsidR="00B85239" w:rsidRDefault="00B85239" w:rsidP="00B85239">
      <w:pPr>
        <w:pStyle w:val="Heading10"/>
      </w:pPr>
      <w:bookmarkStart w:id="15" w:name="_Toc401155121"/>
      <w:r>
        <w:lastRenderedPageBreak/>
        <w:t>Further information</w:t>
      </w:r>
      <w:bookmarkEnd w:id="15"/>
      <w:r>
        <w:t xml:space="preserve"> </w:t>
      </w:r>
    </w:p>
    <w:p w:rsidR="00B85239" w:rsidRDefault="00D943FB" w:rsidP="00B85239">
      <w:r>
        <w:t xml:space="preserve">The ACCC has also published </w:t>
      </w:r>
      <w:r w:rsidR="00A213C4">
        <w:t xml:space="preserve">process </w:t>
      </w:r>
      <w:r>
        <w:t>guideline</w:t>
      </w:r>
      <w:r w:rsidR="00950C18">
        <w:t>s</w:t>
      </w:r>
      <w:r>
        <w:t xml:space="preserve"> in relation to its role approving capacity allocation systems under the Code. </w:t>
      </w:r>
      <w:r w:rsidR="00B85239">
        <w:t>The Code</w:t>
      </w:r>
      <w:r>
        <w:t>,</w:t>
      </w:r>
      <w:r w:rsidR="00950C18">
        <w:t xml:space="preserve"> these guidelines,</w:t>
      </w:r>
      <w:r w:rsidR="00B85239">
        <w:t xml:space="preserve"> and other information relevant to the ACCC’s role in regulating access to wheat ports</w:t>
      </w:r>
      <w:r>
        <w:t xml:space="preserve"> (</w:t>
      </w:r>
      <w:r w:rsidR="00B85239">
        <w:t>both under the Code and the previous access undertaking regime</w:t>
      </w:r>
      <w:r>
        <w:t>)</w:t>
      </w:r>
      <w:r w:rsidR="00B85239">
        <w:t xml:space="preserve"> is available on the ACCC’s website at </w:t>
      </w:r>
      <w:hyperlink r:id="rId16" w:history="1">
        <w:r w:rsidR="00B85239" w:rsidRPr="007044AC">
          <w:rPr>
            <w:rStyle w:val="Hyperlink"/>
          </w:rPr>
          <w:t>www.accc.gov.au/wheat</w:t>
        </w:r>
      </w:hyperlink>
      <w:r w:rsidR="00B85239">
        <w:t xml:space="preserve">. </w:t>
      </w:r>
    </w:p>
    <w:p w:rsidR="00B85239" w:rsidRDefault="00B85239" w:rsidP="00B85239">
      <w:pPr>
        <w:keepNext/>
      </w:pPr>
      <w:r>
        <w:t xml:space="preserve">Please direct enquiries regarding </w:t>
      </w:r>
      <w:r w:rsidR="00E924CB">
        <w:t>these guidelines</w:t>
      </w:r>
      <w:r>
        <w:t xml:space="preserve"> to:</w:t>
      </w:r>
    </w:p>
    <w:p w:rsidR="00B85239" w:rsidRDefault="00B85239" w:rsidP="00E95745">
      <w:pPr>
        <w:ind w:left="720"/>
      </w:pPr>
      <w:r>
        <w:t xml:space="preserve">Mr Michael Eady </w:t>
      </w:r>
      <w:r>
        <w:br/>
        <w:t>Director</w:t>
      </w:r>
      <w:r>
        <w:br/>
        <w:t xml:space="preserve">Infrastructure &amp; Transport – Access &amp; Pricing branch </w:t>
      </w:r>
      <w:r>
        <w:br/>
        <w:t>ACCC</w:t>
      </w:r>
      <w:r>
        <w:br/>
        <w:t>GPO Box 520</w:t>
      </w:r>
      <w:r>
        <w:br/>
        <w:t>MELBOURNE VIC 3001</w:t>
      </w:r>
    </w:p>
    <w:p w:rsidR="00B85239" w:rsidRDefault="00B85239" w:rsidP="00E95745">
      <w:pPr>
        <w:ind w:left="720"/>
      </w:pPr>
      <w:proofErr w:type="spellStart"/>
      <w:r>
        <w:t>Ph</w:t>
      </w:r>
      <w:proofErr w:type="spellEnd"/>
      <w:r>
        <w:t xml:space="preserve">: 03 9290 1945 </w:t>
      </w:r>
    </w:p>
    <w:p w:rsidR="00856ABC" w:rsidRDefault="00B85239" w:rsidP="00E95745">
      <w:pPr>
        <w:ind w:left="720"/>
      </w:pPr>
      <w:r>
        <w:t xml:space="preserve">Email: </w:t>
      </w:r>
      <w:hyperlink r:id="rId17" w:history="1">
        <w:r w:rsidRPr="007044AC">
          <w:rPr>
            <w:rStyle w:val="Hyperlink"/>
          </w:rPr>
          <w:t>transport@accc.gov.au</w:t>
        </w:r>
      </w:hyperlink>
      <w:r>
        <w:t xml:space="preserve">  </w:t>
      </w:r>
    </w:p>
    <w:sectPr w:rsidR="00856AB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C1" w:rsidRDefault="008F56C1" w:rsidP="00095616">
      <w:pPr>
        <w:spacing w:before="0"/>
      </w:pPr>
      <w:r>
        <w:separator/>
      </w:r>
    </w:p>
  </w:endnote>
  <w:endnote w:type="continuationSeparator" w:id="0">
    <w:p w:rsidR="008F56C1" w:rsidRDefault="008F56C1" w:rsidP="000956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56" w:rsidRDefault="005E3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C1" w:rsidRDefault="008F56C1" w:rsidP="00A30640">
    <w:pPr>
      <w:pStyle w:val="Footer"/>
      <w:jc w:val="center"/>
    </w:pPr>
    <w:r>
      <w:t xml:space="preserve">Page </w:t>
    </w:r>
    <w:sdt>
      <w:sdtPr>
        <w:id w:val="1309844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4B79">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56" w:rsidRDefault="005E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C1" w:rsidRDefault="008F56C1" w:rsidP="00095616">
      <w:pPr>
        <w:spacing w:before="0"/>
      </w:pPr>
      <w:r>
        <w:separator/>
      </w:r>
    </w:p>
  </w:footnote>
  <w:footnote w:type="continuationSeparator" w:id="0">
    <w:p w:rsidR="008F56C1" w:rsidRDefault="008F56C1" w:rsidP="00095616">
      <w:pPr>
        <w:spacing w:before="0"/>
      </w:pPr>
      <w:r>
        <w:continuationSeparator/>
      </w:r>
    </w:p>
  </w:footnote>
  <w:footnote w:id="1">
    <w:p w:rsidR="00B85239" w:rsidRDefault="00B85239" w:rsidP="00B85239">
      <w:pPr>
        <w:pStyle w:val="FootnoteText"/>
      </w:pPr>
      <w:r>
        <w:rPr>
          <w:rStyle w:val="FootnoteReference"/>
        </w:rPr>
        <w:footnoteRef/>
      </w:r>
      <w:r>
        <w:t xml:space="preserve"> </w:t>
      </w:r>
      <w:r>
        <w:tab/>
      </w:r>
      <w:proofErr w:type="gramStart"/>
      <w:r>
        <w:t xml:space="preserve">Available at </w:t>
      </w:r>
      <w:hyperlink r:id="rId1" w:history="1">
        <w:r w:rsidRPr="007044AC">
          <w:rPr>
            <w:rStyle w:val="Hyperlink"/>
            <w:sz w:val="20"/>
          </w:rPr>
          <w:t>www.accc.gov.au</w:t>
        </w:r>
      </w:hyperlink>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56" w:rsidRDefault="005E3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C1" w:rsidRDefault="008F56C1" w:rsidP="00D226F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56" w:rsidRDefault="005E3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92816E"/>
    <w:lvl w:ilvl="0">
      <w:start w:val="1"/>
      <w:numFmt w:val="decimal"/>
      <w:lvlText w:val="%1."/>
      <w:lvlJc w:val="left"/>
      <w:pPr>
        <w:tabs>
          <w:tab w:val="num" w:pos="1492"/>
        </w:tabs>
        <w:ind w:left="1492" w:hanging="360"/>
      </w:pPr>
    </w:lvl>
  </w:abstractNum>
  <w:abstractNum w:abstractNumId="1">
    <w:nsid w:val="FFFFFF7D"/>
    <w:multiLevelType w:val="singleLevel"/>
    <w:tmpl w:val="05864E92"/>
    <w:lvl w:ilvl="0">
      <w:start w:val="1"/>
      <w:numFmt w:val="decimal"/>
      <w:lvlText w:val="%1."/>
      <w:lvlJc w:val="left"/>
      <w:pPr>
        <w:tabs>
          <w:tab w:val="num" w:pos="1209"/>
        </w:tabs>
        <w:ind w:left="1209" w:hanging="360"/>
      </w:pPr>
    </w:lvl>
  </w:abstractNum>
  <w:abstractNum w:abstractNumId="2">
    <w:nsid w:val="FFFFFF7E"/>
    <w:multiLevelType w:val="singleLevel"/>
    <w:tmpl w:val="01FEB3FA"/>
    <w:lvl w:ilvl="0">
      <w:start w:val="1"/>
      <w:numFmt w:val="decimal"/>
      <w:lvlText w:val="%1."/>
      <w:lvlJc w:val="left"/>
      <w:pPr>
        <w:tabs>
          <w:tab w:val="num" w:pos="926"/>
        </w:tabs>
        <w:ind w:left="926" w:hanging="360"/>
      </w:pPr>
    </w:lvl>
  </w:abstractNum>
  <w:abstractNum w:abstractNumId="3">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18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19B737F8"/>
    <w:multiLevelType w:val="multilevel"/>
    <w:tmpl w:val="76DE8E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E9B451D"/>
    <w:multiLevelType w:val="hybridMultilevel"/>
    <w:tmpl w:val="7E62DEC6"/>
    <w:lvl w:ilvl="0" w:tplc="255EE0BC">
      <w:start w:val="1"/>
      <w:numFmt w:val="bullet"/>
      <w:pStyle w:val="Bulletpoint2"/>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AB6613"/>
    <w:multiLevelType w:val="hybridMultilevel"/>
    <w:tmpl w:val="CC8E0364"/>
    <w:lvl w:ilvl="0" w:tplc="D220A00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EC1270"/>
    <w:multiLevelType w:val="hybridMultilevel"/>
    <w:tmpl w:val="F9526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8">
    <w:nsid w:val="4EEF5B7F"/>
    <w:multiLevelType w:val="hybridMultilevel"/>
    <w:tmpl w:val="D9A2C89C"/>
    <w:lvl w:ilvl="0" w:tplc="070824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961FAF"/>
    <w:multiLevelType w:val="hybridMultilevel"/>
    <w:tmpl w:val="85D0E14A"/>
    <w:lvl w:ilvl="0" w:tplc="070824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4F7C98"/>
    <w:multiLevelType w:val="hybridMultilevel"/>
    <w:tmpl w:val="B4F6F7CA"/>
    <w:lvl w:ilvl="0" w:tplc="F6C80672">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2">
    <w:nsid w:val="6726588A"/>
    <w:multiLevelType w:val="hybridMultilevel"/>
    <w:tmpl w:val="CC927964"/>
    <w:lvl w:ilvl="0" w:tplc="956E30DC">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3">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245983"/>
    <w:multiLevelType w:val="hybridMultilevel"/>
    <w:tmpl w:val="679C4BEA"/>
    <w:lvl w:ilvl="0" w:tplc="CD106D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2"/>
  </w:num>
  <w:num w:numId="3">
    <w:abstractNumId w:val="11"/>
  </w:num>
  <w:num w:numId="4">
    <w:abstractNumId w:val="23"/>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7"/>
  </w:num>
  <w:num w:numId="19">
    <w:abstractNumId w:val="12"/>
    <w:lvlOverride w:ilvl="0">
      <w:startOverride w:val="1"/>
    </w:lvlOverride>
  </w:num>
  <w:num w:numId="20">
    <w:abstractNumId w:val="13"/>
  </w:num>
  <w:num w:numId="21">
    <w:abstractNumId w:val="19"/>
  </w:num>
  <w:num w:numId="22">
    <w:abstractNumId w:val="18"/>
  </w:num>
  <w:num w:numId="23">
    <w:abstractNumId w:val="14"/>
  </w:num>
  <w:num w:numId="24">
    <w:abstractNumId w:val="9"/>
  </w:num>
  <w:num w:numId="25">
    <w:abstractNumId w:val="9"/>
  </w:num>
  <w:num w:numId="26">
    <w:abstractNumId w:val="24"/>
  </w:num>
  <w:num w:numId="27">
    <w:abstractNumId w:val="13"/>
  </w:num>
  <w:num w:numId="28">
    <w:abstractNumId w:val="9"/>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accc.local\home$\epolm\Guidelines on the ACCC’s process for making and revoking exemption determinations - October 2014.DOCX"/>
  </w:docVars>
  <w:rsids>
    <w:rsidRoot w:val="00A70920"/>
    <w:rsid w:val="00021202"/>
    <w:rsid w:val="00040720"/>
    <w:rsid w:val="00040853"/>
    <w:rsid w:val="000841FD"/>
    <w:rsid w:val="00095616"/>
    <w:rsid w:val="000B0B1B"/>
    <w:rsid w:val="000B3ED4"/>
    <w:rsid w:val="000B5535"/>
    <w:rsid w:val="000D0665"/>
    <w:rsid w:val="000E1819"/>
    <w:rsid w:val="000E6C72"/>
    <w:rsid w:val="000E7F15"/>
    <w:rsid w:val="00124406"/>
    <w:rsid w:val="00124609"/>
    <w:rsid w:val="00140E16"/>
    <w:rsid w:val="001573E4"/>
    <w:rsid w:val="00165C94"/>
    <w:rsid w:val="0019214B"/>
    <w:rsid w:val="00194EC9"/>
    <w:rsid w:val="001B45A0"/>
    <w:rsid w:val="001E080B"/>
    <w:rsid w:val="001E1D3C"/>
    <w:rsid w:val="001E5604"/>
    <w:rsid w:val="001F4C13"/>
    <w:rsid w:val="002259AC"/>
    <w:rsid w:val="00251745"/>
    <w:rsid w:val="00281079"/>
    <w:rsid w:val="002854CC"/>
    <w:rsid w:val="00286874"/>
    <w:rsid w:val="002A7DEF"/>
    <w:rsid w:val="002D4A70"/>
    <w:rsid w:val="002E42F5"/>
    <w:rsid w:val="002F0C56"/>
    <w:rsid w:val="002F5482"/>
    <w:rsid w:val="00307F6D"/>
    <w:rsid w:val="00312D30"/>
    <w:rsid w:val="00331264"/>
    <w:rsid w:val="0034416B"/>
    <w:rsid w:val="003518B3"/>
    <w:rsid w:val="00365235"/>
    <w:rsid w:val="00386660"/>
    <w:rsid w:val="003A44D6"/>
    <w:rsid w:val="003A7264"/>
    <w:rsid w:val="003B0101"/>
    <w:rsid w:val="003B7CDC"/>
    <w:rsid w:val="003C4A95"/>
    <w:rsid w:val="003E154E"/>
    <w:rsid w:val="00404B79"/>
    <w:rsid w:val="00407C9F"/>
    <w:rsid w:val="004101C0"/>
    <w:rsid w:val="00410A12"/>
    <w:rsid w:val="004144C0"/>
    <w:rsid w:val="00414B41"/>
    <w:rsid w:val="004209AA"/>
    <w:rsid w:val="00457E92"/>
    <w:rsid w:val="004667C7"/>
    <w:rsid w:val="00480473"/>
    <w:rsid w:val="004A1069"/>
    <w:rsid w:val="004B0866"/>
    <w:rsid w:val="004B2E58"/>
    <w:rsid w:val="004B5266"/>
    <w:rsid w:val="004C6C69"/>
    <w:rsid w:val="004E374E"/>
    <w:rsid w:val="00506ACE"/>
    <w:rsid w:val="00515F52"/>
    <w:rsid w:val="005322EB"/>
    <w:rsid w:val="00532467"/>
    <w:rsid w:val="0054705C"/>
    <w:rsid w:val="005538DF"/>
    <w:rsid w:val="0056409F"/>
    <w:rsid w:val="00564A4D"/>
    <w:rsid w:val="00597197"/>
    <w:rsid w:val="005A1323"/>
    <w:rsid w:val="005B549A"/>
    <w:rsid w:val="005B77DC"/>
    <w:rsid w:val="005C525F"/>
    <w:rsid w:val="005C58AF"/>
    <w:rsid w:val="005C7000"/>
    <w:rsid w:val="005D5680"/>
    <w:rsid w:val="005E3156"/>
    <w:rsid w:val="00604F19"/>
    <w:rsid w:val="00632D6D"/>
    <w:rsid w:val="00644234"/>
    <w:rsid w:val="00645FD3"/>
    <w:rsid w:val="00691C5B"/>
    <w:rsid w:val="006924F9"/>
    <w:rsid w:val="0069782A"/>
    <w:rsid w:val="006E5763"/>
    <w:rsid w:val="007303C3"/>
    <w:rsid w:val="00751DA6"/>
    <w:rsid w:val="00763E5D"/>
    <w:rsid w:val="00777EE6"/>
    <w:rsid w:val="00786095"/>
    <w:rsid w:val="007942EF"/>
    <w:rsid w:val="007B2921"/>
    <w:rsid w:val="007C1C53"/>
    <w:rsid w:val="007C4D20"/>
    <w:rsid w:val="007D6B54"/>
    <w:rsid w:val="007F1879"/>
    <w:rsid w:val="007F2B1C"/>
    <w:rsid w:val="00851209"/>
    <w:rsid w:val="00854ED3"/>
    <w:rsid w:val="00856ABC"/>
    <w:rsid w:val="00865CFF"/>
    <w:rsid w:val="00877B82"/>
    <w:rsid w:val="00877B9C"/>
    <w:rsid w:val="008A48D9"/>
    <w:rsid w:val="008A4D66"/>
    <w:rsid w:val="008B1DF9"/>
    <w:rsid w:val="008C7294"/>
    <w:rsid w:val="008E2A40"/>
    <w:rsid w:val="008E7031"/>
    <w:rsid w:val="008F56C1"/>
    <w:rsid w:val="00902D2F"/>
    <w:rsid w:val="009244F9"/>
    <w:rsid w:val="009265FB"/>
    <w:rsid w:val="00950C18"/>
    <w:rsid w:val="00962A5B"/>
    <w:rsid w:val="00984968"/>
    <w:rsid w:val="00985309"/>
    <w:rsid w:val="009B1419"/>
    <w:rsid w:val="009C44A6"/>
    <w:rsid w:val="009D62B5"/>
    <w:rsid w:val="009D72A9"/>
    <w:rsid w:val="009E37D6"/>
    <w:rsid w:val="009F129A"/>
    <w:rsid w:val="009F19B8"/>
    <w:rsid w:val="00A02F90"/>
    <w:rsid w:val="00A0631C"/>
    <w:rsid w:val="00A110CE"/>
    <w:rsid w:val="00A213C4"/>
    <w:rsid w:val="00A30640"/>
    <w:rsid w:val="00A37F53"/>
    <w:rsid w:val="00A41AF0"/>
    <w:rsid w:val="00A431B5"/>
    <w:rsid w:val="00A4478A"/>
    <w:rsid w:val="00A60A26"/>
    <w:rsid w:val="00A6518D"/>
    <w:rsid w:val="00A70920"/>
    <w:rsid w:val="00AA3186"/>
    <w:rsid w:val="00AB2A18"/>
    <w:rsid w:val="00AE0824"/>
    <w:rsid w:val="00AE5577"/>
    <w:rsid w:val="00AF125E"/>
    <w:rsid w:val="00B00907"/>
    <w:rsid w:val="00B40A38"/>
    <w:rsid w:val="00B44D46"/>
    <w:rsid w:val="00B716F9"/>
    <w:rsid w:val="00B84552"/>
    <w:rsid w:val="00B85239"/>
    <w:rsid w:val="00B92E0D"/>
    <w:rsid w:val="00BD3446"/>
    <w:rsid w:val="00BE1F1B"/>
    <w:rsid w:val="00C16617"/>
    <w:rsid w:val="00C30BE2"/>
    <w:rsid w:val="00C450F6"/>
    <w:rsid w:val="00C53765"/>
    <w:rsid w:val="00C538A9"/>
    <w:rsid w:val="00C55B68"/>
    <w:rsid w:val="00C72325"/>
    <w:rsid w:val="00C86679"/>
    <w:rsid w:val="00C947DB"/>
    <w:rsid w:val="00CC09D7"/>
    <w:rsid w:val="00CC5A81"/>
    <w:rsid w:val="00CE5A3B"/>
    <w:rsid w:val="00CF2C89"/>
    <w:rsid w:val="00D00FEB"/>
    <w:rsid w:val="00D05736"/>
    <w:rsid w:val="00D226F4"/>
    <w:rsid w:val="00D5389E"/>
    <w:rsid w:val="00D56AA3"/>
    <w:rsid w:val="00D61A54"/>
    <w:rsid w:val="00D83B0E"/>
    <w:rsid w:val="00D943FB"/>
    <w:rsid w:val="00DA193E"/>
    <w:rsid w:val="00DA3422"/>
    <w:rsid w:val="00DB0F93"/>
    <w:rsid w:val="00DF072A"/>
    <w:rsid w:val="00E25B8C"/>
    <w:rsid w:val="00E3240F"/>
    <w:rsid w:val="00E61E91"/>
    <w:rsid w:val="00E7624D"/>
    <w:rsid w:val="00E924CB"/>
    <w:rsid w:val="00E95745"/>
    <w:rsid w:val="00EA3D42"/>
    <w:rsid w:val="00EA6B1B"/>
    <w:rsid w:val="00EF180D"/>
    <w:rsid w:val="00EF5BD5"/>
    <w:rsid w:val="00F10721"/>
    <w:rsid w:val="00F52144"/>
    <w:rsid w:val="00F53B40"/>
    <w:rsid w:val="00F56C9A"/>
    <w:rsid w:val="00F64C7B"/>
    <w:rsid w:val="00F67867"/>
    <w:rsid w:val="00FB5DBD"/>
    <w:rsid w:val="00FC20A8"/>
    <w:rsid w:val="00FD13D8"/>
    <w:rsid w:val="00FD5614"/>
    <w:rsid w:val="00FE0BE1"/>
    <w:rsid w:val="00FE1DE9"/>
    <w:rsid w:val="00FF4C31"/>
    <w:rsid w:val="00FF5771"/>
    <w:rsid w:val="00FF7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48D9"/>
    <w:pPr>
      <w:spacing w:before="120" w:after="240" w:line="240" w:lineRule="auto"/>
    </w:pPr>
    <w:rPr>
      <w:rFonts w:ascii="Arial" w:hAnsi="Arial"/>
    </w:rPr>
  </w:style>
  <w:style w:type="paragraph" w:styleId="Heading1">
    <w:name w:val="heading 1"/>
    <w:aliases w:val="Heading 1 - Numbered 1."/>
    <w:basedOn w:val="Normal"/>
    <w:next w:val="Normal"/>
    <w:link w:val="Heading1Char"/>
    <w:uiPriority w:val="9"/>
    <w:qFormat/>
    <w:rsid w:val="00F64C7B"/>
    <w:pPr>
      <w:keepNext/>
      <w:keepLines/>
      <w:numPr>
        <w:numId w:val="2"/>
      </w:numPr>
      <w:spacing w:before="420"/>
      <w:outlineLvl w:val="0"/>
    </w:pPr>
    <w:rPr>
      <w:rFonts w:ascii="Lucida Fax" w:eastAsiaTheme="majorEastAsia" w:hAnsi="Lucida Fax" w:cstheme="majorBidi"/>
      <w:bCs/>
      <w:color w:val="51626F"/>
      <w:sz w:val="32"/>
      <w:szCs w:val="28"/>
    </w:rPr>
  </w:style>
  <w:style w:type="paragraph" w:styleId="Heading2">
    <w:name w:val="heading 2"/>
    <w:aliases w:val="Heading 2 - Numbered 1.1"/>
    <w:basedOn w:val="Normal"/>
    <w:next w:val="Normal"/>
    <w:link w:val="Heading2Char"/>
    <w:uiPriority w:val="9"/>
    <w:unhideWhenUsed/>
    <w:qFormat/>
    <w:rsid w:val="00F64C7B"/>
    <w:pPr>
      <w:keepNext/>
      <w:keepLines/>
      <w:numPr>
        <w:ilvl w:val="1"/>
        <w:numId w:val="2"/>
      </w:numPr>
      <w:spacing w:before="420"/>
      <w:outlineLvl w:val="1"/>
    </w:pPr>
    <w:rPr>
      <w:rFonts w:eastAsiaTheme="majorEastAsia" w:cstheme="majorBidi"/>
      <w:b/>
      <w:bCs/>
      <w:color w:val="51626F"/>
      <w:sz w:val="28"/>
      <w:szCs w:val="26"/>
    </w:rPr>
  </w:style>
  <w:style w:type="paragraph" w:styleId="Heading3">
    <w:name w:val="heading 3"/>
    <w:aliases w:val="Heading 3 - Numbered 1.1.1"/>
    <w:basedOn w:val="Normal"/>
    <w:next w:val="Normal"/>
    <w:link w:val="Heading3Char"/>
    <w:uiPriority w:val="9"/>
    <w:unhideWhenUsed/>
    <w:qFormat/>
    <w:rsid w:val="00F64C7B"/>
    <w:pPr>
      <w:keepNext/>
      <w:keepLines/>
      <w:numPr>
        <w:ilvl w:val="2"/>
        <w:numId w:val="2"/>
      </w:numPr>
      <w:spacing w:before="200"/>
      <w:outlineLvl w:val="2"/>
    </w:pPr>
    <w:rPr>
      <w:rFonts w:eastAsiaTheme="majorEastAsia" w:cstheme="majorBidi"/>
      <w:b/>
      <w:bCs/>
      <w:sz w:val="24"/>
    </w:rPr>
  </w:style>
  <w:style w:type="paragraph" w:styleId="Heading4">
    <w:name w:val="heading 4"/>
    <w:aliases w:val="Heading 4 - Numbered 1.1.1.1"/>
    <w:basedOn w:val="Normal"/>
    <w:next w:val="Normal"/>
    <w:link w:val="Heading4Char"/>
    <w:uiPriority w:val="9"/>
    <w:unhideWhenUsed/>
    <w:qFormat/>
    <w:rsid w:val="00F64C7B"/>
    <w:pPr>
      <w:keepNext/>
      <w:keepLines/>
      <w:numPr>
        <w:ilvl w:val="3"/>
        <w:numId w:val="2"/>
      </w:numPr>
      <w:spacing w:before="200"/>
      <w:outlineLvl w:val="3"/>
    </w:pPr>
    <w:rPr>
      <w:rFonts w:eastAsiaTheme="majorEastAsia" w:cstheme="majorBidi"/>
      <w:b/>
      <w:bCs/>
      <w:i/>
      <w:iCs/>
      <w:color w:val="51626F"/>
      <w:sz w:val="24"/>
    </w:rPr>
  </w:style>
  <w:style w:type="paragraph" w:styleId="Heading5">
    <w:name w:val="heading 5"/>
    <w:aliases w:val="Heading 5."/>
    <w:basedOn w:val="Normal"/>
    <w:next w:val="Normal"/>
    <w:link w:val="Heading5Char"/>
    <w:uiPriority w:val="9"/>
    <w:unhideWhenUsed/>
    <w:qFormat/>
    <w:rsid w:val="00DF072A"/>
    <w:pPr>
      <w:keepNext/>
      <w:keepLines/>
      <w:spacing w:before="200" w:after="120"/>
      <w:outlineLvl w:val="4"/>
    </w:pPr>
    <w:rPr>
      <w:rFonts w:eastAsiaTheme="majorEastAsia" w:cstheme="majorBidi"/>
      <w:b/>
      <w:color w:val="243F60" w:themeColor="accent1" w:themeShade="7F"/>
    </w:rPr>
  </w:style>
  <w:style w:type="paragraph" w:styleId="Heading6">
    <w:name w:val="heading 6"/>
    <w:aliases w:val="Heading 6."/>
    <w:basedOn w:val="Normal"/>
    <w:next w:val="Normal"/>
    <w:link w:val="Heading6Char"/>
    <w:uiPriority w:val="9"/>
    <w:unhideWhenUsed/>
    <w:rsid w:val="00A4478A"/>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1B45A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5A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5A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Numbered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aliases w:val="Heading 2 - Numbered 1.1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aliases w:val="Heading 3 - Numbered 1.1.1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aliases w:val="Heading 4 - Numbered 1.1.1.1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aliases w:val="Heading 5. Char"/>
    <w:basedOn w:val="DefaultParagraphFont"/>
    <w:link w:val="Heading5"/>
    <w:uiPriority w:val="9"/>
    <w:rsid w:val="00DF072A"/>
    <w:rPr>
      <w:rFonts w:ascii="Arial" w:eastAsiaTheme="majorEastAsia" w:hAnsi="Arial" w:cstheme="majorBidi"/>
      <w:b/>
      <w:color w:val="243F60" w:themeColor="accent1" w:themeShade="7F"/>
    </w:rPr>
  </w:style>
  <w:style w:type="character" w:customStyle="1" w:styleId="Heading6Char">
    <w:name w:val="Heading 6 Char"/>
    <w:aliases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next w:val="Normal"/>
    <w:link w:val="ChaptertitleChar"/>
    <w:qFormat/>
    <w:rsid w:val="000E7F15"/>
    <w:pPr>
      <w:pageBreakBefore/>
    </w:pPr>
    <w:rPr>
      <w:b w:val="0"/>
      <w:sz w:val="52"/>
      <w:szCs w:val="52"/>
    </w:rPr>
  </w:style>
  <w:style w:type="character" w:customStyle="1" w:styleId="ChaptertitleChar">
    <w:name w:val="Chapter title Char"/>
    <w:basedOn w:val="ReporttitleChar"/>
    <w:link w:val="Chaptertitle"/>
    <w:rsid w:val="000E7F15"/>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10">
    <w:name w:val="Heading 1."/>
    <w:link w:val="Heading1Char0"/>
    <w:qFormat/>
    <w:rsid w:val="00691C5B"/>
    <w:pPr>
      <w:keepNext/>
      <w:spacing w:before="360" w:after="120"/>
    </w:pPr>
    <w:rPr>
      <w:rFonts w:ascii="Lucida Fax" w:eastAsiaTheme="majorEastAsia" w:hAnsi="Lucida Fax" w:cstheme="majorBidi"/>
      <w:bCs/>
      <w:color w:val="51626F"/>
      <w:sz w:val="32"/>
      <w:szCs w:val="28"/>
    </w:rPr>
  </w:style>
  <w:style w:type="character" w:customStyle="1" w:styleId="Heading1Char0">
    <w:name w:val="Heading 1. Char"/>
    <w:basedOn w:val="DefaultParagraphFont"/>
    <w:link w:val="Heading10"/>
    <w:rsid w:val="00691C5B"/>
    <w:rPr>
      <w:rFonts w:ascii="Lucida Fax" w:eastAsiaTheme="majorEastAsia" w:hAnsi="Lucida Fax" w:cstheme="majorBidi"/>
      <w:bCs/>
      <w:color w:val="51626F"/>
      <w:sz w:val="32"/>
      <w:szCs w:val="28"/>
    </w:rPr>
  </w:style>
  <w:style w:type="paragraph" w:customStyle="1" w:styleId="Heading20">
    <w:name w:val="Heading 2."/>
    <w:basedOn w:val="Heading2"/>
    <w:link w:val="Heading2Char0"/>
    <w:qFormat/>
    <w:rsid w:val="00506ACE"/>
    <w:pPr>
      <w:numPr>
        <w:ilvl w:val="0"/>
        <w:numId w:val="0"/>
      </w:numPr>
      <w:spacing w:after="120"/>
    </w:pPr>
  </w:style>
  <w:style w:type="character" w:customStyle="1" w:styleId="Heading2Char0">
    <w:name w:val="Heading 2. Char"/>
    <w:basedOn w:val="DefaultParagraphFont"/>
    <w:link w:val="Heading20"/>
    <w:rsid w:val="00506ACE"/>
    <w:rPr>
      <w:rFonts w:ascii="Arial" w:eastAsiaTheme="majorEastAsia" w:hAnsi="Arial" w:cstheme="majorBidi"/>
      <w:b/>
      <w:bCs/>
      <w:color w:val="51626F"/>
      <w:sz w:val="28"/>
      <w:szCs w:val="26"/>
    </w:rPr>
  </w:style>
  <w:style w:type="paragraph" w:customStyle="1" w:styleId="Heading30">
    <w:name w:val="Heading 3."/>
    <w:link w:val="Heading3Char0"/>
    <w:qFormat/>
    <w:rsid w:val="00FD5614"/>
    <w:rPr>
      <w:rFonts w:ascii="Arial" w:eastAsiaTheme="majorEastAsia" w:hAnsi="Arial" w:cstheme="majorBidi"/>
      <w:b/>
      <w:bCs/>
      <w:sz w:val="24"/>
    </w:rPr>
  </w:style>
  <w:style w:type="character" w:customStyle="1" w:styleId="Heading3Char0">
    <w:name w:val="Heading 3. Char"/>
    <w:basedOn w:val="DefaultParagraphFont"/>
    <w:link w:val="Heading30"/>
    <w:rsid w:val="00FD5614"/>
    <w:rPr>
      <w:rFonts w:ascii="Arial" w:eastAsiaTheme="majorEastAsia" w:hAnsi="Arial" w:cstheme="majorBidi"/>
      <w:b/>
      <w:bCs/>
      <w:sz w:val="24"/>
    </w:rPr>
  </w:style>
  <w:style w:type="paragraph" w:customStyle="1" w:styleId="Tableheadingtext">
    <w:name w:val="Table heading text"/>
    <w:basedOn w:val="Normal"/>
    <w:link w:val="TableheadingtextChar"/>
    <w:qFormat/>
    <w:rsid w:val="00EA3D42"/>
    <w:pPr>
      <w:spacing w:before="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0D0665"/>
    <w:pPr>
      <w:contextualSpacing w:val="0"/>
    </w:pPr>
    <w:rPr>
      <w:rFonts w:cs="Times New Roman"/>
    </w:rPr>
  </w:style>
  <w:style w:type="paragraph" w:styleId="ListBullet">
    <w:name w:val="List Bullet"/>
    <w:basedOn w:val="Normal"/>
    <w:uiPriority w:val="99"/>
    <w:unhideWhenUsed/>
    <w:rsid w:val="00D61A54"/>
    <w:pPr>
      <w:numPr>
        <w:numId w:val="7"/>
      </w:numPr>
      <w:contextualSpacing/>
    </w:pPr>
  </w:style>
  <w:style w:type="paragraph" w:customStyle="1" w:styleId="Bulletpoint2">
    <w:name w:val="Bullet point 2"/>
    <w:basedOn w:val="ListBullet2"/>
    <w:qFormat/>
    <w:rsid w:val="00165C94"/>
    <w:pPr>
      <w:numPr>
        <w:numId w:val="20"/>
      </w:numPr>
      <w:contextualSpacing w:val="0"/>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1B4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5A0"/>
    <w:rPr>
      <w:rFonts w:asciiTheme="majorHAnsi" w:eastAsiaTheme="majorEastAsia" w:hAnsiTheme="majorHAnsi" w:cstheme="majorBidi"/>
      <w:i/>
      <w:iCs/>
      <w:color w:val="404040" w:themeColor="text1" w:themeTint="BF"/>
      <w:sz w:val="20"/>
      <w:szCs w:val="20"/>
    </w:rPr>
  </w:style>
  <w:style w:type="paragraph" w:customStyle="1" w:styleId="Heading40">
    <w:name w:val="Heading 4."/>
    <w:qFormat/>
    <w:rsid w:val="00040853"/>
    <w:pPr>
      <w:keepNext/>
    </w:pPr>
    <w:rPr>
      <w:rFonts w:ascii="Arial" w:eastAsiaTheme="majorEastAsia" w:hAnsi="Arial" w:cstheme="majorBidi"/>
      <w:b/>
      <w:bCs/>
      <w:i/>
      <w:iCs/>
      <w:color w:val="51626F"/>
      <w:sz w:val="24"/>
    </w:rPr>
  </w:style>
  <w:style w:type="paragraph" w:styleId="Header">
    <w:name w:val="header"/>
    <w:basedOn w:val="Normal"/>
    <w:link w:val="HeaderChar"/>
    <w:uiPriority w:val="99"/>
    <w:unhideWhenUsed/>
    <w:rsid w:val="00095616"/>
    <w:pPr>
      <w:tabs>
        <w:tab w:val="center" w:pos="4513"/>
        <w:tab w:val="right" w:pos="9026"/>
      </w:tabs>
      <w:spacing w:before="0"/>
    </w:pPr>
  </w:style>
  <w:style w:type="character" w:customStyle="1" w:styleId="HeaderChar">
    <w:name w:val="Header Char"/>
    <w:basedOn w:val="DefaultParagraphFont"/>
    <w:link w:val="Header"/>
    <w:uiPriority w:val="99"/>
    <w:rsid w:val="00095616"/>
    <w:rPr>
      <w:rFonts w:ascii="Arial" w:hAnsi="Arial"/>
    </w:rPr>
  </w:style>
  <w:style w:type="table" w:styleId="TableGrid">
    <w:name w:val="Table Grid"/>
    <w:basedOn w:val="TableNormal"/>
    <w:uiPriority w:val="59"/>
    <w:rsid w:val="00D2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7197"/>
    <w:pPr>
      <w:spacing w:before="100" w:beforeAutospacing="1" w:after="100" w:afterAutospacing="1"/>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FF5771"/>
    <w:rPr>
      <w:sz w:val="16"/>
      <w:szCs w:val="16"/>
    </w:rPr>
  </w:style>
  <w:style w:type="paragraph" w:styleId="CommentText">
    <w:name w:val="annotation text"/>
    <w:basedOn w:val="Normal"/>
    <w:link w:val="CommentTextChar"/>
    <w:uiPriority w:val="99"/>
    <w:unhideWhenUsed/>
    <w:rsid w:val="00FF5771"/>
    <w:rPr>
      <w:sz w:val="20"/>
      <w:szCs w:val="20"/>
    </w:rPr>
  </w:style>
  <w:style w:type="character" w:customStyle="1" w:styleId="CommentTextChar">
    <w:name w:val="Comment Text Char"/>
    <w:basedOn w:val="DefaultParagraphFont"/>
    <w:link w:val="CommentText"/>
    <w:uiPriority w:val="99"/>
    <w:rsid w:val="00FF5771"/>
    <w:rPr>
      <w:rFonts w:ascii="Arial" w:hAnsi="Arial"/>
      <w:sz w:val="20"/>
      <w:szCs w:val="20"/>
    </w:rPr>
  </w:style>
  <w:style w:type="paragraph" w:styleId="FootnoteText">
    <w:name w:val="footnote text"/>
    <w:basedOn w:val="Normal"/>
    <w:link w:val="FootnoteTextChar"/>
    <w:uiPriority w:val="99"/>
    <w:semiHidden/>
    <w:unhideWhenUsed/>
    <w:rsid w:val="00A6518D"/>
    <w:pPr>
      <w:spacing w:before="0"/>
    </w:pPr>
    <w:rPr>
      <w:sz w:val="20"/>
      <w:szCs w:val="20"/>
    </w:rPr>
  </w:style>
  <w:style w:type="character" w:customStyle="1" w:styleId="FootnoteTextChar">
    <w:name w:val="Footnote Text Char"/>
    <w:basedOn w:val="DefaultParagraphFont"/>
    <w:link w:val="FootnoteText"/>
    <w:uiPriority w:val="99"/>
    <w:semiHidden/>
    <w:rsid w:val="00A6518D"/>
    <w:rPr>
      <w:rFonts w:ascii="Arial" w:hAnsi="Arial"/>
      <w:sz w:val="20"/>
      <w:szCs w:val="20"/>
    </w:rPr>
  </w:style>
  <w:style w:type="character" w:styleId="FootnoteReference">
    <w:name w:val="footnote reference"/>
    <w:basedOn w:val="DefaultParagraphFont"/>
    <w:uiPriority w:val="99"/>
    <w:semiHidden/>
    <w:unhideWhenUsed/>
    <w:rsid w:val="00A6518D"/>
    <w:rPr>
      <w:vertAlign w:val="superscript"/>
    </w:rPr>
  </w:style>
  <w:style w:type="paragraph" w:styleId="CommentSubject">
    <w:name w:val="annotation subject"/>
    <w:basedOn w:val="CommentText"/>
    <w:next w:val="CommentText"/>
    <w:link w:val="CommentSubjectChar"/>
    <w:uiPriority w:val="99"/>
    <w:semiHidden/>
    <w:unhideWhenUsed/>
    <w:rsid w:val="003B7CDC"/>
    <w:rPr>
      <w:b/>
      <w:bCs/>
    </w:rPr>
  </w:style>
  <w:style w:type="character" w:customStyle="1" w:styleId="CommentSubjectChar">
    <w:name w:val="Comment Subject Char"/>
    <w:basedOn w:val="CommentTextChar"/>
    <w:link w:val="CommentSubject"/>
    <w:uiPriority w:val="99"/>
    <w:semiHidden/>
    <w:rsid w:val="003B7CDC"/>
    <w:rPr>
      <w:rFonts w:ascii="Arial" w:hAnsi="Arial"/>
      <w:b/>
      <w:bCs/>
      <w:sz w:val="20"/>
      <w:szCs w:val="20"/>
    </w:rPr>
  </w:style>
  <w:style w:type="paragraph" w:customStyle="1" w:styleId="subsection">
    <w:name w:val="subsection"/>
    <w:aliases w:val="ss"/>
    <w:basedOn w:val="Normal"/>
    <w:uiPriority w:val="99"/>
    <w:rsid w:val="00AE0824"/>
    <w:pPr>
      <w:tabs>
        <w:tab w:val="right" w:pos="1021"/>
      </w:tabs>
      <w:spacing w:before="180" w:after="0"/>
      <w:ind w:left="1134" w:hanging="1134"/>
    </w:pPr>
    <w:rPr>
      <w:rFonts w:ascii="Times New Roman" w:eastAsia="Times New Roman" w:hAnsi="Times New Roman" w:cs="Times New Roman"/>
      <w:szCs w:val="20"/>
      <w:lang w:eastAsia="en-AU"/>
    </w:rPr>
  </w:style>
  <w:style w:type="paragraph" w:styleId="Caption">
    <w:name w:val="caption"/>
    <w:basedOn w:val="Normal"/>
    <w:next w:val="Normal"/>
    <w:uiPriority w:val="35"/>
    <w:unhideWhenUsed/>
    <w:qFormat/>
    <w:rsid w:val="00515F52"/>
    <w:pPr>
      <w:spacing w:before="0" w:after="200"/>
    </w:pPr>
    <w:rPr>
      <w:b/>
      <w:bCs/>
      <w:color w:val="4F81BD" w:themeColor="accent1"/>
      <w:sz w:val="18"/>
      <w:szCs w:val="18"/>
    </w:rPr>
  </w:style>
  <w:style w:type="paragraph" w:styleId="Revision">
    <w:name w:val="Revision"/>
    <w:hidden/>
    <w:uiPriority w:val="99"/>
    <w:semiHidden/>
    <w:rsid w:val="004B2E58"/>
    <w:pPr>
      <w:spacing w:after="0" w:line="240" w:lineRule="auto"/>
    </w:pPr>
    <w:rPr>
      <w:rFonts w:ascii="Arial" w:hAnsi="Arial"/>
    </w:rPr>
  </w:style>
  <w:style w:type="paragraph" w:styleId="TOC2">
    <w:name w:val="toc 2"/>
    <w:basedOn w:val="Normal"/>
    <w:next w:val="Normal"/>
    <w:autoRedefine/>
    <w:uiPriority w:val="39"/>
    <w:unhideWhenUsed/>
    <w:rsid w:val="004101C0"/>
    <w:pPr>
      <w:spacing w:after="100"/>
      <w:ind w:left="220"/>
    </w:pPr>
  </w:style>
  <w:style w:type="paragraph" w:customStyle="1" w:styleId="paragraph">
    <w:name w:val="paragraph"/>
    <w:aliases w:val="a"/>
    <w:basedOn w:val="Normal"/>
    <w:rsid w:val="005B77DC"/>
    <w:pPr>
      <w:tabs>
        <w:tab w:val="right" w:pos="1531"/>
      </w:tabs>
      <w:spacing w:before="40" w:after="0"/>
      <w:ind w:left="1644" w:hanging="1644"/>
    </w:pPr>
    <w:rPr>
      <w:rFonts w:ascii="Times New Roman" w:eastAsia="Times New Roman" w:hAnsi="Times New Roman" w:cs="Times New Roman"/>
      <w:szCs w:val="20"/>
      <w:lang w:eastAsia="en-AU"/>
    </w:rPr>
  </w:style>
  <w:style w:type="paragraph" w:styleId="TOC1">
    <w:name w:val="toc 1"/>
    <w:basedOn w:val="Normal"/>
    <w:next w:val="Normal"/>
    <w:autoRedefine/>
    <w:uiPriority w:val="39"/>
    <w:unhideWhenUsed/>
    <w:rsid w:val="004101C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48D9"/>
    <w:pPr>
      <w:spacing w:before="120" w:after="240" w:line="240" w:lineRule="auto"/>
    </w:pPr>
    <w:rPr>
      <w:rFonts w:ascii="Arial" w:hAnsi="Arial"/>
    </w:rPr>
  </w:style>
  <w:style w:type="paragraph" w:styleId="Heading1">
    <w:name w:val="heading 1"/>
    <w:aliases w:val="Heading 1 - Numbered 1."/>
    <w:basedOn w:val="Normal"/>
    <w:next w:val="Normal"/>
    <w:link w:val="Heading1Char"/>
    <w:uiPriority w:val="9"/>
    <w:qFormat/>
    <w:rsid w:val="00F64C7B"/>
    <w:pPr>
      <w:keepNext/>
      <w:keepLines/>
      <w:numPr>
        <w:numId w:val="2"/>
      </w:numPr>
      <w:spacing w:before="420"/>
      <w:outlineLvl w:val="0"/>
    </w:pPr>
    <w:rPr>
      <w:rFonts w:ascii="Lucida Fax" w:eastAsiaTheme="majorEastAsia" w:hAnsi="Lucida Fax" w:cstheme="majorBidi"/>
      <w:bCs/>
      <w:color w:val="51626F"/>
      <w:sz w:val="32"/>
      <w:szCs w:val="28"/>
    </w:rPr>
  </w:style>
  <w:style w:type="paragraph" w:styleId="Heading2">
    <w:name w:val="heading 2"/>
    <w:aliases w:val="Heading 2 - Numbered 1.1"/>
    <w:basedOn w:val="Normal"/>
    <w:next w:val="Normal"/>
    <w:link w:val="Heading2Char"/>
    <w:uiPriority w:val="9"/>
    <w:unhideWhenUsed/>
    <w:qFormat/>
    <w:rsid w:val="00F64C7B"/>
    <w:pPr>
      <w:keepNext/>
      <w:keepLines/>
      <w:numPr>
        <w:ilvl w:val="1"/>
        <w:numId w:val="2"/>
      </w:numPr>
      <w:spacing w:before="420"/>
      <w:outlineLvl w:val="1"/>
    </w:pPr>
    <w:rPr>
      <w:rFonts w:eastAsiaTheme="majorEastAsia" w:cstheme="majorBidi"/>
      <w:b/>
      <w:bCs/>
      <w:color w:val="51626F"/>
      <w:sz w:val="28"/>
      <w:szCs w:val="26"/>
    </w:rPr>
  </w:style>
  <w:style w:type="paragraph" w:styleId="Heading3">
    <w:name w:val="heading 3"/>
    <w:aliases w:val="Heading 3 - Numbered 1.1.1"/>
    <w:basedOn w:val="Normal"/>
    <w:next w:val="Normal"/>
    <w:link w:val="Heading3Char"/>
    <w:uiPriority w:val="9"/>
    <w:unhideWhenUsed/>
    <w:qFormat/>
    <w:rsid w:val="00F64C7B"/>
    <w:pPr>
      <w:keepNext/>
      <w:keepLines/>
      <w:numPr>
        <w:ilvl w:val="2"/>
        <w:numId w:val="2"/>
      </w:numPr>
      <w:spacing w:before="200"/>
      <w:outlineLvl w:val="2"/>
    </w:pPr>
    <w:rPr>
      <w:rFonts w:eastAsiaTheme="majorEastAsia" w:cstheme="majorBidi"/>
      <w:b/>
      <w:bCs/>
      <w:sz w:val="24"/>
    </w:rPr>
  </w:style>
  <w:style w:type="paragraph" w:styleId="Heading4">
    <w:name w:val="heading 4"/>
    <w:aliases w:val="Heading 4 - Numbered 1.1.1.1"/>
    <w:basedOn w:val="Normal"/>
    <w:next w:val="Normal"/>
    <w:link w:val="Heading4Char"/>
    <w:uiPriority w:val="9"/>
    <w:unhideWhenUsed/>
    <w:qFormat/>
    <w:rsid w:val="00F64C7B"/>
    <w:pPr>
      <w:keepNext/>
      <w:keepLines/>
      <w:numPr>
        <w:ilvl w:val="3"/>
        <w:numId w:val="2"/>
      </w:numPr>
      <w:spacing w:before="200"/>
      <w:outlineLvl w:val="3"/>
    </w:pPr>
    <w:rPr>
      <w:rFonts w:eastAsiaTheme="majorEastAsia" w:cstheme="majorBidi"/>
      <w:b/>
      <w:bCs/>
      <w:i/>
      <w:iCs/>
      <w:color w:val="51626F"/>
      <w:sz w:val="24"/>
    </w:rPr>
  </w:style>
  <w:style w:type="paragraph" w:styleId="Heading5">
    <w:name w:val="heading 5"/>
    <w:aliases w:val="Heading 5."/>
    <w:basedOn w:val="Normal"/>
    <w:next w:val="Normal"/>
    <w:link w:val="Heading5Char"/>
    <w:uiPriority w:val="9"/>
    <w:unhideWhenUsed/>
    <w:qFormat/>
    <w:rsid w:val="00DF072A"/>
    <w:pPr>
      <w:keepNext/>
      <w:keepLines/>
      <w:spacing w:before="200" w:after="120"/>
      <w:outlineLvl w:val="4"/>
    </w:pPr>
    <w:rPr>
      <w:rFonts w:eastAsiaTheme="majorEastAsia" w:cstheme="majorBidi"/>
      <w:b/>
      <w:color w:val="243F60" w:themeColor="accent1" w:themeShade="7F"/>
    </w:rPr>
  </w:style>
  <w:style w:type="paragraph" w:styleId="Heading6">
    <w:name w:val="heading 6"/>
    <w:aliases w:val="Heading 6."/>
    <w:basedOn w:val="Normal"/>
    <w:next w:val="Normal"/>
    <w:link w:val="Heading6Char"/>
    <w:uiPriority w:val="9"/>
    <w:unhideWhenUsed/>
    <w:rsid w:val="00A4478A"/>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1B45A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5A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5A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Numbered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aliases w:val="Heading 2 - Numbered 1.1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aliases w:val="Heading 3 - Numbered 1.1.1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aliases w:val="Heading 4 - Numbered 1.1.1.1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aliases w:val="Heading 5. Char"/>
    <w:basedOn w:val="DefaultParagraphFont"/>
    <w:link w:val="Heading5"/>
    <w:uiPriority w:val="9"/>
    <w:rsid w:val="00DF072A"/>
    <w:rPr>
      <w:rFonts w:ascii="Arial" w:eastAsiaTheme="majorEastAsia" w:hAnsi="Arial" w:cstheme="majorBidi"/>
      <w:b/>
      <w:color w:val="243F60" w:themeColor="accent1" w:themeShade="7F"/>
    </w:rPr>
  </w:style>
  <w:style w:type="character" w:customStyle="1" w:styleId="Heading6Char">
    <w:name w:val="Heading 6 Char"/>
    <w:aliases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next w:val="Normal"/>
    <w:link w:val="ChaptertitleChar"/>
    <w:qFormat/>
    <w:rsid w:val="000E7F15"/>
    <w:pPr>
      <w:pageBreakBefore/>
    </w:pPr>
    <w:rPr>
      <w:b w:val="0"/>
      <w:sz w:val="52"/>
      <w:szCs w:val="52"/>
    </w:rPr>
  </w:style>
  <w:style w:type="character" w:customStyle="1" w:styleId="ChaptertitleChar">
    <w:name w:val="Chapter title Char"/>
    <w:basedOn w:val="ReporttitleChar"/>
    <w:link w:val="Chaptertitle"/>
    <w:rsid w:val="000E7F15"/>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10">
    <w:name w:val="Heading 1."/>
    <w:link w:val="Heading1Char0"/>
    <w:qFormat/>
    <w:rsid w:val="00691C5B"/>
    <w:pPr>
      <w:keepNext/>
      <w:spacing w:before="360" w:after="120"/>
    </w:pPr>
    <w:rPr>
      <w:rFonts w:ascii="Lucida Fax" w:eastAsiaTheme="majorEastAsia" w:hAnsi="Lucida Fax" w:cstheme="majorBidi"/>
      <w:bCs/>
      <w:color w:val="51626F"/>
      <w:sz w:val="32"/>
      <w:szCs w:val="28"/>
    </w:rPr>
  </w:style>
  <w:style w:type="character" w:customStyle="1" w:styleId="Heading1Char0">
    <w:name w:val="Heading 1. Char"/>
    <w:basedOn w:val="DefaultParagraphFont"/>
    <w:link w:val="Heading10"/>
    <w:rsid w:val="00691C5B"/>
    <w:rPr>
      <w:rFonts w:ascii="Lucida Fax" w:eastAsiaTheme="majorEastAsia" w:hAnsi="Lucida Fax" w:cstheme="majorBidi"/>
      <w:bCs/>
      <w:color w:val="51626F"/>
      <w:sz w:val="32"/>
      <w:szCs w:val="28"/>
    </w:rPr>
  </w:style>
  <w:style w:type="paragraph" w:customStyle="1" w:styleId="Heading20">
    <w:name w:val="Heading 2."/>
    <w:basedOn w:val="Heading2"/>
    <w:link w:val="Heading2Char0"/>
    <w:qFormat/>
    <w:rsid w:val="00506ACE"/>
    <w:pPr>
      <w:numPr>
        <w:ilvl w:val="0"/>
        <w:numId w:val="0"/>
      </w:numPr>
      <w:spacing w:after="120"/>
    </w:pPr>
  </w:style>
  <w:style w:type="character" w:customStyle="1" w:styleId="Heading2Char0">
    <w:name w:val="Heading 2. Char"/>
    <w:basedOn w:val="DefaultParagraphFont"/>
    <w:link w:val="Heading20"/>
    <w:rsid w:val="00506ACE"/>
    <w:rPr>
      <w:rFonts w:ascii="Arial" w:eastAsiaTheme="majorEastAsia" w:hAnsi="Arial" w:cstheme="majorBidi"/>
      <w:b/>
      <w:bCs/>
      <w:color w:val="51626F"/>
      <w:sz w:val="28"/>
      <w:szCs w:val="26"/>
    </w:rPr>
  </w:style>
  <w:style w:type="paragraph" w:customStyle="1" w:styleId="Heading30">
    <w:name w:val="Heading 3."/>
    <w:link w:val="Heading3Char0"/>
    <w:qFormat/>
    <w:rsid w:val="00FD5614"/>
    <w:rPr>
      <w:rFonts w:ascii="Arial" w:eastAsiaTheme="majorEastAsia" w:hAnsi="Arial" w:cstheme="majorBidi"/>
      <w:b/>
      <w:bCs/>
      <w:sz w:val="24"/>
    </w:rPr>
  </w:style>
  <w:style w:type="character" w:customStyle="1" w:styleId="Heading3Char0">
    <w:name w:val="Heading 3. Char"/>
    <w:basedOn w:val="DefaultParagraphFont"/>
    <w:link w:val="Heading30"/>
    <w:rsid w:val="00FD5614"/>
    <w:rPr>
      <w:rFonts w:ascii="Arial" w:eastAsiaTheme="majorEastAsia" w:hAnsi="Arial" w:cstheme="majorBidi"/>
      <w:b/>
      <w:bCs/>
      <w:sz w:val="24"/>
    </w:rPr>
  </w:style>
  <w:style w:type="paragraph" w:customStyle="1" w:styleId="Tableheadingtext">
    <w:name w:val="Table heading text"/>
    <w:basedOn w:val="Normal"/>
    <w:link w:val="TableheadingtextChar"/>
    <w:qFormat/>
    <w:rsid w:val="00EA3D42"/>
    <w:pPr>
      <w:spacing w:before="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0D0665"/>
    <w:pPr>
      <w:contextualSpacing w:val="0"/>
    </w:pPr>
    <w:rPr>
      <w:rFonts w:cs="Times New Roman"/>
    </w:rPr>
  </w:style>
  <w:style w:type="paragraph" w:styleId="ListBullet">
    <w:name w:val="List Bullet"/>
    <w:basedOn w:val="Normal"/>
    <w:uiPriority w:val="99"/>
    <w:unhideWhenUsed/>
    <w:rsid w:val="00D61A54"/>
    <w:pPr>
      <w:numPr>
        <w:numId w:val="7"/>
      </w:numPr>
      <w:contextualSpacing/>
    </w:pPr>
  </w:style>
  <w:style w:type="paragraph" w:customStyle="1" w:styleId="Bulletpoint2">
    <w:name w:val="Bullet point 2"/>
    <w:basedOn w:val="ListBullet2"/>
    <w:qFormat/>
    <w:rsid w:val="00165C94"/>
    <w:pPr>
      <w:numPr>
        <w:numId w:val="20"/>
      </w:numPr>
      <w:contextualSpacing w:val="0"/>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1B4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5A0"/>
    <w:rPr>
      <w:rFonts w:asciiTheme="majorHAnsi" w:eastAsiaTheme="majorEastAsia" w:hAnsiTheme="majorHAnsi" w:cstheme="majorBidi"/>
      <w:i/>
      <w:iCs/>
      <w:color w:val="404040" w:themeColor="text1" w:themeTint="BF"/>
      <w:sz w:val="20"/>
      <w:szCs w:val="20"/>
    </w:rPr>
  </w:style>
  <w:style w:type="paragraph" w:customStyle="1" w:styleId="Heading40">
    <w:name w:val="Heading 4."/>
    <w:qFormat/>
    <w:rsid w:val="00040853"/>
    <w:pPr>
      <w:keepNext/>
    </w:pPr>
    <w:rPr>
      <w:rFonts w:ascii="Arial" w:eastAsiaTheme="majorEastAsia" w:hAnsi="Arial" w:cstheme="majorBidi"/>
      <w:b/>
      <w:bCs/>
      <w:i/>
      <w:iCs/>
      <w:color w:val="51626F"/>
      <w:sz w:val="24"/>
    </w:rPr>
  </w:style>
  <w:style w:type="paragraph" w:styleId="Header">
    <w:name w:val="header"/>
    <w:basedOn w:val="Normal"/>
    <w:link w:val="HeaderChar"/>
    <w:uiPriority w:val="99"/>
    <w:unhideWhenUsed/>
    <w:rsid w:val="00095616"/>
    <w:pPr>
      <w:tabs>
        <w:tab w:val="center" w:pos="4513"/>
        <w:tab w:val="right" w:pos="9026"/>
      </w:tabs>
      <w:spacing w:before="0"/>
    </w:pPr>
  </w:style>
  <w:style w:type="character" w:customStyle="1" w:styleId="HeaderChar">
    <w:name w:val="Header Char"/>
    <w:basedOn w:val="DefaultParagraphFont"/>
    <w:link w:val="Header"/>
    <w:uiPriority w:val="99"/>
    <w:rsid w:val="00095616"/>
    <w:rPr>
      <w:rFonts w:ascii="Arial" w:hAnsi="Arial"/>
    </w:rPr>
  </w:style>
  <w:style w:type="table" w:styleId="TableGrid">
    <w:name w:val="Table Grid"/>
    <w:basedOn w:val="TableNormal"/>
    <w:uiPriority w:val="59"/>
    <w:rsid w:val="00D2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7197"/>
    <w:pPr>
      <w:spacing w:before="100" w:beforeAutospacing="1" w:after="100" w:afterAutospacing="1"/>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FF5771"/>
    <w:rPr>
      <w:sz w:val="16"/>
      <w:szCs w:val="16"/>
    </w:rPr>
  </w:style>
  <w:style w:type="paragraph" w:styleId="CommentText">
    <w:name w:val="annotation text"/>
    <w:basedOn w:val="Normal"/>
    <w:link w:val="CommentTextChar"/>
    <w:uiPriority w:val="99"/>
    <w:unhideWhenUsed/>
    <w:rsid w:val="00FF5771"/>
    <w:rPr>
      <w:sz w:val="20"/>
      <w:szCs w:val="20"/>
    </w:rPr>
  </w:style>
  <w:style w:type="character" w:customStyle="1" w:styleId="CommentTextChar">
    <w:name w:val="Comment Text Char"/>
    <w:basedOn w:val="DefaultParagraphFont"/>
    <w:link w:val="CommentText"/>
    <w:uiPriority w:val="99"/>
    <w:rsid w:val="00FF5771"/>
    <w:rPr>
      <w:rFonts w:ascii="Arial" w:hAnsi="Arial"/>
      <w:sz w:val="20"/>
      <w:szCs w:val="20"/>
    </w:rPr>
  </w:style>
  <w:style w:type="paragraph" w:styleId="FootnoteText">
    <w:name w:val="footnote text"/>
    <w:basedOn w:val="Normal"/>
    <w:link w:val="FootnoteTextChar"/>
    <w:uiPriority w:val="99"/>
    <w:semiHidden/>
    <w:unhideWhenUsed/>
    <w:rsid w:val="00A6518D"/>
    <w:pPr>
      <w:spacing w:before="0"/>
    </w:pPr>
    <w:rPr>
      <w:sz w:val="20"/>
      <w:szCs w:val="20"/>
    </w:rPr>
  </w:style>
  <w:style w:type="character" w:customStyle="1" w:styleId="FootnoteTextChar">
    <w:name w:val="Footnote Text Char"/>
    <w:basedOn w:val="DefaultParagraphFont"/>
    <w:link w:val="FootnoteText"/>
    <w:uiPriority w:val="99"/>
    <w:semiHidden/>
    <w:rsid w:val="00A6518D"/>
    <w:rPr>
      <w:rFonts w:ascii="Arial" w:hAnsi="Arial"/>
      <w:sz w:val="20"/>
      <w:szCs w:val="20"/>
    </w:rPr>
  </w:style>
  <w:style w:type="character" w:styleId="FootnoteReference">
    <w:name w:val="footnote reference"/>
    <w:basedOn w:val="DefaultParagraphFont"/>
    <w:uiPriority w:val="99"/>
    <w:semiHidden/>
    <w:unhideWhenUsed/>
    <w:rsid w:val="00A6518D"/>
    <w:rPr>
      <w:vertAlign w:val="superscript"/>
    </w:rPr>
  </w:style>
  <w:style w:type="paragraph" w:styleId="CommentSubject">
    <w:name w:val="annotation subject"/>
    <w:basedOn w:val="CommentText"/>
    <w:next w:val="CommentText"/>
    <w:link w:val="CommentSubjectChar"/>
    <w:uiPriority w:val="99"/>
    <w:semiHidden/>
    <w:unhideWhenUsed/>
    <w:rsid w:val="003B7CDC"/>
    <w:rPr>
      <w:b/>
      <w:bCs/>
    </w:rPr>
  </w:style>
  <w:style w:type="character" w:customStyle="1" w:styleId="CommentSubjectChar">
    <w:name w:val="Comment Subject Char"/>
    <w:basedOn w:val="CommentTextChar"/>
    <w:link w:val="CommentSubject"/>
    <w:uiPriority w:val="99"/>
    <w:semiHidden/>
    <w:rsid w:val="003B7CDC"/>
    <w:rPr>
      <w:rFonts w:ascii="Arial" w:hAnsi="Arial"/>
      <w:b/>
      <w:bCs/>
      <w:sz w:val="20"/>
      <w:szCs w:val="20"/>
    </w:rPr>
  </w:style>
  <w:style w:type="paragraph" w:customStyle="1" w:styleId="subsection">
    <w:name w:val="subsection"/>
    <w:aliases w:val="ss"/>
    <w:basedOn w:val="Normal"/>
    <w:uiPriority w:val="99"/>
    <w:rsid w:val="00AE0824"/>
    <w:pPr>
      <w:tabs>
        <w:tab w:val="right" w:pos="1021"/>
      </w:tabs>
      <w:spacing w:before="180" w:after="0"/>
      <w:ind w:left="1134" w:hanging="1134"/>
    </w:pPr>
    <w:rPr>
      <w:rFonts w:ascii="Times New Roman" w:eastAsia="Times New Roman" w:hAnsi="Times New Roman" w:cs="Times New Roman"/>
      <w:szCs w:val="20"/>
      <w:lang w:eastAsia="en-AU"/>
    </w:rPr>
  </w:style>
  <w:style w:type="paragraph" w:styleId="Caption">
    <w:name w:val="caption"/>
    <w:basedOn w:val="Normal"/>
    <w:next w:val="Normal"/>
    <w:uiPriority w:val="35"/>
    <w:unhideWhenUsed/>
    <w:qFormat/>
    <w:rsid w:val="00515F52"/>
    <w:pPr>
      <w:spacing w:before="0" w:after="200"/>
    </w:pPr>
    <w:rPr>
      <w:b/>
      <w:bCs/>
      <w:color w:val="4F81BD" w:themeColor="accent1"/>
      <w:sz w:val="18"/>
      <w:szCs w:val="18"/>
    </w:rPr>
  </w:style>
  <w:style w:type="paragraph" w:styleId="Revision">
    <w:name w:val="Revision"/>
    <w:hidden/>
    <w:uiPriority w:val="99"/>
    <w:semiHidden/>
    <w:rsid w:val="004B2E58"/>
    <w:pPr>
      <w:spacing w:after="0" w:line="240" w:lineRule="auto"/>
    </w:pPr>
    <w:rPr>
      <w:rFonts w:ascii="Arial" w:hAnsi="Arial"/>
    </w:rPr>
  </w:style>
  <w:style w:type="paragraph" w:styleId="TOC2">
    <w:name w:val="toc 2"/>
    <w:basedOn w:val="Normal"/>
    <w:next w:val="Normal"/>
    <w:autoRedefine/>
    <w:uiPriority w:val="39"/>
    <w:unhideWhenUsed/>
    <w:rsid w:val="004101C0"/>
    <w:pPr>
      <w:spacing w:after="100"/>
      <w:ind w:left="220"/>
    </w:pPr>
  </w:style>
  <w:style w:type="paragraph" w:customStyle="1" w:styleId="paragraph">
    <w:name w:val="paragraph"/>
    <w:aliases w:val="a"/>
    <w:basedOn w:val="Normal"/>
    <w:rsid w:val="005B77DC"/>
    <w:pPr>
      <w:tabs>
        <w:tab w:val="right" w:pos="1531"/>
      </w:tabs>
      <w:spacing w:before="40" w:after="0"/>
      <w:ind w:left="1644" w:hanging="1644"/>
    </w:pPr>
    <w:rPr>
      <w:rFonts w:ascii="Times New Roman" w:eastAsia="Times New Roman" w:hAnsi="Times New Roman" w:cs="Times New Roman"/>
      <w:szCs w:val="20"/>
      <w:lang w:eastAsia="en-AU"/>
    </w:rPr>
  </w:style>
  <w:style w:type="paragraph" w:styleId="TOC1">
    <w:name w:val="toc 1"/>
    <w:basedOn w:val="Normal"/>
    <w:next w:val="Normal"/>
    <w:autoRedefine/>
    <w:uiPriority w:val="39"/>
    <w:unhideWhenUsed/>
    <w:rsid w:val="004101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transport@acc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c.gov.au/whe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c.gov.au/whe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ransport@accc.gov.au" TargetMode="External"/><Relationship Id="rId23" Type="http://schemas.openxmlformats.org/officeDocument/2006/relationships/footer" Target="footer3.xml"/><Relationship Id="rId10" Type="http://schemas.openxmlformats.org/officeDocument/2006/relationships/hyperlink" Target="http://www.accc.gov.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c.gov.au/whea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cc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6ACD-F99E-4D07-8B92-29F01428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297C7B4A.dotm</Template>
  <TotalTime>0</TotalTime>
  <Pages>11</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2014-10-16T00:11:00Z</dcterms:created>
  <dcterms:modified xsi:type="dcterms:W3CDTF">2014-10-16T00:11:00Z</dcterms:modified>
</cp:coreProperties>
</file>